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77982" w14:textId="77777777" w:rsidR="00040C3A" w:rsidRPr="00A51861" w:rsidRDefault="00D306D1" w:rsidP="008E4D36">
      <w:pPr>
        <w:jc w:val="both"/>
        <w:rPr>
          <w:rFonts w:asciiTheme="majorHAnsi" w:hAnsiTheme="majorHAnsi" w:cs="Univers"/>
          <w:b/>
          <w:bCs/>
          <w:sz w:val="22"/>
          <w:szCs w:val="22"/>
        </w:rPr>
      </w:pPr>
      <w:r w:rsidRPr="00A51861">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FD95CB" wp14:editId="1C01823C">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67AE3C">
                            <a:alpha val="8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235A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" fillcolor="#67ae3c" stroked="f" strokeweight="2pt">
                <v:fill opacity="58853f"/>
              </v:rect>
            </w:pict>
          </mc:Fallback>
        </mc:AlternateContent>
      </w:r>
      <w:r w:rsidR="003E6CA1" w:rsidRPr="00A51861">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AF87F6A" wp14:editId="4A3CB649">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1425BB" w14:textId="77777777" w:rsidR="00F40E67" w:rsidRDefault="00F40E67" w:rsidP="00AE5488">
                            <w:r>
                              <w:rPr>
                                <w:noProof/>
                              </w:rPr>
                              <w:drawing>
                                <wp:inline distT="0" distB="0" distL="0" distR="0" wp14:anchorId="4BA92AD1" wp14:editId="384B0236">
                                  <wp:extent cx="2653322" cy="510764"/>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653322" cy="510764"/>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F87F6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4C1425BB" w14:textId="77777777" w:rsidR="00F40E67" w:rsidRDefault="00F40E67" w:rsidP="00AE5488">
                      <w:r>
                        <w:rPr>
                          <w:noProof/>
                        </w:rPr>
                        <w:drawing>
                          <wp:inline distT="0" distB="0" distL="0" distR="0" wp14:anchorId="4BA92AD1" wp14:editId="384B0236">
                            <wp:extent cx="2653322" cy="510764"/>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653322" cy="510764"/>
                                    </a:xfrm>
                                    <a:prstGeom prst="rect">
                                      <a:avLst/>
                                    </a:prstGeom>
                                    <a:noFill/>
                                    <a:ln>
                                      <a:noFill/>
                                    </a:ln>
                                  </pic:spPr>
                                </pic:pic>
                              </a:graphicData>
                            </a:graphic>
                          </wp:inline>
                        </w:drawing>
                      </w:r>
                      <w:r>
                        <w:tab/>
                        <w:t xml:space="preserve">                              </w:t>
                      </w:r>
                    </w:p>
                  </w:txbxContent>
                </v:textbox>
              </v:shape>
            </w:pict>
          </mc:Fallback>
        </mc:AlternateContent>
      </w:r>
      <w:r w:rsidR="00980C18" w:rsidRPr="00A51861">
        <w:rPr>
          <w:rFonts w:asciiTheme="majorHAnsi" w:hAnsiTheme="majorHAnsi" w:cs="Univers"/>
          <w:b/>
          <w:bCs/>
          <w:sz w:val="22"/>
          <w:szCs w:val="22"/>
        </w:rPr>
        <w:t>salvo</w:t>
      </w:r>
    </w:p>
    <w:p w14:paraId="60CD6171" w14:textId="77777777" w:rsidR="00040C3A" w:rsidRPr="00A51861" w:rsidRDefault="00040C3A" w:rsidP="008E4D36">
      <w:pPr>
        <w:tabs>
          <w:tab w:val="center" w:pos="5400"/>
        </w:tabs>
        <w:suppressAutoHyphens/>
        <w:jc w:val="both"/>
        <w:rPr>
          <w:rFonts w:asciiTheme="majorHAnsi" w:hAnsiTheme="majorHAnsi"/>
          <w:sz w:val="22"/>
          <w:szCs w:val="22"/>
        </w:rPr>
      </w:pPr>
    </w:p>
    <w:p w14:paraId="42201780" w14:textId="77777777" w:rsidR="00040C3A" w:rsidRPr="00A51861" w:rsidRDefault="00040C3A" w:rsidP="008E4D36">
      <w:pPr>
        <w:tabs>
          <w:tab w:val="center" w:pos="5400"/>
        </w:tabs>
        <w:suppressAutoHyphens/>
        <w:jc w:val="both"/>
        <w:rPr>
          <w:rFonts w:asciiTheme="majorHAnsi" w:hAnsiTheme="majorHAnsi"/>
          <w:sz w:val="22"/>
          <w:szCs w:val="22"/>
        </w:rPr>
      </w:pPr>
    </w:p>
    <w:p w14:paraId="64324F1B" w14:textId="77777777" w:rsidR="005128E4" w:rsidRPr="00A51861" w:rsidRDefault="005128E4" w:rsidP="008E4D36">
      <w:pPr>
        <w:tabs>
          <w:tab w:val="center" w:pos="5400"/>
        </w:tabs>
        <w:suppressAutoHyphens/>
        <w:rPr>
          <w:rFonts w:asciiTheme="majorHAnsi" w:hAnsiTheme="majorHAnsi"/>
          <w:sz w:val="22"/>
          <w:szCs w:val="22"/>
        </w:rPr>
      </w:pPr>
    </w:p>
    <w:p w14:paraId="7911B531" w14:textId="77777777" w:rsidR="005128E4" w:rsidRPr="00A51861" w:rsidRDefault="005128E4" w:rsidP="008E4D36">
      <w:pPr>
        <w:tabs>
          <w:tab w:val="center" w:pos="5400"/>
        </w:tabs>
        <w:suppressAutoHyphens/>
        <w:rPr>
          <w:rFonts w:asciiTheme="majorHAnsi" w:hAnsiTheme="majorHAnsi"/>
          <w:sz w:val="22"/>
          <w:szCs w:val="22"/>
        </w:rPr>
      </w:pPr>
    </w:p>
    <w:p w14:paraId="376118B4" w14:textId="77777777" w:rsidR="005128E4" w:rsidRPr="00A51861" w:rsidRDefault="005128E4" w:rsidP="008E4D36">
      <w:pPr>
        <w:tabs>
          <w:tab w:val="center" w:pos="5400"/>
        </w:tabs>
        <w:suppressAutoHyphens/>
        <w:rPr>
          <w:rFonts w:asciiTheme="majorHAnsi" w:hAnsiTheme="majorHAnsi"/>
          <w:sz w:val="22"/>
          <w:szCs w:val="22"/>
        </w:rPr>
      </w:pPr>
    </w:p>
    <w:p w14:paraId="22FD8DA1" w14:textId="77777777" w:rsidR="00040C3A" w:rsidRPr="00A51861" w:rsidRDefault="00040C3A" w:rsidP="008E4D36">
      <w:pPr>
        <w:tabs>
          <w:tab w:val="center" w:pos="5400"/>
        </w:tabs>
        <w:suppressAutoHyphens/>
        <w:jc w:val="center"/>
        <w:rPr>
          <w:rFonts w:asciiTheme="majorHAnsi" w:hAnsiTheme="majorHAnsi"/>
          <w:sz w:val="22"/>
          <w:szCs w:val="22"/>
        </w:rPr>
      </w:pPr>
    </w:p>
    <w:p w14:paraId="742F23F7" w14:textId="77777777" w:rsidR="00040C3A" w:rsidRPr="00A51861" w:rsidRDefault="00040C3A" w:rsidP="008E4D36">
      <w:pPr>
        <w:tabs>
          <w:tab w:val="center" w:pos="5400"/>
        </w:tabs>
        <w:suppressAutoHyphens/>
        <w:jc w:val="center"/>
        <w:rPr>
          <w:rFonts w:asciiTheme="majorHAnsi" w:hAnsiTheme="majorHAnsi"/>
          <w:sz w:val="22"/>
          <w:szCs w:val="22"/>
        </w:rPr>
      </w:pPr>
    </w:p>
    <w:p w14:paraId="4F83A9B3" w14:textId="77777777" w:rsidR="005B52B0" w:rsidRPr="00A51861" w:rsidRDefault="005B52B0" w:rsidP="008E4D36">
      <w:pPr>
        <w:tabs>
          <w:tab w:val="center" w:pos="5400"/>
        </w:tabs>
        <w:suppressAutoHyphens/>
        <w:jc w:val="center"/>
        <w:rPr>
          <w:rFonts w:asciiTheme="majorHAnsi" w:hAnsiTheme="majorHAnsi"/>
          <w:sz w:val="22"/>
          <w:szCs w:val="22"/>
        </w:rPr>
      </w:pPr>
    </w:p>
    <w:p w14:paraId="09121252" w14:textId="77777777" w:rsidR="005B52B0" w:rsidRPr="00A51861" w:rsidRDefault="005B52B0" w:rsidP="008E4D36">
      <w:pPr>
        <w:tabs>
          <w:tab w:val="center" w:pos="5400"/>
        </w:tabs>
        <w:suppressAutoHyphens/>
        <w:jc w:val="center"/>
        <w:rPr>
          <w:rFonts w:asciiTheme="majorHAnsi" w:hAnsiTheme="majorHAnsi"/>
          <w:sz w:val="22"/>
          <w:szCs w:val="22"/>
        </w:rPr>
      </w:pPr>
    </w:p>
    <w:p w14:paraId="1555828C" w14:textId="77777777" w:rsidR="005B52B0" w:rsidRPr="00A51861" w:rsidRDefault="005B52B0" w:rsidP="008E4D36">
      <w:pPr>
        <w:tabs>
          <w:tab w:val="center" w:pos="5400"/>
        </w:tabs>
        <w:suppressAutoHyphens/>
        <w:jc w:val="center"/>
        <w:rPr>
          <w:rFonts w:asciiTheme="majorHAnsi" w:hAnsiTheme="majorHAnsi"/>
          <w:sz w:val="22"/>
          <w:szCs w:val="22"/>
        </w:rPr>
      </w:pPr>
    </w:p>
    <w:p w14:paraId="0C7DF587" w14:textId="77777777" w:rsidR="00040C3A" w:rsidRPr="00A51861" w:rsidRDefault="00040C3A" w:rsidP="008E4D36">
      <w:pPr>
        <w:tabs>
          <w:tab w:val="center" w:pos="5400"/>
        </w:tabs>
        <w:suppressAutoHyphens/>
        <w:jc w:val="center"/>
        <w:rPr>
          <w:rFonts w:asciiTheme="majorHAnsi" w:hAnsiTheme="majorHAnsi"/>
          <w:sz w:val="22"/>
          <w:szCs w:val="22"/>
        </w:rPr>
      </w:pPr>
    </w:p>
    <w:p w14:paraId="5740E627" w14:textId="77777777" w:rsidR="00040C3A" w:rsidRPr="00A51861" w:rsidRDefault="00040C3A" w:rsidP="008E4D36">
      <w:pPr>
        <w:tabs>
          <w:tab w:val="center" w:pos="5400"/>
        </w:tabs>
        <w:suppressAutoHyphens/>
        <w:jc w:val="center"/>
        <w:rPr>
          <w:rFonts w:asciiTheme="majorHAnsi" w:hAnsiTheme="majorHAnsi"/>
          <w:sz w:val="22"/>
          <w:szCs w:val="22"/>
        </w:rPr>
      </w:pPr>
    </w:p>
    <w:p w14:paraId="6FCA4327" w14:textId="77777777" w:rsidR="00040C3A" w:rsidRPr="00A51861" w:rsidRDefault="003D3BC2" w:rsidP="008E4D36">
      <w:pPr>
        <w:tabs>
          <w:tab w:val="center" w:pos="5400"/>
        </w:tabs>
        <w:suppressAutoHyphens/>
        <w:jc w:val="center"/>
        <w:rPr>
          <w:rFonts w:asciiTheme="majorHAnsi" w:hAnsiTheme="majorHAnsi"/>
          <w:sz w:val="22"/>
          <w:szCs w:val="22"/>
        </w:rPr>
      </w:pPr>
      <w:r w:rsidRPr="00A51861">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1629F1E1" wp14:editId="6230F2A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094714" w14:textId="1B2A029E" w:rsidR="00F40E67" w:rsidRPr="00061015" w:rsidRDefault="00706B52" w:rsidP="00997BC5">
                            <w:pPr>
                              <w:spacing w:line="276" w:lineRule="auto"/>
                              <w:rPr>
                                <w:rFonts w:asciiTheme="majorHAnsi" w:hAnsiTheme="majorHAnsi" w:cs="Arial"/>
                                <w:b/>
                                <w:bCs/>
                                <w:color w:val="0D0D0D" w:themeColor="text1" w:themeTint="F2"/>
                                <w:sz w:val="36"/>
                                <w:szCs w:val="22"/>
                              </w:rPr>
                            </w:pPr>
                            <w:r w:rsidRPr="00061015">
                              <w:rPr>
                                <w:rFonts w:asciiTheme="majorHAnsi" w:hAnsiTheme="majorHAnsi" w:cs="Arial"/>
                                <w:b/>
                                <w:bCs/>
                                <w:color w:val="0D0D0D" w:themeColor="text1" w:themeTint="F2"/>
                                <w:sz w:val="36"/>
                                <w:szCs w:val="22"/>
                              </w:rPr>
                              <w:t>REPORT</w:t>
                            </w:r>
                            <w:r w:rsidR="00F40E67" w:rsidRPr="00061015">
                              <w:rPr>
                                <w:rFonts w:asciiTheme="majorHAnsi" w:hAnsiTheme="majorHAnsi" w:cs="Arial"/>
                                <w:b/>
                                <w:bCs/>
                                <w:color w:val="0D0D0D" w:themeColor="text1" w:themeTint="F2"/>
                                <w:sz w:val="36"/>
                                <w:szCs w:val="22"/>
                              </w:rPr>
                              <w:t xml:space="preserve"> </w:t>
                            </w:r>
                            <w:r w:rsidR="00F40E67" w:rsidRPr="00061015">
                              <w:rPr>
                                <w:rFonts w:asciiTheme="majorHAnsi" w:hAnsiTheme="majorHAnsi" w:cs="Arial"/>
                                <w:b/>
                                <w:bCs/>
                                <w:color w:val="0D0D0D" w:themeColor="text1" w:themeTint="F2"/>
                                <w:sz w:val="36"/>
                                <w:szCs w:val="40"/>
                              </w:rPr>
                              <w:t>No.</w:t>
                            </w:r>
                            <w:r w:rsidR="00F40E67" w:rsidRPr="00061015">
                              <w:rPr>
                                <w:rFonts w:asciiTheme="majorHAnsi" w:hAnsiTheme="majorHAnsi" w:cs="Arial"/>
                                <w:b/>
                                <w:bCs/>
                                <w:color w:val="0D0D0D" w:themeColor="text1" w:themeTint="F2"/>
                                <w:sz w:val="36"/>
                                <w:szCs w:val="22"/>
                              </w:rPr>
                              <w:t xml:space="preserve"> </w:t>
                            </w:r>
                            <w:r w:rsidR="00853CF7">
                              <w:rPr>
                                <w:rFonts w:asciiTheme="majorHAnsi" w:hAnsiTheme="majorHAnsi" w:cs="Arial"/>
                                <w:b/>
                                <w:bCs/>
                                <w:color w:val="0D0D0D" w:themeColor="text1" w:themeTint="F2"/>
                                <w:sz w:val="36"/>
                                <w:szCs w:val="22"/>
                              </w:rPr>
                              <w:t>45</w:t>
                            </w:r>
                            <w:r w:rsidR="00F40E67" w:rsidRPr="00061015">
                              <w:rPr>
                                <w:rFonts w:asciiTheme="majorHAnsi" w:hAnsiTheme="majorHAnsi" w:cs="Arial"/>
                                <w:b/>
                                <w:bCs/>
                                <w:color w:val="0D0D0D" w:themeColor="text1" w:themeTint="F2"/>
                                <w:sz w:val="36"/>
                                <w:szCs w:val="22"/>
                              </w:rPr>
                              <w:t>/2</w:t>
                            </w:r>
                            <w:r w:rsidR="00874534">
                              <w:rPr>
                                <w:rFonts w:asciiTheme="majorHAnsi" w:hAnsiTheme="majorHAnsi" w:cs="Arial"/>
                                <w:b/>
                                <w:bCs/>
                                <w:color w:val="0D0D0D" w:themeColor="text1" w:themeTint="F2"/>
                                <w:sz w:val="36"/>
                                <w:szCs w:val="22"/>
                              </w:rPr>
                              <w:t>5</w:t>
                            </w:r>
                          </w:p>
                          <w:p w14:paraId="04F8A9E1" w14:textId="1863F306" w:rsidR="00F40E67" w:rsidRPr="00061015" w:rsidRDefault="00F40E67" w:rsidP="00997BC5">
                            <w:pPr>
                              <w:spacing w:line="276" w:lineRule="auto"/>
                              <w:rPr>
                                <w:rFonts w:asciiTheme="majorHAnsi" w:hAnsiTheme="majorHAnsi" w:cs="Arial"/>
                                <w:b/>
                                <w:color w:val="0D0D0D" w:themeColor="text1" w:themeTint="F2"/>
                                <w:sz w:val="36"/>
                                <w:szCs w:val="22"/>
                              </w:rPr>
                            </w:pPr>
                            <w:r w:rsidRPr="00061015">
                              <w:rPr>
                                <w:rFonts w:asciiTheme="majorHAnsi" w:hAnsiTheme="majorHAnsi" w:cs="Arial"/>
                                <w:b/>
                                <w:color w:val="0D0D0D" w:themeColor="text1" w:themeTint="F2"/>
                                <w:sz w:val="36"/>
                                <w:szCs w:val="22"/>
                              </w:rPr>
                              <w:t>CAS</w:t>
                            </w:r>
                            <w:r w:rsidR="00706B52" w:rsidRPr="00061015">
                              <w:rPr>
                                <w:rFonts w:asciiTheme="majorHAnsi" w:hAnsiTheme="majorHAnsi" w:cs="Arial"/>
                                <w:b/>
                                <w:color w:val="0D0D0D" w:themeColor="text1" w:themeTint="F2"/>
                                <w:sz w:val="36"/>
                                <w:szCs w:val="22"/>
                              </w:rPr>
                              <w:t>E</w:t>
                            </w:r>
                            <w:r w:rsidRPr="00061015">
                              <w:rPr>
                                <w:rFonts w:asciiTheme="majorHAnsi" w:hAnsiTheme="majorHAnsi" w:cs="Arial"/>
                                <w:b/>
                                <w:color w:val="0D0D0D" w:themeColor="text1" w:themeTint="F2"/>
                                <w:sz w:val="36"/>
                                <w:szCs w:val="22"/>
                              </w:rPr>
                              <w:t xml:space="preserve"> 13.055</w:t>
                            </w:r>
                          </w:p>
                          <w:p w14:paraId="5299C786" w14:textId="614946E5" w:rsidR="00F40E67" w:rsidRPr="00061015" w:rsidRDefault="00706B52" w:rsidP="000158FD">
                            <w:pPr>
                              <w:spacing w:line="276" w:lineRule="auto"/>
                              <w:rPr>
                                <w:rFonts w:asciiTheme="majorHAnsi" w:hAnsiTheme="majorHAnsi" w:cs="Arial"/>
                                <w:color w:val="0D0D0D" w:themeColor="text1" w:themeTint="F2"/>
                                <w:szCs w:val="22"/>
                              </w:rPr>
                            </w:pPr>
                            <w:r w:rsidRPr="00061015">
                              <w:rPr>
                                <w:rFonts w:asciiTheme="majorHAnsi" w:hAnsiTheme="majorHAnsi" w:cs="Arial"/>
                                <w:color w:val="0D0D0D" w:themeColor="text1" w:themeTint="F2"/>
                                <w:szCs w:val="22"/>
                              </w:rPr>
                              <w:t>REPORT ON MERITS</w:t>
                            </w:r>
                            <w:r w:rsidR="00DA471F">
                              <w:rPr>
                                <w:rFonts w:asciiTheme="majorHAnsi" w:hAnsiTheme="majorHAnsi" w:cs="Arial"/>
                                <w:color w:val="0D0D0D" w:themeColor="text1" w:themeTint="F2"/>
                                <w:szCs w:val="22"/>
                              </w:rPr>
                              <w:t xml:space="preserve"> </w:t>
                            </w:r>
                            <w:r w:rsidR="00DA471F" w:rsidRPr="00195CEE">
                              <w:rPr>
                                <w:rFonts w:asciiTheme="majorHAnsi" w:hAnsiTheme="majorHAnsi" w:cs="Arial"/>
                                <w:color w:val="0D0D0D" w:themeColor="text1" w:themeTint="F2"/>
                                <w:szCs w:val="22"/>
                              </w:rPr>
                              <w:t>(</w:t>
                            </w:r>
                            <w:r w:rsidR="00874534" w:rsidRPr="00FB23E4">
                              <w:rPr>
                                <w:rFonts w:asciiTheme="majorHAnsi" w:hAnsiTheme="majorHAnsi" w:cs="Arial"/>
                                <w:color w:val="0D0D0D" w:themeColor="text1" w:themeTint="F2"/>
                                <w:szCs w:val="22"/>
                              </w:rPr>
                              <w:t>PUBLICATION</w:t>
                            </w:r>
                            <w:r w:rsidR="00DA471F" w:rsidRPr="00195CEE">
                              <w:rPr>
                                <w:rFonts w:asciiTheme="majorHAnsi" w:hAnsiTheme="majorHAnsi" w:cs="Arial"/>
                                <w:color w:val="0D0D0D" w:themeColor="text1" w:themeTint="F2"/>
                                <w:szCs w:val="22"/>
                              </w:rPr>
                              <w:t>)</w:t>
                            </w:r>
                          </w:p>
                          <w:p w14:paraId="70882EA7" w14:textId="77777777" w:rsidR="00F40E67" w:rsidRPr="00061015" w:rsidRDefault="00F40E67" w:rsidP="00997BC5">
                            <w:pPr>
                              <w:spacing w:line="276" w:lineRule="auto"/>
                              <w:rPr>
                                <w:rFonts w:asciiTheme="majorHAnsi" w:hAnsiTheme="majorHAnsi" w:cs="Arial"/>
                                <w:color w:val="0D0D0D" w:themeColor="text1" w:themeTint="F2"/>
                                <w:szCs w:val="22"/>
                              </w:rPr>
                            </w:pPr>
                            <w:bookmarkStart w:id="0" w:name="_ftnref1"/>
                          </w:p>
                          <w:p w14:paraId="3372A7BE" w14:textId="5AAB74D3" w:rsidR="00F40E67" w:rsidRPr="00230663" w:rsidRDefault="00F40E67" w:rsidP="00997BC5">
                            <w:pPr>
                              <w:spacing w:line="276" w:lineRule="auto"/>
                              <w:rPr>
                                <w:rFonts w:asciiTheme="majorHAnsi" w:hAnsiTheme="majorHAnsi" w:cs="Arial"/>
                                <w:color w:val="0D0D0D" w:themeColor="text1" w:themeTint="F2"/>
                                <w:szCs w:val="22"/>
                                <w:lang w:val="es-ES_tradnl"/>
                              </w:rPr>
                            </w:pPr>
                            <w:r w:rsidRPr="00230663">
                              <w:rPr>
                                <w:rFonts w:asciiTheme="majorHAnsi" w:hAnsiTheme="majorHAnsi" w:cs="Arial"/>
                                <w:color w:val="0D0D0D" w:themeColor="text1" w:themeTint="F2"/>
                                <w:szCs w:val="22"/>
                                <w:lang w:val="es-ES_tradnl"/>
                              </w:rPr>
                              <w:t xml:space="preserve">JULIO CÉSAR RITO DE LOS SANTOS </w:t>
                            </w:r>
                            <w:r w:rsidR="00706B52">
                              <w:rPr>
                                <w:rFonts w:asciiTheme="majorHAnsi" w:hAnsiTheme="majorHAnsi" w:cs="Arial"/>
                                <w:color w:val="0D0D0D" w:themeColor="text1" w:themeTint="F2"/>
                                <w:szCs w:val="22"/>
                                <w:lang w:val="es-ES_tradnl"/>
                              </w:rPr>
                              <w:t>AND OTHERS</w:t>
                            </w:r>
                          </w:p>
                          <w:bookmarkEnd w:id="0"/>
                          <w:p w14:paraId="5099ED3A" w14:textId="77777777" w:rsidR="00F40E67" w:rsidRPr="0010736F" w:rsidRDefault="00F40E67" w:rsidP="00997BC5">
                            <w:pPr>
                              <w:spacing w:line="276" w:lineRule="auto"/>
                              <w:rPr>
                                <w:rFonts w:asciiTheme="majorHAnsi" w:hAnsiTheme="majorHAnsi" w:cs="Arial"/>
                                <w:color w:val="0D0D0D" w:themeColor="text1" w:themeTint="F2"/>
                                <w:szCs w:val="22"/>
                                <w:lang w:val="es-ES"/>
                              </w:rPr>
                            </w:pPr>
                            <w:r w:rsidRPr="00230663">
                              <w:rPr>
                                <w:rFonts w:asciiTheme="majorHAnsi" w:hAnsiTheme="majorHAnsi" w:cs="Arial"/>
                                <w:color w:val="0D0D0D" w:themeColor="text1" w:themeTint="F2"/>
                                <w:szCs w:val="22"/>
                                <w:lang w:val="es-ES_tradnl"/>
                              </w:rPr>
                              <w:t>ARGENTINA</w:t>
                            </w:r>
                          </w:p>
                          <w:p w14:paraId="3C2EB5AB" w14:textId="77777777" w:rsidR="00F40E67" w:rsidRPr="00AE5488" w:rsidRDefault="00F40E67"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9F1E1"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3E094714" w14:textId="1B2A029E" w:rsidR="00F40E67" w:rsidRPr="00061015" w:rsidRDefault="00706B52" w:rsidP="00997BC5">
                      <w:pPr>
                        <w:spacing w:line="276" w:lineRule="auto"/>
                        <w:rPr>
                          <w:rFonts w:asciiTheme="majorHAnsi" w:hAnsiTheme="majorHAnsi" w:cs="Arial"/>
                          <w:b/>
                          <w:bCs/>
                          <w:color w:val="0D0D0D" w:themeColor="text1" w:themeTint="F2"/>
                          <w:sz w:val="36"/>
                          <w:szCs w:val="22"/>
                        </w:rPr>
                      </w:pPr>
                      <w:r w:rsidRPr="00061015">
                        <w:rPr>
                          <w:rFonts w:asciiTheme="majorHAnsi" w:hAnsiTheme="majorHAnsi" w:cs="Arial"/>
                          <w:b/>
                          <w:bCs/>
                          <w:color w:val="0D0D0D" w:themeColor="text1" w:themeTint="F2"/>
                          <w:sz w:val="36"/>
                          <w:szCs w:val="22"/>
                        </w:rPr>
                        <w:t>REPORT</w:t>
                      </w:r>
                      <w:r w:rsidR="00F40E67" w:rsidRPr="00061015">
                        <w:rPr>
                          <w:rFonts w:asciiTheme="majorHAnsi" w:hAnsiTheme="majorHAnsi" w:cs="Arial"/>
                          <w:b/>
                          <w:bCs/>
                          <w:color w:val="0D0D0D" w:themeColor="text1" w:themeTint="F2"/>
                          <w:sz w:val="36"/>
                          <w:szCs w:val="22"/>
                        </w:rPr>
                        <w:t xml:space="preserve"> </w:t>
                      </w:r>
                      <w:r w:rsidR="00F40E67" w:rsidRPr="00061015">
                        <w:rPr>
                          <w:rFonts w:asciiTheme="majorHAnsi" w:hAnsiTheme="majorHAnsi" w:cs="Arial"/>
                          <w:b/>
                          <w:bCs/>
                          <w:color w:val="0D0D0D" w:themeColor="text1" w:themeTint="F2"/>
                          <w:sz w:val="36"/>
                          <w:szCs w:val="40"/>
                        </w:rPr>
                        <w:t>No.</w:t>
                      </w:r>
                      <w:r w:rsidR="00F40E67" w:rsidRPr="00061015">
                        <w:rPr>
                          <w:rFonts w:asciiTheme="majorHAnsi" w:hAnsiTheme="majorHAnsi" w:cs="Arial"/>
                          <w:b/>
                          <w:bCs/>
                          <w:color w:val="0D0D0D" w:themeColor="text1" w:themeTint="F2"/>
                          <w:sz w:val="36"/>
                          <w:szCs w:val="22"/>
                        </w:rPr>
                        <w:t xml:space="preserve"> </w:t>
                      </w:r>
                      <w:r w:rsidR="00853CF7">
                        <w:rPr>
                          <w:rFonts w:asciiTheme="majorHAnsi" w:hAnsiTheme="majorHAnsi" w:cs="Arial"/>
                          <w:b/>
                          <w:bCs/>
                          <w:color w:val="0D0D0D" w:themeColor="text1" w:themeTint="F2"/>
                          <w:sz w:val="36"/>
                          <w:szCs w:val="22"/>
                        </w:rPr>
                        <w:t>45</w:t>
                      </w:r>
                      <w:r w:rsidR="00F40E67" w:rsidRPr="00061015">
                        <w:rPr>
                          <w:rFonts w:asciiTheme="majorHAnsi" w:hAnsiTheme="majorHAnsi" w:cs="Arial"/>
                          <w:b/>
                          <w:bCs/>
                          <w:color w:val="0D0D0D" w:themeColor="text1" w:themeTint="F2"/>
                          <w:sz w:val="36"/>
                          <w:szCs w:val="22"/>
                        </w:rPr>
                        <w:t>/2</w:t>
                      </w:r>
                      <w:r w:rsidR="00874534">
                        <w:rPr>
                          <w:rFonts w:asciiTheme="majorHAnsi" w:hAnsiTheme="majorHAnsi" w:cs="Arial"/>
                          <w:b/>
                          <w:bCs/>
                          <w:color w:val="0D0D0D" w:themeColor="text1" w:themeTint="F2"/>
                          <w:sz w:val="36"/>
                          <w:szCs w:val="22"/>
                        </w:rPr>
                        <w:t>5</w:t>
                      </w:r>
                    </w:p>
                    <w:p w14:paraId="04F8A9E1" w14:textId="1863F306" w:rsidR="00F40E67" w:rsidRPr="00061015" w:rsidRDefault="00F40E67" w:rsidP="00997BC5">
                      <w:pPr>
                        <w:spacing w:line="276" w:lineRule="auto"/>
                        <w:rPr>
                          <w:rFonts w:asciiTheme="majorHAnsi" w:hAnsiTheme="majorHAnsi" w:cs="Arial"/>
                          <w:b/>
                          <w:color w:val="0D0D0D" w:themeColor="text1" w:themeTint="F2"/>
                          <w:sz w:val="36"/>
                          <w:szCs w:val="22"/>
                        </w:rPr>
                      </w:pPr>
                      <w:r w:rsidRPr="00061015">
                        <w:rPr>
                          <w:rFonts w:asciiTheme="majorHAnsi" w:hAnsiTheme="majorHAnsi" w:cs="Arial"/>
                          <w:b/>
                          <w:color w:val="0D0D0D" w:themeColor="text1" w:themeTint="F2"/>
                          <w:sz w:val="36"/>
                          <w:szCs w:val="22"/>
                        </w:rPr>
                        <w:t>CAS</w:t>
                      </w:r>
                      <w:r w:rsidR="00706B52" w:rsidRPr="00061015">
                        <w:rPr>
                          <w:rFonts w:asciiTheme="majorHAnsi" w:hAnsiTheme="majorHAnsi" w:cs="Arial"/>
                          <w:b/>
                          <w:color w:val="0D0D0D" w:themeColor="text1" w:themeTint="F2"/>
                          <w:sz w:val="36"/>
                          <w:szCs w:val="22"/>
                        </w:rPr>
                        <w:t>E</w:t>
                      </w:r>
                      <w:r w:rsidRPr="00061015">
                        <w:rPr>
                          <w:rFonts w:asciiTheme="majorHAnsi" w:hAnsiTheme="majorHAnsi" w:cs="Arial"/>
                          <w:b/>
                          <w:color w:val="0D0D0D" w:themeColor="text1" w:themeTint="F2"/>
                          <w:sz w:val="36"/>
                          <w:szCs w:val="22"/>
                        </w:rPr>
                        <w:t xml:space="preserve"> 13.055</w:t>
                      </w:r>
                    </w:p>
                    <w:p w14:paraId="5299C786" w14:textId="614946E5" w:rsidR="00F40E67" w:rsidRPr="00061015" w:rsidRDefault="00706B52" w:rsidP="000158FD">
                      <w:pPr>
                        <w:spacing w:line="276" w:lineRule="auto"/>
                        <w:rPr>
                          <w:rFonts w:asciiTheme="majorHAnsi" w:hAnsiTheme="majorHAnsi" w:cs="Arial"/>
                          <w:color w:val="0D0D0D" w:themeColor="text1" w:themeTint="F2"/>
                          <w:szCs w:val="22"/>
                        </w:rPr>
                      </w:pPr>
                      <w:r w:rsidRPr="00061015">
                        <w:rPr>
                          <w:rFonts w:asciiTheme="majorHAnsi" w:hAnsiTheme="majorHAnsi" w:cs="Arial"/>
                          <w:color w:val="0D0D0D" w:themeColor="text1" w:themeTint="F2"/>
                          <w:szCs w:val="22"/>
                        </w:rPr>
                        <w:t>REPORT ON MERITS</w:t>
                      </w:r>
                      <w:r w:rsidR="00DA471F">
                        <w:rPr>
                          <w:rFonts w:asciiTheme="majorHAnsi" w:hAnsiTheme="majorHAnsi" w:cs="Arial"/>
                          <w:color w:val="0D0D0D" w:themeColor="text1" w:themeTint="F2"/>
                          <w:szCs w:val="22"/>
                        </w:rPr>
                        <w:t xml:space="preserve"> </w:t>
                      </w:r>
                      <w:r w:rsidR="00DA471F" w:rsidRPr="00195CEE">
                        <w:rPr>
                          <w:rFonts w:asciiTheme="majorHAnsi" w:hAnsiTheme="majorHAnsi" w:cs="Arial"/>
                          <w:color w:val="0D0D0D" w:themeColor="text1" w:themeTint="F2"/>
                          <w:szCs w:val="22"/>
                        </w:rPr>
                        <w:t>(</w:t>
                      </w:r>
                      <w:r w:rsidR="00874534" w:rsidRPr="00FB23E4">
                        <w:rPr>
                          <w:rFonts w:asciiTheme="majorHAnsi" w:hAnsiTheme="majorHAnsi" w:cs="Arial"/>
                          <w:color w:val="0D0D0D" w:themeColor="text1" w:themeTint="F2"/>
                          <w:szCs w:val="22"/>
                        </w:rPr>
                        <w:t>PUBLICATION</w:t>
                      </w:r>
                      <w:r w:rsidR="00DA471F" w:rsidRPr="00195CEE">
                        <w:rPr>
                          <w:rFonts w:asciiTheme="majorHAnsi" w:hAnsiTheme="majorHAnsi" w:cs="Arial"/>
                          <w:color w:val="0D0D0D" w:themeColor="text1" w:themeTint="F2"/>
                          <w:szCs w:val="22"/>
                        </w:rPr>
                        <w:t>)</w:t>
                      </w:r>
                    </w:p>
                    <w:p w14:paraId="70882EA7" w14:textId="77777777" w:rsidR="00F40E67" w:rsidRPr="00061015" w:rsidRDefault="00F40E67" w:rsidP="00997BC5">
                      <w:pPr>
                        <w:spacing w:line="276" w:lineRule="auto"/>
                        <w:rPr>
                          <w:rFonts w:asciiTheme="majorHAnsi" w:hAnsiTheme="majorHAnsi" w:cs="Arial"/>
                          <w:color w:val="0D0D0D" w:themeColor="text1" w:themeTint="F2"/>
                          <w:szCs w:val="22"/>
                        </w:rPr>
                      </w:pPr>
                      <w:bookmarkStart w:id="1" w:name="_ftnref1"/>
                    </w:p>
                    <w:p w14:paraId="3372A7BE" w14:textId="5AAB74D3" w:rsidR="00F40E67" w:rsidRPr="00230663" w:rsidRDefault="00F40E67" w:rsidP="00997BC5">
                      <w:pPr>
                        <w:spacing w:line="276" w:lineRule="auto"/>
                        <w:rPr>
                          <w:rFonts w:asciiTheme="majorHAnsi" w:hAnsiTheme="majorHAnsi" w:cs="Arial"/>
                          <w:color w:val="0D0D0D" w:themeColor="text1" w:themeTint="F2"/>
                          <w:szCs w:val="22"/>
                          <w:lang w:val="es-ES_tradnl"/>
                        </w:rPr>
                      </w:pPr>
                      <w:r w:rsidRPr="00230663">
                        <w:rPr>
                          <w:rFonts w:asciiTheme="majorHAnsi" w:hAnsiTheme="majorHAnsi" w:cs="Arial"/>
                          <w:color w:val="0D0D0D" w:themeColor="text1" w:themeTint="F2"/>
                          <w:szCs w:val="22"/>
                          <w:lang w:val="es-ES_tradnl"/>
                        </w:rPr>
                        <w:t xml:space="preserve">JULIO CÉSAR RITO DE LOS SANTOS </w:t>
                      </w:r>
                      <w:r w:rsidR="00706B52">
                        <w:rPr>
                          <w:rFonts w:asciiTheme="majorHAnsi" w:hAnsiTheme="majorHAnsi" w:cs="Arial"/>
                          <w:color w:val="0D0D0D" w:themeColor="text1" w:themeTint="F2"/>
                          <w:szCs w:val="22"/>
                          <w:lang w:val="es-ES_tradnl"/>
                        </w:rPr>
                        <w:t>AND OTHERS</w:t>
                      </w:r>
                    </w:p>
                    <w:bookmarkEnd w:id="1"/>
                    <w:p w14:paraId="5099ED3A" w14:textId="77777777" w:rsidR="00F40E67" w:rsidRPr="0010736F" w:rsidRDefault="00F40E67" w:rsidP="00997BC5">
                      <w:pPr>
                        <w:spacing w:line="276" w:lineRule="auto"/>
                        <w:rPr>
                          <w:rFonts w:asciiTheme="majorHAnsi" w:hAnsiTheme="majorHAnsi" w:cs="Arial"/>
                          <w:color w:val="0D0D0D" w:themeColor="text1" w:themeTint="F2"/>
                          <w:szCs w:val="22"/>
                          <w:lang w:val="es-ES"/>
                        </w:rPr>
                      </w:pPr>
                      <w:r w:rsidRPr="00230663">
                        <w:rPr>
                          <w:rFonts w:asciiTheme="majorHAnsi" w:hAnsiTheme="majorHAnsi" w:cs="Arial"/>
                          <w:color w:val="0D0D0D" w:themeColor="text1" w:themeTint="F2"/>
                          <w:szCs w:val="22"/>
                          <w:lang w:val="es-ES_tradnl"/>
                        </w:rPr>
                        <w:t>ARGENTINA</w:t>
                      </w:r>
                    </w:p>
                    <w:p w14:paraId="3C2EB5AB" w14:textId="77777777" w:rsidR="00F40E67" w:rsidRPr="00AE5488" w:rsidRDefault="00F40E67" w:rsidP="007A5817">
                      <w:pPr>
                        <w:rPr>
                          <w:color w:val="0D0D0D" w:themeColor="text1" w:themeTint="F2"/>
                          <w:lang w:val="es-ES_tradnl"/>
                        </w:rPr>
                      </w:pPr>
                    </w:p>
                  </w:txbxContent>
                </v:textbox>
              </v:shape>
            </w:pict>
          </mc:Fallback>
        </mc:AlternateContent>
      </w:r>
      <w:r w:rsidR="004E2649" w:rsidRPr="00A51861">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ADA713A" wp14:editId="79366F2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7D4BE6" w14:textId="29131616" w:rsidR="00F40E67" w:rsidRPr="00195CEE" w:rsidRDefault="00F40E67" w:rsidP="007A5817">
                            <w:pPr>
                              <w:spacing w:line="276" w:lineRule="auto"/>
                              <w:jc w:val="right"/>
                              <w:rPr>
                                <w:rFonts w:asciiTheme="minorHAnsi" w:hAnsiTheme="minorHAnsi"/>
                                <w:color w:val="FFFFFF" w:themeColor="background1"/>
                                <w:sz w:val="22"/>
                              </w:rPr>
                            </w:pPr>
                            <w:r w:rsidRPr="00195CEE">
                              <w:rPr>
                                <w:rFonts w:asciiTheme="minorHAnsi" w:hAnsiTheme="minorHAnsi"/>
                                <w:color w:val="FFFFFF" w:themeColor="background1"/>
                                <w:sz w:val="22"/>
                              </w:rPr>
                              <w:t>OEA/Ser.L/V/II</w:t>
                            </w:r>
                          </w:p>
                          <w:p w14:paraId="05D5B736" w14:textId="56910FC3" w:rsidR="00F40E67" w:rsidRPr="00195CEE" w:rsidRDefault="00F40E67" w:rsidP="007A5817">
                            <w:pPr>
                              <w:spacing w:line="276" w:lineRule="auto"/>
                              <w:jc w:val="right"/>
                              <w:rPr>
                                <w:rFonts w:asciiTheme="minorHAnsi" w:hAnsiTheme="minorHAnsi"/>
                                <w:color w:val="FFFFFF" w:themeColor="background1"/>
                                <w:sz w:val="22"/>
                              </w:rPr>
                            </w:pPr>
                            <w:r w:rsidRPr="00195CEE">
                              <w:rPr>
                                <w:rFonts w:asciiTheme="minorHAnsi" w:hAnsiTheme="minorHAnsi"/>
                                <w:color w:val="FFFFFF" w:themeColor="background1"/>
                                <w:sz w:val="22"/>
                              </w:rPr>
                              <w:t xml:space="preserve">Doc. </w:t>
                            </w:r>
                            <w:r w:rsidR="00853CF7">
                              <w:rPr>
                                <w:rFonts w:asciiTheme="minorHAnsi" w:hAnsiTheme="minorHAnsi"/>
                                <w:color w:val="FFFFFF" w:themeColor="background1"/>
                                <w:sz w:val="22"/>
                              </w:rPr>
                              <w:t>48</w:t>
                            </w:r>
                          </w:p>
                          <w:p w14:paraId="72E24172" w14:textId="1F19618C" w:rsidR="00F40E67" w:rsidRPr="00195CEE" w:rsidRDefault="00853CF7"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April 2</w:t>
                            </w:r>
                            <w:r w:rsidR="00A24DE4">
                              <w:rPr>
                                <w:rFonts w:asciiTheme="minorHAnsi" w:hAnsiTheme="minorHAnsi"/>
                                <w:color w:val="FFFFFF" w:themeColor="background1"/>
                                <w:sz w:val="22"/>
                              </w:rPr>
                              <w:t>3</w:t>
                            </w:r>
                            <w:r w:rsidR="00F40E67" w:rsidRPr="00195CEE">
                              <w:rPr>
                                <w:rFonts w:asciiTheme="minorHAnsi" w:hAnsiTheme="minorHAnsi"/>
                                <w:color w:val="FFFFFF" w:themeColor="background1"/>
                                <w:sz w:val="22"/>
                              </w:rPr>
                              <w:t xml:space="preserve"> 20</w:t>
                            </w:r>
                            <w:r w:rsidR="00DA471F" w:rsidRPr="00195CEE">
                              <w:rPr>
                                <w:rFonts w:asciiTheme="minorHAnsi" w:hAnsiTheme="minorHAnsi"/>
                                <w:color w:val="FFFFFF" w:themeColor="background1"/>
                                <w:sz w:val="22"/>
                              </w:rPr>
                              <w:t>2</w:t>
                            </w:r>
                            <w:r w:rsidR="00874534">
                              <w:rPr>
                                <w:rFonts w:asciiTheme="minorHAnsi" w:hAnsiTheme="minorHAnsi"/>
                                <w:color w:val="FFFFFF" w:themeColor="background1"/>
                                <w:sz w:val="22"/>
                              </w:rPr>
                              <w:t>5</w:t>
                            </w:r>
                          </w:p>
                          <w:p w14:paraId="6CF5A068" w14:textId="213F2776" w:rsidR="00F40E67" w:rsidRPr="007D174A" w:rsidRDefault="00F40E67" w:rsidP="007A5817">
                            <w:pPr>
                              <w:spacing w:line="276" w:lineRule="auto"/>
                              <w:jc w:val="right"/>
                              <w:rPr>
                                <w:rFonts w:asciiTheme="minorHAnsi" w:hAnsiTheme="minorHAnsi"/>
                                <w:color w:val="FFFFFF" w:themeColor="background1"/>
                                <w:sz w:val="22"/>
                              </w:rPr>
                            </w:pPr>
                            <w:r w:rsidRPr="00195CEE">
                              <w:rPr>
                                <w:rFonts w:asciiTheme="minorHAnsi" w:hAnsiTheme="minorHAnsi"/>
                                <w:color w:val="FFFFFF" w:themeColor="background1"/>
                                <w:sz w:val="22"/>
                              </w:rPr>
                              <w:t xml:space="preserve">Original: </w:t>
                            </w:r>
                            <w:r w:rsidR="00706B52" w:rsidRPr="00195CEE">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A713A"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747D4BE6" w14:textId="29131616" w:rsidR="00F40E67" w:rsidRPr="00195CEE" w:rsidRDefault="00F40E67" w:rsidP="007A5817">
                      <w:pPr>
                        <w:spacing w:line="276" w:lineRule="auto"/>
                        <w:jc w:val="right"/>
                        <w:rPr>
                          <w:rFonts w:asciiTheme="minorHAnsi" w:hAnsiTheme="minorHAnsi"/>
                          <w:color w:val="FFFFFF" w:themeColor="background1"/>
                          <w:sz w:val="22"/>
                        </w:rPr>
                      </w:pPr>
                      <w:r w:rsidRPr="00195CEE">
                        <w:rPr>
                          <w:rFonts w:asciiTheme="minorHAnsi" w:hAnsiTheme="minorHAnsi"/>
                          <w:color w:val="FFFFFF" w:themeColor="background1"/>
                          <w:sz w:val="22"/>
                        </w:rPr>
                        <w:t>OEA/Ser.L/V/II</w:t>
                      </w:r>
                    </w:p>
                    <w:p w14:paraId="05D5B736" w14:textId="56910FC3" w:rsidR="00F40E67" w:rsidRPr="00195CEE" w:rsidRDefault="00F40E67" w:rsidP="007A5817">
                      <w:pPr>
                        <w:spacing w:line="276" w:lineRule="auto"/>
                        <w:jc w:val="right"/>
                        <w:rPr>
                          <w:rFonts w:asciiTheme="minorHAnsi" w:hAnsiTheme="minorHAnsi"/>
                          <w:color w:val="FFFFFF" w:themeColor="background1"/>
                          <w:sz w:val="22"/>
                        </w:rPr>
                      </w:pPr>
                      <w:r w:rsidRPr="00195CEE">
                        <w:rPr>
                          <w:rFonts w:asciiTheme="minorHAnsi" w:hAnsiTheme="minorHAnsi"/>
                          <w:color w:val="FFFFFF" w:themeColor="background1"/>
                          <w:sz w:val="22"/>
                        </w:rPr>
                        <w:t xml:space="preserve">Doc. </w:t>
                      </w:r>
                      <w:r w:rsidR="00853CF7">
                        <w:rPr>
                          <w:rFonts w:asciiTheme="minorHAnsi" w:hAnsiTheme="minorHAnsi"/>
                          <w:color w:val="FFFFFF" w:themeColor="background1"/>
                          <w:sz w:val="22"/>
                        </w:rPr>
                        <w:t>48</w:t>
                      </w:r>
                    </w:p>
                    <w:p w14:paraId="72E24172" w14:textId="1F19618C" w:rsidR="00F40E67" w:rsidRPr="00195CEE" w:rsidRDefault="00853CF7"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April 2</w:t>
                      </w:r>
                      <w:r w:rsidR="00A24DE4">
                        <w:rPr>
                          <w:rFonts w:asciiTheme="minorHAnsi" w:hAnsiTheme="minorHAnsi"/>
                          <w:color w:val="FFFFFF" w:themeColor="background1"/>
                          <w:sz w:val="22"/>
                        </w:rPr>
                        <w:t>3</w:t>
                      </w:r>
                      <w:r w:rsidR="00F40E67" w:rsidRPr="00195CEE">
                        <w:rPr>
                          <w:rFonts w:asciiTheme="minorHAnsi" w:hAnsiTheme="minorHAnsi"/>
                          <w:color w:val="FFFFFF" w:themeColor="background1"/>
                          <w:sz w:val="22"/>
                        </w:rPr>
                        <w:t xml:space="preserve"> 20</w:t>
                      </w:r>
                      <w:r w:rsidR="00DA471F" w:rsidRPr="00195CEE">
                        <w:rPr>
                          <w:rFonts w:asciiTheme="minorHAnsi" w:hAnsiTheme="minorHAnsi"/>
                          <w:color w:val="FFFFFF" w:themeColor="background1"/>
                          <w:sz w:val="22"/>
                        </w:rPr>
                        <w:t>2</w:t>
                      </w:r>
                      <w:r w:rsidR="00874534">
                        <w:rPr>
                          <w:rFonts w:asciiTheme="minorHAnsi" w:hAnsiTheme="minorHAnsi"/>
                          <w:color w:val="FFFFFF" w:themeColor="background1"/>
                          <w:sz w:val="22"/>
                        </w:rPr>
                        <w:t>5</w:t>
                      </w:r>
                    </w:p>
                    <w:p w14:paraId="6CF5A068" w14:textId="213F2776" w:rsidR="00F40E67" w:rsidRPr="007D174A" w:rsidRDefault="00F40E67" w:rsidP="007A5817">
                      <w:pPr>
                        <w:spacing w:line="276" w:lineRule="auto"/>
                        <w:jc w:val="right"/>
                        <w:rPr>
                          <w:rFonts w:asciiTheme="minorHAnsi" w:hAnsiTheme="minorHAnsi"/>
                          <w:color w:val="FFFFFF" w:themeColor="background1"/>
                          <w:sz w:val="22"/>
                        </w:rPr>
                      </w:pPr>
                      <w:r w:rsidRPr="00195CEE">
                        <w:rPr>
                          <w:rFonts w:asciiTheme="minorHAnsi" w:hAnsiTheme="minorHAnsi"/>
                          <w:color w:val="FFFFFF" w:themeColor="background1"/>
                          <w:sz w:val="22"/>
                        </w:rPr>
                        <w:t xml:space="preserve">Original: </w:t>
                      </w:r>
                      <w:r w:rsidR="00706B52" w:rsidRPr="00195CEE">
                        <w:rPr>
                          <w:rFonts w:asciiTheme="minorHAnsi" w:hAnsiTheme="minorHAnsi"/>
                          <w:color w:val="FFFFFF" w:themeColor="background1"/>
                          <w:sz w:val="22"/>
                        </w:rPr>
                        <w:t>Spanish</w:t>
                      </w:r>
                    </w:p>
                  </w:txbxContent>
                </v:textbox>
              </v:shape>
            </w:pict>
          </mc:Fallback>
        </mc:AlternateContent>
      </w:r>
    </w:p>
    <w:p w14:paraId="3D7F18F8" w14:textId="77777777" w:rsidR="00040C3A" w:rsidRPr="00A51861" w:rsidRDefault="00040C3A" w:rsidP="008E4D36">
      <w:pPr>
        <w:tabs>
          <w:tab w:val="center" w:pos="5400"/>
        </w:tabs>
        <w:suppressAutoHyphens/>
        <w:jc w:val="center"/>
        <w:rPr>
          <w:rFonts w:asciiTheme="majorHAnsi" w:hAnsiTheme="majorHAnsi"/>
          <w:sz w:val="22"/>
          <w:szCs w:val="22"/>
        </w:rPr>
      </w:pPr>
    </w:p>
    <w:p w14:paraId="4FEDA7DA" w14:textId="77777777" w:rsidR="00040C3A" w:rsidRPr="00A51861" w:rsidRDefault="00040C3A" w:rsidP="008E4D36">
      <w:pPr>
        <w:tabs>
          <w:tab w:val="center" w:pos="5400"/>
        </w:tabs>
        <w:suppressAutoHyphens/>
        <w:jc w:val="center"/>
        <w:rPr>
          <w:rFonts w:asciiTheme="majorHAnsi" w:hAnsiTheme="majorHAnsi"/>
          <w:sz w:val="22"/>
          <w:szCs w:val="22"/>
        </w:rPr>
      </w:pPr>
    </w:p>
    <w:p w14:paraId="6B4D3427" w14:textId="77777777" w:rsidR="00040C3A" w:rsidRPr="00A51861" w:rsidRDefault="00040C3A" w:rsidP="008E4D36">
      <w:pPr>
        <w:tabs>
          <w:tab w:val="center" w:pos="5400"/>
        </w:tabs>
        <w:suppressAutoHyphens/>
        <w:jc w:val="center"/>
        <w:rPr>
          <w:rFonts w:asciiTheme="majorHAnsi" w:hAnsiTheme="majorHAnsi" w:cs="Arial"/>
          <w:sz w:val="22"/>
          <w:szCs w:val="22"/>
        </w:rPr>
      </w:pPr>
    </w:p>
    <w:p w14:paraId="0BD6B3D5" w14:textId="77777777" w:rsidR="00040C3A" w:rsidRPr="00A51861" w:rsidRDefault="00040C3A" w:rsidP="008E4D36">
      <w:pPr>
        <w:tabs>
          <w:tab w:val="center" w:pos="5400"/>
        </w:tabs>
        <w:suppressAutoHyphens/>
        <w:jc w:val="center"/>
        <w:rPr>
          <w:rFonts w:asciiTheme="majorHAnsi" w:hAnsiTheme="majorHAnsi"/>
          <w:sz w:val="22"/>
          <w:szCs w:val="22"/>
        </w:rPr>
      </w:pPr>
    </w:p>
    <w:p w14:paraId="46BDA900" w14:textId="77777777" w:rsidR="00040C3A" w:rsidRPr="00A51861" w:rsidRDefault="00040C3A" w:rsidP="008E4D36">
      <w:pPr>
        <w:tabs>
          <w:tab w:val="center" w:pos="5400"/>
        </w:tabs>
        <w:suppressAutoHyphens/>
        <w:jc w:val="center"/>
        <w:rPr>
          <w:rFonts w:asciiTheme="majorHAnsi" w:hAnsiTheme="majorHAnsi"/>
          <w:sz w:val="22"/>
          <w:szCs w:val="22"/>
        </w:rPr>
      </w:pPr>
    </w:p>
    <w:p w14:paraId="75094ECC" w14:textId="77777777" w:rsidR="00040C3A" w:rsidRPr="00A51861" w:rsidRDefault="00040C3A" w:rsidP="008E4D36">
      <w:pPr>
        <w:tabs>
          <w:tab w:val="center" w:pos="5400"/>
        </w:tabs>
        <w:suppressAutoHyphens/>
        <w:jc w:val="center"/>
        <w:rPr>
          <w:rFonts w:asciiTheme="majorHAnsi" w:hAnsiTheme="majorHAnsi"/>
          <w:sz w:val="22"/>
          <w:szCs w:val="22"/>
        </w:rPr>
      </w:pPr>
    </w:p>
    <w:p w14:paraId="0120D43C" w14:textId="77777777" w:rsidR="00040C3A" w:rsidRPr="00A51861" w:rsidRDefault="00040C3A" w:rsidP="008E4D36">
      <w:pPr>
        <w:tabs>
          <w:tab w:val="center" w:pos="5400"/>
        </w:tabs>
        <w:suppressAutoHyphens/>
        <w:jc w:val="center"/>
        <w:rPr>
          <w:rFonts w:asciiTheme="majorHAnsi" w:hAnsiTheme="majorHAnsi"/>
          <w:sz w:val="22"/>
          <w:szCs w:val="22"/>
        </w:rPr>
      </w:pPr>
    </w:p>
    <w:p w14:paraId="637AB977" w14:textId="77777777" w:rsidR="005128E4" w:rsidRPr="00A51861" w:rsidRDefault="005128E4" w:rsidP="008E4D36">
      <w:pPr>
        <w:tabs>
          <w:tab w:val="center" w:pos="5400"/>
        </w:tabs>
        <w:suppressAutoHyphens/>
        <w:jc w:val="center"/>
        <w:rPr>
          <w:rFonts w:asciiTheme="majorHAnsi" w:hAnsiTheme="majorHAnsi"/>
          <w:sz w:val="22"/>
          <w:szCs w:val="22"/>
        </w:rPr>
      </w:pPr>
    </w:p>
    <w:p w14:paraId="762A08DC" w14:textId="77777777" w:rsidR="00040C3A" w:rsidRPr="00A51861" w:rsidRDefault="00040C3A" w:rsidP="008E4D36">
      <w:pPr>
        <w:tabs>
          <w:tab w:val="center" w:pos="5400"/>
        </w:tabs>
        <w:suppressAutoHyphens/>
        <w:jc w:val="center"/>
        <w:rPr>
          <w:rFonts w:asciiTheme="majorHAnsi" w:hAnsiTheme="majorHAnsi"/>
          <w:sz w:val="22"/>
          <w:szCs w:val="22"/>
        </w:rPr>
      </w:pPr>
    </w:p>
    <w:p w14:paraId="45A2C42D" w14:textId="77777777" w:rsidR="005128E4" w:rsidRPr="00A51861" w:rsidRDefault="005128E4" w:rsidP="008E4D36">
      <w:pPr>
        <w:tabs>
          <w:tab w:val="center" w:pos="5400"/>
        </w:tabs>
        <w:suppressAutoHyphens/>
        <w:jc w:val="center"/>
        <w:rPr>
          <w:rFonts w:asciiTheme="majorHAnsi" w:hAnsiTheme="majorHAnsi"/>
          <w:sz w:val="22"/>
          <w:szCs w:val="22"/>
        </w:rPr>
      </w:pPr>
    </w:p>
    <w:p w14:paraId="104CCDB0" w14:textId="77777777" w:rsidR="005128E4" w:rsidRPr="00A51861" w:rsidRDefault="005128E4" w:rsidP="008E4D36">
      <w:pPr>
        <w:tabs>
          <w:tab w:val="center" w:pos="5400"/>
        </w:tabs>
        <w:suppressAutoHyphens/>
        <w:jc w:val="center"/>
        <w:rPr>
          <w:rFonts w:asciiTheme="majorHAnsi" w:hAnsiTheme="majorHAnsi"/>
          <w:sz w:val="22"/>
          <w:szCs w:val="22"/>
        </w:rPr>
      </w:pPr>
    </w:p>
    <w:p w14:paraId="6D7B9C85" w14:textId="77777777" w:rsidR="005128E4" w:rsidRPr="00A51861" w:rsidRDefault="005128E4" w:rsidP="008E4D36">
      <w:pPr>
        <w:tabs>
          <w:tab w:val="center" w:pos="5400"/>
        </w:tabs>
        <w:suppressAutoHyphens/>
        <w:jc w:val="center"/>
        <w:rPr>
          <w:rFonts w:asciiTheme="majorHAnsi" w:hAnsiTheme="majorHAnsi"/>
          <w:sz w:val="22"/>
          <w:szCs w:val="22"/>
        </w:rPr>
      </w:pPr>
    </w:p>
    <w:p w14:paraId="3A309460" w14:textId="77777777" w:rsidR="00040C3A" w:rsidRPr="00A51861" w:rsidRDefault="00040C3A" w:rsidP="008E4D36">
      <w:pPr>
        <w:tabs>
          <w:tab w:val="center" w:pos="5400"/>
        </w:tabs>
        <w:suppressAutoHyphens/>
        <w:jc w:val="center"/>
        <w:rPr>
          <w:rFonts w:asciiTheme="majorHAnsi" w:hAnsiTheme="majorHAnsi"/>
          <w:sz w:val="22"/>
          <w:szCs w:val="22"/>
        </w:rPr>
      </w:pPr>
    </w:p>
    <w:p w14:paraId="74B8FCAA" w14:textId="77777777" w:rsidR="00040C3A" w:rsidRPr="00A51861" w:rsidRDefault="00040C3A" w:rsidP="008E4D36">
      <w:pPr>
        <w:tabs>
          <w:tab w:val="center" w:pos="5400"/>
        </w:tabs>
        <w:suppressAutoHyphens/>
        <w:jc w:val="center"/>
        <w:rPr>
          <w:rFonts w:asciiTheme="majorHAnsi" w:hAnsiTheme="majorHAnsi"/>
          <w:sz w:val="22"/>
          <w:szCs w:val="22"/>
        </w:rPr>
      </w:pPr>
    </w:p>
    <w:p w14:paraId="77C20522" w14:textId="77777777" w:rsidR="00A50FCF" w:rsidRPr="00A51861" w:rsidRDefault="00A50FCF" w:rsidP="008E4D36">
      <w:pPr>
        <w:tabs>
          <w:tab w:val="center" w:pos="5400"/>
        </w:tabs>
        <w:suppressAutoHyphens/>
        <w:jc w:val="center"/>
        <w:rPr>
          <w:rFonts w:asciiTheme="majorHAnsi" w:hAnsiTheme="majorHAnsi"/>
          <w:sz w:val="18"/>
          <w:szCs w:val="22"/>
        </w:rPr>
      </w:pPr>
    </w:p>
    <w:p w14:paraId="694BE176" w14:textId="77777777" w:rsidR="00A50FCF" w:rsidRPr="00A51861" w:rsidRDefault="00A50FCF" w:rsidP="008E4D36">
      <w:pPr>
        <w:tabs>
          <w:tab w:val="center" w:pos="5400"/>
        </w:tabs>
        <w:suppressAutoHyphens/>
        <w:jc w:val="center"/>
        <w:rPr>
          <w:rFonts w:asciiTheme="majorHAnsi" w:hAnsiTheme="majorHAnsi"/>
          <w:sz w:val="18"/>
          <w:szCs w:val="22"/>
        </w:rPr>
      </w:pPr>
    </w:p>
    <w:p w14:paraId="1F154C4D" w14:textId="77777777" w:rsidR="00A50FCF" w:rsidRPr="00A51861" w:rsidRDefault="00A50FCF" w:rsidP="008E4D36">
      <w:pPr>
        <w:tabs>
          <w:tab w:val="center" w:pos="5400"/>
        </w:tabs>
        <w:suppressAutoHyphens/>
        <w:jc w:val="center"/>
        <w:rPr>
          <w:rFonts w:asciiTheme="majorHAnsi" w:hAnsiTheme="majorHAnsi"/>
          <w:sz w:val="18"/>
          <w:szCs w:val="22"/>
        </w:rPr>
      </w:pPr>
    </w:p>
    <w:p w14:paraId="0F1CF70C" w14:textId="77777777" w:rsidR="00A50FCF" w:rsidRPr="00A51861" w:rsidRDefault="00A50FCF" w:rsidP="008E4D36">
      <w:pPr>
        <w:tabs>
          <w:tab w:val="center" w:pos="5400"/>
        </w:tabs>
        <w:suppressAutoHyphens/>
        <w:jc w:val="center"/>
        <w:rPr>
          <w:rFonts w:asciiTheme="majorHAnsi" w:hAnsiTheme="majorHAnsi"/>
          <w:sz w:val="18"/>
          <w:szCs w:val="22"/>
        </w:rPr>
      </w:pPr>
    </w:p>
    <w:p w14:paraId="653E4F5D" w14:textId="77777777" w:rsidR="00A50FCF" w:rsidRPr="00A51861" w:rsidRDefault="00A50FCF" w:rsidP="008E4D36">
      <w:pPr>
        <w:tabs>
          <w:tab w:val="center" w:pos="5400"/>
        </w:tabs>
        <w:suppressAutoHyphens/>
        <w:jc w:val="center"/>
        <w:rPr>
          <w:rFonts w:asciiTheme="majorHAnsi" w:hAnsiTheme="majorHAnsi"/>
          <w:sz w:val="18"/>
          <w:szCs w:val="22"/>
        </w:rPr>
      </w:pPr>
    </w:p>
    <w:p w14:paraId="227791FB" w14:textId="77777777" w:rsidR="00A50FCF" w:rsidRPr="00A51861" w:rsidRDefault="00A50FCF" w:rsidP="008E4D36">
      <w:pPr>
        <w:tabs>
          <w:tab w:val="center" w:pos="5400"/>
        </w:tabs>
        <w:suppressAutoHyphens/>
        <w:jc w:val="center"/>
        <w:rPr>
          <w:rFonts w:asciiTheme="majorHAnsi" w:hAnsiTheme="majorHAnsi"/>
          <w:sz w:val="18"/>
          <w:szCs w:val="22"/>
        </w:rPr>
      </w:pPr>
    </w:p>
    <w:p w14:paraId="602812F0" w14:textId="77777777" w:rsidR="00A50FCF" w:rsidRPr="00A51861" w:rsidRDefault="00A50FCF" w:rsidP="008E4D36">
      <w:pPr>
        <w:tabs>
          <w:tab w:val="center" w:pos="5400"/>
        </w:tabs>
        <w:suppressAutoHyphens/>
        <w:jc w:val="center"/>
        <w:rPr>
          <w:rFonts w:asciiTheme="majorHAnsi" w:hAnsiTheme="majorHAnsi"/>
          <w:sz w:val="18"/>
          <w:szCs w:val="22"/>
        </w:rPr>
      </w:pPr>
    </w:p>
    <w:p w14:paraId="7C6B6956" w14:textId="77777777" w:rsidR="00A50FCF" w:rsidRPr="00A51861" w:rsidRDefault="00A50FCF" w:rsidP="008E4D36">
      <w:pPr>
        <w:tabs>
          <w:tab w:val="center" w:pos="5400"/>
        </w:tabs>
        <w:suppressAutoHyphens/>
        <w:jc w:val="center"/>
        <w:rPr>
          <w:rFonts w:asciiTheme="majorHAnsi" w:hAnsiTheme="majorHAnsi"/>
          <w:sz w:val="18"/>
          <w:szCs w:val="22"/>
        </w:rPr>
      </w:pPr>
    </w:p>
    <w:p w14:paraId="3FB4F484" w14:textId="77777777" w:rsidR="00A50FCF" w:rsidRPr="00A51861" w:rsidRDefault="00A50FCF" w:rsidP="008E4D36">
      <w:pPr>
        <w:tabs>
          <w:tab w:val="center" w:pos="5400"/>
        </w:tabs>
        <w:suppressAutoHyphens/>
        <w:jc w:val="center"/>
        <w:rPr>
          <w:rFonts w:asciiTheme="majorHAnsi" w:hAnsiTheme="majorHAnsi"/>
          <w:sz w:val="18"/>
          <w:szCs w:val="22"/>
        </w:rPr>
      </w:pPr>
    </w:p>
    <w:p w14:paraId="1C153190" w14:textId="77777777" w:rsidR="00A50FCF" w:rsidRPr="00A51861" w:rsidRDefault="00A50FCF" w:rsidP="008E4D36">
      <w:pPr>
        <w:tabs>
          <w:tab w:val="center" w:pos="5400"/>
        </w:tabs>
        <w:suppressAutoHyphens/>
        <w:jc w:val="center"/>
        <w:rPr>
          <w:rFonts w:asciiTheme="majorHAnsi" w:hAnsiTheme="majorHAnsi"/>
          <w:sz w:val="18"/>
          <w:szCs w:val="22"/>
        </w:rPr>
      </w:pPr>
    </w:p>
    <w:p w14:paraId="741B3155" w14:textId="77777777" w:rsidR="00A50FCF" w:rsidRPr="00A51861" w:rsidRDefault="00A50FCF" w:rsidP="008E4D36">
      <w:pPr>
        <w:tabs>
          <w:tab w:val="center" w:pos="5400"/>
        </w:tabs>
        <w:suppressAutoHyphens/>
        <w:jc w:val="center"/>
        <w:rPr>
          <w:rFonts w:asciiTheme="majorHAnsi" w:hAnsiTheme="majorHAnsi"/>
          <w:sz w:val="18"/>
          <w:szCs w:val="22"/>
        </w:rPr>
      </w:pPr>
    </w:p>
    <w:p w14:paraId="524089C8" w14:textId="77777777" w:rsidR="00A50FCF" w:rsidRPr="00A51861" w:rsidRDefault="00A50FCF" w:rsidP="008E4D36">
      <w:pPr>
        <w:tabs>
          <w:tab w:val="center" w:pos="5400"/>
        </w:tabs>
        <w:suppressAutoHyphens/>
        <w:jc w:val="center"/>
        <w:rPr>
          <w:rFonts w:asciiTheme="majorHAnsi" w:hAnsiTheme="majorHAnsi"/>
          <w:sz w:val="18"/>
          <w:szCs w:val="22"/>
        </w:rPr>
      </w:pPr>
    </w:p>
    <w:p w14:paraId="10F299E5" w14:textId="6A67AE33" w:rsidR="00A50FCF" w:rsidRPr="00A51861" w:rsidRDefault="00A50FCF" w:rsidP="008E4D36">
      <w:pPr>
        <w:tabs>
          <w:tab w:val="center" w:pos="5400"/>
        </w:tabs>
        <w:suppressAutoHyphens/>
        <w:jc w:val="center"/>
        <w:rPr>
          <w:rFonts w:asciiTheme="majorHAnsi" w:hAnsiTheme="majorHAnsi"/>
          <w:sz w:val="18"/>
          <w:szCs w:val="22"/>
        </w:rPr>
      </w:pPr>
    </w:p>
    <w:p w14:paraId="4606B0AC" w14:textId="672AB9E0" w:rsidR="00A50FCF" w:rsidRPr="00A51861" w:rsidRDefault="00A50FCF" w:rsidP="008E4D36">
      <w:pPr>
        <w:tabs>
          <w:tab w:val="center" w:pos="5400"/>
        </w:tabs>
        <w:suppressAutoHyphens/>
        <w:jc w:val="center"/>
        <w:rPr>
          <w:rFonts w:asciiTheme="majorHAnsi" w:hAnsiTheme="majorHAnsi"/>
          <w:sz w:val="18"/>
          <w:szCs w:val="22"/>
        </w:rPr>
      </w:pPr>
    </w:p>
    <w:p w14:paraId="09B47F18" w14:textId="307A841B" w:rsidR="00A50FCF" w:rsidRPr="00A51861" w:rsidRDefault="0090270B" w:rsidP="008E4D36">
      <w:pPr>
        <w:tabs>
          <w:tab w:val="center" w:pos="5400"/>
        </w:tabs>
        <w:suppressAutoHyphens/>
        <w:jc w:val="center"/>
        <w:rPr>
          <w:rFonts w:asciiTheme="majorHAnsi" w:hAnsiTheme="majorHAnsi"/>
          <w:sz w:val="18"/>
          <w:szCs w:val="22"/>
        </w:rPr>
      </w:pPr>
      <w:r w:rsidRPr="00A51861">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852DDAC" wp14:editId="097A55F3">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A7ED92" w14:textId="7CA8946E" w:rsidR="00F40E67" w:rsidRPr="00061015" w:rsidRDefault="00706B52" w:rsidP="00247403">
                            <w:pPr>
                              <w:tabs>
                                <w:tab w:val="center" w:pos="5400"/>
                              </w:tabs>
                              <w:suppressAutoHyphens/>
                              <w:spacing w:before="60"/>
                              <w:rPr>
                                <w:rFonts w:asciiTheme="majorHAnsi" w:hAnsiTheme="majorHAnsi" w:cs="Univers"/>
                                <w:color w:val="0D0D0D" w:themeColor="text1" w:themeTint="F2"/>
                                <w:sz w:val="18"/>
                                <w:szCs w:val="20"/>
                              </w:rPr>
                            </w:pPr>
                            <w:r w:rsidRPr="0051542F">
                              <w:rPr>
                                <w:rFonts w:ascii="Cambria" w:hAnsi="Cambria"/>
                                <w:color w:val="0D0D0D" w:themeColor="text1" w:themeTint="F2"/>
                                <w:sz w:val="18"/>
                              </w:rPr>
                              <w:t xml:space="preserve">Approved </w:t>
                            </w:r>
                            <w:r w:rsidR="00DA471F">
                              <w:rPr>
                                <w:rFonts w:ascii="Cambria" w:hAnsi="Cambria"/>
                                <w:color w:val="0D0D0D" w:themeColor="text1" w:themeTint="F2"/>
                                <w:sz w:val="18"/>
                              </w:rPr>
                              <w:t xml:space="preserve">electronically </w:t>
                            </w:r>
                            <w:r w:rsidRPr="0051542F">
                              <w:rPr>
                                <w:rFonts w:ascii="Cambria" w:hAnsi="Cambria"/>
                                <w:color w:val="0D0D0D" w:themeColor="text1" w:themeTint="F2"/>
                                <w:sz w:val="18"/>
                              </w:rPr>
                              <w:t xml:space="preserve">by the Commission </w:t>
                            </w:r>
                            <w:r w:rsidRPr="0051542F">
                              <w:rPr>
                                <w:rFonts w:ascii="Cambria" w:hAnsi="Cambria"/>
                                <w:color w:val="000000" w:themeColor="text1"/>
                                <w:sz w:val="18"/>
                                <w:szCs w:val="18"/>
                              </w:rPr>
                              <w:t xml:space="preserve">on </w:t>
                            </w:r>
                            <w:r w:rsidR="00597BF7">
                              <w:rPr>
                                <w:rFonts w:ascii="Cambria" w:hAnsi="Cambria"/>
                                <w:color w:val="000000" w:themeColor="text1"/>
                                <w:sz w:val="18"/>
                                <w:szCs w:val="18"/>
                              </w:rPr>
                              <w:t>April 2</w:t>
                            </w:r>
                            <w:r w:rsidR="00A24DE4">
                              <w:rPr>
                                <w:rFonts w:ascii="Cambria" w:hAnsi="Cambria"/>
                                <w:color w:val="000000" w:themeColor="text1"/>
                                <w:sz w:val="18"/>
                                <w:szCs w:val="18"/>
                              </w:rPr>
                              <w:t>3</w:t>
                            </w:r>
                            <w:r w:rsidR="00195CEE">
                              <w:rPr>
                                <w:rFonts w:ascii="Cambria" w:hAnsi="Cambria"/>
                                <w:color w:val="000000" w:themeColor="text1"/>
                                <w:sz w:val="18"/>
                                <w:szCs w:val="18"/>
                              </w:rPr>
                              <w:t>,</w:t>
                            </w:r>
                            <w:r w:rsidRPr="0051542F">
                              <w:rPr>
                                <w:rFonts w:ascii="Cambria" w:hAnsi="Cambria"/>
                                <w:color w:val="000000" w:themeColor="text1"/>
                                <w:sz w:val="18"/>
                                <w:szCs w:val="18"/>
                              </w:rPr>
                              <w:t xml:space="preserve"> </w:t>
                            </w:r>
                            <w:r w:rsidR="00195CEE">
                              <w:rPr>
                                <w:rFonts w:ascii="Cambria" w:hAnsi="Cambria"/>
                                <w:color w:val="000000" w:themeColor="text1"/>
                                <w:sz w:val="18"/>
                                <w:szCs w:val="18"/>
                              </w:rPr>
                              <w:t>20</w:t>
                            </w:r>
                            <w:r w:rsidR="00874534">
                              <w:rPr>
                                <w:rFonts w:ascii="Cambria" w:hAnsi="Cambria"/>
                                <w:color w:val="000000" w:themeColor="text1"/>
                                <w:sz w:val="18"/>
                                <w:szCs w:val="18"/>
                              </w:rPr>
                              <w:t>25</w:t>
                            </w:r>
                            <w:r w:rsidR="00DA471F">
                              <w:rPr>
                                <w:rFonts w:ascii="Cambria" w:hAnsi="Cambria"/>
                                <w:color w:val="000000" w:themeColor="text1"/>
                                <w:sz w:val="18"/>
                                <w:szCs w:val="18"/>
                              </w:rPr>
                              <w:t>.</w:t>
                            </w:r>
                          </w:p>
                          <w:p w14:paraId="6951E748" w14:textId="77777777" w:rsidR="00F40E67" w:rsidRPr="00061015" w:rsidRDefault="00F40E67" w:rsidP="00247403">
                            <w:pPr>
                              <w:tabs>
                                <w:tab w:val="center" w:pos="5400"/>
                              </w:tabs>
                              <w:suppressAutoHyphens/>
                              <w:spacing w:before="60"/>
                              <w:rPr>
                                <w:rFonts w:asciiTheme="minorHAnsi" w:hAnsiTheme="minorHAnsi" w:cs="Univers"/>
                                <w:color w:val="0D0D0D" w:themeColor="text1" w:themeTint="F2"/>
                                <w:sz w:val="20"/>
                                <w:szCs w:val="20"/>
                              </w:rPr>
                            </w:pPr>
                          </w:p>
                          <w:p w14:paraId="0622AF12" w14:textId="77777777" w:rsidR="00F40E67" w:rsidRPr="00061015" w:rsidRDefault="00F40E67"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2DDAC"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74A7ED92" w14:textId="7CA8946E" w:rsidR="00F40E67" w:rsidRPr="00061015" w:rsidRDefault="00706B52" w:rsidP="00247403">
                      <w:pPr>
                        <w:tabs>
                          <w:tab w:val="center" w:pos="5400"/>
                        </w:tabs>
                        <w:suppressAutoHyphens/>
                        <w:spacing w:before="60"/>
                        <w:rPr>
                          <w:rFonts w:asciiTheme="majorHAnsi" w:hAnsiTheme="majorHAnsi" w:cs="Univers"/>
                          <w:color w:val="0D0D0D" w:themeColor="text1" w:themeTint="F2"/>
                          <w:sz w:val="18"/>
                          <w:szCs w:val="20"/>
                        </w:rPr>
                      </w:pPr>
                      <w:r w:rsidRPr="0051542F">
                        <w:rPr>
                          <w:rFonts w:ascii="Cambria" w:hAnsi="Cambria"/>
                          <w:color w:val="0D0D0D" w:themeColor="text1" w:themeTint="F2"/>
                          <w:sz w:val="18"/>
                        </w:rPr>
                        <w:t xml:space="preserve">Approved </w:t>
                      </w:r>
                      <w:r w:rsidR="00DA471F">
                        <w:rPr>
                          <w:rFonts w:ascii="Cambria" w:hAnsi="Cambria"/>
                          <w:color w:val="0D0D0D" w:themeColor="text1" w:themeTint="F2"/>
                          <w:sz w:val="18"/>
                        </w:rPr>
                        <w:t xml:space="preserve">electronically </w:t>
                      </w:r>
                      <w:r w:rsidRPr="0051542F">
                        <w:rPr>
                          <w:rFonts w:ascii="Cambria" w:hAnsi="Cambria"/>
                          <w:color w:val="0D0D0D" w:themeColor="text1" w:themeTint="F2"/>
                          <w:sz w:val="18"/>
                        </w:rPr>
                        <w:t xml:space="preserve">by the Commission </w:t>
                      </w:r>
                      <w:r w:rsidRPr="0051542F">
                        <w:rPr>
                          <w:rFonts w:ascii="Cambria" w:hAnsi="Cambria"/>
                          <w:color w:val="000000" w:themeColor="text1"/>
                          <w:sz w:val="18"/>
                          <w:szCs w:val="18"/>
                        </w:rPr>
                        <w:t xml:space="preserve">on </w:t>
                      </w:r>
                      <w:r w:rsidR="00597BF7">
                        <w:rPr>
                          <w:rFonts w:ascii="Cambria" w:hAnsi="Cambria"/>
                          <w:color w:val="000000" w:themeColor="text1"/>
                          <w:sz w:val="18"/>
                          <w:szCs w:val="18"/>
                        </w:rPr>
                        <w:t>April 2</w:t>
                      </w:r>
                      <w:r w:rsidR="00A24DE4">
                        <w:rPr>
                          <w:rFonts w:ascii="Cambria" w:hAnsi="Cambria"/>
                          <w:color w:val="000000" w:themeColor="text1"/>
                          <w:sz w:val="18"/>
                          <w:szCs w:val="18"/>
                        </w:rPr>
                        <w:t>3</w:t>
                      </w:r>
                      <w:r w:rsidR="00195CEE">
                        <w:rPr>
                          <w:rFonts w:ascii="Cambria" w:hAnsi="Cambria"/>
                          <w:color w:val="000000" w:themeColor="text1"/>
                          <w:sz w:val="18"/>
                          <w:szCs w:val="18"/>
                        </w:rPr>
                        <w:t>,</w:t>
                      </w:r>
                      <w:r w:rsidRPr="0051542F">
                        <w:rPr>
                          <w:rFonts w:ascii="Cambria" w:hAnsi="Cambria"/>
                          <w:color w:val="000000" w:themeColor="text1"/>
                          <w:sz w:val="18"/>
                          <w:szCs w:val="18"/>
                        </w:rPr>
                        <w:t xml:space="preserve"> </w:t>
                      </w:r>
                      <w:r w:rsidR="00195CEE">
                        <w:rPr>
                          <w:rFonts w:ascii="Cambria" w:hAnsi="Cambria"/>
                          <w:color w:val="000000" w:themeColor="text1"/>
                          <w:sz w:val="18"/>
                          <w:szCs w:val="18"/>
                        </w:rPr>
                        <w:t>20</w:t>
                      </w:r>
                      <w:r w:rsidR="00874534">
                        <w:rPr>
                          <w:rFonts w:ascii="Cambria" w:hAnsi="Cambria"/>
                          <w:color w:val="000000" w:themeColor="text1"/>
                          <w:sz w:val="18"/>
                          <w:szCs w:val="18"/>
                        </w:rPr>
                        <w:t>25</w:t>
                      </w:r>
                      <w:r w:rsidR="00DA471F">
                        <w:rPr>
                          <w:rFonts w:ascii="Cambria" w:hAnsi="Cambria"/>
                          <w:color w:val="000000" w:themeColor="text1"/>
                          <w:sz w:val="18"/>
                          <w:szCs w:val="18"/>
                        </w:rPr>
                        <w:t>.</w:t>
                      </w:r>
                    </w:p>
                    <w:p w14:paraId="6951E748" w14:textId="77777777" w:rsidR="00F40E67" w:rsidRPr="00061015" w:rsidRDefault="00F40E67" w:rsidP="00247403">
                      <w:pPr>
                        <w:tabs>
                          <w:tab w:val="center" w:pos="5400"/>
                        </w:tabs>
                        <w:suppressAutoHyphens/>
                        <w:spacing w:before="60"/>
                        <w:rPr>
                          <w:rFonts w:asciiTheme="minorHAnsi" w:hAnsiTheme="minorHAnsi" w:cs="Univers"/>
                          <w:color w:val="0D0D0D" w:themeColor="text1" w:themeTint="F2"/>
                          <w:sz w:val="20"/>
                          <w:szCs w:val="20"/>
                        </w:rPr>
                      </w:pPr>
                    </w:p>
                    <w:p w14:paraId="0622AF12" w14:textId="77777777" w:rsidR="00F40E67" w:rsidRPr="00061015" w:rsidRDefault="00F40E67"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6C7C6F91" w14:textId="77777777" w:rsidR="00A50FCF" w:rsidRPr="00A51861" w:rsidRDefault="00A50FCF" w:rsidP="008E4D36">
      <w:pPr>
        <w:tabs>
          <w:tab w:val="center" w:pos="5400"/>
        </w:tabs>
        <w:suppressAutoHyphens/>
        <w:jc w:val="center"/>
        <w:rPr>
          <w:rFonts w:asciiTheme="majorHAnsi" w:hAnsiTheme="majorHAnsi"/>
          <w:sz w:val="18"/>
          <w:szCs w:val="22"/>
        </w:rPr>
      </w:pPr>
    </w:p>
    <w:p w14:paraId="7CD10230" w14:textId="77777777" w:rsidR="00A50FCF" w:rsidRPr="00A51861" w:rsidRDefault="00A50FCF" w:rsidP="008E4D36">
      <w:pPr>
        <w:tabs>
          <w:tab w:val="center" w:pos="5400"/>
        </w:tabs>
        <w:suppressAutoHyphens/>
        <w:jc w:val="center"/>
        <w:rPr>
          <w:rFonts w:asciiTheme="majorHAnsi" w:hAnsiTheme="majorHAnsi"/>
          <w:sz w:val="18"/>
          <w:szCs w:val="22"/>
        </w:rPr>
      </w:pPr>
    </w:p>
    <w:p w14:paraId="794DD6A8" w14:textId="77777777" w:rsidR="00A50FCF" w:rsidRPr="00A51861" w:rsidRDefault="00A50FCF" w:rsidP="008E4D36">
      <w:pPr>
        <w:tabs>
          <w:tab w:val="center" w:pos="5400"/>
        </w:tabs>
        <w:suppressAutoHyphens/>
        <w:jc w:val="center"/>
        <w:rPr>
          <w:rFonts w:asciiTheme="majorHAnsi" w:hAnsiTheme="majorHAnsi"/>
          <w:sz w:val="18"/>
          <w:szCs w:val="22"/>
        </w:rPr>
      </w:pPr>
    </w:p>
    <w:p w14:paraId="3A30E889" w14:textId="77777777" w:rsidR="00A50FCF" w:rsidRPr="00A51861" w:rsidRDefault="00A50FCF" w:rsidP="008E4D36">
      <w:pPr>
        <w:tabs>
          <w:tab w:val="center" w:pos="5400"/>
        </w:tabs>
        <w:suppressAutoHyphens/>
        <w:jc w:val="center"/>
        <w:rPr>
          <w:rFonts w:asciiTheme="majorHAnsi" w:hAnsiTheme="majorHAnsi"/>
          <w:sz w:val="18"/>
          <w:szCs w:val="22"/>
        </w:rPr>
      </w:pPr>
    </w:p>
    <w:p w14:paraId="0155B334" w14:textId="77777777" w:rsidR="00A50FCF" w:rsidRPr="00A51861" w:rsidRDefault="0090270B" w:rsidP="008E4D36">
      <w:pPr>
        <w:tabs>
          <w:tab w:val="center" w:pos="5400"/>
        </w:tabs>
        <w:suppressAutoHyphens/>
        <w:jc w:val="center"/>
        <w:rPr>
          <w:rFonts w:asciiTheme="majorHAnsi" w:hAnsiTheme="majorHAnsi"/>
          <w:sz w:val="18"/>
          <w:szCs w:val="22"/>
        </w:rPr>
      </w:pPr>
      <w:r w:rsidRPr="00A51861">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79D28C96" wp14:editId="1D683DF8">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058426" w14:textId="1378C38C" w:rsidR="00706B52" w:rsidRPr="00061015" w:rsidRDefault="00706B52" w:rsidP="00706B52">
                            <w:pPr>
                              <w:spacing w:line="276" w:lineRule="auto"/>
                              <w:rPr>
                                <w:rFonts w:ascii="Cambria" w:hAnsi="Cambria"/>
                                <w:color w:val="595959"/>
                                <w:sz w:val="18"/>
                                <w:szCs w:val="18"/>
                              </w:rPr>
                            </w:pPr>
                            <w:r w:rsidRPr="0051542F">
                              <w:rPr>
                                <w:rFonts w:ascii="Cambria" w:hAnsi="Cambria"/>
                                <w:b/>
                                <w:color w:val="000000" w:themeColor="text1"/>
                                <w:sz w:val="18"/>
                              </w:rPr>
                              <w:t xml:space="preserve">Cite as: </w:t>
                            </w:r>
                            <w:r w:rsidRPr="0051542F">
                              <w:rPr>
                                <w:rFonts w:ascii="Cambria" w:hAnsi="Cambria"/>
                                <w:color w:val="000000" w:themeColor="text1"/>
                                <w:sz w:val="18"/>
                              </w:rPr>
                              <w:t>IACHR,</w:t>
                            </w:r>
                            <w:r>
                              <w:rPr>
                                <w:rFonts w:ascii="Cambria" w:hAnsi="Cambria"/>
                                <w:color w:val="000000" w:themeColor="text1"/>
                                <w:sz w:val="18"/>
                              </w:rPr>
                              <w:t xml:space="preserve"> report</w:t>
                            </w:r>
                            <w:r w:rsidRPr="0051542F">
                              <w:rPr>
                                <w:rFonts w:ascii="Cambria" w:hAnsi="Cambria"/>
                                <w:color w:val="000000" w:themeColor="text1"/>
                                <w:sz w:val="18"/>
                              </w:rPr>
                              <w:t xml:space="preserve"> No</w:t>
                            </w:r>
                            <w:r w:rsidRPr="0051542F">
                              <w:rPr>
                                <w:rFonts w:ascii="Cambria" w:hAnsi="Cambria"/>
                                <w:color w:val="000000" w:themeColor="text1"/>
                                <w:sz w:val="18"/>
                                <w:szCs w:val="18"/>
                              </w:rPr>
                              <w:t xml:space="preserve">. </w:t>
                            </w:r>
                            <w:r w:rsidR="00597BF7">
                              <w:rPr>
                                <w:rFonts w:ascii="Cambria" w:hAnsi="Cambria"/>
                                <w:color w:val="000000" w:themeColor="text1"/>
                                <w:sz w:val="18"/>
                                <w:szCs w:val="18"/>
                              </w:rPr>
                              <w:t>45</w:t>
                            </w:r>
                            <w:r w:rsidRPr="0051542F">
                              <w:rPr>
                                <w:rFonts w:ascii="Cambria" w:hAnsi="Cambria"/>
                                <w:color w:val="000000" w:themeColor="text1"/>
                                <w:sz w:val="18"/>
                                <w:szCs w:val="18"/>
                              </w:rPr>
                              <w:t>/2</w:t>
                            </w:r>
                            <w:r w:rsidR="00874534">
                              <w:rPr>
                                <w:rFonts w:ascii="Cambria" w:hAnsi="Cambria"/>
                                <w:color w:val="000000" w:themeColor="text1"/>
                                <w:sz w:val="18"/>
                                <w:szCs w:val="18"/>
                              </w:rPr>
                              <w:t>5</w:t>
                            </w:r>
                            <w:r w:rsidRPr="00195CEE">
                              <w:rPr>
                                <w:rFonts w:ascii="Cambria" w:hAnsi="Cambria"/>
                                <w:sz w:val="18"/>
                                <w:szCs w:val="18"/>
                              </w:rPr>
                              <w:t>. Case 13.055. Merits</w:t>
                            </w:r>
                            <w:r w:rsidR="00DA471F" w:rsidRPr="00195CEE">
                              <w:rPr>
                                <w:rFonts w:ascii="Cambria" w:hAnsi="Cambria"/>
                                <w:sz w:val="18"/>
                                <w:szCs w:val="18"/>
                              </w:rPr>
                              <w:t xml:space="preserve"> (</w:t>
                            </w:r>
                            <w:r w:rsidR="00874534" w:rsidRPr="00597BF7">
                              <w:rPr>
                                <w:rFonts w:ascii="Cambria" w:hAnsi="Cambria"/>
                                <w:sz w:val="18"/>
                                <w:szCs w:val="18"/>
                              </w:rPr>
                              <w:t>Publication</w:t>
                            </w:r>
                            <w:r w:rsidR="00DA471F" w:rsidRPr="00195CEE">
                              <w:rPr>
                                <w:rFonts w:ascii="Cambria" w:hAnsi="Cambria"/>
                                <w:sz w:val="18"/>
                                <w:szCs w:val="18"/>
                              </w:rPr>
                              <w:t>)</w:t>
                            </w:r>
                            <w:r w:rsidRPr="00195CEE">
                              <w:rPr>
                                <w:rFonts w:ascii="Cambria" w:hAnsi="Cambria"/>
                                <w:sz w:val="18"/>
                                <w:szCs w:val="18"/>
                              </w:rPr>
                              <w:t xml:space="preserve">. </w:t>
                            </w:r>
                            <w:r w:rsidRPr="00195CEE">
                              <w:rPr>
                                <w:rFonts w:asciiTheme="majorHAnsi" w:hAnsiTheme="majorHAnsi"/>
                                <w:sz w:val="18"/>
                                <w:szCs w:val="18"/>
                              </w:rPr>
                              <w:t>Julio César Rito de los Santos and others. Argentina</w:t>
                            </w:r>
                            <w:r w:rsidRPr="00195CEE">
                              <w:rPr>
                                <w:rFonts w:ascii="Cambria" w:hAnsi="Cambria"/>
                                <w:sz w:val="18"/>
                                <w:szCs w:val="18"/>
                              </w:rPr>
                              <w:t xml:space="preserve">. </w:t>
                            </w:r>
                            <w:r w:rsidR="00597BF7">
                              <w:rPr>
                                <w:rFonts w:ascii="Cambria" w:hAnsi="Cambria"/>
                                <w:sz w:val="18"/>
                                <w:szCs w:val="18"/>
                              </w:rPr>
                              <w:t>April 2</w:t>
                            </w:r>
                            <w:r w:rsidR="00A24DE4">
                              <w:rPr>
                                <w:rFonts w:ascii="Cambria" w:hAnsi="Cambria"/>
                                <w:sz w:val="18"/>
                                <w:szCs w:val="18"/>
                              </w:rPr>
                              <w:t>3</w:t>
                            </w:r>
                            <w:r w:rsidR="00195CEE" w:rsidRPr="00195CEE">
                              <w:rPr>
                                <w:rFonts w:ascii="Cambria" w:hAnsi="Cambria"/>
                                <w:sz w:val="18"/>
                                <w:szCs w:val="18"/>
                              </w:rPr>
                              <w:t>, 202</w:t>
                            </w:r>
                            <w:r w:rsidR="00874534">
                              <w:rPr>
                                <w:rFonts w:ascii="Cambria" w:hAnsi="Cambria"/>
                                <w:sz w:val="18"/>
                                <w:szCs w:val="18"/>
                              </w:rPr>
                              <w:t>5</w:t>
                            </w:r>
                            <w:r w:rsidRPr="00195CEE">
                              <w:rPr>
                                <w:rFonts w:ascii="Cambria" w:hAnsi="Cambria"/>
                                <w:sz w:val="18"/>
                                <w:szCs w:val="18"/>
                              </w:rPr>
                              <w:t>.</w:t>
                            </w:r>
                          </w:p>
                          <w:p w14:paraId="33831F4B" w14:textId="1E6BD635" w:rsidR="00F40E67" w:rsidRPr="00061015" w:rsidRDefault="00F40E67" w:rsidP="00113F73">
                            <w:pPr>
                              <w:spacing w:line="276" w:lineRule="auto"/>
                              <w:rPr>
                                <w:rFonts w:asciiTheme="majorHAnsi" w:hAnsiTheme="majorHAnsi"/>
                                <w:color w:val="595959" w:themeColor="text1" w:themeTint="A6"/>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28C96"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2A058426" w14:textId="1378C38C" w:rsidR="00706B52" w:rsidRPr="00061015" w:rsidRDefault="00706B52" w:rsidP="00706B52">
                      <w:pPr>
                        <w:spacing w:line="276" w:lineRule="auto"/>
                        <w:rPr>
                          <w:rFonts w:ascii="Cambria" w:hAnsi="Cambria"/>
                          <w:color w:val="595959"/>
                          <w:sz w:val="18"/>
                          <w:szCs w:val="18"/>
                        </w:rPr>
                      </w:pPr>
                      <w:r w:rsidRPr="0051542F">
                        <w:rPr>
                          <w:rFonts w:ascii="Cambria" w:hAnsi="Cambria"/>
                          <w:b/>
                          <w:color w:val="000000" w:themeColor="text1"/>
                          <w:sz w:val="18"/>
                        </w:rPr>
                        <w:t xml:space="preserve">Cite as: </w:t>
                      </w:r>
                      <w:r w:rsidRPr="0051542F">
                        <w:rPr>
                          <w:rFonts w:ascii="Cambria" w:hAnsi="Cambria"/>
                          <w:color w:val="000000" w:themeColor="text1"/>
                          <w:sz w:val="18"/>
                        </w:rPr>
                        <w:t>IACHR,</w:t>
                      </w:r>
                      <w:r>
                        <w:rPr>
                          <w:rFonts w:ascii="Cambria" w:hAnsi="Cambria"/>
                          <w:color w:val="000000" w:themeColor="text1"/>
                          <w:sz w:val="18"/>
                        </w:rPr>
                        <w:t xml:space="preserve"> report</w:t>
                      </w:r>
                      <w:r w:rsidRPr="0051542F">
                        <w:rPr>
                          <w:rFonts w:ascii="Cambria" w:hAnsi="Cambria"/>
                          <w:color w:val="000000" w:themeColor="text1"/>
                          <w:sz w:val="18"/>
                        </w:rPr>
                        <w:t xml:space="preserve"> No</w:t>
                      </w:r>
                      <w:r w:rsidRPr="0051542F">
                        <w:rPr>
                          <w:rFonts w:ascii="Cambria" w:hAnsi="Cambria"/>
                          <w:color w:val="000000" w:themeColor="text1"/>
                          <w:sz w:val="18"/>
                          <w:szCs w:val="18"/>
                        </w:rPr>
                        <w:t xml:space="preserve">. </w:t>
                      </w:r>
                      <w:r w:rsidR="00597BF7">
                        <w:rPr>
                          <w:rFonts w:ascii="Cambria" w:hAnsi="Cambria"/>
                          <w:color w:val="000000" w:themeColor="text1"/>
                          <w:sz w:val="18"/>
                          <w:szCs w:val="18"/>
                        </w:rPr>
                        <w:t>45</w:t>
                      </w:r>
                      <w:r w:rsidRPr="0051542F">
                        <w:rPr>
                          <w:rFonts w:ascii="Cambria" w:hAnsi="Cambria"/>
                          <w:color w:val="000000" w:themeColor="text1"/>
                          <w:sz w:val="18"/>
                          <w:szCs w:val="18"/>
                        </w:rPr>
                        <w:t>/2</w:t>
                      </w:r>
                      <w:r w:rsidR="00874534">
                        <w:rPr>
                          <w:rFonts w:ascii="Cambria" w:hAnsi="Cambria"/>
                          <w:color w:val="000000" w:themeColor="text1"/>
                          <w:sz w:val="18"/>
                          <w:szCs w:val="18"/>
                        </w:rPr>
                        <w:t>5</w:t>
                      </w:r>
                      <w:r w:rsidRPr="00195CEE">
                        <w:rPr>
                          <w:rFonts w:ascii="Cambria" w:hAnsi="Cambria"/>
                          <w:sz w:val="18"/>
                          <w:szCs w:val="18"/>
                        </w:rPr>
                        <w:t>. Case 13.055. Merits</w:t>
                      </w:r>
                      <w:r w:rsidR="00DA471F" w:rsidRPr="00195CEE">
                        <w:rPr>
                          <w:rFonts w:ascii="Cambria" w:hAnsi="Cambria"/>
                          <w:sz w:val="18"/>
                          <w:szCs w:val="18"/>
                        </w:rPr>
                        <w:t xml:space="preserve"> (</w:t>
                      </w:r>
                      <w:r w:rsidR="00874534" w:rsidRPr="00597BF7">
                        <w:rPr>
                          <w:rFonts w:ascii="Cambria" w:hAnsi="Cambria"/>
                          <w:sz w:val="18"/>
                          <w:szCs w:val="18"/>
                        </w:rPr>
                        <w:t>Publication</w:t>
                      </w:r>
                      <w:r w:rsidR="00DA471F" w:rsidRPr="00195CEE">
                        <w:rPr>
                          <w:rFonts w:ascii="Cambria" w:hAnsi="Cambria"/>
                          <w:sz w:val="18"/>
                          <w:szCs w:val="18"/>
                        </w:rPr>
                        <w:t>)</w:t>
                      </w:r>
                      <w:r w:rsidRPr="00195CEE">
                        <w:rPr>
                          <w:rFonts w:ascii="Cambria" w:hAnsi="Cambria"/>
                          <w:sz w:val="18"/>
                          <w:szCs w:val="18"/>
                        </w:rPr>
                        <w:t xml:space="preserve">. </w:t>
                      </w:r>
                      <w:r w:rsidRPr="00195CEE">
                        <w:rPr>
                          <w:rFonts w:asciiTheme="majorHAnsi" w:hAnsiTheme="majorHAnsi"/>
                          <w:sz w:val="18"/>
                          <w:szCs w:val="18"/>
                        </w:rPr>
                        <w:t>Julio César Rito de los Santos and others. Argentina</w:t>
                      </w:r>
                      <w:r w:rsidRPr="00195CEE">
                        <w:rPr>
                          <w:rFonts w:ascii="Cambria" w:hAnsi="Cambria"/>
                          <w:sz w:val="18"/>
                          <w:szCs w:val="18"/>
                        </w:rPr>
                        <w:t xml:space="preserve">. </w:t>
                      </w:r>
                      <w:r w:rsidR="00597BF7">
                        <w:rPr>
                          <w:rFonts w:ascii="Cambria" w:hAnsi="Cambria"/>
                          <w:sz w:val="18"/>
                          <w:szCs w:val="18"/>
                        </w:rPr>
                        <w:t>April 2</w:t>
                      </w:r>
                      <w:r w:rsidR="00A24DE4">
                        <w:rPr>
                          <w:rFonts w:ascii="Cambria" w:hAnsi="Cambria"/>
                          <w:sz w:val="18"/>
                          <w:szCs w:val="18"/>
                        </w:rPr>
                        <w:t>3</w:t>
                      </w:r>
                      <w:r w:rsidR="00195CEE" w:rsidRPr="00195CEE">
                        <w:rPr>
                          <w:rFonts w:ascii="Cambria" w:hAnsi="Cambria"/>
                          <w:sz w:val="18"/>
                          <w:szCs w:val="18"/>
                        </w:rPr>
                        <w:t>, 202</w:t>
                      </w:r>
                      <w:r w:rsidR="00874534">
                        <w:rPr>
                          <w:rFonts w:ascii="Cambria" w:hAnsi="Cambria"/>
                          <w:sz w:val="18"/>
                          <w:szCs w:val="18"/>
                        </w:rPr>
                        <w:t>5</w:t>
                      </w:r>
                      <w:r w:rsidRPr="00195CEE">
                        <w:rPr>
                          <w:rFonts w:ascii="Cambria" w:hAnsi="Cambria"/>
                          <w:sz w:val="18"/>
                          <w:szCs w:val="18"/>
                        </w:rPr>
                        <w:t>.</w:t>
                      </w:r>
                    </w:p>
                    <w:p w14:paraId="33831F4B" w14:textId="1E6BD635" w:rsidR="00F40E67" w:rsidRPr="00061015" w:rsidRDefault="00F40E67" w:rsidP="00113F73">
                      <w:pPr>
                        <w:spacing w:line="276" w:lineRule="auto"/>
                        <w:rPr>
                          <w:rFonts w:asciiTheme="majorHAnsi" w:hAnsiTheme="majorHAnsi"/>
                          <w:color w:val="595959" w:themeColor="text1" w:themeTint="A6"/>
                          <w:sz w:val="18"/>
                          <w:szCs w:val="18"/>
                        </w:rPr>
                      </w:pPr>
                    </w:p>
                  </w:txbxContent>
                </v:textbox>
              </v:shape>
            </w:pict>
          </mc:Fallback>
        </mc:AlternateContent>
      </w:r>
    </w:p>
    <w:p w14:paraId="4FC886CA" w14:textId="77777777" w:rsidR="00A50FCF" w:rsidRPr="00A51861" w:rsidRDefault="00A50FCF" w:rsidP="008E4D36">
      <w:pPr>
        <w:tabs>
          <w:tab w:val="center" w:pos="5400"/>
        </w:tabs>
        <w:suppressAutoHyphens/>
        <w:jc w:val="center"/>
        <w:rPr>
          <w:rFonts w:asciiTheme="majorHAnsi" w:hAnsiTheme="majorHAnsi"/>
          <w:sz w:val="18"/>
          <w:szCs w:val="22"/>
        </w:rPr>
      </w:pPr>
    </w:p>
    <w:p w14:paraId="5AE7D65D" w14:textId="77777777" w:rsidR="0090270B" w:rsidRPr="00A51861" w:rsidRDefault="00D306D1" w:rsidP="008E4D36">
      <w:pPr>
        <w:tabs>
          <w:tab w:val="center" w:pos="5400"/>
        </w:tabs>
        <w:suppressAutoHyphens/>
        <w:jc w:val="center"/>
        <w:rPr>
          <w:rFonts w:asciiTheme="majorHAnsi" w:hAnsiTheme="majorHAnsi"/>
          <w:b/>
          <w:sz w:val="20"/>
        </w:rPr>
      </w:pPr>
      <w:r w:rsidRPr="00A51861">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31E2717" wp14:editId="76CE6895">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5E97AE" w14:textId="77777777" w:rsidR="00F40E67" w:rsidRPr="00D72DC6" w:rsidRDefault="00F40E67" w:rsidP="00F02AD1">
                            <w:pPr>
                              <w:rPr>
                                <w:color w:val="FFFFFF" w:themeColor="background1"/>
                                <w14:textFill>
                                  <w14:noFill/>
                                </w14:textFill>
                              </w:rPr>
                            </w:pPr>
                            <w:r>
                              <w:rPr>
                                <w:noProof/>
                                <w:color w:val="FFFFFF" w:themeColor="background1"/>
                              </w:rPr>
                              <w:drawing>
                                <wp:inline distT="0" distB="0" distL="0" distR="0" wp14:anchorId="2C4054CC" wp14:editId="3EC4A096">
                                  <wp:extent cx="1824355" cy="465913"/>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1824355" cy="46591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E2717"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665E97AE" w14:textId="77777777" w:rsidR="00F40E67" w:rsidRPr="00D72DC6" w:rsidRDefault="00F40E67" w:rsidP="00F02AD1">
                      <w:pPr>
                        <w:rPr>
                          <w:color w:val="FFFFFF" w:themeColor="background1"/>
                          <w14:textFill>
                            <w14:noFill/>
                          </w14:textFill>
                        </w:rPr>
                      </w:pPr>
                      <w:r>
                        <w:rPr>
                          <w:noProof/>
                          <w:color w:val="FFFFFF" w:themeColor="background1"/>
                        </w:rPr>
                        <w:drawing>
                          <wp:inline distT="0" distB="0" distL="0" distR="0" wp14:anchorId="2C4054CC" wp14:editId="3EC4A096">
                            <wp:extent cx="1824355" cy="465913"/>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1824355" cy="465913"/>
                                    </a:xfrm>
                                    <a:prstGeom prst="rect">
                                      <a:avLst/>
                                    </a:prstGeom>
                                  </pic:spPr>
                                </pic:pic>
                              </a:graphicData>
                            </a:graphic>
                          </wp:inline>
                        </w:drawing>
                      </w:r>
                    </w:p>
                  </w:txbxContent>
                </v:textbox>
              </v:shape>
            </w:pict>
          </mc:Fallback>
        </mc:AlternateContent>
      </w:r>
      <w:r w:rsidRPr="00A51861">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78F040D" wp14:editId="749B648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DAC176" w14:textId="20E07616" w:rsidR="00F40E67" w:rsidRPr="004B7EB6" w:rsidRDefault="00F40E6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06B52">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F040D"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21DAC176" w14:textId="20E07616" w:rsidR="00F40E67" w:rsidRPr="004B7EB6" w:rsidRDefault="00F40E6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06B52">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p>
    <w:p w14:paraId="0B179112" w14:textId="77777777" w:rsidR="0070697F" w:rsidRPr="00A51861" w:rsidRDefault="0070697F" w:rsidP="008E4D36">
      <w:pPr>
        <w:tabs>
          <w:tab w:val="center" w:pos="5400"/>
        </w:tabs>
        <w:suppressAutoHyphens/>
        <w:jc w:val="center"/>
        <w:rPr>
          <w:rFonts w:asciiTheme="majorHAnsi" w:hAnsiTheme="majorHAnsi"/>
          <w:b/>
          <w:sz w:val="20"/>
        </w:rPr>
        <w:sectPr w:rsidR="0070697F" w:rsidRPr="00A51861" w:rsidSect="004638AC">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25491AA4" w14:textId="5F7773DD" w:rsidR="00DA471F" w:rsidRPr="00324F10" w:rsidRDefault="00706B52" w:rsidP="0008127A">
      <w:pPr>
        <w:tabs>
          <w:tab w:val="center" w:pos="5400"/>
        </w:tabs>
        <w:suppressAutoHyphens/>
        <w:jc w:val="center"/>
        <w:rPr>
          <w:rFonts w:asciiTheme="majorHAnsi" w:hAnsiTheme="majorHAnsi"/>
          <w:b/>
          <w:sz w:val="20"/>
          <w:szCs w:val="20"/>
        </w:rPr>
      </w:pPr>
      <w:r w:rsidRPr="00324F10">
        <w:rPr>
          <w:rFonts w:asciiTheme="majorHAnsi" w:hAnsiTheme="majorHAnsi"/>
          <w:b/>
          <w:sz w:val="20"/>
          <w:szCs w:val="20"/>
        </w:rPr>
        <w:lastRenderedPageBreak/>
        <w:t>INDEX</w:t>
      </w:r>
    </w:p>
    <w:p w14:paraId="58075B46" w14:textId="77777777" w:rsidR="00E909AA" w:rsidRPr="0080656E" w:rsidRDefault="00E909AA" w:rsidP="008E4D36">
      <w:pPr>
        <w:suppressAutoHyphens/>
        <w:rPr>
          <w:rFonts w:asciiTheme="majorHAnsi" w:hAnsiTheme="majorHAnsi"/>
          <w:b/>
          <w:sz w:val="20"/>
          <w:szCs w:val="20"/>
        </w:rPr>
      </w:pPr>
    </w:p>
    <w:p w14:paraId="68E5B9E6" w14:textId="116A89F8" w:rsidR="0080656E" w:rsidRPr="0080656E" w:rsidRDefault="006125C3">
      <w:pPr>
        <w:pStyle w:val="TOC1"/>
        <w:tabs>
          <w:tab w:val="left" w:pos="1440"/>
          <w:tab w:val="right" w:leader="dot" w:pos="9350"/>
        </w:tabs>
        <w:rPr>
          <w:rFonts w:asciiTheme="majorHAnsi" w:eastAsiaTheme="minorEastAsia" w:hAnsiTheme="majorHAnsi" w:cstheme="minorBidi"/>
          <w:noProof/>
          <w:kern w:val="2"/>
          <w:sz w:val="20"/>
          <w:szCs w:val="20"/>
          <w:bdr w:val="none" w:sz="0" w:space="0" w:color="auto"/>
          <w14:ligatures w14:val="standardContextual"/>
        </w:rPr>
      </w:pPr>
      <w:r w:rsidRPr="0080656E">
        <w:rPr>
          <w:rFonts w:asciiTheme="majorHAnsi" w:hAnsiTheme="majorHAnsi"/>
          <w:b/>
          <w:sz w:val="20"/>
          <w:szCs w:val="20"/>
        </w:rPr>
        <w:fldChar w:fldCharType="begin"/>
      </w:r>
      <w:r w:rsidRPr="0080656E">
        <w:rPr>
          <w:rFonts w:asciiTheme="majorHAnsi" w:hAnsiTheme="majorHAnsi"/>
          <w:b/>
          <w:sz w:val="20"/>
          <w:szCs w:val="20"/>
        </w:rPr>
        <w:instrText xml:space="preserve"> TOC \o "1-7" \h \z \u </w:instrText>
      </w:r>
      <w:r w:rsidRPr="0080656E">
        <w:rPr>
          <w:rFonts w:asciiTheme="majorHAnsi" w:hAnsiTheme="majorHAnsi"/>
          <w:b/>
          <w:sz w:val="20"/>
          <w:szCs w:val="20"/>
        </w:rPr>
        <w:fldChar w:fldCharType="separate"/>
      </w:r>
      <w:hyperlink w:anchor="_Toc196383466" w:history="1">
        <w:r w:rsidR="0080656E" w:rsidRPr="0080656E">
          <w:rPr>
            <w:rStyle w:val="Hyperlink"/>
            <w:rFonts w:asciiTheme="majorHAnsi" w:hAnsiTheme="majorHAnsi"/>
            <w:noProof/>
            <w:sz w:val="20"/>
            <w:szCs w:val="20"/>
          </w:rPr>
          <w:t>I.</w:t>
        </w:r>
        <w:r w:rsidR="0080656E" w:rsidRPr="0080656E">
          <w:rPr>
            <w:rFonts w:asciiTheme="majorHAnsi" w:eastAsiaTheme="minorEastAsia" w:hAnsiTheme="majorHAnsi" w:cstheme="minorBidi"/>
            <w:noProof/>
            <w:kern w:val="2"/>
            <w:sz w:val="20"/>
            <w:szCs w:val="20"/>
            <w:bdr w:val="none" w:sz="0" w:space="0" w:color="auto"/>
            <w14:ligatures w14:val="standardContextual"/>
          </w:rPr>
          <w:tab/>
        </w:r>
        <w:r w:rsidR="0080656E" w:rsidRPr="0080656E">
          <w:rPr>
            <w:rStyle w:val="Hyperlink"/>
            <w:rFonts w:asciiTheme="majorHAnsi" w:hAnsiTheme="majorHAnsi"/>
            <w:noProof/>
            <w:sz w:val="20"/>
            <w:szCs w:val="20"/>
          </w:rPr>
          <w:t>SUMMARY</w:t>
        </w:r>
        <w:r w:rsidR="0080656E" w:rsidRPr="0080656E">
          <w:rPr>
            <w:rFonts w:asciiTheme="majorHAnsi" w:hAnsiTheme="majorHAnsi"/>
            <w:noProof/>
            <w:webHidden/>
            <w:sz w:val="20"/>
            <w:szCs w:val="20"/>
          </w:rPr>
          <w:tab/>
        </w:r>
        <w:r w:rsidR="0080656E" w:rsidRPr="0080656E">
          <w:rPr>
            <w:rFonts w:asciiTheme="majorHAnsi" w:hAnsiTheme="majorHAnsi"/>
            <w:noProof/>
            <w:webHidden/>
            <w:sz w:val="20"/>
            <w:szCs w:val="20"/>
          </w:rPr>
          <w:fldChar w:fldCharType="begin"/>
        </w:r>
        <w:r w:rsidR="0080656E" w:rsidRPr="0080656E">
          <w:rPr>
            <w:rFonts w:asciiTheme="majorHAnsi" w:hAnsiTheme="majorHAnsi"/>
            <w:noProof/>
            <w:webHidden/>
            <w:sz w:val="20"/>
            <w:szCs w:val="20"/>
          </w:rPr>
          <w:instrText xml:space="preserve"> PAGEREF _Toc196383466 \h </w:instrText>
        </w:r>
        <w:r w:rsidR="0080656E" w:rsidRPr="0080656E">
          <w:rPr>
            <w:rFonts w:asciiTheme="majorHAnsi" w:hAnsiTheme="majorHAnsi"/>
            <w:noProof/>
            <w:webHidden/>
            <w:sz w:val="20"/>
            <w:szCs w:val="20"/>
          </w:rPr>
        </w:r>
        <w:r w:rsidR="0080656E" w:rsidRPr="0080656E">
          <w:rPr>
            <w:rFonts w:asciiTheme="majorHAnsi" w:hAnsiTheme="majorHAnsi"/>
            <w:noProof/>
            <w:webHidden/>
            <w:sz w:val="20"/>
            <w:szCs w:val="20"/>
          </w:rPr>
          <w:fldChar w:fldCharType="separate"/>
        </w:r>
        <w:r w:rsidR="00F347BD">
          <w:rPr>
            <w:rFonts w:asciiTheme="majorHAnsi" w:hAnsiTheme="majorHAnsi"/>
            <w:noProof/>
            <w:webHidden/>
            <w:sz w:val="20"/>
            <w:szCs w:val="20"/>
          </w:rPr>
          <w:t>3</w:t>
        </w:r>
        <w:r w:rsidR="0080656E" w:rsidRPr="0080656E">
          <w:rPr>
            <w:rFonts w:asciiTheme="majorHAnsi" w:hAnsiTheme="majorHAnsi"/>
            <w:noProof/>
            <w:webHidden/>
            <w:sz w:val="20"/>
            <w:szCs w:val="20"/>
          </w:rPr>
          <w:fldChar w:fldCharType="end"/>
        </w:r>
      </w:hyperlink>
    </w:p>
    <w:p w14:paraId="50198AAA" w14:textId="529606F4" w:rsidR="0080656E" w:rsidRPr="0080656E" w:rsidRDefault="00F347BD">
      <w:pPr>
        <w:pStyle w:val="TOC1"/>
        <w:tabs>
          <w:tab w:val="left" w:pos="1440"/>
          <w:tab w:val="right" w:leader="dot" w:pos="9350"/>
        </w:tabs>
        <w:rPr>
          <w:rFonts w:asciiTheme="majorHAnsi" w:eastAsiaTheme="minorEastAsia" w:hAnsiTheme="majorHAnsi" w:cstheme="minorBidi"/>
          <w:noProof/>
          <w:kern w:val="2"/>
          <w:sz w:val="20"/>
          <w:szCs w:val="20"/>
          <w:bdr w:val="none" w:sz="0" w:space="0" w:color="auto"/>
          <w14:ligatures w14:val="standardContextual"/>
        </w:rPr>
      </w:pPr>
      <w:hyperlink w:anchor="_Toc196383467" w:history="1">
        <w:r w:rsidR="0080656E" w:rsidRPr="0080656E">
          <w:rPr>
            <w:rStyle w:val="Hyperlink"/>
            <w:rFonts w:asciiTheme="majorHAnsi" w:hAnsiTheme="majorHAnsi"/>
            <w:noProof/>
            <w:sz w:val="20"/>
            <w:szCs w:val="20"/>
          </w:rPr>
          <w:t>II.</w:t>
        </w:r>
        <w:r w:rsidR="0080656E" w:rsidRPr="0080656E">
          <w:rPr>
            <w:rFonts w:asciiTheme="majorHAnsi" w:eastAsiaTheme="minorEastAsia" w:hAnsiTheme="majorHAnsi" w:cstheme="minorBidi"/>
            <w:noProof/>
            <w:kern w:val="2"/>
            <w:sz w:val="20"/>
            <w:szCs w:val="20"/>
            <w:bdr w:val="none" w:sz="0" w:space="0" w:color="auto"/>
            <w14:ligatures w14:val="standardContextual"/>
          </w:rPr>
          <w:tab/>
        </w:r>
        <w:r w:rsidR="0080656E" w:rsidRPr="0080656E">
          <w:rPr>
            <w:rStyle w:val="Hyperlink"/>
            <w:rFonts w:asciiTheme="majorHAnsi" w:hAnsiTheme="majorHAnsi"/>
            <w:noProof/>
            <w:sz w:val="20"/>
            <w:szCs w:val="20"/>
          </w:rPr>
          <w:t>ALLEGATIONS BY THE PARTIES</w:t>
        </w:r>
        <w:r w:rsidR="0080656E" w:rsidRPr="0080656E">
          <w:rPr>
            <w:rFonts w:asciiTheme="majorHAnsi" w:hAnsiTheme="majorHAnsi"/>
            <w:noProof/>
            <w:webHidden/>
            <w:sz w:val="20"/>
            <w:szCs w:val="20"/>
          </w:rPr>
          <w:tab/>
        </w:r>
        <w:r w:rsidR="0080656E" w:rsidRPr="0080656E">
          <w:rPr>
            <w:rFonts w:asciiTheme="majorHAnsi" w:hAnsiTheme="majorHAnsi"/>
            <w:noProof/>
            <w:webHidden/>
            <w:sz w:val="20"/>
            <w:szCs w:val="20"/>
          </w:rPr>
          <w:fldChar w:fldCharType="begin"/>
        </w:r>
        <w:r w:rsidR="0080656E" w:rsidRPr="0080656E">
          <w:rPr>
            <w:rFonts w:asciiTheme="majorHAnsi" w:hAnsiTheme="majorHAnsi"/>
            <w:noProof/>
            <w:webHidden/>
            <w:sz w:val="20"/>
            <w:szCs w:val="20"/>
          </w:rPr>
          <w:instrText xml:space="preserve"> PAGEREF _Toc196383467 \h </w:instrText>
        </w:r>
        <w:r w:rsidR="0080656E" w:rsidRPr="0080656E">
          <w:rPr>
            <w:rFonts w:asciiTheme="majorHAnsi" w:hAnsiTheme="majorHAnsi"/>
            <w:noProof/>
            <w:webHidden/>
            <w:sz w:val="20"/>
            <w:szCs w:val="20"/>
          </w:rPr>
        </w:r>
        <w:r w:rsidR="0080656E" w:rsidRPr="0080656E">
          <w:rPr>
            <w:rFonts w:asciiTheme="majorHAnsi" w:hAnsiTheme="majorHAnsi"/>
            <w:noProof/>
            <w:webHidden/>
            <w:sz w:val="20"/>
            <w:szCs w:val="20"/>
          </w:rPr>
          <w:fldChar w:fldCharType="separate"/>
        </w:r>
        <w:r>
          <w:rPr>
            <w:rFonts w:asciiTheme="majorHAnsi" w:hAnsiTheme="majorHAnsi"/>
            <w:noProof/>
            <w:webHidden/>
            <w:sz w:val="20"/>
            <w:szCs w:val="20"/>
          </w:rPr>
          <w:t>3</w:t>
        </w:r>
        <w:r w:rsidR="0080656E" w:rsidRPr="0080656E">
          <w:rPr>
            <w:rFonts w:asciiTheme="majorHAnsi" w:hAnsiTheme="majorHAnsi"/>
            <w:noProof/>
            <w:webHidden/>
            <w:sz w:val="20"/>
            <w:szCs w:val="20"/>
          </w:rPr>
          <w:fldChar w:fldCharType="end"/>
        </w:r>
      </w:hyperlink>
    </w:p>
    <w:p w14:paraId="7EE97AFD" w14:textId="647ACA33" w:rsidR="0080656E" w:rsidRPr="0080656E" w:rsidRDefault="00F347BD">
      <w:pPr>
        <w:pStyle w:val="TOC2"/>
        <w:rPr>
          <w:rFonts w:asciiTheme="majorHAnsi" w:eastAsiaTheme="minorEastAsia" w:hAnsiTheme="majorHAnsi" w:cstheme="minorBidi"/>
          <w:noProof/>
          <w:kern w:val="2"/>
          <w:sz w:val="20"/>
          <w:szCs w:val="20"/>
          <w:bdr w:val="none" w:sz="0" w:space="0" w:color="auto"/>
          <w14:ligatures w14:val="standardContextual"/>
        </w:rPr>
      </w:pPr>
      <w:hyperlink w:anchor="_Toc196383468" w:history="1">
        <w:r w:rsidR="0080656E" w:rsidRPr="0080656E">
          <w:rPr>
            <w:rStyle w:val="Hyperlink"/>
            <w:rFonts w:asciiTheme="majorHAnsi" w:hAnsiTheme="majorHAnsi"/>
            <w:noProof/>
            <w:sz w:val="20"/>
            <w:szCs w:val="20"/>
          </w:rPr>
          <w:t>A.</w:t>
        </w:r>
        <w:r w:rsidR="0080656E" w:rsidRPr="0080656E">
          <w:rPr>
            <w:rFonts w:asciiTheme="majorHAnsi" w:eastAsiaTheme="minorEastAsia" w:hAnsiTheme="majorHAnsi" w:cstheme="minorBidi"/>
            <w:noProof/>
            <w:kern w:val="2"/>
            <w:sz w:val="20"/>
            <w:szCs w:val="20"/>
            <w:bdr w:val="none" w:sz="0" w:space="0" w:color="auto"/>
            <w14:ligatures w14:val="standardContextual"/>
          </w:rPr>
          <w:tab/>
        </w:r>
        <w:r w:rsidR="0080656E" w:rsidRPr="0080656E">
          <w:rPr>
            <w:rStyle w:val="Hyperlink"/>
            <w:rFonts w:asciiTheme="majorHAnsi" w:hAnsiTheme="majorHAnsi"/>
            <w:noProof/>
            <w:sz w:val="20"/>
            <w:szCs w:val="20"/>
          </w:rPr>
          <w:t>The petitioner</w:t>
        </w:r>
        <w:r w:rsidR="0080656E" w:rsidRPr="0080656E">
          <w:rPr>
            <w:rFonts w:asciiTheme="majorHAnsi" w:hAnsiTheme="majorHAnsi"/>
            <w:noProof/>
            <w:webHidden/>
            <w:sz w:val="20"/>
            <w:szCs w:val="20"/>
          </w:rPr>
          <w:tab/>
        </w:r>
        <w:r w:rsidR="0080656E" w:rsidRPr="0080656E">
          <w:rPr>
            <w:rFonts w:asciiTheme="majorHAnsi" w:hAnsiTheme="majorHAnsi"/>
            <w:noProof/>
            <w:webHidden/>
            <w:sz w:val="20"/>
            <w:szCs w:val="20"/>
          </w:rPr>
          <w:fldChar w:fldCharType="begin"/>
        </w:r>
        <w:r w:rsidR="0080656E" w:rsidRPr="0080656E">
          <w:rPr>
            <w:rFonts w:asciiTheme="majorHAnsi" w:hAnsiTheme="majorHAnsi"/>
            <w:noProof/>
            <w:webHidden/>
            <w:sz w:val="20"/>
            <w:szCs w:val="20"/>
          </w:rPr>
          <w:instrText xml:space="preserve"> PAGEREF _Toc196383468 \h </w:instrText>
        </w:r>
        <w:r w:rsidR="0080656E" w:rsidRPr="0080656E">
          <w:rPr>
            <w:rFonts w:asciiTheme="majorHAnsi" w:hAnsiTheme="majorHAnsi"/>
            <w:noProof/>
            <w:webHidden/>
            <w:sz w:val="20"/>
            <w:szCs w:val="20"/>
          </w:rPr>
        </w:r>
        <w:r w:rsidR="0080656E" w:rsidRPr="0080656E">
          <w:rPr>
            <w:rFonts w:asciiTheme="majorHAnsi" w:hAnsiTheme="majorHAnsi"/>
            <w:noProof/>
            <w:webHidden/>
            <w:sz w:val="20"/>
            <w:szCs w:val="20"/>
          </w:rPr>
          <w:fldChar w:fldCharType="separate"/>
        </w:r>
        <w:r>
          <w:rPr>
            <w:rFonts w:asciiTheme="majorHAnsi" w:hAnsiTheme="majorHAnsi"/>
            <w:noProof/>
            <w:webHidden/>
            <w:sz w:val="20"/>
            <w:szCs w:val="20"/>
          </w:rPr>
          <w:t>3</w:t>
        </w:r>
        <w:r w:rsidR="0080656E" w:rsidRPr="0080656E">
          <w:rPr>
            <w:rFonts w:asciiTheme="majorHAnsi" w:hAnsiTheme="majorHAnsi"/>
            <w:noProof/>
            <w:webHidden/>
            <w:sz w:val="20"/>
            <w:szCs w:val="20"/>
          </w:rPr>
          <w:fldChar w:fldCharType="end"/>
        </w:r>
      </w:hyperlink>
    </w:p>
    <w:p w14:paraId="5E2036F1" w14:textId="42771205" w:rsidR="0080656E" w:rsidRPr="0080656E" w:rsidRDefault="00F347BD">
      <w:pPr>
        <w:pStyle w:val="TOC2"/>
        <w:rPr>
          <w:rFonts w:asciiTheme="majorHAnsi" w:eastAsiaTheme="minorEastAsia" w:hAnsiTheme="majorHAnsi" w:cstheme="minorBidi"/>
          <w:noProof/>
          <w:kern w:val="2"/>
          <w:sz w:val="20"/>
          <w:szCs w:val="20"/>
          <w:bdr w:val="none" w:sz="0" w:space="0" w:color="auto"/>
          <w14:ligatures w14:val="standardContextual"/>
        </w:rPr>
      </w:pPr>
      <w:hyperlink w:anchor="_Toc196383469" w:history="1">
        <w:r w:rsidR="0080656E" w:rsidRPr="0080656E">
          <w:rPr>
            <w:rStyle w:val="Hyperlink"/>
            <w:rFonts w:asciiTheme="majorHAnsi" w:hAnsiTheme="majorHAnsi"/>
            <w:noProof/>
            <w:sz w:val="20"/>
            <w:szCs w:val="20"/>
          </w:rPr>
          <w:t>B.</w:t>
        </w:r>
        <w:r w:rsidR="0080656E" w:rsidRPr="0080656E">
          <w:rPr>
            <w:rFonts w:asciiTheme="majorHAnsi" w:eastAsiaTheme="minorEastAsia" w:hAnsiTheme="majorHAnsi" w:cstheme="minorBidi"/>
            <w:noProof/>
            <w:kern w:val="2"/>
            <w:sz w:val="20"/>
            <w:szCs w:val="20"/>
            <w:bdr w:val="none" w:sz="0" w:space="0" w:color="auto"/>
            <w14:ligatures w14:val="standardContextual"/>
          </w:rPr>
          <w:tab/>
        </w:r>
        <w:r w:rsidR="0080656E" w:rsidRPr="0080656E">
          <w:rPr>
            <w:rStyle w:val="Hyperlink"/>
            <w:rFonts w:asciiTheme="majorHAnsi" w:hAnsiTheme="majorHAnsi"/>
            <w:noProof/>
            <w:sz w:val="20"/>
            <w:szCs w:val="20"/>
          </w:rPr>
          <w:t>The State</w:t>
        </w:r>
        <w:r w:rsidR="0080656E" w:rsidRPr="0080656E">
          <w:rPr>
            <w:rFonts w:asciiTheme="majorHAnsi" w:hAnsiTheme="majorHAnsi"/>
            <w:noProof/>
            <w:webHidden/>
            <w:sz w:val="20"/>
            <w:szCs w:val="20"/>
          </w:rPr>
          <w:tab/>
        </w:r>
        <w:r w:rsidR="0080656E" w:rsidRPr="0080656E">
          <w:rPr>
            <w:rFonts w:asciiTheme="majorHAnsi" w:hAnsiTheme="majorHAnsi"/>
            <w:noProof/>
            <w:webHidden/>
            <w:sz w:val="20"/>
            <w:szCs w:val="20"/>
          </w:rPr>
          <w:fldChar w:fldCharType="begin"/>
        </w:r>
        <w:r w:rsidR="0080656E" w:rsidRPr="0080656E">
          <w:rPr>
            <w:rFonts w:asciiTheme="majorHAnsi" w:hAnsiTheme="majorHAnsi"/>
            <w:noProof/>
            <w:webHidden/>
            <w:sz w:val="20"/>
            <w:szCs w:val="20"/>
          </w:rPr>
          <w:instrText xml:space="preserve"> PAGEREF _Toc196383469 \h </w:instrText>
        </w:r>
        <w:r w:rsidR="0080656E" w:rsidRPr="0080656E">
          <w:rPr>
            <w:rFonts w:asciiTheme="majorHAnsi" w:hAnsiTheme="majorHAnsi"/>
            <w:noProof/>
            <w:webHidden/>
            <w:sz w:val="20"/>
            <w:szCs w:val="20"/>
          </w:rPr>
        </w:r>
        <w:r w:rsidR="0080656E" w:rsidRPr="0080656E">
          <w:rPr>
            <w:rFonts w:asciiTheme="majorHAnsi" w:hAnsiTheme="majorHAnsi"/>
            <w:noProof/>
            <w:webHidden/>
            <w:sz w:val="20"/>
            <w:szCs w:val="20"/>
          </w:rPr>
          <w:fldChar w:fldCharType="separate"/>
        </w:r>
        <w:r>
          <w:rPr>
            <w:rFonts w:asciiTheme="majorHAnsi" w:hAnsiTheme="majorHAnsi"/>
            <w:noProof/>
            <w:webHidden/>
            <w:sz w:val="20"/>
            <w:szCs w:val="20"/>
          </w:rPr>
          <w:t>5</w:t>
        </w:r>
        <w:r w:rsidR="0080656E" w:rsidRPr="0080656E">
          <w:rPr>
            <w:rFonts w:asciiTheme="majorHAnsi" w:hAnsiTheme="majorHAnsi"/>
            <w:noProof/>
            <w:webHidden/>
            <w:sz w:val="20"/>
            <w:szCs w:val="20"/>
          </w:rPr>
          <w:fldChar w:fldCharType="end"/>
        </w:r>
      </w:hyperlink>
    </w:p>
    <w:p w14:paraId="14E89F49" w14:textId="7B4E61C9" w:rsidR="0080656E" w:rsidRPr="0080656E" w:rsidRDefault="00F347BD">
      <w:pPr>
        <w:pStyle w:val="TOC1"/>
        <w:tabs>
          <w:tab w:val="left" w:pos="1440"/>
          <w:tab w:val="right" w:leader="dot" w:pos="9350"/>
        </w:tabs>
        <w:rPr>
          <w:rFonts w:asciiTheme="majorHAnsi" w:eastAsiaTheme="minorEastAsia" w:hAnsiTheme="majorHAnsi" w:cstheme="minorBidi"/>
          <w:noProof/>
          <w:kern w:val="2"/>
          <w:sz w:val="20"/>
          <w:szCs w:val="20"/>
          <w:bdr w:val="none" w:sz="0" w:space="0" w:color="auto"/>
          <w14:ligatures w14:val="standardContextual"/>
        </w:rPr>
      </w:pPr>
      <w:hyperlink w:anchor="_Toc196383470" w:history="1">
        <w:r w:rsidR="0080656E" w:rsidRPr="0080656E">
          <w:rPr>
            <w:rStyle w:val="Hyperlink"/>
            <w:rFonts w:asciiTheme="majorHAnsi" w:hAnsiTheme="majorHAnsi"/>
            <w:noProof/>
            <w:sz w:val="20"/>
            <w:szCs w:val="20"/>
          </w:rPr>
          <w:t>III.</w:t>
        </w:r>
        <w:r w:rsidR="0080656E" w:rsidRPr="0080656E">
          <w:rPr>
            <w:rFonts w:asciiTheme="majorHAnsi" w:eastAsiaTheme="minorEastAsia" w:hAnsiTheme="majorHAnsi" w:cstheme="minorBidi"/>
            <w:noProof/>
            <w:kern w:val="2"/>
            <w:sz w:val="20"/>
            <w:szCs w:val="20"/>
            <w:bdr w:val="none" w:sz="0" w:space="0" w:color="auto"/>
            <w14:ligatures w14:val="standardContextual"/>
          </w:rPr>
          <w:tab/>
        </w:r>
        <w:r w:rsidR="0080656E" w:rsidRPr="0080656E">
          <w:rPr>
            <w:rStyle w:val="Hyperlink"/>
            <w:rFonts w:asciiTheme="majorHAnsi" w:eastAsiaTheme="majorEastAsia" w:hAnsiTheme="majorHAnsi" w:cstheme="majorBidi"/>
            <w:bCs/>
            <w:noProof/>
            <w:sz w:val="20"/>
            <w:szCs w:val="20"/>
          </w:rPr>
          <w:t>DETERMINATIONS</w:t>
        </w:r>
        <w:r w:rsidR="0080656E" w:rsidRPr="0080656E">
          <w:rPr>
            <w:rStyle w:val="Hyperlink"/>
            <w:rFonts w:asciiTheme="majorHAnsi" w:hAnsiTheme="majorHAnsi"/>
            <w:noProof/>
            <w:sz w:val="20"/>
            <w:szCs w:val="20"/>
          </w:rPr>
          <w:t xml:space="preserve"> OF FACT</w:t>
        </w:r>
        <w:r w:rsidR="0080656E" w:rsidRPr="0080656E">
          <w:rPr>
            <w:rFonts w:asciiTheme="majorHAnsi" w:hAnsiTheme="majorHAnsi"/>
            <w:noProof/>
            <w:webHidden/>
            <w:sz w:val="20"/>
            <w:szCs w:val="20"/>
          </w:rPr>
          <w:tab/>
        </w:r>
        <w:r w:rsidR="0080656E" w:rsidRPr="0080656E">
          <w:rPr>
            <w:rFonts w:asciiTheme="majorHAnsi" w:hAnsiTheme="majorHAnsi"/>
            <w:noProof/>
            <w:webHidden/>
            <w:sz w:val="20"/>
            <w:szCs w:val="20"/>
          </w:rPr>
          <w:fldChar w:fldCharType="begin"/>
        </w:r>
        <w:r w:rsidR="0080656E" w:rsidRPr="0080656E">
          <w:rPr>
            <w:rFonts w:asciiTheme="majorHAnsi" w:hAnsiTheme="majorHAnsi"/>
            <w:noProof/>
            <w:webHidden/>
            <w:sz w:val="20"/>
            <w:szCs w:val="20"/>
          </w:rPr>
          <w:instrText xml:space="preserve"> PAGEREF _Toc196383470 \h </w:instrText>
        </w:r>
        <w:r w:rsidR="0080656E" w:rsidRPr="0080656E">
          <w:rPr>
            <w:rFonts w:asciiTheme="majorHAnsi" w:hAnsiTheme="majorHAnsi"/>
            <w:noProof/>
            <w:webHidden/>
            <w:sz w:val="20"/>
            <w:szCs w:val="20"/>
          </w:rPr>
        </w:r>
        <w:r w:rsidR="0080656E" w:rsidRPr="0080656E">
          <w:rPr>
            <w:rFonts w:asciiTheme="majorHAnsi" w:hAnsiTheme="majorHAnsi"/>
            <w:noProof/>
            <w:webHidden/>
            <w:sz w:val="20"/>
            <w:szCs w:val="20"/>
          </w:rPr>
          <w:fldChar w:fldCharType="separate"/>
        </w:r>
        <w:r>
          <w:rPr>
            <w:rFonts w:asciiTheme="majorHAnsi" w:hAnsiTheme="majorHAnsi"/>
            <w:noProof/>
            <w:webHidden/>
            <w:sz w:val="20"/>
            <w:szCs w:val="20"/>
          </w:rPr>
          <w:t>6</w:t>
        </w:r>
        <w:r w:rsidR="0080656E" w:rsidRPr="0080656E">
          <w:rPr>
            <w:rFonts w:asciiTheme="majorHAnsi" w:hAnsiTheme="majorHAnsi"/>
            <w:noProof/>
            <w:webHidden/>
            <w:sz w:val="20"/>
            <w:szCs w:val="20"/>
          </w:rPr>
          <w:fldChar w:fldCharType="end"/>
        </w:r>
      </w:hyperlink>
    </w:p>
    <w:p w14:paraId="3B335DEE" w14:textId="6A506D2E" w:rsidR="0080656E" w:rsidRPr="0080656E" w:rsidRDefault="00F347BD">
      <w:pPr>
        <w:pStyle w:val="TOC2"/>
        <w:rPr>
          <w:rFonts w:asciiTheme="majorHAnsi" w:eastAsiaTheme="minorEastAsia" w:hAnsiTheme="majorHAnsi" w:cstheme="minorBidi"/>
          <w:noProof/>
          <w:kern w:val="2"/>
          <w:sz w:val="20"/>
          <w:szCs w:val="20"/>
          <w:bdr w:val="none" w:sz="0" w:space="0" w:color="auto"/>
          <w14:ligatures w14:val="standardContextual"/>
        </w:rPr>
      </w:pPr>
      <w:hyperlink w:anchor="_Toc196383471" w:history="1">
        <w:r w:rsidR="0080656E" w:rsidRPr="0080656E">
          <w:rPr>
            <w:rStyle w:val="Hyperlink"/>
            <w:rFonts w:asciiTheme="majorHAnsi" w:hAnsiTheme="majorHAnsi"/>
            <w:noProof/>
            <w:sz w:val="20"/>
            <w:szCs w:val="20"/>
          </w:rPr>
          <w:t>A.</w:t>
        </w:r>
        <w:r w:rsidR="0080656E" w:rsidRPr="0080656E">
          <w:rPr>
            <w:rFonts w:asciiTheme="majorHAnsi" w:eastAsiaTheme="minorEastAsia" w:hAnsiTheme="majorHAnsi" w:cstheme="minorBidi"/>
            <w:noProof/>
            <w:kern w:val="2"/>
            <w:sz w:val="20"/>
            <w:szCs w:val="20"/>
            <w:bdr w:val="none" w:sz="0" w:space="0" w:color="auto"/>
            <w14:ligatures w14:val="standardContextual"/>
          </w:rPr>
          <w:tab/>
        </w:r>
        <w:r w:rsidR="0080656E" w:rsidRPr="0080656E">
          <w:rPr>
            <w:rStyle w:val="Hyperlink"/>
            <w:rFonts w:asciiTheme="majorHAnsi" w:hAnsiTheme="majorHAnsi"/>
            <w:noProof/>
            <w:sz w:val="20"/>
            <w:szCs w:val="20"/>
          </w:rPr>
          <w:t>Relevant Regulatory Framework</w:t>
        </w:r>
        <w:r w:rsidR="0080656E" w:rsidRPr="0080656E">
          <w:rPr>
            <w:rFonts w:asciiTheme="majorHAnsi" w:hAnsiTheme="majorHAnsi"/>
            <w:noProof/>
            <w:webHidden/>
            <w:sz w:val="20"/>
            <w:szCs w:val="20"/>
          </w:rPr>
          <w:tab/>
        </w:r>
        <w:r w:rsidR="0080656E" w:rsidRPr="0080656E">
          <w:rPr>
            <w:rFonts w:asciiTheme="majorHAnsi" w:hAnsiTheme="majorHAnsi"/>
            <w:noProof/>
            <w:webHidden/>
            <w:sz w:val="20"/>
            <w:szCs w:val="20"/>
          </w:rPr>
          <w:fldChar w:fldCharType="begin"/>
        </w:r>
        <w:r w:rsidR="0080656E" w:rsidRPr="0080656E">
          <w:rPr>
            <w:rFonts w:asciiTheme="majorHAnsi" w:hAnsiTheme="majorHAnsi"/>
            <w:noProof/>
            <w:webHidden/>
            <w:sz w:val="20"/>
            <w:szCs w:val="20"/>
          </w:rPr>
          <w:instrText xml:space="preserve"> PAGEREF _Toc196383471 \h </w:instrText>
        </w:r>
        <w:r w:rsidR="0080656E" w:rsidRPr="0080656E">
          <w:rPr>
            <w:rFonts w:asciiTheme="majorHAnsi" w:hAnsiTheme="majorHAnsi"/>
            <w:noProof/>
            <w:webHidden/>
            <w:sz w:val="20"/>
            <w:szCs w:val="20"/>
          </w:rPr>
        </w:r>
        <w:r w:rsidR="0080656E" w:rsidRPr="0080656E">
          <w:rPr>
            <w:rFonts w:asciiTheme="majorHAnsi" w:hAnsiTheme="majorHAnsi"/>
            <w:noProof/>
            <w:webHidden/>
            <w:sz w:val="20"/>
            <w:szCs w:val="20"/>
          </w:rPr>
          <w:fldChar w:fldCharType="separate"/>
        </w:r>
        <w:r>
          <w:rPr>
            <w:rFonts w:asciiTheme="majorHAnsi" w:hAnsiTheme="majorHAnsi"/>
            <w:noProof/>
            <w:webHidden/>
            <w:sz w:val="20"/>
            <w:szCs w:val="20"/>
          </w:rPr>
          <w:t>6</w:t>
        </w:r>
        <w:r w:rsidR="0080656E" w:rsidRPr="0080656E">
          <w:rPr>
            <w:rFonts w:asciiTheme="majorHAnsi" w:hAnsiTheme="majorHAnsi"/>
            <w:noProof/>
            <w:webHidden/>
            <w:sz w:val="20"/>
            <w:szCs w:val="20"/>
          </w:rPr>
          <w:fldChar w:fldCharType="end"/>
        </w:r>
      </w:hyperlink>
    </w:p>
    <w:p w14:paraId="3CA745F5" w14:textId="10060106" w:rsidR="0080656E" w:rsidRPr="0080656E" w:rsidRDefault="00F347BD">
      <w:pPr>
        <w:pStyle w:val="TOC3"/>
        <w:tabs>
          <w:tab w:val="left" w:pos="2160"/>
        </w:tabs>
        <w:rPr>
          <w:rFonts w:asciiTheme="majorHAnsi" w:eastAsiaTheme="minorEastAsia" w:hAnsiTheme="majorHAnsi" w:cstheme="minorBidi"/>
          <w:noProof/>
          <w:kern w:val="2"/>
          <w:sz w:val="20"/>
          <w:szCs w:val="20"/>
          <w:bdr w:val="none" w:sz="0" w:space="0" w:color="auto"/>
          <w14:ligatures w14:val="standardContextual"/>
        </w:rPr>
      </w:pPr>
      <w:hyperlink w:anchor="_Toc196383472" w:history="1">
        <w:r w:rsidR="0080656E" w:rsidRPr="0080656E">
          <w:rPr>
            <w:rStyle w:val="Hyperlink"/>
            <w:rFonts w:asciiTheme="majorHAnsi" w:hAnsiTheme="majorHAnsi"/>
            <w:noProof/>
            <w:sz w:val="20"/>
            <w:szCs w:val="20"/>
          </w:rPr>
          <w:t>1.</w:t>
        </w:r>
        <w:r w:rsidR="0080656E" w:rsidRPr="0080656E">
          <w:rPr>
            <w:rFonts w:asciiTheme="majorHAnsi" w:eastAsiaTheme="minorEastAsia" w:hAnsiTheme="majorHAnsi" w:cstheme="minorBidi"/>
            <w:noProof/>
            <w:kern w:val="2"/>
            <w:sz w:val="20"/>
            <w:szCs w:val="20"/>
            <w:bdr w:val="none" w:sz="0" w:space="0" w:color="auto"/>
            <w14:ligatures w14:val="standardContextual"/>
          </w:rPr>
          <w:tab/>
        </w:r>
        <w:r w:rsidR="0080656E" w:rsidRPr="0080656E">
          <w:rPr>
            <w:rStyle w:val="Hyperlink"/>
            <w:rFonts w:asciiTheme="majorHAnsi" w:hAnsiTheme="majorHAnsi"/>
            <w:noProof/>
            <w:sz w:val="20"/>
            <w:szCs w:val="20"/>
          </w:rPr>
          <w:t>Regarding regime of Law 24.043 of 1991</w:t>
        </w:r>
        <w:r w:rsidR="0080656E" w:rsidRPr="0080656E">
          <w:rPr>
            <w:rFonts w:asciiTheme="majorHAnsi" w:hAnsiTheme="majorHAnsi"/>
            <w:noProof/>
            <w:webHidden/>
            <w:sz w:val="20"/>
            <w:szCs w:val="20"/>
          </w:rPr>
          <w:tab/>
        </w:r>
        <w:r w:rsidR="0080656E" w:rsidRPr="0080656E">
          <w:rPr>
            <w:rFonts w:asciiTheme="majorHAnsi" w:hAnsiTheme="majorHAnsi"/>
            <w:noProof/>
            <w:webHidden/>
            <w:sz w:val="20"/>
            <w:szCs w:val="20"/>
          </w:rPr>
          <w:fldChar w:fldCharType="begin"/>
        </w:r>
        <w:r w:rsidR="0080656E" w:rsidRPr="0080656E">
          <w:rPr>
            <w:rFonts w:asciiTheme="majorHAnsi" w:hAnsiTheme="majorHAnsi"/>
            <w:noProof/>
            <w:webHidden/>
            <w:sz w:val="20"/>
            <w:szCs w:val="20"/>
          </w:rPr>
          <w:instrText xml:space="preserve"> PAGEREF _Toc196383472 \h </w:instrText>
        </w:r>
        <w:r w:rsidR="0080656E" w:rsidRPr="0080656E">
          <w:rPr>
            <w:rFonts w:asciiTheme="majorHAnsi" w:hAnsiTheme="majorHAnsi"/>
            <w:noProof/>
            <w:webHidden/>
            <w:sz w:val="20"/>
            <w:szCs w:val="20"/>
          </w:rPr>
        </w:r>
        <w:r w:rsidR="0080656E" w:rsidRPr="0080656E">
          <w:rPr>
            <w:rFonts w:asciiTheme="majorHAnsi" w:hAnsiTheme="majorHAnsi"/>
            <w:noProof/>
            <w:webHidden/>
            <w:sz w:val="20"/>
            <w:szCs w:val="20"/>
          </w:rPr>
          <w:fldChar w:fldCharType="separate"/>
        </w:r>
        <w:r>
          <w:rPr>
            <w:rFonts w:asciiTheme="majorHAnsi" w:hAnsiTheme="majorHAnsi"/>
            <w:noProof/>
            <w:webHidden/>
            <w:sz w:val="20"/>
            <w:szCs w:val="20"/>
          </w:rPr>
          <w:t>6</w:t>
        </w:r>
        <w:r w:rsidR="0080656E" w:rsidRPr="0080656E">
          <w:rPr>
            <w:rFonts w:asciiTheme="majorHAnsi" w:hAnsiTheme="majorHAnsi"/>
            <w:noProof/>
            <w:webHidden/>
            <w:sz w:val="20"/>
            <w:szCs w:val="20"/>
          </w:rPr>
          <w:fldChar w:fldCharType="end"/>
        </w:r>
      </w:hyperlink>
    </w:p>
    <w:p w14:paraId="7833A151" w14:textId="3499CFB7" w:rsidR="0080656E" w:rsidRPr="0080656E" w:rsidRDefault="00F347BD">
      <w:pPr>
        <w:pStyle w:val="TOC3"/>
        <w:tabs>
          <w:tab w:val="left" w:pos="2160"/>
        </w:tabs>
        <w:rPr>
          <w:rFonts w:asciiTheme="majorHAnsi" w:eastAsiaTheme="minorEastAsia" w:hAnsiTheme="majorHAnsi" w:cstheme="minorBidi"/>
          <w:noProof/>
          <w:kern w:val="2"/>
          <w:sz w:val="20"/>
          <w:szCs w:val="20"/>
          <w:bdr w:val="none" w:sz="0" w:space="0" w:color="auto"/>
          <w14:ligatures w14:val="standardContextual"/>
        </w:rPr>
      </w:pPr>
      <w:hyperlink w:anchor="_Toc196383473" w:history="1">
        <w:r w:rsidR="0080656E" w:rsidRPr="0080656E">
          <w:rPr>
            <w:rStyle w:val="Hyperlink"/>
            <w:rFonts w:asciiTheme="majorHAnsi" w:hAnsiTheme="majorHAnsi"/>
            <w:noProof/>
            <w:sz w:val="20"/>
            <w:szCs w:val="20"/>
          </w:rPr>
          <w:t>2.</w:t>
        </w:r>
        <w:r w:rsidR="0080656E" w:rsidRPr="0080656E">
          <w:rPr>
            <w:rFonts w:asciiTheme="majorHAnsi" w:eastAsiaTheme="minorEastAsia" w:hAnsiTheme="majorHAnsi" w:cstheme="minorBidi"/>
            <w:noProof/>
            <w:kern w:val="2"/>
            <w:sz w:val="20"/>
            <w:szCs w:val="20"/>
            <w:bdr w:val="none" w:sz="0" w:space="0" w:color="auto"/>
            <w14:ligatures w14:val="standardContextual"/>
          </w:rPr>
          <w:tab/>
        </w:r>
        <w:r w:rsidR="0080656E" w:rsidRPr="0080656E">
          <w:rPr>
            <w:rStyle w:val="Hyperlink"/>
            <w:rFonts w:asciiTheme="majorHAnsi" w:hAnsiTheme="majorHAnsi"/>
            <w:noProof/>
            <w:sz w:val="20"/>
            <w:szCs w:val="20"/>
          </w:rPr>
          <w:t>Regarding Law 26.564 of 2009</w:t>
        </w:r>
        <w:r w:rsidR="0080656E" w:rsidRPr="0080656E">
          <w:rPr>
            <w:rFonts w:asciiTheme="majorHAnsi" w:hAnsiTheme="majorHAnsi"/>
            <w:noProof/>
            <w:webHidden/>
            <w:sz w:val="20"/>
            <w:szCs w:val="20"/>
          </w:rPr>
          <w:tab/>
        </w:r>
        <w:r w:rsidR="0080656E" w:rsidRPr="0080656E">
          <w:rPr>
            <w:rFonts w:asciiTheme="majorHAnsi" w:hAnsiTheme="majorHAnsi"/>
            <w:noProof/>
            <w:webHidden/>
            <w:sz w:val="20"/>
            <w:szCs w:val="20"/>
          </w:rPr>
          <w:fldChar w:fldCharType="begin"/>
        </w:r>
        <w:r w:rsidR="0080656E" w:rsidRPr="0080656E">
          <w:rPr>
            <w:rFonts w:asciiTheme="majorHAnsi" w:hAnsiTheme="majorHAnsi"/>
            <w:noProof/>
            <w:webHidden/>
            <w:sz w:val="20"/>
            <w:szCs w:val="20"/>
          </w:rPr>
          <w:instrText xml:space="preserve"> PAGEREF _Toc196383473 \h </w:instrText>
        </w:r>
        <w:r w:rsidR="0080656E" w:rsidRPr="0080656E">
          <w:rPr>
            <w:rFonts w:asciiTheme="majorHAnsi" w:hAnsiTheme="majorHAnsi"/>
            <w:noProof/>
            <w:webHidden/>
            <w:sz w:val="20"/>
            <w:szCs w:val="20"/>
          </w:rPr>
        </w:r>
        <w:r w:rsidR="0080656E" w:rsidRPr="0080656E">
          <w:rPr>
            <w:rFonts w:asciiTheme="majorHAnsi" w:hAnsiTheme="majorHAnsi"/>
            <w:noProof/>
            <w:webHidden/>
            <w:sz w:val="20"/>
            <w:szCs w:val="20"/>
          </w:rPr>
          <w:fldChar w:fldCharType="separate"/>
        </w:r>
        <w:r>
          <w:rPr>
            <w:rFonts w:asciiTheme="majorHAnsi" w:hAnsiTheme="majorHAnsi"/>
            <w:noProof/>
            <w:webHidden/>
            <w:sz w:val="20"/>
            <w:szCs w:val="20"/>
          </w:rPr>
          <w:t>7</w:t>
        </w:r>
        <w:r w:rsidR="0080656E" w:rsidRPr="0080656E">
          <w:rPr>
            <w:rFonts w:asciiTheme="majorHAnsi" w:hAnsiTheme="majorHAnsi"/>
            <w:noProof/>
            <w:webHidden/>
            <w:sz w:val="20"/>
            <w:szCs w:val="20"/>
          </w:rPr>
          <w:fldChar w:fldCharType="end"/>
        </w:r>
      </w:hyperlink>
    </w:p>
    <w:p w14:paraId="6FC08E0B" w14:textId="3D703F13" w:rsidR="0080656E" w:rsidRPr="0080656E" w:rsidRDefault="00F347BD">
      <w:pPr>
        <w:pStyle w:val="TOC2"/>
        <w:rPr>
          <w:rFonts w:asciiTheme="majorHAnsi" w:eastAsiaTheme="minorEastAsia" w:hAnsiTheme="majorHAnsi" w:cstheme="minorBidi"/>
          <w:noProof/>
          <w:kern w:val="2"/>
          <w:sz w:val="20"/>
          <w:szCs w:val="20"/>
          <w:bdr w:val="none" w:sz="0" w:space="0" w:color="auto"/>
          <w14:ligatures w14:val="standardContextual"/>
        </w:rPr>
      </w:pPr>
      <w:hyperlink w:anchor="_Toc196383474" w:history="1">
        <w:r w:rsidR="0080656E" w:rsidRPr="0080656E">
          <w:rPr>
            <w:rStyle w:val="Hyperlink"/>
            <w:rFonts w:asciiTheme="majorHAnsi" w:hAnsiTheme="majorHAnsi"/>
            <w:noProof/>
            <w:sz w:val="20"/>
            <w:szCs w:val="20"/>
          </w:rPr>
          <w:t>B.</w:t>
        </w:r>
        <w:r w:rsidR="0080656E" w:rsidRPr="0080656E">
          <w:rPr>
            <w:rFonts w:asciiTheme="majorHAnsi" w:eastAsiaTheme="minorEastAsia" w:hAnsiTheme="majorHAnsi" w:cstheme="minorBidi"/>
            <w:noProof/>
            <w:kern w:val="2"/>
            <w:sz w:val="20"/>
            <w:szCs w:val="20"/>
            <w:bdr w:val="none" w:sz="0" w:space="0" w:color="auto"/>
            <w14:ligatures w14:val="standardContextual"/>
          </w:rPr>
          <w:tab/>
        </w:r>
        <w:r w:rsidR="0080656E" w:rsidRPr="0080656E">
          <w:rPr>
            <w:rStyle w:val="Hyperlink"/>
            <w:rFonts w:asciiTheme="majorHAnsi" w:hAnsiTheme="majorHAnsi"/>
            <w:noProof/>
            <w:sz w:val="20"/>
            <w:szCs w:val="20"/>
          </w:rPr>
          <w:t>Information available on the alleged victims and their families</w:t>
        </w:r>
        <w:r w:rsidR="0080656E" w:rsidRPr="0080656E">
          <w:rPr>
            <w:rFonts w:asciiTheme="majorHAnsi" w:hAnsiTheme="majorHAnsi"/>
            <w:noProof/>
            <w:webHidden/>
            <w:sz w:val="20"/>
            <w:szCs w:val="20"/>
          </w:rPr>
          <w:tab/>
        </w:r>
        <w:r w:rsidR="0080656E" w:rsidRPr="0080656E">
          <w:rPr>
            <w:rFonts w:asciiTheme="majorHAnsi" w:hAnsiTheme="majorHAnsi"/>
            <w:noProof/>
            <w:webHidden/>
            <w:sz w:val="20"/>
            <w:szCs w:val="20"/>
          </w:rPr>
          <w:fldChar w:fldCharType="begin"/>
        </w:r>
        <w:r w:rsidR="0080656E" w:rsidRPr="0080656E">
          <w:rPr>
            <w:rFonts w:asciiTheme="majorHAnsi" w:hAnsiTheme="majorHAnsi"/>
            <w:noProof/>
            <w:webHidden/>
            <w:sz w:val="20"/>
            <w:szCs w:val="20"/>
          </w:rPr>
          <w:instrText xml:space="preserve"> PAGEREF _Toc196383474 \h </w:instrText>
        </w:r>
        <w:r w:rsidR="0080656E" w:rsidRPr="0080656E">
          <w:rPr>
            <w:rFonts w:asciiTheme="majorHAnsi" w:hAnsiTheme="majorHAnsi"/>
            <w:noProof/>
            <w:webHidden/>
            <w:sz w:val="20"/>
            <w:szCs w:val="20"/>
          </w:rPr>
        </w:r>
        <w:r w:rsidR="0080656E" w:rsidRPr="0080656E">
          <w:rPr>
            <w:rFonts w:asciiTheme="majorHAnsi" w:hAnsiTheme="majorHAnsi"/>
            <w:noProof/>
            <w:webHidden/>
            <w:sz w:val="20"/>
            <w:szCs w:val="20"/>
          </w:rPr>
          <w:fldChar w:fldCharType="separate"/>
        </w:r>
        <w:r>
          <w:rPr>
            <w:rFonts w:asciiTheme="majorHAnsi" w:hAnsiTheme="majorHAnsi"/>
            <w:noProof/>
            <w:webHidden/>
            <w:sz w:val="20"/>
            <w:szCs w:val="20"/>
          </w:rPr>
          <w:t>7</w:t>
        </w:r>
        <w:r w:rsidR="0080656E" w:rsidRPr="0080656E">
          <w:rPr>
            <w:rFonts w:asciiTheme="majorHAnsi" w:hAnsiTheme="majorHAnsi"/>
            <w:noProof/>
            <w:webHidden/>
            <w:sz w:val="20"/>
            <w:szCs w:val="20"/>
          </w:rPr>
          <w:fldChar w:fldCharType="end"/>
        </w:r>
      </w:hyperlink>
    </w:p>
    <w:p w14:paraId="4916324F" w14:textId="61A8434A" w:rsidR="0080656E" w:rsidRPr="0080656E" w:rsidRDefault="00F347BD">
      <w:pPr>
        <w:pStyle w:val="TOC3"/>
        <w:tabs>
          <w:tab w:val="left" w:pos="2160"/>
        </w:tabs>
        <w:rPr>
          <w:rFonts w:asciiTheme="majorHAnsi" w:eastAsiaTheme="minorEastAsia" w:hAnsiTheme="majorHAnsi" w:cstheme="minorBidi"/>
          <w:noProof/>
          <w:kern w:val="2"/>
          <w:sz w:val="20"/>
          <w:szCs w:val="20"/>
          <w:bdr w:val="none" w:sz="0" w:space="0" w:color="auto"/>
          <w14:ligatures w14:val="standardContextual"/>
        </w:rPr>
      </w:pPr>
      <w:hyperlink w:anchor="_Toc196383475" w:history="1">
        <w:r w:rsidR="0080656E" w:rsidRPr="0080656E">
          <w:rPr>
            <w:rStyle w:val="Hyperlink"/>
            <w:rFonts w:asciiTheme="majorHAnsi" w:hAnsiTheme="majorHAnsi"/>
            <w:noProof/>
            <w:sz w:val="20"/>
            <w:szCs w:val="20"/>
          </w:rPr>
          <w:t>1.</w:t>
        </w:r>
        <w:r w:rsidR="0080656E" w:rsidRPr="0080656E">
          <w:rPr>
            <w:rFonts w:asciiTheme="majorHAnsi" w:eastAsiaTheme="minorEastAsia" w:hAnsiTheme="majorHAnsi" w:cstheme="minorBidi"/>
            <w:noProof/>
            <w:kern w:val="2"/>
            <w:sz w:val="20"/>
            <w:szCs w:val="20"/>
            <w:bdr w:val="none" w:sz="0" w:space="0" w:color="auto"/>
            <w14:ligatures w14:val="standardContextual"/>
          </w:rPr>
          <w:tab/>
        </w:r>
        <w:r w:rsidR="0080656E" w:rsidRPr="0080656E">
          <w:rPr>
            <w:rStyle w:val="Hyperlink"/>
            <w:rFonts w:asciiTheme="majorHAnsi" w:hAnsiTheme="majorHAnsi"/>
            <w:noProof/>
            <w:sz w:val="20"/>
            <w:szCs w:val="20"/>
          </w:rPr>
          <w:t>Regarding Julio César Rito de los Santos and his family circle</w:t>
        </w:r>
        <w:r w:rsidR="0080656E" w:rsidRPr="0080656E">
          <w:rPr>
            <w:rFonts w:asciiTheme="majorHAnsi" w:hAnsiTheme="majorHAnsi"/>
            <w:noProof/>
            <w:webHidden/>
            <w:sz w:val="20"/>
            <w:szCs w:val="20"/>
          </w:rPr>
          <w:tab/>
        </w:r>
        <w:r w:rsidR="0080656E" w:rsidRPr="0080656E">
          <w:rPr>
            <w:rFonts w:asciiTheme="majorHAnsi" w:hAnsiTheme="majorHAnsi"/>
            <w:noProof/>
            <w:webHidden/>
            <w:sz w:val="20"/>
            <w:szCs w:val="20"/>
          </w:rPr>
          <w:fldChar w:fldCharType="begin"/>
        </w:r>
        <w:r w:rsidR="0080656E" w:rsidRPr="0080656E">
          <w:rPr>
            <w:rFonts w:asciiTheme="majorHAnsi" w:hAnsiTheme="majorHAnsi"/>
            <w:noProof/>
            <w:webHidden/>
            <w:sz w:val="20"/>
            <w:szCs w:val="20"/>
          </w:rPr>
          <w:instrText xml:space="preserve"> PAGEREF _Toc196383475 \h </w:instrText>
        </w:r>
        <w:r w:rsidR="0080656E" w:rsidRPr="0080656E">
          <w:rPr>
            <w:rFonts w:asciiTheme="majorHAnsi" w:hAnsiTheme="majorHAnsi"/>
            <w:noProof/>
            <w:webHidden/>
            <w:sz w:val="20"/>
            <w:szCs w:val="20"/>
          </w:rPr>
        </w:r>
        <w:r w:rsidR="0080656E" w:rsidRPr="0080656E">
          <w:rPr>
            <w:rFonts w:asciiTheme="majorHAnsi" w:hAnsiTheme="majorHAnsi"/>
            <w:noProof/>
            <w:webHidden/>
            <w:sz w:val="20"/>
            <w:szCs w:val="20"/>
          </w:rPr>
          <w:fldChar w:fldCharType="separate"/>
        </w:r>
        <w:r>
          <w:rPr>
            <w:rFonts w:asciiTheme="majorHAnsi" w:hAnsiTheme="majorHAnsi"/>
            <w:noProof/>
            <w:webHidden/>
            <w:sz w:val="20"/>
            <w:szCs w:val="20"/>
          </w:rPr>
          <w:t>7</w:t>
        </w:r>
        <w:r w:rsidR="0080656E" w:rsidRPr="0080656E">
          <w:rPr>
            <w:rFonts w:asciiTheme="majorHAnsi" w:hAnsiTheme="majorHAnsi"/>
            <w:noProof/>
            <w:webHidden/>
            <w:sz w:val="20"/>
            <w:szCs w:val="20"/>
          </w:rPr>
          <w:fldChar w:fldCharType="end"/>
        </w:r>
      </w:hyperlink>
    </w:p>
    <w:p w14:paraId="7394D358" w14:textId="6416F57D" w:rsidR="0080656E" w:rsidRPr="0080656E" w:rsidRDefault="00F347BD">
      <w:pPr>
        <w:pStyle w:val="TOC3"/>
        <w:tabs>
          <w:tab w:val="left" w:pos="2160"/>
        </w:tabs>
        <w:rPr>
          <w:rFonts w:asciiTheme="majorHAnsi" w:eastAsiaTheme="minorEastAsia" w:hAnsiTheme="majorHAnsi" w:cstheme="minorBidi"/>
          <w:noProof/>
          <w:kern w:val="2"/>
          <w:sz w:val="20"/>
          <w:szCs w:val="20"/>
          <w:bdr w:val="none" w:sz="0" w:space="0" w:color="auto"/>
          <w14:ligatures w14:val="standardContextual"/>
        </w:rPr>
      </w:pPr>
      <w:hyperlink w:anchor="_Toc196383476" w:history="1">
        <w:r w:rsidR="0080656E" w:rsidRPr="0080656E">
          <w:rPr>
            <w:rStyle w:val="Hyperlink"/>
            <w:rFonts w:asciiTheme="majorHAnsi" w:hAnsiTheme="majorHAnsi"/>
            <w:noProof/>
            <w:sz w:val="20"/>
            <w:szCs w:val="20"/>
          </w:rPr>
          <w:t>2.</w:t>
        </w:r>
        <w:r w:rsidR="0080656E" w:rsidRPr="0080656E">
          <w:rPr>
            <w:rFonts w:asciiTheme="majorHAnsi" w:eastAsiaTheme="minorEastAsia" w:hAnsiTheme="majorHAnsi" w:cstheme="minorBidi"/>
            <w:noProof/>
            <w:kern w:val="2"/>
            <w:sz w:val="20"/>
            <w:szCs w:val="20"/>
            <w:bdr w:val="none" w:sz="0" w:space="0" w:color="auto"/>
            <w14:ligatures w14:val="standardContextual"/>
          </w:rPr>
          <w:tab/>
        </w:r>
        <w:r w:rsidR="0080656E" w:rsidRPr="0080656E">
          <w:rPr>
            <w:rStyle w:val="Hyperlink"/>
            <w:rFonts w:asciiTheme="majorHAnsi" w:hAnsiTheme="majorHAnsi"/>
            <w:noProof/>
            <w:sz w:val="20"/>
            <w:szCs w:val="20"/>
          </w:rPr>
          <w:t>Regarding Hugo Daniel Ferreira and his family circle</w:t>
        </w:r>
        <w:r w:rsidR="0080656E" w:rsidRPr="0080656E">
          <w:rPr>
            <w:rFonts w:asciiTheme="majorHAnsi" w:hAnsiTheme="majorHAnsi"/>
            <w:noProof/>
            <w:webHidden/>
            <w:sz w:val="20"/>
            <w:szCs w:val="20"/>
          </w:rPr>
          <w:tab/>
        </w:r>
        <w:r w:rsidR="0080656E" w:rsidRPr="0080656E">
          <w:rPr>
            <w:rFonts w:asciiTheme="majorHAnsi" w:hAnsiTheme="majorHAnsi"/>
            <w:noProof/>
            <w:webHidden/>
            <w:sz w:val="20"/>
            <w:szCs w:val="20"/>
          </w:rPr>
          <w:fldChar w:fldCharType="begin"/>
        </w:r>
        <w:r w:rsidR="0080656E" w:rsidRPr="0080656E">
          <w:rPr>
            <w:rFonts w:asciiTheme="majorHAnsi" w:hAnsiTheme="majorHAnsi"/>
            <w:noProof/>
            <w:webHidden/>
            <w:sz w:val="20"/>
            <w:szCs w:val="20"/>
          </w:rPr>
          <w:instrText xml:space="preserve"> PAGEREF _Toc196383476 \h </w:instrText>
        </w:r>
        <w:r w:rsidR="0080656E" w:rsidRPr="0080656E">
          <w:rPr>
            <w:rFonts w:asciiTheme="majorHAnsi" w:hAnsiTheme="majorHAnsi"/>
            <w:noProof/>
            <w:webHidden/>
            <w:sz w:val="20"/>
            <w:szCs w:val="20"/>
          </w:rPr>
        </w:r>
        <w:r w:rsidR="0080656E" w:rsidRPr="0080656E">
          <w:rPr>
            <w:rFonts w:asciiTheme="majorHAnsi" w:hAnsiTheme="majorHAnsi"/>
            <w:noProof/>
            <w:webHidden/>
            <w:sz w:val="20"/>
            <w:szCs w:val="20"/>
          </w:rPr>
          <w:fldChar w:fldCharType="separate"/>
        </w:r>
        <w:r>
          <w:rPr>
            <w:rFonts w:asciiTheme="majorHAnsi" w:hAnsiTheme="majorHAnsi"/>
            <w:noProof/>
            <w:webHidden/>
            <w:sz w:val="20"/>
            <w:szCs w:val="20"/>
          </w:rPr>
          <w:t>7</w:t>
        </w:r>
        <w:r w:rsidR="0080656E" w:rsidRPr="0080656E">
          <w:rPr>
            <w:rFonts w:asciiTheme="majorHAnsi" w:hAnsiTheme="majorHAnsi"/>
            <w:noProof/>
            <w:webHidden/>
            <w:sz w:val="20"/>
            <w:szCs w:val="20"/>
          </w:rPr>
          <w:fldChar w:fldCharType="end"/>
        </w:r>
      </w:hyperlink>
    </w:p>
    <w:p w14:paraId="2F7CBE39" w14:textId="7D691AD1" w:rsidR="0080656E" w:rsidRPr="0080656E" w:rsidRDefault="00F347BD">
      <w:pPr>
        <w:pStyle w:val="TOC3"/>
        <w:tabs>
          <w:tab w:val="left" w:pos="2160"/>
        </w:tabs>
        <w:rPr>
          <w:rFonts w:asciiTheme="majorHAnsi" w:eastAsiaTheme="minorEastAsia" w:hAnsiTheme="majorHAnsi" w:cstheme="minorBidi"/>
          <w:noProof/>
          <w:kern w:val="2"/>
          <w:sz w:val="20"/>
          <w:szCs w:val="20"/>
          <w:bdr w:val="none" w:sz="0" w:space="0" w:color="auto"/>
          <w14:ligatures w14:val="standardContextual"/>
        </w:rPr>
      </w:pPr>
      <w:hyperlink w:anchor="_Toc196383477" w:history="1">
        <w:r w:rsidR="0080656E" w:rsidRPr="0080656E">
          <w:rPr>
            <w:rStyle w:val="Hyperlink"/>
            <w:rFonts w:asciiTheme="majorHAnsi" w:hAnsiTheme="majorHAnsi"/>
            <w:noProof/>
            <w:sz w:val="20"/>
            <w:szCs w:val="20"/>
          </w:rPr>
          <w:t>3.</w:t>
        </w:r>
        <w:r w:rsidR="0080656E" w:rsidRPr="0080656E">
          <w:rPr>
            <w:rFonts w:asciiTheme="majorHAnsi" w:eastAsiaTheme="minorEastAsia" w:hAnsiTheme="majorHAnsi" w:cstheme="minorBidi"/>
            <w:noProof/>
            <w:kern w:val="2"/>
            <w:sz w:val="20"/>
            <w:szCs w:val="20"/>
            <w:bdr w:val="none" w:sz="0" w:space="0" w:color="auto"/>
            <w14:ligatures w14:val="standardContextual"/>
          </w:rPr>
          <w:tab/>
        </w:r>
        <w:r w:rsidR="0080656E" w:rsidRPr="0080656E">
          <w:rPr>
            <w:rStyle w:val="Hyperlink"/>
            <w:rFonts w:asciiTheme="majorHAnsi" w:hAnsiTheme="majorHAnsi"/>
            <w:noProof/>
            <w:sz w:val="20"/>
            <w:szCs w:val="20"/>
          </w:rPr>
          <w:t>Regarding Nicasio Washington Romero Ubal</w:t>
        </w:r>
        <w:r w:rsidR="0080656E" w:rsidRPr="0080656E">
          <w:rPr>
            <w:rFonts w:asciiTheme="majorHAnsi" w:hAnsiTheme="majorHAnsi"/>
            <w:noProof/>
            <w:webHidden/>
            <w:sz w:val="20"/>
            <w:szCs w:val="20"/>
          </w:rPr>
          <w:tab/>
        </w:r>
        <w:r w:rsidR="0080656E" w:rsidRPr="0080656E">
          <w:rPr>
            <w:rFonts w:asciiTheme="majorHAnsi" w:hAnsiTheme="majorHAnsi"/>
            <w:noProof/>
            <w:webHidden/>
            <w:sz w:val="20"/>
            <w:szCs w:val="20"/>
          </w:rPr>
          <w:fldChar w:fldCharType="begin"/>
        </w:r>
        <w:r w:rsidR="0080656E" w:rsidRPr="0080656E">
          <w:rPr>
            <w:rFonts w:asciiTheme="majorHAnsi" w:hAnsiTheme="majorHAnsi"/>
            <w:noProof/>
            <w:webHidden/>
            <w:sz w:val="20"/>
            <w:szCs w:val="20"/>
          </w:rPr>
          <w:instrText xml:space="preserve"> PAGEREF _Toc196383477 \h </w:instrText>
        </w:r>
        <w:r w:rsidR="0080656E" w:rsidRPr="0080656E">
          <w:rPr>
            <w:rFonts w:asciiTheme="majorHAnsi" w:hAnsiTheme="majorHAnsi"/>
            <w:noProof/>
            <w:webHidden/>
            <w:sz w:val="20"/>
            <w:szCs w:val="20"/>
          </w:rPr>
        </w:r>
        <w:r w:rsidR="0080656E" w:rsidRPr="0080656E">
          <w:rPr>
            <w:rFonts w:asciiTheme="majorHAnsi" w:hAnsiTheme="majorHAnsi"/>
            <w:noProof/>
            <w:webHidden/>
            <w:sz w:val="20"/>
            <w:szCs w:val="20"/>
          </w:rPr>
          <w:fldChar w:fldCharType="separate"/>
        </w:r>
        <w:r>
          <w:rPr>
            <w:rFonts w:asciiTheme="majorHAnsi" w:hAnsiTheme="majorHAnsi"/>
            <w:noProof/>
            <w:webHidden/>
            <w:sz w:val="20"/>
            <w:szCs w:val="20"/>
          </w:rPr>
          <w:t>8</w:t>
        </w:r>
        <w:r w:rsidR="0080656E" w:rsidRPr="0080656E">
          <w:rPr>
            <w:rFonts w:asciiTheme="majorHAnsi" w:hAnsiTheme="majorHAnsi"/>
            <w:noProof/>
            <w:webHidden/>
            <w:sz w:val="20"/>
            <w:szCs w:val="20"/>
          </w:rPr>
          <w:fldChar w:fldCharType="end"/>
        </w:r>
      </w:hyperlink>
    </w:p>
    <w:p w14:paraId="5F9A4FDF" w14:textId="061D0026" w:rsidR="0080656E" w:rsidRPr="0080656E" w:rsidRDefault="00F347BD">
      <w:pPr>
        <w:pStyle w:val="TOC2"/>
        <w:rPr>
          <w:rFonts w:asciiTheme="majorHAnsi" w:eastAsiaTheme="minorEastAsia" w:hAnsiTheme="majorHAnsi" w:cstheme="minorBidi"/>
          <w:noProof/>
          <w:kern w:val="2"/>
          <w:sz w:val="20"/>
          <w:szCs w:val="20"/>
          <w:bdr w:val="none" w:sz="0" w:space="0" w:color="auto"/>
          <w14:ligatures w14:val="standardContextual"/>
        </w:rPr>
      </w:pPr>
      <w:hyperlink w:anchor="_Toc196383478" w:history="1">
        <w:r w:rsidR="0080656E" w:rsidRPr="0080656E">
          <w:rPr>
            <w:rStyle w:val="Hyperlink"/>
            <w:rFonts w:asciiTheme="majorHAnsi" w:hAnsiTheme="majorHAnsi"/>
            <w:noProof/>
            <w:sz w:val="20"/>
            <w:szCs w:val="20"/>
          </w:rPr>
          <w:t>C.</w:t>
        </w:r>
        <w:r w:rsidR="0080656E" w:rsidRPr="0080656E">
          <w:rPr>
            <w:rFonts w:asciiTheme="majorHAnsi" w:eastAsiaTheme="minorEastAsia" w:hAnsiTheme="majorHAnsi" w:cstheme="minorBidi"/>
            <w:noProof/>
            <w:kern w:val="2"/>
            <w:sz w:val="20"/>
            <w:szCs w:val="20"/>
            <w:bdr w:val="none" w:sz="0" w:space="0" w:color="auto"/>
            <w14:ligatures w14:val="standardContextual"/>
          </w:rPr>
          <w:tab/>
        </w:r>
        <w:r w:rsidR="0080656E" w:rsidRPr="0080656E">
          <w:rPr>
            <w:rStyle w:val="Hyperlink"/>
            <w:rFonts w:asciiTheme="majorHAnsi" w:hAnsiTheme="majorHAnsi"/>
            <w:noProof/>
            <w:sz w:val="20"/>
            <w:szCs w:val="20"/>
          </w:rPr>
          <w:t>REGARDING THE DETENTIONS AND PROCEEDINGS OF REPARATION INITIATED BY THE ALLEGED VICTIMS</w:t>
        </w:r>
        <w:r w:rsidR="0080656E" w:rsidRPr="0080656E">
          <w:rPr>
            <w:rFonts w:asciiTheme="majorHAnsi" w:hAnsiTheme="majorHAnsi"/>
            <w:noProof/>
            <w:webHidden/>
            <w:sz w:val="20"/>
            <w:szCs w:val="20"/>
          </w:rPr>
          <w:tab/>
        </w:r>
        <w:r w:rsidR="0080656E" w:rsidRPr="0080656E">
          <w:rPr>
            <w:rFonts w:asciiTheme="majorHAnsi" w:hAnsiTheme="majorHAnsi"/>
            <w:noProof/>
            <w:webHidden/>
            <w:sz w:val="20"/>
            <w:szCs w:val="20"/>
          </w:rPr>
          <w:fldChar w:fldCharType="begin"/>
        </w:r>
        <w:r w:rsidR="0080656E" w:rsidRPr="0080656E">
          <w:rPr>
            <w:rFonts w:asciiTheme="majorHAnsi" w:hAnsiTheme="majorHAnsi"/>
            <w:noProof/>
            <w:webHidden/>
            <w:sz w:val="20"/>
            <w:szCs w:val="20"/>
          </w:rPr>
          <w:instrText xml:space="preserve"> PAGEREF _Toc196383478 \h </w:instrText>
        </w:r>
        <w:r w:rsidR="0080656E" w:rsidRPr="0080656E">
          <w:rPr>
            <w:rFonts w:asciiTheme="majorHAnsi" w:hAnsiTheme="majorHAnsi"/>
            <w:noProof/>
            <w:webHidden/>
            <w:sz w:val="20"/>
            <w:szCs w:val="20"/>
          </w:rPr>
        </w:r>
        <w:r w:rsidR="0080656E" w:rsidRPr="0080656E">
          <w:rPr>
            <w:rFonts w:asciiTheme="majorHAnsi" w:hAnsiTheme="majorHAnsi"/>
            <w:noProof/>
            <w:webHidden/>
            <w:sz w:val="20"/>
            <w:szCs w:val="20"/>
          </w:rPr>
          <w:fldChar w:fldCharType="separate"/>
        </w:r>
        <w:r>
          <w:rPr>
            <w:rFonts w:asciiTheme="majorHAnsi" w:hAnsiTheme="majorHAnsi"/>
            <w:noProof/>
            <w:webHidden/>
            <w:sz w:val="20"/>
            <w:szCs w:val="20"/>
          </w:rPr>
          <w:t>8</w:t>
        </w:r>
        <w:r w:rsidR="0080656E" w:rsidRPr="0080656E">
          <w:rPr>
            <w:rFonts w:asciiTheme="majorHAnsi" w:hAnsiTheme="majorHAnsi"/>
            <w:noProof/>
            <w:webHidden/>
            <w:sz w:val="20"/>
            <w:szCs w:val="20"/>
          </w:rPr>
          <w:fldChar w:fldCharType="end"/>
        </w:r>
      </w:hyperlink>
    </w:p>
    <w:p w14:paraId="3DF6FC92" w14:textId="5FC60121" w:rsidR="0080656E" w:rsidRPr="0080656E" w:rsidRDefault="00F347BD">
      <w:pPr>
        <w:pStyle w:val="TOC3"/>
        <w:tabs>
          <w:tab w:val="left" w:pos="2160"/>
        </w:tabs>
        <w:rPr>
          <w:rFonts w:asciiTheme="majorHAnsi" w:eastAsiaTheme="minorEastAsia" w:hAnsiTheme="majorHAnsi" w:cstheme="minorBidi"/>
          <w:noProof/>
          <w:kern w:val="2"/>
          <w:sz w:val="20"/>
          <w:szCs w:val="20"/>
          <w:bdr w:val="none" w:sz="0" w:space="0" w:color="auto"/>
          <w14:ligatures w14:val="standardContextual"/>
        </w:rPr>
      </w:pPr>
      <w:hyperlink w:anchor="_Toc196383479" w:history="1">
        <w:r w:rsidR="0080656E" w:rsidRPr="0080656E">
          <w:rPr>
            <w:rStyle w:val="Hyperlink"/>
            <w:rFonts w:asciiTheme="majorHAnsi" w:hAnsiTheme="majorHAnsi"/>
            <w:noProof/>
            <w:sz w:val="20"/>
            <w:szCs w:val="20"/>
            <w:lang w:val="es-US"/>
          </w:rPr>
          <w:t>1.</w:t>
        </w:r>
        <w:r w:rsidR="0080656E" w:rsidRPr="0080656E">
          <w:rPr>
            <w:rFonts w:asciiTheme="majorHAnsi" w:eastAsiaTheme="minorEastAsia" w:hAnsiTheme="majorHAnsi" w:cstheme="minorBidi"/>
            <w:noProof/>
            <w:kern w:val="2"/>
            <w:sz w:val="20"/>
            <w:szCs w:val="20"/>
            <w:bdr w:val="none" w:sz="0" w:space="0" w:color="auto"/>
            <w14:ligatures w14:val="standardContextual"/>
          </w:rPr>
          <w:tab/>
        </w:r>
        <w:r w:rsidR="0080656E" w:rsidRPr="0080656E">
          <w:rPr>
            <w:rStyle w:val="Hyperlink"/>
            <w:rFonts w:asciiTheme="majorHAnsi" w:hAnsiTheme="majorHAnsi"/>
            <w:noProof/>
            <w:sz w:val="20"/>
            <w:szCs w:val="20"/>
            <w:lang w:val="es-US"/>
          </w:rPr>
          <w:t>Julio César Rito de los Santos</w:t>
        </w:r>
        <w:r w:rsidR="0080656E" w:rsidRPr="0080656E">
          <w:rPr>
            <w:rFonts w:asciiTheme="majorHAnsi" w:hAnsiTheme="majorHAnsi"/>
            <w:noProof/>
            <w:webHidden/>
            <w:sz w:val="20"/>
            <w:szCs w:val="20"/>
          </w:rPr>
          <w:tab/>
        </w:r>
        <w:r w:rsidR="0080656E" w:rsidRPr="0080656E">
          <w:rPr>
            <w:rFonts w:asciiTheme="majorHAnsi" w:hAnsiTheme="majorHAnsi"/>
            <w:noProof/>
            <w:webHidden/>
            <w:sz w:val="20"/>
            <w:szCs w:val="20"/>
          </w:rPr>
          <w:fldChar w:fldCharType="begin"/>
        </w:r>
        <w:r w:rsidR="0080656E" w:rsidRPr="0080656E">
          <w:rPr>
            <w:rFonts w:asciiTheme="majorHAnsi" w:hAnsiTheme="majorHAnsi"/>
            <w:noProof/>
            <w:webHidden/>
            <w:sz w:val="20"/>
            <w:szCs w:val="20"/>
          </w:rPr>
          <w:instrText xml:space="preserve"> PAGEREF _Toc196383479 \h </w:instrText>
        </w:r>
        <w:r w:rsidR="0080656E" w:rsidRPr="0080656E">
          <w:rPr>
            <w:rFonts w:asciiTheme="majorHAnsi" w:hAnsiTheme="majorHAnsi"/>
            <w:noProof/>
            <w:webHidden/>
            <w:sz w:val="20"/>
            <w:szCs w:val="20"/>
          </w:rPr>
        </w:r>
        <w:r w:rsidR="0080656E" w:rsidRPr="0080656E">
          <w:rPr>
            <w:rFonts w:asciiTheme="majorHAnsi" w:hAnsiTheme="majorHAnsi"/>
            <w:noProof/>
            <w:webHidden/>
            <w:sz w:val="20"/>
            <w:szCs w:val="20"/>
          </w:rPr>
          <w:fldChar w:fldCharType="separate"/>
        </w:r>
        <w:r>
          <w:rPr>
            <w:rFonts w:asciiTheme="majorHAnsi" w:hAnsiTheme="majorHAnsi"/>
            <w:noProof/>
            <w:webHidden/>
            <w:sz w:val="20"/>
            <w:szCs w:val="20"/>
          </w:rPr>
          <w:t>8</w:t>
        </w:r>
        <w:r w:rsidR="0080656E" w:rsidRPr="0080656E">
          <w:rPr>
            <w:rFonts w:asciiTheme="majorHAnsi" w:hAnsiTheme="majorHAnsi"/>
            <w:noProof/>
            <w:webHidden/>
            <w:sz w:val="20"/>
            <w:szCs w:val="20"/>
          </w:rPr>
          <w:fldChar w:fldCharType="end"/>
        </w:r>
      </w:hyperlink>
    </w:p>
    <w:p w14:paraId="47444FB8" w14:textId="39E1462C" w:rsidR="0080656E" w:rsidRPr="0080656E" w:rsidRDefault="00F347BD">
      <w:pPr>
        <w:pStyle w:val="TOC4"/>
        <w:tabs>
          <w:tab w:val="left" w:pos="1440"/>
          <w:tab w:val="right" w:leader="dot" w:pos="9350"/>
        </w:tabs>
        <w:rPr>
          <w:rFonts w:asciiTheme="majorHAnsi" w:eastAsiaTheme="minorEastAsia" w:hAnsiTheme="majorHAnsi" w:cstheme="minorBidi"/>
          <w:noProof/>
          <w:kern w:val="2"/>
          <w:sz w:val="20"/>
          <w:szCs w:val="20"/>
          <w:bdr w:val="none" w:sz="0" w:space="0" w:color="auto"/>
          <w14:ligatures w14:val="standardContextual"/>
        </w:rPr>
      </w:pPr>
      <w:hyperlink w:anchor="_Toc196383480" w:history="1">
        <w:r w:rsidR="0080656E" w:rsidRPr="0080656E">
          <w:rPr>
            <w:rStyle w:val="Hyperlink"/>
            <w:rFonts w:asciiTheme="majorHAnsi" w:hAnsiTheme="majorHAnsi"/>
            <w:b/>
            <w:noProof/>
            <w:sz w:val="20"/>
            <w:szCs w:val="20"/>
          </w:rPr>
          <w:t>1.1</w:t>
        </w:r>
        <w:r w:rsidR="0080656E" w:rsidRPr="0080656E">
          <w:rPr>
            <w:rFonts w:asciiTheme="majorHAnsi" w:eastAsiaTheme="minorEastAsia" w:hAnsiTheme="majorHAnsi" w:cstheme="minorBidi"/>
            <w:noProof/>
            <w:kern w:val="2"/>
            <w:sz w:val="20"/>
            <w:szCs w:val="20"/>
            <w:bdr w:val="none" w:sz="0" w:space="0" w:color="auto"/>
            <w14:ligatures w14:val="standardContextual"/>
          </w:rPr>
          <w:tab/>
        </w:r>
        <w:r w:rsidR="0080656E" w:rsidRPr="0080656E">
          <w:rPr>
            <w:rStyle w:val="Hyperlink"/>
            <w:rFonts w:asciiTheme="majorHAnsi" w:hAnsiTheme="majorHAnsi"/>
            <w:b/>
            <w:noProof/>
            <w:sz w:val="20"/>
            <w:szCs w:val="20"/>
          </w:rPr>
          <w:t>Regarding the reparation proceedings initiated by Mr. Rito de los Santos</w:t>
        </w:r>
        <w:r w:rsidR="0080656E" w:rsidRPr="0080656E">
          <w:rPr>
            <w:rFonts w:asciiTheme="majorHAnsi" w:hAnsiTheme="majorHAnsi"/>
            <w:noProof/>
            <w:webHidden/>
            <w:sz w:val="20"/>
            <w:szCs w:val="20"/>
          </w:rPr>
          <w:tab/>
        </w:r>
        <w:r w:rsidR="0080656E" w:rsidRPr="0080656E">
          <w:rPr>
            <w:rFonts w:asciiTheme="majorHAnsi" w:hAnsiTheme="majorHAnsi"/>
            <w:noProof/>
            <w:webHidden/>
            <w:sz w:val="20"/>
            <w:szCs w:val="20"/>
          </w:rPr>
          <w:fldChar w:fldCharType="begin"/>
        </w:r>
        <w:r w:rsidR="0080656E" w:rsidRPr="0080656E">
          <w:rPr>
            <w:rFonts w:asciiTheme="majorHAnsi" w:hAnsiTheme="majorHAnsi"/>
            <w:noProof/>
            <w:webHidden/>
            <w:sz w:val="20"/>
            <w:szCs w:val="20"/>
          </w:rPr>
          <w:instrText xml:space="preserve"> PAGEREF _Toc196383480 \h </w:instrText>
        </w:r>
        <w:r w:rsidR="0080656E" w:rsidRPr="0080656E">
          <w:rPr>
            <w:rFonts w:asciiTheme="majorHAnsi" w:hAnsiTheme="majorHAnsi"/>
            <w:noProof/>
            <w:webHidden/>
            <w:sz w:val="20"/>
            <w:szCs w:val="20"/>
          </w:rPr>
        </w:r>
        <w:r w:rsidR="0080656E" w:rsidRPr="0080656E">
          <w:rPr>
            <w:rFonts w:asciiTheme="majorHAnsi" w:hAnsiTheme="majorHAnsi"/>
            <w:noProof/>
            <w:webHidden/>
            <w:sz w:val="20"/>
            <w:szCs w:val="20"/>
          </w:rPr>
          <w:fldChar w:fldCharType="separate"/>
        </w:r>
        <w:r>
          <w:rPr>
            <w:rFonts w:asciiTheme="majorHAnsi" w:hAnsiTheme="majorHAnsi"/>
            <w:noProof/>
            <w:webHidden/>
            <w:sz w:val="20"/>
            <w:szCs w:val="20"/>
          </w:rPr>
          <w:t>10</w:t>
        </w:r>
        <w:r w:rsidR="0080656E" w:rsidRPr="0080656E">
          <w:rPr>
            <w:rFonts w:asciiTheme="majorHAnsi" w:hAnsiTheme="majorHAnsi"/>
            <w:noProof/>
            <w:webHidden/>
            <w:sz w:val="20"/>
            <w:szCs w:val="20"/>
          </w:rPr>
          <w:fldChar w:fldCharType="end"/>
        </w:r>
      </w:hyperlink>
    </w:p>
    <w:p w14:paraId="22B32827" w14:textId="50D29059" w:rsidR="0080656E" w:rsidRPr="0080656E" w:rsidRDefault="00F347BD">
      <w:pPr>
        <w:pStyle w:val="TOC3"/>
        <w:tabs>
          <w:tab w:val="left" w:pos="2160"/>
        </w:tabs>
        <w:rPr>
          <w:rFonts w:asciiTheme="majorHAnsi" w:eastAsiaTheme="minorEastAsia" w:hAnsiTheme="majorHAnsi" w:cstheme="minorBidi"/>
          <w:noProof/>
          <w:kern w:val="2"/>
          <w:sz w:val="20"/>
          <w:szCs w:val="20"/>
          <w:bdr w:val="none" w:sz="0" w:space="0" w:color="auto"/>
          <w14:ligatures w14:val="standardContextual"/>
        </w:rPr>
      </w:pPr>
      <w:hyperlink w:anchor="_Toc196383481" w:history="1">
        <w:r w:rsidR="0080656E" w:rsidRPr="0080656E">
          <w:rPr>
            <w:rStyle w:val="Hyperlink"/>
            <w:rFonts w:asciiTheme="majorHAnsi" w:hAnsiTheme="majorHAnsi"/>
            <w:noProof/>
            <w:sz w:val="20"/>
            <w:szCs w:val="20"/>
          </w:rPr>
          <w:t>2.</w:t>
        </w:r>
        <w:r w:rsidR="0080656E" w:rsidRPr="0080656E">
          <w:rPr>
            <w:rFonts w:asciiTheme="majorHAnsi" w:eastAsiaTheme="minorEastAsia" w:hAnsiTheme="majorHAnsi" w:cstheme="minorBidi"/>
            <w:noProof/>
            <w:kern w:val="2"/>
            <w:sz w:val="20"/>
            <w:szCs w:val="20"/>
            <w:bdr w:val="none" w:sz="0" w:space="0" w:color="auto"/>
            <w14:ligatures w14:val="standardContextual"/>
          </w:rPr>
          <w:tab/>
        </w:r>
        <w:r w:rsidR="0080656E" w:rsidRPr="0080656E">
          <w:rPr>
            <w:rStyle w:val="Hyperlink"/>
            <w:rFonts w:asciiTheme="majorHAnsi" w:hAnsiTheme="majorHAnsi"/>
            <w:noProof/>
            <w:sz w:val="20"/>
            <w:szCs w:val="20"/>
          </w:rPr>
          <w:t>Hugo Daniel Ferreira</w:t>
        </w:r>
        <w:r w:rsidR="0080656E" w:rsidRPr="0080656E">
          <w:rPr>
            <w:rFonts w:asciiTheme="majorHAnsi" w:hAnsiTheme="majorHAnsi"/>
            <w:noProof/>
            <w:webHidden/>
            <w:sz w:val="20"/>
            <w:szCs w:val="20"/>
          </w:rPr>
          <w:tab/>
        </w:r>
        <w:r w:rsidR="0080656E" w:rsidRPr="0080656E">
          <w:rPr>
            <w:rFonts w:asciiTheme="majorHAnsi" w:hAnsiTheme="majorHAnsi"/>
            <w:noProof/>
            <w:webHidden/>
            <w:sz w:val="20"/>
            <w:szCs w:val="20"/>
          </w:rPr>
          <w:fldChar w:fldCharType="begin"/>
        </w:r>
        <w:r w:rsidR="0080656E" w:rsidRPr="0080656E">
          <w:rPr>
            <w:rFonts w:asciiTheme="majorHAnsi" w:hAnsiTheme="majorHAnsi"/>
            <w:noProof/>
            <w:webHidden/>
            <w:sz w:val="20"/>
            <w:szCs w:val="20"/>
          </w:rPr>
          <w:instrText xml:space="preserve"> PAGEREF _Toc196383481 \h </w:instrText>
        </w:r>
        <w:r w:rsidR="0080656E" w:rsidRPr="0080656E">
          <w:rPr>
            <w:rFonts w:asciiTheme="majorHAnsi" w:hAnsiTheme="majorHAnsi"/>
            <w:noProof/>
            <w:webHidden/>
            <w:sz w:val="20"/>
            <w:szCs w:val="20"/>
          </w:rPr>
        </w:r>
        <w:r w:rsidR="0080656E" w:rsidRPr="0080656E">
          <w:rPr>
            <w:rFonts w:asciiTheme="majorHAnsi" w:hAnsiTheme="majorHAnsi"/>
            <w:noProof/>
            <w:webHidden/>
            <w:sz w:val="20"/>
            <w:szCs w:val="20"/>
          </w:rPr>
          <w:fldChar w:fldCharType="separate"/>
        </w:r>
        <w:r>
          <w:rPr>
            <w:rFonts w:asciiTheme="majorHAnsi" w:hAnsiTheme="majorHAnsi"/>
            <w:noProof/>
            <w:webHidden/>
            <w:sz w:val="20"/>
            <w:szCs w:val="20"/>
          </w:rPr>
          <w:t>13</w:t>
        </w:r>
        <w:r w:rsidR="0080656E" w:rsidRPr="0080656E">
          <w:rPr>
            <w:rFonts w:asciiTheme="majorHAnsi" w:hAnsiTheme="majorHAnsi"/>
            <w:noProof/>
            <w:webHidden/>
            <w:sz w:val="20"/>
            <w:szCs w:val="20"/>
          </w:rPr>
          <w:fldChar w:fldCharType="end"/>
        </w:r>
      </w:hyperlink>
    </w:p>
    <w:p w14:paraId="4E181FA2" w14:textId="3353A763" w:rsidR="0080656E" w:rsidRPr="0080656E" w:rsidRDefault="00F347BD">
      <w:pPr>
        <w:pStyle w:val="TOC4"/>
        <w:tabs>
          <w:tab w:val="left" w:pos="1440"/>
          <w:tab w:val="right" w:leader="dot" w:pos="9350"/>
        </w:tabs>
        <w:rPr>
          <w:rFonts w:asciiTheme="majorHAnsi" w:eastAsiaTheme="minorEastAsia" w:hAnsiTheme="majorHAnsi" w:cstheme="minorBidi"/>
          <w:noProof/>
          <w:kern w:val="2"/>
          <w:sz w:val="20"/>
          <w:szCs w:val="20"/>
          <w:bdr w:val="none" w:sz="0" w:space="0" w:color="auto"/>
          <w14:ligatures w14:val="standardContextual"/>
        </w:rPr>
      </w:pPr>
      <w:hyperlink w:anchor="_Toc196383482" w:history="1">
        <w:r w:rsidR="0080656E" w:rsidRPr="0080656E">
          <w:rPr>
            <w:rStyle w:val="Hyperlink"/>
            <w:rFonts w:asciiTheme="majorHAnsi" w:hAnsiTheme="majorHAnsi"/>
            <w:b/>
            <w:noProof/>
            <w:sz w:val="20"/>
            <w:szCs w:val="20"/>
          </w:rPr>
          <w:t>2.1</w:t>
        </w:r>
        <w:r w:rsidR="0080656E" w:rsidRPr="0080656E">
          <w:rPr>
            <w:rFonts w:asciiTheme="majorHAnsi" w:eastAsiaTheme="minorEastAsia" w:hAnsiTheme="majorHAnsi" w:cstheme="minorBidi"/>
            <w:noProof/>
            <w:kern w:val="2"/>
            <w:sz w:val="20"/>
            <w:szCs w:val="20"/>
            <w:bdr w:val="none" w:sz="0" w:space="0" w:color="auto"/>
            <w14:ligatures w14:val="standardContextual"/>
          </w:rPr>
          <w:tab/>
        </w:r>
        <w:r w:rsidR="0080656E" w:rsidRPr="0080656E">
          <w:rPr>
            <w:rStyle w:val="Hyperlink"/>
            <w:rFonts w:asciiTheme="majorHAnsi" w:hAnsiTheme="majorHAnsi"/>
            <w:b/>
            <w:noProof/>
            <w:sz w:val="20"/>
            <w:szCs w:val="20"/>
          </w:rPr>
          <w:t>Regarding the proceedings of reparation initiated by Mr. Ferreira</w:t>
        </w:r>
        <w:r w:rsidR="0080656E" w:rsidRPr="0080656E">
          <w:rPr>
            <w:rFonts w:asciiTheme="majorHAnsi" w:hAnsiTheme="majorHAnsi"/>
            <w:noProof/>
            <w:webHidden/>
            <w:sz w:val="20"/>
            <w:szCs w:val="20"/>
          </w:rPr>
          <w:tab/>
        </w:r>
        <w:r w:rsidR="0080656E" w:rsidRPr="0080656E">
          <w:rPr>
            <w:rFonts w:asciiTheme="majorHAnsi" w:hAnsiTheme="majorHAnsi"/>
            <w:noProof/>
            <w:webHidden/>
            <w:sz w:val="20"/>
            <w:szCs w:val="20"/>
          </w:rPr>
          <w:fldChar w:fldCharType="begin"/>
        </w:r>
        <w:r w:rsidR="0080656E" w:rsidRPr="0080656E">
          <w:rPr>
            <w:rFonts w:asciiTheme="majorHAnsi" w:hAnsiTheme="majorHAnsi"/>
            <w:noProof/>
            <w:webHidden/>
            <w:sz w:val="20"/>
            <w:szCs w:val="20"/>
          </w:rPr>
          <w:instrText xml:space="preserve"> PAGEREF _Toc196383482 \h </w:instrText>
        </w:r>
        <w:r w:rsidR="0080656E" w:rsidRPr="0080656E">
          <w:rPr>
            <w:rFonts w:asciiTheme="majorHAnsi" w:hAnsiTheme="majorHAnsi"/>
            <w:noProof/>
            <w:webHidden/>
            <w:sz w:val="20"/>
            <w:szCs w:val="20"/>
          </w:rPr>
        </w:r>
        <w:r w:rsidR="0080656E" w:rsidRPr="0080656E">
          <w:rPr>
            <w:rFonts w:asciiTheme="majorHAnsi" w:hAnsiTheme="majorHAnsi"/>
            <w:noProof/>
            <w:webHidden/>
            <w:sz w:val="20"/>
            <w:szCs w:val="20"/>
          </w:rPr>
          <w:fldChar w:fldCharType="separate"/>
        </w:r>
        <w:r>
          <w:rPr>
            <w:rFonts w:asciiTheme="majorHAnsi" w:hAnsiTheme="majorHAnsi"/>
            <w:noProof/>
            <w:webHidden/>
            <w:sz w:val="20"/>
            <w:szCs w:val="20"/>
          </w:rPr>
          <w:t>14</w:t>
        </w:r>
        <w:r w:rsidR="0080656E" w:rsidRPr="0080656E">
          <w:rPr>
            <w:rFonts w:asciiTheme="majorHAnsi" w:hAnsiTheme="majorHAnsi"/>
            <w:noProof/>
            <w:webHidden/>
            <w:sz w:val="20"/>
            <w:szCs w:val="20"/>
          </w:rPr>
          <w:fldChar w:fldCharType="end"/>
        </w:r>
      </w:hyperlink>
    </w:p>
    <w:p w14:paraId="0E825DED" w14:textId="356D2232" w:rsidR="0080656E" w:rsidRPr="0080656E" w:rsidRDefault="00F347BD">
      <w:pPr>
        <w:pStyle w:val="TOC3"/>
        <w:tabs>
          <w:tab w:val="left" w:pos="2160"/>
        </w:tabs>
        <w:rPr>
          <w:rFonts w:asciiTheme="majorHAnsi" w:eastAsiaTheme="minorEastAsia" w:hAnsiTheme="majorHAnsi" w:cstheme="minorBidi"/>
          <w:noProof/>
          <w:kern w:val="2"/>
          <w:sz w:val="20"/>
          <w:szCs w:val="20"/>
          <w:bdr w:val="none" w:sz="0" w:space="0" w:color="auto"/>
          <w14:ligatures w14:val="standardContextual"/>
        </w:rPr>
      </w:pPr>
      <w:hyperlink w:anchor="_Toc196383483" w:history="1">
        <w:r w:rsidR="0080656E" w:rsidRPr="0080656E">
          <w:rPr>
            <w:rStyle w:val="Hyperlink"/>
            <w:rFonts w:asciiTheme="majorHAnsi" w:hAnsiTheme="majorHAnsi"/>
            <w:noProof/>
            <w:sz w:val="20"/>
            <w:szCs w:val="20"/>
          </w:rPr>
          <w:t>3.</w:t>
        </w:r>
        <w:r w:rsidR="0080656E" w:rsidRPr="0080656E">
          <w:rPr>
            <w:rFonts w:asciiTheme="majorHAnsi" w:eastAsiaTheme="minorEastAsia" w:hAnsiTheme="majorHAnsi" w:cstheme="minorBidi"/>
            <w:noProof/>
            <w:kern w:val="2"/>
            <w:sz w:val="20"/>
            <w:szCs w:val="20"/>
            <w:bdr w:val="none" w:sz="0" w:space="0" w:color="auto"/>
            <w14:ligatures w14:val="standardContextual"/>
          </w:rPr>
          <w:tab/>
        </w:r>
        <w:r w:rsidR="0080656E" w:rsidRPr="0080656E">
          <w:rPr>
            <w:rStyle w:val="Hyperlink"/>
            <w:rFonts w:asciiTheme="majorHAnsi" w:hAnsiTheme="majorHAnsi"/>
            <w:noProof/>
            <w:sz w:val="20"/>
            <w:szCs w:val="20"/>
          </w:rPr>
          <w:t>Nicasio Washington Romero Ubal</w:t>
        </w:r>
        <w:r w:rsidR="0080656E" w:rsidRPr="0080656E">
          <w:rPr>
            <w:rFonts w:asciiTheme="majorHAnsi" w:hAnsiTheme="majorHAnsi"/>
            <w:noProof/>
            <w:webHidden/>
            <w:sz w:val="20"/>
            <w:szCs w:val="20"/>
          </w:rPr>
          <w:tab/>
        </w:r>
        <w:r w:rsidR="0080656E" w:rsidRPr="0080656E">
          <w:rPr>
            <w:rFonts w:asciiTheme="majorHAnsi" w:hAnsiTheme="majorHAnsi"/>
            <w:noProof/>
            <w:webHidden/>
            <w:sz w:val="20"/>
            <w:szCs w:val="20"/>
          </w:rPr>
          <w:fldChar w:fldCharType="begin"/>
        </w:r>
        <w:r w:rsidR="0080656E" w:rsidRPr="0080656E">
          <w:rPr>
            <w:rFonts w:asciiTheme="majorHAnsi" w:hAnsiTheme="majorHAnsi"/>
            <w:noProof/>
            <w:webHidden/>
            <w:sz w:val="20"/>
            <w:szCs w:val="20"/>
          </w:rPr>
          <w:instrText xml:space="preserve"> PAGEREF _Toc196383483 \h </w:instrText>
        </w:r>
        <w:r w:rsidR="0080656E" w:rsidRPr="0080656E">
          <w:rPr>
            <w:rFonts w:asciiTheme="majorHAnsi" w:hAnsiTheme="majorHAnsi"/>
            <w:noProof/>
            <w:webHidden/>
            <w:sz w:val="20"/>
            <w:szCs w:val="20"/>
          </w:rPr>
        </w:r>
        <w:r w:rsidR="0080656E" w:rsidRPr="0080656E">
          <w:rPr>
            <w:rFonts w:asciiTheme="majorHAnsi" w:hAnsiTheme="majorHAnsi"/>
            <w:noProof/>
            <w:webHidden/>
            <w:sz w:val="20"/>
            <w:szCs w:val="20"/>
          </w:rPr>
          <w:fldChar w:fldCharType="separate"/>
        </w:r>
        <w:r>
          <w:rPr>
            <w:rFonts w:asciiTheme="majorHAnsi" w:hAnsiTheme="majorHAnsi"/>
            <w:noProof/>
            <w:webHidden/>
            <w:sz w:val="20"/>
            <w:szCs w:val="20"/>
          </w:rPr>
          <w:t>16</w:t>
        </w:r>
        <w:r w:rsidR="0080656E" w:rsidRPr="0080656E">
          <w:rPr>
            <w:rFonts w:asciiTheme="majorHAnsi" w:hAnsiTheme="majorHAnsi"/>
            <w:noProof/>
            <w:webHidden/>
            <w:sz w:val="20"/>
            <w:szCs w:val="20"/>
          </w:rPr>
          <w:fldChar w:fldCharType="end"/>
        </w:r>
      </w:hyperlink>
    </w:p>
    <w:p w14:paraId="3A59F8EE" w14:textId="554E2FF2" w:rsidR="0080656E" w:rsidRPr="0080656E" w:rsidRDefault="00F347BD">
      <w:pPr>
        <w:pStyle w:val="TOC4"/>
        <w:tabs>
          <w:tab w:val="left" w:pos="1440"/>
          <w:tab w:val="right" w:leader="dot" w:pos="9350"/>
        </w:tabs>
        <w:rPr>
          <w:rFonts w:asciiTheme="majorHAnsi" w:eastAsiaTheme="minorEastAsia" w:hAnsiTheme="majorHAnsi" w:cstheme="minorBidi"/>
          <w:noProof/>
          <w:kern w:val="2"/>
          <w:sz w:val="20"/>
          <w:szCs w:val="20"/>
          <w:bdr w:val="none" w:sz="0" w:space="0" w:color="auto"/>
          <w14:ligatures w14:val="standardContextual"/>
        </w:rPr>
      </w:pPr>
      <w:hyperlink w:anchor="_Toc196383484" w:history="1">
        <w:r w:rsidR="0080656E" w:rsidRPr="0080656E">
          <w:rPr>
            <w:rStyle w:val="Hyperlink"/>
            <w:rFonts w:asciiTheme="majorHAnsi" w:hAnsiTheme="majorHAnsi"/>
            <w:b/>
            <w:bCs/>
            <w:noProof/>
            <w:sz w:val="20"/>
            <w:szCs w:val="20"/>
          </w:rPr>
          <w:t>3.1</w:t>
        </w:r>
        <w:r w:rsidR="0080656E" w:rsidRPr="0080656E">
          <w:rPr>
            <w:rFonts w:asciiTheme="majorHAnsi" w:eastAsiaTheme="minorEastAsia" w:hAnsiTheme="majorHAnsi" w:cstheme="minorBidi"/>
            <w:noProof/>
            <w:kern w:val="2"/>
            <w:sz w:val="20"/>
            <w:szCs w:val="20"/>
            <w:bdr w:val="none" w:sz="0" w:space="0" w:color="auto"/>
            <w14:ligatures w14:val="standardContextual"/>
          </w:rPr>
          <w:tab/>
        </w:r>
        <w:r w:rsidR="0080656E" w:rsidRPr="0080656E">
          <w:rPr>
            <w:rStyle w:val="Hyperlink"/>
            <w:rFonts w:asciiTheme="majorHAnsi" w:hAnsiTheme="majorHAnsi"/>
            <w:b/>
            <w:bCs/>
            <w:noProof/>
            <w:sz w:val="20"/>
            <w:szCs w:val="20"/>
          </w:rPr>
          <w:t>About the proceedings of reparation initiated by Mr. Romero Ubal</w:t>
        </w:r>
        <w:r w:rsidR="0080656E" w:rsidRPr="0080656E">
          <w:rPr>
            <w:rFonts w:asciiTheme="majorHAnsi" w:hAnsiTheme="majorHAnsi"/>
            <w:noProof/>
            <w:webHidden/>
            <w:sz w:val="20"/>
            <w:szCs w:val="20"/>
          </w:rPr>
          <w:tab/>
        </w:r>
        <w:r w:rsidR="0080656E" w:rsidRPr="0080656E">
          <w:rPr>
            <w:rFonts w:asciiTheme="majorHAnsi" w:hAnsiTheme="majorHAnsi"/>
            <w:noProof/>
            <w:webHidden/>
            <w:sz w:val="20"/>
            <w:szCs w:val="20"/>
          </w:rPr>
          <w:fldChar w:fldCharType="begin"/>
        </w:r>
        <w:r w:rsidR="0080656E" w:rsidRPr="0080656E">
          <w:rPr>
            <w:rFonts w:asciiTheme="majorHAnsi" w:hAnsiTheme="majorHAnsi"/>
            <w:noProof/>
            <w:webHidden/>
            <w:sz w:val="20"/>
            <w:szCs w:val="20"/>
          </w:rPr>
          <w:instrText xml:space="preserve"> PAGEREF _Toc196383484 \h </w:instrText>
        </w:r>
        <w:r w:rsidR="0080656E" w:rsidRPr="0080656E">
          <w:rPr>
            <w:rFonts w:asciiTheme="majorHAnsi" w:hAnsiTheme="majorHAnsi"/>
            <w:noProof/>
            <w:webHidden/>
            <w:sz w:val="20"/>
            <w:szCs w:val="20"/>
          </w:rPr>
        </w:r>
        <w:r w:rsidR="0080656E" w:rsidRPr="0080656E">
          <w:rPr>
            <w:rFonts w:asciiTheme="majorHAnsi" w:hAnsiTheme="majorHAnsi"/>
            <w:noProof/>
            <w:webHidden/>
            <w:sz w:val="20"/>
            <w:szCs w:val="20"/>
          </w:rPr>
          <w:fldChar w:fldCharType="separate"/>
        </w:r>
        <w:r>
          <w:rPr>
            <w:rFonts w:asciiTheme="majorHAnsi" w:hAnsiTheme="majorHAnsi"/>
            <w:noProof/>
            <w:webHidden/>
            <w:sz w:val="20"/>
            <w:szCs w:val="20"/>
          </w:rPr>
          <w:t>17</w:t>
        </w:r>
        <w:r w:rsidR="0080656E" w:rsidRPr="0080656E">
          <w:rPr>
            <w:rFonts w:asciiTheme="majorHAnsi" w:hAnsiTheme="majorHAnsi"/>
            <w:noProof/>
            <w:webHidden/>
            <w:sz w:val="20"/>
            <w:szCs w:val="20"/>
          </w:rPr>
          <w:fldChar w:fldCharType="end"/>
        </w:r>
      </w:hyperlink>
    </w:p>
    <w:p w14:paraId="28AFA644" w14:textId="0B1A45A4" w:rsidR="0080656E" w:rsidRPr="0080656E" w:rsidRDefault="00F347BD">
      <w:pPr>
        <w:pStyle w:val="TOC1"/>
        <w:tabs>
          <w:tab w:val="left" w:pos="1440"/>
          <w:tab w:val="right" w:leader="dot" w:pos="9350"/>
        </w:tabs>
        <w:rPr>
          <w:rFonts w:asciiTheme="majorHAnsi" w:eastAsiaTheme="minorEastAsia" w:hAnsiTheme="majorHAnsi" w:cstheme="minorBidi"/>
          <w:noProof/>
          <w:kern w:val="2"/>
          <w:sz w:val="20"/>
          <w:szCs w:val="20"/>
          <w:bdr w:val="none" w:sz="0" w:space="0" w:color="auto"/>
          <w14:ligatures w14:val="standardContextual"/>
        </w:rPr>
      </w:pPr>
      <w:hyperlink w:anchor="_Toc196383485" w:history="1">
        <w:r w:rsidR="0080656E" w:rsidRPr="0080656E">
          <w:rPr>
            <w:rStyle w:val="Hyperlink"/>
            <w:rFonts w:asciiTheme="majorHAnsi" w:hAnsiTheme="majorHAnsi"/>
            <w:noProof/>
            <w:sz w:val="20"/>
            <w:szCs w:val="20"/>
          </w:rPr>
          <w:t>IV.</w:t>
        </w:r>
        <w:r w:rsidR="0080656E" w:rsidRPr="0080656E">
          <w:rPr>
            <w:rFonts w:asciiTheme="majorHAnsi" w:eastAsiaTheme="minorEastAsia" w:hAnsiTheme="majorHAnsi" w:cstheme="minorBidi"/>
            <w:noProof/>
            <w:kern w:val="2"/>
            <w:sz w:val="20"/>
            <w:szCs w:val="20"/>
            <w:bdr w:val="none" w:sz="0" w:space="0" w:color="auto"/>
            <w14:ligatures w14:val="standardContextual"/>
          </w:rPr>
          <w:tab/>
        </w:r>
        <w:r w:rsidR="0080656E" w:rsidRPr="0080656E">
          <w:rPr>
            <w:rStyle w:val="Hyperlink"/>
            <w:rFonts w:asciiTheme="majorHAnsi" w:hAnsiTheme="majorHAnsi"/>
            <w:noProof/>
            <w:sz w:val="20"/>
            <w:szCs w:val="20"/>
          </w:rPr>
          <w:t>ANALYSIS of LAW</w:t>
        </w:r>
        <w:r w:rsidR="0080656E" w:rsidRPr="0080656E">
          <w:rPr>
            <w:rFonts w:asciiTheme="majorHAnsi" w:hAnsiTheme="majorHAnsi"/>
            <w:noProof/>
            <w:webHidden/>
            <w:sz w:val="20"/>
            <w:szCs w:val="20"/>
          </w:rPr>
          <w:tab/>
        </w:r>
        <w:r w:rsidR="0080656E" w:rsidRPr="0080656E">
          <w:rPr>
            <w:rFonts w:asciiTheme="majorHAnsi" w:hAnsiTheme="majorHAnsi"/>
            <w:noProof/>
            <w:webHidden/>
            <w:sz w:val="20"/>
            <w:szCs w:val="20"/>
          </w:rPr>
          <w:fldChar w:fldCharType="begin"/>
        </w:r>
        <w:r w:rsidR="0080656E" w:rsidRPr="0080656E">
          <w:rPr>
            <w:rFonts w:asciiTheme="majorHAnsi" w:hAnsiTheme="majorHAnsi"/>
            <w:noProof/>
            <w:webHidden/>
            <w:sz w:val="20"/>
            <w:szCs w:val="20"/>
          </w:rPr>
          <w:instrText xml:space="preserve"> PAGEREF _Toc196383485 \h </w:instrText>
        </w:r>
        <w:r w:rsidR="0080656E" w:rsidRPr="0080656E">
          <w:rPr>
            <w:rFonts w:asciiTheme="majorHAnsi" w:hAnsiTheme="majorHAnsi"/>
            <w:noProof/>
            <w:webHidden/>
            <w:sz w:val="20"/>
            <w:szCs w:val="20"/>
          </w:rPr>
        </w:r>
        <w:r w:rsidR="0080656E" w:rsidRPr="0080656E">
          <w:rPr>
            <w:rFonts w:asciiTheme="majorHAnsi" w:hAnsiTheme="majorHAnsi"/>
            <w:noProof/>
            <w:webHidden/>
            <w:sz w:val="20"/>
            <w:szCs w:val="20"/>
          </w:rPr>
          <w:fldChar w:fldCharType="separate"/>
        </w:r>
        <w:r>
          <w:rPr>
            <w:rFonts w:asciiTheme="majorHAnsi" w:hAnsiTheme="majorHAnsi"/>
            <w:noProof/>
            <w:webHidden/>
            <w:sz w:val="20"/>
            <w:szCs w:val="20"/>
          </w:rPr>
          <w:t>18</w:t>
        </w:r>
        <w:r w:rsidR="0080656E" w:rsidRPr="0080656E">
          <w:rPr>
            <w:rFonts w:asciiTheme="majorHAnsi" w:hAnsiTheme="majorHAnsi"/>
            <w:noProof/>
            <w:webHidden/>
            <w:sz w:val="20"/>
            <w:szCs w:val="20"/>
          </w:rPr>
          <w:fldChar w:fldCharType="end"/>
        </w:r>
      </w:hyperlink>
    </w:p>
    <w:p w14:paraId="758A5671" w14:textId="18F9B426" w:rsidR="0080656E" w:rsidRPr="0080656E" w:rsidRDefault="00F347BD">
      <w:pPr>
        <w:pStyle w:val="TOC2"/>
        <w:rPr>
          <w:rFonts w:asciiTheme="majorHAnsi" w:eastAsiaTheme="minorEastAsia" w:hAnsiTheme="majorHAnsi" w:cstheme="minorBidi"/>
          <w:noProof/>
          <w:kern w:val="2"/>
          <w:sz w:val="20"/>
          <w:szCs w:val="20"/>
          <w:bdr w:val="none" w:sz="0" w:space="0" w:color="auto"/>
          <w14:ligatures w14:val="standardContextual"/>
        </w:rPr>
      </w:pPr>
      <w:hyperlink w:anchor="_Toc196383486" w:history="1">
        <w:r w:rsidR="0080656E" w:rsidRPr="0080656E">
          <w:rPr>
            <w:rStyle w:val="Hyperlink"/>
            <w:rFonts w:asciiTheme="majorHAnsi" w:hAnsiTheme="majorHAnsi"/>
            <w:noProof/>
            <w:sz w:val="20"/>
            <w:szCs w:val="20"/>
          </w:rPr>
          <w:t>A.</w:t>
        </w:r>
        <w:r w:rsidR="0080656E" w:rsidRPr="0080656E">
          <w:rPr>
            <w:rFonts w:asciiTheme="majorHAnsi" w:eastAsiaTheme="minorEastAsia" w:hAnsiTheme="majorHAnsi" w:cstheme="minorBidi"/>
            <w:noProof/>
            <w:kern w:val="2"/>
            <w:sz w:val="20"/>
            <w:szCs w:val="20"/>
            <w:bdr w:val="none" w:sz="0" w:space="0" w:color="auto"/>
            <w14:ligatures w14:val="standardContextual"/>
          </w:rPr>
          <w:tab/>
        </w:r>
        <w:r w:rsidR="0080656E" w:rsidRPr="0080656E">
          <w:rPr>
            <w:rStyle w:val="Hyperlink"/>
            <w:rFonts w:asciiTheme="majorHAnsi" w:hAnsiTheme="majorHAnsi"/>
            <w:noProof/>
            <w:sz w:val="20"/>
            <w:szCs w:val="20"/>
          </w:rPr>
          <w:t>The right to personal liberty, security and humane treatment of the person, the right of protection against the arbitrary detention and the right of assembly of the American Declaration within the scope of the detention of Mr. Julio César Rito de los Santos and Mr. Hugo Daniel Ferreira.</w:t>
        </w:r>
        <w:r w:rsidR="0080656E" w:rsidRPr="0080656E">
          <w:rPr>
            <w:rFonts w:asciiTheme="majorHAnsi" w:hAnsiTheme="majorHAnsi"/>
            <w:noProof/>
            <w:webHidden/>
            <w:sz w:val="20"/>
            <w:szCs w:val="20"/>
          </w:rPr>
          <w:tab/>
        </w:r>
        <w:r w:rsidR="0080656E" w:rsidRPr="0080656E">
          <w:rPr>
            <w:rFonts w:asciiTheme="majorHAnsi" w:hAnsiTheme="majorHAnsi"/>
            <w:noProof/>
            <w:webHidden/>
            <w:sz w:val="20"/>
            <w:szCs w:val="20"/>
          </w:rPr>
          <w:fldChar w:fldCharType="begin"/>
        </w:r>
        <w:r w:rsidR="0080656E" w:rsidRPr="0080656E">
          <w:rPr>
            <w:rFonts w:asciiTheme="majorHAnsi" w:hAnsiTheme="majorHAnsi"/>
            <w:noProof/>
            <w:webHidden/>
            <w:sz w:val="20"/>
            <w:szCs w:val="20"/>
          </w:rPr>
          <w:instrText xml:space="preserve"> PAGEREF _Toc196383486 \h </w:instrText>
        </w:r>
        <w:r w:rsidR="0080656E" w:rsidRPr="0080656E">
          <w:rPr>
            <w:rFonts w:asciiTheme="majorHAnsi" w:hAnsiTheme="majorHAnsi"/>
            <w:noProof/>
            <w:webHidden/>
            <w:sz w:val="20"/>
            <w:szCs w:val="20"/>
          </w:rPr>
        </w:r>
        <w:r w:rsidR="0080656E" w:rsidRPr="0080656E">
          <w:rPr>
            <w:rFonts w:asciiTheme="majorHAnsi" w:hAnsiTheme="majorHAnsi"/>
            <w:noProof/>
            <w:webHidden/>
            <w:sz w:val="20"/>
            <w:szCs w:val="20"/>
          </w:rPr>
          <w:fldChar w:fldCharType="separate"/>
        </w:r>
        <w:r>
          <w:rPr>
            <w:rFonts w:asciiTheme="majorHAnsi" w:hAnsiTheme="majorHAnsi"/>
            <w:noProof/>
            <w:webHidden/>
            <w:sz w:val="20"/>
            <w:szCs w:val="20"/>
          </w:rPr>
          <w:t>18</w:t>
        </w:r>
        <w:r w:rsidR="0080656E" w:rsidRPr="0080656E">
          <w:rPr>
            <w:rFonts w:asciiTheme="majorHAnsi" w:hAnsiTheme="majorHAnsi"/>
            <w:noProof/>
            <w:webHidden/>
            <w:sz w:val="20"/>
            <w:szCs w:val="20"/>
          </w:rPr>
          <w:fldChar w:fldCharType="end"/>
        </w:r>
      </w:hyperlink>
    </w:p>
    <w:p w14:paraId="572321CA" w14:textId="6CD94AC9" w:rsidR="0080656E" w:rsidRPr="0080656E" w:rsidRDefault="00F347BD">
      <w:pPr>
        <w:pStyle w:val="TOC3"/>
        <w:tabs>
          <w:tab w:val="left" w:pos="2160"/>
        </w:tabs>
        <w:rPr>
          <w:rFonts w:asciiTheme="majorHAnsi" w:eastAsiaTheme="minorEastAsia" w:hAnsiTheme="majorHAnsi" w:cstheme="minorBidi"/>
          <w:noProof/>
          <w:kern w:val="2"/>
          <w:sz w:val="20"/>
          <w:szCs w:val="20"/>
          <w:bdr w:val="none" w:sz="0" w:space="0" w:color="auto"/>
          <w14:ligatures w14:val="standardContextual"/>
        </w:rPr>
      </w:pPr>
      <w:hyperlink w:anchor="_Toc196383487" w:history="1">
        <w:r w:rsidR="0080656E" w:rsidRPr="0080656E">
          <w:rPr>
            <w:rStyle w:val="Hyperlink"/>
            <w:rFonts w:asciiTheme="majorHAnsi" w:eastAsia="Times New Roman" w:hAnsiTheme="majorHAnsi" w:cs="Arial"/>
            <w:noProof/>
            <w:sz w:val="20"/>
            <w:szCs w:val="20"/>
          </w:rPr>
          <w:t>1.</w:t>
        </w:r>
        <w:r w:rsidR="0080656E" w:rsidRPr="0080656E">
          <w:rPr>
            <w:rFonts w:asciiTheme="majorHAnsi" w:eastAsiaTheme="minorEastAsia" w:hAnsiTheme="majorHAnsi" w:cstheme="minorBidi"/>
            <w:noProof/>
            <w:kern w:val="2"/>
            <w:sz w:val="20"/>
            <w:szCs w:val="20"/>
            <w:bdr w:val="none" w:sz="0" w:space="0" w:color="auto"/>
            <w14:ligatures w14:val="standardContextual"/>
          </w:rPr>
          <w:tab/>
        </w:r>
        <w:r w:rsidR="0080656E" w:rsidRPr="0080656E">
          <w:rPr>
            <w:rStyle w:val="Hyperlink"/>
            <w:rFonts w:asciiTheme="majorHAnsi" w:eastAsia="Times New Roman" w:hAnsiTheme="majorHAnsi" w:cs="Arial"/>
            <w:bCs/>
            <w:noProof/>
            <w:sz w:val="20"/>
            <w:szCs w:val="20"/>
          </w:rPr>
          <w:t>General</w:t>
        </w:r>
        <w:r w:rsidR="0080656E" w:rsidRPr="0080656E">
          <w:rPr>
            <w:rStyle w:val="Hyperlink"/>
            <w:rFonts w:asciiTheme="majorHAnsi" w:hAnsiTheme="majorHAnsi"/>
            <w:noProof/>
            <w:sz w:val="20"/>
            <w:szCs w:val="20"/>
          </w:rPr>
          <w:t xml:space="preserve"> considerations on the right to liberty, humane treatment, protection against arbitrary detention and the right of assembly</w:t>
        </w:r>
        <w:r w:rsidR="0080656E" w:rsidRPr="0080656E">
          <w:rPr>
            <w:rFonts w:asciiTheme="majorHAnsi" w:hAnsiTheme="majorHAnsi"/>
            <w:noProof/>
            <w:webHidden/>
            <w:sz w:val="20"/>
            <w:szCs w:val="20"/>
          </w:rPr>
          <w:tab/>
        </w:r>
        <w:r w:rsidR="0080656E" w:rsidRPr="0080656E">
          <w:rPr>
            <w:rFonts w:asciiTheme="majorHAnsi" w:hAnsiTheme="majorHAnsi"/>
            <w:noProof/>
            <w:webHidden/>
            <w:sz w:val="20"/>
            <w:szCs w:val="20"/>
          </w:rPr>
          <w:fldChar w:fldCharType="begin"/>
        </w:r>
        <w:r w:rsidR="0080656E" w:rsidRPr="0080656E">
          <w:rPr>
            <w:rFonts w:asciiTheme="majorHAnsi" w:hAnsiTheme="majorHAnsi"/>
            <w:noProof/>
            <w:webHidden/>
            <w:sz w:val="20"/>
            <w:szCs w:val="20"/>
          </w:rPr>
          <w:instrText xml:space="preserve"> PAGEREF _Toc196383487 \h </w:instrText>
        </w:r>
        <w:r w:rsidR="0080656E" w:rsidRPr="0080656E">
          <w:rPr>
            <w:rFonts w:asciiTheme="majorHAnsi" w:hAnsiTheme="majorHAnsi"/>
            <w:noProof/>
            <w:webHidden/>
            <w:sz w:val="20"/>
            <w:szCs w:val="20"/>
          </w:rPr>
        </w:r>
        <w:r w:rsidR="0080656E" w:rsidRPr="0080656E">
          <w:rPr>
            <w:rFonts w:asciiTheme="majorHAnsi" w:hAnsiTheme="majorHAnsi"/>
            <w:noProof/>
            <w:webHidden/>
            <w:sz w:val="20"/>
            <w:szCs w:val="20"/>
          </w:rPr>
          <w:fldChar w:fldCharType="separate"/>
        </w:r>
        <w:r>
          <w:rPr>
            <w:rFonts w:asciiTheme="majorHAnsi" w:hAnsiTheme="majorHAnsi"/>
            <w:noProof/>
            <w:webHidden/>
            <w:sz w:val="20"/>
            <w:szCs w:val="20"/>
          </w:rPr>
          <w:t>18</w:t>
        </w:r>
        <w:r w:rsidR="0080656E" w:rsidRPr="0080656E">
          <w:rPr>
            <w:rFonts w:asciiTheme="majorHAnsi" w:hAnsiTheme="majorHAnsi"/>
            <w:noProof/>
            <w:webHidden/>
            <w:sz w:val="20"/>
            <w:szCs w:val="20"/>
          </w:rPr>
          <w:fldChar w:fldCharType="end"/>
        </w:r>
      </w:hyperlink>
    </w:p>
    <w:p w14:paraId="79D41C38" w14:textId="74554A64" w:rsidR="0080656E" w:rsidRPr="0080656E" w:rsidRDefault="00F347BD">
      <w:pPr>
        <w:pStyle w:val="TOC3"/>
        <w:tabs>
          <w:tab w:val="left" w:pos="2160"/>
        </w:tabs>
        <w:rPr>
          <w:rFonts w:asciiTheme="majorHAnsi" w:eastAsiaTheme="minorEastAsia" w:hAnsiTheme="majorHAnsi" w:cstheme="minorBidi"/>
          <w:noProof/>
          <w:kern w:val="2"/>
          <w:sz w:val="20"/>
          <w:szCs w:val="20"/>
          <w:bdr w:val="none" w:sz="0" w:space="0" w:color="auto"/>
          <w14:ligatures w14:val="standardContextual"/>
        </w:rPr>
      </w:pPr>
      <w:hyperlink w:anchor="_Toc196383488" w:history="1">
        <w:r w:rsidR="0080656E" w:rsidRPr="0080656E">
          <w:rPr>
            <w:rStyle w:val="Hyperlink"/>
            <w:rFonts w:asciiTheme="majorHAnsi" w:eastAsia="Times New Roman" w:hAnsiTheme="majorHAnsi" w:cs="Arial"/>
            <w:noProof/>
            <w:sz w:val="20"/>
            <w:szCs w:val="20"/>
          </w:rPr>
          <w:t>2.</w:t>
        </w:r>
        <w:r w:rsidR="0080656E" w:rsidRPr="0080656E">
          <w:rPr>
            <w:rFonts w:asciiTheme="majorHAnsi" w:eastAsiaTheme="minorEastAsia" w:hAnsiTheme="majorHAnsi" w:cstheme="minorBidi"/>
            <w:noProof/>
            <w:kern w:val="2"/>
            <w:sz w:val="20"/>
            <w:szCs w:val="20"/>
            <w:bdr w:val="none" w:sz="0" w:space="0" w:color="auto"/>
            <w14:ligatures w14:val="standardContextual"/>
          </w:rPr>
          <w:tab/>
        </w:r>
        <w:r w:rsidR="0080656E" w:rsidRPr="0080656E">
          <w:rPr>
            <w:rStyle w:val="Hyperlink"/>
            <w:rFonts w:asciiTheme="majorHAnsi" w:hAnsiTheme="majorHAnsi"/>
            <w:noProof/>
            <w:sz w:val="20"/>
            <w:szCs w:val="20"/>
          </w:rPr>
          <w:t>Analysis of the concrete case of Mr. Julio César Rito and Mr. Hugo Daniel Ferreira</w:t>
        </w:r>
        <w:r w:rsidR="0080656E" w:rsidRPr="0080656E">
          <w:rPr>
            <w:rFonts w:asciiTheme="majorHAnsi" w:hAnsiTheme="majorHAnsi"/>
            <w:noProof/>
            <w:webHidden/>
            <w:sz w:val="20"/>
            <w:szCs w:val="20"/>
          </w:rPr>
          <w:tab/>
        </w:r>
        <w:r w:rsidR="0080656E" w:rsidRPr="0080656E">
          <w:rPr>
            <w:rFonts w:asciiTheme="majorHAnsi" w:hAnsiTheme="majorHAnsi"/>
            <w:noProof/>
            <w:webHidden/>
            <w:sz w:val="20"/>
            <w:szCs w:val="20"/>
          </w:rPr>
          <w:fldChar w:fldCharType="begin"/>
        </w:r>
        <w:r w:rsidR="0080656E" w:rsidRPr="0080656E">
          <w:rPr>
            <w:rFonts w:asciiTheme="majorHAnsi" w:hAnsiTheme="majorHAnsi"/>
            <w:noProof/>
            <w:webHidden/>
            <w:sz w:val="20"/>
            <w:szCs w:val="20"/>
          </w:rPr>
          <w:instrText xml:space="preserve"> PAGEREF _Toc196383488 \h </w:instrText>
        </w:r>
        <w:r w:rsidR="0080656E" w:rsidRPr="0080656E">
          <w:rPr>
            <w:rFonts w:asciiTheme="majorHAnsi" w:hAnsiTheme="majorHAnsi"/>
            <w:noProof/>
            <w:webHidden/>
            <w:sz w:val="20"/>
            <w:szCs w:val="20"/>
          </w:rPr>
        </w:r>
        <w:r w:rsidR="0080656E" w:rsidRPr="0080656E">
          <w:rPr>
            <w:rFonts w:asciiTheme="majorHAnsi" w:hAnsiTheme="majorHAnsi"/>
            <w:noProof/>
            <w:webHidden/>
            <w:sz w:val="20"/>
            <w:szCs w:val="20"/>
          </w:rPr>
          <w:fldChar w:fldCharType="separate"/>
        </w:r>
        <w:r>
          <w:rPr>
            <w:rFonts w:asciiTheme="majorHAnsi" w:hAnsiTheme="majorHAnsi"/>
            <w:noProof/>
            <w:webHidden/>
            <w:sz w:val="20"/>
            <w:szCs w:val="20"/>
          </w:rPr>
          <w:t>20</w:t>
        </w:r>
        <w:r w:rsidR="0080656E" w:rsidRPr="0080656E">
          <w:rPr>
            <w:rFonts w:asciiTheme="majorHAnsi" w:hAnsiTheme="majorHAnsi"/>
            <w:noProof/>
            <w:webHidden/>
            <w:sz w:val="20"/>
            <w:szCs w:val="20"/>
          </w:rPr>
          <w:fldChar w:fldCharType="end"/>
        </w:r>
      </w:hyperlink>
    </w:p>
    <w:p w14:paraId="594B8861" w14:textId="1E950D04" w:rsidR="0080656E" w:rsidRPr="0080656E" w:rsidRDefault="00F347BD">
      <w:pPr>
        <w:pStyle w:val="TOC2"/>
        <w:rPr>
          <w:rFonts w:asciiTheme="majorHAnsi" w:eastAsiaTheme="minorEastAsia" w:hAnsiTheme="majorHAnsi" w:cstheme="minorBidi"/>
          <w:noProof/>
          <w:kern w:val="2"/>
          <w:sz w:val="20"/>
          <w:szCs w:val="20"/>
          <w:bdr w:val="none" w:sz="0" w:space="0" w:color="auto"/>
          <w14:ligatures w14:val="standardContextual"/>
        </w:rPr>
      </w:pPr>
      <w:hyperlink w:anchor="_Toc196383489" w:history="1">
        <w:r w:rsidR="0080656E" w:rsidRPr="0080656E">
          <w:rPr>
            <w:rStyle w:val="Hyperlink"/>
            <w:rFonts w:asciiTheme="majorHAnsi" w:hAnsiTheme="majorHAnsi"/>
            <w:noProof/>
            <w:sz w:val="20"/>
            <w:szCs w:val="20"/>
          </w:rPr>
          <w:t>B.</w:t>
        </w:r>
        <w:r w:rsidR="0080656E" w:rsidRPr="0080656E">
          <w:rPr>
            <w:rFonts w:asciiTheme="majorHAnsi" w:eastAsiaTheme="minorEastAsia" w:hAnsiTheme="majorHAnsi" w:cstheme="minorBidi"/>
            <w:noProof/>
            <w:kern w:val="2"/>
            <w:sz w:val="20"/>
            <w:szCs w:val="20"/>
            <w:bdr w:val="none" w:sz="0" w:space="0" w:color="auto"/>
            <w14:ligatures w14:val="standardContextual"/>
          </w:rPr>
          <w:tab/>
        </w:r>
        <w:r w:rsidR="0080656E" w:rsidRPr="0080656E">
          <w:rPr>
            <w:rStyle w:val="Hyperlink"/>
            <w:rFonts w:asciiTheme="majorHAnsi" w:hAnsiTheme="majorHAnsi"/>
            <w:noProof/>
            <w:sz w:val="20"/>
            <w:szCs w:val="20"/>
          </w:rPr>
          <w:t>The right of residency and movement and the Rights to justice and due process  of the American Declaration of Rights and Duties of Man, within the proceedings of expulsion and exile, of Mr. Julio César Rito de los Santos and Mr. Hugo Daniel Ferreira</w:t>
        </w:r>
        <w:r w:rsidR="0080656E" w:rsidRPr="0080656E">
          <w:rPr>
            <w:rFonts w:asciiTheme="majorHAnsi" w:hAnsiTheme="majorHAnsi"/>
            <w:noProof/>
            <w:webHidden/>
            <w:sz w:val="20"/>
            <w:szCs w:val="20"/>
          </w:rPr>
          <w:tab/>
        </w:r>
        <w:r w:rsidR="0080656E" w:rsidRPr="0080656E">
          <w:rPr>
            <w:rFonts w:asciiTheme="majorHAnsi" w:hAnsiTheme="majorHAnsi"/>
            <w:noProof/>
            <w:webHidden/>
            <w:sz w:val="20"/>
            <w:szCs w:val="20"/>
          </w:rPr>
          <w:fldChar w:fldCharType="begin"/>
        </w:r>
        <w:r w:rsidR="0080656E" w:rsidRPr="0080656E">
          <w:rPr>
            <w:rFonts w:asciiTheme="majorHAnsi" w:hAnsiTheme="majorHAnsi"/>
            <w:noProof/>
            <w:webHidden/>
            <w:sz w:val="20"/>
            <w:szCs w:val="20"/>
          </w:rPr>
          <w:instrText xml:space="preserve"> PAGEREF _Toc196383489 \h </w:instrText>
        </w:r>
        <w:r w:rsidR="0080656E" w:rsidRPr="0080656E">
          <w:rPr>
            <w:rFonts w:asciiTheme="majorHAnsi" w:hAnsiTheme="majorHAnsi"/>
            <w:noProof/>
            <w:webHidden/>
            <w:sz w:val="20"/>
            <w:szCs w:val="20"/>
          </w:rPr>
        </w:r>
        <w:r w:rsidR="0080656E" w:rsidRPr="0080656E">
          <w:rPr>
            <w:rFonts w:asciiTheme="majorHAnsi" w:hAnsiTheme="majorHAnsi"/>
            <w:noProof/>
            <w:webHidden/>
            <w:sz w:val="20"/>
            <w:szCs w:val="20"/>
          </w:rPr>
          <w:fldChar w:fldCharType="separate"/>
        </w:r>
        <w:r>
          <w:rPr>
            <w:rFonts w:asciiTheme="majorHAnsi" w:hAnsiTheme="majorHAnsi"/>
            <w:noProof/>
            <w:webHidden/>
            <w:sz w:val="20"/>
            <w:szCs w:val="20"/>
          </w:rPr>
          <w:t>22</w:t>
        </w:r>
        <w:r w:rsidR="0080656E" w:rsidRPr="0080656E">
          <w:rPr>
            <w:rFonts w:asciiTheme="majorHAnsi" w:hAnsiTheme="majorHAnsi"/>
            <w:noProof/>
            <w:webHidden/>
            <w:sz w:val="20"/>
            <w:szCs w:val="20"/>
          </w:rPr>
          <w:fldChar w:fldCharType="end"/>
        </w:r>
      </w:hyperlink>
    </w:p>
    <w:p w14:paraId="41BBCAC7" w14:textId="2D73B904" w:rsidR="0080656E" w:rsidRPr="0080656E" w:rsidRDefault="00F347BD">
      <w:pPr>
        <w:pStyle w:val="TOC3"/>
        <w:tabs>
          <w:tab w:val="left" w:pos="2160"/>
        </w:tabs>
        <w:rPr>
          <w:rFonts w:asciiTheme="majorHAnsi" w:eastAsiaTheme="minorEastAsia" w:hAnsiTheme="majorHAnsi" w:cstheme="minorBidi"/>
          <w:noProof/>
          <w:kern w:val="2"/>
          <w:sz w:val="20"/>
          <w:szCs w:val="20"/>
          <w:bdr w:val="none" w:sz="0" w:space="0" w:color="auto"/>
          <w14:ligatures w14:val="standardContextual"/>
        </w:rPr>
      </w:pPr>
      <w:hyperlink w:anchor="_Toc196383490" w:history="1">
        <w:r w:rsidR="0080656E" w:rsidRPr="0080656E">
          <w:rPr>
            <w:rStyle w:val="Hyperlink"/>
            <w:rFonts w:asciiTheme="majorHAnsi" w:hAnsiTheme="majorHAnsi"/>
            <w:noProof/>
            <w:sz w:val="20"/>
            <w:szCs w:val="20"/>
          </w:rPr>
          <w:t>1.</w:t>
        </w:r>
        <w:r w:rsidR="0080656E" w:rsidRPr="0080656E">
          <w:rPr>
            <w:rFonts w:asciiTheme="majorHAnsi" w:eastAsiaTheme="minorEastAsia" w:hAnsiTheme="majorHAnsi" w:cstheme="minorBidi"/>
            <w:noProof/>
            <w:kern w:val="2"/>
            <w:sz w:val="20"/>
            <w:szCs w:val="20"/>
            <w:bdr w:val="none" w:sz="0" w:space="0" w:color="auto"/>
            <w14:ligatures w14:val="standardContextual"/>
          </w:rPr>
          <w:tab/>
        </w:r>
        <w:r w:rsidR="0080656E" w:rsidRPr="0080656E">
          <w:rPr>
            <w:rStyle w:val="Hyperlink"/>
            <w:rFonts w:asciiTheme="majorHAnsi" w:hAnsiTheme="majorHAnsi"/>
            <w:noProof/>
            <w:sz w:val="20"/>
            <w:szCs w:val="20"/>
          </w:rPr>
          <w:t>General considerations on the Rights to residency and movement, Rights to justice and due process</w:t>
        </w:r>
        <w:r w:rsidR="0080656E" w:rsidRPr="0080656E">
          <w:rPr>
            <w:rFonts w:asciiTheme="majorHAnsi" w:hAnsiTheme="majorHAnsi"/>
            <w:noProof/>
            <w:webHidden/>
            <w:sz w:val="20"/>
            <w:szCs w:val="20"/>
          </w:rPr>
          <w:tab/>
        </w:r>
        <w:r w:rsidR="0080656E" w:rsidRPr="0080656E">
          <w:rPr>
            <w:rFonts w:asciiTheme="majorHAnsi" w:hAnsiTheme="majorHAnsi"/>
            <w:noProof/>
            <w:webHidden/>
            <w:sz w:val="20"/>
            <w:szCs w:val="20"/>
          </w:rPr>
          <w:fldChar w:fldCharType="begin"/>
        </w:r>
        <w:r w:rsidR="0080656E" w:rsidRPr="0080656E">
          <w:rPr>
            <w:rFonts w:asciiTheme="majorHAnsi" w:hAnsiTheme="majorHAnsi"/>
            <w:noProof/>
            <w:webHidden/>
            <w:sz w:val="20"/>
            <w:szCs w:val="20"/>
          </w:rPr>
          <w:instrText xml:space="preserve"> PAGEREF _Toc196383490 \h </w:instrText>
        </w:r>
        <w:r w:rsidR="0080656E" w:rsidRPr="0080656E">
          <w:rPr>
            <w:rFonts w:asciiTheme="majorHAnsi" w:hAnsiTheme="majorHAnsi"/>
            <w:noProof/>
            <w:webHidden/>
            <w:sz w:val="20"/>
            <w:szCs w:val="20"/>
          </w:rPr>
        </w:r>
        <w:r w:rsidR="0080656E" w:rsidRPr="0080656E">
          <w:rPr>
            <w:rFonts w:asciiTheme="majorHAnsi" w:hAnsiTheme="majorHAnsi"/>
            <w:noProof/>
            <w:webHidden/>
            <w:sz w:val="20"/>
            <w:szCs w:val="20"/>
          </w:rPr>
          <w:fldChar w:fldCharType="separate"/>
        </w:r>
        <w:r>
          <w:rPr>
            <w:rFonts w:asciiTheme="majorHAnsi" w:hAnsiTheme="majorHAnsi"/>
            <w:noProof/>
            <w:webHidden/>
            <w:sz w:val="20"/>
            <w:szCs w:val="20"/>
          </w:rPr>
          <w:t>22</w:t>
        </w:r>
        <w:r w:rsidR="0080656E" w:rsidRPr="0080656E">
          <w:rPr>
            <w:rFonts w:asciiTheme="majorHAnsi" w:hAnsiTheme="majorHAnsi"/>
            <w:noProof/>
            <w:webHidden/>
            <w:sz w:val="20"/>
            <w:szCs w:val="20"/>
          </w:rPr>
          <w:fldChar w:fldCharType="end"/>
        </w:r>
      </w:hyperlink>
    </w:p>
    <w:p w14:paraId="5C5F1074" w14:textId="12C08AF7" w:rsidR="0080656E" w:rsidRPr="0080656E" w:rsidRDefault="00F347BD">
      <w:pPr>
        <w:pStyle w:val="TOC3"/>
        <w:tabs>
          <w:tab w:val="left" w:pos="2160"/>
        </w:tabs>
        <w:rPr>
          <w:rFonts w:asciiTheme="majorHAnsi" w:eastAsiaTheme="minorEastAsia" w:hAnsiTheme="majorHAnsi" w:cstheme="minorBidi"/>
          <w:noProof/>
          <w:kern w:val="2"/>
          <w:sz w:val="20"/>
          <w:szCs w:val="20"/>
          <w:bdr w:val="none" w:sz="0" w:space="0" w:color="auto"/>
          <w14:ligatures w14:val="standardContextual"/>
        </w:rPr>
      </w:pPr>
      <w:hyperlink w:anchor="_Toc196383491" w:history="1">
        <w:r w:rsidR="0080656E" w:rsidRPr="0080656E">
          <w:rPr>
            <w:rStyle w:val="Hyperlink"/>
            <w:rFonts w:asciiTheme="majorHAnsi" w:hAnsiTheme="majorHAnsi"/>
            <w:noProof/>
            <w:sz w:val="20"/>
            <w:szCs w:val="20"/>
          </w:rPr>
          <w:t>2.</w:t>
        </w:r>
        <w:r w:rsidR="0080656E" w:rsidRPr="0080656E">
          <w:rPr>
            <w:rFonts w:asciiTheme="majorHAnsi" w:eastAsiaTheme="minorEastAsia" w:hAnsiTheme="majorHAnsi" w:cstheme="minorBidi"/>
            <w:noProof/>
            <w:kern w:val="2"/>
            <w:sz w:val="20"/>
            <w:szCs w:val="20"/>
            <w:bdr w:val="none" w:sz="0" w:space="0" w:color="auto"/>
            <w14:ligatures w14:val="standardContextual"/>
          </w:rPr>
          <w:tab/>
        </w:r>
        <w:r w:rsidR="0080656E" w:rsidRPr="0080656E">
          <w:rPr>
            <w:rStyle w:val="Hyperlink"/>
            <w:rFonts w:asciiTheme="majorHAnsi" w:hAnsiTheme="majorHAnsi"/>
            <w:noProof/>
            <w:sz w:val="20"/>
            <w:szCs w:val="20"/>
          </w:rPr>
          <w:t>Analysis of the concrete case of Mr. Julio César Rito de los Santos and Mr. Hugo Daniel Ferreira</w:t>
        </w:r>
        <w:r w:rsidR="0080656E" w:rsidRPr="0080656E">
          <w:rPr>
            <w:rFonts w:asciiTheme="majorHAnsi" w:hAnsiTheme="majorHAnsi"/>
            <w:noProof/>
            <w:webHidden/>
            <w:sz w:val="20"/>
            <w:szCs w:val="20"/>
          </w:rPr>
          <w:tab/>
        </w:r>
        <w:r w:rsidR="0080656E" w:rsidRPr="0080656E">
          <w:rPr>
            <w:rFonts w:asciiTheme="majorHAnsi" w:hAnsiTheme="majorHAnsi"/>
            <w:noProof/>
            <w:webHidden/>
            <w:sz w:val="20"/>
            <w:szCs w:val="20"/>
          </w:rPr>
          <w:fldChar w:fldCharType="begin"/>
        </w:r>
        <w:r w:rsidR="0080656E" w:rsidRPr="0080656E">
          <w:rPr>
            <w:rFonts w:asciiTheme="majorHAnsi" w:hAnsiTheme="majorHAnsi"/>
            <w:noProof/>
            <w:webHidden/>
            <w:sz w:val="20"/>
            <w:szCs w:val="20"/>
          </w:rPr>
          <w:instrText xml:space="preserve"> PAGEREF _Toc196383491 \h </w:instrText>
        </w:r>
        <w:r w:rsidR="0080656E" w:rsidRPr="0080656E">
          <w:rPr>
            <w:rFonts w:asciiTheme="majorHAnsi" w:hAnsiTheme="majorHAnsi"/>
            <w:noProof/>
            <w:webHidden/>
            <w:sz w:val="20"/>
            <w:szCs w:val="20"/>
          </w:rPr>
        </w:r>
        <w:r w:rsidR="0080656E" w:rsidRPr="0080656E">
          <w:rPr>
            <w:rFonts w:asciiTheme="majorHAnsi" w:hAnsiTheme="majorHAnsi"/>
            <w:noProof/>
            <w:webHidden/>
            <w:sz w:val="20"/>
            <w:szCs w:val="20"/>
          </w:rPr>
          <w:fldChar w:fldCharType="separate"/>
        </w:r>
        <w:r>
          <w:rPr>
            <w:rFonts w:asciiTheme="majorHAnsi" w:hAnsiTheme="majorHAnsi"/>
            <w:noProof/>
            <w:webHidden/>
            <w:sz w:val="20"/>
            <w:szCs w:val="20"/>
          </w:rPr>
          <w:t>25</w:t>
        </w:r>
        <w:r w:rsidR="0080656E" w:rsidRPr="0080656E">
          <w:rPr>
            <w:rFonts w:asciiTheme="majorHAnsi" w:hAnsiTheme="majorHAnsi"/>
            <w:noProof/>
            <w:webHidden/>
            <w:sz w:val="20"/>
            <w:szCs w:val="20"/>
          </w:rPr>
          <w:fldChar w:fldCharType="end"/>
        </w:r>
      </w:hyperlink>
    </w:p>
    <w:p w14:paraId="46071C04" w14:textId="36088DA3" w:rsidR="0080656E" w:rsidRPr="0080656E" w:rsidRDefault="00F347BD">
      <w:pPr>
        <w:pStyle w:val="TOC2"/>
        <w:rPr>
          <w:rFonts w:asciiTheme="majorHAnsi" w:eastAsiaTheme="minorEastAsia" w:hAnsiTheme="majorHAnsi" w:cstheme="minorBidi"/>
          <w:noProof/>
          <w:kern w:val="2"/>
          <w:sz w:val="20"/>
          <w:szCs w:val="20"/>
          <w:bdr w:val="none" w:sz="0" w:space="0" w:color="auto"/>
          <w14:ligatures w14:val="standardContextual"/>
        </w:rPr>
      </w:pPr>
      <w:hyperlink w:anchor="_Toc196383492" w:history="1">
        <w:r w:rsidR="0080656E" w:rsidRPr="0080656E">
          <w:rPr>
            <w:rStyle w:val="Hyperlink"/>
            <w:rFonts w:asciiTheme="majorHAnsi" w:hAnsiTheme="majorHAnsi"/>
            <w:noProof/>
            <w:sz w:val="20"/>
            <w:szCs w:val="20"/>
          </w:rPr>
          <w:t>C.</w:t>
        </w:r>
        <w:r w:rsidR="0080656E" w:rsidRPr="0080656E">
          <w:rPr>
            <w:rFonts w:asciiTheme="majorHAnsi" w:eastAsiaTheme="minorEastAsia" w:hAnsiTheme="majorHAnsi" w:cstheme="minorBidi"/>
            <w:noProof/>
            <w:kern w:val="2"/>
            <w:sz w:val="20"/>
            <w:szCs w:val="20"/>
            <w:bdr w:val="none" w:sz="0" w:space="0" w:color="auto"/>
            <w14:ligatures w14:val="standardContextual"/>
          </w:rPr>
          <w:tab/>
        </w:r>
        <w:r w:rsidR="0080656E" w:rsidRPr="0080656E">
          <w:rPr>
            <w:rStyle w:val="Hyperlink"/>
            <w:rFonts w:asciiTheme="majorHAnsi" w:hAnsiTheme="majorHAnsi"/>
            <w:noProof/>
            <w:sz w:val="20"/>
            <w:szCs w:val="20"/>
          </w:rPr>
          <w:t>The right to life, a liberty, to security and integrity of the person and the right of protection against arbitrary detention of the American Declaration of Rights and Duties of Man, within the detention Mr. Nicasio Washington Romero Ubal</w:t>
        </w:r>
        <w:r w:rsidR="0080656E" w:rsidRPr="0080656E">
          <w:rPr>
            <w:rFonts w:asciiTheme="majorHAnsi" w:hAnsiTheme="majorHAnsi"/>
            <w:noProof/>
            <w:webHidden/>
            <w:sz w:val="20"/>
            <w:szCs w:val="20"/>
          </w:rPr>
          <w:tab/>
        </w:r>
        <w:r w:rsidR="0080656E" w:rsidRPr="0080656E">
          <w:rPr>
            <w:rFonts w:asciiTheme="majorHAnsi" w:hAnsiTheme="majorHAnsi"/>
            <w:noProof/>
            <w:webHidden/>
            <w:sz w:val="20"/>
            <w:szCs w:val="20"/>
          </w:rPr>
          <w:fldChar w:fldCharType="begin"/>
        </w:r>
        <w:r w:rsidR="0080656E" w:rsidRPr="0080656E">
          <w:rPr>
            <w:rFonts w:asciiTheme="majorHAnsi" w:hAnsiTheme="majorHAnsi"/>
            <w:noProof/>
            <w:webHidden/>
            <w:sz w:val="20"/>
            <w:szCs w:val="20"/>
          </w:rPr>
          <w:instrText xml:space="preserve"> PAGEREF _Toc196383492 \h </w:instrText>
        </w:r>
        <w:r w:rsidR="0080656E" w:rsidRPr="0080656E">
          <w:rPr>
            <w:rFonts w:asciiTheme="majorHAnsi" w:hAnsiTheme="majorHAnsi"/>
            <w:noProof/>
            <w:webHidden/>
            <w:sz w:val="20"/>
            <w:szCs w:val="20"/>
          </w:rPr>
        </w:r>
        <w:r w:rsidR="0080656E" w:rsidRPr="0080656E">
          <w:rPr>
            <w:rFonts w:asciiTheme="majorHAnsi" w:hAnsiTheme="majorHAnsi"/>
            <w:noProof/>
            <w:webHidden/>
            <w:sz w:val="20"/>
            <w:szCs w:val="20"/>
          </w:rPr>
          <w:fldChar w:fldCharType="separate"/>
        </w:r>
        <w:r>
          <w:rPr>
            <w:rFonts w:asciiTheme="majorHAnsi" w:hAnsiTheme="majorHAnsi"/>
            <w:noProof/>
            <w:webHidden/>
            <w:sz w:val="20"/>
            <w:szCs w:val="20"/>
          </w:rPr>
          <w:t>26</w:t>
        </w:r>
        <w:r w:rsidR="0080656E" w:rsidRPr="0080656E">
          <w:rPr>
            <w:rFonts w:asciiTheme="majorHAnsi" w:hAnsiTheme="majorHAnsi"/>
            <w:noProof/>
            <w:webHidden/>
            <w:sz w:val="20"/>
            <w:szCs w:val="20"/>
          </w:rPr>
          <w:fldChar w:fldCharType="end"/>
        </w:r>
      </w:hyperlink>
    </w:p>
    <w:p w14:paraId="19CA922F" w14:textId="6F2A33CF" w:rsidR="0080656E" w:rsidRPr="0080656E" w:rsidRDefault="00F347BD">
      <w:pPr>
        <w:pStyle w:val="TOC3"/>
        <w:tabs>
          <w:tab w:val="left" w:pos="2160"/>
        </w:tabs>
        <w:rPr>
          <w:rFonts w:asciiTheme="majorHAnsi" w:eastAsiaTheme="minorEastAsia" w:hAnsiTheme="majorHAnsi" w:cstheme="minorBidi"/>
          <w:noProof/>
          <w:kern w:val="2"/>
          <w:sz w:val="20"/>
          <w:szCs w:val="20"/>
          <w:bdr w:val="none" w:sz="0" w:space="0" w:color="auto"/>
          <w14:ligatures w14:val="standardContextual"/>
        </w:rPr>
      </w:pPr>
      <w:hyperlink w:anchor="_Toc196383493" w:history="1">
        <w:r w:rsidR="0080656E" w:rsidRPr="0080656E">
          <w:rPr>
            <w:rStyle w:val="Hyperlink"/>
            <w:rFonts w:asciiTheme="majorHAnsi" w:eastAsia="Calibri" w:hAnsiTheme="majorHAnsi" w:cs="Tahoma"/>
            <w:noProof/>
            <w:sz w:val="20"/>
            <w:szCs w:val="20"/>
          </w:rPr>
          <w:t>1.</w:t>
        </w:r>
        <w:r w:rsidR="0080656E" w:rsidRPr="0080656E">
          <w:rPr>
            <w:rFonts w:asciiTheme="majorHAnsi" w:eastAsiaTheme="minorEastAsia" w:hAnsiTheme="majorHAnsi" w:cstheme="minorBidi"/>
            <w:noProof/>
            <w:kern w:val="2"/>
            <w:sz w:val="20"/>
            <w:szCs w:val="20"/>
            <w:bdr w:val="none" w:sz="0" w:space="0" w:color="auto"/>
            <w14:ligatures w14:val="standardContextual"/>
          </w:rPr>
          <w:tab/>
        </w:r>
        <w:r w:rsidR="0080656E" w:rsidRPr="0080656E">
          <w:rPr>
            <w:rStyle w:val="Hyperlink"/>
            <w:rFonts w:asciiTheme="majorHAnsi" w:hAnsiTheme="majorHAnsi"/>
            <w:noProof/>
            <w:sz w:val="20"/>
            <w:szCs w:val="20"/>
          </w:rPr>
          <w:t>The prohibition of torture and cruel, inhumane or degrading treatment or punishment (TCID)</w:t>
        </w:r>
        <w:r w:rsidR="0080656E" w:rsidRPr="0080656E">
          <w:rPr>
            <w:rFonts w:asciiTheme="majorHAnsi" w:hAnsiTheme="majorHAnsi"/>
            <w:noProof/>
            <w:webHidden/>
            <w:sz w:val="20"/>
            <w:szCs w:val="20"/>
          </w:rPr>
          <w:tab/>
        </w:r>
        <w:r w:rsidR="0080656E" w:rsidRPr="0080656E">
          <w:rPr>
            <w:rFonts w:asciiTheme="majorHAnsi" w:hAnsiTheme="majorHAnsi"/>
            <w:noProof/>
            <w:webHidden/>
            <w:sz w:val="20"/>
            <w:szCs w:val="20"/>
          </w:rPr>
          <w:fldChar w:fldCharType="begin"/>
        </w:r>
        <w:r w:rsidR="0080656E" w:rsidRPr="0080656E">
          <w:rPr>
            <w:rFonts w:asciiTheme="majorHAnsi" w:hAnsiTheme="majorHAnsi"/>
            <w:noProof/>
            <w:webHidden/>
            <w:sz w:val="20"/>
            <w:szCs w:val="20"/>
          </w:rPr>
          <w:instrText xml:space="preserve"> PAGEREF _Toc196383493 \h </w:instrText>
        </w:r>
        <w:r w:rsidR="0080656E" w:rsidRPr="0080656E">
          <w:rPr>
            <w:rFonts w:asciiTheme="majorHAnsi" w:hAnsiTheme="majorHAnsi"/>
            <w:noProof/>
            <w:webHidden/>
            <w:sz w:val="20"/>
            <w:szCs w:val="20"/>
          </w:rPr>
        </w:r>
        <w:r w:rsidR="0080656E" w:rsidRPr="0080656E">
          <w:rPr>
            <w:rFonts w:asciiTheme="majorHAnsi" w:hAnsiTheme="majorHAnsi"/>
            <w:noProof/>
            <w:webHidden/>
            <w:sz w:val="20"/>
            <w:szCs w:val="20"/>
          </w:rPr>
          <w:fldChar w:fldCharType="separate"/>
        </w:r>
        <w:r>
          <w:rPr>
            <w:rFonts w:asciiTheme="majorHAnsi" w:hAnsiTheme="majorHAnsi"/>
            <w:noProof/>
            <w:webHidden/>
            <w:sz w:val="20"/>
            <w:szCs w:val="20"/>
          </w:rPr>
          <w:t>26</w:t>
        </w:r>
        <w:r w:rsidR="0080656E" w:rsidRPr="0080656E">
          <w:rPr>
            <w:rFonts w:asciiTheme="majorHAnsi" w:hAnsiTheme="majorHAnsi"/>
            <w:noProof/>
            <w:webHidden/>
            <w:sz w:val="20"/>
            <w:szCs w:val="20"/>
          </w:rPr>
          <w:fldChar w:fldCharType="end"/>
        </w:r>
      </w:hyperlink>
    </w:p>
    <w:p w14:paraId="0B56C88E" w14:textId="7CCCC94A" w:rsidR="0080656E" w:rsidRPr="0080656E" w:rsidRDefault="00F347BD">
      <w:pPr>
        <w:pStyle w:val="TOC3"/>
        <w:tabs>
          <w:tab w:val="left" w:pos="2160"/>
        </w:tabs>
        <w:rPr>
          <w:rFonts w:asciiTheme="majorHAnsi" w:eastAsiaTheme="minorEastAsia" w:hAnsiTheme="majorHAnsi" w:cstheme="minorBidi"/>
          <w:noProof/>
          <w:kern w:val="2"/>
          <w:sz w:val="20"/>
          <w:szCs w:val="20"/>
          <w:bdr w:val="none" w:sz="0" w:space="0" w:color="auto"/>
          <w14:ligatures w14:val="standardContextual"/>
        </w:rPr>
      </w:pPr>
      <w:hyperlink w:anchor="_Toc196383494" w:history="1">
        <w:r w:rsidR="0080656E" w:rsidRPr="0080656E">
          <w:rPr>
            <w:rStyle w:val="Hyperlink"/>
            <w:rFonts w:asciiTheme="majorHAnsi" w:hAnsiTheme="majorHAnsi"/>
            <w:noProof/>
            <w:sz w:val="20"/>
            <w:szCs w:val="20"/>
          </w:rPr>
          <w:t>2.</w:t>
        </w:r>
        <w:r w:rsidR="0080656E" w:rsidRPr="0080656E">
          <w:rPr>
            <w:rFonts w:asciiTheme="majorHAnsi" w:eastAsiaTheme="minorEastAsia" w:hAnsiTheme="majorHAnsi" w:cstheme="minorBidi"/>
            <w:noProof/>
            <w:kern w:val="2"/>
            <w:sz w:val="20"/>
            <w:szCs w:val="20"/>
            <w:bdr w:val="none" w:sz="0" w:space="0" w:color="auto"/>
            <w14:ligatures w14:val="standardContextual"/>
          </w:rPr>
          <w:tab/>
        </w:r>
        <w:r w:rsidR="0080656E" w:rsidRPr="0080656E">
          <w:rPr>
            <w:rStyle w:val="Hyperlink"/>
            <w:rFonts w:asciiTheme="majorHAnsi" w:hAnsiTheme="majorHAnsi"/>
            <w:noProof/>
            <w:sz w:val="20"/>
            <w:szCs w:val="20"/>
          </w:rPr>
          <w:t>Analysis of the concrete case of Mr. Nicasio Washington Romero</w:t>
        </w:r>
        <w:r w:rsidR="0080656E" w:rsidRPr="0080656E">
          <w:rPr>
            <w:rFonts w:asciiTheme="majorHAnsi" w:hAnsiTheme="majorHAnsi"/>
            <w:noProof/>
            <w:webHidden/>
            <w:sz w:val="20"/>
            <w:szCs w:val="20"/>
          </w:rPr>
          <w:tab/>
        </w:r>
        <w:r w:rsidR="0080656E" w:rsidRPr="0080656E">
          <w:rPr>
            <w:rFonts w:asciiTheme="majorHAnsi" w:hAnsiTheme="majorHAnsi"/>
            <w:noProof/>
            <w:webHidden/>
            <w:sz w:val="20"/>
            <w:szCs w:val="20"/>
          </w:rPr>
          <w:fldChar w:fldCharType="begin"/>
        </w:r>
        <w:r w:rsidR="0080656E" w:rsidRPr="0080656E">
          <w:rPr>
            <w:rFonts w:asciiTheme="majorHAnsi" w:hAnsiTheme="majorHAnsi"/>
            <w:noProof/>
            <w:webHidden/>
            <w:sz w:val="20"/>
            <w:szCs w:val="20"/>
          </w:rPr>
          <w:instrText xml:space="preserve"> PAGEREF _Toc196383494 \h </w:instrText>
        </w:r>
        <w:r w:rsidR="0080656E" w:rsidRPr="0080656E">
          <w:rPr>
            <w:rFonts w:asciiTheme="majorHAnsi" w:hAnsiTheme="majorHAnsi"/>
            <w:noProof/>
            <w:webHidden/>
            <w:sz w:val="20"/>
            <w:szCs w:val="20"/>
          </w:rPr>
        </w:r>
        <w:r w:rsidR="0080656E" w:rsidRPr="0080656E">
          <w:rPr>
            <w:rFonts w:asciiTheme="majorHAnsi" w:hAnsiTheme="majorHAnsi"/>
            <w:noProof/>
            <w:webHidden/>
            <w:sz w:val="20"/>
            <w:szCs w:val="20"/>
          </w:rPr>
          <w:fldChar w:fldCharType="separate"/>
        </w:r>
        <w:r>
          <w:rPr>
            <w:rFonts w:asciiTheme="majorHAnsi" w:hAnsiTheme="majorHAnsi"/>
            <w:noProof/>
            <w:webHidden/>
            <w:sz w:val="20"/>
            <w:szCs w:val="20"/>
          </w:rPr>
          <w:t>27</w:t>
        </w:r>
        <w:r w:rsidR="0080656E" w:rsidRPr="0080656E">
          <w:rPr>
            <w:rFonts w:asciiTheme="majorHAnsi" w:hAnsiTheme="majorHAnsi"/>
            <w:noProof/>
            <w:webHidden/>
            <w:sz w:val="20"/>
            <w:szCs w:val="20"/>
          </w:rPr>
          <w:fldChar w:fldCharType="end"/>
        </w:r>
      </w:hyperlink>
    </w:p>
    <w:p w14:paraId="1B589AE6" w14:textId="2BA29B92" w:rsidR="0080656E" w:rsidRPr="0080656E" w:rsidRDefault="00F347BD">
      <w:pPr>
        <w:pStyle w:val="TOC2"/>
        <w:rPr>
          <w:rFonts w:asciiTheme="majorHAnsi" w:eastAsiaTheme="minorEastAsia" w:hAnsiTheme="majorHAnsi" w:cstheme="minorBidi"/>
          <w:noProof/>
          <w:kern w:val="2"/>
          <w:sz w:val="20"/>
          <w:szCs w:val="20"/>
          <w:bdr w:val="none" w:sz="0" w:space="0" w:color="auto"/>
          <w14:ligatures w14:val="standardContextual"/>
        </w:rPr>
      </w:pPr>
      <w:hyperlink w:anchor="_Toc196383495" w:history="1">
        <w:r w:rsidR="0080656E" w:rsidRPr="0080656E">
          <w:rPr>
            <w:rStyle w:val="Hyperlink"/>
            <w:rFonts w:asciiTheme="majorHAnsi" w:eastAsia="Times New Roman" w:hAnsiTheme="majorHAnsi" w:cs="Arial"/>
            <w:bCs/>
            <w:noProof/>
            <w:sz w:val="20"/>
            <w:szCs w:val="20"/>
          </w:rPr>
          <w:t>D.</w:t>
        </w:r>
        <w:r w:rsidR="0080656E" w:rsidRPr="0080656E">
          <w:rPr>
            <w:rFonts w:asciiTheme="majorHAnsi" w:eastAsiaTheme="minorEastAsia" w:hAnsiTheme="majorHAnsi" w:cstheme="minorBidi"/>
            <w:noProof/>
            <w:kern w:val="2"/>
            <w:sz w:val="20"/>
            <w:szCs w:val="20"/>
            <w:bdr w:val="none" w:sz="0" w:space="0" w:color="auto"/>
            <w14:ligatures w14:val="standardContextual"/>
          </w:rPr>
          <w:tab/>
        </w:r>
        <w:r w:rsidR="0080656E" w:rsidRPr="0080656E">
          <w:rPr>
            <w:rStyle w:val="Hyperlink"/>
            <w:rFonts w:asciiTheme="majorHAnsi" w:eastAsia="Times New Roman" w:hAnsiTheme="majorHAnsi" w:cs="Arial"/>
            <w:bCs/>
            <w:noProof/>
            <w:sz w:val="20"/>
            <w:szCs w:val="20"/>
          </w:rPr>
          <w:t>The right to appropriate reasoning, the right to judicial protection  and the right to equality before the law in relation to article 1.1</w:t>
        </w:r>
        <w:r w:rsidR="0080656E" w:rsidRPr="0080656E">
          <w:rPr>
            <w:rStyle w:val="Hyperlink"/>
            <w:rFonts w:asciiTheme="majorHAnsi" w:eastAsia="Times New Roman" w:hAnsiTheme="majorHAnsi" w:cs="Arial"/>
            <w:bCs/>
            <w:noProof/>
            <w:sz w:val="20"/>
            <w:szCs w:val="20"/>
            <w:vertAlign w:val="superscript"/>
          </w:rPr>
          <w:t xml:space="preserve"> </w:t>
        </w:r>
        <w:r w:rsidR="0080656E" w:rsidRPr="0080656E">
          <w:rPr>
            <w:rStyle w:val="Hyperlink"/>
            <w:rFonts w:asciiTheme="majorHAnsi" w:eastAsia="Times New Roman" w:hAnsiTheme="majorHAnsi" w:cs="Arial"/>
            <w:bCs/>
            <w:noProof/>
            <w:sz w:val="20"/>
            <w:szCs w:val="20"/>
          </w:rPr>
          <w:t>of the American Convention, within reparation proceedings of Law 24.043 initiated by the alleged victims</w:t>
        </w:r>
        <w:r w:rsidR="0080656E" w:rsidRPr="0080656E">
          <w:rPr>
            <w:rFonts w:asciiTheme="majorHAnsi" w:hAnsiTheme="majorHAnsi"/>
            <w:noProof/>
            <w:webHidden/>
            <w:sz w:val="20"/>
            <w:szCs w:val="20"/>
          </w:rPr>
          <w:tab/>
        </w:r>
        <w:r w:rsidR="0080656E" w:rsidRPr="0080656E">
          <w:rPr>
            <w:rFonts w:asciiTheme="majorHAnsi" w:hAnsiTheme="majorHAnsi"/>
            <w:noProof/>
            <w:webHidden/>
            <w:sz w:val="20"/>
            <w:szCs w:val="20"/>
          </w:rPr>
          <w:fldChar w:fldCharType="begin"/>
        </w:r>
        <w:r w:rsidR="0080656E" w:rsidRPr="0080656E">
          <w:rPr>
            <w:rFonts w:asciiTheme="majorHAnsi" w:hAnsiTheme="majorHAnsi"/>
            <w:noProof/>
            <w:webHidden/>
            <w:sz w:val="20"/>
            <w:szCs w:val="20"/>
          </w:rPr>
          <w:instrText xml:space="preserve"> PAGEREF _Toc196383495 \h </w:instrText>
        </w:r>
        <w:r w:rsidR="0080656E" w:rsidRPr="0080656E">
          <w:rPr>
            <w:rFonts w:asciiTheme="majorHAnsi" w:hAnsiTheme="majorHAnsi"/>
            <w:noProof/>
            <w:webHidden/>
            <w:sz w:val="20"/>
            <w:szCs w:val="20"/>
          </w:rPr>
        </w:r>
        <w:r w:rsidR="0080656E" w:rsidRPr="0080656E">
          <w:rPr>
            <w:rFonts w:asciiTheme="majorHAnsi" w:hAnsiTheme="majorHAnsi"/>
            <w:noProof/>
            <w:webHidden/>
            <w:sz w:val="20"/>
            <w:szCs w:val="20"/>
          </w:rPr>
          <w:fldChar w:fldCharType="separate"/>
        </w:r>
        <w:r>
          <w:rPr>
            <w:rFonts w:asciiTheme="majorHAnsi" w:hAnsiTheme="majorHAnsi"/>
            <w:noProof/>
            <w:webHidden/>
            <w:sz w:val="20"/>
            <w:szCs w:val="20"/>
          </w:rPr>
          <w:t>28</w:t>
        </w:r>
        <w:r w:rsidR="0080656E" w:rsidRPr="0080656E">
          <w:rPr>
            <w:rFonts w:asciiTheme="majorHAnsi" w:hAnsiTheme="majorHAnsi"/>
            <w:noProof/>
            <w:webHidden/>
            <w:sz w:val="20"/>
            <w:szCs w:val="20"/>
          </w:rPr>
          <w:fldChar w:fldCharType="end"/>
        </w:r>
      </w:hyperlink>
    </w:p>
    <w:p w14:paraId="313B1C95" w14:textId="0E5E1E22" w:rsidR="0080656E" w:rsidRPr="0080656E" w:rsidRDefault="00F347BD">
      <w:pPr>
        <w:pStyle w:val="TOC3"/>
        <w:tabs>
          <w:tab w:val="left" w:pos="2160"/>
        </w:tabs>
        <w:rPr>
          <w:rFonts w:asciiTheme="majorHAnsi" w:eastAsiaTheme="minorEastAsia" w:hAnsiTheme="majorHAnsi" w:cstheme="minorBidi"/>
          <w:noProof/>
          <w:kern w:val="2"/>
          <w:sz w:val="20"/>
          <w:szCs w:val="20"/>
          <w:bdr w:val="none" w:sz="0" w:space="0" w:color="auto"/>
          <w14:ligatures w14:val="standardContextual"/>
        </w:rPr>
      </w:pPr>
      <w:hyperlink w:anchor="_Toc196383496" w:history="1">
        <w:r w:rsidR="0080656E" w:rsidRPr="0080656E">
          <w:rPr>
            <w:rStyle w:val="Hyperlink"/>
            <w:rFonts w:asciiTheme="majorHAnsi" w:hAnsiTheme="majorHAnsi"/>
            <w:noProof/>
            <w:sz w:val="20"/>
            <w:szCs w:val="20"/>
          </w:rPr>
          <w:t>1.</w:t>
        </w:r>
        <w:r w:rsidR="0080656E" w:rsidRPr="0080656E">
          <w:rPr>
            <w:rFonts w:asciiTheme="majorHAnsi" w:eastAsiaTheme="minorEastAsia" w:hAnsiTheme="majorHAnsi" w:cstheme="minorBidi"/>
            <w:noProof/>
            <w:kern w:val="2"/>
            <w:sz w:val="20"/>
            <w:szCs w:val="20"/>
            <w:bdr w:val="none" w:sz="0" w:space="0" w:color="auto"/>
            <w14:ligatures w14:val="standardContextual"/>
          </w:rPr>
          <w:tab/>
        </w:r>
        <w:r w:rsidR="0080656E" w:rsidRPr="0080656E">
          <w:rPr>
            <w:rStyle w:val="Hyperlink"/>
            <w:rFonts w:asciiTheme="majorHAnsi" w:hAnsiTheme="majorHAnsi"/>
            <w:noProof/>
            <w:sz w:val="20"/>
            <w:szCs w:val="20"/>
          </w:rPr>
          <w:t>Preliminary matters</w:t>
        </w:r>
        <w:r w:rsidR="0080656E" w:rsidRPr="0080656E">
          <w:rPr>
            <w:rFonts w:asciiTheme="majorHAnsi" w:hAnsiTheme="majorHAnsi"/>
            <w:noProof/>
            <w:webHidden/>
            <w:sz w:val="20"/>
            <w:szCs w:val="20"/>
          </w:rPr>
          <w:tab/>
        </w:r>
        <w:r w:rsidR="0080656E" w:rsidRPr="0080656E">
          <w:rPr>
            <w:rFonts w:asciiTheme="majorHAnsi" w:hAnsiTheme="majorHAnsi"/>
            <w:noProof/>
            <w:webHidden/>
            <w:sz w:val="20"/>
            <w:szCs w:val="20"/>
          </w:rPr>
          <w:fldChar w:fldCharType="begin"/>
        </w:r>
        <w:r w:rsidR="0080656E" w:rsidRPr="0080656E">
          <w:rPr>
            <w:rFonts w:asciiTheme="majorHAnsi" w:hAnsiTheme="majorHAnsi"/>
            <w:noProof/>
            <w:webHidden/>
            <w:sz w:val="20"/>
            <w:szCs w:val="20"/>
          </w:rPr>
          <w:instrText xml:space="preserve"> PAGEREF _Toc196383496 \h </w:instrText>
        </w:r>
        <w:r w:rsidR="0080656E" w:rsidRPr="0080656E">
          <w:rPr>
            <w:rFonts w:asciiTheme="majorHAnsi" w:hAnsiTheme="majorHAnsi"/>
            <w:noProof/>
            <w:webHidden/>
            <w:sz w:val="20"/>
            <w:szCs w:val="20"/>
          </w:rPr>
        </w:r>
        <w:r w:rsidR="0080656E" w:rsidRPr="0080656E">
          <w:rPr>
            <w:rFonts w:asciiTheme="majorHAnsi" w:hAnsiTheme="majorHAnsi"/>
            <w:noProof/>
            <w:webHidden/>
            <w:sz w:val="20"/>
            <w:szCs w:val="20"/>
          </w:rPr>
          <w:fldChar w:fldCharType="separate"/>
        </w:r>
        <w:r>
          <w:rPr>
            <w:rFonts w:asciiTheme="majorHAnsi" w:hAnsiTheme="majorHAnsi"/>
            <w:noProof/>
            <w:webHidden/>
            <w:sz w:val="20"/>
            <w:szCs w:val="20"/>
          </w:rPr>
          <w:t>29</w:t>
        </w:r>
        <w:r w:rsidR="0080656E" w:rsidRPr="0080656E">
          <w:rPr>
            <w:rFonts w:asciiTheme="majorHAnsi" w:hAnsiTheme="majorHAnsi"/>
            <w:noProof/>
            <w:webHidden/>
            <w:sz w:val="20"/>
            <w:szCs w:val="20"/>
          </w:rPr>
          <w:fldChar w:fldCharType="end"/>
        </w:r>
      </w:hyperlink>
    </w:p>
    <w:p w14:paraId="43C44E5B" w14:textId="3E6B9A2D" w:rsidR="0080656E" w:rsidRPr="0080656E" w:rsidRDefault="00F347BD">
      <w:pPr>
        <w:pStyle w:val="TOC3"/>
        <w:tabs>
          <w:tab w:val="left" w:pos="2160"/>
        </w:tabs>
        <w:rPr>
          <w:rFonts w:asciiTheme="majorHAnsi" w:eastAsiaTheme="minorEastAsia" w:hAnsiTheme="majorHAnsi" w:cstheme="minorBidi"/>
          <w:noProof/>
          <w:kern w:val="2"/>
          <w:sz w:val="20"/>
          <w:szCs w:val="20"/>
          <w:bdr w:val="none" w:sz="0" w:space="0" w:color="auto"/>
          <w14:ligatures w14:val="standardContextual"/>
        </w:rPr>
      </w:pPr>
      <w:hyperlink w:anchor="_Toc196383497" w:history="1">
        <w:r w:rsidR="0080656E" w:rsidRPr="0080656E">
          <w:rPr>
            <w:rStyle w:val="Hyperlink"/>
            <w:rFonts w:asciiTheme="majorHAnsi" w:hAnsiTheme="majorHAnsi"/>
            <w:noProof/>
            <w:sz w:val="20"/>
            <w:szCs w:val="20"/>
          </w:rPr>
          <w:t>2.</w:t>
        </w:r>
        <w:r w:rsidR="0080656E" w:rsidRPr="0080656E">
          <w:rPr>
            <w:rFonts w:asciiTheme="majorHAnsi" w:eastAsiaTheme="minorEastAsia" w:hAnsiTheme="majorHAnsi" w:cstheme="minorBidi"/>
            <w:noProof/>
            <w:kern w:val="2"/>
            <w:sz w:val="20"/>
            <w:szCs w:val="20"/>
            <w:bdr w:val="none" w:sz="0" w:space="0" w:color="auto"/>
            <w14:ligatures w14:val="standardContextual"/>
          </w:rPr>
          <w:tab/>
        </w:r>
        <w:r w:rsidR="0080656E" w:rsidRPr="0080656E">
          <w:rPr>
            <w:rStyle w:val="Hyperlink"/>
            <w:rFonts w:asciiTheme="majorHAnsi" w:hAnsiTheme="majorHAnsi"/>
            <w:noProof/>
            <w:sz w:val="20"/>
            <w:szCs w:val="20"/>
          </w:rPr>
          <w:t>General Considerations on the rights to have duly reasoned decisions, judicial protection and equality before the law</w:t>
        </w:r>
        <w:r w:rsidR="0080656E" w:rsidRPr="0080656E">
          <w:rPr>
            <w:rFonts w:asciiTheme="majorHAnsi" w:hAnsiTheme="majorHAnsi"/>
            <w:noProof/>
            <w:webHidden/>
            <w:sz w:val="20"/>
            <w:szCs w:val="20"/>
          </w:rPr>
          <w:tab/>
        </w:r>
        <w:r w:rsidR="0080656E" w:rsidRPr="0080656E">
          <w:rPr>
            <w:rFonts w:asciiTheme="majorHAnsi" w:hAnsiTheme="majorHAnsi"/>
            <w:noProof/>
            <w:webHidden/>
            <w:sz w:val="20"/>
            <w:szCs w:val="20"/>
          </w:rPr>
          <w:fldChar w:fldCharType="begin"/>
        </w:r>
        <w:r w:rsidR="0080656E" w:rsidRPr="0080656E">
          <w:rPr>
            <w:rFonts w:asciiTheme="majorHAnsi" w:hAnsiTheme="majorHAnsi"/>
            <w:noProof/>
            <w:webHidden/>
            <w:sz w:val="20"/>
            <w:szCs w:val="20"/>
          </w:rPr>
          <w:instrText xml:space="preserve"> PAGEREF _Toc196383497 \h </w:instrText>
        </w:r>
        <w:r w:rsidR="0080656E" w:rsidRPr="0080656E">
          <w:rPr>
            <w:rFonts w:asciiTheme="majorHAnsi" w:hAnsiTheme="majorHAnsi"/>
            <w:noProof/>
            <w:webHidden/>
            <w:sz w:val="20"/>
            <w:szCs w:val="20"/>
          </w:rPr>
        </w:r>
        <w:r w:rsidR="0080656E" w:rsidRPr="0080656E">
          <w:rPr>
            <w:rFonts w:asciiTheme="majorHAnsi" w:hAnsiTheme="majorHAnsi"/>
            <w:noProof/>
            <w:webHidden/>
            <w:sz w:val="20"/>
            <w:szCs w:val="20"/>
          </w:rPr>
          <w:fldChar w:fldCharType="separate"/>
        </w:r>
        <w:r>
          <w:rPr>
            <w:rFonts w:asciiTheme="majorHAnsi" w:hAnsiTheme="majorHAnsi"/>
            <w:noProof/>
            <w:webHidden/>
            <w:sz w:val="20"/>
            <w:szCs w:val="20"/>
          </w:rPr>
          <w:t>30</w:t>
        </w:r>
        <w:r w:rsidR="0080656E" w:rsidRPr="0080656E">
          <w:rPr>
            <w:rFonts w:asciiTheme="majorHAnsi" w:hAnsiTheme="majorHAnsi"/>
            <w:noProof/>
            <w:webHidden/>
            <w:sz w:val="20"/>
            <w:szCs w:val="20"/>
          </w:rPr>
          <w:fldChar w:fldCharType="end"/>
        </w:r>
      </w:hyperlink>
    </w:p>
    <w:p w14:paraId="5CFEC4CF" w14:textId="3018E5D5" w:rsidR="0080656E" w:rsidRPr="0080656E" w:rsidRDefault="00F347BD">
      <w:pPr>
        <w:pStyle w:val="TOC3"/>
        <w:tabs>
          <w:tab w:val="left" w:pos="2160"/>
        </w:tabs>
        <w:rPr>
          <w:rFonts w:asciiTheme="majorHAnsi" w:eastAsiaTheme="minorEastAsia" w:hAnsiTheme="majorHAnsi" w:cstheme="minorBidi"/>
          <w:noProof/>
          <w:kern w:val="2"/>
          <w:sz w:val="20"/>
          <w:szCs w:val="20"/>
          <w:bdr w:val="none" w:sz="0" w:space="0" w:color="auto"/>
          <w14:ligatures w14:val="standardContextual"/>
        </w:rPr>
      </w:pPr>
      <w:hyperlink w:anchor="_Toc196383498" w:history="1">
        <w:r w:rsidR="0080656E" w:rsidRPr="0080656E">
          <w:rPr>
            <w:rStyle w:val="Hyperlink"/>
            <w:rFonts w:asciiTheme="majorHAnsi" w:hAnsiTheme="majorHAnsi"/>
            <w:noProof/>
            <w:sz w:val="20"/>
            <w:szCs w:val="20"/>
          </w:rPr>
          <w:t>3.</w:t>
        </w:r>
        <w:r w:rsidR="0080656E" w:rsidRPr="0080656E">
          <w:rPr>
            <w:rFonts w:asciiTheme="majorHAnsi" w:eastAsiaTheme="minorEastAsia" w:hAnsiTheme="majorHAnsi" w:cstheme="minorBidi"/>
            <w:noProof/>
            <w:kern w:val="2"/>
            <w:sz w:val="20"/>
            <w:szCs w:val="20"/>
            <w:bdr w:val="none" w:sz="0" w:space="0" w:color="auto"/>
            <w14:ligatures w14:val="standardContextual"/>
          </w:rPr>
          <w:tab/>
        </w:r>
        <w:r w:rsidR="0080656E" w:rsidRPr="0080656E">
          <w:rPr>
            <w:rStyle w:val="Hyperlink"/>
            <w:rFonts w:asciiTheme="majorHAnsi" w:hAnsiTheme="majorHAnsi"/>
            <w:noProof/>
            <w:sz w:val="20"/>
            <w:szCs w:val="20"/>
          </w:rPr>
          <w:t>Analysis on whether Law 24.043 and its application in the proceedings initiated by the alleged victims violated rights contemplated in the Convention</w:t>
        </w:r>
        <w:r w:rsidR="0080656E" w:rsidRPr="0080656E">
          <w:rPr>
            <w:rFonts w:asciiTheme="majorHAnsi" w:hAnsiTheme="majorHAnsi"/>
            <w:noProof/>
            <w:webHidden/>
            <w:sz w:val="20"/>
            <w:szCs w:val="20"/>
          </w:rPr>
          <w:tab/>
        </w:r>
        <w:r w:rsidR="0080656E" w:rsidRPr="0080656E">
          <w:rPr>
            <w:rFonts w:asciiTheme="majorHAnsi" w:hAnsiTheme="majorHAnsi"/>
            <w:noProof/>
            <w:webHidden/>
            <w:sz w:val="20"/>
            <w:szCs w:val="20"/>
          </w:rPr>
          <w:fldChar w:fldCharType="begin"/>
        </w:r>
        <w:r w:rsidR="0080656E" w:rsidRPr="0080656E">
          <w:rPr>
            <w:rFonts w:asciiTheme="majorHAnsi" w:hAnsiTheme="majorHAnsi"/>
            <w:noProof/>
            <w:webHidden/>
            <w:sz w:val="20"/>
            <w:szCs w:val="20"/>
          </w:rPr>
          <w:instrText xml:space="preserve"> PAGEREF _Toc196383498 \h </w:instrText>
        </w:r>
        <w:r w:rsidR="0080656E" w:rsidRPr="0080656E">
          <w:rPr>
            <w:rFonts w:asciiTheme="majorHAnsi" w:hAnsiTheme="majorHAnsi"/>
            <w:noProof/>
            <w:webHidden/>
            <w:sz w:val="20"/>
            <w:szCs w:val="20"/>
          </w:rPr>
        </w:r>
        <w:r w:rsidR="0080656E" w:rsidRPr="0080656E">
          <w:rPr>
            <w:rFonts w:asciiTheme="majorHAnsi" w:hAnsiTheme="majorHAnsi"/>
            <w:noProof/>
            <w:webHidden/>
            <w:sz w:val="20"/>
            <w:szCs w:val="20"/>
          </w:rPr>
          <w:fldChar w:fldCharType="separate"/>
        </w:r>
        <w:r>
          <w:rPr>
            <w:rFonts w:asciiTheme="majorHAnsi" w:hAnsiTheme="majorHAnsi"/>
            <w:noProof/>
            <w:webHidden/>
            <w:sz w:val="20"/>
            <w:szCs w:val="20"/>
          </w:rPr>
          <w:t>32</w:t>
        </w:r>
        <w:r w:rsidR="0080656E" w:rsidRPr="0080656E">
          <w:rPr>
            <w:rFonts w:asciiTheme="majorHAnsi" w:hAnsiTheme="majorHAnsi"/>
            <w:noProof/>
            <w:webHidden/>
            <w:sz w:val="20"/>
            <w:szCs w:val="20"/>
          </w:rPr>
          <w:fldChar w:fldCharType="end"/>
        </w:r>
      </w:hyperlink>
    </w:p>
    <w:p w14:paraId="34D12B8A" w14:textId="1A682B3E" w:rsidR="0080656E" w:rsidRPr="0080656E" w:rsidRDefault="00F347BD">
      <w:pPr>
        <w:pStyle w:val="TOC1"/>
        <w:tabs>
          <w:tab w:val="left" w:pos="1440"/>
          <w:tab w:val="right" w:leader="dot" w:pos="9350"/>
        </w:tabs>
        <w:rPr>
          <w:rFonts w:asciiTheme="majorHAnsi" w:eastAsiaTheme="minorEastAsia" w:hAnsiTheme="majorHAnsi" w:cstheme="minorBidi"/>
          <w:noProof/>
          <w:kern w:val="2"/>
          <w:sz w:val="20"/>
          <w:szCs w:val="20"/>
          <w:bdr w:val="none" w:sz="0" w:space="0" w:color="auto"/>
          <w14:ligatures w14:val="standardContextual"/>
        </w:rPr>
      </w:pPr>
      <w:hyperlink w:anchor="_Toc196383499" w:history="1">
        <w:r w:rsidR="0080656E" w:rsidRPr="0080656E">
          <w:rPr>
            <w:rStyle w:val="Hyperlink"/>
            <w:rFonts w:asciiTheme="majorHAnsi" w:hAnsiTheme="majorHAnsi"/>
            <w:noProof/>
            <w:sz w:val="20"/>
            <w:szCs w:val="20"/>
          </w:rPr>
          <w:t>V.</w:t>
        </w:r>
        <w:r w:rsidR="0080656E" w:rsidRPr="0080656E">
          <w:rPr>
            <w:rFonts w:asciiTheme="majorHAnsi" w:eastAsiaTheme="minorEastAsia" w:hAnsiTheme="majorHAnsi" w:cstheme="minorBidi"/>
            <w:noProof/>
            <w:kern w:val="2"/>
            <w:sz w:val="20"/>
            <w:szCs w:val="20"/>
            <w:bdr w:val="none" w:sz="0" w:space="0" w:color="auto"/>
            <w14:ligatures w14:val="standardContextual"/>
          </w:rPr>
          <w:tab/>
        </w:r>
        <w:r w:rsidR="0080656E" w:rsidRPr="0080656E">
          <w:rPr>
            <w:rStyle w:val="Hyperlink"/>
            <w:rFonts w:asciiTheme="majorHAnsi" w:hAnsiTheme="majorHAnsi"/>
            <w:noProof/>
            <w:sz w:val="20"/>
            <w:szCs w:val="20"/>
          </w:rPr>
          <w:t>ACTIONS AFTER REPORT No. 139/21</w:t>
        </w:r>
        <w:r w:rsidR="0080656E" w:rsidRPr="0080656E">
          <w:rPr>
            <w:rFonts w:asciiTheme="majorHAnsi" w:hAnsiTheme="majorHAnsi"/>
            <w:noProof/>
            <w:webHidden/>
            <w:sz w:val="20"/>
            <w:szCs w:val="20"/>
          </w:rPr>
          <w:tab/>
        </w:r>
        <w:r w:rsidR="0080656E" w:rsidRPr="0080656E">
          <w:rPr>
            <w:rFonts w:asciiTheme="majorHAnsi" w:hAnsiTheme="majorHAnsi"/>
            <w:noProof/>
            <w:webHidden/>
            <w:sz w:val="20"/>
            <w:szCs w:val="20"/>
          </w:rPr>
          <w:fldChar w:fldCharType="begin"/>
        </w:r>
        <w:r w:rsidR="0080656E" w:rsidRPr="0080656E">
          <w:rPr>
            <w:rFonts w:asciiTheme="majorHAnsi" w:hAnsiTheme="majorHAnsi"/>
            <w:noProof/>
            <w:webHidden/>
            <w:sz w:val="20"/>
            <w:szCs w:val="20"/>
          </w:rPr>
          <w:instrText xml:space="preserve"> PAGEREF _Toc196383499 \h </w:instrText>
        </w:r>
        <w:r w:rsidR="0080656E" w:rsidRPr="0080656E">
          <w:rPr>
            <w:rFonts w:asciiTheme="majorHAnsi" w:hAnsiTheme="majorHAnsi"/>
            <w:noProof/>
            <w:webHidden/>
            <w:sz w:val="20"/>
            <w:szCs w:val="20"/>
          </w:rPr>
        </w:r>
        <w:r w:rsidR="0080656E" w:rsidRPr="0080656E">
          <w:rPr>
            <w:rFonts w:asciiTheme="majorHAnsi" w:hAnsiTheme="majorHAnsi"/>
            <w:noProof/>
            <w:webHidden/>
            <w:sz w:val="20"/>
            <w:szCs w:val="20"/>
          </w:rPr>
          <w:fldChar w:fldCharType="separate"/>
        </w:r>
        <w:r>
          <w:rPr>
            <w:rFonts w:asciiTheme="majorHAnsi" w:hAnsiTheme="majorHAnsi"/>
            <w:noProof/>
            <w:webHidden/>
            <w:sz w:val="20"/>
            <w:szCs w:val="20"/>
          </w:rPr>
          <w:t>37</w:t>
        </w:r>
        <w:r w:rsidR="0080656E" w:rsidRPr="0080656E">
          <w:rPr>
            <w:rFonts w:asciiTheme="majorHAnsi" w:hAnsiTheme="majorHAnsi"/>
            <w:noProof/>
            <w:webHidden/>
            <w:sz w:val="20"/>
            <w:szCs w:val="20"/>
          </w:rPr>
          <w:fldChar w:fldCharType="end"/>
        </w:r>
      </w:hyperlink>
    </w:p>
    <w:p w14:paraId="57802E04" w14:textId="6D75041C" w:rsidR="0080656E" w:rsidRPr="0080656E" w:rsidRDefault="00F347BD">
      <w:pPr>
        <w:pStyle w:val="TOC1"/>
        <w:tabs>
          <w:tab w:val="left" w:pos="1440"/>
          <w:tab w:val="right" w:leader="dot" w:pos="9350"/>
        </w:tabs>
        <w:rPr>
          <w:rFonts w:asciiTheme="majorHAnsi" w:eastAsiaTheme="minorEastAsia" w:hAnsiTheme="majorHAnsi" w:cstheme="minorBidi"/>
          <w:noProof/>
          <w:kern w:val="2"/>
          <w:sz w:val="20"/>
          <w:szCs w:val="20"/>
          <w:bdr w:val="none" w:sz="0" w:space="0" w:color="auto"/>
          <w14:ligatures w14:val="standardContextual"/>
        </w:rPr>
      </w:pPr>
      <w:hyperlink w:anchor="_Toc196383500" w:history="1">
        <w:r w:rsidR="0080656E" w:rsidRPr="0080656E">
          <w:rPr>
            <w:rStyle w:val="Hyperlink"/>
            <w:rFonts w:asciiTheme="majorHAnsi" w:hAnsiTheme="majorHAnsi"/>
            <w:noProof/>
            <w:sz w:val="20"/>
            <w:szCs w:val="20"/>
          </w:rPr>
          <w:t>VI.</w:t>
        </w:r>
        <w:r w:rsidR="0080656E" w:rsidRPr="0080656E">
          <w:rPr>
            <w:rFonts w:asciiTheme="majorHAnsi" w:eastAsiaTheme="minorEastAsia" w:hAnsiTheme="majorHAnsi" w:cstheme="minorBidi"/>
            <w:noProof/>
            <w:kern w:val="2"/>
            <w:sz w:val="20"/>
            <w:szCs w:val="20"/>
            <w:bdr w:val="none" w:sz="0" w:space="0" w:color="auto"/>
            <w14:ligatures w14:val="standardContextual"/>
          </w:rPr>
          <w:tab/>
        </w:r>
        <w:r w:rsidR="0080656E" w:rsidRPr="0080656E">
          <w:rPr>
            <w:rStyle w:val="Hyperlink"/>
            <w:rFonts w:asciiTheme="majorHAnsi" w:hAnsiTheme="majorHAnsi"/>
            <w:noProof/>
            <w:sz w:val="20"/>
            <w:szCs w:val="20"/>
          </w:rPr>
          <w:t>ANALYSIS OF COMPLIANCE WITH RECOMMENDATIONS</w:t>
        </w:r>
        <w:r w:rsidR="0080656E" w:rsidRPr="0080656E">
          <w:rPr>
            <w:rFonts w:asciiTheme="majorHAnsi" w:hAnsiTheme="majorHAnsi"/>
            <w:noProof/>
            <w:webHidden/>
            <w:sz w:val="20"/>
            <w:szCs w:val="20"/>
          </w:rPr>
          <w:tab/>
        </w:r>
        <w:r w:rsidR="0080656E" w:rsidRPr="0080656E">
          <w:rPr>
            <w:rFonts w:asciiTheme="majorHAnsi" w:hAnsiTheme="majorHAnsi"/>
            <w:noProof/>
            <w:webHidden/>
            <w:sz w:val="20"/>
            <w:szCs w:val="20"/>
          </w:rPr>
          <w:fldChar w:fldCharType="begin"/>
        </w:r>
        <w:r w:rsidR="0080656E" w:rsidRPr="0080656E">
          <w:rPr>
            <w:rFonts w:asciiTheme="majorHAnsi" w:hAnsiTheme="majorHAnsi"/>
            <w:noProof/>
            <w:webHidden/>
            <w:sz w:val="20"/>
            <w:szCs w:val="20"/>
          </w:rPr>
          <w:instrText xml:space="preserve"> PAGEREF _Toc196383500 \h </w:instrText>
        </w:r>
        <w:r w:rsidR="0080656E" w:rsidRPr="0080656E">
          <w:rPr>
            <w:rFonts w:asciiTheme="majorHAnsi" w:hAnsiTheme="majorHAnsi"/>
            <w:noProof/>
            <w:webHidden/>
            <w:sz w:val="20"/>
            <w:szCs w:val="20"/>
          </w:rPr>
        </w:r>
        <w:r w:rsidR="0080656E" w:rsidRPr="0080656E">
          <w:rPr>
            <w:rFonts w:asciiTheme="majorHAnsi" w:hAnsiTheme="majorHAnsi"/>
            <w:noProof/>
            <w:webHidden/>
            <w:sz w:val="20"/>
            <w:szCs w:val="20"/>
          </w:rPr>
          <w:fldChar w:fldCharType="separate"/>
        </w:r>
        <w:r>
          <w:rPr>
            <w:rFonts w:asciiTheme="majorHAnsi" w:hAnsiTheme="majorHAnsi"/>
            <w:noProof/>
            <w:webHidden/>
            <w:sz w:val="20"/>
            <w:szCs w:val="20"/>
          </w:rPr>
          <w:t>38</w:t>
        </w:r>
        <w:r w:rsidR="0080656E" w:rsidRPr="0080656E">
          <w:rPr>
            <w:rFonts w:asciiTheme="majorHAnsi" w:hAnsiTheme="majorHAnsi"/>
            <w:noProof/>
            <w:webHidden/>
            <w:sz w:val="20"/>
            <w:szCs w:val="20"/>
          </w:rPr>
          <w:fldChar w:fldCharType="end"/>
        </w:r>
      </w:hyperlink>
    </w:p>
    <w:p w14:paraId="6B7223F8" w14:textId="4DA06DCC" w:rsidR="0080656E" w:rsidRPr="0080656E" w:rsidRDefault="00F347BD">
      <w:pPr>
        <w:pStyle w:val="TOC1"/>
        <w:tabs>
          <w:tab w:val="left" w:pos="1440"/>
          <w:tab w:val="right" w:leader="dot" w:pos="9350"/>
        </w:tabs>
        <w:rPr>
          <w:rFonts w:asciiTheme="majorHAnsi" w:eastAsiaTheme="minorEastAsia" w:hAnsiTheme="majorHAnsi" w:cstheme="minorBidi"/>
          <w:noProof/>
          <w:kern w:val="2"/>
          <w:sz w:val="20"/>
          <w:szCs w:val="20"/>
          <w:bdr w:val="none" w:sz="0" w:space="0" w:color="auto"/>
          <w14:ligatures w14:val="standardContextual"/>
        </w:rPr>
      </w:pPr>
      <w:hyperlink w:anchor="_Toc196383501" w:history="1">
        <w:r w:rsidR="0080656E" w:rsidRPr="0080656E">
          <w:rPr>
            <w:rStyle w:val="Hyperlink"/>
            <w:rFonts w:asciiTheme="majorHAnsi" w:hAnsiTheme="majorHAnsi"/>
            <w:noProof/>
            <w:sz w:val="20"/>
            <w:szCs w:val="20"/>
          </w:rPr>
          <w:t>VII.</w:t>
        </w:r>
        <w:r w:rsidR="0080656E" w:rsidRPr="0080656E">
          <w:rPr>
            <w:rFonts w:asciiTheme="majorHAnsi" w:eastAsiaTheme="minorEastAsia" w:hAnsiTheme="majorHAnsi" w:cstheme="minorBidi"/>
            <w:noProof/>
            <w:kern w:val="2"/>
            <w:sz w:val="20"/>
            <w:szCs w:val="20"/>
            <w:bdr w:val="none" w:sz="0" w:space="0" w:color="auto"/>
            <w14:ligatures w14:val="standardContextual"/>
          </w:rPr>
          <w:tab/>
        </w:r>
        <w:r w:rsidR="0080656E" w:rsidRPr="0080656E">
          <w:rPr>
            <w:rStyle w:val="Hyperlink"/>
            <w:rFonts w:asciiTheme="majorHAnsi" w:hAnsiTheme="majorHAnsi"/>
            <w:noProof/>
            <w:sz w:val="20"/>
            <w:szCs w:val="20"/>
          </w:rPr>
          <w:t>ACTIONS SUBSEQUENT TO REPORT No. 357/23 AND COMPLIANCE INFORMATION</w:t>
        </w:r>
        <w:r w:rsidR="0080656E" w:rsidRPr="0080656E">
          <w:rPr>
            <w:rFonts w:asciiTheme="majorHAnsi" w:hAnsiTheme="majorHAnsi"/>
            <w:noProof/>
            <w:webHidden/>
            <w:sz w:val="20"/>
            <w:szCs w:val="20"/>
          </w:rPr>
          <w:tab/>
        </w:r>
        <w:r w:rsidR="0080656E" w:rsidRPr="0080656E">
          <w:rPr>
            <w:rFonts w:asciiTheme="majorHAnsi" w:hAnsiTheme="majorHAnsi"/>
            <w:noProof/>
            <w:webHidden/>
            <w:sz w:val="20"/>
            <w:szCs w:val="20"/>
          </w:rPr>
          <w:fldChar w:fldCharType="begin"/>
        </w:r>
        <w:r w:rsidR="0080656E" w:rsidRPr="0080656E">
          <w:rPr>
            <w:rFonts w:asciiTheme="majorHAnsi" w:hAnsiTheme="majorHAnsi"/>
            <w:noProof/>
            <w:webHidden/>
            <w:sz w:val="20"/>
            <w:szCs w:val="20"/>
          </w:rPr>
          <w:instrText xml:space="preserve"> PAGEREF _Toc196383501 \h </w:instrText>
        </w:r>
        <w:r w:rsidR="0080656E" w:rsidRPr="0080656E">
          <w:rPr>
            <w:rFonts w:asciiTheme="majorHAnsi" w:hAnsiTheme="majorHAnsi"/>
            <w:noProof/>
            <w:webHidden/>
            <w:sz w:val="20"/>
            <w:szCs w:val="20"/>
          </w:rPr>
        </w:r>
        <w:r w:rsidR="0080656E" w:rsidRPr="0080656E">
          <w:rPr>
            <w:rFonts w:asciiTheme="majorHAnsi" w:hAnsiTheme="majorHAnsi"/>
            <w:noProof/>
            <w:webHidden/>
            <w:sz w:val="20"/>
            <w:szCs w:val="20"/>
          </w:rPr>
          <w:fldChar w:fldCharType="separate"/>
        </w:r>
        <w:r>
          <w:rPr>
            <w:rFonts w:asciiTheme="majorHAnsi" w:hAnsiTheme="majorHAnsi"/>
            <w:noProof/>
            <w:webHidden/>
            <w:sz w:val="20"/>
            <w:szCs w:val="20"/>
          </w:rPr>
          <w:t>38</w:t>
        </w:r>
        <w:r w:rsidR="0080656E" w:rsidRPr="0080656E">
          <w:rPr>
            <w:rFonts w:asciiTheme="majorHAnsi" w:hAnsiTheme="majorHAnsi"/>
            <w:noProof/>
            <w:webHidden/>
            <w:sz w:val="20"/>
            <w:szCs w:val="20"/>
          </w:rPr>
          <w:fldChar w:fldCharType="end"/>
        </w:r>
      </w:hyperlink>
    </w:p>
    <w:p w14:paraId="14DADD1A" w14:textId="243339D6" w:rsidR="0080656E" w:rsidRPr="0080656E" w:rsidRDefault="00F347BD">
      <w:pPr>
        <w:pStyle w:val="TOC1"/>
        <w:tabs>
          <w:tab w:val="left" w:pos="1440"/>
          <w:tab w:val="right" w:leader="dot" w:pos="9350"/>
        </w:tabs>
        <w:rPr>
          <w:rFonts w:asciiTheme="majorHAnsi" w:eastAsiaTheme="minorEastAsia" w:hAnsiTheme="majorHAnsi" w:cstheme="minorBidi"/>
          <w:noProof/>
          <w:kern w:val="2"/>
          <w:sz w:val="20"/>
          <w:szCs w:val="20"/>
          <w:bdr w:val="none" w:sz="0" w:space="0" w:color="auto"/>
          <w14:ligatures w14:val="standardContextual"/>
        </w:rPr>
      </w:pPr>
      <w:hyperlink w:anchor="_Toc196383502" w:history="1">
        <w:r w:rsidR="0080656E" w:rsidRPr="0080656E">
          <w:rPr>
            <w:rStyle w:val="Hyperlink"/>
            <w:rFonts w:asciiTheme="majorHAnsi" w:hAnsiTheme="majorHAnsi"/>
            <w:noProof/>
            <w:sz w:val="20"/>
            <w:szCs w:val="20"/>
          </w:rPr>
          <w:t>VIII.</w:t>
        </w:r>
        <w:r w:rsidR="0080656E" w:rsidRPr="0080656E">
          <w:rPr>
            <w:rFonts w:asciiTheme="majorHAnsi" w:eastAsiaTheme="minorEastAsia" w:hAnsiTheme="majorHAnsi" w:cstheme="minorBidi"/>
            <w:noProof/>
            <w:kern w:val="2"/>
            <w:sz w:val="20"/>
            <w:szCs w:val="20"/>
            <w:bdr w:val="none" w:sz="0" w:space="0" w:color="auto"/>
            <w14:ligatures w14:val="standardContextual"/>
          </w:rPr>
          <w:tab/>
        </w:r>
        <w:r w:rsidR="0080656E" w:rsidRPr="0080656E">
          <w:rPr>
            <w:rStyle w:val="Hyperlink"/>
            <w:rFonts w:asciiTheme="majorHAnsi" w:hAnsiTheme="majorHAnsi"/>
            <w:noProof/>
            <w:sz w:val="20"/>
            <w:szCs w:val="20"/>
          </w:rPr>
          <w:t>FINAL CONCLUSIONS AND RECOMMENDATIONS</w:t>
        </w:r>
        <w:r w:rsidR="0080656E" w:rsidRPr="0080656E">
          <w:rPr>
            <w:rFonts w:asciiTheme="majorHAnsi" w:hAnsiTheme="majorHAnsi"/>
            <w:noProof/>
            <w:webHidden/>
            <w:sz w:val="20"/>
            <w:szCs w:val="20"/>
          </w:rPr>
          <w:tab/>
        </w:r>
        <w:r w:rsidR="0080656E" w:rsidRPr="0080656E">
          <w:rPr>
            <w:rFonts w:asciiTheme="majorHAnsi" w:hAnsiTheme="majorHAnsi"/>
            <w:noProof/>
            <w:webHidden/>
            <w:sz w:val="20"/>
            <w:szCs w:val="20"/>
          </w:rPr>
          <w:fldChar w:fldCharType="begin"/>
        </w:r>
        <w:r w:rsidR="0080656E" w:rsidRPr="0080656E">
          <w:rPr>
            <w:rFonts w:asciiTheme="majorHAnsi" w:hAnsiTheme="majorHAnsi"/>
            <w:noProof/>
            <w:webHidden/>
            <w:sz w:val="20"/>
            <w:szCs w:val="20"/>
          </w:rPr>
          <w:instrText xml:space="preserve"> PAGEREF _Toc196383502 \h </w:instrText>
        </w:r>
        <w:r w:rsidR="0080656E" w:rsidRPr="0080656E">
          <w:rPr>
            <w:rFonts w:asciiTheme="majorHAnsi" w:hAnsiTheme="majorHAnsi"/>
            <w:noProof/>
            <w:webHidden/>
            <w:sz w:val="20"/>
            <w:szCs w:val="20"/>
          </w:rPr>
        </w:r>
        <w:r w:rsidR="0080656E" w:rsidRPr="0080656E">
          <w:rPr>
            <w:rFonts w:asciiTheme="majorHAnsi" w:hAnsiTheme="majorHAnsi"/>
            <w:noProof/>
            <w:webHidden/>
            <w:sz w:val="20"/>
            <w:szCs w:val="20"/>
          </w:rPr>
          <w:fldChar w:fldCharType="separate"/>
        </w:r>
        <w:r>
          <w:rPr>
            <w:rFonts w:asciiTheme="majorHAnsi" w:hAnsiTheme="majorHAnsi"/>
            <w:noProof/>
            <w:webHidden/>
            <w:sz w:val="20"/>
            <w:szCs w:val="20"/>
          </w:rPr>
          <w:t>39</w:t>
        </w:r>
        <w:r w:rsidR="0080656E" w:rsidRPr="0080656E">
          <w:rPr>
            <w:rFonts w:asciiTheme="majorHAnsi" w:hAnsiTheme="majorHAnsi"/>
            <w:noProof/>
            <w:webHidden/>
            <w:sz w:val="20"/>
            <w:szCs w:val="20"/>
          </w:rPr>
          <w:fldChar w:fldCharType="end"/>
        </w:r>
      </w:hyperlink>
    </w:p>
    <w:p w14:paraId="2B60F99A" w14:textId="6772BF04" w:rsidR="0080656E" w:rsidRPr="0080656E" w:rsidRDefault="00F347BD">
      <w:pPr>
        <w:pStyle w:val="TOC1"/>
        <w:tabs>
          <w:tab w:val="left" w:pos="1440"/>
          <w:tab w:val="right" w:leader="dot" w:pos="9350"/>
        </w:tabs>
        <w:rPr>
          <w:rFonts w:asciiTheme="majorHAnsi" w:eastAsiaTheme="minorEastAsia" w:hAnsiTheme="majorHAnsi" w:cstheme="minorBidi"/>
          <w:noProof/>
          <w:kern w:val="2"/>
          <w:sz w:val="20"/>
          <w:szCs w:val="20"/>
          <w:bdr w:val="none" w:sz="0" w:space="0" w:color="auto"/>
          <w14:ligatures w14:val="standardContextual"/>
        </w:rPr>
      </w:pPr>
      <w:hyperlink w:anchor="_Toc196383503" w:history="1">
        <w:r w:rsidR="0080656E" w:rsidRPr="0080656E">
          <w:rPr>
            <w:rStyle w:val="Hyperlink"/>
            <w:rFonts w:asciiTheme="majorHAnsi" w:hAnsiTheme="majorHAnsi"/>
            <w:noProof/>
            <w:sz w:val="20"/>
            <w:szCs w:val="20"/>
          </w:rPr>
          <w:t>IX.</w:t>
        </w:r>
        <w:r w:rsidR="0080656E" w:rsidRPr="0080656E">
          <w:rPr>
            <w:rFonts w:asciiTheme="majorHAnsi" w:eastAsiaTheme="minorEastAsia" w:hAnsiTheme="majorHAnsi" w:cstheme="minorBidi"/>
            <w:noProof/>
            <w:kern w:val="2"/>
            <w:sz w:val="20"/>
            <w:szCs w:val="20"/>
            <w:bdr w:val="none" w:sz="0" w:space="0" w:color="auto"/>
            <w14:ligatures w14:val="standardContextual"/>
          </w:rPr>
          <w:tab/>
        </w:r>
        <w:r w:rsidR="0080656E" w:rsidRPr="0080656E">
          <w:rPr>
            <w:rStyle w:val="Hyperlink"/>
            <w:rFonts w:asciiTheme="majorHAnsi" w:hAnsiTheme="majorHAnsi"/>
            <w:noProof/>
            <w:sz w:val="20"/>
            <w:szCs w:val="20"/>
          </w:rPr>
          <w:t>PUBLICATION</w:t>
        </w:r>
        <w:r w:rsidR="0080656E" w:rsidRPr="0080656E">
          <w:rPr>
            <w:rFonts w:asciiTheme="majorHAnsi" w:hAnsiTheme="majorHAnsi"/>
            <w:noProof/>
            <w:webHidden/>
            <w:sz w:val="20"/>
            <w:szCs w:val="20"/>
          </w:rPr>
          <w:tab/>
        </w:r>
        <w:r w:rsidR="0080656E" w:rsidRPr="0080656E">
          <w:rPr>
            <w:rFonts w:asciiTheme="majorHAnsi" w:hAnsiTheme="majorHAnsi"/>
            <w:noProof/>
            <w:webHidden/>
            <w:sz w:val="20"/>
            <w:szCs w:val="20"/>
          </w:rPr>
          <w:fldChar w:fldCharType="begin"/>
        </w:r>
        <w:r w:rsidR="0080656E" w:rsidRPr="0080656E">
          <w:rPr>
            <w:rFonts w:asciiTheme="majorHAnsi" w:hAnsiTheme="majorHAnsi"/>
            <w:noProof/>
            <w:webHidden/>
            <w:sz w:val="20"/>
            <w:szCs w:val="20"/>
          </w:rPr>
          <w:instrText xml:space="preserve"> PAGEREF _Toc196383503 \h </w:instrText>
        </w:r>
        <w:r w:rsidR="0080656E" w:rsidRPr="0080656E">
          <w:rPr>
            <w:rFonts w:asciiTheme="majorHAnsi" w:hAnsiTheme="majorHAnsi"/>
            <w:noProof/>
            <w:webHidden/>
            <w:sz w:val="20"/>
            <w:szCs w:val="20"/>
          </w:rPr>
        </w:r>
        <w:r w:rsidR="0080656E" w:rsidRPr="0080656E">
          <w:rPr>
            <w:rFonts w:asciiTheme="majorHAnsi" w:hAnsiTheme="majorHAnsi"/>
            <w:noProof/>
            <w:webHidden/>
            <w:sz w:val="20"/>
            <w:szCs w:val="20"/>
          </w:rPr>
          <w:fldChar w:fldCharType="separate"/>
        </w:r>
        <w:r>
          <w:rPr>
            <w:rFonts w:asciiTheme="majorHAnsi" w:hAnsiTheme="majorHAnsi"/>
            <w:noProof/>
            <w:webHidden/>
            <w:sz w:val="20"/>
            <w:szCs w:val="20"/>
          </w:rPr>
          <w:t>39</w:t>
        </w:r>
        <w:r w:rsidR="0080656E" w:rsidRPr="0080656E">
          <w:rPr>
            <w:rFonts w:asciiTheme="majorHAnsi" w:hAnsiTheme="majorHAnsi"/>
            <w:noProof/>
            <w:webHidden/>
            <w:sz w:val="20"/>
            <w:szCs w:val="20"/>
          </w:rPr>
          <w:fldChar w:fldCharType="end"/>
        </w:r>
      </w:hyperlink>
    </w:p>
    <w:p w14:paraId="6B5FA68B" w14:textId="4254438A" w:rsidR="008D768D" w:rsidRPr="00324F10" w:rsidRDefault="006125C3" w:rsidP="008E4D36">
      <w:pPr>
        <w:tabs>
          <w:tab w:val="center" w:pos="5400"/>
        </w:tabs>
        <w:suppressAutoHyphens/>
        <w:rPr>
          <w:rFonts w:asciiTheme="majorHAnsi" w:hAnsiTheme="majorHAnsi"/>
          <w:sz w:val="20"/>
          <w:szCs w:val="20"/>
        </w:rPr>
      </w:pPr>
      <w:r w:rsidRPr="0080656E">
        <w:rPr>
          <w:rFonts w:asciiTheme="majorHAnsi" w:hAnsiTheme="majorHAnsi"/>
          <w:b/>
          <w:sz w:val="20"/>
          <w:szCs w:val="20"/>
        </w:rPr>
        <w:fldChar w:fldCharType="end"/>
      </w:r>
    </w:p>
    <w:p w14:paraId="10D210AA" w14:textId="0B2CC39D" w:rsidR="00DA471F" w:rsidRPr="00EC349B" w:rsidRDefault="00722C9F" w:rsidP="00EC349B">
      <w:pPr>
        <w:rPr>
          <w:rFonts w:asciiTheme="majorHAnsi" w:hAnsiTheme="majorHAnsi" w:cs="Calibri"/>
          <w:sz w:val="20"/>
          <w:szCs w:val="20"/>
        </w:rPr>
      </w:pPr>
      <w:r w:rsidRPr="00324F10">
        <w:rPr>
          <w:rFonts w:asciiTheme="majorHAnsi" w:hAnsiTheme="majorHAnsi" w:cs="Calibri"/>
          <w:sz w:val="20"/>
          <w:szCs w:val="20"/>
        </w:rPr>
        <w:br w:type="page"/>
      </w:r>
    </w:p>
    <w:p w14:paraId="78698363" w14:textId="77777777" w:rsidR="005937F1" w:rsidRPr="00A51861" w:rsidRDefault="005937F1" w:rsidP="008E4D36">
      <w:pPr>
        <w:pStyle w:val="ListParagraph"/>
        <w:suppressAutoHyphens/>
        <w:ind w:left="1440"/>
        <w:rPr>
          <w:rFonts w:asciiTheme="majorHAnsi" w:hAnsiTheme="majorHAnsi"/>
          <w:b/>
          <w:sz w:val="20"/>
          <w:szCs w:val="20"/>
        </w:rPr>
      </w:pPr>
    </w:p>
    <w:p w14:paraId="02E255B8" w14:textId="3A24A405" w:rsidR="00D12193" w:rsidRPr="00A51861" w:rsidRDefault="002835FC" w:rsidP="00DA471F">
      <w:pPr>
        <w:pStyle w:val="Heading1"/>
        <w:keepNext/>
        <w:keepLines/>
        <w:numPr>
          <w:ilvl w:val="0"/>
          <w:numId w:val="55"/>
        </w:numPr>
        <w:suppressAutoHyphens w:val="0"/>
        <w:ind w:left="720" w:hanging="360"/>
        <w:rPr>
          <w:lang w:val="en-US"/>
        </w:rPr>
      </w:pPr>
      <w:bookmarkStart w:id="2" w:name="_Toc196383466"/>
      <w:r w:rsidRPr="00A51861">
        <w:rPr>
          <w:lang w:val="en-US"/>
        </w:rPr>
        <w:t>SUMMARY</w:t>
      </w:r>
      <w:r w:rsidR="008F2B9F" w:rsidRPr="008F2B9F">
        <w:rPr>
          <w:rFonts w:ascii="Times New Roman" w:eastAsia="Arial Unicode MS" w:hAnsi="Times New Roman" w:cs="Times New Roman"/>
          <w:b w:val="0"/>
          <w:color w:val="auto"/>
          <w:vertAlign w:val="superscript"/>
          <w:lang w:val="en" w:eastAsia="en-US"/>
        </w:rPr>
        <w:footnoteReference w:id="2"/>
      </w:r>
      <w:bookmarkEnd w:id="2"/>
    </w:p>
    <w:p w14:paraId="3FFF24EC" w14:textId="77777777" w:rsidR="005C4CA5" w:rsidRPr="00A51861" w:rsidRDefault="005C4CA5" w:rsidP="008E4D36">
      <w:pPr>
        <w:suppressAutoHyphens/>
        <w:ind w:left="360"/>
        <w:rPr>
          <w:rFonts w:asciiTheme="majorHAnsi" w:hAnsiTheme="majorHAnsi"/>
          <w:b/>
          <w:sz w:val="20"/>
          <w:szCs w:val="20"/>
        </w:rPr>
      </w:pPr>
    </w:p>
    <w:p w14:paraId="3A384A9A" w14:textId="142EFEA8" w:rsidR="009014A4" w:rsidRPr="00A51861" w:rsidRDefault="00E92985"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rPr>
      </w:pPr>
      <w:r>
        <w:rPr>
          <w:rFonts w:ascii="Cambria" w:hAnsi="Cambria"/>
          <w:color w:val="000000" w:themeColor="text1"/>
          <w:sz w:val="20"/>
          <w:szCs w:val="20"/>
        </w:rPr>
        <w:t>On May 11,</w:t>
      </w:r>
      <w:r w:rsidR="005C4CA5" w:rsidRPr="00A51861">
        <w:rPr>
          <w:rFonts w:ascii="Cambria" w:hAnsi="Cambria"/>
          <w:sz w:val="20"/>
          <w:szCs w:val="20"/>
        </w:rPr>
        <w:t xml:space="preserve"> </w:t>
      </w:r>
      <w:r w:rsidR="0021512C" w:rsidRPr="00A51861">
        <w:rPr>
          <w:rFonts w:ascii="Cambria" w:hAnsi="Cambria"/>
          <w:sz w:val="20"/>
          <w:szCs w:val="20"/>
        </w:rPr>
        <w:t>2007</w:t>
      </w:r>
      <w:r w:rsidR="005C4CA5" w:rsidRPr="00A51861">
        <w:rPr>
          <w:rFonts w:ascii="Cambria" w:hAnsi="Cambria"/>
          <w:color w:val="000000" w:themeColor="text1"/>
          <w:sz w:val="20"/>
          <w:szCs w:val="20"/>
        </w:rPr>
        <w:t xml:space="preserve"> </w:t>
      </w:r>
      <w:r>
        <w:rPr>
          <w:rFonts w:ascii="Cambria" w:hAnsi="Cambria"/>
          <w:color w:val="000000" w:themeColor="text1"/>
          <w:sz w:val="20"/>
          <w:szCs w:val="20"/>
        </w:rPr>
        <w:t xml:space="preserve">the Inter-American Commission </w:t>
      </w:r>
      <w:r w:rsidR="00664D70">
        <w:rPr>
          <w:rFonts w:ascii="Cambria" w:hAnsi="Cambria"/>
          <w:color w:val="000000" w:themeColor="text1"/>
          <w:sz w:val="20"/>
          <w:szCs w:val="20"/>
        </w:rPr>
        <w:t>on Human Rights</w:t>
      </w:r>
      <w:r w:rsidR="005C4CA5" w:rsidRPr="00A51861">
        <w:rPr>
          <w:rFonts w:ascii="Cambria" w:hAnsi="Cambria"/>
          <w:color w:val="000000" w:themeColor="text1"/>
          <w:sz w:val="20"/>
          <w:szCs w:val="20"/>
        </w:rPr>
        <w:t xml:space="preserve"> (</w:t>
      </w:r>
      <w:r w:rsidR="00F92BA8">
        <w:rPr>
          <w:rFonts w:ascii="Cambria" w:hAnsi="Cambria"/>
          <w:color w:val="000000" w:themeColor="text1"/>
          <w:sz w:val="20"/>
          <w:szCs w:val="20"/>
        </w:rPr>
        <w:t>hereinafter</w:t>
      </w:r>
      <w:r w:rsidR="005C4CA5" w:rsidRPr="00A51861">
        <w:rPr>
          <w:rFonts w:ascii="Cambria" w:hAnsi="Cambria"/>
          <w:color w:val="000000" w:themeColor="text1"/>
          <w:sz w:val="20"/>
          <w:szCs w:val="20"/>
        </w:rPr>
        <w:t xml:space="preserve"> “</w:t>
      </w:r>
      <w:r>
        <w:rPr>
          <w:rFonts w:ascii="Cambria" w:hAnsi="Cambria"/>
          <w:color w:val="000000" w:themeColor="text1"/>
          <w:sz w:val="20"/>
          <w:szCs w:val="20"/>
        </w:rPr>
        <w:t>the Inter-American Commission</w:t>
      </w:r>
      <w:r w:rsidR="005C4CA5" w:rsidRPr="00A51861">
        <w:rPr>
          <w:rFonts w:ascii="Cambria" w:hAnsi="Cambria"/>
          <w:color w:val="000000" w:themeColor="text1"/>
          <w:sz w:val="20"/>
          <w:szCs w:val="20"/>
        </w:rPr>
        <w:t>”, “</w:t>
      </w:r>
      <w:r>
        <w:rPr>
          <w:rFonts w:ascii="Cambria" w:hAnsi="Cambria"/>
          <w:color w:val="000000" w:themeColor="text1"/>
          <w:sz w:val="20"/>
          <w:szCs w:val="20"/>
        </w:rPr>
        <w:t>the Commission</w:t>
      </w:r>
      <w:r w:rsidR="005C4CA5" w:rsidRPr="00A51861">
        <w:rPr>
          <w:rFonts w:ascii="Cambria" w:hAnsi="Cambria"/>
          <w:color w:val="000000" w:themeColor="text1"/>
          <w:sz w:val="20"/>
          <w:szCs w:val="20"/>
        </w:rPr>
        <w:t>”</w:t>
      </w:r>
      <w:r>
        <w:rPr>
          <w:rFonts w:ascii="Cambria" w:hAnsi="Cambria"/>
          <w:color w:val="000000" w:themeColor="text1"/>
          <w:sz w:val="20"/>
          <w:szCs w:val="20"/>
        </w:rPr>
        <w:t xml:space="preserve"> or </w:t>
      </w:r>
      <w:r w:rsidR="005C4CA5" w:rsidRPr="00A51861">
        <w:rPr>
          <w:rFonts w:ascii="Cambria" w:hAnsi="Cambria"/>
          <w:color w:val="000000" w:themeColor="text1"/>
          <w:sz w:val="20"/>
          <w:szCs w:val="20"/>
        </w:rPr>
        <w:t>“</w:t>
      </w:r>
      <w:r w:rsidR="00A51861" w:rsidRPr="00A51861">
        <w:rPr>
          <w:rFonts w:ascii="Cambria" w:hAnsi="Cambria"/>
          <w:color w:val="000000" w:themeColor="text1"/>
          <w:sz w:val="20"/>
          <w:szCs w:val="20"/>
        </w:rPr>
        <w:t>the IACHR</w:t>
      </w:r>
      <w:r w:rsidR="005C4CA5" w:rsidRPr="00A51861">
        <w:rPr>
          <w:rFonts w:ascii="Cambria" w:hAnsi="Cambria"/>
          <w:color w:val="000000" w:themeColor="text1"/>
          <w:sz w:val="20"/>
          <w:szCs w:val="20"/>
        </w:rPr>
        <w:t xml:space="preserve">”) </w:t>
      </w:r>
      <w:r>
        <w:rPr>
          <w:rFonts w:ascii="Cambria" w:hAnsi="Cambria"/>
          <w:color w:val="000000" w:themeColor="text1"/>
          <w:sz w:val="20"/>
          <w:szCs w:val="20"/>
        </w:rPr>
        <w:t>received three</w:t>
      </w:r>
      <w:r w:rsidR="00C357CC" w:rsidRPr="00A51861">
        <w:rPr>
          <w:rFonts w:ascii="Cambria" w:hAnsi="Cambria"/>
          <w:color w:val="000000" w:themeColor="text1"/>
          <w:sz w:val="20"/>
          <w:szCs w:val="20"/>
        </w:rPr>
        <w:t xml:space="preserve"> </w:t>
      </w:r>
      <w:r>
        <w:rPr>
          <w:rFonts w:ascii="Cambria" w:hAnsi="Cambria"/>
          <w:color w:val="000000" w:themeColor="text1"/>
          <w:sz w:val="20"/>
          <w:szCs w:val="20"/>
        </w:rPr>
        <w:t>petitions</w:t>
      </w:r>
      <w:r w:rsidR="00376A0A" w:rsidRPr="00A51861">
        <w:rPr>
          <w:rFonts w:ascii="Cambria" w:hAnsi="Cambria"/>
          <w:color w:val="000000" w:themeColor="text1"/>
          <w:sz w:val="20"/>
          <w:szCs w:val="20"/>
        </w:rPr>
        <w:t xml:space="preserve"> </w:t>
      </w:r>
      <w:r>
        <w:rPr>
          <w:rFonts w:ascii="Cambria" w:hAnsi="Cambria"/>
          <w:color w:val="000000" w:themeColor="text1"/>
          <w:sz w:val="20"/>
          <w:szCs w:val="20"/>
        </w:rPr>
        <w:t>filed by</w:t>
      </w:r>
      <w:r w:rsidR="00376A0A" w:rsidRPr="00A51861">
        <w:rPr>
          <w:rFonts w:ascii="Cambria" w:hAnsi="Cambria"/>
          <w:color w:val="000000" w:themeColor="text1"/>
          <w:sz w:val="20"/>
          <w:szCs w:val="20"/>
        </w:rPr>
        <w:t xml:space="preserve"> Eugenio M. Spota, Alejandra Irma Vain</w:t>
      </w:r>
      <w:r>
        <w:rPr>
          <w:rFonts w:ascii="Cambria" w:hAnsi="Cambria"/>
          <w:color w:val="000000" w:themeColor="text1"/>
          <w:sz w:val="20"/>
          <w:szCs w:val="20"/>
        </w:rPr>
        <w:t xml:space="preserve"> and </w:t>
      </w:r>
      <w:r w:rsidR="00376A0A" w:rsidRPr="00A51861">
        <w:rPr>
          <w:rFonts w:ascii="Cambria" w:hAnsi="Cambria"/>
          <w:color w:val="000000" w:themeColor="text1"/>
          <w:sz w:val="20"/>
          <w:szCs w:val="20"/>
        </w:rPr>
        <w:t>María Lucrecia Lambardi</w:t>
      </w:r>
      <w:r w:rsidR="005C4CA5" w:rsidRPr="00A51861">
        <w:rPr>
          <w:rFonts w:ascii="Cambria" w:hAnsi="Cambria"/>
          <w:color w:val="000000" w:themeColor="text1"/>
          <w:sz w:val="20"/>
          <w:szCs w:val="20"/>
        </w:rPr>
        <w:t xml:space="preserve"> (</w:t>
      </w:r>
      <w:r w:rsidR="00F92BA8">
        <w:rPr>
          <w:rFonts w:ascii="Cambria" w:hAnsi="Cambria"/>
          <w:color w:val="000000" w:themeColor="text1"/>
          <w:sz w:val="20"/>
          <w:szCs w:val="20"/>
        </w:rPr>
        <w:t>hereinafter</w:t>
      </w:r>
      <w:r w:rsidR="005C4CA5" w:rsidRPr="00A51861">
        <w:rPr>
          <w:rFonts w:ascii="Cambria" w:hAnsi="Cambria"/>
          <w:color w:val="000000" w:themeColor="text1"/>
          <w:sz w:val="20"/>
          <w:szCs w:val="20"/>
        </w:rPr>
        <w:t xml:space="preserve"> “</w:t>
      </w:r>
      <w:r>
        <w:rPr>
          <w:rFonts w:ascii="Cambria" w:hAnsi="Cambria"/>
          <w:color w:val="000000" w:themeColor="text1"/>
          <w:sz w:val="20"/>
          <w:szCs w:val="20"/>
        </w:rPr>
        <w:t>the petitioner</w:t>
      </w:r>
      <w:r w:rsidR="005C4CA5" w:rsidRPr="00A51861">
        <w:rPr>
          <w:rFonts w:ascii="Cambria" w:hAnsi="Cambria"/>
          <w:color w:val="000000" w:themeColor="text1"/>
          <w:sz w:val="20"/>
          <w:szCs w:val="20"/>
        </w:rPr>
        <w:t xml:space="preserve">”) </w:t>
      </w:r>
      <w:r w:rsidR="00D64B7E">
        <w:rPr>
          <w:rFonts w:ascii="Cambria" w:hAnsi="Cambria"/>
          <w:color w:val="000000" w:themeColor="text1"/>
          <w:sz w:val="20"/>
          <w:szCs w:val="20"/>
        </w:rPr>
        <w:t>all of which claim the</w:t>
      </w:r>
      <w:r w:rsidR="005C4CA5" w:rsidRPr="00A51861">
        <w:rPr>
          <w:rFonts w:ascii="Cambria" w:hAnsi="Cambria"/>
          <w:color w:val="000000" w:themeColor="text1"/>
          <w:sz w:val="20"/>
          <w:szCs w:val="20"/>
        </w:rPr>
        <w:t xml:space="preserve"> </w:t>
      </w:r>
      <w:r>
        <w:rPr>
          <w:rFonts w:ascii="Cambria" w:hAnsi="Cambria"/>
          <w:color w:val="000000" w:themeColor="text1"/>
          <w:sz w:val="20"/>
          <w:szCs w:val="20"/>
        </w:rPr>
        <w:t xml:space="preserve">international responsibility of </w:t>
      </w:r>
      <w:r w:rsidR="00376A0A" w:rsidRPr="00A51861">
        <w:rPr>
          <w:rFonts w:ascii="Cambria" w:hAnsi="Cambria"/>
          <w:sz w:val="20"/>
          <w:szCs w:val="20"/>
        </w:rPr>
        <w:t>Argentina</w:t>
      </w:r>
      <w:r w:rsidR="005C4CA5" w:rsidRPr="00A51861">
        <w:rPr>
          <w:rFonts w:ascii="Cambria" w:hAnsi="Cambria"/>
          <w:sz w:val="20"/>
          <w:szCs w:val="20"/>
        </w:rPr>
        <w:t xml:space="preserve"> </w:t>
      </w:r>
      <w:r w:rsidR="005C4CA5" w:rsidRPr="00A51861">
        <w:rPr>
          <w:rFonts w:ascii="Cambria" w:hAnsi="Cambria"/>
          <w:color w:val="000000" w:themeColor="text1"/>
          <w:sz w:val="20"/>
          <w:szCs w:val="20"/>
        </w:rPr>
        <w:t>(</w:t>
      </w:r>
      <w:r w:rsidR="00F92BA8">
        <w:rPr>
          <w:rFonts w:ascii="Cambria" w:hAnsi="Cambria"/>
          <w:color w:val="000000" w:themeColor="text1"/>
          <w:sz w:val="20"/>
          <w:szCs w:val="20"/>
        </w:rPr>
        <w:t>hereinafter</w:t>
      </w:r>
      <w:r w:rsidR="00376A0A" w:rsidRPr="00A51861">
        <w:rPr>
          <w:rFonts w:ascii="Cambria" w:hAnsi="Cambria"/>
          <w:color w:val="000000" w:themeColor="text1"/>
          <w:sz w:val="20"/>
          <w:szCs w:val="20"/>
        </w:rPr>
        <w:t xml:space="preserve"> “</w:t>
      </w:r>
      <w:r w:rsidR="00F92BA8">
        <w:rPr>
          <w:rFonts w:ascii="Cambria" w:hAnsi="Cambria"/>
          <w:color w:val="000000" w:themeColor="text1"/>
          <w:sz w:val="20"/>
          <w:szCs w:val="20"/>
        </w:rPr>
        <w:t>the Argentine State</w:t>
      </w:r>
      <w:r w:rsidR="00376A0A" w:rsidRPr="00A51861">
        <w:rPr>
          <w:rFonts w:ascii="Cambria" w:hAnsi="Cambria"/>
          <w:color w:val="000000" w:themeColor="text1"/>
          <w:sz w:val="20"/>
          <w:szCs w:val="20"/>
        </w:rPr>
        <w:t>”, “</w:t>
      </w:r>
      <w:r w:rsidR="00F92BA8">
        <w:rPr>
          <w:rFonts w:ascii="Cambria" w:hAnsi="Cambria"/>
          <w:color w:val="000000" w:themeColor="text1"/>
          <w:sz w:val="20"/>
          <w:szCs w:val="20"/>
        </w:rPr>
        <w:t>the State</w:t>
      </w:r>
      <w:r w:rsidR="00376A0A" w:rsidRPr="00A51861">
        <w:rPr>
          <w:rFonts w:ascii="Cambria" w:hAnsi="Cambria"/>
          <w:color w:val="000000" w:themeColor="text1"/>
          <w:sz w:val="20"/>
          <w:szCs w:val="20"/>
        </w:rPr>
        <w:t>”</w:t>
      </w:r>
      <w:r>
        <w:rPr>
          <w:rFonts w:ascii="Cambria" w:hAnsi="Cambria"/>
          <w:color w:val="000000" w:themeColor="text1"/>
          <w:sz w:val="20"/>
          <w:szCs w:val="20"/>
        </w:rPr>
        <w:t xml:space="preserve"> or </w:t>
      </w:r>
      <w:r w:rsidR="00376A0A" w:rsidRPr="00A51861">
        <w:rPr>
          <w:rFonts w:ascii="Cambria" w:hAnsi="Cambria"/>
          <w:color w:val="000000" w:themeColor="text1"/>
          <w:sz w:val="20"/>
          <w:szCs w:val="20"/>
        </w:rPr>
        <w:t>“Argentina</w:t>
      </w:r>
      <w:r w:rsidR="005C4CA5" w:rsidRPr="00A51861">
        <w:rPr>
          <w:rFonts w:ascii="Cambria" w:hAnsi="Cambria"/>
          <w:color w:val="000000" w:themeColor="text1"/>
          <w:sz w:val="20"/>
          <w:szCs w:val="20"/>
        </w:rPr>
        <w:t>”)</w:t>
      </w:r>
      <w:r>
        <w:rPr>
          <w:rFonts w:ascii="Cambria" w:hAnsi="Cambria"/>
          <w:color w:val="000000" w:themeColor="text1"/>
          <w:sz w:val="20"/>
          <w:szCs w:val="20"/>
        </w:rPr>
        <w:t xml:space="preserve"> to the detriment of </w:t>
      </w:r>
      <w:r w:rsidR="00376A0A" w:rsidRPr="00A51861">
        <w:rPr>
          <w:rFonts w:ascii="Cambria" w:hAnsi="Cambria"/>
          <w:sz w:val="20"/>
          <w:szCs w:val="20"/>
        </w:rPr>
        <w:t xml:space="preserve">Julio César </w:t>
      </w:r>
      <w:r w:rsidR="00BD093F">
        <w:rPr>
          <w:rFonts w:ascii="Cambria" w:hAnsi="Cambria"/>
          <w:sz w:val="20"/>
          <w:szCs w:val="20"/>
        </w:rPr>
        <w:t xml:space="preserve">Rito de los </w:t>
      </w:r>
      <w:r w:rsidR="00376A0A" w:rsidRPr="00A51861">
        <w:rPr>
          <w:rFonts w:ascii="Cambria" w:hAnsi="Cambria"/>
          <w:sz w:val="20"/>
          <w:szCs w:val="20"/>
        </w:rPr>
        <w:t>Santos, Hugo Daniel Ferreira</w:t>
      </w:r>
      <w:r>
        <w:rPr>
          <w:rFonts w:ascii="Cambria" w:hAnsi="Cambria"/>
          <w:sz w:val="20"/>
          <w:szCs w:val="20"/>
        </w:rPr>
        <w:t xml:space="preserve"> and </w:t>
      </w:r>
      <w:r w:rsidR="00376A0A" w:rsidRPr="00A51861">
        <w:rPr>
          <w:rFonts w:ascii="Cambria" w:hAnsi="Cambria"/>
          <w:sz w:val="20"/>
          <w:szCs w:val="20"/>
        </w:rPr>
        <w:t>Nicasio Washington Romero Ubal</w:t>
      </w:r>
      <w:r w:rsidR="005C4CA5" w:rsidRPr="00A51861">
        <w:rPr>
          <w:rFonts w:ascii="Cambria" w:hAnsi="Cambria"/>
          <w:sz w:val="20"/>
          <w:szCs w:val="20"/>
        </w:rPr>
        <w:t xml:space="preserve">. </w:t>
      </w:r>
    </w:p>
    <w:p w14:paraId="1C92D0C3" w14:textId="77777777" w:rsidR="00C357CC" w:rsidRPr="00A51861" w:rsidRDefault="00C357CC" w:rsidP="008E4D3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630"/>
        <w:jc w:val="both"/>
        <w:rPr>
          <w:rFonts w:ascii="Cambria" w:hAnsi="Cambria"/>
          <w:color w:val="000000" w:themeColor="text1"/>
          <w:sz w:val="20"/>
          <w:szCs w:val="20"/>
        </w:rPr>
      </w:pPr>
    </w:p>
    <w:p w14:paraId="475F8203" w14:textId="0739C546" w:rsidR="00C357CC" w:rsidRPr="00A51861" w:rsidRDefault="00D64B7E"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color w:val="000000" w:themeColor="text1"/>
          <w:sz w:val="20"/>
          <w:szCs w:val="20"/>
        </w:rPr>
      </w:pPr>
      <w:r>
        <w:rPr>
          <w:rFonts w:ascii="Cambria" w:hAnsi="Cambria"/>
          <w:color w:val="000000" w:themeColor="text1"/>
          <w:sz w:val="20"/>
          <w:szCs w:val="20"/>
        </w:rPr>
        <w:t>By the end of the stage of</w:t>
      </w:r>
      <w:r w:rsidR="00E92985">
        <w:rPr>
          <w:rFonts w:ascii="Cambria" w:hAnsi="Cambria"/>
          <w:color w:val="000000" w:themeColor="text1"/>
          <w:sz w:val="20"/>
          <w:szCs w:val="20"/>
        </w:rPr>
        <w:t xml:space="preserve"> </w:t>
      </w:r>
      <w:r w:rsidR="00F92BA8">
        <w:rPr>
          <w:rFonts w:ascii="Cambria" w:hAnsi="Cambria"/>
          <w:color w:val="000000" w:themeColor="text1"/>
          <w:sz w:val="20"/>
          <w:szCs w:val="20"/>
        </w:rPr>
        <w:t>admissibility</w:t>
      </w:r>
      <w:r w:rsidR="00E7752C" w:rsidRPr="00A51861">
        <w:rPr>
          <w:rFonts w:ascii="Cambria" w:hAnsi="Cambria"/>
          <w:color w:val="000000" w:themeColor="text1"/>
          <w:sz w:val="20"/>
          <w:szCs w:val="20"/>
        </w:rPr>
        <w:t xml:space="preserve">, </w:t>
      </w:r>
      <w:r w:rsidR="00E92985">
        <w:rPr>
          <w:rFonts w:ascii="Cambria" w:hAnsi="Cambria"/>
          <w:color w:val="000000" w:themeColor="text1"/>
          <w:sz w:val="20"/>
          <w:szCs w:val="20"/>
        </w:rPr>
        <w:t>the Commission</w:t>
      </w:r>
      <w:r w:rsidR="00C357CC" w:rsidRPr="00A51861">
        <w:rPr>
          <w:rFonts w:ascii="Cambria" w:hAnsi="Cambria"/>
          <w:color w:val="000000" w:themeColor="text1"/>
          <w:sz w:val="20"/>
          <w:szCs w:val="20"/>
        </w:rPr>
        <w:t xml:space="preserve"> decid</w:t>
      </w:r>
      <w:r>
        <w:rPr>
          <w:rFonts w:ascii="Cambria" w:hAnsi="Cambria"/>
          <w:color w:val="000000" w:themeColor="text1"/>
          <w:sz w:val="20"/>
          <w:szCs w:val="20"/>
        </w:rPr>
        <w:t>ed</w:t>
      </w:r>
      <w:r w:rsidR="00C357CC" w:rsidRPr="00A51861">
        <w:rPr>
          <w:rFonts w:ascii="Cambria" w:hAnsi="Cambria"/>
          <w:color w:val="000000" w:themeColor="text1"/>
          <w:sz w:val="20"/>
          <w:szCs w:val="20"/>
        </w:rPr>
        <w:t xml:space="preserve"> </w:t>
      </w:r>
      <w:r>
        <w:rPr>
          <w:rFonts w:ascii="Cambria" w:hAnsi="Cambria"/>
          <w:color w:val="000000" w:themeColor="text1"/>
          <w:sz w:val="20"/>
          <w:szCs w:val="20"/>
        </w:rPr>
        <w:t>to accumulate</w:t>
      </w:r>
      <w:r w:rsidR="00C357CC" w:rsidRPr="00A51861">
        <w:rPr>
          <w:rFonts w:ascii="Cambria" w:hAnsi="Cambria"/>
          <w:color w:val="000000" w:themeColor="text1"/>
          <w:sz w:val="20"/>
          <w:szCs w:val="20"/>
        </w:rPr>
        <w:t xml:space="preserve"> </w:t>
      </w:r>
      <w:r>
        <w:rPr>
          <w:rFonts w:ascii="Cambria" w:hAnsi="Cambria"/>
          <w:color w:val="000000" w:themeColor="text1"/>
          <w:sz w:val="20"/>
          <w:szCs w:val="20"/>
        </w:rPr>
        <w:t>the three</w:t>
      </w:r>
      <w:r w:rsidR="00C357CC" w:rsidRPr="00A51861">
        <w:rPr>
          <w:rFonts w:ascii="Cambria" w:hAnsi="Cambria"/>
          <w:color w:val="000000" w:themeColor="text1"/>
          <w:sz w:val="20"/>
          <w:szCs w:val="20"/>
        </w:rPr>
        <w:t xml:space="preserve"> </w:t>
      </w:r>
      <w:r w:rsidR="00E92985">
        <w:rPr>
          <w:rFonts w:ascii="Cambria" w:hAnsi="Cambria"/>
          <w:color w:val="000000" w:themeColor="text1"/>
          <w:sz w:val="20"/>
          <w:szCs w:val="20"/>
        </w:rPr>
        <w:t xml:space="preserve">petitions and </w:t>
      </w:r>
      <w:r>
        <w:rPr>
          <w:rFonts w:ascii="Cambria" w:hAnsi="Cambria"/>
          <w:color w:val="000000" w:themeColor="text1"/>
          <w:sz w:val="20"/>
          <w:szCs w:val="20"/>
        </w:rPr>
        <w:t>to conduct them jointly at the merits stage</w:t>
      </w:r>
      <w:r w:rsidR="00C357CC" w:rsidRPr="00A51861">
        <w:rPr>
          <w:rFonts w:ascii="Cambria" w:hAnsi="Cambria"/>
          <w:color w:val="000000" w:themeColor="text1"/>
          <w:sz w:val="20"/>
          <w:szCs w:val="20"/>
        </w:rPr>
        <w:t xml:space="preserve">, </w:t>
      </w:r>
      <w:r>
        <w:rPr>
          <w:rFonts w:ascii="Cambria" w:hAnsi="Cambria"/>
          <w:color w:val="000000" w:themeColor="text1"/>
          <w:sz w:val="20"/>
          <w:szCs w:val="20"/>
        </w:rPr>
        <w:t>since the alleged facts are</w:t>
      </w:r>
      <w:r w:rsidR="00C357CC" w:rsidRPr="00A51861">
        <w:rPr>
          <w:rFonts w:ascii="Cambria" w:hAnsi="Cambria"/>
          <w:color w:val="000000" w:themeColor="text1"/>
          <w:sz w:val="20"/>
          <w:szCs w:val="20"/>
        </w:rPr>
        <w:t xml:space="preserve"> similar</w:t>
      </w:r>
      <w:r w:rsidR="00E92985">
        <w:rPr>
          <w:rFonts w:ascii="Cambria" w:hAnsi="Cambria"/>
          <w:color w:val="000000" w:themeColor="text1"/>
          <w:sz w:val="20"/>
          <w:szCs w:val="20"/>
        </w:rPr>
        <w:t xml:space="preserve"> and </w:t>
      </w:r>
      <w:r>
        <w:rPr>
          <w:rFonts w:ascii="Cambria" w:hAnsi="Cambria"/>
          <w:color w:val="000000" w:themeColor="text1"/>
          <w:sz w:val="20"/>
          <w:szCs w:val="20"/>
        </w:rPr>
        <w:t>their maters are</w:t>
      </w:r>
      <w:r w:rsidR="00C357CC" w:rsidRPr="00A51861">
        <w:rPr>
          <w:rFonts w:ascii="Cambria" w:hAnsi="Cambria"/>
          <w:color w:val="000000" w:themeColor="text1"/>
          <w:sz w:val="20"/>
          <w:szCs w:val="20"/>
        </w:rPr>
        <w:t xml:space="preserve"> substan</w:t>
      </w:r>
      <w:r>
        <w:rPr>
          <w:rFonts w:ascii="Cambria" w:hAnsi="Cambria"/>
          <w:color w:val="000000" w:themeColor="text1"/>
          <w:sz w:val="20"/>
          <w:szCs w:val="20"/>
        </w:rPr>
        <w:t>t</w:t>
      </w:r>
      <w:r w:rsidR="00C357CC" w:rsidRPr="00A51861">
        <w:rPr>
          <w:rFonts w:ascii="Cambria" w:hAnsi="Cambria"/>
          <w:color w:val="000000" w:themeColor="text1"/>
          <w:sz w:val="20"/>
          <w:szCs w:val="20"/>
        </w:rPr>
        <w:t>ial</w:t>
      </w:r>
      <w:r w:rsidR="0029564F">
        <w:rPr>
          <w:rFonts w:ascii="Cambria" w:hAnsi="Cambria"/>
          <w:color w:val="000000" w:themeColor="text1"/>
          <w:sz w:val="20"/>
          <w:szCs w:val="20"/>
        </w:rPr>
        <w:t xml:space="preserve">ly </w:t>
      </w:r>
      <w:r>
        <w:rPr>
          <w:rFonts w:ascii="Cambria" w:hAnsi="Cambria"/>
          <w:color w:val="000000" w:themeColor="text1"/>
          <w:sz w:val="20"/>
          <w:szCs w:val="20"/>
        </w:rPr>
        <w:t>the same</w:t>
      </w:r>
      <w:r w:rsidR="00E7752C" w:rsidRPr="00A51861">
        <w:rPr>
          <w:rFonts w:ascii="Cambria" w:hAnsi="Cambria"/>
          <w:color w:val="000000" w:themeColor="text1"/>
          <w:sz w:val="20"/>
          <w:szCs w:val="20"/>
        </w:rPr>
        <w:t>,</w:t>
      </w:r>
      <w:r w:rsidR="00E92985">
        <w:rPr>
          <w:rFonts w:ascii="Cambria" w:hAnsi="Cambria"/>
          <w:color w:val="000000" w:themeColor="text1"/>
          <w:sz w:val="20"/>
          <w:szCs w:val="20"/>
        </w:rPr>
        <w:t xml:space="preserve"> </w:t>
      </w:r>
      <w:r>
        <w:rPr>
          <w:rFonts w:ascii="Cambria" w:hAnsi="Cambria"/>
          <w:color w:val="000000" w:themeColor="text1"/>
          <w:sz w:val="20"/>
          <w:szCs w:val="20"/>
        </w:rPr>
        <w:t>in accordance with the set forth in</w:t>
      </w:r>
      <w:r w:rsidR="00C357CC" w:rsidRPr="00A51861">
        <w:rPr>
          <w:rFonts w:ascii="Cambria" w:hAnsi="Cambria"/>
          <w:color w:val="000000" w:themeColor="text1"/>
          <w:sz w:val="20"/>
          <w:szCs w:val="20"/>
        </w:rPr>
        <w:t xml:space="preserve"> </w:t>
      </w:r>
      <w:r w:rsidR="0029564F">
        <w:rPr>
          <w:rFonts w:ascii="Cambria" w:hAnsi="Cambria"/>
          <w:color w:val="000000" w:themeColor="text1"/>
          <w:sz w:val="20"/>
          <w:szCs w:val="20"/>
        </w:rPr>
        <w:t>article</w:t>
      </w:r>
      <w:r w:rsidR="00C357CC" w:rsidRPr="00A51861">
        <w:rPr>
          <w:rFonts w:ascii="Cambria" w:hAnsi="Cambria"/>
          <w:color w:val="000000" w:themeColor="text1"/>
          <w:sz w:val="20"/>
          <w:szCs w:val="20"/>
        </w:rPr>
        <w:t xml:space="preserve"> </w:t>
      </w:r>
      <w:r w:rsidR="00B55BB7" w:rsidRPr="00A51861">
        <w:rPr>
          <w:rFonts w:ascii="Cambria" w:hAnsi="Cambria"/>
          <w:color w:val="000000" w:themeColor="text1"/>
          <w:sz w:val="20"/>
          <w:szCs w:val="20"/>
        </w:rPr>
        <w:t>29</w:t>
      </w:r>
      <w:r w:rsidR="00C357CC" w:rsidRPr="00A51861">
        <w:rPr>
          <w:rFonts w:ascii="Cambria" w:hAnsi="Cambria"/>
          <w:color w:val="000000" w:themeColor="text1"/>
          <w:sz w:val="20"/>
          <w:szCs w:val="20"/>
        </w:rPr>
        <w:t>(</w:t>
      </w:r>
      <w:r w:rsidR="003B0CF5" w:rsidRPr="00A51861">
        <w:rPr>
          <w:rFonts w:ascii="Cambria" w:hAnsi="Cambria"/>
          <w:color w:val="000000" w:themeColor="text1"/>
          <w:sz w:val="20"/>
          <w:szCs w:val="20"/>
        </w:rPr>
        <w:t xml:space="preserve">5) </w:t>
      </w:r>
      <w:r>
        <w:rPr>
          <w:rFonts w:ascii="Cambria" w:hAnsi="Cambria"/>
          <w:color w:val="000000" w:themeColor="text1"/>
          <w:sz w:val="20"/>
          <w:szCs w:val="20"/>
        </w:rPr>
        <w:t>of the</w:t>
      </w:r>
      <w:r w:rsidR="00A51861" w:rsidRPr="00A51861">
        <w:rPr>
          <w:rFonts w:ascii="Cambria" w:hAnsi="Cambria"/>
          <w:color w:val="000000" w:themeColor="text1"/>
          <w:sz w:val="20"/>
          <w:szCs w:val="20"/>
        </w:rPr>
        <w:t xml:space="preserve"> IACHR</w:t>
      </w:r>
      <w:r>
        <w:rPr>
          <w:rFonts w:ascii="Cambria" w:hAnsi="Cambria"/>
          <w:color w:val="000000" w:themeColor="text1"/>
          <w:sz w:val="20"/>
          <w:szCs w:val="20"/>
        </w:rPr>
        <w:t xml:space="preserve">’s </w:t>
      </w:r>
      <w:r w:rsidR="00166E8A">
        <w:rPr>
          <w:rFonts w:ascii="Cambria" w:hAnsi="Cambria"/>
          <w:color w:val="000000" w:themeColor="text1"/>
          <w:sz w:val="20"/>
          <w:szCs w:val="20"/>
        </w:rPr>
        <w:t>Rules of Procedure</w:t>
      </w:r>
      <w:r w:rsidR="00C357CC" w:rsidRPr="00A51861">
        <w:rPr>
          <w:rFonts w:ascii="Cambria" w:hAnsi="Cambria"/>
          <w:color w:val="000000" w:themeColor="text1"/>
          <w:sz w:val="20"/>
          <w:szCs w:val="20"/>
        </w:rPr>
        <w:t xml:space="preserve">. </w:t>
      </w:r>
    </w:p>
    <w:p w14:paraId="360B7745" w14:textId="77777777" w:rsidR="009014A4" w:rsidRPr="00A51861" w:rsidRDefault="009014A4" w:rsidP="008E4D3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630"/>
        <w:jc w:val="both"/>
        <w:rPr>
          <w:rFonts w:ascii="Cambria" w:hAnsi="Cambria"/>
          <w:color w:val="000000" w:themeColor="text1"/>
          <w:sz w:val="20"/>
          <w:szCs w:val="20"/>
        </w:rPr>
      </w:pPr>
    </w:p>
    <w:p w14:paraId="70EB6529" w14:textId="5588D05F" w:rsidR="00F35F79" w:rsidRPr="00A51861" w:rsidRDefault="00E92985"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color w:val="000000" w:themeColor="text1"/>
          <w:sz w:val="20"/>
          <w:szCs w:val="20"/>
        </w:rPr>
      </w:pPr>
      <w:r>
        <w:rPr>
          <w:rFonts w:ascii="Cambria" w:hAnsi="Cambria"/>
          <w:color w:val="000000" w:themeColor="text1"/>
          <w:sz w:val="20"/>
          <w:szCs w:val="20"/>
        </w:rPr>
        <w:t>The Commission</w:t>
      </w:r>
      <w:r w:rsidR="009014A4" w:rsidRPr="00A51861">
        <w:rPr>
          <w:rFonts w:ascii="Cambria" w:hAnsi="Cambria"/>
          <w:sz w:val="20"/>
          <w:szCs w:val="20"/>
        </w:rPr>
        <w:t xml:space="preserve"> </w:t>
      </w:r>
      <w:r w:rsidR="00D64B7E">
        <w:rPr>
          <w:rFonts w:ascii="Cambria" w:hAnsi="Cambria"/>
          <w:sz w:val="20"/>
          <w:szCs w:val="20"/>
        </w:rPr>
        <w:t>approved the report</w:t>
      </w:r>
      <w:r>
        <w:rPr>
          <w:rFonts w:ascii="Cambria" w:hAnsi="Cambria"/>
          <w:sz w:val="20"/>
          <w:szCs w:val="20"/>
        </w:rPr>
        <w:t xml:space="preserve"> of </w:t>
      </w:r>
      <w:r w:rsidR="00F92BA8">
        <w:rPr>
          <w:rFonts w:ascii="Cambria" w:hAnsi="Cambria"/>
          <w:sz w:val="20"/>
          <w:szCs w:val="20"/>
        </w:rPr>
        <w:t>admissibility</w:t>
      </w:r>
      <w:r w:rsidR="009014A4" w:rsidRPr="00A51861">
        <w:rPr>
          <w:rFonts w:ascii="Cambria" w:hAnsi="Cambria"/>
          <w:sz w:val="20"/>
          <w:szCs w:val="20"/>
        </w:rPr>
        <w:t xml:space="preserve"> No. </w:t>
      </w:r>
      <w:r w:rsidR="00376A0A" w:rsidRPr="00A51861">
        <w:rPr>
          <w:rFonts w:ascii="Cambria" w:hAnsi="Cambria"/>
          <w:sz w:val="20"/>
          <w:szCs w:val="20"/>
        </w:rPr>
        <w:t>57</w:t>
      </w:r>
      <w:r w:rsidR="009014A4" w:rsidRPr="00A51861">
        <w:rPr>
          <w:rFonts w:ascii="Cambria" w:hAnsi="Cambria"/>
          <w:sz w:val="20"/>
          <w:szCs w:val="20"/>
        </w:rPr>
        <w:t>/</w:t>
      </w:r>
      <w:r w:rsidR="00376A0A" w:rsidRPr="00A51861">
        <w:rPr>
          <w:rFonts w:ascii="Cambria" w:hAnsi="Cambria"/>
          <w:sz w:val="20"/>
          <w:szCs w:val="20"/>
        </w:rPr>
        <w:t>16</w:t>
      </w:r>
      <w:r w:rsidR="009014A4" w:rsidRPr="00A51861">
        <w:rPr>
          <w:rFonts w:ascii="Cambria" w:hAnsi="Cambria"/>
          <w:sz w:val="20"/>
          <w:szCs w:val="20"/>
        </w:rPr>
        <w:t xml:space="preserve"> </w:t>
      </w:r>
      <w:r w:rsidR="00D64B7E">
        <w:rPr>
          <w:rFonts w:ascii="Cambria" w:hAnsi="Cambria"/>
          <w:sz w:val="20"/>
          <w:szCs w:val="20"/>
        </w:rPr>
        <w:t>on December 6,</w:t>
      </w:r>
      <w:r>
        <w:rPr>
          <w:rFonts w:ascii="Cambria" w:hAnsi="Cambria"/>
          <w:sz w:val="20"/>
          <w:szCs w:val="20"/>
        </w:rPr>
        <w:t xml:space="preserve"> </w:t>
      </w:r>
      <w:r w:rsidR="00376A0A" w:rsidRPr="00A51861">
        <w:rPr>
          <w:rFonts w:ascii="Cambria" w:hAnsi="Cambria"/>
          <w:sz w:val="20"/>
          <w:szCs w:val="20"/>
        </w:rPr>
        <w:t>2016</w:t>
      </w:r>
      <w:r w:rsidR="009014A4" w:rsidRPr="00A51861">
        <w:rPr>
          <w:rStyle w:val="FootnoteReference"/>
          <w:rFonts w:ascii="Cambria" w:hAnsi="Cambria"/>
          <w:sz w:val="20"/>
          <w:szCs w:val="20"/>
        </w:rPr>
        <w:footnoteReference w:id="3"/>
      </w:r>
      <w:r w:rsidR="00AF7988" w:rsidRPr="00A51861">
        <w:rPr>
          <w:rFonts w:ascii="Cambria" w:hAnsi="Cambria"/>
          <w:sz w:val="20"/>
          <w:szCs w:val="20"/>
        </w:rPr>
        <w:t xml:space="preserve">. </w:t>
      </w:r>
      <w:r w:rsidR="00D64B7E">
        <w:rPr>
          <w:rFonts w:ascii="Cambria" w:hAnsi="Cambria"/>
          <w:sz w:val="20"/>
          <w:szCs w:val="20"/>
        </w:rPr>
        <w:t>O</w:t>
      </w:r>
      <w:r w:rsidR="00421341">
        <w:rPr>
          <w:rFonts w:ascii="Cambria" w:hAnsi="Cambria"/>
          <w:sz w:val="20"/>
          <w:szCs w:val="20"/>
        </w:rPr>
        <w:t>n</w:t>
      </w:r>
      <w:r w:rsidR="00D64B7E">
        <w:rPr>
          <w:rFonts w:ascii="Cambria" w:hAnsi="Cambria"/>
          <w:sz w:val="20"/>
          <w:szCs w:val="20"/>
        </w:rPr>
        <w:t xml:space="preserve"> December 15,</w:t>
      </w:r>
      <w:r>
        <w:rPr>
          <w:rFonts w:ascii="Cambria" w:hAnsi="Cambria"/>
          <w:sz w:val="20"/>
          <w:szCs w:val="20"/>
        </w:rPr>
        <w:t xml:space="preserve"> </w:t>
      </w:r>
      <w:r w:rsidR="004A6AA9" w:rsidRPr="00A51861">
        <w:rPr>
          <w:rFonts w:ascii="Cambria" w:hAnsi="Cambria"/>
          <w:sz w:val="20"/>
          <w:szCs w:val="20"/>
        </w:rPr>
        <w:t>2016</w:t>
      </w:r>
      <w:r w:rsidR="009014A4" w:rsidRPr="00A51861">
        <w:rPr>
          <w:rFonts w:ascii="Cambria" w:hAnsi="Cambria"/>
          <w:sz w:val="20"/>
          <w:szCs w:val="20"/>
        </w:rPr>
        <w:t xml:space="preserve"> </w:t>
      </w:r>
      <w:r>
        <w:rPr>
          <w:rFonts w:ascii="Cambria" w:hAnsi="Cambria"/>
          <w:sz w:val="20"/>
          <w:szCs w:val="20"/>
        </w:rPr>
        <w:t>the Commission</w:t>
      </w:r>
      <w:r w:rsidR="009014A4" w:rsidRPr="00A51861">
        <w:rPr>
          <w:rFonts w:ascii="Cambria" w:hAnsi="Cambria"/>
          <w:sz w:val="20"/>
          <w:szCs w:val="20"/>
        </w:rPr>
        <w:t xml:space="preserve"> notif</w:t>
      </w:r>
      <w:r w:rsidR="00D64B7E">
        <w:rPr>
          <w:rFonts w:ascii="Cambria" w:hAnsi="Cambria"/>
          <w:sz w:val="20"/>
          <w:szCs w:val="20"/>
        </w:rPr>
        <w:t>ied</w:t>
      </w:r>
      <w:r w:rsidR="009014A4" w:rsidRPr="00A51861">
        <w:rPr>
          <w:rFonts w:ascii="Cambria" w:hAnsi="Cambria"/>
          <w:sz w:val="20"/>
          <w:szCs w:val="20"/>
        </w:rPr>
        <w:t xml:space="preserve"> </w:t>
      </w:r>
      <w:r w:rsidR="00D64B7E">
        <w:rPr>
          <w:rFonts w:ascii="Cambria" w:hAnsi="Cambria"/>
          <w:sz w:val="20"/>
          <w:szCs w:val="20"/>
        </w:rPr>
        <w:t xml:space="preserve">said report to the parties </w:t>
      </w:r>
      <w:r>
        <w:rPr>
          <w:rFonts w:ascii="Cambria" w:hAnsi="Cambria"/>
          <w:sz w:val="20"/>
          <w:szCs w:val="20"/>
        </w:rPr>
        <w:t xml:space="preserve">and </w:t>
      </w:r>
      <w:r w:rsidR="00D64B7E" w:rsidRPr="00D64B7E">
        <w:rPr>
          <w:rFonts w:asciiTheme="majorHAnsi" w:hAnsiTheme="majorHAnsi"/>
          <w:sz w:val="20"/>
          <w:szCs w:val="20"/>
        </w:rPr>
        <w:t>became available to the parties, in order to reach an amicable settlemen</w:t>
      </w:r>
      <w:r w:rsidR="00D64B7E">
        <w:rPr>
          <w:rFonts w:ascii="Cambria" w:hAnsi="Cambria"/>
          <w:sz w:val="20"/>
          <w:szCs w:val="20"/>
        </w:rPr>
        <w:t>t</w:t>
      </w:r>
      <w:r w:rsidR="009014A4" w:rsidRPr="00A51861">
        <w:rPr>
          <w:rStyle w:val="FootnoteReference"/>
          <w:rFonts w:ascii="Cambria" w:hAnsi="Cambria"/>
          <w:sz w:val="20"/>
          <w:szCs w:val="20"/>
        </w:rPr>
        <w:footnoteReference w:id="4"/>
      </w:r>
      <w:r w:rsidR="001D1D61">
        <w:rPr>
          <w:rFonts w:ascii="Cambria" w:hAnsi="Cambria"/>
          <w:sz w:val="20"/>
          <w:szCs w:val="20"/>
        </w:rPr>
        <w:t>. Th</w:t>
      </w:r>
      <w:r w:rsidR="00D64B7E" w:rsidRPr="00D64B7E">
        <w:rPr>
          <w:rFonts w:ascii="Cambria" w:eastAsia="Cambria" w:hAnsi="Cambria" w:cs="Calibri"/>
          <w:color w:val="000000"/>
          <w:sz w:val="20"/>
          <w:szCs w:val="20"/>
          <w:u w:color="000000"/>
          <w:lang w:eastAsia="es-ES"/>
        </w:rPr>
        <w:t>e parties had the allotted time to submit their additional observations concerning merits</w:t>
      </w:r>
      <w:r w:rsidR="009014A4" w:rsidRPr="00D64B7E">
        <w:rPr>
          <w:rFonts w:ascii="Cambria" w:hAnsi="Cambria"/>
          <w:sz w:val="20"/>
          <w:szCs w:val="20"/>
        </w:rPr>
        <w:t>.</w:t>
      </w:r>
      <w:r w:rsidR="0096204A" w:rsidRPr="00A51861">
        <w:rPr>
          <w:rFonts w:ascii="Cambria" w:hAnsi="Cambria"/>
          <w:sz w:val="20"/>
          <w:szCs w:val="20"/>
        </w:rPr>
        <w:t xml:space="preserve"> </w:t>
      </w:r>
      <w:r w:rsidR="00D64B7E">
        <w:rPr>
          <w:rFonts w:ascii="Cambria" w:hAnsi="Cambria"/>
          <w:sz w:val="20"/>
          <w:szCs w:val="20"/>
        </w:rPr>
        <w:t>All the</w:t>
      </w:r>
      <w:r w:rsidR="009014A4" w:rsidRPr="00A51861">
        <w:rPr>
          <w:rFonts w:ascii="Cambria" w:hAnsi="Cambria"/>
          <w:sz w:val="20"/>
          <w:szCs w:val="20"/>
        </w:rPr>
        <w:t xml:space="preserve"> </w:t>
      </w:r>
      <w:r w:rsidR="00A51861" w:rsidRPr="00A51861">
        <w:rPr>
          <w:rFonts w:ascii="Cambria" w:hAnsi="Cambria"/>
          <w:sz w:val="20"/>
          <w:szCs w:val="20"/>
        </w:rPr>
        <w:t>information</w:t>
      </w:r>
      <w:r w:rsidR="003B0CF5" w:rsidRPr="00A51861">
        <w:rPr>
          <w:rFonts w:ascii="Cambria" w:hAnsi="Cambria"/>
          <w:sz w:val="20"/>
          <w:szCs w:val="20"/>
        </w:rPr>
        <w:t xml:space="preserve"> </w:t>
      </w:r>
      <w:r w:rsidR="00D64B7E">
        <w:rPr>
          <w:rFonts w:ascii="Cambria" w:hAnsi="Cambria"/>
          <w:sz w:val="20"/>
          <w:szCs w:val="20"/>
        </w:rPr>
        <w:t xml:space="preserve">received was duly transferred between the parties. </w:t>
      </w:r>
    </w:p>
    <w:p w14:paraId="1194C098" w14:textId="77777777" w:rsidR="00F35F79" w:rsidRPr="00A51861" w:rsidRDefault="00F35F79" w:rsidP="008E4D36">
      <w:pPr>
        <w:pStyle w:val="ListParagraph"/>
        <w:tabs>
          <w:tab w:val="left" w:pos="360"/>
        </w:tabs>
        <w:rPr>
          <w:color w:val="000000" w:themeColor="text1"/>
          <w:sz w:val="20"/>
          <w:szCs w:val="20"/>
        </w:rPr>
      </w:pPr>
    </w:p>
    <w:p w14:paraId="12AD53E0" w14:textId="5467F89E" w:rsidR="00804048" w:rsidRPr="00A51861" w:rsidRDefault="00E92985"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color w:val="000000" w:themeColor="text1"/>
          <w:sz w:val="20"/>
          <w:szCs w:val="20"/>
        </w:rPr>
      </w:pPr>
      <w:r>
        <w:rPr>
          <w:rFonts w:ascii="Cambria" w:hAnsi="Cambria"/>
          <w:color w:val="000000" w:themeColor="text1"/>
          <w:sz w:val="20"/>
          <w:szCs w:val="20"/>
        </w:rPr>
        <w:t>The petitioner</w:t>
      </w:r>
      <w:r w:rsidR="00C0006B" w:rsidRPr="00A51861">
        <w:rPr>
          <w:rFonts w:ascii="Cambria" w:hAnsi="Cambria"/>
          <w:color w:val="000000" w:themeColor="text1"/>
          <w:sz w:val="20"/>
          <w:szCs w:val="20"/>
        </w:rPr>
        <w:t xml:space="preserve"> </w:t>
      </w:r>
      <w:r w:rsidR="00D64B7E">
        <w:rPr>
          <w:rFonts w:ascii="Cambria" w:hAnsi="Cambria"/>
          <w:color w:val="000000" w:themeColor="text1"/>
          <w:sz w:val="20"/>
          <w:szCs w:val="20"/>
        </w:rPr>
        <w:t>claims that</w:t>
      </w:r>
      <w:r w:rsidR="00E0161D" w:rsidRPr="00A51861">
        <w:rPr>
          <w:rFonts w:ascii="Cambria" w:hAnsi="Cambria"/>
          <w:color w:val="000000" w:themeColor="text1"/>
          <w:sz w:val="20"/>
          <w:szCs w:val="20"/>
        </w:rPr>
        <w:t xml:space="preserve"> </w:t>
      </w:r>
      <w:r w:rsidR="00F92BA8">
        <w:rPr>
          <w:rFonts w:ascii="Cambria" w:hAnsi="Cambria"/>
          <w:color w:val="000000" w:themeColor="text1"/>
          <w:sz w:val="20"/>
          <w:szCs w:val="20"/>
        </w:rPr>
        <w:t>the Argentine State</w:t>
      </w:r>
      <w:r w:rsidR="00D70A85">
        <w:rPr>
          <w:rFonts w:ascii="Cambria" w:hAnsi="Cambria"/>
          <w:color w:val="000000" w:themeColor="text1"/>
          <w:sz w:val="20"/>
          <w:szCs w:val="20"/>
        </w:rPr>
        <w:t xml:space="preserve"> is </w:t>
      </w:r>
      <w:r w:rsidR="00D64B7E">
        <w:rPr>
          <w:rFonts w:ascii="Cambria" w:hAnsi="Cambria"/>
          <w:color w:val="000000" w:themeColor="text1"/>
          <w:sz w:val="20"/>
          <w:szCs w:val="20"/>
        </w:rPr>
        <w:t>responsible</w:t>
      </w:r>
      <w:r w:rsidR="00E0161D" w:rsidRPr="00A51861">
        <w:rPr>
          <w:rFonts w:ascii="Cambria" w:hAnsi="Cambria"/>
          <w:color w:val="000000" w:themeColor="text1"/>
          <w:sz w:val="20"/>
          <w:szCs w:val="20"/>
        </w:rPr>
        <w:t xml:space="preserve"> </w:t>
      </w:r>
      <w:r w:rsidR="00D64B7E">
        <w:rPr>
          <w:rFonts w:ascii="Cambria" w:hAnsi="Cambria"/>
          <w:color w:val="000000" w:themeColor="text1"/>
          <w:sz w:val="20"/>
          <w:szCs w:val="20"/>
        </w:rPr>
        <w:t>for the facts which started between</w:t>
      </w:r>
      <w:r w:rsidR="00385F5F" w:rsidRPr="00A51861">
        <w:rPr>
          <w:rFonts w:ascii="Cambria" w:hAnsi="Cambria"/>
          <w:color w:val="000000" w:themeColor="text1"/>
          <w:sz w:val="20"/>
          <w:szCs w:val="20"/>
        </w:rPr>
        <w:t xml:space="preserve"> 1974</w:t>
      </w:r>
      <w:r>
        <w:rPr>
          <w:rFonts w:ascii="Cambria" w:hAnsi="Cambria"/>
          <w:color w:val="000000" w:themeColor="text1"/>
          <w:sz w:val="20"/>
          <w:szCs w:val="20"/>
        </w:rPr>
        <w:t xml:space="preserve"> and </w:t>
      </w:r>
      <w:r w:rsidR="00385F5F" w:rsidRPr="00A51861">
        <w:rPr>
          <w:rFonts w:ascii="Cambria" w:hAnsi="Cambria"/>
          <w:color w:val="000000" w:themeColor="text1"/>
          <w:sz w:val="20"/>
          <w:szCs w:val="20"/>
        </w:rPr>
        <w:t xml:space="preserve">1975, </w:t>
      </w:r>
      <w:r w:rsidR="00D64B7E">
        <w:rPr>
          <w:rFonts w:ascii="Cambria" w:hAnsi="Cambria"/>
          <w:color w:val="000000" w:themeColor="text1"/>
          <w:sz w:val="20"/>
          <w:szCs w:val="20"/>
        </w:rPr>
        <w:t>when</w:t>
      </w:r>
      <w:r w:rsidR="00385F5F" w:rsidRPr="00A51861">
        <w:rPr>
          <w:rFonts w:ascii="Cambria" w:hAnsi="Cambria"/>
          <w:color w:val="000000" w:themeColor="text1"/>
          <w:sz w:val="20"/>
          <w:szCs w:val="20"/>
        </w:rPr>
        <w:t xml:space="preserve"> </w:t>
      </w:r>
      <w:r w:rsidR="002835FC" w:rsidRPr="00A51861">
        <w:rPr>
          <w:rFonts w:ascii="Cambria" w:hAnsi="Cambria"/>
          <w:color w:val="000000" w:themeColor="text1"/>
          <w:sz w:val="20"/>
          <w:szCs w:val="20"/>
        </w:rPr>
        <w:t>the alleged victims</w:t>
      </w:r>
      <w:r>
        <w:rPr>
          <w:rFonts w:ascii="Cambria" w:hAnsi="Cambria"/>
          <w:color w:val="000000" w:themeColor="text1"/>
          <w:sz w:val="20"/>
          <w:szCs w:val="20"/>
        </w:rPr>
        <w:t xml:space="preserve"> of </w:t>
      </w:r>
      <w:r w:rsidR="00D64B7E">
        <w:rPr>
          <w:rFonts w:ascii="Cambria" w:hAnsi="Cambria"/>
          <w:color w:val="000000" w:themeColor="text1"/>
          <w:sz w:val="20"/>
          <w:szCs w:val="20"/>
        </w:rPr>
        <w:t>Uruguayan</w:t>
      </w:r>
      <w:r w:rsidR="00D64B7E" w:rsidRPr="00A51861">
        <w:rPr>
          <w:rFonts w:ascii="Cambria" w:hAnsi="Cambria"/>
          <w:color w:val="000000" w:themeColor="text1"/>
          <w:sz w:val="20"/>
          <w:szCs w:val="20"/>
        </w:rPr>
        <w:t xml:space="preserve"> </w:t>
      </w:r>
      <w:r w:rsidR="00D64B7E">
        <w:rPr>
          <w:rFonts w:ascii="Cambria" w:hAnsi="Cambria"/>
          <w:color w:val="000000" w:themeColor="text1"/>
          <w:sz w:val="20"/>
          <w:szCs w:val="20"/>
        </w:rPr>
        <w:t>nationality</w:t>
      </w:r>
      <w:r w:rsidR="00804048" w:rsidRPr="00A51861">
        <w:rPr>
          <w:rFonts w:ascii="Cambria" w:hAnsi="Cambria"/>
          <w:color w:val="000000" w:themeColor="text1"/>
          <w:sz w:val="20"/>
          <w:szCs w:val="20"/>
        </w:rPr>
        <w:t>,</w:t>
      </w:r>
      <w:r w:rsidR="00385F5F" w:rsidRPr="00A51861">
        <w:rPr>
          <w:rFonts w:ascii="Cambria" w:hAnsi="Cambria"/>
          <w:color w:val="000000" w:themeColor="text1"/>
          <w:sz w:val="20"/>
          <w:szCs w:val="20"/>
        </w:rPr>
        <w:t xml:space="preserve"> </w:t>
      </w:r>
      <w:r w:rsidR="00D64B7E">
        <w:rPr>
          <w:rFonts w:ascii="Cambria" w:hAnsi="Cambria"/>
          <w:color w:val="000000" w:themeColor="text1"/>
          <w:sz w:val="20"/>
          <w:szCs w:val="20"/>
        </w:rPr>
        <w:t>who were living in</w:t>
      </w:r>
      <w:r w:rsidR="00804048" w:rsidRPr="00A51861">
        <w:rPr>
          <w:rFonts w:ascii="Cambria" w:hAnsi="Cambria"/>
          <w:color w:val="000000" w:themeColor="text1"/>
          <w:sz w:val="20"/>
          <w:szCs w:val="20"/>
        </w:rPr>
        <w:t xml:space="preserve"> Argentina </w:t>
      </w:r>
      <w:r w:rsidR="004E1083">
        <w:rPr>
          <w:rFonts w:ascii="Cambria" w:hAnsi="Cambria"/>
          <w:color w:val="000000" w:themeColor="text1"/>
          <w:sz w:val="20"/>
          <w:szCs w:val="20"/>
        </w:rPr>
        <w:t xml:space="preserve">having escaped from their country due to the coup </w:t>
      </w:r>
      <w:r>
        <w:rPr>
          <w:rFonts w:ascii="Cambria" w:hAnsi="Cambria"/>
          <w:color w:val="000000" w:themeColor="text1"/>
          <w:sz w:val="20"/>
          <w:szCs w:val="20"/>
        </w:rPr>
        <w:t xml:space="preserve">of </w:t>
      </w:r>
      <w:r w:rsidR="00385F5F" w:rsidRPr="00A51861">
        <w:rPr>
          <w:rFonts w:ascii="Cambria" w:hAnsi="Cambria"/>
          <w:color w:val="000000" w:themeColor="text1"/>
          <w:sz w:val="20"/>
          <w:szCs w:val="20"/>
        </w:rPr>
        <w:t xml:space="preserve">1973, </w:t>
      </w:r>
      <w:r w:rsidR="004E1083">
        <w:rPr>
          <w:rFonts w:ascii="Cambria" w:hAnsi="Cambria"/>
          <w:color w:val="000000" w:themeColor="text1"/>
          <w:sz w:val="20"/>
          <w:szCs w:val="20"/>
        </w:rPr>
        <w:t>were subjected to</w:t>
      </w:r>
      <w:r>
        <w:rPr>
          <w:rFonts w:ascii="Cambria" w:hAnsi="Cambria"/>
          <w:color w:val="000000" w:themeColor="text1"/>
          <w:sz w:val="20"/>
          <w:szCs w:val="20"/>
        </w:rPr>
        <w:t xml:space="preserve"> </w:t>
      </w:r>
      <w:r w:rsidR="004E1083" w:rsidRPr="00A51861">
        <w:rPr>
          <w:rFonts w:ascii="Cambria" w:hAnsi="Cambria"/>
          <w:color w:val="000000" w:themeColor="text1"/>
          <w:sz w:val="20"/>
          <w:szCs w:val="20"/>
        </w:rPr>
        <w:t>detentions</w:t>
      </w:r>
      <w:r w:rsidR="00804048" w:rsidRPr="00A51861">
        <w:rPr>
          <w:rFonts w:ascii="Cambria" w:hAnsi="Cambria"/>
          <w:color w:val="000000" w:themeColor="text1"/>
          <w:sz w:val="20"/>
          <w:szCs w:val="20"/>
        </w:rPr>
        <w:t xml:space="preserve"> </w:t>
      </w:r>
      <w:r w:rsidR="004E1083">
        <w:rPr>
          <w:rFonts w:ascii="Cambria" w:hAnsi="Cambria"/>
          <w:color w:val="000000" w:themeColor="text1"/>
          <w:sz w:val="20"/>
          <w:szCs w:val="20"/>
        </w:rPr>
        <w:t>for political reasons</w:t>
      </w:r>
      <w:r w:rsidR="00804048" w:rsidRPr="00A51861">
        <w:rPr>
          <w:rFonts w:ascii="Cambria" w:hAnsi="Cambria"/>
          <w:color w:val="000000" w:themeColor="text1"/>
          <w:sz w:val="20"/>
          <w:szCs w:val="20"/>
        </w:rPr>
        <w:t>,</w:t>
      </w:r>
      <w:r>
        <w:rPr>
          <w:rFonts w:ascii="Cambria" w:hAnsi="Cambria"/>
          <w:color w:val="000000" w:themeColor="text1"/>
          <w:sz w:val="20"/>
          <w:szCs w:val="20"/>
        </w:rPr>
        <w:t xml:space="preserve"> and </w:t>
      </w:r>
      <w:r w:rsidR="004E1083">
        <w:rPr>
          <w:rFonts w:ascii="Cambria" w:hAnsi="Cambria"/>
          <w:color w:val="000000" w:themeColor="text1"/>
          <w:sz w:val="20"/>
          <w:szCs w:val="20"/>
        </w:rPr>
        <w:t>proceedings of expulsion were initiated against them</w:t>
      </w:r>
      <w:r w:rsidR="00804048" w:rsidRPr="00A51861">
        <w:rPr>
          <w:rFonts w:ascii="Cambria" w:hAnsi="Cambria"/>
          <w:color w:val="000000" w:themeColor="text1"/>
          <w:sz w:val="20"/>
          <w:szCs w:val="20"/>
        </w:rPr>
        <w:t xml:space="preserve">, </w:t>
      </w:r>
      <w:r w:rsidR="004E1083">
        <w:rPr>
          <w:rFonts w:ascii="Cambria" w:hAnsi="Cambria"/>
          <w:color w:val="000000" w:themeColor="text1"/>
          <w:sz w:val="20"/>
          <w:szCs w:val="20"/>
        </w:rPr>
        <w:t>for which reason they needed to settle in Sweden</w:t>
      </w:r>
      <w:r w:rsidR="000E0756" w:rsidRPr="00A51861">
        <w:rPr>
          <w:rFonts w:ascii="Cambria" w:hAnsi="Cambria"/>
          <w:color w:val="000000" w:themeColor="text1"/>
          <w:sz w:val="20"/>
          <w:szCs w:val="20"/>
        </w:rPr>
        <w:t xml:space="preserve"> </w:t>
      </w:r>
      <w:r w:rsidR="004E1083">
        <w:rPr>
          <w:rFonts w:ascii="Cambria" w:hAnsi="Cambria"/>
          <w:color w:val="000000" w:themeColor="text1"/>
          <w:sz w:val="20"/>
          <w:szCs w:val="20"/>
        </w:rPr>
        <w:t>as political refugees</w:t>
      </w:r>
      <w:r w:rsidR="00804048" w:rsidRPr="00A51861">
        <w:rPr>
          <w:rFonts w:ascii="Cambria" w:hAnsi="Cambria"/>
          <w:color w:val="000000" w:themeColor="text1"/>
          <w:sz w:val="20"/>
          <w:szCs w:val="20"/>
        </w:rPr>
        <w:t xml:space="preserve">. </w:t>
      </w:r>
      <w:r w:rsidR="004E1083">
        <w:rPr>
          <w:rFonts w:ascii="Cambria" w:hAnsi="Cambria"/>
          <w:color w:val="000000" w:themeColor="text1"/>
          <w:sz w:val="20"/>
          <w:szCs w:val="20"/>
        </w:rPr>
        <w:t>Likewise</w:t>
      </w:r>
      <w:r w:rsidR="00C0006B" w:rsidRPr="00A51861">
        <w:rPr>
          <w:rFonts w:ascii="Cambria" w:hAnsi="Cambria"/>
          <w:color w:val="000000" w:themeColor="text1"/>
          <w:sz w:val="20"/>
          <w:szCs w:val="20"/>
        </w:rPr>
        <w:t xml:space="preserve">, </w:t>
      </w:r>
      <w:r w:rsidR="004E1083">
        <w:rPr>
          <w:rFonts w:ascii="Cambria" w:hAnsi="Cambria"/>
          <w:color w:val="000000" w:themeColor="text1"/>
          <w:sz w:val="20"/>
          <w:szCs w:val="20"/>
        </w:rPr>
        <w:t>petitioner holds that</w:t>
      </w:r>
      <w:r w:rsidR="00804048" w:rsidRPr="00A51861">
        <w:rPr>
          <w:rFonts w:ascii="Cambria" w:hAnsi="Cambria"/>
          <w:color w:val="000000" w:themeColor="text1"/>
          <w:sz w:val="20"/>
          <w:szCs w:val="20"/>
        </w:rPr>
        <w:t xml:space="preserve"> Argentina </w:t>
      </w:r>
      <w:r w:rsidR="004E1083">
        <w:rPr>
          <w:rFonts w:ascii="Cambria" w:hAnsi="Cambria"/>
          <w:color w:val="000000" w:themeColor="text1"/>
          <w:sz w:val="20"/>
          <w:szCs w:val="20"/>
        </w:rPr>
        <w:t>is</w:t>
      </w:r>
      <w:r w:rsidR="00804048" w:rsidRPr="00A51861">
        <w:rPr>
          <w:rFonts w:ascii="Cambria" w:hAnsi="Cambria"/>
          <w:color w:val="000000" w:themeColor="text1"/>
          <w:sz w:val="20"/>
          <w:szCs w:val="20"/>
        </w:rPr>
        <w:t xml:space="preserve"> </w:t>
      </w:r>
      <w:r w:rsidR="00D64B7E">
        <w:rPr>
          <w:rFonts w:ascii="Cambria" w:hAnsi="Cambria"/>
          <w:color w:val="000000" w:themeColor="text1"/>
          <w:sz w:val="20"/>
          <w:szCs w:val="20"/>
        </w:rPr>
        <w:t>responsible</w:t>
      </w:r>
      <w:r w:rsidR="00804048" w:rsidRPr="00A51861">
        <w:rPr>
          <w:rFonts w:ascii="Cambria" w:hAnsi="Cambria"/>
          <w:color w:val="000000" w:themeColor="text1"/>
          <w:sz w:val="20"/>
          <w:szCs w:val="20"/>
        </w:rPr>
        <w:t xml:space="preserve"> </w:t>
      </w:r>
      <w:r w:rsidR="004E1083">
        <w:rPr>
          <w:rFonts w:ascii="Cambria" w:hAnsi="Cambria"/>
          <w:color w:val="000000" w:themeColor="text1"/>
          <w:sz w:val="20"/>
          <w:szCs w:val="20"/>
        </w:rPr>
        <w:t>for the</w:t>
      </w:r>
      <w:r w:rsidR="00804048" w:rsidRPr="00A51861">
        <w:rPr>
          <w:rFonts w:ascii="Cambria" w:hAnsi="Cambria"/>
          <w:color w:val="000000" w:themeColor="text1"/>
          <w:sz w:val="20"/>
          <w:szCs w:val="20"/>
        </w:rPr>
        <w:t xml:space="preserve"> </w:t>
      </w:r>
      <w:r w:rsidR="004E1083">
        <w:rPr>
          <w:rFonts w:ascii="Cambria" w:hAnsi="Cambria"/>
          <w:color w:val="000000" w:themeColor="text1"/>
          <w:sz w:val="20"/>
          <w:szCs w:val="20"/>
        </w:rPr>
        <w:t>violation</w:t>
      </w:r>
      <w:r>
        <w:rPr>
          <w:rFonts w:ascii="Cambria" w:hAnsi="Cambria"/>
          <w:color w:val="000000" w:themeColor="text1"/>
          <w:sz w:val="20"/>
          <w:szCs w:val="20"/>
        </w:rPr>
        <w:t xml:space="preserve"> of </w:t>
      </w:r>
      <w:r w:rsidR="004E1083">
        <w:rPr>
          <w:rFonts w:ascii="Cambria" w:hAnsi="Cambria"/>
          <w:color w:val="000000" w:themeColor="text1"/>
          <w:sz w:val="20"/>
          <w:szCs w:val="20"/>
        </w:rPr>
        <w:t xml:space="preserve">the </w:t>
      </w:r>
      <w:r w:rsidR="00421341">
        <w:rPr>
          <w:rFonts w:ascii="Cambria" w:hAnsi="Cambria"/>
          <w:color w:val="000000" w:themeColor="text1"/>
          <w:sz w:val="20"/>
          <w:szCs w:val="20"/>
        </w:rPr>
        <w:t>r</w:t>
      </w:r>
      <w:r w:rsidR="004C5A00">
        <w:rPr>
          <w:rFonts w:ascii="Cambria" w:hAnsi="Cambria"/>
          <w:color w:val="000000" w:themeColor="text1"/>
          <w:sz w:val="20"/>
          <w:szCs w:val="20"/>
        </w:rPr>
        <w:t>ights</w:t>
      </w:r>
      <w:r w:rsidR="00804048" w:rsidRPr="00A51861">
        <w:rPr>
          <w:rFonts w:ascii="Cambria" w:hAnsi="Cambria"/>
          <w:color w:val="000000" w:themeColor="text1"/>
          <w:sz w:val="20"/>
          <w:szCs w:val="20"/>
        </w:rPr>
        <w:t xml:space="preserve"> </w:t>
      </w:r>
      <w:r>
        <w:rPr>
          <w:rFonts w:ascii="Cambria" w:hAnsi="Cambria"/>
          <w:color w:val="000000" w:themeColor="text1"/>
          <w:sz w:val="20"/>
          <w:szCs w:val="20"/>
        </w:rPr>
        <w:t>of the alleged victims</w:t>
      </w:r>
      <w:r w:rsidR="00804048" w:rsidRPr="00A51861">
        <w:rPr>
          <w:rFonts w:ascii="Cambria" w:hAnsi="Cambria"/>
          <w:color w:val="000000" w:themeColor="text1"/>
          <w:sz w:val="20"/>
          <w:szCs w:val="20"/>
        </w:rPr>
        <w:t xml:space="preserve">, </w:t>
      </w:r>
      <w:r w:rsidR="004E1083">
        <w:rPr>
          <w:rFonts w:ascii="Cambria" w:hAnsi="Cambria"/>
          <w:color w:val="000000" w:themeColor="text1"/>
          <w:sz w:val="20"/>
          <w:szCs w:val="20"/>
        </w:rPr>
        <w:t>within the compensation proceedings initiated domestically</w:t>
      </w:r>
      <w:r w:rsidR="00804048" w:rsidRPr="00A51861">
        <w:rPr>
          <w:rFonts w:ascii="Cambria" w:hAnsi="Cambria"/>
          <w:color w:val="000000" w:themeColor="text1"/>
          <w:sz w:val="20"/>
          <w:szCs w:val="20"/>
        </w:rPr>
        <w:t xml:space="preserve">, </w:t>
      </w:r>
      <w:r w:rsidR="004E1083">
        <w:rPr>
          <w:rFonts w:ascii="Cambria" w:hAnsi="Cambria"/>
          <w:color w:val="000000" w:themeColor="text1"/>
          <w:sz w:val="20"/>
          <w:szCs w:val="20"/>
        </w:rPr>
        <w:t>in which the demands of Mr.</w:t>
      </w:r>
      <w:r w:rsidR="00804048" w:rsidRPr="00A51861">
        <w:rPr>
          <w:rFonts w:ascii="Cambria" w:hAnsi="Cambria"/>
          <w:color w:val="000000" w:themeColor="text1"/>
          <w:sz w:val="20"/>
          <w:szCs w:val="20"/>
        </w:rPr>
        <w:t xml:space="preserve"> </w:t>
      </w:r>
      <w:r w:rsidR="00BD093F">
        <w:rPr>
          <w:rFonts w:ascii="Cambria" w:hAnsi="Cambria"/>
          <w:color w:val="000000" w:themeColor="text1"/>
          <w:sz w:val="20"/>
          <w:szCs w:val="20"/>
        </w:rPr>
        <w:t xml:space="preserve">Rito de los </w:t>
      </w:r>
      <w:r w:rsidR="00804048" w:rsidRPr="00A51861">
        <w:rPr>
          <w:rFonts w:ascii="Cambria" w:hAnsi="Cambria"/>
          <w:color w:val="000000" w:themeColor="text1"/>
          <w:sz w:val="20"/>
          <w:szCs w:val="20"/>
        </w:rPr>
        <w:t xml:space="preserve">Santos, </w:t>
      </w:r>
      <w:r w:rsidR="004E1083">
        <w:rPr>
          <w:rFonts w:ascii="Cambria" w:hAnsi="Cambria"/>
          <w:color w:val="000000" w:themeColor="text1"/>
          <w:sz w:val="20"/>
          <w:szCs w:val="20"/>
        </w:rPr>
        <w:t xml:space="preserve">Mr. </w:t>
      </w:r>
      <w:r w:rsidR="00804048" w:rsidRPr="00A51861">
        <w:rPr>
          <w:rFonts w:ascii="Cambria" w:hAnsi="Cambria"/>
          <w:color w:val="000000" w:themeColor="text1"/>
          <w:sz w:val="20"/>
          <w:szCs w:val="20"/>
        </w:rPr>
        <w:t>Ferreira</w:t>
      </w:r>
      <w:r>
        <w:rPr>
          <w:rFonts w:ascii="Cambria" w:hAnsi="Cambria"/>
          <w:color w:val="000000" w:themeColor="text1"/>
          <w:sz w:val="20"/>
          <w:szCs w:val="20"/>
        </w:rPr>
        <w:t xml:space="preserve"> and </w:t>
      </w:r>
      <w:r w:rsidR="004E1083">
        <w:rPr>
          <w:rFonts w:ascii="Cambria" w:hAnsi="Cambria"/>
          <w:color w:val="000000" w:themeColor="text1"/>
          <w:sz w:val="20"/>
          <w:szCs w:val="20"/>
        </w:rPr>
        <w:t xml:space="preserve">Mr. </w:t>
      </w:r>
      <w:r w:rsidR="00804048" w:rsidRPr="00A51861">
        <w:rPr>
          <w:rFonts w:ascii="Cambria" w:hAnsi="Cambria"/>
          <w:color w:val="000000" w:themeColor="text1"/>
          <w:sz w:val="20"/>
          <w:szCs w:val="20"/>
        </w:rPr>
        <w:t>Romero</w:t>
      </w:r>
      <w:r w:rsidR="004E1083">
        <w:rPr>
          <w:rFonts w:ascii="Cambria" w:hAnsi="Cambria"/>
          <w:color w:val="000000" w:themeColor="text1"/>
          <w:sz w:val="20"/>
          <w:szCs w:val="20"/>
        </w:rPr>
        <w:t xml:space="preserve"> were dismissed</w:t>
      </w:r>
      <w:r w:rsidR="00804048" w:rsidRPr="00A51861">
        <w:rPr>
          <w:rFonts w:ascii="Cambria" w:hAnsi="Cambria"/>
          <w:color w:val="000000" w:themeColor="text1"/>
          <w:sz w:val="20"/>
          <w:szCs w:val="20"/>
        </w:rPr>
        <w:t>,</w:t>
      </w:r>
      <w:r>
        <w:rPr>
          <w:rFonts w:ascii="Cambria" w:hAnsi="Cambria"/>
          <w:color w:val="000000" w:themeColor="text1"/>
          <w:sz w:val="20"/>
          <w:szCs w:val="20"/>
        </w:rPr>
        <w:t xml:space="preserve"> </w:t>
      </w:r>
      <w:r w:rsidR="00421341">
        <w:rPr>
          <w:rFonts w:ascii="Cambria" w:hAnsi="Cambria"/>
          <w:color w:val="000000" w:themeColor="text1"/>
          <w:sz w:val="20"/>
          <w:szCs w:val="20"/>
        </w:rPr>
        <w:t xml:space="preserve">intended </w:t>
      </w:r>
      <w:r w:rsidR="004E1083">
        <w:rPr>
          <w:rFonts w:ascii="Cambria" w:hAnsi="Cambria"/>
          <w:color w:val="000000" w:themeColor="text1"/>
          <w:sz w:val="20"/>
          <w:szCs w:val="20"/>
        </w:rPr>
        <w:t>to access a reparation</w:t>
      </w:r>
      <w:r w:rsidR="00804048" w:rsidRPr="00A51861">
        <w:rPr>
          <w:rFonts w:ascii="Cambria" w:hAnsi="Cambria"/>
          <w:color w:val="000000" w:themeColor="text1"/>
          <w:sz w:val="20"/>
          <w:szCs w:val="20"/>
        </w:rPr>
        <w:t xml:space="preserve"> </w:t>
      </w:r>
      <w:r w:rsidR="004E1083">
        <w:rPr>
          <w:rFonts w:ascii="Cambria" w:hAnsi="Cambria"/>
          <w:color w:val="000000" w:themeColor="text1"/>
          <w:sz w:val="20"/>
          <w:szCs w:val="20"/>
        </w:rPr>
        <w:t>by virtue of the referred facts</w:t>
      </w:r>
      <w:r w:rsidR="00804048" w:rsidRPr="00A51861">
        <w:rPr>
          <w:rFonts w:ascii="Cambria" w:hAnsi="Cambria"/>
          <w:color w:val="000000" w:themeColor="text1"/>
          <w:sz w:val="20"/>
          <w:szCs w:val="20"/>
        </w:rPr>
        <w:t xml:space="preserve">. </w:t>
      </w:r>
    </w:p>
    <w:p w14:paraId="1E7764E3" w14:textId="77777777" w:rsidR="005C4CA5" w:rsidRPr="00A51861" w:rsidRDefault="005C4CA5" w:rsidP="008E4D3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630"/>
        <w:jc w:val="both"/>
        <w:rPr>
          <w:rFonts w:ascii="Cambria" w:hAnsi="Cambria"/>
          <w:sz w:val="20"/>
          <w:szCs w:val="20"/>
        </w:rPr>
      </w:pPr>
    </w:p>
    <w:p w14:paraId="656607E4" w14:textId="414409A8" w:rsidR="005C4CA5" w:rsidRPr="00A51861" w:rsidRDefault="00F92BA8"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color w:val="000000" w:themeColor="text1"/>
          <w:sz w:val="20"/>
          <w:szCs w:val="20"/>
        </w:rPr>
      </w:pPr>
      <w:r>
        <w:rPr>
          <w:rFonts w:ascii="Cambria" w:hAnsi="Cambria"/>
          <w:color w:val="000000" w:themeColor="text1"/>
          <w:sz w:val="20"/>
          <w:szCs w:val="20"/>
        </w:rPr>
        <w:t>The State</w:t>
      </w:r>
      <w:r w:rsidR="00C0006B" w:rsidRPr="00A51861">
        <w:rPr>
          <w:rFonts w:ascii="Cambria" w:hAnsi="Cambria"/>
          <w:color w:val="000000" w:themeColor="text1"/>
          <w:sz w:val="20"/>
          <w:szCs w:val="20"/>
        </w:rPr>
        <w:t xml:space="preserve"> </w:t>
      </w:r>
      <w:r w:rsidR="009B7223">
        <w:rPr>
          <w:rFonts w:ascii="Cambria" w:hAnsi="Cambria"/>
          <w:color w:val="000000" w:themeColor="text1"/>
          <w:sz w:val="20"/>
          <w:szCs w:val="20"/>
        </w:rPr>
        <w:t>claims</w:t>
      </w:r>
      <w:r w:rsidR="00385F5F" w:rsidRPr="00A51861">
        <w:rPr>
          <w:rFonts w:ascii="Cambria" w:hAnsi="Cambria"/>
          <w:color w:val="000000" w:themeColor="text1"/>
          <w:sz w:val="20"/>
          <w:szCs w:val="20"/>
        </w:rPr>
        <w:t>,</w:t>
      </w:r>
      <w:r w:rsidR="00F35F79" w:rsidRPr="00A51861">
        <w:rPr>
          <w:rFonts w:ascii="Cambria" w:hAnsi="Cambria"/>
          <w:color w:val="000000" w:themeColor="text1"/>
          <w:sz w:val="20"/>
          <w:szCs w:val="20"/>
        </w:rPr>
        <w:t xml:space="preserve"> </w:t>
      </w:r>
      <w:r w:rsidR="009B7223">
        <w:rPr>
          <w:rFonts w:ascii="Cambria" w:hAnsi="Cambria"/>
          <w:color w:val="000000" w:themeColor="text1"/>
          <w:sz w:val="20"/>
          <w:szCs w:val="20"/>
        </w:rPr>
        <w:t>in the stage</w:t>
      </w:r>
      <w:r w:rsidR="00E92985">
        <w:rPr>
          <w:rFonts w:ascii="Cambria" w:hAnsi="Cambria"/>
          <w:color w:val="000000" w:themeColor="text1"/>
          <w:sz w:val="20"/>
          <w:szCs w:val="20"/>
        </w:rPr>
        <w:t xml:space="preserve"> of </w:t>
      </w:r>
      <w:r>
        <w:rPr>
          <w:rFonts w:ascii="Cambria" w:hAnsi="Cambria"/>
          <w:color w:val="000000" w:themeColor="text1"/>
          <w:sz w:val="20"/>
          <w:szCs w:val="20"/>
        </w:rPr>
        <w:t>admissibility</w:t>
      </w:r>
      <w:r w:rsidR="00E92985">
        <w:rPr>
          <w:rFonts w:ascii="Cambria" w:hAnsi="Cambria"/>
          <w:color w:val="000000" w:themeColor="text1"/>
          <w:sz w:val="20"/>
          <w:szCs w:val="20"/>
        </w:rPr>
        <w:t xml:space="preserve"> and </w:t>
      </w:r>
      <w:r w:rsidR="009B7223">
        <w:rPr>
          <w:rFonts w:ascii="Cambria" w:hAnsi="Cambria"/>
          <w:color w:val="000000" w:themeColor="text1"/>
          <w:sz w:val="20"/>
          <w:szCs w:val="20"/>
        </w:rPr>
        <w:t>merits</w:t>
      </w:r>
      <w:r w:rsidR="00385F5F" w:rsidRPr="00A51861">
        <w:rPr>
          <w:rFonts w:ascii="Cambria" w:hAnsi="Cambria"/>
          <w:color w:val="000000" w:themeColor="text1"/>
          <w:sz w:val="20"/>
          <w:szCs w:val="20"/>
        </w:rPr>
        <w:t>,</w:t>
      </w:r>
      <w:r w:rsidR="00E92985">
        <w:rPr>
          <w:rFonts w:ascii="Cambria" w:hAnsi="Cambria"/>
          <w:color w:val="000000" w:themeColor="text1"/>
          <w:sz w:val="20"/>
          <w:szCs w:val="20"/>
        </w:rPr>
        <w:t xml:space="preserve"> that the </w:t>
      </w:r>
      <w:r w:rsidR="00FC257E">
        <w:rPr>
          <w:rFonts w:ascii="Cambria" w:hAnsi="Cambria"/>
          <w:color w:val="000000" w:themeColor="text1"/>
          <w:sz w:val="20"/>
          <w:szCs w:val="20"/>
        </w:rPr>
        <w:t>denial</w:t>
      </w:r>
      <w:r w:rsidR="00F35F79" w:rsidRPr="00A51861">
        <w:rPr>
          <w:rFonts w:ascii="Cambria" w:hAnsi="Cambria"/>
          <w:color w:val="000000" w:themeColor="text1"/>
          <w:sz w:val="20"/>
          <w:szCs w:val="20"/>
        </w:rPr>
        <w:t xml:space="preserve"> </w:t>
      </w:r>
      <w:r w:rsidR="00FC257E">
        <w:rPr>
          <w:rFonts w:ascii="Cambria" w:hAnsi="Cambria"/>
          <w:color w:val="000000" w:themeColor="text1"/>
          <w:sz w:val="20"/>
          <w:szCs w:val="20"/>
        </w:rPr>
        <w:t>to recognize</w:t>
      </w:r>
      <w:r w:rsidR="00F35F79" w:rsidRPr="00A51861">
        <w:rPr>
          <w:rFonts w:ascii="Cambria" w:hAnsi="Cambria"/>
          <w:color w:val="000000" w:themeColor="text1"/>
          <w:sz w:val="20"/>
          <w:szCs w:val="20"/>
        </w:rPr>
        <w:t xml:space="preserve"> </w:t>
      </w:r>
      <w:r w:rsidR="00FC257E">
        <w:rPr>
          <w:rFonts w:ascii="Cambria" w:hAnsi="Cambria"/>
          <w:color w:val="000000" w:themeColor="text1"/>
          <w:sz w:val="20"/>
          <w:szCs w:val="20"/>
        </w:rPr>
        <w:t>the compensations</w:t>
      </w:r>
      <w:r w:rsidR="00F35F79" w:rsidRPr="00A51861">
        <w:rPr>
          <w:rFonts w:ascii="Cambria" w:hAnsi="Cambria"/>
          <w:color w:val="000000" w:themeColor="text1"/>
          <w:sz w:val="20"/>
          <w:szCs w:val="20"/>
        </w:rPr>
        <w:t xml:space="preserve"> </w:t>
      </w:r>
      <w:r w:rsidR="00E92985">
        <w:rPr>
          <w:rFonts w:ascii="Cambria" w:hAnsi="Cambria"/>
          <w:color w:val="000000" w:themeColor="text1"/>
          <w:sz w:val="20"/>
          <w:szCs w:val="20"/>
        </w:rPr>
        <w:t>requested</w:t>
      </w:r>
      <w:r w:rsidR="00F35F79" w:rsidRPr="00A51861">
        <w:rPr>
          <w:rFonts w:ascii="Cambria" w:hAnsi="Cambria"/>
          <w:color w:val="000000" w:themeColor="text1"/>
          <w:sz w:val="20"/>
          <w:szCs w:val="20"/>
        </w:rPr>
        <w:t xml:space="preserve"> </w:t>
      </w:r>
      <w:r w:rsidR="00FC257E">
        <w:rPr>
          <w:rFonts w:ascii="Cambria" w:hAnsi="Cambria"/>
          <w:color w:val="000000" w:themeColor="text1"/>
          <w:sz w:val="20"/>
          <w:szCs w:val="20"/>
        </w:rPr>
        <w:t>by</w:t>
      </w:r>
      <w:r w:rsidR="00E92985">
        <w:rPr>
          <w:rFonts w:ascii="Cambria" w:hAnsi="Cambria"/>
          <w:color w:val="000000" w:themeColor="text1"/>
          <w:sz w:val="20"/>
          <w:szCs w:val="20"/>
        </w:rPr>
        <w:t xml:space="preserve"> the alleged victims</w:t>
      </w:r>
      <w:r w:rsidR="00F35F79" w:rsidRPr="00A51861">
        <w:rPr>
          <w:rFonts w:ascii="Cambria" w:hAnsi="Cambria"/>
          <w:color w:val="000000" w:themeColor="text1"/>
          <w:sz w:val="20"/>
          <w:szCs w:val="20"/>
        </w:rPr>
        <w:t xml:space="preserve">, </w:t>
      </w:r>
      <w:r w:rsidR="00FC257E">
        <w:rPr>
          <w:rFonts w:ascii="Cambria" w:hAnsi="Cambria"/>
          <w:color w:val="000000" w:themeColor="text1"/>
          <w:sz w:val="20"/>
          <w:szCs w:val="20"/>
        </w:rPr>
        <w:t>is because</w:t>
      </w:r>
      <w:r w:rsidR="00D91E9D" w:rsidRPr="00A51861">
        <w:rPr>
          <w:rFonts w:ascii="Cambria" w:hAnsi="Cambria"/>
          <w:color w:val="000000" w:themeColor="text1"/>
          <w:sz w:val="20"/>
          <w:szCs w:val="20"/>
        </w:rPr>
        <w:t xml:space="preserve"> </w:t>
      </w:r>
      <w:r w:rsidR="00FC257E">
        <w:rPr>
          <w:rFonts w:ascii="Cambria" w:hAnsi="Cambria"/>
          <w:color w:val="000000" w:themeColor="text1"/>
          <w:sz w:val="20"/>
          <w:szCs w:val="20"/>
        </w:rPr>
        <w:t>the facts for which the claim originated</w:t>
      </w:r>
      <w:r w:rsidR="00D91E9D" w:rsidRPr="00A51861">
        <w:rPr>
          <w:rFonts w:ascii="Cambria" w:hAnsi="Cambria"/>
          <w:color w:val="000000" w:themeColor="text1"/>
          <w:sz w:val="20"/>
          <w:szCs w:val="20"/>
        </w:rPr>
        <w:t xml:space="preserve">, </w:t>
      </w:r>
      <w:r w:rsidR="00FC257E">
        <w:rPr>
          <w:rFonts w:ascii="Cambria" w:hAnsi="Cambria"/>
          <w:color w:val="000000" w:themeColor="text1"/>
          <w:sz w:val="20"/>
          <w:szCs w:val="20"/>
        </w:rPr>
        <w:t>did not meet the parameters</w:t>
      </w:r>
      <w:r w:rsidR="00F35F79" w:rsidRPr="00A51861">
        <w:rPr>
          <w:rFonts w:ascii="Cambria" w:hAnsi="Cambria"/>
          <w:color w:val="000000" w:themeColor="text1"/>
          <w:sz w:val="20"/>
          <w:szCs w:val="20"/>
        </w:rPr>
        <w:t xml:space="preserve"> </w:t>
      </w:r>
      <w:r w:rsidR="00E92985">
        <w:rPr>
          <w:rFonts w:ascii="Cambria" w:hAnsi="Cambria"/>
          <w:color w:val="000000" w:themeColor="text1"/>
          <w:sz w:val="20"/>
          <w:szCs w:val="20"/>
        </w:rPr>
        <w:t xml:space="preserve">of </w:t>
      </w:r>
      <w:r w:rsidR="00FC257E" w:rsidRPr="00A51861">
        <w:rPr>
          <w:rFonts w:ascii="Cambria" w:hAnsi="Cambria"/>
          <w:color w:val="000000" w:themeColor="text1"/>
          <w:sz w:val="20"/>
          <w:szCs w:val="20"/>
        </w:rPr>
        <w:t>application</w:t>
      </w:r>
      <w:r w:rsidR="00E92985">
        <w:rPr>
          <w:rFonts w:ascii="Cambria" w:hAnsi="Cambria"/>
          <w:color w:val="000000" w:themeColor="text1"/>
          <w:sz w:val="20"/>
          <w:szCs w:val="20"/>
        </w:rPr>
        <w:t xml:space="preserve"> of </w:t>
      </w:r>
      <w:r w:rsidR="00FC257E">
        <w:rPr>
          <w:rFonts w:ascii="Cambria" w:hAnsi="Cambria"/>
          <w:color w:val="000000" w:themeColor="text1"/>
          <w:sz w:val="20"/>
          <w:szCs w:val="20"/>
        </w:rPr>
        <w:t>the initiated</w:t>
      </w:r>
      <w:r w:rsidR="00FC257E" w:rsidRPr="00FC257E">
        <w:rPr>
          <w:rFonts w:ascii="Cambria" w:hAnsi="Cambria"/>
          <w:color w:val="000000" w:themeColor="text1"/>
          <w:sz w:val="20"/>
          <w:szCs w:val="20"/>
        </w:rPr>
        <w:t xml:space="preserve"> </w:t>
      </w:r>
      <w:r w:rsidR="00FC257E" w:rsidRPr="00A51861">
        <w:rPr>
          <w:rFonts w:ascii="Cambria" w:hAnsi="Cambria"/>
          <w:color w:val="000000" w:themeColor="text1"/>
          <w:sz w:val="20"/>
          <w:szCs w:val="20"/>
        </w:rPr>
        <w:t>Law</w:t>
      </w:r>
      <w:r w:rsidR="00B81976" w:rsidRPr="00A51861">
        <w:rPr>
          <w:rFonts w:ascii="Cambria" w:hAnsi="Cambria"/>
          <w:color w:val="000000" w:themeColor="text1"/>
          <w:sz w:val="20"/>
          <w:szCs w:val="20"/>
        </w:rPr>
        <w:t>.</w:t>
      </w:r>
      <w:r w:rsidR="00FC257E">
        <w:rPr>
          <w:rFonts w:ascii="Cambria" w:hAnsi="Cambria"/>
          <w:color w:val="000000" w:themeColor="text1"/>
          <w:sz w:val="20"/>
          <w:szCs w:val="20"/>
        </w:rPr>
        <w:t xml:space="preserve"> Likewise, </w:t>
      </w:r>
      <w:r w:rsidR="00AA5556">
        <w:rPr>
          <w:rFonts w:ascii="Cambria" w:hAnsi="Cambria"/>
          <w:color w:val="000000" w:themeColor="text1"/>
          <w:sz w:val="20"/>
          <w:szCs w:val="20"/>
        </w:rPr>
        <w:t>holds that in the domestic legislation</w:t>
      </w:r>
      <w:r w:rsidR="00F35F79" w:rsidRPr="00A51861">
        <w:rPr>
          <w:rFonts w:ascii="Cambria" w:hAnsi="Cambria"/>
          <w:color w:val="000000" w:themeColor="text1"/>
          <w:sz w:val="20"/>
          <w:szCs w:val="20"/>
        </w:rPr>
        <w:t xml:space="preserve">, </w:t>
      </w:r>
      <w:r w:rsidR="00AA5556">
        <w:rPr>
          <w:rFonts w:ascii="Cambria" w:hAnsi="Cambria"/>
          <w:color w:val="000000" w:themeColor="text1"/>
          <w:sz w:val="20"/>
          <w:szCs w:val="20"/>
        </w:rPr>
        <w:t>there is currently another</w:t>
      </w:r>
      <w:r w:rsidR="00F35F79" w:rsidRPr="00A51861">
        <w:rPr>
          <w:rFonts w:ascii="Cambria" w:hAnsi="Cambria"/>
          <w:color w:val="000000" w:themeColor="text1"/>
          <w:sz w:val="20"/>
          <w:szCs w:val="20"/>
        </w:rPr>
        <w:t xml:space="preserve"> </w:t>
      </w:r>
      <w:r w:rsidR="00AA5556">
        <w:rPr>
          <w:rFonts w:ascii="Cambria" w:hAnsi="Cambria"/>
          <w:color w:val="000000" w:themeColor="text1"/>
          <w:sz w:val="20"/>
          <w:szCs w:val="20"/>
        </w:rPr>
        <w:t>regulatory instrument</w:t>
      </w:r>
      <w:r w:rsidR="00F35F79" w:rsidRPr="00A51861">
        <w:rPr>
          <w:rFonts w:ascii="Cambria" w:hAnsi="Cambria"/>
          <w:color w:val="000000" w:themeColor="text1"/>
          <w:sz w:val="20"/>
          <w:szCs w:val="20"/>
        </w:rPr>
        <w:t xml:space="preserve"> </w:t>
      </w:r>
      <w:r w:rsidR="00AA5556">
        <w:rPr>
          <w:rFonts w:ascii="Cambria" w:hAnsi="Cambria"/>
          <w:color w:val="000000" w:themeColor="text1"/>
          <w:sz w:val="20"/>
          <w:szCs w:val="20"/>
        </w:rPr>
        <w:t>by virtue of which reparation can be requested in these cases</w:t>
      </w:r>
      <w:r w:rsidR="00385F5F" w:rsidRPr="00A51861">
        <w:rPr>
          <w:rFonts w:ascii="Cambria" w:hAnsi="Cambria"/>
          <w:color w:val="000000" w:themeColor="text1"/>
          <w:sz w:val="20"/>
          <w:szCs w:val="20"/>
        </w:rPr>
        <w:t xml:space="preserve">, </w:t>
      </w:r>
      <w:r w:rsidR="00AA5556">
        <w:rPr>
          <w:rFonts w:ascii="Cambria" w:hAnsi="Cambria"/>
          <w:color w:val="000000" w:themeColor="text1"/>
          <w:sz w:val="20"/>
          <w:szCs w:val="20"/>
        </w:rPr>
        <w:t>which</w:t>
      </w:r>
      <w:r w:rsidR="00385F5F" w:rsidRPr="00A51861">
        <w:rPr>
          <w:rFonts w:ascii="Cambria" w:hAnsi="Cambria"/>
          <w:color w:val="000000" w:themeColor="text1"/>
          <w:sz w:val="20"/>
          <w:szCs w:val="20"/>
        </w:rPr>
        <w:t xml:space="preserve">, </w:t>
      </w:r>
      <w:r w:rsidR="00AA5556">
        <w:rPr>
          <w:rFonts w:ascii="Cambria" w:hAnsi="Cambria"/>
          <w:color w:val="000000" w:themeColor="text1"/>
          <w:sz w:val="20"/>
          <w:szCs w:val="20"/>
        </w:rPr>
        <w:t>although it was issued after the filing of the</w:t>
      </w:r>
      <w:r w:rsidR="00E92985">
        <w:rPr>
          <w:rFonts w:ascii="Cambria" w:hAnsi="Cambria"/>
          <w:color w:val="000000" w:themeColor="text1"/>
          <w:sz w:val="20"/>
          <w:szCs w:val="20"/>
        </w:rPr>
        <w:t xml:space="preserve"> </w:t>
      </w:r>
      <w:r w:rsidR="00AA5556">
        <w:rPr>
          <w:rFonts w:ascii="Cambria" w:hAnsi="Cambria"/>
          <w:color w:val="000000" w:themeColor="text1"/>
          <w:sz w:val="20"/>
          <w:szCs w:val="20"/>
        </w:rPr>
        <w:t>petition</w:t>
      </w:r>
      <w:r w:rsidR="00385F5F" w:rsidRPr="00A51861">
        <w:rPr>
          <w:rFonts w:ascii="Cambria" w:hAnsi="Cambria"/>
          <w:color w:val="000000" w:themeColor="text1"/>
          <w:sz w:val="20"/>
          <w:szCs w:val="20"/>
        </w:rPr>
        <w:t xml:space="preserve"> </w:t>
      </w:r>
      <w:r w:rsidR="00AA5556">
        <w:rPr>
          <w:rFonts w:ascii="Cambria" w:hAnsi="Cambria"/>
          <w:color w:val="000000" w:themeColor="text1"/>
          <w:sz w:val="20"/>
          <w:szCs w:val="20"/>
        </w:rPr>
        <w:t>before</w:t>
      </w:r>
      <w:r w:rsidR="00385F5F" w:rsidRPr="00A51861">
        <w:rPr>
          <w:rFonts w:ascii="Cambria" w:hAnsi="Cambria"/>
          <w:color w:val="000000" w:themeColor="text1"/>
          <w:sz w:val="20"/>
          <w:szCs w:val="20"/>
        </w:rPr>
        <w:t xml:space="preserve"> </w:t>
      </w:r>
      <w:r w:rsidR="00E92985">
        <w:rPr>
          <w:rFonts w:ascii="Cambria" w:hAnsi="Cambria"/>
          <w:color w:val="000000" w:themeColor="text1"/>
          <w:sz w:val="20"/>
          <w:szCs w:val="20"/>
        </w:rPr>
        <w:t>the Commission</w:t>
      </w:r>
      <w:r w:rsidR="00385F5F" w:rsidRPr="00A51861">
        <w:rPr>
          <w:rFonts w:ascii="Cambria" w:hAnsi="Cambria"/>
          <w:color w:val="000000" w:themeColor="text1"/>
          <w:sz w:val="20"/>
          <w:szCs w:val="20"/>
        </w:rPr>
        <w:t xml:space="preserve">, </w:t>
      </w:r>
      <w:r w:rsidR="00AA5556">
        <w:rPr>
          <w:rFonts w:ascii="Cambria" w:hAnsi="Cambria"/>
          <w:color w:val="000000" w:themeColor="text1"/>
          <w:sz w:val="20"/>
          <w:szCs w:val="20"/>
        </w:rPr>
        <w:t>it should have been attempted by</w:t>
      </w:r>
      <w:r w:rsidR="00E92985">
        <w:rPr>
          <w:rFonts w:ascii="Cambria" w:hAnsi="Cambria"/>
          <w:color w:val="000000" w:themeColor="text1"/>
          <w:sz w:val="20"/>
          <w:szCs w:val="20"/>
        </w:rPr>
        <w:t xml:space="preserve"> the alleged victims</w:t>
      </w:r>
      <w:r w:rsidR="00385F5F" w:rsidRPr="00A51861">
        <w:rPr>
          <w:rFonts w:ascii="Cambria" w:hAnsi="Cambria"/>
          <w:color w:val="000000" w:themeColor="text1"/>
          <w:sz w:val="20"/>
          <w:szCs w:val="20"/>
        </w:rPr>
        <w:t>.</w:t>
      </w:r>
    </w:p>
    <w:p w14:paraId="1649B536" w14:textId="77777777" w:rsidR="007C756A" w:rsidRPr="00A51861" w:rsidRDefault="007C756A" w:rsidP="008E4D36">
      <w:pPr>
        <w:suppressAutoHyphens/>
        <w:rPr>
          <w:rFonts w:asciiTheme="majorHAnsi" w:hAnsiTheme="majorHAnsi"/>
          <w:b/>
          <w:sz w:val="20"/>
          <w:szCs w:val="20"/>
        </w:rPr>
      </w:pPr>
    </w:p>
    <w:p w14:paraId="24B98401" w14:textId="1D211B6F" w:rsidR="00D12193" w:rsidRPr="00A51861" w:rsidRDefault="002835FC" w:rsidP="00DA471F">
      <w:pPr>
        <w:pStyle w:val="Heading1"/>
        <w:keepNext/>
        <w:keepLines/>
        <w:numPr>
          <w:ilvl w:val="0"/>
          <w:numId w:val="55"/>
        </w:numPr>
        <w:suppressAutoHyphens w:val="0"/>
        <w:ind w:left="720" w:hanging="360"/>
        <w:rPr>
          <w:lang w:val="en-US"/>
        </w:rPr>
      </w:pPr>
      <w:bookmarkStart w:id="3" w:name="_Toc196383467"/>
      <w:r w:rsidRPr="00A51861">
        <w:rPr>
          <w:lang w:val="en-US"/>
        </w:rPr>
        <w:t>ALLEGATIONS BY THE</w:t>
      </w:r>
      <w:r w:rsidR="00D12193" w:rsidRPr="00A51861">
        <w:rPr>
          <w:lang w:val="en-US"/>
        </w:rPr>
        <w:t xml:space="preserve"> PART</w:t>
      </w:r>
      <w:r w:rsidRPr="00A51861">
        <w:rPr>
          <w:lang w:val="en-US"/>
        </w:rPr>
        <w:t>I</w:t>
      </w:r>
      <w:r w:rsidR="00D12193" w:rsidRPr="00A51861">
        <w:rPr>
          <w:lang w:val="en-US"/>
        </w:rPr>
        <w:t>ES</w:t>
      </w:r>
      <w:bookmarkEnd w:id="3"/>
    </w:p>
    <w:p w14:paraId="7C09D45B" w14:textId="77777777" w:rsidR="00D83D73" w:rsidRPr="00A51861" w:rsidRDefault="00D83D73" w:rsidP="008E4D36">
      <w:pPr>
        <w:suppressAutoHyphens/>
        <w:rPr>
          <w:rFonts w:asciiTheme="majorHAnsi" w:hAnsiTheme="majorHAnsi"/>
          <w:b/>
          <w:sz w:val="20"/>
          <w:szCs w:val="20"/>
        </w:rPr>
      </w:pPr>
    </w:p>
    <w:p w14:paraId="20249787" w14:textId="1D2565A8" w:rsidR="00D12193" w:rsidRPr="00A51861" w:rsidRDefault="002835FC" w:rsidP="00DA471F">
      <w:pPr>
        <w:pStyle w:val="Heading2"/>
        <w:keepN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720"/>
        <w:rPr>
          <w:lang w:val="en-US"/>
        </w:rPr>
      </w:pPr>
      <w:bookmarkStart w:id="4" w:name="_Toc196383468"/>
      <w:r w:rsidRPr="00A51861">
        <w:rPr>
          <w:lang w:val="en-US"/>
        </w:rPr>
        <w:t>The petitioner</w:t>
      </w:r>
      <w:bookmarkEnd w:id="4"/>
    </w:p>
    <w:p w14:paraId="36D5E23F" w14:textId="77777777" w:rsidR="00361415" w:rsidRPr="00A51861" w:rsidRDefault="00361415" w:rsidP="008E4D36">
      <w:pPr>
        <w:suppressAutoHyphens/>
        <w:rPr>
          <w:rFonts w:asciiTheme="majorHAnsi" w:hAnsiTheme="majorHAnsi"/>
          <w:sz w:val="20"/>
          <w:szCs w:val="20"/>
        </w:rPr>
      </w:pPr>
    </w:p>
    <w:p w14:paraId="46555A50" w14:textId="485F1846" w:rsidR="00964584" w:rsidRPr="00A51861" w:rsidRDefault="00E92985"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The petitioner</w:t>
      </w:r>
      <w:r w:rsidR="00477B33" w:rsidRPr="00A51861">
        <w:rPr>
          <w:rFonts w:asciiTheme="majorHAnsi" w:hAnsiTheme="majorHAnsi"/>
          <w:sz w:val="20"/>
          <w:szCs w:val="20"/>
        </w:rPr>
        <w:t xml:space="preserve"> </w:t>
      </w:r>
      <w:r w:rsidR="00940530">
        <w:rPr>
          <w:rFonts w:asciiTheme="majorHAnsi" w:hAnsiTheme="majorHAnsi"/>
          <w:sz w:val="20"/>
          <w:szCs w:val="20"/>
        </w:rPr>
        <w:t xml:space="preserve">holds that </w:t>
      </w:r>
      <w:r w:rsidR="00964584" w:rsidRPr="00A51861">
        <w:rPr>
          <w:rFonts w:asciiTheme="majorHAnsi" w:hAnsiTheme="majorHAnsi"/>
          <w:sz w:val="20"/>
          <w:szCs w:val="20"/>
        </w:rPr>
        <w:t xml:space="preserve">Julio César </w:t>
      </w:r>
      <w:r w:rsidR="00BD093F">
        <w:rPr>
          <w:rFonts w:asciiTheme="majorHAnsi" w:hAnsiTheme="majorHAnsi"/>
          <w:sz w:val="20"/>
          <w:szCs w:val="20"/>
        </w:rPr>
        <w:t xml:space="preserve">Rito de los </w:t>
      </w:r>
      <w:r w:rsidR="00964584" w:rsidRPr="00A51861">
        <w:rPr>
          <w:rFonts w:asciiTheme="majorHAnsi" w:hAnsiTheme="majorHAnsi"/>
          <w:sz w:val="20"/>
          <w:szCs w:val="20"/>
        </w:rPr>
        <w:t>Santos, Hugo Daniel Ferreira</w:t>
      </w:r>
      <w:r>
        <w:rPr>
          <w:rFonts w:asciiTheme="majorHAnsi" w:hAnsiTheme="majorHAnsi"/>
          <w:sz w:val="20"/>
          <w:szCs w:val="20"/>
        </w:rPr>
        <w:t xml:space="preserve"> and </w:t>
      </w:r>
      <w:r w:rsidR="00964584" w:rsidRPr="00A51861">
        <w:rPr>
          <w:rFonts w:asciiTheme="majorHAnsi" w:hAnsiTheme="majorHAnsi"/>
          <w:sz w:val="20"/>
          <w:szCs w:val="20"/>
        </w:rPr>
        <w:t xml:space="preserve">Nicasio </w:t>
      </w:r>
      <w:r w:rsidR="00964584" w:rsidRPr="00A51861">
        <w:rPr>
          <w:rFonts w:ascii="Cambria" w:hAnsi="Cambria"/>
          <w:color w:val="000000" w:themeColor="text1"/>
          <w:sz w:val="20"/>
          <w:szCs w:val="20"/>
        </w:rPr>
        <w:t>Washington</w:t>
      </w:r>
      <w:r w:rsidR="00964584" w:rsidRPr="00A51861">
        <w:rPr>
          <w:rFonts w:asciiTheme="majorHAnsi" w:hAnsiTheme="majorHAnsi"/>
          <w:sz w:val="20"/>
          <w:szCs w:val="20"/>
        </w:rPr>
        <w:t xml:space="preserve"> Romero Ubal,</w:t>
      </w:r>
      <w:r>
        <w:rPr>
          <w:rFonts w:asciiTheme="majorHAnsi" w:hAnsiTheme="majorHAnsi"/>
          <w:sz w:val="20"/>
          <w:szCs w:val="20"/>
        </w:rPr>
        <w:t xml:space="preserve"> of </w:t>
      </w:r>
      <w:r w:rsidR="00D64B7E">
        <w:rPr>
          <w:rFonts w:asciiTheme="majorHAnsi" w:hAnsiTheme="majorHAnsi"/>
          <w:sz w:val="20"/>
          <w:szCs w:val="20"/>
        </w:rPr>
        <w:t>Uruguayan nationality</w:t>
      </w:r>
      <w:r w:rsidR="00964584" w:rsidRPr="00A51861">
        <w:rPr>
          <w:rFonts w:asciiTheme="majorHAnsi" w:hAnsiTheme="majorHAnsi"/>
          <w:sz w:val="20"/>
          <w:szCs w:val="20"/>
        </w:rPr>
        <w:t xml:space="preserve">, </w:t>
      </w:r>
      <w:r w:rsidR="00940530">
        <w:rPr>
          <w:rFonts w:asciiTheme="majorHAnsi" w:hAnsiTheme="majorHAnsi"/>
          <w:sz w:val="20"/>
          <w:szCs w:val="20"/>
        </w:rPr>
        <w:t>settled in</w:t>
      </w:r>
      <w:r w:rsidR="00964584" w:rsidRPr="00A51861">
        <w:rPr>
          <w:rFonts w:asciiTheme="majorHAnsi" w:hAnsiTheme="majorHAnsi"/>
          <w:sz w:val="20"/>
          <w:szCs w:val="20"/>
        </w:rPr>
        <w:t xml:space="preserve"> Argentina </w:t>
      </w:r>
      <w:r w:rsidR="00940530">
        <w:rPr>
          <w:rFonts w:asciiTheme="majorHAnsi" w:hAnsiTheme="majorHAnsi"/>
          <w:sz w:val="20"/>
          <w:szCs w:val="20"/>
        </w:rPr>
        <w:t>between</w:t>
      </w:r>
      <w:r w:rsidR="00964584" w:rsidRPr="00A51861">
        <w:rPr>
          <w:rFonts w:asciiTheme="majorHAnsi" w:hAnsiTheme="majorHAnsi"/>
          <w:sz w:val="20"/>
          <w:szCs w:val="20"/>
        </w:rPr>
        <w:t xml:space="preserve"> 1973</w:t>
      </w:r>
      <w:r>
        <w:rPr>
          <w:rFonts w:asciiTheme="majorHAnsi" w:hAnsiTheme="majorHAnsi"/>
          <w:sz w:val="20"/>
          <w:szCs w:val="20"/>
        </w:rPr>
        <w:t xml:space="preserve"> and </w:t>
      </w:r>
      <w:r w:rsidR="00964584" w:rsidRPr="00A51861">
        <w:rPr>
          <w:rFonts w:asciiTheme="majorHAnsi" w:hAnsiTheme="majorHAnsi"/>
          <w:sz w:val="20"/>
          <w:szCs w:val="20"/>
        </w:rPr>
        <w:t xml:space="preserve">1974, </w:t>
      </w:r>
      <w:r w:rsidR="00940530">
        <w:rPr>
          <w:rFonts w:asciiTheme="majorHAnsi" w:hAnsiTheme="majorHAnsi"/>
          <w:sz w:val="20"/>
          <w:szCs w:val="20"/>
        </w:rPr>
        <w:t xml:space="preserve">in order to run away from the Joint </w:t>
      </w:r>
      <w:r w:rsidR="00D64B7E">
        <w:rPr>
          <w:rFonts w:asciiTheme="majorHAnsi" w:hAnsiTheme="majorHAnsi"/>
          <w:sz w:val="20"/>
          <w:szCs w:val="20"/>
        </w:rPr>
        <w:t>Uruguayan</w:t>
      </w:r>
      <w:r w:rsidR="00940530">
        <w:rPr>
          <w:rFonts w:asciiTheme="majorHAnsi" w:hAnsiTheme="majorHAnsi"/>
          <w:sz w:val="20"/>
          <w:szCs w:val="20"/>
        </w:rPr>
        <w:t xml:space="preserve"> Forces</w:t>
      </w:r>
      <w:r w:rsidR="00964584" w:rsidRPr="00A51861">
        <w:rPr>
          <w:rFonts w:asciiTheme="majorHAnsi" w:hAnsiTheme="majorHAnsi"/>
          <w:sz w:val="20"/>
          <w:szCs w:val="20"/>
        </w:rPr>
        <w:t xml:space="preserve">, </w:t>
      </w:r>
      <w:r w:rsidR="00940530">
        <w:rPr>
          <w:rFonts w:asciiTheme="majorHAnsi" w:hAnsiTheme="majorHAnsi"/>
          <w:sz w:val="20"/>
          <w:szCs w:val="20"/>
        </w:rPr>
        <w:t>after the coup occurred in Uruguay in</w:t>
      </w:r>
      <w:r w:rsidR="00964584" w:rsidRPr="00A51861">
        <w:rPr>
          <w:rFonts w:asciiTheme="majorHAnsi" w:hAnsiTheme="majorHAnsi"/>
          <w:sz w:val="20"/>
          <w:szCs w:val="20"/>
        </w:rPr>
        <w:t xml:space="preserve"> 1973. </w:t>
      </w:r>
    </w:p>
    <w:p w14:paraId="53767738" w14:textId="77777777" w:rsidR="00964584" w:rsidRPr="00A51861" w:rsidRDefault="00964584" w:rsidP="008E4D3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rPr>
      </w:pPr>
    </w:p>
    <w:p w14:paraId="02C8761D" w14:textId="373124EC" w:rsidR="00964584" w:rsidRPr="00A51861" w:rsidRDefault="00E92985"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The petitioner</w:t>
      </w:r>
      <w:r w:rsidR="00477B33" w:rsidRPr="00A51861">
        <w:rPr>
          <w:rFonts w:asciiTheme="majorHAnsi" w:hAnsiTheme="majorHAnsi"/>
          <w:sz w:val="20"/>
          <w:szCs w:val="20"/>
        </w:rPr>
        <w:t xml:space="preserve"> </w:t>
      </w:r>
      <w:r w:rsidR="00940530">
        <w:rPr>
          <w:rFonts w:asciiTheme="majorHAnsi" w:hAnsiTheme="majorHAnsi"/>
          <w:sz w:val="20"/>
          <w:szCs w:val="20"/>
        </w:rPr>
        <w:t>refers a</w:t>
      </w:r>
      <w:r w:rsidR="00964584" w:rsidRPr="00A51861">
        <w:rPr>
          <w:rFonts w:asciiTheme="majorHAnsi" w:hAnsiTheme="majorHAnsi"/>
          <w:sz w:val="20"/>
          <w:szCs w:val="20"/>
        </w:rPr>
        <w:t xml:space="preserve"> </w:t>
      </w:r>
      <w:r w:rsidR="00940530">
        <w:rPr>
          <w:rFonts w:asciiTheme="majorHAnsi" w:hAnsiTheme="majorHAnsi"/>
          <w:sz w:val="20"/>
          <w:szCs w:val="20"/>
        </w:rPr>
        <w:t>context</w:t>
      </w:r>
      <w:r>
        <w:rPr>
          <w:rFonts w:asciiTheme="majorHAnsi" w:hAnsiTheme="majorHAnsi"/>
          <w:sz w:val="20"/>
          <w:szCs w:val="20"/>
        </w:rPr>
        <w:t xml:space="preserve"> of </w:t>
      </w:r>
      <w:r w:rsidR="00940530" w:rsidRPr="00A51861">
        <w:rPr>
          <w:rFonts w:asciiTheme="majorHAnsi" w:hAnsiTheme="majorHAnsi"/>
          <w:sz w:val="20"/>
          <w:szCs w:val="20"/>
        </w:rPr>
        <w:t>illegal</w:t>
      </w:r>
      <w:r w:rsidR="00940530">
        <w:rPr>
          <w:rFonts w:asciiTheme="majorHAnsi" w:hAnsiTheme="majorHAnsi"/>
          <w:sz w:val="20"/>
          <w:szCs w:val="20"/>
        </w:rPr>
        <w:t xml:space="preserve"> </w:t>
      </w:r>
      <w:r w:rsidR="00940530" w:rsidRPr="00A51861">
        <w:rPr>
          <w:rFonts w:asciiTheme="majorHAnsi" w:hAnsiTheme="majorHAnsi"/>
          <w:sz w:val="20"/>
          <w:szCs w:val="20"/>
        </w:rPr>
        <w:t>repression</w:t>
      </w:r>
      <w:r w:rsidR="00964584" w:rsidRPr="00A51861">
        <w:rPr>
          <w:rFonts w:asciiTheme="majorHAnsi" w:hAnsiTheme="majorHAnsi"/>
          <w:sz w:val="20"/>
          <w:szCs w:val="20"/>
        </w:rPr>
        <w:t xml:space="preserve"> </w:t>
      </w:r>
      <w:r>
        <w:rPr>
          <w:rFonts w:asciiTheme="majorHAnsi" w:hAnsiTheme="majorHAnsi"/>
          <w:sz w:val="20"/>
          <w:szCs w:val="20"/>
        </w:rPr>
        <w:t xml:space="preserve">and of </w:t>
      </w:r>
      <w:r w:rsidR="00940530" w:rsidRPr="00A51861">
        <w:rPr>
          <w:rFonts w:asciiTheme="majorHAnsi" w:hAnsiTheme="majorHAnsi"/>
          <w:sz w:val="20"/>
          <w:szCs w:val="20"/>
        </w:rPr>
        <w:t>ideological</w:t>
      </w:r>
      <w:r w:rsidR="00940530">
        <w:rPr>
          <w:rFonts w:asciiTheme="majorHAnsi" w:hAnsiTheme="majorHAnsi"/>
          <w:sz w:val="20"/>
          <w:szCs w:val="20"/>
        </w:rPr>
        <w:t xml:space="preserve"> </w:t>
      </w:r>
      <w:r>
        <w:rPr>
          <w:rFonts w:asciiTheme="majorHAnsi" w:hAnsiTheme="majorHAnsi"/>
          <w:sz w:val="20"/>
          <w:szCs w:val="20"/>
        </w:rPr>
        <w:t xml:space="preserve">and </w:t>
      </w:r>
      <w:r w:rsidR="00940530" w:rsidRPr="00A51861">
        <w:rPr>
          <w:rFonts w:asciiTheme="majorHAnsi" w:hAnsiTheme="majorHAnsi"/>
          <w:sz w:val="20"/>
          <w:szCs w:val="20"/>
        </w:rPr>
        <w:t>political</w:t>
      </w:r>
      <w:r w:rsidR="00964584" w:rsidRPr="00A51861">
        <w:rPr>
          <w:rFonts w:asciiTheme="majorHAnsi" w:hAnsiTheme="majorHAnsi"/>
          <w:sz w:val="20"/>
          <w:szCs w:val="20"/>
        </w:rPr>
        <w:t xml:space="preserve"> </w:t>
      </w:r>
      <w:r w:rsidR="00940530" w:rsidRPr="00A51861">
        <w:rPr>
          <w:rFonts w:asciiTheme="majorHAnsi" w:hAnsiTheme="majorHAnsi"/>
          <w:sz w:val="20"/>
          <w:szCs w:val="20"/>
        </w:rPr>
        <w:t xml:space="preserve">persecutions </w:t>
      </w:r>
      <w:r w:rsidR="00940530">
        <w:rPr>
          <w:rFonts w:asciiTheme="majorHAnsi" w:hAnsiTheme="majorHAnsi"/>
          <w:sz w:val="20"/>
          <w:szCs w:val="20"/>
        </w:rPr>
        <w:t>i</w:t>
      </w:r>
      <w:r w:rsidR="00964584" w:rsidRPr="00A51861">
        <w:rPr>
          <w:rFonts w:asciiTheme="majorHAnsi" w:hAnsiTheme="majorHAnsi"/>
          <w:sz w:val="20"/>
          <w:szCs w:val="20"/>
        </w:rPr>
        <w:t xml:space="preserve">n Argentina, </w:t>
      </w:r>
      <w:r w:rsidR="00940530">
        <w:rPr>
          <w:rFonts w:asciiTheme="majorHAnsi" w:hAnsiTheme="majorHAnsi"/>
          <w:sz w:val="20"/>
          <w:szCs w:val="20"/>
        </w:rPr>
        <w:t>which started during the democratic government</w:t>
      </w:r>
      <w:r w:rsidR="00964584" w:rsidRPr="00A51861">
        <w:rPr>
          <w:rFonts w:asciiTheme="majorHAnsi" w:hAnsiTheme="majorHAnsi"/>
          <w:sz w:val="20"/>
          <w:szCs w:val="20"/>
        </w:rPr>
        <w:t xml:space="preserve"> </w:t>
      </w:r>
      <w:r w:rsidR="00940530">
        <w:rPr>
          <w:rFonts w:asciiTheme="majorHAnsi" w:hAnsiTheme="majorHAnsi"/>
          <w:sz w:val="20"/>
          <w:szCs w:val="20"/>
        </w:rPr>
        <w:t>which preceded the last military dictatorship</w:t>
      </w:r>
      <w:r w:rsidR="00964584" w:rsidRPr="00A51861">
        <w:rPr>
          <w:rFonts w:asciiTheme="majorHAnsi" w:hAnsiTheme="majorHAnsi"/>
          <w:sz w:val="20"/>
          <w:szCs w:val="20"/>
        </w:rPr>
        <w:t xml:space="preserve"> </w:t>
      </w:r>
      <w:r w:rsidR="00940530">
        <w:rPr>
          <w:rFonts w:asciiTheme="majorHAnsi" w:hAnsiTheme="majorHAnsi"/>
          <w:sz w:val="20"/>
          <w:szCs w:val="20"/>
        </w:rPr>
        <w:t xml:space="preserve">of </w:t>
      </w:r>
      <w:r w:rsidR="00940530">
        <w:rPr>
          <w:rFonts w:asciiTheme="majorHAnsi" w:hAnsiTheme="majorHAnsi"/>
          <w:sz w:val="20"/>
          <w:szCs w:val="20"/>
        </w:rPr>
        <w:lastRenderedPageBreak/>
        <w:t>the country</w:t>
      </w:r>
      <w:r w:rsidR="00964584" w:rsidRPr="00A51861">
        <w:rPr>
          <w:rFonts w:asciiTheme="majorHAnsi" w:hAnsiTheme="majorHAnsi"/>
          <w:sz w:val="20"/>
          <w:szCs w:val="20"/>
        </w:rPr>
        <w:t xml:space="preserve"> </w:t>
      </w:r>
      <w:r w:rsidR="00940530">
        <w:rPr>
          <w:rFonts w:asciiTheme="majorHAnsi" w:hAnsiTheme="majorHAnsi"/>
          <w:sz w:val="20"/>
          <w:szCs w:val="20"/>
        </w:rPr>
        <w:t>and extended throughout it</w:t>
      </w:r>
      <w:r w:rsidR="00964584" w:rsidRPr="00A51861">
        <w:rPr>
          <w:rFonts w:asciiTheme="majorHAnsi" w:hAnsiTheme="majorHAnsi"/>
          <w:sz w:val="20"/>
          <w:szCs w:val="20"/>
        </w:rPr>
        <w:t xml:space="preserve">, </w:t>
      </w:r>
      <w:r w:rsidR="00940530">
        <w:rPr>
          <w:rFonts w:asciiTheme="majorHAnsi" w:hAnsiTheme="majorHAnsi"/>
          <w:sz w:val="20"/>
          <w:szCs w:val="20"/>
        </w:rPr>
        <w:t>in which detentions were carried out</w:t>
      </w:r>
      <w:r w:rsidR="005056C0">
        <w:rPr>
          <w:rFonts w:asciiTheme="majorHAnsi" w:hAnsiTheme="majorHAnsi"/>
          <w:sz w:val="20"/>
          <w:szCs w:val="20"/>
        </w:rPr>
        <w:t>,</w:t>
      </w:r>
      <w:r w:rsidR="00940530">
        <w:rPr>
          <w:rFonts w:asciiTheme="majorHAnsi" w:hAnsiTheme="majorHAnsi"/>
          <w:sz w:val="20"/>
          <w:szCs w:val="20"/>
        </w:rPr>
        <w:t xml:space="preserve"> most of them illegal</w:t>
      </w:r>
      <w:r>
        <w:rPr>
          <w:rFonts w:asciiTheme="majorHAnsi" w:hAnsiTheme="majorHAnsi"/>
          <w:sz w:val="20"/>
          <w:szCs w:val="20"/>
        </w:rPr>
        <w:t xml:space="preserve"> and </w:t>
      </w:r>
      <w:r w:rsidR="00940530">
        <w:rPr>
          <w:rFonts w:ascii="Cambria" w:hAnsi="Cambria"/>
          <w:color w:val="000000" w:themeColor="text1"/>
          <w:sz w:val="20"/>
          <w:szCs w:val="20"/>
        </w:rPr>
        <w:t>no</w:t>
      </w:r>
      <w:r w:rsidR="005056C0">
        <w:rPr>
          <w:rFonts w:ascii="Cambria" w:hAnsi="Cambria"/>
          <w:color w:val="000000" w:themeColor="text1"/>
          <w:sz w:val="20"/>
          <w:szCs w:val="20"/>
        </w:rPr>
        <w:t>t</w:t>
      </w:r>
      <w:r w:rsidR="00940530">
        <w:rPr>
          <w:rFonts w:ascii="Cambria" w:hAnsi="Cambria"/>
          <w:color w:val="000000" w:themeColor="text1"/>
          <w:sz w:val="20"/>
          <w:szCs w:val="20"/>
        </w:rPr>
        <w:t xml:space="preserve"> recognized</w:t>
      </w:r>
      <w:r w:rsidR="00964584" w:rsidRPr="00A51861">
        <w:rPr>
          <w:rFonts w:asciiTheme="majorHAnsi" w:hAnsiTheme="majorHAnsi"/>
          <w:sz w:val="20"/>
          <w:szCs w:val="20"/>
        </w:rPr>
        <w:t xml:space="preserve"> </w:t>
      </w:r>
      <w:r w:rsidR="00940530">
        <w:rPr>
          <w:rFonts w:asciiTheme="majorHAnsi" w:hAnsiTheme="majorHAnsi"/>
          <w:sz w:val="20"/>
          <w:szCs w:val="20"/>
        </w:rPr>
        <w:t>by</w:t>
      </w:r>
      <w:r w:rsidR="00964584" w:rsidRPr="00A51861">
        <w:rPr>
          <w:rFonts w:asciiTheme="majorHAnsi" w:hAnsiTheme="majorHAnsi"/>
          <w:sz w:val="20"/>
          <w:szCs w:val="20"/>
        </w:rPr>
        <w:t xml:space="preserve"> </w:t>
      </w:r>
      <w:r w:rsidR="00940530">
        <w:rPr>
          <w:rFonts w:asciiTheme="majorHAnsi" w:hAnsiTheme="majorHAnsi"/>
          <w:sz w:val="20"/>
          <w:szCs w:val="20"/>
        </w:rPr>
        <w:t>authorities</w:t>
      </w:r>
      <w:r w:rsidR="00964584" w:rsidRPr="00A51861">
        <w:rPr>
          <w:rFonts w:asciiTheme="majorHAnsi" w:hAnsiTheme="majorHAnsi"/>
          <w:sz w:val="20"/>
          <w:szCs w:val="20"/>
        </w:rPr>
        <w:t xml:space="preserve">, </w:t>
      </w:r>
      <w:r w:rsidR="00940530">
        <w:rPr>
          <w:rFonts w:asciiTheme="majorHAnsi" w:hAnsiTheme="majorHAnsi"/>
          <w:sz w:val="20"/>
          <w:szCs w:val="20"/>
        </w:rPr>
        <w:t>which later ended with the disappearance</w:t>
      </w:r>
      <w:r w:rsidR="00964584" w:rsidRPr="00A51861">
        <w:rPr>
          <w:rFonts w:asciiTheme="majorHAnsi" w:hAnsiTheme="majorHAnsi"/>
          <w:sz w:val="20"/>
          <w:szCs w:val="20"/>
        </w:rPr>
        <w:t xml:space="preserve">, </w:t>
      </w:r>
      <w:r w:rsidR="00940530">
        <w:rPr>
          <w:rFonts w:asciiTheme="majorHAnsi" w:hAnsiTheme="majorHAnsi"/>
          <w:sz w:val="20"/>
          <w:szCs w:val="20"/>
        </w:rPr>
        <w:t>murder</w:t>
      </w:r>
      <w:r>
        <w:rPr>
          <w:rFonts w:asciiTheme="majorHAnsi" w:hAnsiTheme="majorHAnsi"/>
          <w:sz w:val="20"/>
          <w:szCs w:val="20"/>
        </w:rPr>
        <w:t xml:space="preserve"> or </w:t>
      </w:r>
      <w:r w:rsidR="00964584" w:rsidRPr="00A51861">
        <w:rPr>
          <w:rFonts w:asciiTheme="majorHAnsi" w:hAnsiTheme="majorHAnsi"/>
          <w:sz w:val="20"/>
          <w:szCs w:val="20"/>
        </w:rPr>
        <w:t>exil</w:t>
      </w:r>
      <w:r w:rsidR="00940530">
        <w:rPr>
          <w:rFonts w:asciiTheme="majorHAnsi" w:hAnsiTheme="majorHAnsi"/>
          <w:sz w:val="20"/>
          <w:szCs w:val="20"/>
        </w:rPr>
        <w:t>e</w:t>
      </w:r>
      <w:r>
        <w:rPr>
          <w:rFonts w:asciiTheme="majorHAnsi" w:hAnsiTheme="majorHAnsi"/>
          <w:sz w:val="20"/>
          <w:szCs w:val="20"/>
        </w:rPr>
        <w:t xml:space="preserve"> of </w:t>
      </w:r>
      <w:r w:rsidR="00940530">
        <w:rPr>
          <w:rFonts w:asciiTheme="majorHAnsi" w:hAnsiTheme="majorHAnsi"/>
          <w:sz w:val="20"/>
          <w:szCs w:val="20"/>
        </w:rPr>
        <w:t>the</w:t>
      </w:r>
      <w:r w:rsidR="00964584" w:rsidRPr="00A51861">
        <w:rPr>
          <w:rFonts w:asciiTheme="majorHAnsi" w:hAnsiTheme="majorHAnsi"/>
          <w:sz w:val="20"/>
          <w:szCs w:val="20"/>
        </w:rPr>
        <w:t xml:space="preserve"> persons </w:t>
      </w:r>
      <w:r w:rsidR="00940530">
        <w:rPr>
          <w:rFonts w:asciiTheme="majorHAnsi" w:hAnsiTheme="majorHAnsi"/>
          <w:sz w:val="20"/>
          <w:szCs w:val="20"/>
        </w:rPr>
        <w:t>who had been detained</w:t>
      </w:r>
      <w:r w:rsidR="00964584" w:rsidRPr="00A51861">
        <w:rPr>
          <w:rFonts w:asciiTheme="majorHAnsi" w:hAnsiTheme="majorHAnsi"/>
          <w:sz w:val="20"/>
          <w:szCs w:val="20"/>
        </w:rPr>
        <w:t xml:space="preserve">. </w:t>
      </w:r>
      <w:r w:rsidR="00F92BA8">
        <w:rPr>
          <w:rFonts w:asciiTheme="majorHAnsi" w:hAnsiTheme="majorHAnsi"/>
          <w:sz w:val="20"/>
          <w:szCs w:val="20"/>
        </w:rPr>
        <w:t xml:space="preserve">Likewise, </w:t>
      </w:r>
      <w:r w:rsidR="00940530">
        <w:rPr>
          <w:rFonts w:asciiTheme="majorHAnsi" w:hAnsiTheme="majorHAnsi"/>
          <w:sz w:val="20"/>
          <w:szCs w:val="20"/>
        </w:rPr>
        <w:t>petitioner raises</w:t>
      </w:r>
      <w:r w:rsidR="00C96D22" w:rsidRPr="00A51861">
        <w:rPr>
          <w:rFonts w:asciiTheme="majorHAnsi" w:hAnsiTheme="majorHAnsi"/>
          <w:sz w:val="20"/>
          <w:szCs w:val="20"/>
        </w:rPr>
        <w:t xml:space="preserve"> “Plan Cóndor” </w:t>
      </w:r>
      <w:r w:rsidR="00940530">
        <w:rPr>
          <w:rFonts w:asciiTheme="majorHAnsi" w:hAnsiTheme="majorHAnsi"/>
          <w:sz w:val="20"/>
          <w:szCs w:val="20"/>
        </w:rPr>
        <w:t xml:space="preserve">which established the </w:t>
      </w:r>
      <w:r w:rsidR="00940530" w:rsidRPr="00A51861">
        <w:rPr>
          <w:rFonts w:asciiTheme="majorHAnsi" w:hAnsiTheme="majorHAnsi"/>
          <w:sz w:val="20"/>
          <w:szCs w:val="20"/>
        </w:rPr>
        <w:t>collaboration</w:t>
      </w:r>
      <w:r w:rsidR="00C96D22" w:rsidRPr="00A51861">
        <w:rPr>
          <w:rFonts w:asciiTheme="majorHAnsi" w:hAnsiTheme="majorHAnsi"/>
          <w:sz w:val="20"/>
          <w:szCs w:val="20"/>
        </w:rPr>
        <w:t xml:space="preserve"> </w:t>
      </w:r>
      <w:r w:rsidR="00940530">
        <w:rPr>
          <w:rFonts w:asciiTheme="majorHAnsi" w:hAnsiTheme="majorHAnsi"/>
          <w:sz w:val="20"/>
          <w:szCs w:val="20"/>
        </w:rPr>
        <w:t>between the</w:t>
      </w:r>
      <w:r w:rsidR="00477B33" w:rsidRPr="00A51861">
        <w:rPr>
          <w:rFonts w:asciiTheme="majorHAnsi" w:hAnsiTheme="majorHAnsi"/>
          <w:sz w:val="20"/>
          <w:szCs w:val="20"/>
        </w:rPr>
        <w:t xml:space="preserve"> </w:t>
      </w:r>
      <w:r w:rsidR="00940530" w:rsidRPr="00A51861">
        <w:rPr>
          <w:rFonts w:asciiTheme="majorHAnsi" w:hAnsiTheme="majorHAnsi"/>
          <w:sz w:val="20"/>
          <w:szCs w:val="20"/>
        </w:rPr>
        <w:t>repressive</w:t>
      </w:r>
      <w:r w:rsidR="00940530">
        <w:rPr>
          <w:rFonts w:asciiTheme="majorHAnsi" w:hAnsiTheme="majorHAnsi"/>
          <w:sz w:val="20"/>
          <w:szCs w:val="20"/>
        </w:rPr>
        <w:t xml:space="preserve"> </w:t>
      </w:r>
      <w:r w:rsidR="00940530" w:rsidRPr="00A51861">
        <w:rPr>
          <w:rFonts w:asciiTheme="majorHAnsi" w:hAnsiTheme="majorHAnsi"/>
          <w:sz w:val="20"/>
          <w:szCs w:val="20"/>
        </w:rPr>
        <w:t>regimes</w:t>
      </w:r>
      <w:r w:rsidR="00477B33" w:rsidRPr="00A51861">
        <w:rPr>
          <w:rFonts w:asciiTheme="majorHAnsi" w:hAnsiTheme="majorHAnsi"/>
          <w:sz w:val="20"/>
          <w:szCs w:val="20"/>
        </w:rPr>
        <w:t xml:space="preserve"> </w:t>
      </w:r>
      <w:r>
        <w:rPr>
          <w:rFonts w:asciiTheme="majorHAnsi" w:hAnsiTheme="majorHAnsi"/>
          <w:sz w:val="20"/>
          <w:szCs w:val="20"/>
        </w:rPr>
        <w:t xml:space="preserve">of </w:t>
      </w:r>
      <w:r w:rsidR="00C96D22" w:rsidRPr="00A51861">
        <w:rPr>
          <w:rFonts w:asciiTheme="majorHAnsi" w:hAnsiTheme="majorHAnsi"/>
          <w:sz w:val="20"/>
          <w:szCs w:val="20"/>
        </w:rPr>
        <w:t>Argentina</w:t>
      </w:r>
      <w:r>
        <w:rPr>
          <w:rFonts w:asciiTheme="majorHAnsi" w:hAnsiTheme="majorHAnsi"/>
          <w:sz w:val="20"/>
          <w:szCs w:val="20"/>
        </w:rPr>
        <w:t xml:space="preserve"> and </w:t>
      </w:r>
      <w:r w:rsidR="00C96D22" w:rsidRPr="00A51861">
        <w:rPr>
          <w:rFonts w:asciiTheme="majorHAnsi" w:hAnsiTheme="majorHAnsi"/>
          <w:sz w:val="20"/>
          <w:szCs w:val="20"/>
        </w:rPr>
        <w:t>Uruguay.</w:t>
      </w:r>
    </w:p>
    <w:p w14:paraId="5F67F70C" w14:textId="77777777" w:rsidR="00964584" w:rsidRPr="00A51861" w:rsidRDefault="00964584" w:rsidP="008E4D36">
      <w:pPr>
        <w:pStyle w:val="ListParagraph"/>
        <w:rPr>
          <w:rFonts w:asciiTheme="majorHAnsi" w:hAnsiTheme="majorHAnsi"/>
          <w:sz w:val="20"/>
          <w:szCs w:val="20"/>
        </w:rPr>
      </w:pPr>
    </w:p>
    <w:p w14:paraId="327D7043" w14:textId="0710F1A5" w:rsidR="00964584" w:rsidRPr="00A51861" w:rsidRDefault="00B01A54"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In the</w:t>
      </w:r>
      <w:r w:rsidR="0088168D" w:rsidRPr="00A51861">
        <w:rPr>
          <w:rFonts w:asciiTheme="majorHAnsi" w:hAnsiTheme="majorHAnsi"/>
          <w:sz w:val="20"/>
          <w:szCs w:val="20"/>
        </w:rPr>
        <w:t xml:space="preserve"> </w:t>
      </w:r>
      <w:r>
        <w:rPr>
          <w:rFonts w:asciiTheme="majorHAnsi" w:hAnsiTheme="majorHAnsi"/>
          <w:sz w:val="20"/>
          <w:szCs w:val="20"/>
        </w:rPr>
        <w:t>initial petition</w:t>
      </w:r>
      <w:r w:rsidR="006E255A">
        <w:rPr>
          <w:rFonts w:asciiTheme="majorHAnsi" w:hAnsiTheme="majorHAnsi"/>
          <w:sz w:val="20"/>
          <w:szCs w:val="20"/>
        </w:rPr>
        <w:t>,</w:t>
      </w:r>
      <w:r>
        <w:rPr>
          <w:rFonts w:asciiTheme="majorHAnsi" w:hAnsiTheme="majorHAnsi"/>
          <w:sz w:val="20"/>
          <w:szCs w:val="20"/>
        </w:rPr>
        <w:t xml:space="preserve"> it is held that on June 10,</w:t>
      </w:r>
      <w:r w:rsidR="00E92985">
        <w:rPr>
          <w:rFonts w:asciiTheme="majorHAnsi" w:hAnsiTheme="majorHAnsi"/>
          <w:sz w:val="20"/>
          <w:szCs w:val="20"/>
        </w:rPr>
        <w:t xml:space="preserve"> </w:t>
      </w:r>
      <w:r w:rsidR="00964584" w:rsidRPr="00A51861">
        <w:rPr>
          <w:rFonts w:asciiTheme="majorHAnsi" w:hAnsiTheme="majorHAnsi"/>
          <w:sz w:val="20"/>
          <w:szCs w:val="20"/>
        </w:rPr>
        <w:t xml:space="preserve">1974, Julio César </w:t>
      </w:r>
      <w:r>
        <w:rPr>
          <w:rFonts w:asciiTheme="majorHAnsi" w:hAnsiTheme="majorHAnsi"/>
          <w:sz w:val="20"/>
          <w:szCs w:val="20"/>
        </w:rPr>
        <w:t xml:space="preserve">Rito de los Santos </w:t>
      </w:r>
      <w:r w:rsidR="00E92985">
        <w:rPr>
          <w:rFonts w:asciiTheme="majorHAnsi" w:hAnsiTheme="majorHAnsi"/>
          <w:sz w:val="20"/>
          <w:szCs w:val="20"/>
        </w:rPr>
        <w:t xml:space="preserve">and </w:t>
      </w:r>
      <w:r w:rsidR="00964584" w:rsidRPr="00A51861">
        <w:rPr>
          <w:rFonts w:asciiTheme="majorHAnsi" w:hAnsiTheme="majorHAnsi"/>
          <w:sz w:val="20"/>
          <w:szCs w:val="20"/>
        </w:rPr>
        <w:t xml:space="preserve">Hugo Daniel Ferreira </w:t>
      </w:r>
      <w:r>
        <w:rPr>
          <w:rFonts w:asciiTheme="majorHAnsi" w:hAnsiTheme="majorHAnsi"/>
          <w:sz w:val="20"/>
          <w:szCs w:val="20"/>
        </w:rPr>
        <w:t>were arrested along with</w:t>
      </w:r>
      <w:r w:rsidR="00964584" w:rsidRPr="00A51861">
        <w:rPr>
          <w:rFonts w:asciiTheme="majorHAnsi" w:hAnsiTheme="majorHAnsi"/>
          <w:sz w:val="20"/>
          <w:szCs w:val="20"/>
        </w:rPr>
        <w:t xml:space="preserve"> 100 </w:t>
      </w:r>
      <w:r>
        <w:rPr>
          <w:rFonts w:asciiTheme="majorHAnsi" w:hAnsiTheme="majorHAnsi"/>
          <w:sz w:val="20"/>
          <w:szCs w:val="20"/>
        </w:rPr>
        <w:t xml:space="preserve">other </w:t>
      </w:r>
      <w:r w:rsidR="00964584" w:rsidRPr="00A51861">
        <w:rPr>
          <w:rFonts w:asciiTheme="majorHAnsi" w:hAnsiTheme="majorHAnsi"/>
          <w:sz w:val="20"/>
          <w:szCs w:val="20"/>
        </w:rPr>
        <w:t xml:space="preserve">persons </w:t>
      </w:r>
      <w:r>
        <w:rPr>
          <w:rFonts w:asciiTheme="majorHAnsi" w:hAnsiTheme="majorHAnsi"/>
          <w:sz w:val="20"/>
          <w:szCs w:val="20"/>
        </w:rPr>
        <w:t>by the</w:t>
      </w:r>
      <w:r w:rsidR="00964584" w:rsidRPr="00A51861">
        <w:rPr>
          <w:rFonts w:asciiTheme="majorHAnsi" w:hAnsiTheme="majorHAnsi"/>
          <w:sz w:val="20"/>
          <w:szCs w:val="20"/>
        </w:rPr>
        <w:t xml:space="preserve"> </w:t>
      </w:r>
      <w:r w:rsidRPr="00A51861">
        <w:rPr>
          <w:rFonts w:asciiTheme="majorHAnsi" w:hAnsiTheme="majorHAnsi"/>
          <w:sz w:val="20"/>
          <w:szCs w:val="20"/>
        </w:rPr>
        <w:t>Superintendence</w:t>
      </w:r>
      <w:r w:rsidR="00E92985">
        <w:rPr>
          <w:rFonts w:asciiTheme="majorHAnsi" w:hAnsiTheme="majorHAnsi"/>
          <w:sz w:val="20"/>
          <w:szCs w:val="20"/>
        </w:rPr>
        <w:t xml:space="preserve"> of </w:t>
      </w:r>
      <w:r w:rsidR="00964584" w:rsidRPr="00A51861">
        <w:rPr>
          <w:rFonts w:asciiTheme="majorHAnsi" w:hAnsiTheme="majorHAnsi"/>
          <w:sz w:val="20"/>
          <w:szCs w:val="20"/>
        </w:rPr>
        <w:t xml:space="preserve">Federal </w:t>
      </w:r>
      <w:r w:rsidRPr="00A51861">
        <w:rPr>
          <w:rFonts w:asciiTheme="majorHAnsi" w:hAnsiTheme="majorHAnsi"/>
          <w:sz w:val="20"/>
          <w:szCs w:val="20"/>
        </w:rPr>
        <w:t>Se</w:t>
      </w:r>
      <w:r>
        <w:rPr>
          <w:rFonts w:asciiTheme="majorHAnsi" w:hAnsiTheme="majorHAnsi"/>
          <w:sz w:val="20"/>
          <w:szCs w:val="20"/>
        </w:rPr>
        <w:t>curity</w:t>
      </w:r>
      <w:r w:rsidRPr="00A51861">
        <w:rPr>
          <w:rFonts w:asciiTheme="majorHAnsi" w:hAnsiTheme="majorHAnsi"/>
          <w:sz w:val="20"/>
          <w:szCs w:val="20"/>
        </w:rPr>
        <w:t xml:space="preserve"> </w:t>
      </w:r>
      <w:r w:rsidR="006E255A">
        <w:rPr>
          <w:rFonts w:asciiTheme="majorHAnsi" w:hAnsiTheme="majorHAnsi"/>
          <w:sz w:val="20"/>
          <w:szCs w:val="20"/>
        </w:rPr>
        <w:t xml:space="preserve">in the city of </w:t>
      </w:r>
      <w:r w:rsidR="00964584" w:rsidRPr="00A51861">
        <w:rPr>
          <w:rFonts w:asciiTheme="majorHAnsi" w:hAnsiTheme="majorHAnsi"/>
          <w:sz w:val="20"/>
          <w:szCs w:val="20"/>
        </w:rPr>
        <w:t xml:space="preserve">Buenos Aires, </w:t>
      </w:r>
      <w:r w:rsidR="006E255A">
        <w:rPr>
          <w:rFonts w:asciiTheme="majorHAnsi" w:hAnsiTheme="majorHAnsi"/>
          <w:sz w:val="20"/>
          <w:szCs w:val="20"/>
        </w:rPr>
        <w:t xml:space="preserve">while they were participating in a </w:t>
      </w:r>
      <w:r w:rsidR="005056C0">
        <w:rPr>
          <w:rFonts w:asciiTheme="majorHAnsi" w:hAnsiTheme="majorHAnsi"/>
          <w:sz w:val="20"/>
          <w:szCs w:val="20"/>
        </w:rPr>
        <w:t>political assembly</w:t>
      </w:r>
      <w:r w:rsidR="0088168D" w:rsidRPr="00A51861">
        <w:rPr>
          <w:rFonts w:asciiTheme="majorHAnsi" w:hAnsiTheme="majorHAnsi"/>
          <w:sz w:val="20"/>
          <w:szCs w:val="20"/>
        </w:rPr>
        <w:t xml:space="preserve">. </w:t>
      </w:r>
      <w:r w:rsidR="006E255A">
        <w:rPr>
          <w:rFonts w:asciiTheme="majorHAnsi" w:hAnsiTheme="majorHAnsi"/>
          <w:sz w:val="20"/>
          <w:szCs w:val="20"/>
        </w:rPr>
        <w:t>Petitioner holds that after their</w:t>
      </w:r>
      <w:r w:rsidR="00964584" w:rsidRPr="00A51861">
        <w:rPr>
          <w:rFonts w:asciiTheme="majorHAnsi" w:hAnsiTheme="majorHAnsi"/>
          <w:sz w:val="20"/>
          <w:szCs w:val="20"/>
        </w:rPr>
        <w:t xml:space="preserve"> </w:t>
      </w:r>
      <w:r w:rsidR="006E255A">
        <w:rPr>
          <w:rFonts w:asciiTheme="majorHAnsi" w:hAnsiTheme="majorHAnsi"/>
          <w:sz w:val="20"/>
          <w:szCs w:val="20"/>
        </w:rPr>
        <w:t>detention</w:t>
      </w:r>
      <w:r w:rsidR="00964584" w:rsidRPr="00A51861">
        <w:rPr>
          <w:rFonts w:asciiTheme="majorHAnsi" w:hAnsiTheme="majorHAnsi"/>
          <w:sz w:val="20"/>
          <w:szCs w:val="20"/>
        </w:rPr>
        <w:t xml:space="preserve">, </w:t>
      </w:r>
      <w:r w:rsidR="005056C0">
        <w:rPr>
          <w:rFonts w:asciiTheme="majorHAnsi" w:hAnsiTheme="majorHAnsi"/>
          <w:sz w:val="20"/>
          <w:szCs w:val="20"/>
        </w:rPr>
        <w:t xml:space="preserve">they </w:t>
      </w:r>
      <w:r w:rsidR="006E255A">
        <w:rPr>
          <w:rFonts w:asciiTheme="majorHAnsi" w:hAnsiTheme="majorHAnsi"/>
          <w:sz w:val="20"/>
          <w:szCs w:val="20"/>
        </w:rPr>
        <w:t xml:space="preserve">were interrogated </w:t>
      </w:r>
      <w:r w:rsidR="00E92985">
        <w:rPr>
          <w:rFonts w:asciiTheme="majorHAnsi" w:hAnsiTheme="majorHAnsi"/>
          <w:sz w:val="20"/>
          <w:szCs w:val="20"/>
        </w:rPr>
        <w:t xml:space="preserve">and </w:t>
      </w:r>
      <w:r w:rsidR="006E255A">
        <w:rPr>
          <w:rFonts w:asciiTheme="majorHAnsi" w:hAnsiTheme="majorHAnsi"/>
          <w:sz w:val="20"/>
          <w:szCs w:val="20"/>
        </w:rPr>
        <w:t>sentenced to</w:t>
      </w:r>
      <w:r w:rsidR="00964584" w:rsidRPr="00A51861">
        <w:rPr>
          <w:rFonts w:asciiTheme="majorHAnsi" w:hAnsiTheme="majorHAnsi"/>
          <w:sz w:val="20"/>
          <w:szCs w:val="20"/>
        </w:rPr>
        <w:t xml:space="preserve"> 30 d</w:t>
      </w:r>
      <w:r w:rsidR="006E255A">
        <w:rPr>
          <w:rFonts w:asciiTheme="majorHAnsi" w:hAnsiTheme="majorHAnsi"/>
          <w:sz w:val="20"/>
          <w:szCs w:val="20"/>
        </w:rPr>
        <w:t>ays</w:t>
      </w:r>
      <w:r w:rsidR="00E92985">
        <w:rPr>
          <w:rFonts w:asciiTheme="majorHAnsi" w:hAnsiTheme="majorHAnsi"/>
          <w:sz w:val="20"/>
          <w:szCs w:val="20"/>
        </w:rPr>
        <w:t xml:space="preserve"> of </w:t>
      </w:r>
      <w:r w:rsidR="00964584" w:rsidRPr="00A51861">
        <w:rPr>
          <w:rFonts w:asciiTheme="majorHAnsi" w:hAnsiTheme="majorHAnsi"/>
          <w:sz w:val="20"/>
          <w:szCs w:val="20"/>
        </w:rPr>
        <w:t xml:space="preserve">arrest </w:t>
      </w:r>
      <w:r w:rsidR="006E255A">
        <w:rPr>
          <w:rFonts w:asciiTheme="majorHAnsi" w:hAnsiTheme="majorHAnsi"/>
          <w:sz w:val="20"/>
          <w:szCs w:val="20"/>
        </w:rPr>
        <w:t>for violating the decree which</w:t>
      </w:r>
      <w:r w:rsidR="00964584" w:rsidRPr="00A51861">
        <w:rPr>
          <w:rFonts w:asciiTheme="majorHAnsi" w:hAnsiTheme="majorHAnsi"/>
          <w:sz w:val="20"/>
          <w:szCs w:val="20"/>
        </w:rPr>
        <w:t xml:space="preserve"> </w:t>
      </w:r>
      <w:r w:rsidR="006E255A">
        <w:rPr>
          <w:rFonts w:asciiTheme="majorHAnsi" w:hAnsiTheme="majorHAnsi"/>
          <w:sz w:val="20"/>
          <w:szCs w:val="20"/>
        </w:rPr>
        <w:t xml:space="preserve">prohibited </w:t>
      </w:r>
      <w:r w:rsidR="005056C0">
        <w:rPr>
          <w:rFonts w:asciiTheme="majorHAnsi" w:hAnsiTheme="majorHAnsi"/>
          <w:sz w:val="20"/>
          <w:szCs w:val="20"/>
        </w:rPr>
        <w:t>political assemblies</w:t>
      </w:r>
      <w:r w:rsidR="001D1D61">
        <w:rPr>
          <w:rFonts w:asciiTheme="majorHAnsi" w:hAnsiTheme="majorHAnsi"/>
          <w:sz w:val="20"/>
          <w:szCs w:val="20"/>
        </w:rPr>
        <w:t>. Th</w:t>
      </w:r>
      <w:r w:rsidR="006E255A">
        <w:rPr>
          <w:rFonts w:asciiTheme="majorHAnsi" w:hAnsiTheme="majorHAnsi"/>
          <w:sz w:val="20"/>
          <w:szCs w:val="20"/>
        </w:rPr>
        <w:t>e petitioner adds that after being released</w:t>
      </w:r>
      <w:r w:rsidR="00964584" w:rsidRPr="00A51861">
        <w:rPr>
          <w:rFonts w:asciiTheme="majorHAnsi" w:hAnsiTheme="majorHAnsi"/>
          <w:sz w:val="20"/>
          <w:szCs w:val="20"/>
        </w:rPr>
        <w:t xml:space="preserve">, </w:t>
      </w:r>
      <w:r w:rsidR="002835FC" w:rsidRPr="00A51861">
        <w:rPr>
          <w:rFonts w:asciiTheme="majorHAnsi" w:hAnsiTheme="majorHAnsi"/>
          <w:sz w:val="20"/>
          <w:szCs w:val="20"/>
        </w:rPr>
        <w:t xml:space="preserve">the alleged victims </w:t>
      </w:r>
      <w:r w:rsidR="006E255A">
        <w:rPr>
          <w:rFonts w:asciiTheme="majorHAnsi" w:hAnsiTheme="majorHAnsi"/>
          <w:sz w:val="20"/>
          <w:szCs w:val="20"/>
        </w:rPr>
        <w:t>went into illegality</w:t>
      </w:r>
      <w:r w:rsidR="00964584" w:rsidRPr="00A51861">
        <w:rPr>
          <w:rFonts w:asciiTheme="majorHAnsi" w:hAnsiTheme="majorHAnsi"/>
          <w:sz w:val="20"/>
          <w:szCs w:val="20"/>
        </w:rPr>
        <w:t xml:space="preserve">, </w:t>
      </w:r>
      <w:r w:rsidR="00F92BA8">
        <w:rPr>
          <w:rFonts w:asciiTheme="majorHAnsi" w:hAnsiTheme="majorHAnsi"/>
          <w:sz w:val="20"/>
          <w:szCs w:val="20"/>
        </w:rPr>
        <w:t xml:space="preserve">since </w:t>
      </w:r>
      <w:r w:rsidR="006E255A">
        <w:rPr>
          <w:rFonts w:asciiTheme="majorHAnsi" w:hAnsiTheme="majorHAnsi"/>
          <w:sz w:val="20"/>
          <w:szCs w:val="20"/>
        </w:rPr>
        <w:t>o</w:t>
      </w:r>
      <w:r w:rsidR="00964584" w:rsidRPr="00A51861">
        <w:rPr>
          <w:rFonts w:asciiTheme="majorHAnsi" w:hAnsiTheme="majorHAnsi"/>
          <w:sz w:val="20"/>
          <w:szCs w:val="20"/>
        </w:rPr>
        <w:t xml:space="preserve">n </w:t>
      </w:r>
      <w:r w:rsidR="006E255A">
        <w:rPr>
          <w:rFonts w:asciiTheme="majorHAnsi" w:hAnsiTheme="majorHAnsi"/>
          <w:sz w:val="20"/>
          <w:szCs w:val="20"/>
        </w:rPr>
        <w:t>repeated</w:t>
      </w:r>
      <w:r w:rsidR="00964584" w:rsidRPr="00A51861">
        <w:rPr>
          <w:rFonts w:asciiTheme="majorHAnsi" w:hAnsiTheme="majorHAnsi"/>
          <w:sz w:val="20"/>
          <w:szCs w:val="20"/>
        </w:rPr>
        <w:t xml:space="preserve"> </w:t>
      </w:r>
      <w:r w:rsidR="006E255A" w:rsidRPr="00A51861">
        <w:rPr>
          <w:rFonts w:asciiTheme="majorHAnsi" w:hAnsiTheme="majorHAnsi"/>
          <w:sz w:val="20"/>
          <w:szCs w:val="20"/>
        </w:rPr>
        <w:t>opportunities</w:t>
      </w:r>
      <w:r w:rsidR="00964584" w:rsidRPr="00A51861">
        <w:rPr>
          <w:rFonts w:asciiTheme="majorHAnsi" w:hAnsiTheme="majorHAnsi"/>
          <w:sz w:val="20"/>
          <w:szCs w:val="20"/>
        </w:rPr>
        <w:t xml:space="preserve"> </w:t>
      </w:r>
      <w:r w:rsidR="006E255A">
        <w:rPr>
          <w:rFonts w:asciiTheme="majorHAnsi" w:hAnsiTheme="majorHAnsi"/>
          <w:sz w:val="20"/>
          <w:szCs w:val="20"/>
        </w:rPr>
        <w:t>agents dressed in</w:t>
      </w:r>
      <w:r w:rsidR="00E92985">
        <w:rPr>
          <w:rFonts w:asciiTheme="majorHAnsi" w:hAnsiTheme="majorHAnsi"/>
          <w:sz w:val="20"/>
          <w:szCs w:val="20"/>
        </w:rPr>
        <w:t xml:space="preserve"> </w:t>
      </w:r>
      <w:r w:rsidR="00964584" w:rsidRPr="00A51861">
        <w:rPr>
          <w:rFonts w:asciiTheme="majorHAnsi" w:hAnsiTheme="majorHAnsi"/>
          <w:sz w:val="20"/>
          <w:szCs w:val="20"/>
        </w:rPr>
        <w:t xml:space="preserve">civil </w:t>
      </w:r>
      <w:r w:rsidR="006E255A">
        <w:rPr>
          <w:rFonts w:asciiTheme="majorHAnsi" w:hAnsiTheme="majorHAnsi"/>
          <w:sz w:val="20"/>
          <w:szCs w:val="20"/>
        </w:rPr>
        <w:t xml:space="preserve">clothes appeared asking for their whereabouts </w:t>
      </w:r>
      <w:r w:rsidR="00E92985">
        <w:rPr>
          <w:rFonts w:asciiTheme="majorHAnsi" w:hAnsiTheme="majorHAnsi"/>
          <w:sz w:val="20"/>
          <w:szCs w:val="20"/>
        </w:rPr>
        <w:t xml:space="preserve">and </w:t>
      </w:r>
      <w:r w:rsidR="005056C0">
        <w:rPr>
          <w:rFonts w:asciiTheme="majorHAnsi" w:hAnsiTheme="majorHAnsi"/>
          <w:sz w:val="20"/>
          <w:szCs w:val="20"/>
        </w:rPr>
        <w:t>of</w:t>
      </w:r>
      <w:r w:rsidR="006E255A">
        <w:rPr>
          <w:rFonts w:asciiTheme="majorHAnsi" w:hAnsiTheme="majorHAnsi"/>
          <w:sz w:val="20"/>
          <w:szCs w:val="20"/>
        </w:rPr>
        <w:t xml:space="preserve"> their families</w:t>
      </w:r>
      <w:r w:rsidR="00964584" w:rsidRPr="00A51861">
        <w:rPr>
          <w:rFonts w:asciiTheme="majorHAnsi" w:hAnsiTheme="majorHAnsi"/>
          <w:sz w:val="20"/>
          <w:szCs w:val="20"/>
        </w:rPr>
        <w:t xml:space="preserve">. </w:t>
      </w:r>
      <w:r w:rsidR="006E255A">
        <w:rPr>
          <w:rFonts w:asciiTheme="majorHAnsi" w:hAnsiTheme="majorHAnsi"/>
          <w:sz w:val="20"/>
          <w:szCs w:val="20"/>
        </w:rPr>
        <w:t>Subsequently</w:t>
      </w:r>
      <w:r w:rsidR="00964584" w:rsidRPr="00A51861">
        <w:rPr>
          <w:rFonts w:asciiTheme="majorHAnsi" w:hAnsiTheme="majorHAnsi"/>
          <w:sz w:val="20"/>
          <w:szCs w:val="20"/>
        </w:rPr>
        <w:t xml:space="preserve">, </w:t>
      </w:r>
      <w:r w:rsidR="006E255A">
        <w:rPr>
          <w:rFonts w:ascii="Cambria" w:hAnsi="Cambria"/>
          <w:color w:val="000000" w:themeColor="text1"/>
          <w:sz w:val="20"/>
          <w:szCs w:val="20"/>
        </w:rPr>
        <w:t>they remained in one of the shelters</w:t>
      </w:r>
      <w:r w:rsidR="00964584" w:rsidRPr="00A51861">
        <w:rPr>
          <w:rFonts w:asciiTheme="majorHAnsi" w:hAnsiTheme="majorHAnsi"/>
          <w:sz w:val="20"/>
          <w:szCs w:val="20"/>
        </w:rPr>
        <w:t xml:space="preserve"> </w:t>
      </w:r>
      <w:r w:rsidR="006E255A">
        <w:rPr>
          <w:rFonts w:asciiTheme="majorHAnsi" w:hAnsiTheme="majorHAnsi"/>
          <w:sz w:val="20"/>
          <w:szCs w:val="20"/>
        </w:rPr>
        <w:t>of the</w:t>
      </w:r>
      <w:r w:rsidR="00964584" w:rsidRPr="00A51861">
        <w:rPr>
          <w:rFonts w:asciiTheme="majorHAnsi" w:hAnsiTheme="majorHAnsi"/>
          <w:sz w:val="20"/>
          <w:szCs w:val="20"/>
        </w:rPr>
        <w:t xml:space="preserve"> </w:t>
      </w:r>
      <w:r w:rsidR="006E255A">
        <w:rPr>
          <w:rFonts w:asciiTheme="majorHAnsi" w:hAnsiTheme="majorHAnsi"/>
          <w:sz w:val="20"/>
          <w:szCs w:val="20"/>
        </w:rPr>
        <w:t>High Commissioner of United Nations</w:t>
      </w:r>
      <w:r w:rsidR="00964584" w:rsidRPr="00A51861">
        <w:rPr>
          <w:rFonts w:asciiTheme="majorHAnsi" w:hAnsiTheme="majorHAnsi"/>
          <w:sz w:val="20"/>
          <w:szCs w:val="20"/>
        </w:rPr>
        <w:t xml:space="preserve"> </w:t>
      </w:r>
      <w:r w:rsidR="006E255A">
        <w:rPr>
          <w:rFonts w:asciiTheme="majorHAnsi" w:hAnsiTheme="majorHAnsi"/>
          <w:sz w:val="20"/>
          <w:szCs w:val="20"/>
        </w:rPr>
        <w:t xml:space="preserve">for </w:t>
      </w:r>
      <w:r w:rsidR="00F86E9F">
        <w:rPr>
          <w:rFonts w:asciiTheme="majorHAnsi" w:hAnsiTheme="majorHAnsi"/>
          <w:sz w:val="20"/>
          <w:szCs w:val="20"/>
        </w:rPr>
        <w:t>R</w:t>
      </w:r>
      <w:r w:rsidR="006E255A">
        <w:rPr>
          <w:rFonts w:asciiTheme="majorHAnsi" w:hAnsiTheme="majorHAnsi"/>
          <w:sz w:val="20"/>
          <w:szCs w:val="20"/>
        </w:rPr>
        <w:t>efugees</w:t>
      </w:r>
      <w:r w:rsidR="0088168D" w:rsidRPr="00A51861">
        <w:rPr>
          <w:rFonts w:asciiTheme="majorHAnsi" w:hAnsiTheme="majorHAnsi"/>
          <w:sz w:val="20"/>
          <w:szCs w:val="20"/>
        </w:rPr>
        <w:t xml:space="preserve"> (</w:t>
      </w:r>
      <w:r w:rsidR="00F92BA8">
        <w:rPr>
          <w:rFonts w:asciiTheme="majorHAnsi" w:hAnsiTheme="majorHAnsi"/>
          <w:sz w:val="20"/>
          <w:szCs w:val="20"/>
        </w:rPr>
        <w:t>hereinafter</w:t>
      </w:r>
      <w:r w:rsidR="0088168D" w:rsidRPr="00A51861">
        <w:rPr>
          <w:rFonts w:asciiTheme="majorHAnsi" w:hAnsiTheme="majorHAnsi"/>
          <w:sz w:val="20"/>
          <w:szCs w:val="20"/>
        </w:rPr>
        <w:t xml:space="preserve"> “ACNUR”). </w:t>
      </w:r>
      <w:r w:rsidR="006E255A">
        <w:rPr>
          <w:rFonts w:asciiTheme="majorHAnsi" w:hAnsiTheme="majorHAnsi"/>
          <w:sz w:val="20"/>
          <w:szCs w:val="20"/>
        </w:rPr>
        <w:t>Petitioner asserts that after</w:t>
      </w:r>
      <w:r w:rsidR="00E92985">
        <w:rPr>
          <w:rFonts w:asciiTheme="majorHAnsi" w:hAnsiTheme="majorHAnsi"/>
          <w:sz w:val="20"/>
          <w:szCs w:val="20"/>
        </w:rPr>
        <w:t xml:space="preserve"> the </w:t>
      </w:r>
      <w:r w:rsidR="006E255A">
        <w:rPr>
          <w:rFonts w:asciiTheme="majorHAnsi" w:hAnsiTheme="majorHAnsi"/>
          <w:sz w:val="20"/>
          <w:szCs w:val="20"/>
        </w:rPr>
        <w:t>detention</w:t>
      </w:r>
      <w:r w:rsidR="00964584" w:rsidRPr="00A51861">
        <w:rPr>
          <w:rFonts w:asciiTheme="majorHAnsi" w:hAnsiTheme="majorHAnsi"/>
          <w:sz w:val="20"/>
          <w:szCs w:val="20"/>
        </w:rPr>
        <w:t xml:space="preserve">, </w:t>
      </w:r>
      <w:r w:rsidR="00F92BA8">
        <w:rPr>
          <w:rFonts w:asciiTheme="majorHAnsi" w:hAnsiTheme="majorHAnsi"/>
          <w:sz w:val="20"/>
          <w:szCs w:val="20"/>
        </w:rPr>
        <w:t>the Argentine State</w:t>
      </w:r>
      <w:r w:rsidR="00964584" w:rsidRPr="00A51861">
        <w:rPr>
          <w:rFonts w:asciiTheme="majorHAnsi" w:hAnsiTheme="majorHAnsi"/>
          <w:sz w:val="20"/>
          <w:szCs w:val="20"/>
        </w:rPr>
        <w:t xml:space="preserve"> </w:t>
      </w:r>
      <w:r w:rsidR="006E255A">
        <w:rPr>
          <w:rFonts w:asciiTheme="majorHAnsi" w:hAnsiTheme="majorHAnsi"/>
          <w:sz w:val="20"/>
          <w:szCs w:val="20"/>
        </w:rPr>
        <w:t>initiated proceedings</w:t>
      </w:r>
      <w:r w:rsidR="00E92985">
        <w:rPr>
          <w:rFonts w:asciiTheme="majorHAnsi" w:hAnsiTheme="majorHAnsi"/>
          <w:sz w:val="20"/>
          <w:szCs w:val="20"/>
        </w:rPr>
        <w:t xml:space="preserve"> of </w:t>
      </w:r>
      <w:r w:rsidR="006E255A" w:rsidRPr="00A51861">
        <w:rPr>
          <w:rFonts w:asciiTheme="majorHAnsi" w:hAnsiTheme="majorHAnsi"/>
          <w:sz w:val="20"/>
          <w:szCs w:val="20"/>
        </w:rPr>
        <w:t>expulsion</w:t>
      </w:r>
      <w:r w:rsidR="00964584" w:rsidRPr="00A51861">
        <w:rPr>
          <w:rFonts w:asciiTheme="majorHAnsi" w:hAnsiTheme="majorHAnsi"/>
          <w:sz w:val="20"/>
          <w:szCs w:val="20"/>
        </w:rPr>
        <w:t xml:space="preserve"> </w:t>
      </w:r>
      <w:r w:rsidR="006E255A">
        <w:rPr>
          <w:rFonts w:asciiTheme="majorHAnsi" w:hAnsiTheme="majorHAnsi"/>
          <w:sz w:val="20"/>
          <w:szCs w:val="20"/>
        </w:rPr>
        <w:t xml:space="preserve">against </w:t>
      </w:r>
      <w:r w:rsidR="00E92985">
        <w:rPr>
          <w:rFonts w:asciiTheme="majorHAnsi" w:hAnsiTheme="majorHAnsi"/>
          <w:sz w:val="20"/>
          <w:szCs w:val="20"/>
        </w:rPr>
        <w:t>the alleged victims</w:t>
      </w:r>
      <w:r w:rsidR="00964584" w:rsidRPr="00A51861">
        <w:rPr>
          <w:rFonts w:asciiTheme="majorHAnsi" w:hAnsiTheme="majorHAnsi"/>
          <w:sz w:val="20"/>
          <w:szCs w:val="20"/>
        </w:rPr>
        <w:t xml:space="preserve">, </w:t>
      </w:r>
      <w:r w:rsidR="006E255A">
        <w:rPr>
          <w:rFonts w:asciiTheme="majorHAnsi" w:hAnsiTheme="majorHAnsi"/>
          <w:sz w:val="20"/>
          <w:szCs w:val="20"/>
        </w:rPr>
        <w:t>who were at risk of being deported back to the country from which they had ran away</w:t>
      </w:r>
      <w:r w:rsidR="00964584" w:rsidRPr="00A51861">
        <w:rPr>
          <w:rFonts w:asciiTheme="majorHAnsi" w:hAnsiTheme="majorHAnsi"/>
          <w:sz w:val="20"/>
          <w:szCs w:val="20"/>
        </w:rPr>
        <w:t xml:space="preserve"> </w:t>
      </w:r>
      <w:r w:rsidR="005056C0">
        <w:rPr>
          <w:rFonts w:asciiTheme="majorHAnsi" w:hAnsiTheme="majorHAnsi"/>
          <w:sz w:val="20"/>
          <w:szCs w:val="20"/>
        </w:rPr>
        <w:t xml:space="preserve">for having been </w:t>
      </w:r>
      <w:r w:rsidR="006E255A" w:rsidRPr="00A51861">
        <w:rPr>
          <w:rFonts w:asciiTheme="majorHAnsi" w:hAnsiTheme="majorHAnsi"/>
          <w:sz w:val="20"/>
          <w:szCs w:val="20"/>
        </w:rPr>
        <w:t>politica</w:t>
      </w:r>
      <w:r w:rsidR="006E255A">
        <w:rPr>
          <w:rFonts w:asciiTheme="majorHAnsi" w:hAnsiTheme="majorHAnsi"/>
          <w:sz w:val="20"/>
          <w:szCs w:val="20"/>
        </w:rPr>
        <w:t>lly</w:t>
      </w:r>
      <w:r w:rsidR="006E255A" w:rsidRPr="006E255A">
        <w:rPr>
          <w:rFonts w:asciiTheme="majorHAnsi" w:hAnsiTheme="majorHAnsi"/>
          <w:sz w:val="20"/>
          <w:szCs w:val="20"/>
        </w:rPr>
        <w:t xml:space="preserve"> </w:t>
      </w:r>
      <w:r w:rsidR="006E255A" w:rsidRPr="00A51861">
        <w:rPr>
          <w:rFonts w:asciiTheme="majorHAnsi" w:hAnsiTheme="majorHAnsi"/>
          <w:sz w:val="20"/>
          <w:szCs w:val="20"/>
        </w:rPr>
        <w:t>perse</w:t>
      </w:r>
      <w:r w:rsidR="006E255A">
        <w:rPr>
          <w:rFonts w:asciiTheme="majorHAnsi" w:hAnsiTheme="majorHAnsi"/>
          <w:sz w:val="20"/>
          <w:szCs w:val="20"/>
        </w:rPr>
        <w:t>cuted</w:t>
      </w:r>
      <w:r w:rsidR="00964584" w:rsidRPr="00A51861">
        <w:rPr>
          <w:rFonts w:asciiTheme="majorHAnsi" w:hAnsiTheme="majorHAnsi"/>
          <w:sz w:val="20"/>
          <w:szCs w:val="20"/>
        </w:rPr>
        <w:t xml:space="preserve">. </w:t>
      </w:r>
      <w:r w:rsidR="006E255A">
        <w:rPr>
          <w:rFonts w:asciiTheme="majorHAnsi" w:hAnsiTheme="majorHAnsi"/>
          <w:sz w:val="20"/>
          <w:szCs w:val="20"/>
        </w:rPr>
        <w:t>When the expulsion took place</w:t>
      </w:r>
      <w:r w:rsidR="0088168D" w:rsidRPr="00A51861">
        <w:rPr>
          <w:rFonts w:asciiTheme="majorHAnsi" w:hAnsiTheme="majorHAnsi"/>
          <w:sz w:val="20"/>
          <w:szCs w:val="20"/>
        </w:rPr>
        <w:t>,</w:t>
      </w:r>
      <w:r w:rsidR="00964584" w:rsidRPr="00A51861">
        <w:rPr>
          <w:rFonts w:asciiTheme="majorHAnsi" w:hAnsiTheme="majorHAnsi"/>
          <w:sz w:val="20"/>
          <w:szCs w:val="20"/>
        </w:rPr>
        <w:t xml:space="preserve"> </w:t>
      </w:r>
      <w:r w:rsidR="006E255A">
        <w:rPr>
          <w:rFonts w:asciiTheme="majorHAnsi" w:hAnsiTheme="majorHAnsi"/>
          <w:sz w:val="20"/>
          <w:szCs w:val="20"/>
        </w:rPr>
        <w:t>th</w:t>
      </w:r>
      <w:r w:rsidR="005056C0">
        <w:rPr>
          <w:rFonts w:asciiTheme="majorHAnsi" w:hAnsiTheme="majorHAnsi"/>
          <w:sz w:val="20"/>
          <w:szCs w:val="20"/>
        </w:rPr>
        <w:t>e</w:t>
      </w:r>
      <w:r w:rsidR="006E255A">
        <w:rPr>
          <w:rFonts w:asciiTheme="majorHAnsi" w:hAnsiTheme="majorHAnsi"/>
          <w:sz w:val="20"/>
          <w:szCs w:val="20"/>
        </w:rPr>
        <w:t>y attained a</w:t>
      </w:r>
      <w:r w:rsidR="00964584" w:rsidRPr="00A51861">
        <w:rPr>
          <w:rFonts w:asciiTheme="majorHAnsi" w:hAnsiTheme="majorHAnsi"/>
          <w:sz w:val="20"/>
          <w:szCs w:val="20"/>
        </w:rPr>
        <w:t xml:space="preserve"> </w:t>
      </w:r>
      <w:r w:rsidR="006E255A">
        <w:rPr>
          <w:rFonts w:asciiTheme="majorHAnsi" w:hAnsiTheme="majorHAnsi"/>
          <w:sz w:val="20"/>
          <w:szCs w:val="20"/>
        </w:rPr>
        <w:t>safe-conduct pass</w:t>
      </w:r>
      <w:r w:rsidR="00964584" w:rsidRPr="00A51861">
        <w:rPr>
          <w:rFonts w:asciiTheme="majorHAnsi" w:hAnsiTheme="majorHAnsi"/>
          <w:sz w:val="20"/>
          <w:szCs w:val="20"/>
        </w:rPr>
        <w:t xml:space="preserve"> </w:t>
      </w:r>
      <w:r w:rsidR="006E255A">
        <w:rPr>
          <w:rFonts w:asciiTheme="majorHAnsi" w:hAnsiTheme="majorHAnsi"/>
          <w:sz w:val="20"/>
          <w:szCs w:val="20"/>
        </w:rPr>
        <w:t>thanks to the intervention of</w:t>
      </w:r>
      <w:r w:rsidR="008E2F10">
        <w:rPr>
          <w:rFonts w:asciiTheme="majorHAnsi" w:hAnsiTheme="majorHAnsi"/>
          <w:sz w:val="20"/>
          <w:szCs w:val="20"/>
        </w:rPr>
        <w:t xml:space="preserve"> HCUNR</w:t>
      </w:r>
      <w:r w:rsidR="00964584" w:rsidRPr="00A51861">
        <w:rPr>
          <w:rFonts w:asciiTheme="majorHAnsi" w:hAnsiTheme="majorHAnsi"/>
          <w:sz w:val="20"/>
          <w:szCs w:val="20"/>
        </w:rPr>
        <w:t xml:space="preserve"> </w:t>
      </w:r>
      <w:r w:rsidR="006524A1">
        <w:rPr>
          <w:rFonts w:asciiTheme="majorHAnsi" w:hAnsiTheme="majorHAnsi"/>
          <w:sz w:val="20"/>
          <w:szCs w:val="20"/>
        </w:rPr>
        <w:t>which allowed them to leave the country</w:t>
      </w:r>
      <w:r w:rsidR="00964584" w:rsidRPr="00A51861">
        <w:rPr>
          <w:rFonts w:asciiTheme="majorHAnsi" w:hAnsiTheme="majorHAnsi"/>
          <w:sz w:val="20"/>
          <w:szCs w:val="20"/>
        </w:rPr>
        <w:t xml:space="preserve"> </w:t>
      </w:r>
      <w:r w:rsidR="006524A1">
        <w:rPr>
          <w:rFonts w:asciiTheme="majorHAnsi" w:hAnsiTheme="majorHAnsi"/>
          <w:sz w:val="20"/>
          <w:szCs w:val="20"/>
        </w:rPr>
        <w:t>between July 18 and 19,</w:t>
      </w:r>
      <w:r w:rsidR="005056C0">
        <w:rPr>
          <w:rFonts w:asciiTheme="majorHAnsi" w:hAnsiTheme="majorHAnsi"/>
          <w:sz w:val="20"/>
          <w:szCs w:val="20"/>
        </w:rPr>
        <w:t xml:space="preserve"> </w:t>
      </w:r>
      <w:r w:rsidR="00964584" w:rsidRPr="00A51861">
        <w:rPr>
          <w:rFonts w:asciiTheme="majorHAnsi" w:hAnsiTheme="majorHAnsi"/>
          <w:sz w:val="20"/>
          <w:szCs w:val="20"/>
        </w:rPr>
        <w:t>1975</w:t>
      </w:r>
      <w:r w:rsidR="001D1D61">
        <w:rPr>
          <w:rFonts w:asciiTheme="majorHAnsi" w:hAnsiTheme="majorHAnsi"/>
          <w:sz w:val="20"/>
          <w:szCs w:val="20"/>
        </w:rPr>
        <w:t>. Th</w:t>
      </w:r>
      <w:r w:rsidR="006524A1">
        <w:rPr>
          <w:rFonts w:asciiTheme="majorHAnsi" w:hAnsiTheme="majorHAnsi"/>
          <w:sz w:val="20"/>
          <w:szCs w:val="20"/>
        </w:rPr>
        <w:t>ey were hosted by Sweden</w:t>
      </w:r>
      <w:r w:rsidR="00964584" w:rsidRPr="00A51861">
        <w:rPr>
          <w:rFonts w:asciiTheme="majorHAnsi" w:hAnsiTheme="majorHAnsi"/>
          <w:sz w:val="20"/>
          <w:szCs w:val="20"/>
        </w:rPr>
        <w:t xml:space="preserve">, </w:t>
      </w:r>
      <w:r w:rsidR="006524A1">
        <w:rPr>
          <w:rFonts w:asciiTheme="majorHAnsi" w:hAnsiTheme="majorHAnsi"/>
          <w:sz w:val="20"/>
          <w:szCs w:val="20"/>
        </w:rPr>
        <w:t>w</w:t>
      </w:r>
      <w:r w:rsidR="000E378E">
        <w:rPr>
          <w:rFonts w:asciiTheme="majorHAnsi" w:hAnsiTheme="majorHAnsi"/>
          <w:sz w:val="20"/>
          <w:szCs w:val="20"/>
        </w:rPr>
        <w:t>h</w:t>
      </w:r>
      <w:r w:rsidR="006524A1">
        <w:rPr>
          <w:rFonts w:asciiTheme="majorHAnsi" w:hAnsiTheme="majorHAnsi"/>
          <w:sz w:val="20"/>
          <w:szCs w:val="20"/>
        </w:rPr>
        <w:t>ere they were granted the status of political refugees</w:t>
      </w:r>
      <w:r w:rsidR="00964584" w:rsidRPr="00A51861">
        <w:rPr>
          <w:rFonts w:asciiTheme="majorHAnsi" w:hAnsiTheme="majorHAnsi"/>
          <w:sz w:val="20"/>
          <w:szCs w:val="20"/>
        </w:rPr>
        <w:t xml:space="preserve">. </w:t>
      </w:r>
    </w:p>
    <w:p w14:paraId="11489036" w14:textId="77777777" w:rsidR="00964584" w:rsidRPr="00A51861" w:rsidRDefault="00964584" w:rsidP="008E4D3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rPr>
      </w:pPr>
    </w:p>
    <w:p w14:paraId="27D1213D" w14:textId="65AFEEED" w:rsidR="00964584" w:rsidRPr="00A51861" w:rsidRDefault="00864E6F"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On the other hand</w:t>
      </w:r>
      <w:r w:rsidR="0088168D" w:rsidRPr="00A51861">
        <w:rPr>
          <w:rFonts w:asciiTheme="majorHAnsi" w:hAnsiTheme="majorHAnsi"/>
          <w:sz w:val="20"/>
          <w:szCs w:val="20"/>
        </w:rPr>
        <w:t xml:space="preserve">, </w:t>
      </w:r>
      <w:r w:rsidR="00940530">
        <w:rPr>
          <w:rFonts w:asciiTheme="majorHAnsi" w:hAnsiTheme="majorHAnsi"/>
          <w:sz w:val="20"/>
          <w:szCs w:val="20"/>
        </w:rPr>
        <w:t xml:space="preserve">holds that </w:t>
      </w:r>
      <w:r w:rsidR="00964584" w:rsidRPr="00A51861">
        <w:rPr>
          <w:rFonts w:asciiTheme="majorHAnsi" w:hAnsiTheme="majorHAnsi"/>
          <w:sz w:val="20"/>
          <w:szCs w:val="20"/>
        </w:rPr>
        <w:t xml:space="preserve">Nicasio Washington Romero Ubal </w:t>
      </w:r>
      <w:r>
        <w:rPr>
          <w:rFonts w:asciiTheme="majorHAnsi" w:hAnsiTheme="majorHAnsi"/>
          <w:sz w:val="20"/>
          <w:szCs w:val="20"/>
        </w:rPr>
        <w:t>was detained by unknown</w:t>
      </w:r>
      <w:r w:rsidR="00964584" w:rsidRPr="00A51861">
        <w:rPr>
          <w:rFonts w:asciiTheme="majorHAnsi" w:hAnsiTheme="majorHAnsi"/>
          <w:sz w:val="20"/>
          <w:szCs w:val="20"/>
        </w:rPr>
        <w:t xml:space="preserve"> persons </w:t>
      </w:r>
      <w:r>
        <w:rPr>
          <w:rFonts w:asciiTheme="majorHAnsi" w:hAnsiTheme="majorHAnsi"/>
          <w:sz w:val="20"/>
          <w:szCs w:val="20"/>
        </w:rPr>
        <w:t>on September 13,</w:t>
      </w:r>
      <w:r w:rsidR="00E92985">
        <w:rPr>
          <w:rFonts w:asciiTheme="majorHAnsi" w:hAnsiTheme="majorHAnsi"/>
          <w:sz w:val="20"/>
          <w:szCs w:val="20"/>
        </w:rPr>
        <w:t xml:space="preserve"> </w:t>
      </w:r>
      <w:r w:rsidR="00964584" w:rsidRPr="00A51861">
        <w:rPr>
          <w:rFonts w:asciiTheme="majorHAnsi" w:hAnsiTheme="majorHAnsi"/>
          <w:sz w:val="20"/>
          <w:szCs w:val="20"/>
        </w:rPr>
        <w:t xml:space="preserve">1974 </w:t>
      </w:r>
      <w:r>
        <w:rPr>
          <w:rFonts w:asciiTheme="majorHAnsi" w:hAnsiTheme="majorHAnsi"/>
          <w:sz w:val="20"/>
          <w:szCs w:val="20"/>
        </w:rPr>
        <w:t>in</w:t>
      </w:r>
      <w:r w:rsidR="00964584" w:rsidRPr="00A51861">
        <w:rPr>
          <w:rFonts w:asciiTheme="majorHAnsi" w:hAnsiTheme="majorHAnsi"/>
          <w:sz w:val="20"/>
          <w:szCs w:val="20"/>
        </w:rPr>
        <w:t xml:space="preserve"> Buenos Aires,</w:t>
      </w:r>
      <w:r w:rsidR="00E92985">
        <w:rPr>
          <w:rFonts w:asciiTheme="majorHAnsi" w:hAnsiTheme="majorHAnsi"/>
          <w:sz w:val="20"/>
          <w:szCs w:val="20"/>
        </w:rPr>
        <w:t xml:space="preserve"> and </w:t>
      </w:r>
      <w:r>
        <w:rPr>
          <w:rFonts w:asciiTheme="majorHAnsi" w:hAnsiTheme="majorHAnsi"/>
          <w:sz w:val="20"/>
          <w:szCs w:val="20"/>
        </w:rPr>
        <w:t>kept incommunicado for several days along with other</w:t>
      </w:r>
      <w:r w:rsidR="00964584" w:rsidRPr="00A51861">
        <w:rPr>
          <w:rFonts w:asciiTheme="majorHAnsi" w:hAnsiTheme="majorHAnsi"/>
          <w:sz w:val="20"/>
          <w:szCs w:val="20"/>
        </w:rPr>
        <w:t xml:space="preserve"> </w:t>
      </w:r>
      <w:r>
        <w:rPr>
          <w:rFonts w:asciiTheme="majorHAnsi" w:hAnsiTheme="majorHAnsi"/>
          <w:sz w:val="20"/>
          <w:szCs w:val="20"/>
        </w:rPr>
        <w:t>U</w:t>
      </w:r>
      <w:r w:rsidR="00964584" w:rsidRPr="00A51861">
        <w:rPr>
          <w:rFonts w:asciiTheme="majorHAnsi" w:hAnsiTheme="majorHAnsi"/>
          <w:sz w:val="20"/>
          <w:szCs w:val="20"/>
        </w:rPr>
        <w:t>ruguay</w:t>
      </w:r>
      <w:r>
        <w:rPr>
          <w:rFonts w:asciiTheme="majorHAnsi" w:hAnsiTheme="majorHAnsi"/>
          <w:sz w:val="20"/>
          <w:szCs w:val="20"/>
        </w:rPr>
        <w:t>an</w:t>
      </w:r>
      <w:r w:rsidR="00964584" w:rsidRPr="00A51861">
        <w:rPr>
          <w:rFonts w:asciiTheme="majorHAnsi" w:hAnsiTheme="majorHAnsi"/>
          <w:sz w:val="20"/>
          <w:szCs w:val="20"/>
        </w:rPr>
        <w:t xml:space="preserve">s. </w:t>
      </w:r>
      <w:r>
        <w:rPr>
          <w:rFonts w:asciiTheme="majorHAnsi" w:hAnsiTheme="majorHAnsi"/>
          <w:sz w:val="20"/>
          <w:szCs w:val="20"/>
        </w:rPr>
        <w:t>Petitioner holds</w:t>
      </w:r>
      <w:r w:rsidR="00964584" w:rsidRPr="00A51861">
        <w:rPr>
          <w:rFonts w:asciiTheme="majorHAnsi" w:hAnsiTheme="majorHAnsi"/>
          <w:sz w:val="20"/>
          <w:szCs w:val="20"/>
        </w:rPr>
        <w:t xml:space="preserve"> </w:t>
      </w:r>
      <w:r>
        <w:rPr>
          <w:rFonts w:asciiTheme="majorHAnsi" w:hAnsiTheme="majorHAnsi"/>
          <w:sz w:val="20"/>
          <w:szCs w:val="20"/>
        </w:rPr>
        <w:t>that</w:t>
      </w:r>
      <w:r w:rsidR="00964584" w:rsidRPr="00A51861">
        <w:rPr>
          <w:rFonts w:asciiTheme="majorHAnsi" w:hAnsiTheme="majorHAnsi"/>
          <w:sz w:val="20"/>
          <w:szCs w:val="20"/>
        </w:rPr>
        <w:t xml:space="preserve"> </w:t>
      </w:r>
      <w:r w:rsidR="00A51861" w:rsidRPr="00A51861">
        <w:rPr>
          <w:rFonts w:asciiTheme="majorHAnsi" w:hAnsiTheme="majorHAnsi"/>
          <w:sz w:val="20"/>
          <w:szCs w:val="20"/>
        </w:rPr>
        <w:t>the alleged victim</w:t>
      </w:r>
      <w:r w:rsidR="00E92985">
        <w:rPr>
          <w:rFonts w:asciiTheme="majorHAnsi" w:hAnsiTheme="majorHAnsi"/>
          <w:sz w:val="20"/>
          <w:szCs w:val="20"/>
        </w:rPr>
        <w:t xml:space="preserve"> and </w:t>
      </w:r>
      <w:r>
        <w:rPr>
          <w:rFonts w:asciiTheme="majorHAnsi" w:hAnsiTheme="majorHAnsi"/>
          <w:sz w:val="20"/>
          <w:szCs w:val="20"/>
        </w:rPr>
        <w:t>the other prisoners were transferred to different</w:t>
      </w:r>
      <w:r w:rsidR="00964584" w:rsidRPr="00A51861">
        <w:rPr>
          <w:rFonts w:asciiTheme="majorHAnsi" w:hAnsiTheme="majorHAnsi"/>
          <w:sz w:val="20"/>
          <w:szCs w:val="20"/>
        </w:rPr>
        <w:t xml:space="preserve"> </w:t>
      </w:r>
      <w:r>
        <w:rPr>
          <w:rFonts w:asciiTheme="majorHAnsi" w:hAnsiTheme="majorHAnsi"/>
          <w:sz w:val="20"/>
          <w:szCs w:val="20"/>
        </w:rPr>
        <w:t>clandestine centers where they were</w:t>
      </w:r>
      <w:r w:rsidR="00964584" w:rsidRPr="00A51861">
        <w:rPr>
          <w:rFonts w:asciiTheme="majorHAnsi" w:hAnsiTheme="majorHAnsi"/>
          <w:sz w:val="20"/>
          <w:szCs w:val="20"/>
        </w:rPr>
        <w:t xml:space="preserve"> </w:t>
      </w:r>
      <w:r w:rsidR="00964584" w:rsidRPr="00A51861">
        <w:rPr>
          <w:rFonts w:ascii="Cambria" w:hAnsi="Cambria"/>
          <w:color w:val="000000" w:themeColor="text1"/>
          <w:sz w:val="20"/>
          <w:szCs w:val="20"/>
        </w:rPr>
        <w:t>tortur</w:t>
      </w:r>
      <w:r>
        <w:rPr>
          <w:rFonts w:ascii="Cambria" w:hAnsi="Cambria"/>
          <w:color w:val="000000" w:themeColor="text1"/>
          <w:sz w:val="20"/>
          <w:szCs w:val="20"/>
        </w:rPr>
        <w:t>ed</w:t>
      </w:r>
      <w:r w:rsidR="00E92985">
        <w:rPr>
          <w:rFonts w:asciiTheme="majorHAnsi" w:hAnsiTheme="majorHAnsi"/>
          <w:sz w:val="20"/>
          <w:szCs w:val="20"/>
        </w:rPr>
        <w:t xml:space="preserve"> and </w:t>
      </w:r>
      <w:r>
        <w:rPr>
          <w:rFonts w:asciiTheme="majorHAnsi" w:hAnsiTheme="majorHAnsi"/>
          <w:sz w:val="20"/>
          <w:szCs w:val="20"/>
        </w:rPr>
        <w:t>subjected to</w:t>
      </w:r>
      <w:r w:rsidR="00964584" w:rsidRPr="00A51861">
        <w:rPr>
          <w:rFonts w:asciiTheme="majorHAnsi" w:hAnsiTheme="majorHAnsi"/>
          <w:sz w:val="20"/>
          <w:szCs w:val="20"/>
        </w:rPr>
        <w:t xml:space="preserve"> interrogat</w:t>
      </w:r>
      <w:r w:rsidR="00C72B8B">
        <w:rPr>
          <w:rFonts w:asciiTheme="majorHAnsi" w:hAnsiTheme="majorHAnsi"/>
          <w:sz w:val="20"/>
          <w:szCs w:val="20"/>
        </w:rPr>
        <w:t>ions</w:t>
      </w:r>
      <w:r w:rsidR="00964584" w:rsidRPr="00A51861">
        <w:rPr>
          <w:rFonts w:asciiTheme="majorHAnsi" w:hAnsiTheme="majorHAnsi"/>
          <w:sz w:val="20"/>
          <w:szCs w:val="20"/>
        </w:rPr>
        <w:t xml:space="preserve"> </w:t>
      </w:r>
      <w:r w:rsidR="00C72B8B">
        <w:rPr>
          <w:rFonts w:asciiTheme="majorHAnsi" w:hAnsiTheme="majorHAnsi"/>
          <w:sz w:val="20"/>
          <w:szCs w:val="20"/>
        </w:rPr>
        <w:t>on political matters of</w:t>
      </w:r>
      <w:r w:rsidR="00964584" w:rsidRPr="00A51861">
        <w:rPr>
          <w:rFonts w:asciiTheme="majorHAnsi" w:hAnsiTheme="majorHAnsi"/>
          <w:sz w:val="20"/>
          <w:szCs w:val="20"/>
        </w:rPr>
        <w:t xml:space="preserve"> Uruguay, </w:t>
      </w:r>
      <w:r w:rsidR="00C72B8B">
        <w:rPr>
          <w:rFonts w:asciiTheme="majorHAnsi" w:hAnsiTheme="majorHAnsi"/>
          <w:sz w:val="20"/>
          <w:szCs w:val="20"/>
        </w:rPr>
        <w:t>by</w:t>
      </w:r>
      <w:r w:rsidR="00964584" w:rsidRPr="00A51861">
        <w:rPr>
          <w:rFonts w:asciiTheme="majorHAnsi" w:hAnsiTheme="majorHAnsi"/>
          <w:sz w:val="20"/>
          <w:szCs w:val="20"/>
        </w:rPr>
        <w:t xml:space="preserve"> persons </w:t>
      </w:r>
      <w:r w:rsidR="00C72B8B">
        <w:rPr>
          <w:rFonts w:asciiTheme="majorHAnsi" w:hAnsiTheme="majorHAnsi"/>
          <w:sz w:val="20"/>
          <w:szCs w:val="20"/>
        </w:rPr>
        <w:t>with Uruguayan accent</w:t>
      </w:r>
      <w:r w:rsidR="00964584" w:rsidRPr="00A51861">
        <w:rPr>
          <w:rFonts w:asciiTheme="majorHAnsi" w:hAnsiTheme="majorHAnsi"/>
          <w:sz w:val="20"/>
          <w:szCs w:val="20"/>
        </w:rPr>
        <w:t xml:space="preserve">, </w:t>
      </w:r>
      <w:r w:rsidR="00C72B8B">
        <w:rPr>
          <w:rFonts w:asciiTheme="majorHAnsi" w:hAnsiTheme="majorHAnsi"/>
          <w:sz w:val="20"/>
          <w:szCs w:val="20"/>
        </w:rPr>
        <w:t>under the custody</w:t>
      </w:r>
      <w:r w:rsidR="00E92985">
        <w:rPr>
          <w:rFonts w:asciiTheme="majorHAnsi" w:hAnsiTheme="majorHAnsi"/>
          <w:sz w:val="20"/>
          <w:szCs w:val="20"/>
        </w:rPr>
        <w:t xml:space="preserve"> of </w:t>
      </w:r>
      <w:r w:rsidR="00964584" w:rsidRPr="00A51861">
        <w:rPr>
          <w:rFonts w:asciiTheme="majorHAnsi" w:hAnsiTheme="majorHAnsi"/>
          <w:sz w:val="20"/>
          <w:szCs w:val="20"/>
        </w:rPr>
        <w:t>ot</w:t>
      </w:r>
      <w:r w:rsidR="00C72B8B">
        <w:rPr>
          <w:rFonts w:asciiTheme="majorHAnsi" w:hAnsiTheme="majorHAnsi"/>
          <w:sz w:val="20"/>
          <w:szCs w:val="20"/>
        </w:rPr>
        <w:t>her</w:t>
      </w:r>
      <w:r w:rsidR="00964584" w:rsidRPr="00A51861">
        <w:rPr>
          <w:rFonts w:asciiTheme="majorHAnsi" w:hAnsiTheme="majorHAnsi"/>
          <w:sz w:val="20"/>
          <w:szCs w:val="20"/>
        </w:rPr>
        <w:t xml:space="preserve"> individu</w:t>
      </w:r>
      <w:r w:rsidR="00C72B8B">
        <w:rPr>
          <w:rFonts w:asciiTheme="majorHAnsi" w:hAnsiTheme="majorHAnsi"/>
          <w:sz w:val="20"/>
          <w:szCs w:val="20"/>
        </w:rPr>
        <w:t>al</w:t>
      </w:r>
      <w:r w:rsidR="00964584" w:rsidRPr="00A51861">
        <w:rPr>
          <w:rFonts w:asciiTheme="majorHAnsi" w:hAnsiTheme="majorHAnsi"/>
          <w:sz w:val="20"/>
          <w:szCs w:val="20"/>
        </w:rPr>
        <w:t xml:space="preserve">s </w:t>
      </w:r>
      <w:r w:rsidR="00C72B8B">
        <w:rPr>
          <w:rFonts w:asciiTheme="majorHAnsi" w:hAnsiTheme="majorHAnsi"/>
          <w:sz w:val="20"/>
          <w:szCs w:val="20"/>
        </w:rPr>
        <w:t xml:space="preserve">who </w:t>
      </w:r>
      <w:r w:rsidR="0088168D" w:rsidRPr="00A51861">
        <w:rPr>
          <w:rFonts w:asciiTheme="majorHAnsi" w:hAnsiTheme="majorHAnsi"/>
          <w:sz w:val="20"/>
          <w:szCs w:val="20"/>
        </w:rPr>
        <w:t>s</w:t>
      </w:r>
      <w:r w:rsidR="00C72B8B">
        <w:rPr>
          <w:rFonts w:asciiTheme="majorHAnsi" w:hAnsiTheme="majorHAnsi"/>
          <w:sz w:val="20"/>
          <w:szCs w:val="20"/>
        </w:rPr>
        <w:t>eemed Argentine</w:t>
      </w:r>
      <w:r w:rsidR="001D1D61">
        <w:rPr>
          <w:rFonts w:asciiTheme="majorHAnsi" w:hAnsiTheme="majorHAnsi"/>
          <w:sz w:val="20"/>
          <w:szCs w:val="20"/>
        </w:rPr>
        <w:t>. Th</w:t>
      </w:r>
      <w:r w:rsidR="00C72B8B">
        <w:rPr>
          <w:rFonts w:asciiTheme="majorHAnsi" w:hAnsiTheme="majorHAnsi"/>
          <w:sz w:val="20"/>
          <w:szCs w:val="20"/>
        </w:rPr>
        <w:t>e petitioner refers</w:t>
      </w:r>
      <w:r w:rsidR="00E92985">
        <w:rPr>
          <w:rFonts w:asciiTheme="majorHAnsi" w:hAnsiTheme="majorHAnsi"/>
          <w:sz w:val="20"/>
          <w:szCs w:val="20"/>
        </w:rPr>
        <w:t xml:space="preserve"> that </w:t>
      </w:r>
      <w:r w:rsidR="00C72B8B">
        <w:rPr>
          <w:rFonts w:asciiTheme="majorHAnsi" w:hAnsiTheme="majorHAnsi"/>
          <w:sz w:val="20"/>
          <w:szCs w:val="20"/>
        </w:rPr>
        <w:t>on October 16,</w:t>
      </w:r>
      <w:r w:rsidR="00E92985">
        <w:rPr>
          <w:rFonts w:asciiTheme="majorHAnsi" w:hAnsiTheme="majorHAnsi"/>
          <w:sz w:val="20"/>
          <w:szCs w:val="20"/>
        </w:rPr>
        <w:t xml:space="preserve"> </w:t>
      </w:r>
      <w:r w:rsidR="00964584" w:rsidRPr="00A51861">
        <w:rPr>
          <w:rFonts w:asciiTheme="majorHAnsi" w:hAnsiTheme="majorHAnsi"/>
          <w:sz w:val="20"/>
          <w:szCs w:val="20"/>
        </w:rPr>
        <w:t xml:space="preserve">1974, </w:t>
      </w:r>
      <w:r w:rsidR="00A51861" w:rsidRPr="00A51861">
        <w:rPr>
          <w:rFonts w:asciiTheme="majorHAnsi" w:hAnsiTheme="majorHAnsi"/>
          <w:sz w:val="20"/>
          <w:szCs w:val="20"/>
        </w:rPr>
        <w:t>the alleged victim</w:t>
      </w:r>
      <w:r w:rsidR="00964584" w:rsidRPr="00A51861">
        <w:rPr>
          <w:rFonts w:asciiTheme="majorHAnsi" w:hAnsiTheme="majorHAnsi"/>
          <w:sz w:val="20"/>
          <w:szCs w:val="20"/>
        </w:rPr>
        <w:t xml:space="preserve"> </w:t>
      </w:r>
      <w:r w:rsidR="00C72B8B">
        <w:rPr>
          <w:rFonts w:asciiTheme="majorHAnsi" w:hAnsiTheme="majorHAnsi"/>
          <w:sz w:val="20"/>
          <w:szCs w:val="20"/>
        </w:rPr>
        <w:t>was released near his home</w:t>
      </w:r>
      <w:r w:rsidR="001D1D61">
        <w:rPr>
          <w:rFonts w:asciiTheme="majorHAnsi" w:hAnsiTheme="majorHAnsi"/>
          <w:sz w:val="20"/>
          <w:szCs w:val="20"/>
        </w:rPr>
        <w:t>. Th</w:t>
      </w:r>
      <w:r w:rsidR="00C72B8B">
        <w:rPr>
          <w:rFonts w:asciiTheme="majorHAnsi" w:hAnsiTheme="majorHAnsi"/>
          <w:sz w:val="20"/>
          <w:szCs w:val="20"/>
        </w:rPr>
        <w:t>at same day</w:t>
      </w:r>
      <w:r w:rsidR="00964584" w:rsidRPr="00A51861">
        <w:rPr>
          <w:rFonts w:asciiTheme="majorHAnsi" w:hAnsiTheme="majorHAnsi"/>
          <w:sz w:val="20"/>
          <w:szCs w:val="20"/>
        </w:rPr>
        <w:t xml:space="preserve">, </w:t>
      </w:r>
      <w:r w:rsidR="00C72B8B">
        <w:rPr>
          <w:rFonts w:asciiTheme="majorHAnsi" w:hAnsiTheme="majorHAnsi"/>
          <w:sz w:val="20"/>
          <w:szCs w:val="20"/>
        </w:rPr>
        <w:t>under the</w:t>
      </w:r>
      <w:r w:rsidR="00964584" w:rsidRPr="00A51861">
        <w:rPr>
          <w:rFonts w:asciiTheme="majorHAnsi" w:hAnsiTheme="majorHAnsi"/>
          <w:sz w:val="20"/>
          <w:szCs w:val="20"/>
        </w:rPr>
        <w:t xml:space="preserve"> </w:t>
      </w:r>
      <w:r w:rsidR="00C72B8B" w:rsidRPr="00A51861">
        <w:rPr>
          <w:rFonts w:asciiTheme="majorHAnsi" w:hAnsiTheme="majorHAnsi"/>
          <w:sz w:val="20"/>
          <w:szCs w:val="20"/>
        </w:rPr>
        <w:t>protection</w:t>
      </w:r>
      <w:r w:rsidR="00964584" w:rsidRPr="00A51861">
        <w:rPr>
          <w:rFonts w:asciiTheme="majorHAnsi" w:hAnsiTheme="majorHAnsi"/>
          <w:sz w:val="20"/>
          <w:szCs w:val="20"/>
        </w:rPr>
        <w:t xml:space="preserve"> </w:t>
      </w:r>
      <w:r w:rsidR="00C72B8B">
        <w:rPr>
          <w:rFonts w:asciiTheme="majorHAnsi" w:hAnsiTheme="majorHAnsi"/>
          <w:sz w:val="20"/>
          <w:szCs w:val="20"/>
        </w:rPr>
        <w:t>of</w:t>
      </w:r>
      <w:r w:rsidR="008E2F10">
        <w:rPr>
          <w:rFonts w:asciiTheme="majorHAnsi" w:hAnsiTheme="majorHAnsi"/>
          <w:sz w:val="20"/>
          <w:szCs w:val="20"/>
        </w:rPr>
        <w:t xml:space="preserve"> HCUNR</w:t>
      </w:r>
      <w:r w:rsidR="00964584" w:rsidRPr="00A51861">
        <w:rPr>
          <w:rFonts w:asciiTheme="majorHAnsi" w:hAnsiTheme="majorHAnsi"/>
          <w:sz w:val="20"/>
          <w:szCs w:val="20"/>
        </w:rPr>
        <w:t xml:space="preserve">, </w:t>
      </w:r>
      <w:r w:rsidR="00C72B8B">
        <w:rPr>
          <w:rFonts w:asciiTheme="majorHAnsi" w:hAnsiTheme="majorHAnsi"/>
          <w:sz w:val="20"/>
          <w:szCs w:val="20"/>
        </w:rPr>
        <w:t>he got to leave the country an</w:t>
      </w:r>
      <w:r w:rsidR="00E92985">
        <w:rPr>
          <w:rFonts w:asciiTheme="majorHAnsi" w:hAnsiTheme="majorHAnsi"/>
          <w:sz w:val="20"/>
          <w:szCs w:val="20"/>
        </w:rPr>
        <w:t xml:space="preserve">d </w:t>
      </w:r>
      <w:r w:rsidR="00C72B8B">
        <w:rPr>
          <w:rFonts w:asciiTheme="majorHAnsi" w:hAnsiTheme="majorHAnsi"/>
          <w:sz w:val="20"/>
          <w:szCs w:val="20"/>
        </w:rPr>
        <w:t>obtain the status of political refugee in Sweden</w:t>
      </w:r>
      <w:r w:rsidR="00964584" w:rsidRPr="00A51861">
        <w:rPr>
          <w:rFonts w:asciiTheme="majorHAnsi" w:hAnsiTheme="majorHAnsi"/>
          <w:sz w:val="20"/>
          <w:szCs w:val="20"/>
        </w:rPr>
        <w:t xml:space="preserve">. </w:t>
      </w:r>
    </w:p>
    <w:p w14:paraId="1CF4EECA" w14:textId="77777777" w:rsidR="00964584" w:rsidRPr="00A51861" w:rsidRDefault="00964584" w:rsidP="008E4D36">
      <w:pPr>
        <w:pStyle w:val="ListParagraph"/>
        <w:rPr>
          <w:rFonts w:asciiTheme="majorHAnsi" w:hAnsiTheme="majorHAnsi"/>
          <w:sz w:val="20"/>
          <w:szCs w:val="20"/>
        </w:rPr>
      </w:pPr>
    </w:p>
    <w:p w14:paraId="7B7975C0" w14:textId="3772DC39" w:rsidR="00964584" w:rsidRPr="00A51861" w:rsidRDefault="00C72B8B"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Petitioner claims that</w:t>
      </w:r>
      <w:r w:rsidR="00964584" w:rsidRPr="00A51861">
        <w:rPr>
          <w:rFonts w:asciiTheme="majorHAnsi" w:hAnsiTheme="majorHAnsi"/>
          <w:sz w:val="20"/>
          <w:szCs w:val="20"/>
        </w:rPr>
        <w:t xml:space="preserve"> </w:t>
      </w:r>
      <w:r w:rsidR="002835FC" w:rsidRPr="00A51861">
        <w:rPr>
          <w:rFonts w:asciiTheme="majorHAnsi" w:hAnsiTheme="majorHAnsi"/>
          <w:sz w:val="20"/>
          <w:szCs w:val="20"/>
        </w:rPr>
        <w:t xml:space="preserve">the alleged victims </w:t>
      </w:r>
      <w:r>
        <w:rPr>
          <w:rFonts w:asciiTheme="majorHAnsi" w:hAnsiTheme="majorHAnsi"/>
          <w:sz w:val="20"/>
          <w:szCs w:val="20"/>
        </w:rPr>
        <w:t>initiated domestic proceedings before the</w:t>
      </w:r>
      <w:r w:rsidR="00964584" w:rsidRPr="00A51861">
        <w:rPr>
          <w:rFonts w:asciiTheme="majorHAnsi" w:hAnsiTheme="majorHAnsi"/>
          <w:sz w:val="20"/>
          <w:szCs w:val="20"/>
        </w:rPr>
        <w:t xml:space="preserve"> </w:t>
      </w:r>
      <w:r w:rsidR="004078DB">
        <w:rPr>
          <w:rFonts w:asciiTheme="majorHAnsi" w:hAnsiTheme="majorHAnsi"/>
          <w:sz w:val="20"/>
          <w:szCs w:val="20"/>
        </w:rPr>
        <w:t>Ministry of Justice</w:t>
      </w:r>
      <w:r w:rsidR="004B400F">
        <w:rPr>
          <w:rFonts w:asciiTheme="majorHAnsi" w:hAnsiTheme="majorHAnsi"/>
          <w:sz w:val="20"/>
          <w:szCs w:val="20"/>
        </w:rPr>
        <w:t xml:space="preserve"> and Human Rights </w:t>
      </w:r>
      <w:r w:rsidR="00E92985">
        <w:rPr>
          <w:rFonts w:asciiTheme="majorHAnsi" w:hAnsiTheme="majorHAnsi"/>
          <w:sz w:val="20"/>
          <w:szCs w:val="20"/>
        </w:rPr>
        <w:t xml:space="preserve">of the </w:t>
      </w:r>
      <w:r w:rsidR="00964584" w:rsidRPr="00A51861">
        <w:rPr>
          <w:rFonts w:asciiTheme="majorHAnsi" w:hAnsiTheme="majorHAnsi"/>
          <w:sz w:val="20"/>
          <w:szCs w:val="20"/>
        </w:rPr>
        <w:t>Na</w:t>
      </w:r>
      <w:r>
        <w:rPr>
          <w:rFonts w:asciiTheme="majorHAnsi" w:hAnsiTheme="majorHAnsi"/>
          <w:sz w:val="20"/>
          <w:szCs w:val="20"/>
        </w:rPr>
        <w:t>tio</w:t>
      </w:r>
      <w:r w:rsidR="00964584" w:rsidRPr="00A51861">
        <w:rPr>
          <w:rFonts w:asciiTheme="majorHAnsi" w:hAnsiTheme="majorHAnsi"/>
          <w:sz w:val="20"/>
          <w:szCs w:val="20"/>
        </w:rPr>
        <w:t xml:space="preserve">n, </w:t>
      </w:r>
      <w:r>
        <w:rPr>
          <w:rFonts w:asciiTheme="majorHAnsi" w:hAnsiTheme="majorHAnsi"/>
          <w:sz w:val="20"/>
          <w:szCs w:val="20"/>
        </w:rPr>
        <w:t>to</w:t>
      </w:r>
      <w:r w:rsidR="00964584" w:rsidRPr="00A51861">
        <w:rPr>
          <w:rFonts w:asciiTheme="majorHAnsi" w:hAnsiTheme="majorHAnsi"/>
          <w:sz w:val="20"/>
          <w:szCs w:val="20"/>
        </w:rPr>
        <w:t xml:space="preserve"> obt</w:t>
      </w:r>
      <w:r>
        <w:rPr>
          <w:rFonts w:asciiTheme="majorHAnsi" w:hAnsiTheme="majorHAnsi"/>
          <w:sz w:val="20"/>
          <w:szCs w:val="20"/>
        </w:rPr>
        <w:t>ain a</w:t>
      </w:r>
      <w:r w:rsidR="00964584" w:rsidRPr="00A51861">
        <w:rPr>
          <w:rFonts w:asciiTheme="majorHAnsi" w:hAnsiTheme="majorHAnsi"/>
          <w:sz w:val="20"/>
          <w:szCs w:val="20"/>
        </w:rPr>
        <w:t xml:space="preserve"> </w:t>
      </w:r>
      <w:r>
        <w:rPr>
          <w:rFonts w:asciiTheme="majorHAnsi" w:hAnsiTheme="majorHAnsi"/>
          <w:sz w:val="20"/>
          <w:szCs w:val="20"/>
        </w:rPr>
        <w:t>compensation</w:t>
      </w:r>
      <w:r w:rsidR="00964584" w:rsidRPr="00A51861">
        <w:rPr>
          <w:rFonts w:asciiTheme="majorHAnsi" w:hAnsiTheme="majorHAnsi"/>
          <w:sz w:val="20"/>
          <w:szCs w:val="20"/>
        </w:rPr>
        <w:t xml:space="preserve"> </w:t>
      </w:r>
      <w:r>
        <w:rPr>
          <w:rFonts w:asciiTheme="majorHAnsi" w:hAnsiTheme="majorHAnsi"/>
          <w:sz w:val="20"/>
          <w:szCs w:val="20"/>
        </w:rPr>
        <w:t>f</w:t>
      </w:r>
      <w:r w:rsidR="00964584" w:rsidRPr="00A51861">
        <w:rPr>
          <w:rFonts w:asciiTheme="majorHAnsi" w:hAnsiTheme="majorHAnsi"/>
          <w:sz w:val="20"/>
          <w:szCs w:val="20"/>
        </w:rPr>
        <w:t xml:space="preserve">or </w:t>
      </w:r>
      <w:r>
        <w:rPr>
          <w:rFonts w:asciiTheme="majorHAnsi" w:hAnsiTheme="majorHAnsi"/>
          <w:sz w:val="20"/>
          <w:szCs w:val="20"/>
        </w:rPr>
        <w:t>the</w:t>
      </w:r>
      <w:r w:rsidR="00964584" w:rsidRPr="00A51861">
        <w:rPr>
          <w:rFonts w:asciiTheme="majorHAnsi" w:hAnsiTheme="majorHAnsi"/>
          <w:sz w:val="20"/>
          <w:szCs w:val="20"/>
        </w:rPr>
        <w:t xml:space="preserve"> </w:t>
      </w:r>
      <w:r>
        <w:rPr>
          <w:rFonts w:asciiTheme="majorHAnsi" w:hAnsiTheme="majorHAnsi"/>
          <w:sz w:val="20"/>
          <w:szCs w:val="20"/>
        </w:rPr>
        <w:t>facts occurred</w:t>
      </w:r>
      <w:r w:rsidR="00964584" w:rsidRPr="00A51861">
        <w:rPr>
          <w:rFonts w:asciiTheme="majorHAnsi" w:hAnsiTheme="majorHAnsi"/>
          <w:sz w:val="20"/>
          <w:szCs w:val="20"/>
        </w:rPr>
        <w:t xml:space="preserve">, </w:t>
      </w:r>
      <w:r>
        <w:rPr>
          <w:rFonts w:asciiTheme="majorHAnsi" w:hAnsiTheme="majorHAnsi"/>
          <w:sz w:val="20"/>
          <w:szCs w:val="20"/>
        </w:rPr>
        <w:t>under the set forth by</w:t>
      </w:r>
      <w:r w:rsidR="00964584" w:rsidRPr="00A51861">
        <w:rPr>
          <w:rFonts w:asciiTheme="majorHAnsi" w:hAnsiTheme="majorHAnsi"/>
          <w:sz w:val="20"/>
          <w:szCs w:val="20"/>
        </w:rPr>
        <w:t xml:space="preserve"> </w:t>
      </w:r>
      <w:r w:rsidR="002835FC" w:rsidRPr="00A51861">
        <w:rPr>
          <w:rFonts w:asciiTheme="majorHAnsi" w:hAnsiTheme="majorHAnsi"/>
          <w:sz w:val="20"/>
          <w:szCs w:val="20"/>
        </w:rPr>
        <w:t xml:space="preserve">Law </w:t>
      </w:r>
      <w:r w:rsidR="00964584" w:rsidRPr="00A51861">
        <w:rPr>
          <w:rFonts w:asciiTheme="majorHAnsi" w:hAnsiTheme="majorHAnsi"/>
          <w:sz w:val="20"/>
          <w:szCs w:val="20"/>
        </w:rPr>
        <w:t xml:space="preserve">24.043, </w:t>
      </w:r>
      <w:r>
        <w:rPr>
          <w:rFonts w:asciiTheme="majorHAnsi" w:hAnsiTheme="majorHAnsi"/>
          <w:sz w:val="20"/>
          <w:szCs w:val="20"/>
        </w:rPr>
        <w:t>which grants benefits to</w:t>
      </w:r>
      <w:r w:rsidR="00964584" w:rsidRPr="00A51861">
        <w:rPr>
          <w:rFonts w:asciiTheme="majorHAnsi" w:hAnsiTheme="majorHAnsi"/>
          <w:sz w:val="20"/>
          <w:szCs w:val="20"/>
        </w:rPr>
        <w:t xml:space="preserve"> persons </w:t>
      </w:r>
      <w:r>
        <w:rPr>
          <w:rFonts w:asciiTheme="majorHAnsi" w:hAnsiTheme="majorHAnsi"/>
          <w:sz w:val="20"/>
          <w:szCs w:val="20"/>
        </w:rPr>
        <w:t>who were submitted to the</w:t>
      </w:r>
      <w:r w:rsidR="00964584" w:rsidRPr="00A51861">
        <w:rPr>
          <w:rFonts w:asciiTheme="majorHAnsi" w:hAnsiTheme="majorHAnsi"/>
          <w:sz w:val="20"/>
          <w:szCs w:val="20"/>
        </w:rPr>
        <w:t xml:space="preserve"> Na</w:t>
      </w:r>
      <w:r>
        <w:rPr>
          <w:rFonts w:asciiTheme="majorHAnsi" w:hAnsiTheme="majorHAnsi"/>
          <w:sz w:val="20"/>
          <w:szCs w:val="20"/>
        </w:rPr>
        <w:t>t</w:t>
      </w:r>
      <w:r w:rsidR="00964584" w:rsidRPr="00A51861">
        <w:rPr>
          <w:rFonts w:asciiTheme="majorHAnsi" w:hAnsiTheme="majorHAnsi"/>
          <w:sz w:val="20"/>
          <w:szCs w:val="20"/>
        </w:rPr>
        <w:t xml:space="preserve">ional </w:t>
      </w:r>
      <w:r w:rsidRPr="00A51861">
        <w:rPr>
          <w:rFonts w:asciiTheme="majorHAnsi" w:hAnsiTheme="majorHAnsi"/>
          <w:sz w:val="20"/>
          <w:szCs w:val="20"/>
        </w:rPr>
        <w:t>E</w:t>
      </w:r>
      <w:r>
        <w:rPr>
          <w:rFonts w:asciiTheme="majorHAnsi" w:hAnsiTheme="majorHAnsi"/>
          <w:sz w:val="20"/>
          <w:szCs w:val="20"/>
        </w:rPr>
        <w:t>xecutive</w:t>
      </w:r>
      <w:r w:rsidRPr="00A51861">
        <w:rPr>
          <w:rFonts w:asciiTheme="majorHAnsi" w:hAnsiTheme="majorHAnsi"/>
          <w:sz w:val="20"/>
          <w:szCs w:val="20"/>
        </w:rPr>
        <w:t xml:space="preserve"> Po</w:t>
      </w:r>
      <w:r>
        <w:rPr>
          <w:rFonts w:asciiTheme="majorHAnsi" w:hAnsiTheme="majorHAnsi"/>
          <w:sz w:val="20"/>
          <w:szCs w:val="20"/>
        </w:rPr>
        <w:t>w</w:t>
      </w:r>
      <w:r w:rsidRPr="00A51861">
        <w:rPr>
          <w:rFonts w:asciiTheme="majorHAnsi" w:hAnsiTheme="majorHAnsi"/>
          <w:sz w:val="20"/>
          <w:szCs w:val="20"/>
        </w:rPr>
        <w:t xml:space="preserve">er </w:t>
      </w:r>
      <w:r w:rsidR="00964584" w:rsidRPr="00A51861">
        <w:rPr>
          <w:rFonts w:asciiTheme="majorHAnsi" w:hAnsiTheme="majorHAnsi"/>
          <w:sz w:val="20"/>
          <w:szCs w:val="20"/>
        </w:rPr>
        <w:t>(</w:t>
      </w:r>
      <w:r w:rsidR="00F92BA8">
        <w:rPr>
          <w:rFonts w:asciiTheme="majorHAnsi" w:hAnsiTheme="majorHAnsi"/>
          <w:sz w:val="20"/>
          <w:szCs w:val="20"/>
        </w:rPr>
        <w:t>hereinafter</w:t>
      </w:r>
      <w:r w:rsidR="00964584" w:rsidRPr="00A51861">
        <w:rPr>
          <w:rFonts w:asciiTheme="majorHAnsi" w:hAnsiTheme="majorHAnsi"/>
          <w:sz w:val="20"/>
          <w:szCs w:val="20"/>
        </w:rPr>
        <w:t xml:space="preserve"> “P.E.N.”) </w:t>
      </w:r>
      <w:r>
        <w:rPr>
          <w:rFonts w:asciiTheme="majorHAnsi" w:hAnsiTheme="majorHAnsi"/>
          <w:sz w:val="20"/>
          <w:szCs w:val="20"/>
        </w:rPr>
        <w:t>during the validity of the</w:t>
      </w:r>
      <w:r w:rsidR="0076580C">
        <w:rPr>
          <w:rFonts w:asciiTheme="majorHAnsi" w:hAnsiTheme="majorHAnsi"/>
          <w:sz w:val="20"/>
          <w:szCs w:val="20"/>
        </w:rPr>
        <w:t xml:space="preserve"> </w:t>
      </w:r>
      <w:r w:rsidR="001A0B84">
        <w:rPr>
          <w:rFonts w:asciiTheme="majorHAnsi" w:hAnsiTheme="majorHAnsi"/>
          <w:sz w:val="20"/>
          <w:szCs w:val="20"/>
        </w:rPr>
        <w:t>State of Siege</w:t>
      </w:r>
      <w:r w:rsidR="0076580C">
        <w:rPr>
          <w:rFonts w:asciiTheme="majorHAnsi" w:hAnsiTheme="majorHAnsi"/>
          <w:sz w:val="20"/>
          <w:szCs w:val="20"/>
        </w:rPr>
        <w:t xml:space="preserve"> </w:t>
      </w:r>
      <w:r>
        <w:rPr>
          <w:rFonts w:asciiTheme="majorHAnsi" w:hAnsiTheme="majorHAnsi"/>
          <w:sz w:val="20"/>
          <w:szCs w:val="20"/>
        </w:rPr>
        <w:t>decreed on November 6,</w:t>
      </w:r>
      <w:r w:rsidR="00E92985">
        <w:rPr>
          <w:rFonts w:asciiTheme="majorHAnsi" w:hAnsiTheme="majorHAnsi"/>
          <w:sz w:val="20"/>
          <w:szCs w:val="20"/>
        </w:rPr>
        <w:t xml:space="preserve"> </w:t>
      </w:r>
      <w:r w:rsidR="00964584" w:rsidRPr="00A51861">
        <w:rPr>
          <w:rFonts w:asciiTheme="majorHAnsi" w:hAnsiTheme="majorHAnsi"/>
          <w:sz w:val="20"/>
          <w:szCs w:val="20"/>
        </w:rPr>
        <w:t>1974</w:t>
      </w:r>
      <w:r w:rsidR="001D1D61">
        <w:rPr>
          <w:rFonts w:asciiTheme="majorHAnsi" w:hAnsiTheme="majorHAnsi"/>
          <w:sz w:val="20"/>
          <w:szCs w:val="20"/>
        </w:rPr>
        <w:t>. Th</w:t>
      </w:r>
      <w:r>
        <w:rPr>
          <w:rFonts w:asciiTheme="majorHAnsi" w:hAnsiTheme="majorHAnsi"/>
          <w:sz w:val="20"/>
          <w:szCs w:val="20"/>
        </w:rPr>
        <w:t>e requests were rejected on the three cases</w:t>
      </w:r>
      <w:r w:rsidR="00964584" w:rsidRPr="00A51861">
        <w:rPr>
          <w:rFonts w:asciiTheme="majorHAnsi" w:hAnsiTheme="majorHAnsi"/>
          <w:sz w:val="20"/>
          <w:szCs w:val="20"/>
        </w:rPr>
        <w:t xml:space="preserve">, </w:t>
      </w:r>
      <w:r w:rsidR="00E92985">
        <w:rPr>
          <w:rFonts w:asciiTheme="majorHAnsi" w:hAnsiTheme="majorHAnsi"/>
          <w:sz w:val="20"/>
          <w:szCs w:val="20"/>
        </w:rPr>
        <w:t>decisions</w:t>
      </w:r>
      <w:r w:rsidRPr="00C72B8B">
        <w:rPr>
          <w:rFonts w:asciiTheme="majorHAnsi" w:hAnsiTheme="majorHAnsi"/>
          <w:sz w:val="20"/>
          <w:szCs w:val="20"/>
        </w:rPr>
        <w:t xml:space="preserve"> </w:t>
      </w:r>
      <w:r w:rsidRPr="00A51861">
        <w:rPr>
          <w:rFonts w:asciiTheme="majorHAnsi" w:hAnsiTheme="majorHAnsi"/>
          <w:sz w:val="20"/>
          <w:szCs w:val="20"/>
        </w:rPr>
        <w:t>motiva</w:t>
      </w:r>
      <w:r>
        <w:rPr>
          <w:rFonts w:asciiTheme="majorHAnsi" w:hAnsiTheme="majorHAnsi"/>
          <w:sz w:val="20"/>
          <w:szCs w:val="20"/>
        </w:rPr>
        <w:t>ted in the fact that the detentions had taken place</w:t>
      </w:r>
      <w:r w:rsidR="00964584" w:rsidRPr="00A51861">
        <w:rPr>
          <w:rFonts w:asciiTheme="majorHAnsi" w:hAnsiTheme="majorHAnsi"/>
          <w:sz w:val="20"/>
          <w:szCs w:val="20"/>
        </w:rPr>
        <w:t xml:space="preserve"> </w:t>
      </w:r>
      <w:r>
        <w:rPr>
          <w:rFonts w:ascii="Cambria" w:hAnsi="Cambria"/>
          <w:color w:val="000000" w:themeColor="text1"/>
          <w:sz w:val="20"/>
          <w:szCs w:val="20"/>
        </w:rPr>
        <w:t>beyond the timeframe of the</w:t>
      </w:r>
      <w:r w:rsidR="00E92985">
        <w:rPr>
          <w:rFonts w:asciiTheme="majorHAnsi" w:hAnsiTheme="majorHAnsi"/>
          <w:sz w:val="20"/>
          <w:szCs w:val="20"/>
        </w:rPr>
        <w:t xml:space="preserve"> </w:t>
      </w:r>
      <w:r w:rsidR="0029564F">
        <w:rPr>
          <w:rFonts w:asciiTheme="majorHAnsi" w:hAnsiTheme="majorHAnsi"/>
          <w:sz w:val="20"/>
          <w:szCs w:val="20"/>
        </w:rPr>
        <w:t>Law</w:t>
      </w:r>
      <w:r w:rsidR="00964584" w:rsidRPr="00A51861">
        <w:rPr>
          <w:rFonts w:asciiTheme="majorHAnsi" w:hAnsiTheme="majorHAnsi"/>
          <w:sz w:val="20"/>
          <w:szCs w:val="20"/>
        </w:rPr>
        <w:t xml:space="preserve">, </w:t>
      </w:r>
      <w:r w:rsidR="00F92BA8">
        <w:rPr>
          <w:rFonts w:asciiTheme="majorHAnsi" w:hAnsiTheme="majorHAnsi"/>
          <w:sz w:val="20"/>
          <w:szCs w:val="20"/>
        </w:rPr>
        <w:t xml:space="preserve">since </w:t>
      </w:r>
      <w:r>
        <w:rPr>
          <w:rFonts w:asciiTheme="majorHAnsi" w:hAnsiTheme="majorHAnsi"/>
          <w:sz w:val="20"/>
          <w:szCs w:val="20"/>
        </w:rPr>
        <w:t>they happened before the</w:t>
      </w:r>
      <w:r w:rsidR="00E92985">
        <w:rPr>
          <w:rFonts w:asciiTheme="majorHAnsi" w:hAnsiTheme="majorHAnsi"/>
          <w:sz w:val="20"/>
          <w:szCs w:val="20"/>
        </w:rPr>
        <w:t xml:space="preserve"> </w:t>
      </w:r>
      <w:r w:rsidR="00964584" w:rsidRPr="00A51861">
        <w:rPr>
          <w:rFonts w:asciiTheme="majorHAnsi" w:hAnsiTheme="majorHAnsi"/>
          <w:sz w:val="20"/>
          <w:szCs w:val="20"/>
        </w:rPr>
        <w:t>declara</w:t>
      </w:r>
      <w:r>
        <w:rPr>
          <w:rFonts w:asciiTheme="majorHAnsi" w:hAnsiTheme="majorHAnsi"/>
          <w:sz w:val="20"/>
          <w:szCs w:val="20"/>
        </w:rPr>
        <w:t>tion</w:t>
      </w:r>
      <w:r w:rsidR="00E92985">
        <w:rPr>
          <w:rFonts w:asciiTheme="majorHAnsi" w:hAnsiTheme="majorHAnsi"/>
          <w:sz w:val="20"/>
          <w:szCs w:val="20"/>
        </w:rPr>
        <w:t xml:space="preserve"> of</w:t>
      </w:r>
      <w:r w:rsidR="0076580C">
        <w:rPr>
          <w:rFonts w:asciiTheme="majorHAnsi" w:hAnsiTheme="majorHAnsi"/>
          <w:sz w:val="20"/>
          <w:szCs w:val="20"/>
        </w:rPr>
        <w:t xml:space="preserve"> </w:t>
      </w:r>
      <w:r w:rsidR="001A0B84">
        <w:rPr>
          <w:rFonts w:asciiTheme="majorHAnsi" w:hAnsiTheme="majorHAnsi"/>
          <w:sz w:val="20"/>
          <w:szCs w:val="20"/>
        </w:rPr>
        <w:t>State of Siege</w:t>
      </w:r>
      <w:r w:rsidR="00E92985">
        <w:rPr>
          <w:rFonts w:asciiTheme="majorHAnsi" w:hAnsiTheme="majorHAnsi"/>
          <w:sz w:val="20"/>
          <w:szCs w:val="20"/>
        </w:rPr>
        <w:t xml:space="preserve"> and </w:t>
      </w:r>
      <w:r w:rsidR="000A3625">
        <w:rPr>
          <w:rFonts w:asciiTheme="majorHAnsi" w:hAnsiTheme="majorHAnsi"/>
          <w:sz w:val="20"/>
          <w:szCs w:val="20"/>
        </w:rPr>
        <w:t>did not fit in the provisions of the referred</w:t>
      </w:r>
      <w:r w:rsidR="001523BA" w:rsidRPr="00A51861">
        <w:rPr>
          <w:rFonts w:asciiTheme="majorHAnsi" w:hAnsiTheme="majorHAnsi"/>
          <w:sz w:val="20"/>
          <w:szCs w:val="20"/>
        </w:rPr>
        <w:t xml:space="preserve"> </w:t>
      </w:r>
      <w:r w:rsidR="0029564F">
        <w:rPr>
          <w:rFonts w:asciiTheme="majorHAnsi" w:hAnsiTheme="majorHAnsi"/>
          <w:sz w:val="20"/>
          <w:szCs w:val="20"/>
        </w:rPr>
        <w:t>law</w:t>
      </w:r>
      <w:r w:rsidR="001523BA" w:rsidRPr="00A51861">
        <w:rPr>
          <w:rFonts w:asciiTheme="majorHAnsi" w:hAnsiTheme="majorHAnsi"/>
          <w:sz w:val="20"/>
          <w:szCs w:val="20"/>
        </w:rPr>
        <w:t xml:space="preserve">. </w:t>
      </w:r>
      <w:r w:rsidR="006E255A">
        <w:rPr>
          <w:rFonts w:asciiTheme="majorHAnsi" w:hAnsiTheme="majorHAnsi"/>
          <w:sz w:val="20"/>
          <w:szCs w:val="20"/>
        </w:rPr>
        <w:t xml:space="preserve">Against </w:t>
      </w:r>
      <w:r w:rsidR="000A3625">
        <w:rPr>
          <w:rFonts w:asciiTheme="majorHAnsi" w:hAnsiTheme="majorHAnsi"/>
          <w:sz w:val="20"/>
          <w:szCs w:val="20"/>
        </w:rPr>
        <w:t>said</w:t>
      </w:r>
      <w:r w:rsidR="001523BA" w:rsidRPr="00A51861">
        <w:rPr>
          <w:rFonts w:asciiTheme="majorHAnsi" w:hAnsiTheme="majorHAnsi"/>
          <w:sz w:val="20"/>
          <w:szCs w:val="20"/>
        </w:rPr>
        <w:t xml:space="preserve"> </w:t>
      </w:r>
      <w:r w:rsidR="00E92985">
        <w:rPr>
          <w:rFonts w:asciiTheme="majorHAnsi" w:hAnsiTheme="majorHAnsi"/>
          <w:sz w:val="20"/>
          <w:szCs w:val="20"/>
        </w:rPr>
        <w:t>decisions</w:t>
      </w:r>
      <w:r w:rsidR="005056C0">
        <w:rPr>
          <w:rFonts w:asciiTheme="majorHAnsi" w:hAnsiTheme="majorHAnsi"/>
          <w:sz w:val="20"/>
          <w:szCs w:val="20"/>
        </w:rPr>
        <w:t>,</w:t>
      </w:r>
      <w:r w:rsidR="001523BA" w:rsidRPr="00A51861">
        <w:rPr>
          <w:rFonts w:asciiTheme="majorHAnsi" w:hAnsiTheme="majorHAnsi"/>
          <w:sz w:val="20"/>
          <w:szCs w:val="20"/>
        </w:rPr>
        <w:t xml:space="preserve"> </w:t>
      </w:r>
      <w:r w:rsidR="000A3625">
        <w:rPr>
          <w:rFonts w:asciiTheme="majorHAnsi" w:hAnsiTheme="majorHAnsi"/>
          <w:sz w:val="20"/>
          <w:szCs w:val="20"/>
        </w:rPr>
        <w:t>remedies were filed before judicial instances</w:t>
      </w:r>
      <w:r w:rsidR="001523BA" w:rsidRPr="00A51861">
        <w:rPr>
          <w:rFonts w:asciiTheme="majorHAnsi" w:hAnsiTheme="majorHAnsi"/>
          <w:sz w:val="20"/>
          <w:szCs w:val="20"/>
        </w:rPr>
        <w:t xml:space="preserve">, </w:t>
      </w:r>
      <w:r w:rsidR="000A3625">
        <w:rPr>
          <w:rFonts w:asciiTheme="majorHAnsi" w:hAnsiTheme="majorHAnsi"/>
          <w:sz w:val="20"/>
          <w:szCs w:val="20"/>
        </w:rPr>
        <w:t>all of which were decided counter to their pretentions</w:t>
      </w:r>
      <w:r w:rsidR="0088168D" w:rsidRPr="00A51861">
        <w:rPr>
          <w:rFonts w:asciiTheme="majorHAnsi" w:hAnsiTheme="majorHAnsi"/>
          <w:sz w:val="20"/>
          <w:szCs w:val="20"/>
        </w:rPr>
        <w:t xml:space="preserve">. </w:t>
      </w:r>
      <w:r w:rsidR="000A3625">
        <w:rPr>
          <w:rFonts w:asciiTheme="majorHAnsi" w:hAnsiTheme="majorHAnsi"/>
          <w:sz w:val="20"/>
          <w:szCs w:val="20"/>
        </w:rPr>
        <w:t>Petitioner holds that in the several proceedings</w:t>
      </w:r>
      <w:r w:rsidR="00964584" w:rsidRPr="00A51861">
        <w:rPr>
          <w:rFonts w:asciiTheme="majorHAnsi" w:hAnsiTheme="majorHAnsi"/>
          <w:sz w:val="20"/>
          <w:szCs w:val="20"/>
        </w:rPr>
        <w:t xml:space="preserve"> </w:t>
      </w:r>
      <w:r w:rsidR="000A3625">
        <w:rPr>
          <w:rFonts w:asciiTheme="majorHAnsi" w:hAnsiTheme="majorHAnsi"/>
          <w:sz w:val="20"/>
          <w:szCs w:val="20"/>
        </w:rPr>
        <w:t>they offered proofs of their status of political refugees</w:t>
      </w:r>
      <w:r w:rsidR="00964584" w:rsidRPr="00A51861">
        <w:rPr>
          <w:rFonts w:asciiTheme="majorHAnsi" w:hAnsiTheme="majorHAnsi"/>
          <w:sz w:val="20"/>
          <w:szCs w:val="20"/>
        </w:rPr>
        <w:t xml:space="preserve"> </w:t>
      </w:r>
      <w:r w:rsidR="00E92985">
        <w:rPr>
          <w:rFonts w:asciiTheme="majorHAnsi" w:hAnsiTheme="majorHAnsi"/>
          <w:sz w:val="20"/>
          <w:szCs w:val="20"/>
        </w:rPr>
        <w:t xml:space="preserve">and </w:t>
      </w:r>
      <w:r w:rsidR="000A3625">
        <w:rPr>
          <w:rFonts w:asciiTheme="majorHAnsi" w:hAnsiTheme="majorHAnsi"/>
          <w:sz w:val="20"/>
          <w:szCs w:val="20"/>
        </w:rPr>
        <w:t>to order the corresponding</w:t>
      </w:r>
      <w:r w:rsidR="00964584" w:rsidRPr="00A51861">
        <w:rPr>
          <w:rFonts w:asciiTheme="majorHAnsi" w:hAnsiTheme="majorHAnsi"/>
          <w:sz w:val="20"/>
          <w:szCs w:val="20"/>
        </w:rPr>
        <w:t xml:space="preserve"> </w:t>
      </w:r>
      <w:r w:rsidR="000A3625">
        <w:rPr>
          <w:rFonts w:asciiTheme="majorHAnsi" w:hAnsiTheme="majorHAnsi"/>
          <w:sz w:val="20"/>
          <w:szCs w:val="20"/>
        </w:rPr>
        <w:t>authority</w:t>
      </w:r>
      <w:r w:rsidR="00964584" w:rsidRPr="00A51861">
        <w:rPr>
          <w:rFonts w:asciiTheme="majorHAnsi" w:hAnsiTheme="majorHAnsi"/>
          <w:sz w:val="20"/>
          <w:szCs w:val="20"/>
        </w:rPr>
        <w:t xml:space="preserve"> </w:t>
      </w:r>
      <w:r w:rsidR="005056C0">
        <w:rPr>
          <w:rFonts w:asciiTheme="majorHAnsi" w:hAnsiTheme="majorHAnsi"/>
          <w:sz w:val="20"/>
          <w:szCs w:val="20"/>
        </w:rPr>
        <w:t>to</w:t>
      </w:r>
      <w:r w:rsidR="00964584" w:rsidRPr="00A51861">
        <w:rPr>
          <w:rFonts w:asciiTheme="majorHAnsi" w:hAnsiTheme="majorHAnsi"/>
          <w:sz w:val="20"/>
          <w:szCs w:val="20"/>
        </w:rPr>
        <w:t xml:space="preserve"> </w:t>
      </w:r>
      <w:r w:rsidR="000A3625" w:rsidRPr="00A51861">
        <w:rPr>
          <w:rFonts w:asciiTheme="majorHAnsi" w:hAnsiTheme="majorHAnsi"/>
          <w:sz w:val="20"/>
          <w:szCs w:val="20"/>
        </w:rPr>
        <w:t>produc</w:t>
      </w:r>
      <w:r w:rsidR="005056C0">
        <w:rPr>
          <w:rFonts w:asciiTheme="majorHAnsi" w:hAnsiTheme="majorHAnsi"/>
          <w:sz w:val="20"/>
          <w:szCs w:val="20"/>
        </w:rPr>
        <w:t>e</w:t>
      </w:r>
      <w:r w:rsidR="00E92985">
        <w:rPr>
          <w:rFonts w:asciiTheme="majorHAnsi" w:hAnsiTheme="majorHAnsi"/>
          <w:sz w:val="20"/>
          <w:szCs w:val="20"/>
        </w:rPr>
        <w:t xml:space="preserve"> </w:t>
      </w:r>
      <w:r w:rsidR="000A3625" w:rsidRPr="00A51861">
        <w:rPr>
          <w:rFonts w:asciiTheme="majorHAnsi" w:hAnsiTheme="majorHAnsi"/>
          <w:sz w:val="20"/>
          <w:szCs w:val="20"/>
        </w:rPr>
        <w:t>documents</w:t>
      </w:r>
      <w:r w:rsidR="00964584" w:rsidRPr="00A51861">
        <w:rPr>
          <w:rFonts w:asciiTheme="majorHAnsi" w:hAnsiTheme="majorHAnsi"/>
          <w:sz w:val="20"/>
          <w:szCs w:val="20"/>
        </w:rPr>
        <w:t xml:space="preserve"> </w:t>
      </w:r>
      <w:r w:rsidR="000A3625">
        <w:rPr>
          <w:rFonts w:asciiTheme="majorHAnsi" w:hAnsiTheme="majorHAnsi"/>
          <w:sz w:val="20"/>
          <w:szCs w:val="20"/>
        </w:rPr>
        <w:t>which would allow to corroborate</w:t>
      </w:r>
      <w:r w:rsidR="00964584" w:rsidRPr="00A51861">
        <w:rPr>
          <w:rFonts w:asciiTheme="majorHAnsi" w:hAnsiTheme="majorHAnsi"/>
          <w:sz w:val="20"/>
          <w:szCs w:val="20"/>
        </w:rPr>
        <w:t xml:space="preserve"> </w:t>
      </w:r>
      <w:r w:rsidR="000A3625">
        <w:rPr>
          <w:rFonts w:asciiTheme="majorHAnsi" w:hAnsiTheme="majorHAnsi"/>
          <w:sz w:val="20"/>
          <w:szCs w:val="20"/>
        </w:rPr>
        <w:t>the facts substantiated in their complaint</w:t>
      </w:r>
      <w:r w:rsidR="00964584" w:rsidRPr="00A51861">
        <w:rPr>
          <w:rFonts w:asciiTheme="majorHAnsi" w:hAnsiTheme="majorHAnsi"/>
          <w:sz w:val="20"/>
          <w:szCs w:val="20"/>
        </w:rPr>
        <w:t xml:space="preserve">, </w:t>
      </w:r>
      <w:r w:rsidR="005056C0">
        <w:rPr>
          <w:rFonts w:asciiTheme="majorHAnsi" w:hAnsiTheme="majorHAnsi"/>
          <w:sz w:val="20"/>
          <w:szCs w:val="20"/>
        </w:rPr>
        <w:t xml:space="preserve">yet </w:t>
      </w:r>
      <w:r w:rsidR="000A3625">
        <w:rPr>
          <w:rFonts w:asciiTheme="majorHAnsi" w:hAnsiTheme="majorHAnsi"/>
          <w:sz w:val="20"/>
          <w:szCs w:val="20"/>
        </w:rPr>
        <w:t>they were never provided</w:t>
      </w:r>
      <w:r w:rsidR="0088168D" w:rsidRPr="00A51861">
        <w:rPr>
          <w:rFonts w:asciiTheme="majorHAnsi" w:hAnsiTheme="majorHAnsi"/>
          <w:sz w:val="20"/>
          <w:szCs w:val="20"/>
        </w:rPr>
        <w:t xml:space="preserve">. </w:t>
      </w:r>
      <w:r w:rsidR="000A3625">
        <w:rPr>
          <w:rFonts w:asciiTheme="majorHAnsi" w:hAnsiTheme="majorHAnsi"/>
          <w:sz w:val="20"/>
          <w:szCs w:val="20"/>
        </w:rPr>
        <w:t>Also</w:t>
      </w:r>
      <w:r w:rsidR="0088168D" w:rsidRPr="00A51861">
        <w:rPr>
          <w:rFonts w:asciiTheme="majorHAnsi" w:hAnsiTheme="majorHAnsi"/>
          <w:sz w:val="20"/>
          <w:szCs w:val="20"/>
        </w:rPr>
        <w:t xml:space="preserve">, </w:t>
      </w:r>
      <w:r w:rsidR="000A3625">
        <w:rPr>
          <w:rFonts w:asciiTheme="majorHAnsi" w:hAnsiTheme="majorHAnsi"/>
          <w:sz w:val="20"/>
          <w:szCs w:val="20"/>
        </w:rPr>
        <w:t>claims that in several similar cases to theirs</w:t>
      </w:r>
      <w:r w:rsidR="00964584" w:rsidRPr="00A51861">
        <w:rPr>
          <w:rFonts w:asciiTheme="majorHAnsi" w:hAnsiTheme="majorHAnsi"/>
          <w:sz w:val="20"/>
          <w:szCs w:val="20"/>
        </w:rPr>
        <w:t xml:space="preserve">, </w:t>
      </w:r>
      <w:r w:rsidR="000A3625">
        <w:rPr>
          <w:rFonts w:asciiTheme="majorHAnsi" w:hAnsiTheme="majorHAnsi"/>
          <w:sz w:val="20"/>
          <w:szCs w:val="20"/>
        </w:rPr>
        <w:t>the compensation foreseen in</w:t>
      </w:r>
      <w:r w:rsidR="00964584" w:rsidRPr="00A51861">
        <w:rPr>
          <w:rFonts w:asciiTheme="majorHAnsi" w:hAnsiTheme="majorHAnsi"/>
          <w:sz w:val="20"/>
          <w:szCs w:val="20"/>
        </w:rPr>
        <w:t xml:space="preserve"> </w:t>
      </w:r>
      <w:r w:rsidR="002835FC" w:rsidRPr="00A51861">
        <w:rPr>
          <w:rFonts w:asciiTheme="majorHAnsi" w:hAnsiTheme="majorHAnsi"/>
          <w:sz w:val="20"/>
          <w:szCs w:val="20"/>
        </w:rPr>
        <w:t xml:space="preserve">Law </w:t>
      </w:r>
      <w:r w:rsidR="00964584" w:rsidRPr="00A51861">
        <w:rPr>
          <w:rFonts w:asciiTheme="majorHAnsi" w:hAnsiTheme="majorHAnsi"/>
          <w:sz w:val="20"/>
          <w:szCs w:val="20"/>
        </w:rPr>
        <w:t xml:space="preserve">24.043, </w:t>
      </w:r>
      <w:r w:rsidR="000A3625">
        <w:rPr>
          <w:rFonts w:asciiTheme="majorHAnsi" w:hAnsiTheme="majorHAnsi"/>
          <w:sz w:val="20"/>
          <w:szCs w:val="20"/>
        </w:rPr>
        <w:t>was granted</w:t>
      </w:r>
      <w:r w:rsidR="00964584" w:rsidRPr="00A51861">
        <w:rPr>
          <w:rFonts w:asciiTheme="majorHAnsi" w:hAnsiTheme="majorHAnsi"/>
          <w:sz w:val="20"/>
          <w:szCs w:val="20"/>
        </w:rPr>
        <w:t xml:space="preserve">. </w:t>
      </w:r>
    </w:p>
    <w:p w14:paraId="7DA733B1" w14:textId="77777777" w:rsidR="00964584" w:rsidRPr="00A51861" w:rsidRDefault="00964584" w:rsidP="008E4D3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rPr>
      </w:pPr>
    </w:p>
    <w:p w14:paraId="127711B4" w14:textId="0DE66987" w:rsidR="00964584" w:rsidRPr="00A51861" w:rsidRDefault="00D92253"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Due to the aforesaid</w:t>
      </w:r>
      <w:r w:rsidR="00964584" w:rsidRPr="00A51861">
        <w:rPr>
          <w:rFonts w:asciiTheme="majorHAnsi" w:hAnsiTheme="majorHAnsi"/>
          <w:sz w:val="20"/>
          <w:szCs w:val="20"/>
        </w:rPr>
        <w:t xml:space="preserve">, </w:t>
      </w:r>
      <w:r w:rsidR="00E92985">
        <w:rPr>
          <w:rFonts w:asciiTheme="majorHAnsi" w:hAnsiTheme="majorHAnsi"/>
          <w:sz w:val="20"/>
          <w:szCs w:val="20"/>
        </w:rPr>
        <w:t>the petitioner</w:t>
      </w:r>
      <w:r w:rsidR="009D00D5" w:rsidRPr="00A51861">
        <w:rPr>
          <w:rFonts w:asciiTheme="majorHAnsi" w:hAnsiTheme="majorHAnsi"/>
          <w:sz w:val="20"/>
          <w:szCs w:val="20"/>
        </w:rPr>
        <w:t xml:space="preserve"> </w:t>
      </w:r>
      <w:r>
        <w:rPr>
          <w:rFonts w:asciiTheme="majorHAnsi" w:hAnsiTheme="majorHAnsi"/>
          <w:sz w:val="20"/>
          <w:szCs w:val="20"/>
        </w:rPr>
        <w:t>claims the</w:t>
      </w:r>
      <w:r w:rsidR="00964584" w:rsidRPr="00A51861">
        <w:rPr>
          <w:rFonts w:asciiTheme="majorHAnsi" w:hAnsiTheme="majorHAnsi"/>
          <w:sz w:val="20"/>
          <w:szCs w:val="20"/>
        </w:rPr>
        <w:t xml:space="preserve"> </w:t>
      </w:r>
      <w:r w:rsidR="004E1083">
        <w:rPr>
          <w:rFonts w:asciiTheme="majorHAnsi" w:hAnsiTheme="majorHAnsi"/>
          <w:sz w:val="20"/>
          <w:szCs w:val="20"/>
        </w:rPr>
        <w:t>violation</w:t>
      </w:r>
      <w:r w:rsidR="00E92985">
        <w:rPr>
          <w:rFonts w:asciiTheme="majorHAnsi" w:hAnsiTheme="majorHAnsi"/>
          <w:sz w:val="20"/>
          <w:szCs w:val="20"/>
        </w:rPr>
        <w:t xml:space="preserve"> of </w:t>
      </w:r>
      <w:r w:rsidR="007277AA">
        <w:rPr>
          <w:rFonts w:asciiTheme="majorHAnsi" w:hAnsiTheme="majorHAnsi"/>
          <w:sz w:val="20"/>
          <w:szCs w:val="20"/>
        </w:rPr>
        <w:t xml:space="preserve">the </w:t>
      </w:r>
      <w:r w:rsidR="005056C0">
        <w:rPr>
          <w:rFonts w:asciiTheme="majorHAnsi" w:hAnsiTheme="majorHAnsi"/>
          <w:sz w:val="20"/>
          <w:szCs w:val="20"/>
        </w:rPr>
        <w:t>r</w:t>
      </w:r>
      <w:r w:rsidR="004C5A00">
        <w:rPr>
          <w:rFonts w:asciiTheme="majorHAnsi" w:hAnsiTheme="majorHAnsi"/>
          <w:sz w:val="20"/>
          <w:szCs w:val="20"/>
        </w:rPr>
        <w:t>ights</w:t>
      </w:r>
      <w:r w:rsidR="007277AA">
        <w:rPr>
          <w:rFonts w:asciiTheme="majorHAnsi" w:hAnsiTheme="majorHAnsi"/>
          <w:sz w:val="20"/>
          <w:szCs w:val="20"/>
        </w:rPr>
        <w:t xml:space="preserve"> contemplated in</w:t>
      </w:r>
      <w:r w:rsidR="00964584" w:rsidRPr="00A51861">
        <w:rPr>
          <w:rFonts w:asciiTheme="majorHAnsi" w:hAnsiTheme="majorHAnsi"/>
          <w:sz w:val="20"/>
          <w:szCs w:val="20"/>
        </w:rPr>
        <w:t xml:space="preserve"> </w:t>
      </w:r>
      <w:r w:rsidR="0029564F">
        <w:rPr>
          <w:rFonts w:asciiTheme="majorHAnsi" w:hAnsiTheme="majorHAnsi"/>
          <w:sz w:val="20"/>
          <w:szCs w:val="20"/>
        </w:rPr>
        <w:t>article</w:t>
      </w:r>
      <w:r w:rsidR="00964584" w:rsidRPr="00A51861">
        <w:rPr>
          <w:rFonts w:asciiTheme="majorHAnsi" w:hAnsiTheme="majorHAnsi"/>
          <w:sz w:val="20"/>
          <w:szCs w:val="20"/>
        </w:rPr>
        <w:t xml:space="preserve">s 4, 5, 7, 8, 10, 11, </w:t>
      </w:r>
      <w:r w:rsidR="00964584" w:rsidRPr="00A51861">
        <w:rPr>
          <w:rFonts w:ascii="Cambria" w:hAnsi="Cambria"/>
          <w:color w:val="000000" w:themeColor="text1"/>
          <w:sz w:val="20"/>
          <w:szCs w:val="20"/>
        </w:rPr>
        <w:t>22</w:t>
      </w:r>
      <w:r w:rsidR="00964584" w:rsidRPr="00A51861">
        <w:rPr>
          <w:rFonts w:asciiTheme="majorHAnsi" w:hAnsiTheme="majorHAnsi"/>
          <w:sz w:val="20"/>
          <w:szCs w:val="20"/>
        </w:rPr>
        <w:t>, 24</w:t>
      </w:r>
      <w:r w:rsidR="00E92985">
        <w:rPr>
          <w:rFonts w:asciiTheme="majorHAnsi" w:hAnsiTheme="majorHAnsi"/>
          <w:sz w:val="20"/>
          <w:szCs w:val="20"/>
        </w:rPr>
        <w:t xml:space="preserve"> and </w:t>
      </w:r>
      <w:r w:rsidR="00964584" w:rsidRPr="00A51861">
        <w:rPr>
          <w:rFonts w:asciiTheme="majorHAnsi" w:hAnsiTheme="majorHAnsi"/>
          <w:sz w:val="20"/>
          <w:szCs w:val="20"/>
        </w:rPr>
        <w:t>25</w:t>
      </w:r>
      <w:r w:rsidR="00E92985">
        <w:rPr>
          <w:rFonts w:asciiTheme="majorHAnsi" w:hAnsiTheme="majorHAnsi"/>
          <w:sz w:val="20"/>
          <w:szCs w:val="20"/>
        </w:rPr>
        <w:t xml:space="preserve"> of the </w:t>
      </w:r>
      <w:r w:rsidR="007277AA">
        <w:rPr>
          <w:rFonts w:asciiTheme="majorHAnsi" w:hAnsiTheme="majorHAnsi"/>
          <w:sz w:val="20"/>
          <w:szCs w:val="20"/>
        </w:rPr>
        <w:t>IACHR</w:t>
      </w:r>
      <w:r w:rsidR="00964584" w:rsidRPr="00A51861">
        <w:rPr>
          <w:rFonts w:asciiTheme="majorHAnsi" w:hAnsiTheme="majorHAnsi"/>
          <w:sz w:val="20"/>
          <w:szCs w:val="20"/>
        </w:rPr>
        <w:t>,</w:t>
      </w:r>
      <w:r w:rsidR="00E92985">
        <w:rPr>
          <w:rFonts w:asciiTheme="majorHAnsi" w:hAnsiTheme="majorHAnsi"/>
          <w:sz w:val="20"/>
          <w:szCs w:val="20"/>
        </w:rPr>
        <w:t xml:space="preserve"> and of </w:t>
      </w:r>
      <w:r w:rsidR="007277AA">
        <w:rPr>
          <w:rFonts w:asciiTheme="majorHAnsi" w:hAnsiTheme="majorHAnsi"/>
          <w:sz w:val="20"/>
          <w:szCs w:val="20"/>
        </w:rPr>
        <w:t>the</w:t>
      </w:r>
      <w:r w:rsidR="00964584" w:rsidRPr="00A51861">
        <w:rPr>
          <w:rFonts w:asciiTheme="majorHAnsi" w:hAnsiTheme="majorHAnsi"/>
          <w:sz w:val="20"/>
          <w:szCs w:val="20"/>
        </w:rPr>
        <w:t xml:space="preserve"> </w:t>
      </w:r>
      <w:r w:rsidR="007277AA">
        <w:rPr>
          <w:rFonts w:asciiTheme="majorHAnsi" w:hAnsiTheme="majorHAnsi"/>
          <w:sz w:val="20"/>
          <w:szCs w:val="20"/>
        </w:rPr>
        <w:t>provisions</w:t>
      </w:r>
      <w:r w:rsidR="00964584" w:rsidRPr="00A51861">
        <w:rPr>
          <w:rFonts w:asciiTheme="majorHAnsi" w:hAnsiTheme="majorHAnsi"/>
          <w:sz w:val="20"/>
          <w:szCs w:val="20"/>
        </w:rPr>
        <w:t xml:space="preserve"> con</w:t>
      </w:r>
      <w:r w:rsidR="007277AA">
        <w:rPr>
          <w:rFonts w:asciiTheme="majorHAnsi" w:hAnsiTheme="majorHAnsi"/>
          <w:sz w:val="20"/>
          <w:szCs w:val="20"/>
        </w:rPr>
        <w:t>tained</w:t>
      </w:r>
      <w:r w:rsidR="00964584" w:rsidRPr="00A51861">
        <w:rPr>
          <w:rFonts w:asciiTheme="majorHAnsi" w:hAnsiTheme="majorHAnsi"/>
          <w:sz w:val="20"/>
          <w:szCs w:val="20"/>
        </w:rPr>
        <w:t xml:space="preserve"> </w:t>
      </w:r>
      <w:r w:rsidR="007277AA">
        <w:rPr>
          <w:rFonts w:asciiTheme="majorHAnsi" w:hAnsiTheme="majorHAnsi"/>
          <w:sz w:val="20"/>
          <w:szCs w:val="20"/>
        </w:rPr>
        <w:t>in</w:t>
      </w:r>
      <w:r w:rsidR="00964584" w:rsidRPr="00A51861">
        <w:rPr>
          <w:rFonts w:asciiTheme="majorHAnsi" w:hAnsiTheme="majorHAnsi"/>
          <w:sz w:val="20"/>
          <w:szCs w:val="20"/>
        </w:rPr>
        <w:t xml:space="preserve"> </w:t>
      </w:r>
      <w:r w:rsidR="0029564F">
        <w:rPr>
          <w:rFonts w:asciiTheme="majorHAnsi" w:hAnsiTheme="majorHAnsi"/>
          <w:sz w:val="20"/>
          <w:szCs w:val="20"/>
        </w:rPr>
        <w:t>article</w:t>
      </w:r>
      <w:r w:rsidR="00964584" w:rsidRPr="00A51861">
        <w:rPr>
          <w:rFonts w:asciiTheme="majorHAnsi" w:hAnsiTheme="majorHAnsi"/>
          <w:sz w:val="20"/>
          <w:szCs w:val="20"/>
        </w:rPr>
        <w:t>s I, II, V, VIII, IX, XVIII, XXV, XXVI</w:t>
      </w:r>
      <w:r w:rsidR="00E92985">
        <w:rPr>
          <w:rFonts w:asciiTheme="majorHAnsi" w:hAnsiTheme="majorHAnsi"/>
          <w:sz w:val="20"/>
          <w:szCs w:val="20"/>
        </w:rPr>
        <w:t xml:space="preserve"> and </w:t>
      </w:r>
      <w:r w:rsidR="00964584" w:rsidRPr="00A51861">
        <w:rPr>
          <w:rFonts w:asciiTheme="majorHAnsi" w:hAnsiTheme="majorHAnsi"/>
          <w:sz w:val="20"/>
          <w:szCs w:val="20"/>
        </w:rPr>
        <w:t>XXVII</w:t>
      </w:r>
      <w:r w:rsidR="00E92985">
        <w:rPr>
          <w:rFonts w:asciiTheme="majorHAnsi" w:hAnsiTheme="majorHAnsi"/>
          <w:sz w:val="20"/>
          <w:szCs w:val="20"/>
        </w:rPr>
        <w:t xml:space="preserve"> of the </w:t>
      </w:r>
      <w:r w:rsidR="007277AA" w:rsidRPr="00A51861">
        <w:rPr>
          <w:rFonts w:asciiTheme="majorHAnsi" w:hAnsiTheme="majorHAnsi"/>
          <w:sz w:val="20"/>
          <w:szCs w:val="20"/>
        </w:rPr>
        <w:t>American</w:t>
      </w:r>
      <w:r w:rsidR="007277AA">
        <w:rPr>
          <w:rFonts w:asciiTheme="majorHAnsi" w:hAnsiTheme="majorHAnsi"/>
          <w:sz w:val="20"/>
          <w:szCs w:val="20"/>
        </w:rPr>
        <w:t xml:space="preserve"> </w:t>
      </w:r>
      <w:r w:rsidR="007277AA" w:rsidRPr="00A51861">
        <w:rPr>
          <w:rFonts w:asciiTheme="majorHAnsi" w:hAnsiTheme="majorHAnsi"/>
          <w:sz w:val="20"/>
          <w:szCs w:val="20"/>
        </w:rPr>
        <w:t>Declaration</w:t>
      </w:r>
      <w:r w:rsidR="00964584" w:rsidRPr="00A51861">
        <w:rPr>
          <w:rFonts w:asciiTheme="majorHAnsi" w:hAnsiTheme="majorHAnsi"/>
          <w:sz w:val="20"/>
          <w:szCs w:val="20"/>
        </w:rPr>
        <w:t xml:space="preserve"> </w:t>
      </w:r>
      <w:r w:rsidR="00E92985">
        <w:rPr>
          <w:rFonts w:asciiTheme="majorHAnsi" w:hAnsiTheme="majorHAnsi"/>
          <w:sz w:val="20"/>
          <w:szCs w:val="20"/>
        </w:rPr>
        <w:t xml:space="preserve">of </w:t>
      </w:r>
      <w:r w:rsidR="007277AA">
        <w:rPr>
          <w:rFonts w:asciiTheme="majorHAnsi" w:hAnsiTheme="majorHAnsi"/>
          <w:sz w:val="20"/>
          <w:szCs w:val="20"/>
        </w:rPr>
        <w:t xml:space="preserve">the </w:t>
      </w:r>
      <w:r w:rsidR="004C5A00">
        <w:rPr>
          <w:rFonts w:asciiTheme="majorHAnsi" w:hAnsiTheme="majorHAnsi"/>
          <w:sz w:val="20"/>
          <w:szCs w:val="20"/>
        </w:rPr>
        <w:t>Rights</w:t>
      </w:r>
      <w:r w:rsidR="007277AA">
        <w:rPr>
          <w:rFonts w:asciiTheme="majorHAnsi" w:hAnsiTheme="majorHAnsi"/>
          <w:sz w:val="20"/>
          <w:szCs w:val="20"/>
        </w:rPr>
        <w:t xml:space="preserve"> and Duties of Man</w:t>
      </w:r>
      <w:r w:rsidR="00964584" w:rsidRPr="00A51861">
        <w:rPr>
          <w:rFonts w:asciiTheme="majorHAnsi" w:hAnsiTheme="majorHAnsi"/>
          <w:sz w:val="20"/>
          <w:szCs w:val="20"/>
        </w:rPr>
        <w:t>.</w:t>
      </w:r>
    </w:p>
    <w:p w14:paraId="7CEED85D" w14:textId="77777777" w:rsidR="00964584" w:rsidRPr="00A51861" w:rsidRDefault="00964584" w:rsidP="008E4D36">
      <w:pPr>
        <w:pStyle w:val="ListParagraph"/>
        <w:rPr>
          <w:rFonts w:asciiTheme="majorHAnsi" w:hAnsiTheme="majorHAnsi"/>
          <w:sz w:val="20"/>
          <w:szCs w:val="20"/>
        </w:rPr>
      </w:pPr>
    </w:p>
    <w:p w14:paraId="71EF6DE7" w14:textId="0F2ED9B3" w:rsidR="00964584" w:rsidRPr="00A51861" w:rsidRDefault="007277AA"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In this sense</w:t>
      </w:r>
      <w:r w:rsidR="009D00D5" w:rsidRPr="00A51861">
        <w:rPr>
          <w:rFonts w:asciiTheme="majorHAnsi" w:hAnsiTheme="majorHAnsi"/>
          <w:sz w:val="20"/>
          <w:szCs w:val="20"/>
        </w:rPr>
        <w:t xml:space="preserve">, </w:t>
      </w:r>
      <w:r>
        <w:rPr>
          <w:rFonts w:asciiTheme="majorHAnsi" w:hAnsiTheme="majorHAnsi"/>
          <w:sz w:val="20"/>
          <w:szCs w:val="20"/>
        </w:rPr>
        <w:t>petitioner holds that</w:t>
      </w:r>
      <w:r w:rsidR="00964584" w:rsidRPr="00A51861">
        <w:rPr>
          <w:rFonts w:asciiTheme="majorHAnsi" w:hAnsiTheme="majorHAnsi"/>
          <w:sz w:val="20"/>
          <w:szCs w:val="20"/>
        </w:rPr>
        <w:t xml:space="preserve"> </w:t>
      </w:r>
      <w:r w:rsidR="00F92BA8">
        <w:rPr>
          <w:rFonts w:asciiTheme="majorHAnsi" w:hAnsiTheme="majorHAnsi"/>
          <w:sz w:val="20"/>
          <w:szCs w:val="20"/>
        </w:rPr>
        <w:t>the State</w:t>
      </w:r>
      <w:r w:rsidR="00964584" w:rsidRPr="00A51861">
        <w:rPr>
          <w:rFonts w:asciiTheme="majorHAnsi" w:hAnsiTheme="majorHAnsi"/>
          <w:sz w:val="20"/>
          <w:szCs w:val="20"/>
        </w:rPr>
        <w:t xml:space="preserve"> viol</w:t>
      </w:r>
      <w:r>
        <w:rPr>
          <w:rFonts w:asciiTheme="majorHAnsi" w:hAnsiTheme="majorHAnsi"/>
          <w:sz w:val="20"/>
          <w:szCs w:val="20"/>
        </w:rPr>
        <w:t>ated</w:t>
      </w:r>
      <w:r w:rsidR="00964584" w:rsidRPr="00A51861">
        <w:rPr>
          <w:rFonts w:asciiTheme="majorHAnsi" w:hAnsiTheme="majorHAnsi"/>
          <w:sz w:val="20"/>
          <w:szCs w:val="20"/>
        </w:rPr>
        <w:t xml:space="preserve"> </w:t>
      </w:r>
      <w:r>
        <w:rPr>
          <w:rFonts w:asciiTheme="majorHAnsi" w:hAnsiTheme="majorHAnsi"/>
          <w:sz w:val="20"/>
          <w:szCs w:val="20"/>
        </w:rPr>
        <w:t>the right to receive a fair compensation as a</w:t>
      </w:r>
      <w:r w:rsidR="00964584" w:rsidRPr="00A51861">
        <w:rPr>
          <w:rFonts w:asciiTheme="majorHAnsi" w:hAnsiTheme="majorHAnsi"/>
          <w:sz w:val="20"/>
          <w:szCs w:val="20"/>
        </w:rPr>
        <w:t xml:space="preserve"> </w:t>
      </w:r>
      <w:r w:rsidRPr="00A51861">
        <w:rPr>
          <w:rFonts w:asciiTheme="majorHAnsi" w:hAnsiTheme="majorHAnsi"/>
          <w:sz w:val="20"/>
          <w:szCs w:val="20"/>
        </w:rPr>
        <w:t>consequence</w:t>
      </w:r>
      <w:r w:rsidR="00E92985">
        <w:rPr>
          <w:rFonts w:asciiTheme="majorHAnsi" w:hAnsiTheme="majorHAnsi"/>
          <w:sz w:val="20"/>
          <w:szCs w:val="20"/>
        </w:rPr>
        <w:t xml:space="preserve"> of the </w:t>
      </w:r>
      <w:r w:rsidR="004E1083">
        <w:rPr>
          <w:rFonts w:asciiTheme="majorHAnsi" w:hAnsiTheme="majorHAnsi"/>
          <w:sz w:val="20"/>
          <w:szCs w:val="20"/>
        </w:rPr>
        <w:t>violation</w:t>
      </w:r>
      <w:r w:rsidR="00E92985">
        <w:rPr>
          <w:rFonts w:asciiTheme="majorHAnsi" w:hAnsiTheme="majorHAnsi"/>
          <w:sz w:val="20"/>
          <w:szCs w:val="20"/>
        </w:rPr>
        <w:t xml:space="preserve"> of </w:t>
      </w:r>
      <w:r>
        <w:rPr>
          <w:rFonts w:asciiTheme="majorHAnsi" w:hAnsiTheme="majorHAnsi"/>
          <w:sz w:val="20"/>
          <w:szCs w:val="20"/>
        </w:rPr>
        <w:t xml:space="preserve">the </w:t>
      </w:r>
      <w:r w:rsidR="005056C0">
        <w:rPr>
          <w:rFonts w:asciiTheme="majorHAnsi" w:hAnsiTheme="majorHAnsi"/>
          <w:sz w:val="20"/>
          <w:szCs w:val="20"/>
        </w:rPr>
        <w:t>r</w:t>
      </w:r>
      <w:r w:rsidR="004C5A00">
        <w:rPr>
          <w:rFonts w:asciiTheme="majorHAnsi" w:hAnsiTheme="majorHAnsi"/>
          <w:sz w:val="20"/>
          <w:szCs w:val="20"/>
        </w:rPr>
        <w:t>ights</w:t>
      </w:r>
      <w:r>
        <w:rPr>
          <w:rFonts w:asciiTheme="majorHAnsi" w:hAnsiTheme="majorHAnsi"/>
          <w:sz w:val="20"/>
          <w:szCs w:val="20"/>
        </w:rPr>
        <w:t xml:space="preserve"> to humane treatment</w:t>
      </w:r>
      <w:r w:rsidR="00964584" w:rsidRPr="00A51861">
        <w:rPr>
          <w:rFonts w:asciiTheme="majorHAnsi" w:hAnsiTheme="majorHAnsi"/>
          <w:sz w:val="20"/>
          <w:szCs w:val="20"/>
        </w:rPr>
        <w:t xml:space="preserve">, </w:t>
      </w:r>
      <w:r w:rsidRPr="00A51861">
        <w:rPr>
          <w:rFonts w:asciiTheme="majorHAnsi" w:hAnsiTheme="majorHAnsi"/>
          <w:sz w:val="20"/>
          <w:szCs w:val="20"/>
        </w:rPr>
        <w:t>personal</w:t>
      </w:r>
      <w:r>
        <w:rPr>
          <w:rFonts w:asciiTheme="majorHAnsi" w:hAnsiTheme="majorHAnsi"/>
          <w:sz w:val="20"/>
          <w:szCs w:val="20"/>
        </w:rPr>
        <w:t xml:space="preserve"> </w:t>
      </w:r>
      <w:r w:rsidR="00964584" w:rsidRPr="00A51861">
        <w:rPr>
          <w:rFonts w:asciiTheme="majorHAnsi" w:hAnsiTheme="majorHAnsi"/>
          <w:sz w:val="20"/>
          <w:szCs w:val="20"/>
        </w:rPr>
        <w:t>liber</w:t>
      </w:r>
      <w:r>
        <w:rPr>
          <w:rFonts w:asciiTheme="majorHAnsi" w:hAnsiTheme="majorHAnsi"/>
          <w:sz w:val="20"/>
          <w:szCs w:val="20"/>
        </w:rPr>
        <w:t>ty</w:t>
      </w:r>
      <w:r w:rsidR="00964584" w:rsidRPr="00A51861">
        <w:rPr>
          <w:rFonts w:asciiTheme="majorHAnsi" w:hAnsiTheme="majorHAnsi"/>
          <w:sz w:val="20"/>
          <w:szCs w:val="20"/>
        </w:rPr>
        <w:t xml:space="preserve"> </w:t>
      </w:r>
      <w:r w:rsidR="00E92985">
        <w:rPr>
          <w:rFonts w:asciiTheme="majorHAnsi" w:hAnsiTheme="majorHAnsi"/>
          <w:sz w:val="20"/>
          <w:szCs w:val="20"/>
        </w:rPr>
        <w:t xml:space="preserve">and </w:t>
      </w:r>
      <w:r>
        <w:rPr>
          <w:rFonts w:asciiTheme="majorHAnsi" w:hAnsiTheme="majorHAnsi"/>
          <w:sz w:val="20"/>
          <w:szCs w:val="20"/>
        </w:rPr>
        <w:t>freedom of movement</w:t>
      </w:r>
      <w:r w:rsidR="00E92985">
        <w:rPr>
          <w:rFonts w:asciiTheme="majorHAnsi" w:hAnsiTheme="majorHAnsi"/>
          <w:sz w:val="20"/>
          <w:szCs w:val="20"/>
        </w:rPr>
        <w:t xml:space="preserve"> and </w:t>
      </w:r>
      <w:r w:rsidR="004E56A9">
        <w:rPr>
          <w:rFonts w:asciiTheme="majorHAnsi" w:hAnsiTheme="majorHAnsi"/>
          <w:sz w:val="20"/>
          <w:szCs w:val="20"/>
        </w:rPr>
        <w:t>residency</w:t>
      </w:r>
      <w:r w:rsidR="00964584" w:rsidRPr="00A51861">
        <w:rPr>
          <w:rFonts w:asciiTheme="majorHAnsi" w:hAnsiTheme="majorHAnsi"/>
          <w:sz w:val="20"/>
          <w:szCs w:val="20"/>
        </w:rPr>
        <w:t xml:space="preserve"> </w:t>
      </w:r>
      <w:r w:rsidR="00E92985">
        <w:rPr>
          <w:rFonts w:asciiTheme="majorHAnsi" w:hAnsiTheme="majorHAnsi"/>
          <w:sz w:val="20"/>
          <w:szCs w:val="20"/>
        </w:rPr>
        <w:t>of the alleged victims</w:t>
      </w:r>
      <w:r w:rsidR="00964584" w:rsidRPr="00A51861">
        <w:rPr>
          <w:rFonts w:asciiTheme="majorHAnsi" w:hAnsiTheme="majorHAnsi"/>
          <w:sz w:val="20"/>
          <w:szCs w:val="20"/>
        </w:rPr>
        <w:t xml:space="preserve">, </w:t>
      </w:r>
      <w:r>
        <w:rPr>
          <w:rFonts w:asciiTheme="majorHAnsi" w:hAnsiTheme="majorHAnsi"/>
          <w:sz w:val="20"/>
          <w:szCs w:val="20"/>
        </w:rPr>
        <w:t>due to the wrong</w:t>
      </w:r>
      <w:r w:rsidR="00964584" w:rsidRPr="00A51861">
        <w:rPr>
          <w:rFonts w:asciiTheme="majorHAnsi" w:hAnsiTheme="majorHAnsi"/>
          <w:sz w:val="20"/>
          <w:szCs w:val="20"/>
        </w:rPr>
        <w:t xml:space="preserve"> </w:t>
      </w:r>
      <w:r w:rsidRPr="00A51861">
        <w:rPr>
          <w:rFonts w:asciiTheme="majorHAnsi" w:hAnsiTheme="majorHAnsi"/>
          <w:sz w:val="20"/>
          <w:szCs w:val="20"/>
        </w:rPr>
        <w:t>interpretation</w:t>
      </w:r>
      <w:r w:rsidR="00964584" w:rsidRPr="00A51861">
        <w:rPr>
          <w:rFonts w:asciiTheme="majorHAnsi" w:hAnsiTheme="majorHAnsi"/>
          <w:sz w:val="20"/>
          <w:szCs w:val="20"/>
        </w:rPr>
        <w:t xml:space="preserve"> </w:t>
      </w:r>
      <w:r>
        <w:rPr>
          <w:rFonts w:asciiTheme="majorHAnsi" w:hAnsiTheme="majorHAnsi"/>
          <w:sz w:val="20"/>
          <w:szCs w:val="20"/>
        </w:rPr>
        <w:t>employed</w:t>
      </w:r>
      <w:r w:rsidR="00964584" w:rsidRPr="00A51861">
        <w:rPr>
          <w:rFonts w:asciiTheme="majorHAnsi" w:hAnsiTheme="majorHAnsi"/>
          <w:sz w:val="20"/>
          <w:szCs w:val="20"/>
        </w:rPr>
        <w:t xml:space="preserve">, </w:t>
      </w:r>
      <w:r>
        <w:rPr>
          <w:rFonts w:asciiTheme="majorHAnsi" w:hAnsiTheme="majorHAnsi"/>
          <w:sz w:val="20"/>
          <w:szCs w:val="20"/>
        </w:rPr>
        <w:t>in the</w:t>
      </w:r>
      <w:r w:rsidR="00964584" w:rsidRPr="00A51861">
        <w:rPr>
          <w:rFonts w:asciiTheme="majorHAnsi" w:hAnsiTheme="majorHAnsi"/>
          <w:sz w:val="20"/>
          <w:szCs w:val="20"/>
        </w:rPr>
        <w:t xml:space="preserve"> </w:t>
      </w:r>
      <w:r w:rsidR="00E92985">
        <w:rPr>
          <w:rFonts w:asciiTheme="majorHAnsi" w:hAnsiTheme="majorHAnsi"/>
          <w:sz w:val="20"/>
          <w:szCs w:val="20"/>
        </w:rPr>
        <w:t xml:space="preserve">decisions </w:t>
      </w:r>
      <w:r>
        <w:rPr>
          <w:rFonts w:asciiTheme="majorHAnsi" w:hAnsiTheme="majorHAnsi"/>
          <w:sz w:val="20"/>
          <w:szCs w:val="20"/>
        </w:rPr>
        <w:t>by</w:t>
      </w:r>
      <w:r w:rsidR="00E92985">
        <w:rPr>
          <w:rFonts w:asciiTheme="majorHAnsi" w:hAnsiTheme="majorHAnsi"/>
          <w:sz w:val="20"/>
          <w:szCs w:val="20"/>
        </w:rPr>
        <w:t xml:space="preserve"> </w:t>
      </w:r>
      <w:r w:rsidR="00964584" w:rsidRPr="00A51861">
        <w:rPr>
          <w:rFonts w:asciiTheme="majorHAnsi" w:hAnsiTheme="majorHAnsi"/>
          <w:sz w:val="20"/>
          <w:szCs w:val="20"/>
        </w:rPr>
        <w:t>administrativ</w:t>
      </w:r>
      <w:r>
        <w:rPr>
          <w:rFonts w:asciiTheme="majorHAnsi" w:hAnsiTheme="majorHAnsi"/>
          <w:sz w:val="20"/>
          <w:szCs w:val="20"/>
        </w:rPr>
        <w:t>e</w:t>
      </w:r>
      <w:r w:rsidR="00E92985">
        <w:rPr>
          <w:rFonts w:asciiTheme="majorHAnsi" w:hAnsiTheme="majorHAnsi"/>
          <w:sz w:val="20"/>
          <w:szCs w:val="20"/>
        </w:rPr>
        <w:t xml:space="preserve"> and </w:t>
      </w:r>
      <w:r w:rsidR="00964584" w:rsidRPr="00A51861">
        <w:rPr>
          <w:rFonts w:asciiTheme="majorHAnsi" w:hAnsiTheme="majorHAnsi"/>
          <w:sz w:val="20"/>
          <w:szCs w:val="20"/>
        </w:rPr>
        <w:t>judicial</w:t>
      </w:r>
      <w:r w:rsidRPr="007277AA">
        <w:rPr>
          <w:rFonts w:asciiTheme="majorHAnsi" w:hAnsiTheme="majorHAnsi"/>
          <w:sz w:val="20"/>
          <w:szCs w:val="20"/>
        </w:rPr>
        <w:t xml:space="preserve"> </w:t>
      </w:r>
      <w:r w:rsidRPr="00A51861">
        <w:rPr>
          <w:rFonts w:asciiTheme="majorHAnsi" w:hAnsiTheme="majorHAnsi"/>
          <w:sz w:val="20"/>
          <w:szCs w:val="20"/>
        </w:rPr>
        <w:t>instanc</w:t>
      </w:r>
      <w:r>
        <w:rPr>
          <w:rFonts w:asciiTheme="majorHAnsi" w:hAnsiTheme="majorHAnsi"/>
          <w:sz w:val="20"/>
          <w:szCs w:val="20"/>
        </w:rPr>
        <w:t>e</w:t>
      </w:r>
      <w:r w:rsidRPr="00A51861">
        <w:rPr>
          <w:rFonts w:asciiTheme="majorHAnsi" w:hAnsiTheme="majorHAnsi"/>
          <w:sz w:val="20"/>
          <w:szCs w:val="20"/>
        </w:rPr>
        <w:t>s</w:t>
      </w:r>
      <w:r w:rsidR="00964584" w:rsidRPr="00A51861">
        <w:rPr>
          <w:rFonts w:asciiTheme="majorHAnsi" w:hAnsiTheme="majorHAnsi"/>
          <w:sz w:val="20"/>
          <w:szCs w:val="20"/>
        </w:rPr>
        <w:t>,</w:t>
      </w:r>
      <w:r w:rsidR="00E92985">
        <w:rPr>
          <w:rFonts w:asciiTheme="majorHAnsi" w:hAnsiTheme="majorHAnsi"/>
          <w:sz w:val="20"/>
          <w:szCs w:val="20"/>
        </w:rPr>
        <w:t xml:space="preserve"> of </w:t>
      </w:r>
      <w:r w:rsidR="002835FC" w:rsidRPr="00A51861">
        <w:rPr>
          <w:rFonts w:asciiTheme="majorHAnsi" w:hAnsiTheme="majorHAnsi"/>
          <w:sz w:val="20"/>
          <w:szCs w:val="20"/>
        </w:rPr>
        <w:t xml:space="preserve">Law </w:t>
      </w:r>
      <w:r w:rsidR="009D00D5" w:rsidRPr="00A51861">
        <w:rPr>
          <w:rFonts w:asciiTheme="majorHAnsi" w:hAnsiTheme="majorHAnsi"/>
          <w:sz w:val="20"/>
          <w:szCs w:val="20"/>
        </w:rPr>
        <w:t>24.043</w:t>
      </w:r>
      <w:r w:rsidR="001D1D61">
        <w:rPr>
          <w:rFonts w:asciiTheme="majorHAnsi" w:hAnsiTheme="majorHAnsi"/>
          <w:sz w:val="20"/>
          <w:szCs w:val="20"/>
        </w:rPr>
        <w:t>. Th</w:t>
      </w:r>
      <w:r>
        <w:rPr>
          <w:rFonts w:asciiTheme="majorHAnsi" w:hAnsiTheme="majorHAnsi"/>
          <w:sz w:val="20"/>
          <w:szCs w:val="20"/>
        </w:rPr>
        <w:t>us</w:t>
      </w:r>
      <w:r w:rsidR="009D00D5" w:rsidRPr="00A51861">
        <w:rPr>
          <w:rFonts w:asciiTheme="majorHAnsi" w:hAnsiTheme="majorHAnsi"/>
          <w:sz w:val="20"/>
          <w:szCs w:val="20"/>
        </w:rPr>
        <w:t>, argu</w:t>
      </w:r>
      <w:r>
        <w:rPr>
          <w:rFonts w:asciiTheme="majorHAnsi" w:hAnsiTheme="majorHAnsi"/>
          <w:sz w:val="20"/>
          <w:szCs w:val="20"/>
        </w:rPr>
        <w:t>es</w:t>
      </w:r>
      <w:r w:rsidR="00964584" w:rsidRPr="00A51861">
        <w:rPr>
          <w:rFonts w:asciiTheme="majorHAnsi" w:hAnsiTheme="majorHAnsi"/>
          <w:sz w:val="20"/>
          <w:szCs w:val="20"/>
        </w:rPr>
        <w:t xml:space="preserve"> </w:t>
      </w:r>
      <w:r>
        <w:rPr>
          <w:rFonts w:asciiTheme="majorHAnsi" w:hAnsiTheme="majorHAnsi"/>
          <w:sz w:val="20"/>
          <w:szCs w:val="20"/>
        </w:rPr>
        <w:t>that</w:t>
      </w:r>
      <w:r w:rsidR="00964584" w:rsidRPr="00A51861">
        <w:rPr>
          <w:rFonts w:asciiTheme="majorHAnsi" w:hAnsiTheme="majorHAnsi"/>
          <w:sz w:val="20"/>
          <w:szCs w:val="20"/>
        </w:rPr>
        <w:t xml:space="preserve"> </w:t>
      </w:r>
      <w:r w:rsidR="002835FC" w:rsidRPr="00A51861">
        <w:rPr>
          <w:rFonts w:asciiTheme="majorHAnsi" w:hAnsiTheme="majorHAnsi"/>
          <w:sz w:val="20"/>
          <w:szCs w:val="20"/>
        </w:rPr>
        <w:t xml:space="preserve">the alleged victims </w:t>
      </w:r>
      <w:r>
        <w:rPr>
          <w:rFonts w:asciiTheme="majorHAnsi" w:hAnsiTheme="majorHAnsi"/>
          <w:sz w:val="20"/>
          <w:szCs w:val="20"/>
        </w:rPr>
        <w:t>could not</w:t>
      </w:r>
      <w:r w:rsidR="00964584" w:rsidRPr="00A51861">
        <w:rPr>
          <w:rFonts w:asciiTheme="majorHAnsi" w:hAnsiTheme="majorHAnsi"/>
          <w:sz w:val="20"/>
          <w:szCs w:val="20"/>
        </w:rPr>
        <w:t xml:space="preserve"> acce</w:t>
      </w:r>
      <w:r>
        <w:rPr>
          <w:rFonts w:asciiTheme="majorHAnsi" w:hAnsiTheme="majorHAnsi"/>
          <w:sz w:val="20"/>
          <w:szCs w:val="20"/>
        </w:rPr>
        <w:t>ss</w:t>
      </w:r>
      <w:r w:rsidR="00964584" w:rsidRPr="00A51861">
        <w:rPr>
          <w:rFonts w:asciiTheme="majorHAnsi" w:hAnsiTheme="majorHAnsi"/>
          <w:sz w:val="20"/>
          <w:szCs w:val="20"/>
        </w:rPr>
        <w:t xml:space="preserve"> </w:t>
      </w:r>
      <w:r>
        <w:rPr>
          <w:rFonts w:asciiTheme="majorHAnsi" w:hAnsiTheme="majorHAnsi"/>
          <w:sz w:val="20"/>
          <w:szCs w:val="20"/>
        </w:rPr>
        <w:t>any effective remedy whatsoever</w:t>
      </w:r>
      <w:r w:rsidR="00964584" w:rsidRPr="00A51861">
        <w:rPr>
          <w:rFonts w:asciiTheme="majorHAnsi" w:hAnsiTheme="majorHAnsi"/>
          <w:sz w:val="20"/>
          <w:szCs w:val="20"/>
        </w:rPr>
        <w:t xml:space="preserve">, </w:t>
      </w:r>
      <w:r>
        <w:rPr>
          <w:rFonts w:asciiTheme="majorHAnsi" w:hAnsiTheme="majorHAnsi"/>
          <w:sz w:val="20"/>
          <w:szCs w:val="20"/>
        </w:rPr>
        <w:t>within domestic jurisdiction</w:t>
      </w:r>
      <w:r w:rsidR="00964584" w:rsidRPr="00A51861">
        <w:rPr>
          <w:rFonts w:asciiTheme="majorHAnsi" w:hAnsiTheme="majorHAnsi"/>
          <w:sz w:val="20"/>
          <w:szCs w:val="20"/>
        </w:rPr>
        <w:t xml:space="preserve">, </w:t>
      </w:r>
      <w:r>
        <w:rPr>
          <w:rFonts w:asciiTheme="majorHAnsi" w:hAnsiTheme="majorHAnsi"/>
          <w:sz w:val="20"/>
          <w:szCs w:val="20"/>
        </w:rPr>
        <w:t>which would</w:t>
      </w:r>
      <w:r w:rsidR="00964584" w:rsidRPr="00A51861">
        <w:rPr>
          <w:rFonts w:asciiTheme="majorHAnsi" w:hAnsiTheme="majorHAnsi"/>
          <w:sz w:val="20"/>
          <w:szCs w:val="20"/>
        </w:rPr>
        <w:t xml:space="preserve"> investiga</w:t>
      </w:r>
      <w:r>
        <w:rPr>
          <w:rFonts w:asciiTheme="majorHAnsi" w:hAnsiTheme="majorHAnsi"/>
          <w:sz w:val="20"/>
          <w:szCs w:val="20"/>
        </w:rPr>
        <w:t>te the</w:t>
      </w:r>
      <w:r w:rsidR="00964584" w:rsidRPr="00A51861">
        <w:rPr>
          <w:rFonts w:asciiTheme="majorHAnsi" w:hAnsiTheme="majorHAnsi"/>
          <w:sz w:val="20"/>
          <w:szCs w:val="20"/>
        </w:rPr>
        <w:t xml:space="preserve"> </w:t>
      </w:r>
      <w:r w:rsidR="004E1083">
        <w:rPr>
          <w:rFonts w:asciiTheme="majorHAnsi" w:hAnsiTheme="majorHAnsi"/>
          <w:sz w:val="20"/>
          <w:szCs w:val="20"/>
        </w:rPr>
        <w:t>violations</w:t>
      </w:r>
      <w:r w:rsidR="00964584" w:rsidRPr="00A51861">
        <w:rPr>
          <w:rFonts w:asciiTheme="majorHAnsi" w:hAnsiTheme="majorHAnsi"/>
          <w:sz w:val="20"/>
          <w:szCs w:val="20"/>
        </w:rPr>
        <w:t xml:space="preserve"> </w:t>
      </w:r>
      <w:r>
        <w:rPr>
          <w:rFonts w:asciiTheme="majorHAnsi" w:hAnsiTheme="majorHAnsi"/>
          <w:sz w:val="20"/>
          <w:szCs w:val="20"/>
        </w:rPr>
        <w:t xml:space="preserve">of their </w:t>
      </w:r>
      <w:r w:rsidR="005056C0">
        <w:rPr>
          <w:rFonts w:asciiTheme="majorHAnsi" w:hAnsiTheme="majorHAnsi"/>
          <w:sz w:val="20"/>
          <w:szCs w:val="20"/>
        </w:rPr>
        <w:t>h</w:t>
      </w:r>
      <w:r w:rsidR="00664D70">
        <w:rPr>
          <w:rFonts w:asciiTheme="majorHAnsi" w:hAnsiTheme="majorHAnsi"/>
          <w:sz w:val="20"/>
          <w:szCs w:val="20"/>
        </w:rPr>
        <w:t>uman rights</w:t>
      </w:r>
      <w:r w:rsidR="00964584" w:rsidRPr="00A51861">
        <w:rPr>
          <w:rFonts w:asciiTheme="majorHAnsi" w:hAnsiTheme="majorHAnsi"/>
          <w:sz w:val="20"/>
          <w:szCs w:val="20"/>
        </w:rPr>
        <w:t xml:space="preserve">, </w:t>
      </w:r>
      <w:r>
        <w:rPr>
          <w:rFonts w:asciiTheme="majorHAnsi" w:hAnsiTheme="majorHAnsi"/>
          <w:sz w:val="20"/>
          <w:szCs w:val="20"/>
        </w:rPr>
        <w:t>punish those</w:t>
      </w:r>
      <w:r w:rsidR="00964584" w:rsidRPr="00A51861">
        <w:rPr>
          <w:rFonts w:asciiTheme="majorHAnsi" w:hAnsiTheme="majorHAnsi"/>
          <w:sz w:val="20"/>
          <w:szCs w:val="20"/>
        </w:rPr>
        <w:t xml:space="preserve"> </w:t>
      </w:r>
      <w:r w:rsidR="00D64B7E">
        <w:rPr>
          <w:rFonts w:asciiTheme="majorHAnsi" w:hAnsiTheme="majorHAnsi"/>
          <w:sz w:val="20"/>
          <w:szCs w:val="20"/>
        </w:rPr>
        <w:t>responsible</w:t>
      </w:r>
      <w:r w:rsidR="005B42FA">
        <w:rPr>
          <w:rFonts w:asciiTheme="majorHAnsi" w:hAnsiTheme="majorHAnsi"/>
          <w:sz w:val="20"/>
          <w:szCs w:val="20"/>
        </w:rPr>
        <w:t>,</w:t>
      </w:r>
      <w:r>
        <w:rPr>
          <w:rFonts w:asciiTheme="majorHAnsi" w:hAnsiTheme="majorHAnsi"/>
          <w:sz w:val="20"/>
          <w:szCs w:val="20"/>
        </w:rPr>
        <w:t xml:space="preserve"> grant a proper reparation</w:t>
      </w:r>
      <w:r w:rsidR="00964584" w:rsidRPr="00A51861">
        <w:rPr>
          <w:rFonts w:asciiTheme="majorHAnsi" w:hAnsiTheme="majorHAnsi"/>
          <w:sz w:val="20"/>
          <w:szCs w:val="20"/>
        </w:rPr>
        <w:t xml:space="preserve">, </w:t>
      </w:r>
      <w:r>
        <w:rPr>
          <w:rFonts w:asciiTheme="majorHAnsi" w:hAnsiTheme="majorHAnsi"/>
          <w:sz w:val="20"/>
          <w:szCs w:val="20"/>
        </w:rPr>
        <w:t>which implies an undeniable breach</w:t>
      </w:r>
      <w:r w:rsidR="00964584" w:rsidRPr="00A51861">
        <w:rPr>
          <w:rFonts w:asciiTheme="majorHAnsi" w:hAnsiTheme="majorHAnsi"/>
          <w:sz w:val="20"/>
          <w:szCs w:val="20"/>
        </w:rPr>
        <w:t xml:space="preserve">, </w:t>
      </w:r>
      <w:r>
        <w:rPr>
          <w:rFonts w:asciiTheme="majorHAnsi" w:hAnsiTheme="majorHAnsi"/>
          <w:sz w:val="20"/>
          <w:szCs w:val="20"/>
        </w:rPr>
        <w:t xml:space="preserve">to the right </w:t>
      </w:r>
      <w:r w:rsidR="005056C0">
        <w:rPr>
          <w:rFonts w:asciiTheme="majorHAnsi" w:hAnsiTheme="majorHAnsi"/>
          <w:sz w:val="20"/>
          <w:szCs w:val="20"/>
        </w:rPr>
        <w:t>of</w:t>
      </w:r>
      <w:r>
        <w:rPr>
          <w:rFonts w:asciiTheme="majorHAnsi" w:hAnsiTheme="majorHAnsi"/>
          <w:sz w:val="20"/>
          <w:szCs w:val="20"/>
        </w:rPr>
        <w:t xml:space="preserve"> access to</w:t>
      </w:r>
      <w:r w:rsidR="009D00D5" w:rsidRPr="00A51861">
        <w:rPr>
          <w:rFonts w:asciiTheme="majorHAnsi" w:hAnsiTheme="majorHAnsi"/>
          <w:sz w:val="20"/>
          <w:szCs w:val="20"/>
        </w:rPr>
        <w:t xml:space="preserve"> justic</w:t>
      </w:r>
      <w:r>
        <w:rPr>
          <w:rFonts w:asciiTheme="majorHAnsi" w:hAnsiTheme="majorHAnsi"/>
          <w:sz w:val="20"/>
          <w:szCs w:val="20"/>
        </w:rPr>
        <w:t>e</w:t>
      </w:r>
      <w:r w:rsidR="001D1D61">
        <w:rPr>
          <w:rFonts w:asciiTheme="majorHAnsi" w:hAnsiTheme="majorHAnsi"/>
          <w:sz w:val="20"/>
          <w:szCs w:val="20"/>
        </w:rPr>
        <w:t>. Th</w:t>
      </w:r>
      <w:r>
        <w:rPr>
          <w:rFonts w:asciiTheme="majorHAnsi" w:hAnsiTheme="majorHAnsi"/>
          <w:sz w:val="20"/>
          <w:szCs w:val="20"/>
        </w:rPr>
        <w:t>e petitioner claims that should</w:t>
      </w:r>
      <w:r w:rsidR="00964584" w:rsidRPr="00A51861">
        <w:rPr>
          <w:rFonts w:asciiTheme="majorHAnsi" w:hAnsiTheme="majorHAnsi"/>
          <w:sz w:val="20"/>
          <w:szCs w:val="20"/>
        </w:rPr>
        <w:t xml:space="preserve"> </w:t>
      </w:r>
      <w:r w:rsidR="002835FC" w:rsidRPr="00A51861">
        <w:rPr>
          <w:rFonts w:asciiTheme="majorHAnsi" w:hAnsiTheme="majorHAnsi"/>
          <w:sz w:val="20"/>
          <w:szCs w:val="20"/>
        </w:rPr>
        <w:t xml:space="preserve">Law </w:t>
      </w:r>
      <w:r w:rsidR="00964584" w:rsidRPr="00A51861">
        <w:rPr>
          <w:rFonts w:asciiTheme="majorHAnsi" w:hAnsiTheme="majorHAnsi"/>
          <w:sz w:val="20"/>
          <w:szCs w:val="20"/>
        </w:rPr>
        <w:t xml:space="preserve">24.043 </w:t>
      </w:r>
      <w:r>
        <w:rPr>
          <w:rFonts w:asciiTheme="majorHAnsi" w:hAnsiTheme="majorHAnsi"/>
          <w:sz w:val="20"/>
          <w:szCs w:val="20"/>
        </w:rPr>
        <w:t>be declared insufficient</w:t>
      </w:r>
      <w:r w:rsidR="009D00D5" w:rsidRPr="00A51861">
        <w:rPr>
          <w:rFonts w:asciiTheme="majorHAnsi" w:hAnsiTheme="majorHAnsi"/>
          <w:sz w:val="20"/>
          <w:szCs w:val="20"/>
        </w:rPr>
        <w:t xml:space="preserve"> </w:t>
      </w:r>
      <w:r>
        <w:rPr>
          <w:rFonts w:asciiTheme="majorHAnsi" w:hAnsiTheme="majorHAnsi"/>
          <w:sz w:val="20"/>
          <w:szCs w:val="20"/>
        </w:rPr>
        <w:t>to conduct the claims of compensation</w:t>
      </w:r>
      <w:r w:rsidR="00964584" w:rsidRPr="00A51861">
        <w:rPr>
          <w:rFonts w:asciiTheme="majorHAnsi" w:hAnsiTheme="majorHAnsi"/>
          <w:sz w:val="20"/>
          <w:szCs w:val="20"/>
        </w:rPr>
        <w:t xml:space="preserve"> </w:t>
      </w:r>
      <w:r w:rsidR="00E92985">
        <w:rPr>
          <w:rFonts w:asciiTheme="majorHAnsi" w:hAnsiTheme="majorHAnsi"/>
          <w:sz w:val="20"/>
          <w:szCs w:val="20"/>
        </w:rPr>
        <w:t>of the alleged victims</w:t>
      </w:r>
      <w:r w:rsidR="00964584" w:rsidRPr="00A51861">
        <w:rPr>
          <w:rFonts w:asciiTheme="majorHAnsi" w:hAnsiTheme="majorHAnsi"/>
          <w:sz w:val="20"/>
          <w:szCs w:val="20"/>
        </w:rPr>
        <w:t xml:space="preserve">, </w:t>
      </w:r>
      <w:r w:rsidR="00F92BA8">
        <w:rPr>
          <w:rFonts w:asciiTheme="majorHAnsi" w:hAnsiTheme="majorHAnsi"/>
          <w:sz w:val="20"/>
          <w:szCs w:val="20"/>
        </w:rPr>
        <w:t>the Argentine State</w:t>
      </w:r>
      <w:r w:rsidR="00964584" w:rsidRPr="00A51861">
        <w:rPr>
          <w:rFonts w:asciiTheme="majorHAnsi" w:hAnsiTheme="majorHAnsi"/>
          <w:sz w:val="20"/>
          <w:szCs w:val="20"/>
        </w:rPr>
        <w:t xml:space="preserve"> </w:t>
      </w:r>
      <w:r>
        <w:rPr>
          <w:rFonts w:asciiTheme="majorHAnsi" w:hAnsiTheme="majorHAnsi"/>
          <w:sz w:val="20"/>
          <w:szCs w:val="20"/>
        </w:rPr>
        <w:t>had to provide a suitable to ensure the access to a reparation</w:t>
      </w:r>
      <w:r w:rsidR="00964584" w:rsidRPr="00A51861">
        <w:rPr>
          <w:rFonts w:asciiTheme="majorHAnsi" w:hAnsiTheme="majorHAnsi"/>
          <w:sz w:val="20"/>
          <w:szCs w:val="20"/>
        </w:rPr>
        <w:t xml:space="preserve">. </w:t>
      </w:r>
    </w:p>
    <w:p w14:paraId="09583C85" w14:textId="77777777" w:rsidR="00964584" w:rsidRPr="00A51861" w:rsidRDefault="00964584" w:rsidP="008E4D36">
      <w:pPr>
        <w:pStyle w:val="ListParagraph"/>
        <w:rPr>
          <w:rFonts w:asciiTheme="majorHAnsi" w:hAnsiTheme="majorHAnsi"/>
          <w:sz w:val="20"/>
          <w:szCs w:val="20"/>
        </w:rPr>
      </w:pPr>
    </w:p>
    <w:p w14:paraId="191668B3" w14:textId="7F5E167A" w:rsidR="001A6931" w:rsidRPr="00A51861" w:rsidRDefault="00B90CEF"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 xml:space="preserve">Likewise, </w:t>
      </w:r>
      <w:r w:rsidR="00E92985">
        <w:rPr>
          <w:rFonts w:asciiTheme="majorHAnsi" w:hAnsiTheme="majorHAnsi"/>
          <w:sz w:val="20"/>
          <w:szCs w:val="20"/>
        </w:rPr>
        <w:t>the petitioner</w:t>
      </w:r>
      <w:r w:rsidR="00964584" w:rsidRPr="00A51861">
        <w:rPr>
          <w:rFonts w:asciiTheme="majorHAnsi" w:hAnsiTheme="majorHAnsi"/>
          <w:sz w:val="20"/>
          <w:szCs w:val="20"/>
        </w:rPr>
        <w:t xml:space="preserve"> </w:t>
      </w:r>
      <w:r w:rsidR="00940530">
        <w:rPr>
          <w:rFonts w:asciiTheme="majorHAnsi" w:hAnsiTheme="majorHAnsi"/>
          <w:sz w:val="20"/>
          <w:szCs w:val="20"/>
        </w:rPr>
        <w:t xml:space="preserve">holds that </w:t>
      </w:r>
      <w:r w:rsidR="00F92BA8">
        <w:rPr>
          <w:rFonts w:asciiTheme="majorHAnsi" w:hAnsiTheme="majorHAnsi"/>
          <w:sz w:val="20"/>
          <w:szCs w:val="20"/>
        </w:rPr>
        <w:t>the Argentine State</w:t>
      </w:r>
      <w:r w:rsidR="00964584" w:rsidRPr="00A51861">
        <w:rPr>
          <w:rFonts w:asciiTheme="majorHAnsi" w:hAnsiTheme="majorHAnsi"/>
          <w:sz w:val="20"/>
          <w:szCs w:val="20"/>
        </w:rPr>
        <w:t xml:space="preserve"> </w:t>
      </w:r>
      <w:r>
        <w:rPr>
          <w:rFonts w:asciiTheme="majorHAnsi" w:hAnsiTheme="majorHAnsi"/>
          <w:sz w:val="20"/>
          <w:szCs w:val="20"/>
        </w:rPr>
        <w:t>breached</w:t>
      </w:r>
      <w:r w:rsidR="00964584" w:rsidRPr="00A51861">
        <w:rPr>
          <w:rFonts w:asciiTheme="majorHAnsi" w:hAnsiTheme="majorHAnsi"/>
          <w:sz w:val="20"/>
          <w:szCs w:val="20"/>
        </w:rPr>
        <w:t xml:space="preserve"> </w:t>
      </w:r>
      <w:r w:rsidR="00E92985">
        <w:rPr>
          <w:rFonts w:asciiTheme="majorHAnsi" w:hAnsiTheme="majorHAnsi"/>
          <w:sz w:val="20"/>
          <w:szCs w:val="20"/>
        </w:rPr>
        <w:t>the right to due process</w:t>
      </w:r>
      <w:r w:rsidR="00964584" w:rsidRPr="00A51861">
        <w:rPr>
          <w:rFonts w:asciiTheme="majorHAnsi" w:hAnsiTheme="majorHAnsi"/>
          <w:sz w:val="20"/>
          <w:szCs w:val="20"/>
        </w:rPr>
        <w:t xml:space="preserve"> </w:t>
      </w:r>
      <w:r w:rsidR="00E92985">
        <w:rPr>
          <w:rFonts w:asciiTheme="majorHAnsi" w:hAnsiTheme="majorHAnsi"/>
          <w:sz w:val="20"/>
          <w:szCs w:val="20"/>
        </w:rPr>
        <w:t>of the alleged victims</w:t>
      </w:r>
      <w:r w:rsidR="00964584" w:rsidRPr="00A51861">
        <w:rPr>
          <w:rFonts w:asciiTheme="majorHAnsi" w:hAnsiTheme="majorHAnsi"/>
          <w:sz w:val="20"/>
          <w:szCs w:val="20"/>
        </w:rPr>
        <w:t xml:space="preserve">, </w:t>
      </w:r>
      <w:r>
        <w:rPr>
          <w:rFonts w:asciiTheme="majorHAnsi" w:hAnsiTheme="majorHAnsi"/>
          <w:sz w:val="20"/>
          <w:szCs w:val="20"/>
        </w:rPr>
        <w:t>since within the proceedings filed to request reparation</w:t>
      </w:r>
      <w:r w:rsidR="00964584" w:rsidRPr="00A51861">
        <w:rPr>
          <w:rFonts w:asciiTheme="majorHAnsi" w:hAnsiTheme="majorHAnsi"/>
          <w:sz w:val="20"/>
          <w:szCs w:val="20"/>
        </w:rPr>
        <w:t xml:space="preserve">, </w:t>
      </w:r>
      <w:r>
        <w:rPr>
          <w:rFonts w:asciiTheme="majorHAnsi" w:hAnsiTheme="majorHAnsi"/>
          <w:sz w:val="20"/>
          <w:szCs w:val="20"/>
        </w:rPr>
        <w:t>it failed to provide informative proof</w:t>
      </w:r>
      <w:r w:rsidR="00964584" w:rsidRPr="00A51861">
        <w:rPr>
          <w:rFonts w:asciiTheme="majorHAnsi" w:hAnsiTheme="majorHAnsi"/>
          <w:sz w:val="20"/>
          <w:szCs w:val="20"/>
        </w:rPr>
        <w:t xml:space="preserve"> </w:t>
      </w:r>
      <w:r>
        <w:rPr>
          <w:rFonts w:asciiTheme="majorHAnsi" w:hAnsiTheme="majorHAnsi"/>
          <w:sz w:val="20"/>
          <w:szCs w:val="20"/>
        </w:rPr>
        <w:t xml:space="preserve">that they </w:t>
      </w:r>
      <w:r>
        <w:rPr>
          <w:rFonts w:asciiTheme="majorHAnsi" w:hAnsiTheme="majorHAnsi"/>
          <w:sz w:val="20"/>
          <w:szCs w:val="20"/>
        </w:rPr>
        <w:lastRenderedPageBreak/>
        <w:t>were</w:t>
      </w:r>
      <w:r w:rsidR="00964584" w:rsidRPr="00A51861">
        <w:rPr>
          <w:rFonts w:asciiTheme="majorHAnsi" w:hAnsiTheme="majorHAnsi"/>
          <w:sz w:val="20"/>
          <w:szCs w:val="20"/>
        </w:rPr>
        <w:t xml:space="preserve"> </w:t>
      </w:r>
      <w:r w:rsidR="00E92985">
        <w:rPr>
          <w:rFonts w:asciiTheme="majorHAnsi" w:hAnsiTheme="majorHAnsi"/>
          <w:sz w:val="20"/>
          <w:szCs w:val="20"/>
        </w:rPr>
        <w:t xml:space="preserve">requested and </w:t>
      </w:r>
      <w:r>
        <w:rPr>
          <w:rFonts w:asciiTheme="majorHAnsi" w:hAnsiTheme="majorHAnsi"/>
          <w:sz w:val="20"/>
          <w:szCs w:val="20"/>
        </w:rPr>
        <w:t>that they had proven the circumstances of persecution</w:t>
      </w:r>
      <w:r w:rsidR="00964584" w:rsidRPr="00A51861">
        <w:rPr>
          <w:rFonts w:asciiTheme="majorHAnsi" w:hAnsiTheme="majorHAnsi"/>
          <w:sz w:val="20"/>
          <w:szCs w:val="20"/>
        </w:rPr>
        <w:t xml:space="preserve">, </w:t>
      </w:r>
      <w:r>
        <w:rPr>
          <w:rFonts w:asciiTheme="majorHAnsi" w:hAnsiTheme="majorHAnsi"/>
          <w:sz w:val="20"/>
          <w:szCs w:val="20"/>
        </w:rPr>
        <w:t>flee</w:t>
      </w:r>
      <w:r w:rsidR="00E92985">
        <w:rPr>
          <w:rFonts w:asciiTheme="majorHAnsi" w:hAnsiTheme="majorHAnsi"/>
          <w:sz w:val="20"/>
          <w:szCs w:val="20"/>
        </w:rPr>
        <w:t xml:space="preserve"> and </w:t>
      </w:r>
      <w:r w:rsidR="00964584" w:rsidRPr="00A51861">
        <w:rPr>
          <w:rFonts w:asciiTheme="majorHAnsi" w:hAnsiTheme="majorHAnsi"/>
          <w:sz w:val="20"/>
          <w:szCs w:val="20"/>
        </w:rPr>
        <w:t>a</w:t>
      </w:r>
      <w:r>
        <w:rPr>
          <w:rFonts w:asciiTheme="majorHAnsi" w:hAnsiTheme="majorHAnsi"/>
          <w:sz w:val="20"/>
          <w:szCs w:val="20"/>
        </w:rPr>
        <w:t>sylum</w:t>
      </w:r>
      <w:r w:rsidR="00964584" w:rsidRPr="00A51861">
        <w:rPr>
          <w:rFonts w:asciiTheme="majorHAnsi" w:hAnsiTheme="majorHAnsi"/>
          <w:sz w:val="20"/>
          <w:szCs w:val="20"/>
        </w:rPr>
        <w:t xml:space="preserve"> (</w:t>
      </w:r>
      <w:r>
        <w:rPr>
          <w:rFonts w:asciiTheme="majorHAnsi" w:hAnsiTheme="majorHAnsi"/>
          <w:sz w:val="20"/>
          <w:szCs w:val="20"/>
        </w:rPr>
        <w:t>proofs which were contained in</w:t>
      </w:r>
      <w:r w:rsidR="0029564F">
        <w:rPr>
          <w:rFonts w:asciiTheme="majorHAnsi" w:hAnsiTheme="majorHAnsi"/>
          <w:sz w:val="20"/>
          <w:szCs w:val="20"/>
        </w:rPr>
        <w:t xml:space="preserve"> the casefile</w:t>
      </w:r>
      <w:r w:rsidR="00E92985">
        <w:rPr>
          <w:rFonts w:asciiTheme="majorHAnsi" w:hAnsiTheme="majorHAnsi"/>
          <w:sz w:val="20"/>
          <w:szCs w:val="20"/>
        </w:rPr>
        <w:t xml:space="preserve"> of the </w:t>
      </w:r>
      <w:r>
        <w:rPr>
          <w:rFonts w:asciiTheme="majorHAnsi" w:hAnsiTheme="majorHAnsi"/>
          <w:sz w:val="20"/>
          <w:szCs w:val="20"/>
        </w:rPr>
        <w:t xml:space="preserve">National Directorate of Migrations </w:t>
      </w:r>
      <w:r w:rsidR="00E92985">
        <w:rPr>
          <w:rFonts w:asciiTheme="majorHAnsi" w:hAnsiTheme="majorHAnsi"/>
          <w:sz w:val="20"/>
          <w:szCs w:val="20"/>
        </w:rPr>
        <w:t xml:space="preserve">and </w:t>
      </w:r>
      <w:r w:rsidR="00E6775A">
        <w:rPr>
          <w:rFonts w:asciiTheme="majorHAnsi" w:hAnsiTheme="majorHAnsi"/>
          <w:sz w:val="20"/>
          <w:szCs w:val="20"/>
        </w:rPr>
        <w:t>that were not provided in the duly procedural moment</w:t>
      </w:r>
      <w:r w:rsidR="00964584" w:rsidRPr="00A51861">
        <w:rPr>
          <w:rFonts w:asciiTheme="majorHAnsi" w:hAnsiTheme="majorHAnsi"/>
          <w:sz w:val="20"/>
          <w:szCs w:val="20"/>
        </w:rPr>
        <w:t xml:space="preserve">), </w:t>
      </w:r>
      <w:r w:rsidR="00E92985">
        <w:rPr>
          <w:rFonts w:asciiTheme="majorHAnsi" w:hAnsiTheme="majorHAnsi"/>
          <w:sz w:val="20"/>
          <w:szCs w:val="20"/>
        </w:rPr>
        <w:t>situation</w:t>
      </w:r>
      <w:r w:rsidR="00964584" w:rsidRPr="00A51861">
        <w:rPr>
          <w:rFonts w:asciiTheme="majorHAnsi" w:hAnsiTheme="majorHAnsi"/>
          <w:sz w:val="20"/>
          <w:szCs w:val="20"/>
        </w:rPr>
        <w:t xml:space="preserve"> </w:t>
      </w:r>
      <w:r w:rsidR="00E6775A">
        <w:rPr>
          <w:rFonts w:asciiTheme="majorHAnsi" w:hAnsiTheme="majorHAnsi"/>
          <w:sz w:val="20"/>
          <w:szCs w:val="20"/>
        </w:rPr>
        <w:t>which put</w:t>
      </w:r>
      <w:r w:rsidR="00964584" w:rsidRPr="00A51861">
        <w:rPr>
          <w:rFonts w:asciiTheme="majorHAnsi" w:hAnsiTheme="majorHAnsi"/>
          <w:sz w:val="20"/>
          <w:szCs w:val="20"/>
        </w:rPr>
        <w:t xml:space="preserve"> </w:t>
      </w:r>
      <w:r w:rsidR="002835FC" w:rsidRPr="00A51861">
        <w:rPr>
          <w:rFonts w:asciiTheme="majorHAnsi" w:hAnsiTheme="majorHAnsi"/>
          <w:sz w:val="20"/>
          <w:szCs w:val="20"/>
        </w:rPr>
        <w:t xml:space="preserve">the alleged victims </w:t>
      </w:r>
      <w:r w:rsidR="00E6775A">
        <w:rPr>
          <w:rFonts w:asciiTheme="majorHAnsi" w:hAnsiTheme="majorHAnsi"/>
          <w:sz w:val="20"/>
          <w:szCs w:val="20"/>
        </w:rPr>
        <w:t>in a status of</w:t>
      </w:r>
      <w:r w:rsidR="00964584" w:rsidRPr="00A51861">
        <w:rPr>
          <w:rFonts w:asciiTheme="majorHAnsi" w:hAnsiTheme="majorHAnsi"/>
          <w:sz w:val="20"/>
          <w:szCs w:val="20"/>
        </w:rPr>
        <w:t xml:space="preserve"> virtual</w:t>
      </w:r>
      <w:r w:rsidR="00E92985">
        <w:rPr>
          <w:rFonts w:asciiTheme="majorHAnsi" w:hAnsiTheme="majorHAnsi"/>
          <w:sz w:val="20"/>
          <w:szCs w:val="20"/>
        </w:rPr>
        <w:t xml:space="preserve"> </w:t>
      </w:r>
      <w:r w:rsidR="00E6775A">
        <w:rPr>
          <w:rFonts w:asciiTheme="majorHAnsi" w:hAnsiTheme="majorHAnsi"/>
          <w:sz w:val="20"/>
          <w:szCs w:val="20"/>
        </w:rPr>
        <w:t>defenselessness</w:t>
      </w:r>
      <w:r w:rsidR="00964584" w:rsidRPr="00A51861">
        <w:rPr>
          <w:rFonts w:asciiTheme="majorHAnsi" w:hAnsiTheme="majorHAnsi"/>
          <w:sz w:val="20"/>
          <w:szCs w:val="20"/>
        </w:rPr>
        <w:t xml:space="preserve">, </w:t>
      </w:r>
      <w:r w:rsidR="00E6775A">
        <w:rPr>
          <w:rFonts w:asciiTheme="majorHAnsi" w:hAnsiTheme="majorHAnsi"/>
          <w:sz w:val="20"/>
          <w:szCs w:val="20"/>
        </w:rPr>
        <w:t>by violating their right to produce the necessary evidence</w:t>
      </w:r>
      <w:r w:rsidR="00964584" w:rsidRPr="00A51861">
        <w:rPr>
          <w:rFonts w:asciiTheme="majorHAnsi" w:hAnsiTheme="majorHAnsi"/>
          <w:sz w:val="20"/>
          <w:szCs w:val="20"/>
        </w:rPr>
        <w:t xml:space="preserve"> </w:t>
      </w:r>
      <w:r w:rsidR="00E6775A">
        <w:rPr>
          <w:rFonts w:asciiTheme="majorHAnsi" w:hAnsiTheme="majorHAnsi"/>
          <w:sz w:val="20"/>
          <w:szCs w:val="20"/>
        </w:rPr>
        <w:t xml:space="preserve">to enforce the </w:t>
      </w:r>
      <w:r w:rsidR="005056C0">
        <w:rPr>
          <w:rFonts w:asciiTheme="majorHAnsi" w:hAnsiTheme="majorHAnsi"/>
          <w:sz w:val="20"/>
          <w:szCs w:val="20"/>
        </w:rPr>
        <w:t>r</w:t>
      </w:r>
      <w:r w:rsidR="004C5A00">
        <w:rPr>
          <w:rFonts w:asciiTheme="majorHAnsi" w:hAnsiTheme="majorHAnsi"/>
          <w:sz w:val="20"/>
          <w:szCs w:val="20"/>
        </w:rPr>
        <w:t>ights</w:t>
      </w:r>
      <w:r w:rsidR="00E6775A">
        <w:rPr>
          <w:rFonts w:asciiTheme="majorHAnsi" w:hAnsiTheme="majorHAnsi"/>
          <w:sz w:val="20"/>
          <w:szCs w:val="20"/>
        </w:rPr>
        <w:t xml:space="preserve"> that they claimed</w:t>
      </w:r>
      <w:r w:rsidR="009D00D5" w:rsidRPr="00A51861">
        <w:rPr>
          <w:rFonts w:asciiTheme="majorHAnsi" w:hAnsiTheme="majorHAnsi"/>
          <w:sz w:val="20"/>
          <w:szCs w:val="20"/>
        </w:rPr>
        <w:t xml:space="preserve">. </w:t>
      </w:r>
      <w:r w:rsidR="00E6775A">
        <w:rPr>
          <w:rFonts w:asciiTheme="majorHAnsi" w:hAnsiTheme="majorHAnsi"/>
          <w:sz w:val="20"/>
          <w:szCs w:val="20"/>
        </w:rPr>
        <w:t>Along the same line</w:t>
      </w:r>
      <w:r w:rsidR="00F92BA8">
        <w:rPr>
          <w:rFonts w:asciiTheme="majorHAnsi" w:hAnsiTheme="majorHAnsi"/>
          <w:sz w:val="20"/>
          <w:szCs w:val="20"/>
        </w:rPr>
        <w:t xml:space="preserve">, </w:t>
      </w:r>
      <w:r w:rsidR="00E6775A">
        <w:rPr>
          <w:rFonts w:asciiTheme="majorHAnsi" w:hAnsiTheme="majorHAnsi"/>
          <w:sz w:val="20"/>
          <w:szCs w:val="20"/>
        </w:rPr>
        <w:t>petitioner claims that all</w:t>
      </w:r>
      <w:r w:rsidR="00964584" w:rsidRPr="00A51861">
        <w:rPr>
          <w:rFonts w:asciiTheme="majorHAnsi" w:hAnsiTheme="majorHAnsi"/>
          <w:sz w:val="20"/>
          <w:szCs w:val="20"/>
        </w:rPr>
        <w:t xml:space="preserve"> </w:t>
      </w:r>
      <w:r w:rsidR="00E92985">
        <w:rPr>
          <w:rFonts w:asciiTheme="majorHAnsi" w:hAnsiTheme="majorHAnsi"/>
          <w:sz w:val="20"/>
          <w:szCs w:val="20"/>
        </w:rPr>
        <w:t>decisions</w:t>
      </w:r>
      <w:r w:rsidR="00964584" w:rsidRPr="00A51861">
        <w:rPr>
          <w:rFonts w:asciiTheme="majorHAnsi" w:hAnsiTheme="majorHAnsi"/>
          <w:sz w:val="20"/>
          <w:szCs w:val="20"/>
        </w:rPr>
        <w:t xml:space="preserve"> </w:t>
      </w:r>
      <w:r w:rsidR="00E6775A">
        <w:rPr>
          <w:rFonts w:asciiTheme="majorHAnsi" w:hAnsiTheme="majorHAnsi"/>
          <w:sz w:val="20"/>
          <w:szCs w:val="20"/>
        </w:rPr>
        <w:t>adopted at the different instances</w:t>
      </w:r>
      <w:r w:rsidR="00E92985">
        <w:rPr>
          <w:rFonts w:asciiTheme="majorHAnsi" w:hAnsiTheme="majorHAnsi"/>
          <w:sz w:val="20"/>
          <w:szCs w:val="20"/>
        </w:rPr>
        <w:t xml:space="preserve"> </w:t>
      </w:r>
      <w:r w:rsidR="00E6775A">
        <w:rPr>
          <w:rFonts w:asciiTheme="majorHAnsi" w:hAnsiTheme="majorHAnsi"/>
          <w:sz w:val="20"/>
          <w:szCs w:val="20"/>
        </w:rPr>
        <w:t>of the proceedings were</w:t>
      </w:r>
      <w:r w:rsidR="00964584" w:rsidRPr="00A51861">
        <w:rPr>
          <w:rFonts w:asciiTheme="majorHAnsi" w:hAnsiTheme="majorHAnsi"/>
          <w:sz w:val="20"/>
          <w:szCs w:val="20"/>
        </w:rPr>
        <w:t xml:space="preserve"> arbitrar</w:t>
      </w:r>
      <w:r w:rsidR="00E6775A">
        <w:rPr>
          <w:rFonts w:asciiTheme="majorHAnsi" w:hAnsiTheme="majorHAnsi"/>
          <w:sz w:val="20"/>
          <w:szCs w:val="20"/>
        </w:rPr>
        <w:t>y</w:t>
      </w:r>
      <w:r w:rsidR="00964584" w:rsidRPr="00A51861">
        <w:rPr>
          <w:rFonts w:asciiTheme="majorHAnsi" w:hAnsiTheme="majorHAnsi"/>
          <w:sz w:val="20"/>
          <w:szCs w:val="20"/>
        </w:rPr>
        <w:t xml:space="preserve">, </w:t>
      </w:r>
      <w:r w:rsidR="00E6775A">
        <w:rPr>
          <w:rFonts w:asciiTheme="majorHAnsi" w:hAnsiTheme="majorHAnsi"/>
          <w:sz w:val="20"/>
          <w:szCs w:val="20"/>
        </w:rPr>
        <w:t>disregarding the other evidence existing in briefs</w:t>
      </w:r>
      <w:r w:rsidR="00964584" w:rsidRPr="00A51861">
        <w:rPr>
          <w:rFonts w:asciiTheme="majorHAnsi" w:hAnsiTheme="majorHAnsi"/>
          <w:sz w:val="20"/>
          <w:szCs w:val="20"/>
        </w:rPr>
        <w:t xml:space="preserve">. </w:t>
      </w:r>
    </w:p>
    <w:p w14:paraId="0BBB5F37" w14:textId="77777777" w:rsidR="001A6931" w:rsidRPr="00A51861" w:rsidRDefault="001A6931" w:rsidP="008E4D36">
      <w:pPr>
        <w:pStyle w:val="ListParagraph"/>
        <w:rPr>
          <w:rFonts w:asciiTheme="majorHAnsi" w:hAnsiTheme="majorHAnsi"/>
          <w:sz w:val="20"/>
          <w:szCs w:val="20"/>
        </w:rPr>
      </w:pPr>
    </w:p>
    <w:p w14:paraId="2E407FB2" w14:textId="14F14A03" w:rsidR="00361415" w:rsidRPr="00A51861" w:rsidRDefault="00F92BA8"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 xml:space="preserve">Likewise, </w:t>
      </w:r>
      <w:r w:rsidR="005F46B6">
        <w:rPr>
          <w:rFonts w:asciiTheme="majorHAnsi" w:hAnsiTheme="majorHAnsi"/>
          <w:sz w:val="20"/>
          <w:szCs w:val="20"/>
        </w:rPr>
        <w:t>it is raised that the fact that in similar cases to those of</w:t>
      </w:r>
      <w:r w:rsidR="00E92985">
        <w:rPr>
          <w:rFonts w:asciiTheme="majorHAnsi" w:hAnsiTheme="majorHAnsi"/>
          <w:sz w:val="20"/>
          <w:szCs w:val="20"/>
        </w:rPr>
        <w:t xml:space="preserve"> </w:t>
      </w:r>
      <w:r w:rsidR="002835FC" w:rsidRPr="00A51861">
        <w:rPr>
          <w:rFonts w:asciiTheme="majorHAnsi" w:hAnsiTheme="majorHAnsi"/>
          <w:sz w:val="20"/>
          <w:szCs w:val="20"/>
        </w:rPr>
        <w:t xml:space="preserve">the alleged victims </w:t>
      </w:r>
      <w:r w:rsidR="00964584" w:rsidRPr="00A51861">
        <w:rPr>
          <w:rFonts w:asciiTheme="majorHAnsi" w:hAnsiTheme="majorHAnsi"/>
          <w:sz w:val="20"/>
          <w:szCs w:val="20"/>
        </w:rPr>
        <w:t>(</w:t>
      </w:r>
      <w:r w:rsidR="005F46B6">
        <w:rPr>
          <w:rFonts w:asciiTheme="majorHAnsi" w:hAnsiTheme="majorHAnsi"/>
          <w:sz w:val="20"/>
          <w:szCs w:val="20"/>
        </w:rPr>
        <w:t>within the same context of</w:t>
      </w:r>
      <w:r w:rsidR="00964584" w:rsidRPr="00A51861">
        <w:rPr>
          <w:rFonts w:asciiTheme="majorHAnsi" w:hAnsiTheme="majorHAnsi"/>
          <w:sz w:val="20"/>
          <w:szCs w:val="20"/>
        </w:rPr>
        <w:t xml:space="preserve"> </w:t>
      </w:r>
      <w:r w:rsidR="005F46B6">
        <w:rPr>
          <w:rFonts w:asciiTheme="majorHAnsi" w:hAnsiTheme="majorHAnsi"/>
          <w:sz w:val="20"/>
          <w:szCs w:val="20"/>
        </w:rPr>
        <w:t xml:space="preserve">political persecution </w:t>
      </w:r>
      <w:r w:rsidR="00E92985">
        <w:rPr>
          <w:rFonts w:asciiTheme="majorHAnsi" w:hAnsiTheme="majorHAnsi"/>
          <w:sz w:val="20"/>
          <w:szCs w:val="20"/>
        </w:rPr>
        <w:t xml:space="preserve">and </w:t>
      </w:r>
      <w:r w:rsidR="005F46B6">
        <w:rPr>
          <w:rFonts w:asciiTheme="majorHAnsi" w:hAnsiTheme="majorHAnsi"/>
          <w:sz w:val="20"/>
          <w:szCs w:val="20"/>
        </w:rPr>
        <w:t>identical</w:t>
      </w:r>
      <w:r w:rsidR="00964584" w:rsidRPr="00A51861">
        <w:rPr>
          <w:rFonts w:asciiTheme="majorHAnsi" w:hAnsiTheme="majorHAnsi"/>
          <w:sz w:val="20"/>
          <w:szCs w:val="20"/>
        </w:rPr>
        <w:t xml:space="preserve"> </w:t>
      </w:r>
      <w:r w:rsidR="005F46B6">
        <w:rPr>
          <w:rFonts w:asciiTheme="majorHAnsi" w:hAnsiTheme="majorHAnsi"/>
          <w:sz w:val="20"/>
          <w:szCs w:val="20"/>
        </w:rPr>
        <w:t>historical and political moments</w:t>
      </w:r>
      <w:r w:rsidR="001523BA" w:rsidRPr="00A51861">
        <w:rPr>
          <w:rFonts w:asciiTheme="majorHAnsi" w:hAnsiTheme="majorHAnsi"/>
          <w:sz w:val="20"/>
          <w:szCs w:val="20"/>
        </w:rPr>
        <w:t xml:space="preserve">), </w:t>
      </w:r>
      <w:r w:rsidR="005F46B6">
        <w:rPr>
          <w:rFonts w:asciiTheme="majorHAnsi" w:hAnsiTheme="majorHAnsi"/>
          <w:sz w:val="20"/>
          <w:szCs w:val="20"/>
        </w:rPr>
        <w:t>there was a determination of repairable damages</w:t>
      </w:r>
      <w:r w:rsidR="00964584" w:rsidRPr="00A51861">
        <w:rPr>
          <w:rFonts w:asciiTheme="majorHAnsi" w:hAnsiTheme="majorHAnsi"/>
          <w:sz w:val="20"/>
          <w:szCs w:val="20"/>
        </w:rPr>
        <w:t xml:space="preserve">, </w:t>
      </w:r>
      <w:r w:rsidR="005F46B6">
        <w:rPr>
          <w:rFonts w:asciiTheme="majorHAnsi" w:hAnsiTheme="majorHAnsi"/>
          <w:sz w:val="20"/>
          <w:szCs w:val="20"/>
        </w:rPr>
        <w:t>without it being recognized</w:t>
      </w:r>
      <w:r w:rsidR="00964584" w:rsidRPr="00A51861">
        <w:rPr>
          <w:rFonts w:asciiTheme="majorHAnsi" w:hAnsiTheme="majorHAnsi"/>
          <w:sz w:val="20"/>
          <w:szCs w:val="20"/>
        </w:rPr>
        <w:t xml:space="preserve"> </w:t>
      </w:r>
      <w:r w:rsidR="005F46B6">
        <w:rPr>
          <w:rFonts w:asciiTheme="majorHAnsi" w:hAnsiTheme="majorHAnsi"/>
          <w:sz w:val="20"/>
          <w:szCs w:val="20"/>
        </w:rPr>
        <w:t>in the cases under study</w:t>
      </w:r>
      <w:r w:rsidR="00964584" w:rsidRPr="00A51861">
        <w:rPr>
          <w:rFonts w:asciiTheme="majorHAnsi" w:hAnsiTheme="majorHAnsi"/>
          <w:sz w:val="20"/>
          <w:szCs w:val="20"/>
        </w:rPr>
        <w:t xml:space="preserve"> </w:t>
      </w:r>
      <w:r w:rsidR="005F46B6">
        <w:rPr>
          <w:rFonts w:asciiTheme="majorHAnsi" w:hAnsiTheme="majorHAnsi"/>
          <w:sz w:val="20"/>
          <w:szCs w:val="20"/>
        </w:rPr>
        <w:t>with no objective nor reasonable justification</w:t>
      </w:r>
      <w:r w:rsidR="00964584" w:rsidRPr="00A51861">
        <w:rPr>
          <w:rFonts w:asciiTheme="majorHAnsi" w:hAnsiTheme="majorHAnsi"/>
          <w:sz w:val="20"/>
          <w:szCs w:val="20"/>
        </w:rPr>
        <w:t>, configur</w:t>
      </w:r>
      <w:r w:rsidR="005F46B6">
        <w:rPr>
          <w:rFonts w:asciiTheme="majorHAnsi" w:hAnsiTheme="majorHAnsi"/>
          <w:sz w:val="20"/>
          <w:szCs w:val="20"/>
        </w:rPr>
        <w:t>ed</w:t>
      </w:r>
      <w:r w:rsidR="00964584" w:rsidRPr="00A51861">
        <w:rPr>
          <w:rFonts w:asciiTheme="majorHAnsi" w:hAnsiTheme="majorHAnsi"/>
          <w:sz w:val="20"/>
          <w:szCs w:val="20"/>
        </w:rPr>
        <w:t xml:space="preserve"> a </w:t>
      </w:r>
      <w:r w:rsidR="004E1083">
        <w:rPr>
          <w:rFonts w:asciiTheme="majorHAnsi" w:hAnsiTheme="majorHAnsi"/>
          <w:sz w:val="20"/>
          <w:szCs w:val="20"/>
        </w:rPr>
        <w:t>violation</w:t>
      </w:r>
      <w:r w:rsidR="00964584" w:rsidRPr="00A51861">
        <w:rPr>
          <w:rFonts w:asciiTheme="majorHAnsi" w:hAnsiTheme="majorHAnsi"/>
          <w:sz w:val="20"/>
          <w:szCs w:val="20"/>
        </w:rPr>
        <w:t xml:space="preserve"> </w:t>
      </w:r>
      <w:r w:rsidR="005F46B6">
        <w:rPr>
          <w:rFonts w:asciiTheme="majorHAnsi" w:hAnsiTheme="majorHAnsi"/>
          <w:sz w:val="20"/>
          <w:szCs w:val="20"/>
        </w:rPr>
        <w:t xml:space="preserve">to the right of equality before the </w:t>
      </w:r>
      <w:r w:rsidR="0029564F">
        <w:rPr>
          <w:rFonts w:asciiTheme="majorHAnsi" w:hAnsiTheme="majorHAnsi"/>
          <w:sz w:val="20"/>
          <w:szCs w:val="20"/>
        </w:rPr>
        <w:t>law</w:t>
      </w:r>
      <w:r w:rsidR="00964584" w:rsidRPr="00A51861">
        <w:rPr>
          <w:rFonts w:asciiTheme="majorHAnsi" w:hAnsiTheme="majorHAnsi"/>
          <w:sz w:val="20"/>
          <w:szCs w:val="20"/>
        </w:rPr>
        <w:t xml:space="preserve">. </w:t>
      </w:r>
      <w:r w:rsidR="005F46B6">
        <w:rPr>
          <w:rFonts w:asciiTheme="majorHAnsi" w:hAnsiTheme="majorHAnsi"/>
          <w:sz w:val="20"/>
          <w:szCs w:val="20"/>
        </w:rPr>
        <w:t>I</w:t>
      </w:r>
      <w:r w:rsidR="00940A0B" w:rsidRPr="00A51861">
        <w:rPr>
          <w:rFonts w:asciiTheme="majorHAnsi" w:hAnsiTheme="majorHAnsi"/>
          <w:sz w:val="20"/>
          <w:szCs w:val="20"/>
        </w:rPr>
        <w:t xml:space="preserve">n particular, </w:t>
      </w:r>
      <w:r w:rsidR="005F46B6">
        <w:rPr>
          <w:rFonts w:asciiTheme="majorHAnsi" w:hAnsiTheme="majorHAnsi"/>
          <w:sz w:val="20"/>
          <w:szCs w:val="20"/>
        </w:rPr>
        <w:t>there was a reference to the</w:t>
      </w:r>
      <w:r w:rsidR="00940A0B" w:rsidRPr="00A51861">
        <w:rPr>
          <w:rFonts w:asciiTheme="majorHAnsi" w:hAnsiTheme="majorHAnsi"/>
          <w:sz w:val="20"/>
          <w:szCs w:val="20"/>
        </w:rPr>
        <w:t xml:space="preserve"> precedents</w:t>
      </w:r>
      <w:r w:rsidR="00E92985">
        <w:rPr>
          <w:rFonts w:asciiTheme="majorHAnsi" w:hAnsiTheme="majorHAnsi"/>
          <w:sz w:val="20"/>
          <w:szCs w:val="20"/>
        </w:rPr>
        <w:t xml:space="preserve"> of the </w:t>
      </w:r>
      <w:r w:rsidR="005D0AC1">
        <w:rPr>
          <w:rFonts w:asciiTheme="majorHAnsi" w:hAnsiTheme="majorHAnsi"/>
          <w:sz w:val="20"/>
          <w:szCs w:val="20"/>
        </w:rPr>
        <w:t>Supreme Court of Justice of the Nation</w:t>
      </w:r>
      <w:r w:rsidR="005F46B6">
        <w:rPr>
          <w:rFonts w:asciiTheme="majorHAnsi" w:hAnsiTheme="majorHAnsi"/>
          <w:sz w:val="20"/>
          <w:szCs w:val="20"/>
        </w:rPr>
        <w:t xml:space="preserve"> in which</w:t>
      </w:r>
      <w:r w:rsidR="00940A0B" w:rsidRPr="00A51861">
        <w:rPr>
          <w:rFonts w:asciiTheme="majorHAnsi" w:hAnsiTheme="majorHAnsi"/>
          <w:sz w:val="20"/>
          <w:szCs w:val="20"/>
        </w:rPr>
        <w:t xml:space="preserve">, </w:t>
      </w:r>
      <w:r w:rsidR="005F46B6">
        <w:rPr>
          <w:rFonts w:asciiTheme="majorHAnsi" w:hAnsiTheme="majorHAnsi"/>
          <w:sz w:val="20"/>
          <w:szCs w:val="20"/>
        </w:rPr>
        <w:t>in similar cases</w:t>
      </w:r>
      <w:r w:rsidR="00940A0B" w:rsidRPr="00A51861">
        <w:rPr>
          <w:rFonts w:asciiTheme="majorHAnsi" w:hAnsiTheme="majorHAnsi"/>
          <w:sz w:val="20"/>
          <w:szCs w:val="20"/>
        </w:rPr>
        <w:t xml:space="preserve">, </w:t>
      </w:r>
      <w:r w:rsidR="005F46B6">
        <w:rPr>
          <w:rFonts w:asciiTheme="majorHAnsi" w:hAnsiTheme="majorHAnsi"/>
          <w:sz w:val="20"/>
          <w:szCs w:val="20"/>
        </w:rPr>
        <w:t xml:space="preserve">the benefit of said </w:t>
      </w:r>
      <w:r w:rsidR="0029564F">
        <w:rPr>
          <w:rFonts w:asciiTheme="majorHAnsi" w:hAnsiTheme="majorHAnsi"/>
          <w:sz w:val="20"/>
          <w:szCs w:val="20"/>
        </w:rPr>
        <w:t>law</w:t>
      </w:r>
      <w:r w:rsidR="005F46B6">
        <w:rPr>
          <w:rFonts w:asciiTheme="majorHAnsi" w:hAnsiTheme="majorHAnsi"/>
          <w:sz w:val="20"/>
          <w:szCs w:val="20"/>
        </w:rPr>
        <w:t xml:space="preserve"> was granted</w:t>
      </w:r>
      <w:r w:rsidR="00940A0B" w:rsidRPr="00A51861">
        <w:rPr>
          <w:rFonts w:asciiTheme="majorHAnsi" w:hAnsiTheme="majorHAnsi"/>
          <w:sz w:val="20"/>
          <w:szCs w:val="20"/>
        </w:rPr>
        <w:t>.</w:t>
      </w:r>
    </w:p>
    <w:p w14:paraId="7B6FAAC6" w14:textId="77777777" w:rsidR="001A6931" w:rsidRPr="00A51861" w:rsidRDefault="001A6931" w:rsidP="008E4D3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Theme="majorHAnsi" w:hAnsiTheme="majorHAnsi"/>
          <w:color w:val="548DD4" w:themeColor="text2" w:themeTint="99"/>
          <w:sz w:val="20"/>
          <w:szCs w:val="20"/>
        </w:rPr>
      </w:pPr>
    </w:p>
    <w:p w14:paraId="05F76957" w14:textId="2451FCEF" w:rsidR="00D12193" w:rsidRPr="00A51861" w:rsidRDefault="002835FC" w:rsidP="00DA471F">
      <w:pPr>
        <w:pStyle w:val="Heading2"/>
        <w:keepN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720"/>
        <w:rPr>
          <w:lang w:val="en-US"/>
        </w:rPr>
      </w:pPr>
      <w:bookmarkStart w:id="5" w:name="_Toc196383469"/>
      <w:r w:rsidRPr="00A51861">
        <w:rPr>
          <w:lang w:val="en-US"/>
        </w:rPr>
        <w:t>The State</w:t>
      </w:r>
      <w:bookmarkEnd w:id="5"/>
    </w:p>
    <w:p w14:paraId="7F90E85F" w14:textId="77777777" w:rsidR="007C756A" w:rsidRPr="00A51861" w:rsidRDefault="007C756A" w:rsidP="008E4D36">
      <w:pPr>
        <w:suppressAutoHyphens/>
        <w:rPr>
          <w:rFonts w:asciiTheme="majorHAnsi" w:hAnsiTheme="majorHAnsi"/>
          <w:sz w:val="20"/>
          <w:szCs w:val="20"/>
        </w:rPr>
      </w:pPr>
    </w:p>
    <w:p w14:paraId="752F866F" w14:textId="05ED8E80" w:rsidR="00964584" w:rsidRPr="00A51861" w:rsidRDefault="004B0BF9"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During the a</w:t>
      </w:r>
      <w:r w:rsidR="00F92BA8">
        <w:rPr>
          <w:rFonts w:asciiTheme="majorHAnsi" w:hAnsiTheme="majorHAnsi"/>
          <w:sz w:val="20"/>
          <w:szCs w:val="20"/>
        </w:rPr>
        <w:t>dmissibility</w:t>
      </w:r>
      <w:r>
        <w:rPr>
          <w:rFonts w:asciiTheme="majorHAnsi" w:hAnsiTheme="majorHAnsi"/>
          <w:sz w:val="20"/>
          <w:szCs w:val="20"/>
        </w:rPr>
        <w:t xml:space="preserve"> stage</w:t>
      </w:r>
      <w:r w:rsidR="004B474F" w:rsidRPr="00A51861">
        <w:rPr>
          <w:rFonts w:asciiTheme="majorHAnsi" w:hAnsiTheme="majorHAnsi"/>
          <w:sz w:val="20"/>
          <w:szCs w:val="20"/>
        </w:rPr>
        <w:t xml:space="preserve">, </w:t>
      </w:r>
      <w:r w:rsidR="00F92BA8">
        <w:rPr>
          <w:rFonts w:asciiTheme="majorHAnsi" w:hAnsiTheme="majorHAnsi"/>
          <w:sz w:val="20"/>
          <w:szCs w:val="20"/>
        </w:rPr>
        <w:t>the State</w:t>
      </w:r>
      <w:r w:rsidR="004B474F" w:rsidRPr="00A51861">
        <w:rPr>
          <w:rFonts w:asciiTheme="majorHAnsi" w:hAnsiTheme="majorHAnsi"/>
          <w:sz w:val="20"/>
          <w:szCs w:val="20"/>
        </w:rPr>
        <w:t xml:space="preserve"> </w:t>
      </w:r>
      <w:r w:rsidR="00200AC7">
        <w:rPr>
          <w:rFonts w:asciiTheme="majorHAnsi" w:hAnsiTheme="majorHAnsi"/>
          <w:sz w:val="20"/>
          <w:szCs w:val="20"/>
        </w:rPr>
        <w:t>asserted</w:t>
      </w:r>
      <w:r w:rsidR="00E92985">
        <w:rPr>
          <w:rFonts w:asciiTheme="majorHAnsi" w:hAnsiTheme="majorHAnsi"/>
          <w:sz w:val="20"/>
          <w:szCs w:val="20"/>
        </w:rPr>
        <w:t xml:space="preserve"> that the </w:t>
      </w:r>
      <w:r w:rsidR="00964584" w:rsidRPr="00A51861">
        <w:rPr>
          <w:rFonts w:asciiTheme="majorHAnsi" w:hAnsiTheme="majorHAnsi"/>
          <w:sz w:val="20"/>
          <w:szCs w:val="20"/>
        </w:rPr>
        <w:t>orig</w:t>
      </w:r>
      <w:r w:rsidR="00200AC7">
        <w:rPr>
          <w:rFonts w:asciiTheme="majorHAnsi" w:hAnsiTheme="majorHAnsi"/>
          <w:sz w:val="20"/>
          <w:szCs w:val="20"/>
        </w:rPr>
        <w:t>i</w:t>
      </w:r>
      <w:r w:rsidR="00964584" w:rsidRPr="00A51861">
        <w:rPr>
          <w:rFonts w:asciiTheme="majorHAnsi" w:hAnsiTheme="majorHAnsi"/>
          <w:sz w:val="20"/>
          <w:szCs w:val="20"/>
        </w:rPr>
        <w:t>n</w:t>
      </w:r>
      <w:r w:rsidR="00E92985">
        <w:rPr>
          <w:rFonts w:asciiTheme="majorHAnsi" w:hAnsiTheme="majorHAnsi"/>
          <w:sz w:val="20"/>
          <w:szCs w:val="20"/>
        </w:rPr>
        <w:t xml:space="preserve"> of </w:t>
      </w:r>
      <w:r w:rsidR="00200AC7">
        <w:rPr>
          <w:rFonts w:asciiTheme="majorHAnsi" w:hAnsiTheme="majorHAnsi"/>
          <w:sz w:val="20"/>
          <w:szCs w:val="20"/>
        </w:rPr>
        <w:t xml:space="preserve">Argentine </w:t>
      </w:r>
      <w:r w:rsidR="00200AC7" w:rsidRPr="00A51861">
        <w:rPr>
          <w:rFonts w:asciiTheme="majorHAnsi" w:hAnsiTheme="majorHAnsi"/>
          <w:sz w:val="20"/>
          <w:szCs w:val="20"/>
        </w:rPr>
        <w:t>reparat</w:t>
      </w:r>
      <w:r w:rsidR="00200AC7">
        <w:rPr>
          <w:rFonts w:asciiTheme="majorHAnsi" w:hAnsiTheme="majorHAnsi"/>
          <w:sz w:val="20"/>
          <w:szCs w:val="20"/>
        </w:rPr>
        <w:t>ion</w:t>
      </w:r>
      <w:r w:rsidR="00200AC7" w:rsidRPr="00A51861">
        <w:rPr>
          <w:rFonts w:asciiTheme="majorHAnsi" w:hAnsiTheme="majorHAnsi"/>
          <w:sz w:val="20"/>
          <w:szCs w:val="20"/>
        </w:rPr>
        <w:t xml:space="preserve"> </w:t>
      </w:r>
      <w:r w:rsidR="0029564F">
        <w:rPr>
          <w:rFonts w:asciiTheme="majorHAnsi" w:hAnsiTheme="majorHAnsi"/>
          <w:sz w:val="20"/>
          <w:szCs w:val="20"/>
        </w:rPr>
        <w:t>law</w:t>
      </w:r>
      <w:r w:rsidR="00964584" w:rsidRPr="00A51861">
        <w:rPr>
          <w:rFonts w:asciiTheme="majorHAnsi" w:hAnsiTheme="majorHAnsi"/>
          <w:sz w:val="20"/>
          <w:szCs w:val="20"/>
        </w:rPr>
        <w:t xml:space="preserve">s </w:t>
      </w:r>
      <w:r w:rsidR="00323EBA">
        <w:rPr>
          <w:rFonts w:asciiTheme="majorHAnsi" w:hAnsiTheme="majorHAnsi"/>
          <w:sz w:val="20"/>
          <w:szCs w:val="20"/>
        </w:rPr>
        <w:t>is found</w:t>
      </w:r>
      <w:r w:rsidR="00200AC7">
        <w:rPr>
          <w:rFonts w:asciiTheme="majorHAnsi" w:hAnsiTheme="majorHAnsi"/>
          <w:sz w:val="20"/>
          <w:szCs w:val="20"/>
        </w:rPr>
        <w:t xml:space="preserve"> in several cases conducted before</w:t>
      </w:r>
      <w:r w:rsidR="00964584" w:rsidRPr="00A51861">
        <w:rPr>
          <w:rFonts w:asciiTheme="majorHAnsi" w:hAnsiTheme="majorHAnsi"/>
          <w:sz w:val="20"/>
          <w:szCs w:val="20"/>
        </w:rPr>
        <w:t xml:space="preserve"> </w:t>
      </w:r>
      <w:r w:rsidR="00E92985">
        <w:rPr>
          <w:rFonts w:asciiTheme="majorHAnsi" w:hAnsiTheme="majorHAnsi"/>
          <w:sz w:val="20"/>
          <w:szCs w:val="20"/>
        </w:rPr>
        <w:t>the Commission</w:t>
      </w:r>
      <w:r w:rsidR="00964584" w:rsidRPr="00A51861">
        <w:rPr>
          <w:rFonts w:asciiTheme="majorHAnsi" w:hAnsiTheme="majorHAnsi"/>
          <w:sz w:val="20"/>
          <w:szCs w:val="20"/>
        </w:rPr>
        <w:t xml:space="preserve">, </w:t>
      </w:r>
      <w:r w:rsidR="00200AC7">
        <w:rPr>
          <w:rFonts w:asciiTheme="majorHAnsi" w:hAnsiTheme="majorHAnsi"/>
          <w:sz w:val="20"/>
          <w:szCs w:val="20"/>
        </w:rPr>
        <w:t>which implied th</w:t>
      </w:r>
      <w:r w:rsidR="00E92985">
        <w:rPr>
          <w:rFonts w:asciiTheme="majorHAnsi" w:hAnsiTheme="majorHAnsi"/>
          <w:sz w:val="20"/>
          <w:szCs w:val="20"/>
        </w:rPr>
        <w:t xml:space="preserve">at the </w:t>
      </w:r>
      <w:r w:rsidR="00200AC7">
        <w:rPr>
          <w:rFonts w:asciiTheme="majorHAnsi" w:hAnsiTheme="majorHAnsi"/>
          <w:sz w:val="20"/>
          <w:szCs w:val="20"/>
        </w:rPr>
        <w:t xml:space="preserve">National Executive Power dictated Decree </w:t>
      </w:r>
      <w:r w:rsidR="009D00D5" w:rsidRPr="00A51861">
        <w:rPr>
          <w:rFonts w:asciiTheme="majorHAnsi" w:hAnsiTheme="majorHAnsi"/>
          <w:sz w:val="20"/>
          <w:szCs w:val="20"/>
        </w:rPr>
        <w:t xml:space="preserve">No. 70/91. </w:t>
      </w:r>
      <w:r w:rsidR="00200AC7">
        <w:rPr>
          <w:rFonts w:asciiTheme="majorHAnsi" w:hAnsiTheme="majorHAnsi"/>
          <w:sz w:val="20"/>
          <w:szCs w:val="20"/>
        </w:rPr>
        <w:t>It holds that other norms have been sanctioned afterward</w:t>
      </w:r>
      <w:r w:rsidR="00964584" w:rsidRPr="00A51861">
        <w:rPr>
          <w:rFonts w:asciiTheme="majorHAnsi" w:hAnsiTheme="majorHAnsi"/>
          <w:sz w:val="20"/>
          <w:szCs w:val="20"/>
        </w:rPr>
        <w:t xml:space="preserve">, </w:t>
      </w:r>
      <w:r w:rsidR="00200AC7">
        <w:rPr>
          <w:rFonts w:asciiTheme="majorHAnsi" w:hAnsiTheme="majorHAnsi"/>
          <w:sz w:val="20"/>
          <w:szCs w:val="20"/>
        </w:rPr>
        <w:t>i</w:t>
      </w:r>
      <w:r w:rsidR="00964584" w:rsidRPr="00A51861">
        <w:rPr>
          <w:rFonts w:asciiTheme="majorHAnsi" w:hAnsiTheme="majorHAnsi"/>
          <w:sz w:val="20"/>
          <w:szCs w:val="20"/>
        </w:rPr>
        <w:t xml:space="preserve">n particular </w:t>
      </w:r>
      <w:r w:rsidR="002835FC" w:rsidRPr="00A51861">
        <w:rPr>
          <w:rFonts w:asciiTheme="majorHAnsi" w:hAnsiTheme="majorHAnsi"/>
          <w:sz w:val="20"/>
          <w:szCs w:val="20"/>
        </w:rPr>
        <w:t xml:space="preserve">Law </w:t>
      </w:r>
      <w:r w:rsidR="00964584" w:rsidRPr="00A51861">
        <w:rPr>
          <w:rFonts w:asciiTheme="majorHAnsi" w:hAnsiTheme="majorHAnsi"/>
          <w:sz w:val="20"/>
          <w:szCs w:val="20"/>
        </w:rPr>
        <w:t xml:space="preserve">24.043 </w:t>
      </w:r>
      <w:r w:rsidR="00200AC7">
        <w:rPr>
          <w:rFonts w:asciiTheme="majorHAnsi" w:hAnsiTheme="majorHAnsi"/>
          <w:sz w:val="20"/>
          <w:szCs w:val="20"/>
        </w:rPr>
        <w:t>which foresees compensations for persons placed at the disposal of the</w:t>
      </w:r>
      <w:r w:rsidR="00964584" w:rsidRPr="00A51861">
        <w:rPr>
          <w:rFonts w:asciiTheme="majorHAnsi" w:hAnsiTheme="majorHAnsi"/>
          <w:sz w:val="20"/>
          <w:szCs w:val="20"/>
        </w:rPr>
        <w:t xml:space="preserve"> </w:t>
      </w:r>
      <w:r w:rsidR="00200AC7">
        <w:rPr>
          <w:rFonts w:asciiTheme="majorHAnsi" w:hAnsiTheme="majorHAnsi"/>
          <w:sz w:val="20"/>
          <w:szCs w:val="20"/>
        </w:rPr>
        <w:t>National Executive Power within the period elapsed between</w:t>
      </w:r>
      <w:r w:rsidR="00964584" w:rsidRPr="00A51861">
        <w:rPr>
          <w:rFonts w:asciiTheme="majorHAnsi" w:hAnsiTheme="majorHAnsi"/>
          <w:sz w:val="20"/>
          <w:szCs w:val="20"/>
        </w:rPr>
        <w:t xml:space="preserve"> </w:t>
      </w:r>
      <w:r w:rsidR="00200AC7">
        <w:rPr>
          <w:rFonts w:asciiTheme="majorHAnsi" w:hAnsiTheme="majorHAnsi"/>
          <w:sz w:val="20"/>
          <w:szCs w:val="20"/>
        </w:rPr>
        <w:t xml:space="preserve">November 6, </w:t>
      </w:r>
      <w:r w:rsidR="00964584" w:rsidRPr="00A51861">
        <w:rPr>
          <w:rFonts w:asciiTheme="majorHAnsi" w:hAnsiTheme="majorHAnsi"/>
          <w:sz w:val="20"/>
          <w:szCs w:val="20"/>
        </w:rPr>
        <w:t>1974 (</w:t>
      </w:r>
      <w:r w:rsidR="00200AC7">
        <w:rPr>
          <w:rFonts w:asciiTheme="majorHAnsi" w:hAnsiTheme="majorHAnsi"/>
          <w:sz w:val="20"/>
          <w:szCs w:val="20"/>
        </w:rPr>
        <w:t xml:space="preserve">date </w:t>
      </w:r>
      <w:r w:rsidR="00E92985">
        <w:rPr>
          <w:rFonts w:asciiTheme="majorHAnsi" w:hAnsiTheme="majorHAnsi"/>
          <w:sz w:val="20"/>
          <w:szCs w:val="20"/>
        </w:rPr>
        <w:t xml:space="preserve">of </w:t>
      </w:r>
      <w:r w:rsidR="00200AC7" w:rsidRPr="00A51861">
        <w:rPr>
          <w:rFonts w:asciiTheme="majorHAnsi" w:hAnsiTheme="majorHAnsi"/>
          <w:sz w:val="20"/>
          <w:szCs w:val="20"/>
        </w:rPr>
        <w:t>declaration</w:t>
      </w:r>
      <w:r w:rsidR="00E92985">
        <w:rPr>
          <w:rFonts w:asciiTheme="majorHAnsi" w:hAnsiTheme="majorHAnsi"/>
          <w:sz w:val="20"/>
          <w:szCs w:val="20"/>
        </w:rPr>
        <w:t xml:space="preserve"> of</w:t>
      </w:r>
      <w:r w:rsidR="0076580C">
        <w:rPr>
          <w:rFonts w:asciiTheme="majorHAnsi" w:hAnsiTheme="majorHAnsi"/>
          <w:sz w:val="20"/>
          <w:szCs w:val="20"/>
        </w:rPr>
        <w:t xml:space="preserve"> </w:t>
      </w:r>
      <w:r w:rsidR="001A0B84">
        <w:rPr>
          <w:rFonts w:asciiTheme="majorHAnsi" w:hAnsiTheme="majorHAnsi"/>
          <w:sz w:val="20"/>
          <w:szCs w:val="20"/>
        </w:rPr>
        <w:t>State of Siege</w:t>
      </w:r>
      <w:r w:rsidR="00964584" w:rsidRPr="00A51861">
        <w:rPr>
          <w:rFonts w:asciiTheme="majorHAnsi" w:hAnsiTheme="majorHAnsi"/>
          <w:sz w:val="20"/>
          <w:szCs w:val="20"/>
        </w:rPr>
        <w:t xml:space="preserve"> </w:t>
      </w:r>
      <w:r w:rsidR="00200AC7">
        <w:rPr>
          <w:rFonts w:asciiTheme="majorHAnsi" w:hAnsiTheme="majorHAnsi"/>
          <w:sz w:val="20"/>
          <w:szCs w:val="20"/>
        </w:rPr>
        <w:t>i</w:t>
      </w:r>
      <w:r w:rsidR="00964584" w:rsidRPr="00A51861">
        <w:rPr>
          <w:rFonts w:asciiTheme="majorHAnsi" w:hAnsiTheme="majorHAnsi"/>
          <w:sz w:val="20"/>
          <w:szCs w:val="20"/>
        </w:rPr>
        <w:t xml:space="preserve">n Argentina) </w:t>
      </w:r>
      <w:r w:rsidR="00200AC7">
        <w:rPr>
          <w:rFonts w:asciiTheme="majorHAnsi" w:hAnsiTheme="majorHAnsi"/>
          <w:sz w:val="20"/>
          <w:szCs w:val="20"/>
        </w:rPr>
        <w:t>and December 10,</w:t>
      </w:r>
      <w:r w:rsidR="00E92985">
        <w:rPr>
          <w:rFonts w:asciiTheme="majorHAnsi" w:hAnsiTheme="majorHAnsi"/>
          <w:sz w:val="20"/>
          <w:szCs w:val="20"/>
        </w:rPr>
        <w:t xml:space="preserve"> </w:t>
      </w:r>
      <w:r w:rsidR="00964584" w:rsidRPr="00A51861">
        <w:rPr>
          <w:rFonts w:asciiTheme="majorHAnsi" w:hAnsiTheme="majorHAnsi"/>
          <w:sz w:val="20"/>
          <w:szCs w:val="20"/>
        </w:rPr>
        <w:t>1983</w:t>
      </w:r>
      <w:r w:rsidR="009D00D5" w:rsidRPr="00A51861">
        <w:rPr>
          <w:rFonts w:asciiTheme="majorHAnsi" w:hAnsiTheme="majorHAnsi"/>
          <w:sz w:val="20"/>
          <w:szCs w:val="20"/>
        </w:rPr>
        <w:t xml:space="preserve"> (</w:t>
      </w:r>
      <w:r w:rsidR="00200AC7">
        <w:rPr>
          <w:rFonts w:asciiTheme="majorHAnsi" w:hAnsiTheme="majorHAnsi"/>
          <w:sz w:val="20"/>
          <w:szCs w:val="20"/>
        </w:rPr>
        <w:t xml:space="preserve">date when the </w:t>
      </w:r>
      <w:r w:rsidR="009D00D5" w:rsidRPr="00A51861">
        <w:rPr>
          <w:rFonts w:asciiTheme="majorHAnsi" w:hAnsiTheme="majorHAnsi"/>
          <w:sz w:val="20"/>
          <w:szCs w:val="20"/>
        </w:rPr>
        <w:t>democr</w:t>
      </w:r>
      <w:r w:rsidR="00200AC7">
        <w:rPr>
          <w:rFonts w:asciiTheme="majorHAnsi" w:hAnsiTheme="majorHAnsi"/>
          <w:sz w:val="20"/>
          <w:szCs w:val="20"/>
        </w:rPr>
        <w:t>a</w:t>
      </w:r>
      <w:r w:rsidR="009D00D5" w:rsidRPr="00A51861">
        <w:rPr>
          <w:rFonts w:asciiTheme="majorHAnsi" w:hAnsiTheme="majorHAnsi"/>
          <w:sz w:val="20"/>
          <w:szCs w:val="20"/>
        </w:rPr>
        <w:t>tic</w:t>
      </w:r>
      <w:r w:rsidR="00200AC7">
        <w:rPr>
          <w:rFonts w:asciiTheme="majorHAnsi" w:hAnsiTheme="majorHAnsi"/>
          <w:sz w:val="20"/>
          <w:szCs w:val="20"/>
        </w:rPr>
        <w:t xml:space="preserve"> g</w:t>
      </w:r>
      <w:r w:rsidR="009D00D5" w:rsidRPr="00A51861">
        <w:rPr>
          <w:rFonts w:asciiTheme="majorHAnsi" w:hAnsiTheme="majorHAnsi"/>
          <w:sz w:val="20"/>
          <w:szCs w:val="20"/>
        </w:rPr>
        <w:t>o</w:t>
      </w:r>
      <w:r w:rsidR="00200AC7">
        <w:rPr>
          <w:rFonts w:asciiTheme="majorHAnsi" w:hAnsiTheme="majorHAnsi"/>
          <w:sz w:val="20"/>
          <w:szCs w:val="20"/>
        </w:rPr>
        <w:t>vernment was rein</w:t>
      </w:r>
      <w:r w:rsidR="00B4073F">
        <w:rPr>
          <w:rFonts w:asciiTheme="majorHAnsi" w:hAnsiTheme="majorHAnsi"/>
          <w:sz w:val="20"/>
          <w:szCs w:val="20"/>
        </w:rPr>
        <w:t>s</w:t>
      </w:r>
      <w:r w:rsidR="00200AC7">
        <w:rPr>
          <w:rFonts w:asciiTheme="majorHAnsi" w:hAnsiTheme="majorHAnsi"/>
          <w:sz w:val="20"/>
          <w:szCs w:val="20"/>
        </w:rPr>
        <w:t>tated</w:t>
      </w:r>
      <w:r w:rsidR="009D00D5" w:rsidRPr="00A51861">
        <w:rPr>
          <w:rFonts w:asciiTheme="majorHAnsi" w:hAnsiTheme="majorHAnsi"/>
          <w:sz w:val="20"/>
          <w:szCs w:val="20"/>
        </w:rPr>
        <w:t xml:space="preserve">). </w:t>
      </w:r>
      <w:r w:rsidR="00B4073F">
        <w:rPr>
          <w:rFonts w:asciiTheme="majorHAnsi" w:hAnsiTheme="majorHAnsi"/>
          <w:sz w:val="20"/>
          <w:szCs w:val="20"/>
        </w:rPr>
        <w:t>It argues that in</w:t>
      </w:r>
      <w:r w:rsidR="00964584" w:rsidRPr="00A51861">
        <w:rPr>
          <w:rFonts w:asciiTheme="majorHAnsi" w:hAnsiTheme="majorHAnsi"/>
          <w:sz w:val="20"/>
          <w:szCs w:val="20"/>
        </w:rPr>
        <w:t xml:space="preserve"> 2009 </w:t>
      </w:r>
      <w:r w:rsidR="002835FC" w:rsidRPr="00A51861">
        <w:rPr>
          <w:rFonts w:asciiTheme="majorHAnsi" w:hAnsiTheme="majorHAnsi"/>
          <w:sz w:val="20"/>
          <w:szCs w:val="20"/>
        </w:rPr>
        <w:t xml:space="preserve">Law </w:t>
      </w:r>
      <w:r w:rsidR="00964584" w:rsidRPr="00A51861">
        <w:rPr>
          <w:rFonts w:asciiTheme="majorHAnsi" w:hAnsiTheme="majorHAnsi"/>
          <w:sz w:val="20"/>
          <w:szCs w:val="20"/>
        </w:rPr>
        <w:t xml:space="preserve">26.564, </w:t>
      </w:r>
      <w:r w:rsidR="00B4073F">
        <w:rPr>
          <w:rFonts w:asciiTheme="majorHAnsi" w:hAnsiTheme="majorHAnsi"/>
          <w:sz w:val="20"/>
          <w:szCs w:val="20"/>
        </w:rPr>
        <w:t xml:space="preserve">was also sanctioned by means of which the concept of </w:t>
      </w:r>
      <w:r w:rsidR="00964584" w:rsidRPr="00A51861">
        <w:rPr>
          <w:rFonts w:asciiTheme="majorHAnsi" w:hAnsiTheme="majorHAnsi"/>
          <w:sz w:val="20"/>
          <w:szCs w:val="20"/>
        </w:rPr>
        <w:t>"</w:t>
      </w:r>
      <w:r w:rsidR="00B4073F">
        <w:rPr>
          <w:rFonts w:asciiTheme="majorHAnsi" w:hAnsiTheme="majorHAnsi"/>
          <w:sz w:val="20"/>
          <w:szCs w:val="20"/>
        </w:rPr>
        <w:t>victim</w:t>
      </w:r>
      <w:r w:rsidR="00964584" w:rsidRPr="00A51861">
        <w:rPr>
          <w:rFonts w:asciiTheme="majorHAnsi" w:hAnsiTheme="majorHAnsi"/>
          <w:sz w:val="20"/>
          <w:szCs w:val="20"/>
        </w:rPr>
        <w:t>”</w:t>
      </w:r>
      <w:r w:rsidR="00B4073F">
        <w:rPr>
          <w:rFonts w:asciiTheme="majorHAnsi" w:hAnsiTheme="majorHAnsi"/>
          <w:sz w:val="20"/>
          <w:szCs w:val="20"/>
        </w:rPr>
        <w:t xml:space="preserve"> was expanded</w:t>
      </w:r>
      <w:r w:rsidR="00964584" w:rsidRPr="00A51861">
        <w:rPr>
          <w:rFonts w:asciiTheme="majorHAnsi" w:hAnsiTheme="majorHAnsi"/>
          <w:sz w:val="20"/>
          <w:szCs w:val="20"/>
        </w:rPr>
        <w:t>, incorpora</w:t>
      </w:r>
      <w:r w:rsidR="00B4073F">
        <w:rPr>
          <w:rFonts w:asciiTheme="majorHAnsi" w:hAnsiTheme="majorHAnsi"/>
          <w:sz w:val="20"/>
          <w:szCs w:val="20"/>
        </w:rPr>
        <w:t>ting</w:t>
      </w:r>
      <w:r w:rsidR="00964584" w:rsidRPr="00A51861">
        <w:rPr>
          <w:rFonts w:asciiTheme="majorHAnsi" w:hAnsiTheme="majorHAnsi"/>
          <w:sz w:val="20"/>
          <w:szCs w:val="20"/>
        </w:rPr>
        <w:t xml:space="preserve"> </w:t>
      </w:r>
      <w:r w:rsidR="00B4073F">
        <w:rPr>
          <w:rFonts w:asciiTheme="majorHAnsi" w:hAnsiTheme="majorHAnsi"/>
          <w:sz w:val="20"/>
          <w:szCs w:val="20"/>
        </w:rPr>
        <w:t>the benefits</w:t>
      </w:r>
      <w:r w:rsidR="00E92985">
        <w:rPr>
          <w:rFonts w:asciiTheme="majorHAnsi" w:hAnsiTheme="majorHAnsi"/>
          <w:sz w:val="20"/>
          <w:szCs w:val="20"/>
        </w:rPr>
        <w:t xml:space="preserve"> of </w:t>
      </w:r>
      <w:r w:rsidR="00B4073F">
        <w:rPr>
          <w:rFonts w:asciiTheme="majorHAnsi" w:hAnsiTheme="majorHAnsi"/>
          <w:sz w:val="20"/>
          <w:szCs w:val="20"/>
        </w:rPr>
        <w:t xml:space="preserve">existing </w:t>
      </w:r>
      <w:r w:rsidR="0029564F">
        <w:rPr>
          <w:rFonts w:asciiTheme="majorHAnsi" w:hAnsiTheme="majorHAnsi"/>
          <w:sz w:val="20"/>
          <w:szCs w:val="20"/>
        </w:rPr>
        <w:t>law</w:t>
      </w:r>
      <w:r w:rsidR="00964584" w:rsidRPr="00A51861">
        <w:rPr>
          <w:rFonts w:asciiTheme="majorHAnsi" w:hAnsiTheme="majorHAnsi"/>
          <w:sz w:val="20"/>
          <w:szCs w:val="20"/>
        </w:rPr>
        <w:t xml:space="preserve">s </w:t>
      </w:r>
      <w:r w:rsidR="00B4073F">
        <w:rPr>
          <w:rFonts w:asciiTheme="majorHAnsi" w:hAnsiTheme="majorHAnsi"/>
          <w:sz w:val="20"/>
          <w:szCs w:val="20"/>
        </w:rPr>
        <w:t xml:space="preserve">to </w:t>
      </w:r>
      <w:r w:rsidR="00323EBA">
        <w:rPr>
          <w:rFonts w:asciiTheme="majorHAnsi" w:hAnsiTheme="majorHAnsi"/>
          <w:sz w:val="20"/>
          <w:szCs w:val="20"/>
        </w:rPr>
        <w:t>t</w:t>
      </w:r>
      <w:r w:rsidR="00B4073F">
        <w:rPr>
          <w:rFonts w:asciiTheme="majorHAnsi" w:hAnsiTheme="majorHAnsi"/>
          <w:sz w:val="20"/>
          <w:szCs w:val="20"/>
        </w:rPr>
        <w:t>hose who</w:t>
      </w:r>
      <w:r w:rsidR="00964584" w:rsidRPr="00A51861">
        <w:rPr>
          <w:rFonts w:asciiTheme="majorHAnsi" w:hAnsiTheme="majorHAnsi"/>
          <w:sz w:val="20"/>
          <w:szCs w:val="20"/>
        </w:rPr>
        <w:t xml:space="preserve"> “</w:t>
      </w:r>
      <w:r w:rsidR="00B4073F">
        <w:rPr>
          <w:rFonts w:asciiTheme="majorHAnsi" w:hAnsiTheme="majorHAnsi"/>
          <w:sz w:val="20"/>
          <w:szCs w:val="20"/>
        </w:rPr>
        <w:t>were detained for political reasons</w:t>
      </w:r>
      <w:r w:rsidR="00964584" w:rsidRPr="00A51861">
        <w:rPr>
          <w:rFonts w:asciiTheme="majorHAnsi" w:hAnsiTheme="majorHAnsi"/>
          <w:sz w:val="20"/>
          <w:szCs w:val="20"/>
        </w:rPr>
        <w:t xml:space="preserve"> </w:t>
      </w:r>
      <w:r w:rsidR="00B4073F">
        <w:rPr>
          <w:rFonts w:asciiTheme="majorHAnsi" w:hAnsiTheme="majorHAnsi"/>
          <w:sz w:val="20"/>
          <w:szCs w:val="20"/>
        </w:rPr>
        <w:t xml:space="preserve">at the disposal of federal or </w:t>
      </w:r>
      <w:r w:rsidR="00B4073F" w:rsidRPr="00A51861">
        <w:rPr>
          <w:rFonts w:asciiTheme="majorHAnsi" w:hAnsiTheme="majorHAnsi"/>
          <w:sz w:val="20"/>
          <w:szCs w:val="20"/>
        </w:rPr>
        <w:t xml:space="preserve">provincial </w:t>
      </w:r>
      <w:r w:rsidR="0029564F">
        <w:rPr>
          <w:rFonts w:asciiTheme="majorHAnsi" w:hAnsiTheme="majorHAnsi"/>
          <w:sz w:val="20"/>
          <w:szCs w:val="20"/>
        </w:rPr>
        <w:t>federal</w:t>
      </w:r>
      <w:r w:rsidR="00E92985">
        <w:rPr>
          <w:rFonts w:asciiTheme="majorHAnsi" w:hAnsiTheme="majorHAnsi"/>
          <w:sz w:val="20"/>
          <w:szCs w:val="20"/>
        </w:rPr>
        <w:t xml:space="preserve"> </w:t>
      </w:r>
      <w:r w:rsidR="00323EBA">
        <w:rPr>
          <w:rFonts w:asciiTheme="majorHAnsi" w:hAnsiTheme="majorHAnsi"/>
          <w:sz w:val="20"/>
          <w:szCs w:val="20"/>
        </w:rPr>
        <w:t>courts</w:t>
      </w:r>
      <w:r w:rsidR="00323EBA" w:rsidRPr="00A51861">
        <w:rPr>
          <w:rFonts w:asciiTheme="majorHAnsi" w:hAnsiTheme="majorHAnsi"/>
          <w:sz w:val="20"/>
          <w:szCs w:val="20"/>
        </w:rPr>
        <w:t xml:space="preserve"> </w:t>
      </w:r>
      <w:r w:rsidR="00B4073F">
        <w:rPr>
          <w:rFonts w:asciiTheme="majorHAnsi" w:hAnsiTheme="majorHAnsi"/>
          <w:sz w:val="20"/>
          <w:szCs w:val="20"/>
        </w:rPr>
        <w:t>and or subjected to detention regimes</w:t>
      </w:r>
      <w:r w:rsidR="00E92985">
        <w:rPr>
          <w:rFonts w:asciiTheme="majorHAnsi" w:hAnsiTheme="majorHAnsi"/>
          <w:sz w:val="20"/>
          <w:szCs w:val="20"/>
        </w:rPr>
        <w:t xml:space="preserve"> </w:t>
      </w:r>
      <w:r w:rsidR="00B4073F">
        <w:rPr>
          <w:rFonts w:asciiTheme="majorHAnsi" w:hAnsiTheme="majorHAnsi"/>
          <w:sz w:val="20"/>
          <w:szCs w:val="20"/>
        </w:rPr>
        <w:t>foreseen by any regulation</w:t>
      </w:r>
      <w:r w:rsidR="00964584" w:rsidRPr="00A51861">
        <w:rPr>
          <w:rFonts w:asciiTheme="majorHAnsi" w:hAnsiTheme="majorHAnsi"/>
          <w:sz w:val="20"/>
          <w:szCs w:val="20"/>
        </w:rPr>
        <w:t xml:space="preserve"> </w:t>
      </w:r>
      <w:r w:rsidR="00B4073F">
        <w:rPr>
          <w:rFonts w:asciiTheme="majorHAnsi" w:hAnsiTheme="majorHAnsi"/>
          <w:sz w:val="20"/>
          <w:szCs w:val="20"/>
        </w:rPr>
        <w:t xml:space="preserve">pursuant to the set forth by </w:t>
      </w:r>
      <w:r w:rsidR="00B4073F" w:rsidRPr="00A51861">
        <w:rPr>
          <w:rFonts w:asciiTheme="majorHAnsi" w:hAnsiTheme="majorHAnsi"/>
          <w:sz w:val="20"/>
          <w:szCs w:val="20"/>
        </w:rPr>
        <w:t>interna</w:t>
      </w:r>
      <w:r w:rsidR="00B4073F">
        <w:rPr>
          <w:rFonts w:asciiTheme="majorHAnsi" w:hAnsiTheme="majorHAnsi"/>
          <w:sz w:val="20"/>
          <w:szCs w:val="20"/>
        </w:rPr>
        <w:t>t</w:t>
      </w:r>
      <w:r w:rsidR="00B4073F" w:rsidRPr="00A51861">
        <w:rPr>
          <w:rFonts w:asciiTheme="majorHAnsi" w:hAnsiTheme="majorHAnsi"/>
          <w:sz w:val="20"/>
          <w:szCs w:val="20"/>
        </w:rPr>
        <w:t>ional</w:t>
      </w:r>
      <w:r w:rsidR="00B4073F">
        <w:rPr>
          <w:rFonts w:asciiTheme="majorHAnsi" w:hAnsiTheme="majorHAnsi"/>
          <w:sz w:val="20"/>
          <w:szCs w:val="20"/>
        </w:rPr>
        <w:t xml:space="preserve"> doctrine</w:t>
      </w:r>
      <w:r w:rsidR="00E92985">
        <w:rPr>
          <w:rFonts w:asciiTheme="majorHAnsi" w:hAnsiTheme="majorHAnsi"/>
          <w:sz w:val="20"/>
          <w:szCs w:val="20"/>
        </w:rPr>
        <w:t xml:space="preserve"> and </w:t>
      </w:r>
      <w:r w:rsidR="00B4073F">
        <w:rPr>
          <w:rFonts w:asciiTheme="majorHAnsi" w:hAnsiTheme="majorHAnsi"/>
          <w:sz w:val="20"/>
          <w:szCs w:val="20"/>
        </w:rPr>
        <w:t>treaties</w:t>
      </w:r>
      <w:r w:rsidR="00964584" w:rsidRPr="00A51861">
        <w:rPr>
          <w:rFonts w:asciiTheme="majorHAnsi" w:hAnsiTheme="majorHAnsi"/>
          <w:sz w:val="20"/>
          <w:szCs w:val="20"/>
        </w:rPr>
        <w:t xml:space="preserve">, </w:t>
      </w:r>
      <w:r w:rsidR="00B4073F">
        <w:rPr>
          <w:rFonts w:asciiTheme="majorHAnsi" w:hAnsiTheme="majorHAnsi"/>
          <w:sz w:val="20"/>
          <w:szCs w:val="20"/>
        </w:rPr>
        <w:t>may be defined as</w:t>
      </w:r>
      <w:r w:rsidR="00964584" w:rsidRPr="00A51861">
        <w:rPr>
          <w:rFonts w:asciiTheme="majorHAnsi" w:hAnsiTheme="majorHAnsi"/>
          <w:sz w:val="20"/>
          <w:szCs w:val="20"/>
        </w:rPr>
        <w:t xml:space="preserve"> </w:t>
      </w:r>
      <w:r w:rsidR="006E255A">
        <w:rPr>
          <w:rFonts w:asciiTheme="majorHAnsi" w:hAnsiTheme="majorHAnsi"/>
          <w:sz w:val="20"/>
          <w:szCs w:val="20"/>
        </w:rPr>
        <w:t>detention</w:t>
      </w:r>
      <w:r w:rsidR="00E92985">
        <w:rPr>
          <w:rFonts w:asciiTheme="majorHAnsi" w:hAnsiTheme="majorHAnsi"/>
          <w:sz w:val="20"/>
          <w:szCs w:val="20"/>
        </w:rPr>
        <w:t xml:space="preserve"> of </w:t>
      </w:r>
      <w:r w:rsidR="00964584" w:rsidRPr="00A51861">
        <w:rPr>
          <w:rFonts w:asciiTheme="majorHAnsi" w:hAnsiTheme="majorHAnsi"/>
          <w:sz w:val="20"/>
          <w:szCs w:val="20"/>
        </w:rPr>
        <w:t>po</w:t>
      </w:r>
      <w:r w:rsidR="00B4073F">
        <w:rPr>
          <w:rFonts w:asciiTheme="majorHAnsi" w:hAnsiTheme="majorHAnsi"/>
          <w:sz w:val="20"/>
          <w:szCs w:val="20"/>
        </w:rPr>
        <w:t xml:space="preserve">litical </w:t>
      </w:r>
      <w:r w:rsidR="00B4073F" w:rsidRPr="00A51861">
        <w:rPr>
          <w:rFonts w:asciiTheme="majorHAnsi" w:hAnsiTheme="majorHAnsi"/>
          <w:sz w:val="20"/>
          <w:szCs w:val="20"/>
        </w:rPr>
        <w:t>c</w:t>
      </w:r>
      <w:r w:rsidR="00B4073F">
        <w:rPr>
          <w:rFonts w:asciiTheme="majorHAnsi" w:hAnsiTheme="majorHAnsi"/>
          <w:sz w:val="20"/>
          <w:szCs w:val="20"/>
        </w:rPr>
        <w:t>h</w:t>
      </w:r>
      <w:r w:rsidR="00B4073F" w:rsidRPr="00A51861">
        <w:rPr>
          <w:rFonts w:asciiTheme="majorHAnsi" w:hAnsiTheme="majorHAnsi"/>
          <w:sz w:val="20"/>
          <w:szCs w:val="20"/>
        </w:rPr>
        <w:t>ar</w:t>
      </w:r>
      <w:r w:rsidR="00B4073F">
        <w:rPr>
          <w:rFonts w:asciiTheme="majorHAnsi" w:hAnsiTheme="majorHAnsi"/>
          <w:sz w:val="20"/>
          <w:szCs w:val="20"/>
        </w:rPr>
        <w:t>a</w:t>
      </w:r>
      <w:r w:rsidR="00B4073F" w:rsidRPr="00A51861">
        <w:rPr>
          <w:rFonts w:asciiTheme="majorHAnsi" w:hAnsiTheme="majorHAnsi"/>
          <w:sz w:val="20"/>
          <w:szCs w:val="20"/>
        </w:rPr>
        <w:t>cter</w:t>
      </w:r>
      <w:r w:rsidR="00964584" w:rsidRPr="00A51861">
        <w:rPr>
          <w:rFonts w:asciiTheme="majorHAnsi" w:hAnsiTheme="majorHAnsi"/>
          <w:sz w:val="20"/>
          <w:szCs w:val="20"/>
        </w:rPr>
        <w:t xml:space="preserve">”. </w:t>
      </w:r>
    </w:p>
    <w:p w14:paraId="3B454F54" w14:textId="77777777" w:rsidR="00964584" w:rsidRPr="00A51861" w:rsidRDefault="00964584" w:rsidP="008E4D3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rPr>
      </w:pPr>
    </w:p>
    <w:p w14:paraId="6D011EDB" w14:textId="2E86F543" w:rsidR="00964584" w:rsidRPr="00A51861" w:rsidRDefault="00B4073F"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In this sense</w:t>
      </w:r>
      <w:r w:rsidR="009D00D5" w:rsidRPr="00A51861">
        <w:rPr>
          <w:rFonts w:asciiTheme="majorHAnsi" w:hAnsiTheme="majorHAnsi"/>
          <w:sz w:val="20"/>
          <w:szCs w:val="20"/>
        </w:rPr>
        <w:t xml:space="preserve">, </w:t>
      </w:r>
      <w:r w:rsidR="00F92BA8">
        <w:rPr>
          <w:rFonts w:asciiTheme="majorHAnsi" w:hAnsiTheme="majorHAnsi"/>
          <w:sz w:val="20"/>
          <w:szCs w:val="20"/>
        </w:rPr>
        <w:t>the State</w:t>
      </w:r>
      <w:r w:rsidR="009D00D5" w:rsidRPr="00A51861">
        <w:rPr>
          <w:rFonts w:asciiTheme="majorHAnsi" w:hAnsiTheme="majorHAnsi"/>
          <w:sz w:val="20"/>
          <w:szCs w:val="20"/>
        </w:rPr>
        <w:t xml:space="preserve"> </w:t>
      </w:r>
      <w:r>
        <w:rPr>
          <w:rFonts w:asciiTheme="majorHAnsi" w:hAnsiTheme="majorHAnsi"/>
          <w:sz w:val="20"/>
          <w:szCs w:val="20"/>
        </w:rPr>
        <w:t xml:space="preserve">manifests that in </w:t>
      </w:r>
      <w:r w:rsidR="007B75F7">
        <w:rPr>
          <w:rFonts w:asciiTheme="majorHAnsi" w:hAnsiTheme="majorHAnsi"/>
          <w:sz w:val="20"/>
          <w:szCs w:val="20"/>
        </w:rPr>
        <w:t>Argentine</w:t>
      </w:r>
      <w:r>
        <w:rPr>
          <w:rFonts w:asciiTheme="majorHAnsi" w:hAnsiTheme="majorHAnsi"/>
          <w:sz w:val="20"/>
          <w:szCs w:val="20"/>
        </w:rPr>
        <w:t xml:space="preserve"> law there could be a suitable and efficient</w:t>
      </w:r>
      <w:r w:rsidR="00E92985">
        <w:rPr>
          <w:rFonts w:asciiTheme="majorHAnsi" w:hAnsiTheme="majorHAnsi"/>
          <w:sz w:val="20"/>
          <w:szCs w:val="20"/>
        </w:rPr>
        <w:t xml:space="preserve"> </w:t>
      </w:r>
      <w:r>
        <w:rPr>
          <w:rFonts w:asciiTheme="majorHAnsi" w:hAnsiTheme="majorHAnsi"/>
          <w:sz w:val="20"/>
          <w:szCs w:val="20"/>
        </w:rPr>
        <w:t>remedy not used by</w:t>
      </w:r>
      <w:r w:rsidR="00E92985">
        <w:rPr>
          <w:rFonts w:asciiTheme="majorHAnsi" w:hAnsiTheme="majorHAnsi"/>
          <w:sz w:val="20"/>
          <w:szCs w:val="20"/>
        </w:rPr>
        <w:t xml:space="preserve"> the alleged victims</w:t>
      </w:r>
      <w:r w:rsidR="00964584" w:rsidRPr="00A51861">
        <w:rPr>
          <w:rFonts w:asciiTheme="majorHAnsi" w:hAnsiTheme="majorHAnsi"/>
          <w:sz w:val="20"/>
          <w:szCs w:val="20"/>
        </w:rPr>
        <w:t xml:space="preserve">, </w:t>
      </w:r>
      <w:r w:rsidR="007B75F7">
        <w:rPr>
          <w:rFonts w:asciiTheme="majorHAnsi" w:hAnsiTheme="majorHAnsi"/>
          <w:sz w:val="20"/>
          <w:szCs w:val="20"/>
        </w:rPr>
        <w:t>which is why the latter should be attempted</w:t>
      </w:r>
      <w:r w:rsidR="00964584" w:rsidRPr="00A51861">
        <w:rPr>
          <w:rFonts w:asciiTheme="majorHAnsi" w:hAnsiTheme="majorHAnsi"/>
          <w:sz w:val="20"/>
          <w:szCs w:val="20"/>
        </w:rPr>
        <w:t xml:space="preserve">. </w:t>
      </w:r>
      <w:r w:rsidR="00EF4ED2">
        <w:rPr>
          <w:rFonts w:asciiTheme="majorHAnsi" w:hAnsiTheme="majorHAnsi"/>
          <w:sz w:val="20"/>
          <w:szCs w:val="20"/>
        </w:rPr>
        <w:t>It argues that by broadening the time and</w:t>
      </w:r>
      <w:r w:rsidR="00E92985">
        <w:rPr>
          <w:rFonts w:asciiTheme="majorHAnsi" w:hAnsiTheme="majorHAnsi"/>
          <w:sz w:val="20"/>
          <w:szCs w:val="20"/>
        </w:rPr>
        <w:t xml:space="preserve"> </w:t>
      </w:r>
      <w:r w:rsidR="00964584" w:rsidRPr="00A51861">
        <w:rPr>
          <w:rFonts w:asciiTheme="majorHAnsi" w:hAnsiTheme="majorHAnsi"/>
          <w:sz w:val="20"/>
          <w:szCs w:val="20"/>
        </w:rPr>
        <w:t>material</w:t>
      </w:r>
      <w:r w:rsidR="00E92985">
        <w:rPr>
          <w:rFonts w:asciiTheme="majorHAnsi" w:hAnsiTheme="majorHAnsi"/>
          <w:sz w:val="20"/>
          <w:szCs w:val="20"/>
        </w:rPr>
        <w:t xml:space="preserve"> </w:t>
      </w:r>
      <w:r w:rsidR="00EF4ED2">
        <w:rPr>
          <w:rFonts w:asciiTheme="majorHAnsi" w:hAnsiTheme="majorHAnsi"/>
          <w:sz w:val="20"/>
          <w:szCs w:val="20"/>
        </w:rPr>
        <w:t>scope of the</w:t>
      </w:r>
      <w:r w:rsidR="00964584" w:rsidRPr="00A51861">
        <w:rPr>
          <w:rFonts w:asciiTheme="majorHAnsi" w:hAnsiTheme="majorHAnsi"/>
          <w:sz w:val="20"/>
          <w:szCs w:val="20"/>
        </w:rPr>
        <w:t xml:space="preserve"> </w:t>
      </w:r>
      <w:r w:rsidR="00EF4ED2">
        <w:rPr>
          <w:rFonts w:asciiTheme="majorHAnsi" w:hAnsiTheme="majorHAnsi"/>
          <w:sz w:val="20"/>
          <w:szCs w:val="20"/>
        </w:rPr>
        <w:t xml:space="preserve">possible </w:t>
      </w:r>
      <w:r w:rsidR="00E92985">
        <w:rPr>
          <w:rFonts w:asciiTheme="majorHAnsi" w:hAnsiTheme="majorHAnsi"/>
          <w:sz w:val="20"/>
          <w:szCs w:val="20"/>
        </w:rPr>
        <w:t>situations</w:t>
      </w:r>
      <w:r w:rsidR="00964584" w:rsidRPr="00A51861">
        <w:rPr>
          <w:rFonts w:asciiTheme="majorHAnsi" w:hAnsiTheme="majorHAnsi"/>
          <w:sz w:val="20"/>
          <w:szCs w:val="20"/>
        </w:rPr>
        <w:t xml:space="preserve"> </w:t>
      </w:r>
      <w:r w:rsidR="00EF4ED2">
        <w:rPr>
          <w:rFonts w:asciiTheme="majorHAnsi" w:hAnsiTheme="majorHAnsi"/>
          <w:sz w:val="20"/>
          <w:szCs w:val="20"/>
        </w:rPr>
        <w:t>to obtain the reparation benefit</w:t>
      </w:r>
      <w:r w:rsidR="00964584" w:rsidRPr="00A51861">
        <w:rPr>
          <w:rFonts w:asciiTheme="majorHAnsi" w:hAnsiTheme="majorHAnsi"/>
          <w:sz w:val="20"/>
          <w:szCs w:val="20"/>
        </w:rPr>
        <w:t xml:space="preserve">, </w:t>
      </w:r>
      <w:r w:rsidR="00F92BA8">
        <w:rPr>
          <w:rFonts w:asciiTheme="majorHAnsi" w:hAnsiTheme="majorHAnsi"/>
          <w:sz w:val="20"/>
          <w:szCs w:val="20"/>
        </w:rPr>
        <w:t>the Argentine State</w:t>
      </w:r>
      <w:r w:rsidR="00964584" w:rsidRPr="00A51861">
        <w:rPr>
          <w:rFonts w:asciiTheme="majorHAnsi" w:hAnsiTheme="majorHAnsi"/>
          <w:sz w:val="20"/>
          <w:szCs w:val="20"/>
        </w:rPr>
        <w:t xml:space="preserve"> ha</w:t>
      </w:r>
      <w:r w:rsidR="00EF4ED2">
        <w:rPr>
          <w:rFonts w:asciiTheme="majorHAnsi" w:hAnsiTheme="majorHAnsi"/>
          <w:sz w:val="20"/>
          <w:szCs w:val="20"/>
        </w:rPr>
        <w:t>s</w:t>
      </w:r>
      <w:r w:rsidR="00964584" w:rsidRPr="00A51861">
        <w:rPr>
          <w:rFonts w:asciiTheme="majorHAnsi" w:hAnsiTheme="majorHAnsi"/>
          <w:sz w:val="20"/>
          <w:szCs w:val="20"/>
        </w:rPr>
        <w:t xml:space="preserve"> inten</w:t>
      </w:r>
      <w:r w:rsidR="00EF4ED2">
        <w:rPr>
          <w:rFonts w:asciiTheme="majorHAnsi" w:hAnsiTheme="majorHAnsi"/>
          <w:sz w:val="20"/>
          <w:szCs w:val="20"/>
        </w:rPr>
        <w:t>ded</w:t>
      </w:r>
      <w:r w:rsidR="00964584" w:rsidRPr="00A51861">
        <w:rPr>
          <w:rFonts w:asciiTheme="majorHAnsi" w:hAnsiTheme="majorHAnsi"/>
          <w:sz w:val="20"/>
          <w:szCs w:val="20"/>
        </w:rPr>
        <w:t xml:space="preserve"> </w:t>
      </w:r>
      <w:r w:rsidR="00EF4ED2">
        <w:rPr>
          <w:rFonts w:asciiTheme="majorHAnsi" w:hAnsiTheme="majorHAnsi"/>
          <w:sz w:val="20"/>
          <w:szCs w:val="20"/>
        </w:rPr>
        <w:t xml:space="preserve">to include the cases </w:t>
      </w:r>
      <w:r w:rsidR="00323EBA">
        <w:rPr>
          <w:rFonts w:asciiTheme="majorHAnsi" w:hAnsiTheme="majorHAnsi"/>
          <w:sz w:val="20"/>
          <w:szCs w:val="20"/>
        </w:rPr>
        <w:t>which</w:t>
      </w:r>
      <w:r w:rsidR="00964584" w:rsidRPr="00A51861">
        <w:rPr>
          <w:rFonts w:asciiTheme="majorHAnsi" w:hAnsiTheme="majorHAnsi"/>
          <w:sz w:val="20"/>
          <w:szCs w:val="20"/>
        </w:rPr>
        <w:t xml:space="preserve">, </w:t>
      </w:r>
      <w:r w:rsidR="00EF4ED2">
        <w:rPr>
          <w:rFonts w:asciiTheme="majorHAnsi" w:hAnsiTheme="majorHAnsi"/>
          <w:sz w:val="20"/>
          <w:szCs w:val="20"/>
        </w:rPr>
        <w:t>such as the present ones</w:t>
      </w:r>
      <w:r w:rsidR="00964584" w:rsidRPr="00A51861">
        <w:rPr>
          <w:rFonts w:asciiTheme="majorHAnsi" w:hAnsiTheme="majorHAnsi"/>
          <w:sz w:val="20"/>
          <w:szCs w:val="20"/>
        </w:rPr>
        <w:t xml:space="preserve">, </w:t>
      </w:r>
      <w:r w:rsidR="00EF4ED2">
        <w:rPr>
          <w:rFonts w:asciiTheme="majorHAnsi" w:hAnsiTheme="majorHAnsi"/>
          <w:sz w:val="20"/>
          <w:szCs w:val="20"/>
        </w:rPr>
        <w:t>found no</w:t>
      </w:r>
      <w:r w:rsidR="00964584" w:rsidRPr="00A51861">
        <w:rPr>
          <w:rFonts w:asciiTheme="majorHAnsi" w:hAnsiTheme="majorHAnsi"/>
          <w:sz w:val="20"/>
          <w:szCs w:val="20"/>
        </w:rPr>
        <w:t xml:space="preserve"> satisf</w:t>
      </w:r>
      <w:r w:rsidR="009A07BC" w:rsidRPr="00A51861">
        <w:rPr>
          <w:rFonts w:asciiTheme="majorHAnsi" w:hAnsiTheme="majorHAnsi"/>
          <w:sz w:val="20"/>
          <w:szCs w:val="20"/>
        </w:rPr>
        <w:t>actor</w:t>
      </w:r>
      <w:r w:rsidR="00EF4ED2">
        <w:rPr>
          <w:rFonts w:asciiTheme="majorHAnsi" w:hAnsiTheme="majorHAnsi"/>
          <w:sz w:val="20"/>
          <w:szCs w:val="20"/>
        </w:rPr>
        <w:t xml:space="preserve">y </w:t>
      </w:r>
      <w:r w:rsidR="009A07BC" w:rsidRPr="00A51861">
        <w:rPr>
          <w:rFonts w:asciiTheme="majorHAnsi" w:hAnsiTheme="majorHAnsi"/>
          <w:sz w:val="20"/>
          <w:szCs w:val="20"/>
        </w:rPr>
        <w:t>a</w:t>
      </w:r>
      <w:r w:rsidR="00EF4ED2">
        <w:rPr>
          <w:rFonts w:asciiTheme="majorHAnsi" w:hAnsiTheme="majorHAnsi"/>
          <w:sz w:val="20"/>
          <w:szCs w:val="20"/>
        </w:rPr>
        <w:t>nswer</w:t>
      </w:r>
      <w:r w:rsidR="009A07BC" w:rsidRPr="00A51861">
        <w:rPr>
          <w:rFonts w:asciiTheme="majorHAnsi" w:hAnsiTheme="majorHAnsi"/>
          <w:sz w:val="20"/>
          <w:szCs w:val="20"/>
        </w:rPr>
        <w:t>. Particular</w:t>
      </w:r>
      <w:r w:rsidR="00F92BA8">
        <w:rPr>
          <w:rFonts w:asciiTheme="majorHAnsi" w:hAnsiTheme="majorHAnsi"/>
          <w:sz w:val="20"/>
          <w:szCs w:val="20"/>
        </w:rPr>
        <w:t>ly</w:t>
      </w:r>
      <w:r w:rsidR="009A07BC" w:rsidRPr="00A51861">
        <w:rPr>
          <w:rFonts w:asciiTheme="majorHAnsi" w:hAnsiTheme="majorHAnsi"/>
          <w:sz w:val="20"/>
          <w:szCs w:val="20"/>
        </w:rPr>
        <w:t xml:space="preserve">, </w:t>
      </w:r>
      <w:r w:rsidR="00EF4ED2">
        <w:rPr>
          <w:rFonts w:asciiTheme="majorHAnsi" w:hAnsiTheme="majorHAnsi"/>
          <w:sz w:val="20"/>
          <w:szCs w:val="20"/>
        </w:rPr>
        <w:t>it claims</w:t>
      </w:r>
      <w:r w:rsidR="00E92985">
        <w:rPr>
          <w:rFonts w:asciiTheme="majorHAnsi" w:hAnsiTheme="majorHAnsi"/>
          <w:sz w:val="20"/>
          <w:szCs w:val="20"/>
        </w:rPr>
        <w:t xml:space="preserve"> that the </w:t>
      </w:r>
      <w:r w:rsidR="00EF4ED2">
        <w:rPr>
          <w:rFonts w:asciiTheme="majorHAnsi" w:hAnsiTheme="majorHAnsi"/>
          <w:sz w:val="20"/>
          <w:szCs w:val="20"/>
        </w:rPr>
        <w:t>fact</w:t>
      </w:r>
      <w:r w:rsidR="00E92985">
        <w:rPr>
          <w:rFonts w:asciiTheme="majorHAnsi" w:hAnsiTheme="majorHAnsi"/>
          <w:sz w:val="20"/>
          <w:szCs w:val="20"/>
        </w:rPr>
        <w:t xml:space="preserve"> </w:t>
      </w:r>
      <w:r w:rsidR="00EF4ED2">
        <w:rPr>
          <w:rFonts w:asciiTheme="majorHAnsi" w:hAnsiTheme="majorHAnsi"/>
          <w:sz w:val="20"/>
          <w:szCs w:val="20"/>
        </w:rPr>
        <w:t xml:space="preserve">that </w:t>
      </w:r>
      <w:r w:rsidR="002835FC" w:rsidRPr="00A51861">
        <w:rPr>
          <w:rFonts w:asciiTheme="majorHAnsi" w:hAnsiTheme="majorHAnsi"/>
          <w:sz w:val="20"/>
          <w:szCs w:val="20"/>
        </w:rPr>
        <w:t xml:space="preserve">Law </w:t>
      </w:r>
      <w:r w:rsidR="00964584" w:rsidRPr="00A51861">
        <w:rPr>
          <w:rFonts w:asciiTheme="majorHAnsi" w:hAnsiTheme="majorHAnsi"/>
          <w:sz w:val="20"/>
          <w:szCs w:val="20"/>
        </w:rPr>
        <w:t xml:space="preserve">26.564 </w:t>
      </w:r>
      <w:r w:rsidR="00EF4ED2">
        <w:rPr>
          <w:rFonts w:asciiTheme="majorHAnsi" w:hAnsiTheme="majorHAnsi"/>
          <w:sz w:val="20"/>
          <w:szCs w:val="20"/>
        </w:rPr>
        <w:t>was not issued by the time in which</w:t>
      </w:r>
      <w:r w:rsidR="00964584" w:rsidRPr="00A51861">
        <w:rPr>
          <w:rFonts w:asciiTheme="majorHAnsi" w:hAnsiTheme="majorHAnsi"/>
          <w:sz w:val="20"/>
          <w:szCs w:val="20"/>
        </w:rPr>
        <w:t xml:space="preserve"> </w:t>
      </w:r>
      <w:r w:rsidR="00EF4ED2">
        <w:rPr>
          <w:rFonts w:asciiTheme="majorHAnsi" w:hAnsiTheme="majorHAnsi"/>
          <w:sz w:val="20"/>
          <w:szCs w:val="20"/>
        </w:rPr>
        <w:t>the</w:t>
      </w:r>
      <w:r w:rsidR="00964584" w:rsidRPr="00A51861">
        <w:rPr>
          <w:rFonts w:asciiTheme="majorHAnsi" w:hAnsiTheme="majorHAnsi"/>
          <w:sz w:val="20"/>
          <w:szCs w:val="20"/>
        </w:rPr>
        <w:t xml:space="preserve"> </w:t>
      </w:r>
      <w:r w:rsidR="00AA5556">
        <w:rPr>
          <w:rFonts w:asciiTheme="majorHAnsi" w:hAnsiTheme="majorHAnsi"/>
          <w:sz w:val="20"/>
          <w:szCs w:val="20"/>
        </w:rPr>
        <w:t>petition</w:t>
      </w:r>
      <w:r w:rsidR="00964584" w:rsidRPr="00A51861">
        <w:rPr>
          <w:rFonts w:asciiTheme="majorHAnsi" w:hAnsiTheme="majorHAnsi"/>
          <w:sz w:val="20"/>
          <w:szCs w:val="20"/>
        </w:rPr>
        <w:t xml:space="preserve"> </w:t>
      </w:r>
      <w:r w:rsidR="00EF4ED2">
        <w:rPr>
          <w:rFonts w:asciiTheme="majorHAnsi" w:hAnsiTheme="majorHAnsi"/>
          <w:sz w:val="20"/>
          <w:szCs w:val="20"/>
        </w:rPr>
        <w:t xml:space="preserve">was filed before </w:t>
      </w:r>
      <w:r w:rsidR="00E92985">
        <w:rPr>
          <w:rFonts w:asciiTheme="majorHAnsi" w:hAnsiTheme="majorHAnsi"/>
          <w:sz w:val="20"/>
          <w:szCs w:val="20"/>
        </w:rPr>
        <w:t>the Commission</w:t>
      </w:r>
      <w:r w:rsidR="00964584" w:rsidRPr="00A51861">
        <w:rPr>
          <w:rFonts w:asciiTheme="majorHAnsi" w:hAnsiTheme="majorHAnsi"/>
          <w:sz w:val="20"/>
          <w:szCs w:val="20"/>
        </w:rPr>
        <w:t xml:space="preserve">, </w:t>
      </w:r>
      <w:r w:rsidR="00EF4ED2">
        <w:rPr>
          <w:rFonts w:asciiTheme="majorHAnsi" w:hAnsiTheme="majorHAnsi"/>
          <w:sz w:val="20"/>
          <w:szCs w:val="20"/>
        </w:rPr>
        <w:t>it does not</w:t>
      </w:r>
      <w:r w:rsidR="00964584" w:rsidRPr="00A51861">
        <w:rPr>
          <w:rFonts w:asciiTheme="majorHAnsi" w:hAnsiTheme="majorHAnsi"/>
          <w:sz w:val="20"/>
          <w:szCs w:val="20"/>
        </w:rPr>
        <w:t xml:space="preserve"> autom</w:t>
      </w:r>
      <w:r w:rsidR="00EF4ED2">
        <w:rPr>
          <w:rFonts w:asciiTheme="majorHAnsi" w:hAnsiTheme="majorHAnsi"/>
          <w:sz w:val="20"/>
          <w:szCs w:val="20"/>
        </w:rPr>
        <w:t>a</w:t>
      </w:r>
      <w:r w:rsidR="00964584" w:rsidRPr="00A51861">
        <w:rPr>
          <w:rFonts w:asciiTheme="majorHAnsi" w:hAnsiTheme="majorHAnsi"/>
          <w:sz w:val="20"/>
          <w:szCs w:val="20"/>
        </w:rPr>
        <w:t>tica</w:t>
      </w:r>
      <w:r w:rsidR="0029564F">
        <w:rPr>
          <w:rFonts w:asciiTheme="majorHAnsi" w:hAnsiTheme="majorHAnsi"/>
          <w:sz w:val="20"/>
          <w:szCs w:val="20"/>
        </w:rPr>
        <w:t>l</w:t>
      </w:r>
      <w:r w:rsidR="00EF4ED2">
        <w:rPr>
          <w:rFonts w:asciiTheme="majorHAnsi" w:hAnsiTheme="majorHAnsi"/>
          <w:sz w:val="20"/>
          <w:szCs w:val="20"/>
        </w:rPr>
        <w:t>l</w:t>
      </w:r>
      <w:r w:rsidR="0029564F">
        <w:rPr>
          <w:rFonts w:asciiTheme="majorHAnsi" w:hAnsiTheme="majorHAnsi"/>
          <w:sz w:val="20"/>
          <w:szCs w:val="20"/>
        </w:rPr>
        <w:t>y</w:t>
      </w:r>
      <w:r w:rsidR="00323EBA">
        <w:rPr>
          <w:rFonts w:asciiTheme="majorHAnsi" w:hAnsiTheme="majorHAnsi"/>
          <w:sz w:val="20"/>
          <w:szCs w:val="20"/>
        </w:rPr>
        <w:t xml:space="preserve"> imply</w:t>
      </w:r>
      <w:r w:rsidR="0029564F">
        <w:rPr>
          <w:rFonts w:asciiTheme="majorHAnsi" w:hAnsiTheme="majorHAnsi"/>
          <w:sz w:val="20"/>
          <w:szCs w:val="20"/>
        </w:rPr>
        <w:t xml:space="preserve"> </w:t>
      </w:r>
      <w:r w:rsidR="00EF4ED2">
        <w:rPr>
          <w:rFonts w:asciiTheme="majorHAnsi" w:hAnsiTheme="majorHAnsi"/>
          <w:sz w:val="20"/>
          <w:szCs w:val="20"/>
        </w:rPr>
        <w:t>the impossibility</w:t>
      </w:r>
      <w:r w:rsidR="00E92985">
        <w:rPr>
          <w:rFonts w:asciiTheme="majorHAnsi" w:hAnsiTheme="majorHAnsi"/>
          <w:sz w:val="20"/>
          <w:szCs w:val="20"/>
        </w:rPr>
        <w:t xml:space="preserve"> </w:t>
      </w:r>
      <w:r w:rsidR="00EF4ED2">
        <w:rPr>
          <w:rFonts w:asciiTheme="majorHAnsi" w:hAnsiTheme="majorHAnsi"/>
          <w:sz w:val="20"/>
          <w:szCs w:val="20"/>
        </w:rPr>
        <w:t>to review</w:t>
      </w:r>
      <w:r w:rsidR="00E92985">
        <w:rPr>
          <w:rFonts w:asciiTheme="majorHAnsi" w:hAnsiTheme="majorHAnsi"/>
          <w:sz w:val="20"/>
          <w:szCs w:val="20"/>
        </w:rPr>
        <w:t xml:space="preserve"> </w:t>
      </w:r>
      <w:r w:rsidR="00EF4ED2">
        <w:rPr>
          <w:rFonts w:asciiTheme="majorHAnsi" w:hAnsiTheme="majorHAnsi"/>
          <w:sz w:val="20"/>
          <w:szCs w:val="20"/>
        </w:rPr>
        <w:t>the cases domestically</w:t>
      </w:r>
      <w:r w:rsidR="00964584" w:rsidRPr="00A51861">
        <w:rPr>
          <w:rFonts w:asciiTheme="majorHAnsi" w:hAnsiTheme="majorHAnsi"/>
          <w:sz w:val="20"/>
          <w:szCs w:val="20"/>
        </w:rPr>
        <w:t xml:space="preserve">, </w:t>
      </w:r>
      <w:r w:rsidR="00EF4ED2">
        <w:rPr>
          <w:rFonts w:asciiTheme="majorHAnsi" w:hAnsiTheme="majorHAnsi"/>
          <w:sz w:val="20"/>
          <w:szCs w:val="20"/>
        </w:rPr>
        <w:t>aiming to</w:t>
      </w:r>
      <w:r w:rsidR="00E92985">
        <w:rPr>
          <w:rFonts w:asciiTheme="majorHAnsi" w:hAnsiTheme="majorHAnsi"/>
          <w:sz w:val="20"/>
          <w:szCs w:val="20"/>
        </w:rPr>
        <w:t xml:space="preserve"> </w:t>
      </w:r>
      <w:r w:rsidR="00EF4ED2">
        <w:rPr>
          <w:rFonts w:asciiTheme="majorHAnsi" w:hAnsiTheme="majorHAnsi"/>
          <w:sz w:val="20"/>
          <w:szCs w:val="20"/>
        </w:rPr>
        <w:t>strengthen the</w:t>
      </w:r>
      <w:r w:rsidR="00964584" w:rsidRPr="00A51861">
        <w:rPr>
          <w:rFonts w:asciiTheme="majorHAnsi" w:hAnsiTheme="majorHAnsi"/>
          <w:sz w:val="20"/>
          <w:szCs w:val="20"/>
        </w:rPr>
        <w:t xml:space="preserve"> princip</w:t>
      </w:r>
      <w:r w:rsidR="00EF4ED2">
        <w:rPr>
          <w:rFonts w:asciiTheme="majorHAnsi" w:hAnsiTheme="majorHAnsi"/>
          <w:sz w:val="20"/>
          <w:szCs w:val="20"/>
        </w:rPr>
        <w:t>le</w:t>
      </w:r>
      <w:r w:rsidR="00E92985">
        <w:rPr>
          <w:rFonts w:asciiTheme="majorHAnsi" w:hAnsiTheme="majorHAnsi"/>
          <w:sz w:val="20"/>
          <w:szCs w:val="20"/>
        </w:rPr>
        <w:t xml:space="preserve"> of </w:t>
      </w:r>
      <w:r w:rsidR="00964584" w:rsidRPr="00A51861">
        <w:rPr>
          <w:rFonts w:asciiTheme="majorHAnsi" w:hAnsiTheme="majorHAnsi"/>
          <w:sz w:val="20"/>
          <w:szCs w:val="20"/>
        </w:rPr>
        <w:t>subsidiari</w:t>
      </w:r>
      <w:r w:rsidR="00EF4ED2">
        <w:rPr>
          <w:rFonts w:asciiTheme="majorHAnsi" w:hAnsiTheme="majorHAnsi"/>
          <w:sz w:val="20"/>
          <w:szCs w:val="20"/>
        </w:rPr>
        <w:t>ty</w:t>
      </w:r>
      <w:r w:rsidR="00E92985">
        <w:rPr>
          <w:rFonts w:asciiTheme="majorHAnsi" w:hAnsiTheme="majorHAnsi"/>
          <w:sz w:val="20"/>
          <w:szCs w:val="20"/>
        </w:rPr>
        <w:t xml:space="preserve"> of </w:t>
      </w:r>
      <w:r w:rsidR="00EF4ED2">
        <w:rPr>
          <w:rFonts w:asciiTheme="majorHAnsi" w:hAnsiTheme="majorHAnsi"/>
          <w:sz w:val="20"/>
          <w:szCs w:val="20"/>
        </w:rPr>
        <w:t>international protection</w:t>
      </w:r>
      <w:r w:rsidR="00964584" w:rsidRPr="00A51861">
        <w:rPr>
          <w:rFonts w:asciiTheme="majorHAnsi" w:hAnsiTheme="majorHAnsi"/>
          <w:sz w:val="20"/>
          <w:szCs w:val="20"/>
        </w:rPr>
        <w:t xml:space="preserve">. </w:t>
      </w:r>
      <w:r w:rsidR="009A07BC" w:rsidRPr="00A51861">
        <w:rPr>
          <w:rFonts w:asciiTheme="majorHAnsi" w:hAnsiTheme="majorHAnsi"/>
          <w:sz w:val="20"/>
          <w:szCs w:val="20"/>
        </w:rPr>
        <w:t xml:space="preserve"> </w:t>
      </w:r>
      <w:r w:rsidR="00EF4ED2">
        <w:rPr>
          <w:rFonts w:asciiTheme="majorHAnsi" w:hAnsiTheme="majorHAnsi"/>
          <w:sz w:val="20"/>
          <w:szCs w:val="20"/>
        </w:rPr>
        <w:t>It holds that</w:t>
      </w:r>
      <w:r w:rsidR="00964584" w:rsidRPr="00A51861">
        <w:rPr>
          <w:rFonts w:asciiTheme="majorHAnsi" w:hAnsiTheme="majorHAnsi"/>
          <w:sz w:val="20"/>
          <w:szCs w:val="20"/>
        </w:rPr>
        <w:t>: “(…)</w:t>
      </w:r>
      <w:r w:rsidR="000B3507">
        <w:rPr>
          <w:rFonts w:asciiTheme="majorHAnsi" w:hAnsiTheme="majorHAnsi"/>
          <w:sz w:val="20"/>
          <w:szCs w:val="20"/>
        </w:rPr>
        <w:t xml:space="preserve"> </w:t>
      </w:r>
      <w:r w:rsidR="00D6263C">
        <w:rPr>
          <w:rFonts w:asciiTheme="majorHAnsi" w:hAnsiTheme="majorHAnsi"/>
          <w:sz w:val="20"/>
          <w:szCs w:val="20"/>
        </w:rPr>
        <w:t>petitioner</w:t>
      </w:r>
      <w:r w:rsidR="00964584" w:rsidRPr="00A51861">
        <w:rPr>
          <w:rFonts w:asciiTheme="majorHAnsi" w:hAnsiTheme="majorHAnsi"/>
          <w:sz w:val="20"/>
          <w:szCs w:val="20"/>
        </w:rPr>
        <w:t>s</w:t>
      </w:r>
      <w:r w:rsidR="000B3507">
        <w:rPr>
          <w:rFonts w:asciiTheme="majorHAnsi" w:hAnsiTheme="majorHAnsi"/>
          <w:sz w:val="20"/>
          <w:szCs w:val="20"/>
        </w:rPr>
        <w:t xml:space="preserve"> are not being blamed for the</w:t>
      </w:r>
      <w:r w:rsidR="00964584" w:rsidRPr="00A51861">
        <w:rPr>
          <w:rFonts w:asciiTheme="majorHAnsi" w:hAnsiTheme="majorHAnsi"/>
          <w:sz w:val="20"/>
          <w:szCs w:val="20"/>
        </w:rPr>
        <w:t xml:space="preserve"> inobservan</w:t>
      </w:r>
      <w:r w:rsidR="000B3507">
        <w:rPr>
          <w:rFonts w:asciiTheme="majorHAnsi" w:hAnsiTheme="majorHAnsi"/>
          <w:sz w:val="20"/>
          <w:szCs w:val="20"/>
        </w:rPr>
        <w:t>ce of the exhaustion of</w:t>
      </w:r>
      <w:r w:rsidR="00964584" w:rsidRPr="00A51861">
        <w:rPr>
          <w:rFonts w:asciiTheme="majorHAnsi" w:hAnsiTheme="majorHAnsi"/>
          <w:sz w:val="20"/>
          <w:szCs w:val="20"/>
        </w:rPr>
        <w:t xml:space="preserve"> </w:t>
      </w:r>
      <w:r w:rsidR="00F92BA8">
        <w:rPr>
          <w:rFonts w:asciiTheme="majorHAnsi" w:hAnsiTheme="majorHAnsi"/>
          <w:sz w:val="20"/>
          <w:szCs w:val="20"/>
        </w:rPr>
        <w:t>domestic remedies</w:t>
      </w:r>
      <w:r w:rsidR="00964584" w:rsidRPr="00A51861">
        <w:rPr>
          <w:rFonts w:asciiTheme="majorHAnsi" w:hAnsiTheme="majorHAnsi"/>
          <w:sz w:val="20"/>
          <w:szCs w:val="20"/>
        </w:rPr>
        <w:t xml:space="preserve">, </w:t>
      </w:r>
      <w:r w:rsidR="00F92BA8">
        <w:rPr>
          <w:rFonts w:asciiTheme="majorHAnsi" w:hAnsiTheme="majorHAnsi"/>
          <w:sz w:val="20"/>
          <w:szCs w:val="20"/>
        </w:rPr>
        <w:t xml:space="preserve">since </w:t>
      </w:r>
      <w:r w:rsidR="000B3507">
        <w:rPr>
          <w:rFonts w:asciiTheme="majorHAnsi" w:hAnsiTheme="majorHAnsi"/>
          <w:sz w:val="20"/>
          <w:szCs w:val="20"/>
        </w:rPr>
        <w:t>at the time of filing of the claim</w:t>
      </w:r>
      <w:r w:rsidR="00964584" w:rsidRPr="00A51861">
        <w:rPr>
          <w:rFonts w:asciiTheme="majorHAnsi" w:hAnsiTheme="majorHAnsi"/>
          <w:sz w:val="20"/>
          <w:szCs w:val="20"/>
        </w:rPr>
        <w:t xml:space="preserve">, </w:t>
      </w:r>
      <w:r w:rsidR="000B3507">
        <w:rPr>
          <w:rFonts w:asciiTheme="majorHAnsi" w:hAnsiTheme="majorHAnsi"/>
          <w:sz w:val="20"/>
          <w:szCs w:val="20"/>
        </w:rPr>
        <w:t>there was no proper regulation which could respond their demands</w:t>
      </w:r>
      <w:r w:rsidR="00964584" w:rsidRPr="00A51861">
        <w:rPr>
          <w:rFonts w:asciiTheme="majorHAnsi" w:hAnsiTheme="majorHAnsi"/>
          <w:sz w:val="20"/>
          <w:szCs w:val="20"/>
        </w:rPr>
        <w:t xml:space="preserve">, </w:t>
      </w:r>
      <w:r w:rsidR="000B3507">
        <w:rPr>
          <w:rFonts w:asciiTheme="majorHAnsi" w:hAnsiTheme="majorHAnsi"/>
          <w:sz w:val="20"/>
          <w:szCs w:val="20"/>
        </w:rPr>
        <w:t xml:space="preserve">but the intention is to warn </w:t>
      </w:r>
      <w:r w:rsidR="00E92985">
        <w:rPr>
          <w:rFonts w:asciiTheme="majorHAnsi" w:hAnsiTheme="majorHAnsi"/>
          <w:sz w:val="20"/>
          <w:szCs w:val="20"/>
        </w:rPr>
        <w:t>the Commission</w:t>
      </w:r>
      <w:r w:rsidR="00964584" w:rsidRPr="00A51861">
        <w:rPr>
          <w:rFonts w:asciiTheme="majorHAnsi" w:hAnsiTheme="majorHAnsi"/>
          <w:sz w:val="20"/>
          <w:szCs w:val="20"/>
        </w:rPr>
        <w:t xml:space="preserve"> </w:t>
      </w:r>
      <w:r w:rsidR="000B3507">
        <w:rPr>
          <w:rFonts w:asciiTheme="majorHAnsi" w:hAnsiTheme="majorHAnsi"/>
          <w:sz w:val="20"/>
          <w:szCs w:val="20"/>
        </w:rPr>
        <w:t>that there are new</w:t>
      </w:r>
      <w:r w:rsidR="00964584" w:rsidRPr="00A51861">
        <w:rPr>
          <w:rFonts w:asciiTheme="majorHAnsi" w:hAnsiTheme="majorHAnsi"/>
          <w:sz w:val="20"/>
          <w:szCs w:val="20"/>
        </w:rPr>
        <w:t xml:space="preserve"> </w:t>
      </w:r>
      <w:r w:rsidR="00964584" w:rsidRPr="00A51861">
        <w:rPr>
          <w:rFonts w:asciiTheme="majorHAnsi" w:hAnsiTheme="majorHAnsi" w:cs="Arial"/>
          <w:color w:val="202122"/>
          <w:sz w:val="20"/>
          <w:szCs w:val="20"/>
          <w:shd w:val="clear" w:color="auto" w:fill="FFFFFF"/>
        </w:rPr>
        <w:t>[sic]</w:t>
      </w:r>
      <w:r w:rsidR="00964584" w:rsidRPr="00A51861">
        <w:rPr>
          <w:rFonts w:ascii="Arial" w:hAnsi="Arial" w:cs="Arial"/>
          <w:color w:val="202122"/>
          <w:sz w:val="21"/>
          <w:szCs w:val="21"/>
          <w:shd w:val="clear" w:color="auto" w:fill="FFFFFF"/>
        </w:rPr>
        <w:t xml:space="preserve"> </w:t>
      </w:r>
      <w:r w:rsidR="000B3507">
        <w:rPr>
          <w:rFonts w:asciiTheme="majorHAnsi" w:hAnsiTheme="majorHAnsi"/>
          <w:sz w:val="20"/>
          <w:szCs w:val="20"/>
        </w:rPr>
        <w:t>domestic remedies</w:t>
      </w:r>
      <w:r w:rsidR="00E92985">
        <w:rPr>
          <w:rFonts w:asciiTheme="majorHAnsi" w:hAnsiTheme="majorHAnsi"/>
          <w:sz w:val="20"/>
          <w:szCs w:val="20"/>
        </w:rPr>
        <w:t xml:space="preserve"> and </w:t>
      </w:r>
      <w:r w:rsidR="000B3507">
        <w:rPr>
          <w:rFonts w:asciiTheme="majorHAnsi" w:hAnsiTheme="majorHAnsi"/>
          <w:sz w:val="20"/>
          <w:szCs w:val="20"/>
        </w:rPr>
        <w:t>that</w:t>
      </w:r>
      <w:r w:rsidR="00964584" w:rsidRPr="00A51861">
        <w:rPr>
          <w:rFonts w:asciiTheme="majorHAnsi" w:hAnsiTheme="majorHAnsi"/>
          <w:sz w:val="20"/>
          <w:szCs w:val="20"/>
        </w:rPr>
        <w:t xml:space="preserve">, </w:t>
      </w:r>
      <w:r w:rsidR="000B3507">
        <w:rPr>
          <w:rFonts w:asciiTheme="majorHAnsi" w:hAnsiTheme="majorHAnsi"/>
          <w:sz w:val="20"/>
          <w:szCs w:val="20"/>
        </w:rPr>
        <w:t>therefore</w:t>
      </w:r>
      <w:r w:rsidR="00964584" w:rsidRPr="00A51861">
        <w:rPr>
          <w:rFonts w:asciiTheme="majorHAnsi" w:hAnsiTheme="majorHAnsi"/>
          <w:sz w:val="20"/>
          <w:szCs w:val="20"/>
        </w:rPr>
        <w:t xml:space="preserve">, </w:t>
      </w:r>
      <w:r w:rsidR="000B3507">
        <w:rPr>
          <w:rFonts w:asciiTheme="majorHAnsi" w:hAnsiTheme="majorHAnsi"/>
          <w:sz w:val="20"/>
          <w:szCs w:val="20"/>
        </w:rPr>
        <w:t>its</w:t>
      </w:r>
      <w:r w:rsidR="00964584" w:rsidRPr="00A51861">
        <w:rPr>
          <w:rFonts w:asciiTheme="majorHAnsi" w:hAnsiTheme="majorHAnsi"/>
          <w:sz w:val="20"/>
          <w:szCs w:val="20"/>
        </w:rPr>
        <w:t xml:space="preserve"> </w:t>
      </w:r>
      <w:r w:rsidR="000B3507" w:rsidRPr="00A51861">
        <w:rPr>
          <w:rFonts w:asciiTheme="majorHAnsi" w:hAnsiTheme="majorHAnsi"/>
          <w:sz w:val="20"/>
          <w:szCs w:val="20"/>
        </w:rPr>
        <w:t>intervention</w:t>
      </w:r>
      <w:r w:rsidR="00964584" w:rsidRPr="00A51861">
        <w:rPr>
          <w:rFonts w:asciiTheme="majorHAnsi" w:hAnsiTheme="majorHAnsi"/>
          <w:sz w:val="20"/>
          <w:szCs w:val="20"/>
        </w:rPr>
        <w:t xml:space="preserve"> </w:t>
      </w:r>
      <w:r w:rsidR="000B3507">
        <w:rPr>
          <w:rFonts w:asciiTheme="majorHAnsi" w:hAnsiTheme="majorHAnsi"/>
          <w:sz w:val="20"/>
          <w:szCs w:val="20"/>
        </w:rPr>
        <w:t>may result rushed</w:t>
      </w:r>
      <w:r w:rsidR="00964584" w:rsidRPr="00A51861">
        <w:rPr>
          <w:rFonts w:asciiTheme="majorHAnsi" w:hAnsiTheme="majorHAnsi"/>
          <w:sz w:val="20"/>
          <w:szCs w:val="20"/>
        </w:rPr>
        <w:t>”</w:t>
      </w:r>
      <w:r w:rsidR="001D1D61">
        <w:rPr>
          <w:rFonts w:asciiTheme="majorHAnsi" w:hAnsiTheme="majorHAnsi"/>
          <w:sz w:val="20"/>
          <w:szCs w:val="20"/>
        </w:rPr>
        <w:t>. Th</w:t>
      </w:r>
      <w:r w:rsidR="000B3507">
        <w:rPr>
          <w:rFonts w:asciiTheme="majorHAnsi" w:hAnsiTheme="majorHAnsi"/>
          <w:sz w:val="20"/>
          <w:szCs w:val="20"/>
        </w:rPr>
        <w:t>ese</w:t>
      </w:r>
      <w:r w:rsidR="00964584" w:rsidRPr="00A51861">
        <w:rPr>
          <w:rFonts w:asciiTheme="majorHAnsi" w:hAnsiTheme="majorHAnsi"/>
          <w:sz w:val="20"/>
          <w:szCs w:val="20"/>
        </w:rPr>
        <w:t xml:space="preserve"> arguments </w:t>
      </w:r>
      <w:r w:rsidR="000B3507">
        <w:rPr>
          <w:rFonts w:asciiTheme="majorHAnsi" w:hAnsiTheme="majorHAnsi"/>
          <w:sz w:val="20"/>
          <w:szCs w:val="20"/>
        </w:rPr>
        <w:t>were</w:t>
      </w:r>
      <w:r w:rsidR="00964584" w:rsidRPr="00A51861">
        <w:rPr>
          <w:rFonts w:asciiTheme="majorHAnsi" w:hAnsiTheme="majorHAnsi"/>
          <w:sz w:val="20"/>
          <w:szCs w:val="20"/>
        </w:rPr>
        <w:t xml:space="preserve"> reitera</w:t>
      </w:r>
      <w:r w:rsidR="000B3507">
        <w:rPr>
          <w:rFonts w:asciiTheme="majorHAnsi" w:hAnsiTheme="majorHAnsi"/>
          <w:sz w:val="20"/>
          <w:szCs w:val="20"/>
        </w:rPr>
        <w:t>ted</w:t>
      </w:r>
      <w:r w:rsidR="00964584" w:rsidRPr="00A51861">
        <w:rPr>
          <w:rFonts w:asciiTheme="majorHAnsi" w:hAnsiTheme="majorHAnsi"/>
          <w:sz w:val="20"/>
          <w:szCs w:val="20"/>
        </w:rPr>
        <w:t xml:space="preserve"> </w:t>
      </w:r>
      <w:r w:rsidR="000B3507">
        <w:rPr>
          <w:rFonts w:asciiTheme="majorHAnsi" w:hAnsiTheme="majorHAnsi"/>
          <w:sz w:val="20"/>
          <w:szCs w:val="20"/>
        </w:rPr>
        <w:t>by</w:t>
      </w:r>
      <w:r w:rsidR="00964584" w:rsidRPr="00A51861">
        <w:rPr>
          <w:rFonts w:asciiTheme="majorHAnsi" w:hAnsiTheme="majorHAnsi"/>
          <w:sz w:val="20"/>
          <w:szCs w:val="20"/>
        </w:rPr>
        <w:t xml:space="preserve"> </w:t>
      </w:r>
      <w:r w:rsidR="00F92BA8">
        <w:rPr>
          <w:rFonts w:asciiTheme="majorHAnsi" w:hAnsiTheme="majorHAnsi"/>
          <w:sz w:val="20"/>
          <w:szCs w:val="20"/>
        </w:rPr>
        <w:t>the Argentine State</w:t>
      </w:r>
      <w:r w:rsidR="00964584" w:rsidRPr="00A51861">
        <w:rPr>
          <w:rFonts w:asciiTheme="majorHAnsi" w:hAnsiTheme="majorHAnsi"/>
          <w:sz w:val="20"/>
          <w:szCs w:val="20"/>
        </w:rPr>
        <w:t xml:space="preserve"> </w:t>
      </w:r>
      <w:r w:rsidR="000B3507">
        <w:rPr>
          <w:rFonts w:asciiTheme="majorHAnsi" w:hAnsiTheme="majorHAnsi"/>
          <w:sz w:val="20"/>
          <w:szCs w:val="20"/>
        </w:rPr>
        <w:t>in the conduction of the merits of the case</w:t>
      </w:r>
      <w:r w:rsidR="00964584" w:rsidRPr="00A51861">
        <w:rPr>
          <w:rFonts w:asciiTheme="majorHAnsi" w:hAnsiTheme="majorHAnsi"/>
          <w:sz w:val="20"/>
          <w:szCs w:val="20"/>
        </w:rPr>
        <w:t xml:space="preserve">. </w:t>
      </w:r>
    </w:p>
    <w:p w14:paraId="5F09B37D" w14:textId="77777777" w:rsidR="00964584" w:rsidRPr="00A51861" w:rsidRDefault="00964584" w:rsidP="008E4D3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rPr>
      </w:pPr>
    </w:p>
    <w:p w14:paraId="1237AD09" w14:textId="12AD13F1" w:rsidR="00964584" w:rsidRPr="00A51861" w:rsidRDefault="00F92BA8"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 xml:space="preserve">Likewise, </w:t>
      </w:r>
      <w:r w:rsidR="004B474F" w:rsidRPr="00A51861">
        <w:rPr>
          <w:rFonts w:asciiTheme="majorHAnsi" w:hAnsiTheme="majorHAnsi"/>
          <w:sz w:val="20"/>
          <w:szCs w:val="20"/>
        </w:rPr>
        <w:t xml:space="preserve">Argentina </w:t>
      </w:r>
      <w:r w:rsidR="000B3507">
        <w:rPr>
          <w:rFonts w:asciiTheme="majorHAnsi" w:hAnsiTheme="majorHAnsi"/>
          <w:sz w:val="20"/>
          <w:szCs w:val="20"/>
        </w:rPr>
        <w:t>claims</w:t>
      </w:r>
      <w:r w:rsidR="00E92985">
        <w:rPr>
          <w:rFonts w:asciiTheme="majorHAnsi" w:hAnsiTheme="majorHAnsi"/>
          <w:sz w:val="20"/>
          <w:szCs w:val="20"/>
        </w:rPr>
        <w:t xml:space="preserve"> that the </w:t>
      </w:r>
      <w:r w:rsidR="000B3507">
        <w:rPr>
          <w:rFonts w:asciiTheme="majorHAnsi" w:hAnsiTheme="majorHAnsi"/>
          <w:sz w:val="20"/>
          <w:szCs w:val="20"/>
        </w:rPr>
        <w:t>rejection in applying</w:t>
      </w:r>
      <w:r w:rsidR="00E92985">
        <w:rPr>
          <w:rFonts w:asciiTheme="majorHAnsi" w:hAnsiTheme="majorHAnsi"/>
          <w:sz w:val="20"/>
          <w:szCs w:val="20"/>
        </w:rPr>
        <w:t xml:space="preserve"> </w:t>
      </w:r>
      <w:r w:rsidR="002835FC" w:rsidRPr="00A51861">
        <w:rPr>
          <w:rFonts w:asciiTheme="majorHAnsi" w:hAnsiTheme="majorHAnsi"/>
          <w:sz w:val="20"/>
          <w:szCs w:val="20"/>
        </w:rPr>
        <w:t xml:space="preserve">Law </w:t>
      </w:r>
      <w:r w:rsidR="00964584" w:rsidRPr="00A51861">
        <w:rPr>
          <w:rFonts w:asciiTheme="majorHAnsi" w:hAnsiTheme="majorHAnsi"/>
          <w:sz w:val="20"/>
          <w:szCs w:val="20"/>
        </w:rPr>
        <w:t xml:space="preserve">24.043 </w:t>
      </w:r>
      <w:r w:rsidR="000B3507">
        <w:rPr>
          <w:rFonts w:asciiTheme="majorHAnsi" w:hAnsiTheme="majorHAnsi"/>
          <w:sz w:val="20"/>
          <w:szCs w:val="20"/>
        </w:rPr>
        <w:t>is due to the fact that</w:t>
      </w:r>
      <w:r w:rsidR="00964584" w:rsidRPr="00A51861">
        <w:rPr>
          <w:rFonts w:asciiTheme="majorHAnsi" w:hAnsiTheme="majorHAnsi"/>
          <w:sz w:val="20"/>
          <w:szCs w:val="20"/>
        </w:rPr>
        <w:t xml:space="preserve">, </w:t>
      </w:r>
      <w:r w:rsidR="000B3507">
        <w:rPr>
          <w:rFonts w:asciiTheme="majorHAnsi" w:hAnsiTheme="majorHAnsi"/>
          <w:sz w:val="20"/>
          <w:szCs w:val="20"/>
        </w:rPr>
        <w:t>on one hand</w:t>
      </w:r>
      <w:r w:rsidR="00964584" w:rsidRPr="00A51861">
        <w:rPr>
          <w:rFonts w:asciiTheme="majorHAnsi" w:hAnsiTheme="majorHAnsi"/>
          <w:sz w:val="20"/>
          <w:szCs w:val="20"/>
        </w:rPr>
        <w:t xml:space="preserve">, </w:t>
      </w:r>
      <w:r w:rsidR="000B3507">
        <w:rPr>
          <w:rFonts w:asciiTheme="majorHAnsi" w:hAnsiTheme="majorHAnsi"/>
          <w:sz w:val="20"/>
          <w:szCs w:val="20"/>
        </w:rPr>
        <w:t>the</w:t>
      </w:r>
      <w:r w:rsidR="00964584" w:rsidRPr="00A51861">
        <w:rPr>
          <w:rFonts w:asciiTheme="majorHAnsi" w:hAnsiTheme="majorHAnsi"/>
          <w:sz w:val="20"/>
          <w:szCs w:val="20"/>
        </w:rPr>
        <w:t xml:space="preserve"> </w:t>
      </w:r>
      <w:r w:rsidR="000B3507">
        <w:rPr>
          <w:rFonts w:asciiTheme="majorHAnsi" w:hAnsiTheme="majorHAnsi"/>
          <w:sz w:val="20"/>
          <w:szCs w:val="20"/>
        </w:rPr>
        <w:t xml:space="preserve">reported </w:t>
      </w:r>
      <w:r w:rsidR="000B3507" w:rsidRPr="00A51861">
        <w:rPr>
          <w:rFonts w:asciiTheme="majorHAnsi" w:hAnsiTheme="majorHAnsi"/>
          <w:sz w:val="20"/>
          <w:szCs w:val="20"/>
        </w:rPr>
        <w:t>detentions</w:t>
      </w:r>
      <w:r w:rsidR="00964584" w:rsidRPr="00A51861">
        <w:rPr>
          <w:rFonts w:asciiTheme="majorHAnsi" w:hAnsiTheme="majorHAnsi"/>
          <w:sz w:val="20"/>
          <w:szCs w:val="20"/>
        </w:rPr>
        <w:t xml:space="preserve"> </w:t>
      </w:r>
      <w:r w:rsidR="000B3507">
        <w:rPr>
          <w:rFonts w:asciiTheme="majorHAnsi" w:hAnsiTheme="majorHAnsi"/>
          <w:sz w:val="20"/>
          <w:szCs w:val="20"/>
        </w:rPr>
        <w:t>took place as a</w:t>
      </w:r>
      <w:r w:rsidR="00964584" w:rsidRPr="00A51861">
        <w:rPr>
          <w:rFonts w:asciiTheme="majorHAnsi" w:hAnsiTheme="majorHAnsi"/>
          <w:sz w:val="20"/>
          <w:szCs w:val="20"/>
        </w:rPr>
        <w:t xml:space="preserve"> </w:t>
      </w:r>
      <w:r w:rsidR="000B3507" w:rsidRPr="00A51861">
        <w:rPr>
          <w:rFonts w:asciiTheme="majorHAnsi" w:hAnsiTheme="majorHAnsi"/>
          <w:sz w:val="20"/>
          <w:szCs w:val="20"/>
        </w:rPr>
        <w:t>consequence</w:t>
      </w:r>
      <w:r w:rsidR="00E92985">
        <w:rPr>
          <w:rFonts w:asciiTheme="majorHAnsi" w:hAnsiTheme="majorHAnsi"/>
          <w:sz w:val="20"/>
          <w:szCs w:val="20"/>
        </w:rPr>
        <w:t xml:space="preserve"> </w:t>
      </w:r>
      <w:r w:rsidR="000B3507">
        <w:rPr>
          <w:rFonts w:asciiTheme="majorHAnsi" w:hAnsiTheme="majorHAnsi"/>
          <w:sz w:val="20"/>
          <w:szCs w:val="20"/>
        </w:rPr>
        <w:t>of a norm in force at the time</w:t>
      </w:r>
      <w:r w:rsidR="00E21353" w:rsidRPr="00A51861">
        <w:rPr>
          <w:rFonts w:asciiTheme="majorHAnsi" w:hAnsiTheme="majorHAnsi"/>
          <w:sz w:val="20"/>
          <w:szCs w:val="20"/>
        </w:rPr>
        <w:t xml:space="preserve"> “</w:t>
      </w:r>
      <w:r w:rsidR="000B3507">
        <w:rPr>
          <w:rFonts w:asciiTheme="majorHAnsi" w:hAnsiTheme="majorHAnsi"/>
          <w:sz w:val="20"/>
          <w:szCs w:val="20"/>
        </w:rPr>
        <w:t>regardless of its possible</w:t>
      </w:r>
      <w:r w:rsidR="00E21353" w:rsidRPr="00A51861">
        <w:rPr>
          <w:rFonts w:asciiTheme="majorHAnsi" w:hAnsiTheme="majorHAnsi"/>
          <w:sz w:val="20"/>
          <w:szCs w:val="20"/>
        </w:rPr>
        <w:t xml:space="preserve"> </w:t>
      </w:r>
      <w:r w:rsidR="000B3507">
        <w:rPr>
          <w:rFonts w:asciiTheme="majorHAnsi" w:hAnsiTheme="majorHAnsi"/>
          <w:sz w:val="20"/>
          <w:szCs w:val="20"/>
        </w:rPr>
        <w:t>questioning</w:t>
      </w:r>
      <w:r w:rsidR="00E21353" w:rsidRPr="00A51861">
        <w:rPr>
          <w:rFonts w:asciiTheme="majorHAnsi" w:hAnsiTheme="majorHAnsi"/>
          <w:sz w:val="20"/>
          <w:szCs w:val="20"/>
        </w:rPr>
        <w:t>”</w:t>
      </w:r>
      <w:r w:rsidR="00964584" w:rsidRPr="00A51861">
        <w:rPr>
          <w:rFonts w:asciiTheme="majorHAnsi" w:hAnsiTheme="majorHAnsi"/>
          <w:sz w:val="20"/>
          <w:szCs w:val="20"/>
        </w:rPr>
        <w:t xml:space="preserve">, </w:t>
      </w:r>
      <w:r w:rsidR="000B3507">
        <w:rPr>
          <w:rFonts w:asciiTheme="majorHAnsi" w:hAnsiTheme="majorHAnsi"/>
          <w:sz w:val="20"/>
          <w:szCs w:val="20"/>
        </w:rPr>
        <w:t>with the</w:t>
      </w:r>
      <w:r w:rsidR="00964584" w:rsidRPr="00A51861">
        <w:rPr>
          <w:rFonts w:asciiTheme="majorHAnsi" w:hAnsiTheme="majorHAnsi"/>
          <w:sz w:val="20"/>
          <w:szCs w:val="20"/>
        </w:rPr>
        <w:t xml:space="preserve"> </w:t>
      </w:r>
      <w:r w:rsidR="00D6263C">
        <w:rPr>
          <w:rFonts w:asciiTheme="majorHAnsi" w:hAnsiTheme="majorHAnsi"/>
          <w:sz w:val="20"/>
          <w:szCs w:val="20"/>
        </w:rPr>
        <w:t>petitioner</w:t>
      </w:r>
      <w:r w:rsidR="00964584" w:rsidRPr="00A51861">
        <w:rPr>
          <w:rFonts w:asciiTheme="majorHAnsi" w:hAnsiTheme="majorHAnsi"/>
          <w:sz w:val="20"/>
          <w:szCs w:val="20"/>
        </w:rPr>
        <w:t>s</w:t>
      </w:r>
      <w:r w:rsidR="000B3507">
        <w:rPr>
          <w:rFonts w:asciiTheme="majorHAnsi" w:hAnsiTheme="majorHAnsi"/>
          <w:sz w:val="20"/>
          <w:szCs w:val="20"/>
        </w:rPr>
        <w:t xml:space="preserve"> not having been placed at the disposal of</w:t>
      </w:r>
      <w:r w:rsidR="00964584" w:rsidRPr="00A51861">
        <w:rPr>
          <w:rFonts w:asciiTheme="majorHAnsi" w:hAnsiTheme="majorHAnsi"/>
          <w:sz w:val="20"/>
          <w:szCs w:val="20"/>
        </w:rPr>
        <w:t xml:space="preserve"> </w:t>
      </w:r>
      <w:r w:rsidR="000B3507">
        <w:rPr>
          <w:rFonts w:asciiTheme="majorHAnsi" w:hAnsiTheme="majorHAnsi"/>
          <w:sz w:val="20"/>
          <w:szCs w:val="20"/>
        </w:rPr>
        <w:t>National Executive Power</w:t>
      </w:r>
      <w:r w:rsidR="00964584" w:rsidRPr="00A51861">
        <w:rPr>
          <w:rFonts w:asciiTheme="majorHAnsi" w:hAnsiTheme="majorHAnsi"/>
          <w:sz w:val="20"/>
          <w:szCs w:val="20"/>
        </w:rPr>
        <w:t>;</w:t>
      </w:r>
      <w:r w:rsidR="00E92985">
        <w:rPr>
          <w:rFonts w:asciiTheme="majorHAnsi" w:hAnsiTheme="majorHAnsi"/>
          <w:sz w:val="20"/>
          <w:szCs w:val="20"/>
        </w:rPr>
        <w:t xml:space="preserve"> and </w:t>
      </w:r>
      <w:r w:rsidR="000B3507">
        <w:rPr>
          <w:rFonts w:asciiTheme="majorHAnsi" w:hAnsiTheme="majorHAnsi"/>
          <w:sz w:val="20"/>
          <w:szCs w:val="20"/>
        </w:rPr>
        <w:t>on the other hand</w:t>
      </w:r>
      <w:r w:rsidR="00964584" w:rsidRPr="00A51861">
        <w:rPr>
          <w:rFonts w:asciiTheme="majorHAnsi" w:hAnsiTheme="majorHAnsi"/>
          <w:sz w:val="20"/>
          <w:szCs w:val="20"/>
        </w:rPr>
        <w:t xml:space="preserve">, </w:t>
      </w:r>
      <w:r w:rsidR="00B47E06">
        <w:rPr>
          <w:rFonts w:asciiTheme="majorHAnsi" w:hAnsiTheme="majorHAnsi"/>
          <w:sz w:val="20"/>
          <w:szCs w:val="20"/>
        </w:rPr>
        <w:t>because they happened before November 6,</w:t>
      </w:r>
      <w:r w:rsidR="00E92985">
        <w:rPr>
          <w:rFonts w:asciiTheme="majorHAnsi" w:hAnsiTheme="majorHAnsi"/>
          <w:sz w:val="20"/>
          <w:szCs w:val="20"/>
        </w:rPr>
        <w:t xml:space="preserve"> </w:t>
      </w:r>
      <w:r w:rsidR="00964584" w:rsidRPr="00A51861">
        <w:rPr>
          <w:rFonts w:asciiTheme="majorHAnsi" w:hAnsiTheme="majorHAnsi"/>
          <w:sz w:val="20"/>
          <w:szCs w:val="20"/>
        </w:rPr>
        <w:t xml:space="preserve">1974, </w:t>
      </w:r>
      <w:r w:rsidR="00B47E06">
        <w:rPr>
          <w:rFonts w:asciiTheme="majorHAnsi" w:hAnsiTheme="majorHAnsi"/>
          <w:sz w:val="20"/>
          <w:szCs w:val="20"/>
        </w:rPr>
        <w:t>date set forth by the legal regime</w:t>
      </w:r>
      <w:r w:rsidR="00964584" w:rsidRPr="00A51861">
        <w:rPr>
          <w:rFonts w:asciiTheme="majorHAnsi" w:hAnsiTheme="majorHAnsi"/>
          <w:sz w:val="20"/>
          <w:szCs w:val="20"/>
        </w:rPr>
        <w:t xml:space="preserve">, </w:t>
      </w:r>
      <w:r w:rsidR="00B47E06">
        <w:rPr>
          <w:rFonts w:asciiTheme="majorHAnsi" w:hAnsiTheme="majorHAnsi"/>
          <w:sz w:val="20"/>
          <w:szCs w:val="20"/>
        </w:rPr>
        <w:t>as the beginning</w:t>
      </w:r>
      <w:r w:rsidR="00964584" w:rsidRPr="00A51861">
        <w:rPr>
          <w:rFonts w:asciiTheme="majorHAnsi" w:hAnsiTheme="majorHAnsi"/>
          <w:sz w:val="20"/>
          <w:szCs w:val="20"/>
        </w:rPr>
        <w:t xml:space="preserve">, </w:t>
      </w:r>
      <w:r w:rsidR="00B47E06">
        <w:rPr>
          <w:rFonts w:asciiTheme="majorHAnsi" w:hAnsiTheme="majorHAnsi"/>
          <w:sz w:val="20"/>
          <w:szCs w:val="20"/>
        </w:rPr>
        <w:t>for the</w:t>
      </w:r>
      <w:r w:rsidR="00964584" w:rsidRPr="00A51861">
        <w:rPr>
          <w:rFonts w:asciiTheme="majorHAnsi" w:hAnsiTheme="majorHAnsi"/>
          <w:sz w:val="20"/>
          <w:szCs w:val="20"/>
        </w:rPr>
        <w:t xml:space="preserve"> </w:t>
      </w:r>
      <w:r w:rsidR="00B47E06" w:rsidRPr="00A51861">
        <w:rPr>
          <w:rFonts w:asciiTheme="majorHAnsi" w:hAnsiTheme="majorHAnsi"/>
          <w:sz w:val="20"/>
          <w:szCs w:val="20"/>
        </w:rPr>
        <w:t>obtention</w:t>
      </w:r>
      <w:r w:rsidR="00964584" w:rsidRPr="00A51861">
        <w:rPr>
          <w:rFonts w:asciiTheme="majorHAnsi" w:hAnsiTheme="majorHAnsi"/>
          <w:sz w:val="20"/>
          <w:szCs w:val="20"/>
        </w:rPr>
        <w:t xml:space="preserve"> </w:t>
      </w:r>
      <w:r w:rsidR="00B47E06">
        <w:rPr>
          <w:rFonts w:asciiTheme="majorHAnsi" w:hAnsiTheme="majorHAnsi"/>
          <w:sz w:val="20"/>
          <w:szCs w:val="20"/>
        </w:rPr>
        <w:t>of the</w:t>
      </w:r>
      <w:r w:rsidR="00964584" w:rsidRPr="00A51861">
        <w:rPr>
          <w:rFonts w:asciiTheme="majorHAnsi" w:hAnsiTheme="majorHAnsi"/>
          <w:sz w:val="20"/>
          <w:szCs w:val="20"/>
        </w:rPr>
        <w:t xml:space="preserve"> </w:t>
      </w:r>
      <w:r w:rsidR="00B47E06">
        <w:rPr>
          <w:rFonts w:asciiTheme="majorHAnsi" w:hAnsiTheme="majorHAnsi"/>
          <w:sz w:val="20"/>
          <w:szCs w:val="20"/>
        </w:rPr>
        <w:t>benefit</w:t>
      </w:r>
      <w:r w:rsidR="00964584" w:rsidRPr="00A51861">
        <w:rPr>
          <w:rFonts w:asciiTheme="majorHAnsi" w:hAnsiTheme="majorHAnsi"/>
          <w:sz w:val="20"/>
          <w:szCs w:val="20"/>
        </w:rPr>
        <w:t xml:space="preserve">.  </w:t>
      </w:r>
    </w:p>
    <w:p w14:paraId="7CF5F7F3" w14:textId="77777777" w:rsidR="00964584" w:rsidRPr="00A51861" w:rsidRDefault="00964584" w:rsidP="008E4D36">
      <w:pPr>
        <w:pStyle w:val="ListParagraph"/>
        <w:rPr>
          <w:rFonts w:asciiTheme="majorHAnsi" w:hAnsiTheme="majorHAnsi"/>
          <w:sz w:val="20"/>
          <w:szCs w:val="20"/>
        </w:rPr>
      </w:pPr>
    </w:p>
    <w:p w14:paraId="033622A3" w14:textId="7FC8214D" w:rsidR="00964584" w:rsidRPr="00A51861" w:rsidRDefault="004B474F"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A51861">
        <w:rPr>
          <w:rFonts w:asciiTheme="majorHAnsi" w:hAnsiTheme="majorHAnsi"/>
          <w:sz w:val="20"/>
          <w:szCs w:val="20"/>
        </w:rPr>
        <w:t>Final</w:t>
      </w:r>
      <w:r w:rsidR="00F92BA8">
        <w:rPr>
          <w:rFonts w:asciiTheme="majorHAnsi" w:hAnsiTheme="majorHAnsi"/>
          <w:sz w:val="20"/>
          <w:szCs w:val="20"/>
        </w:rPr>
        <w:t>ly</w:t>
      </w:r>
      <w:r w:rsidRPr="00A51861">
        <w:rPr>
          <w:rFonts w:asciiTheme="majorHAnsi" w:hAnsiTheme="majorHAnsi"/>
          <w:sz w:val="20"/>
          <w:szCs w:val="20"/>
        </w:rPr>
        <w:t xml:space="preserve">, </w:t>
      </w:r>
      <w:r w:rsidR="00F92BA8">
        <w:rPr>
          <w:rFonts w:asciiTheme="majorHAnsi" w:hAnsiTheme="majorHAnsi"/>
          <w:sz w:val="20"/>
          <w:szCs w:val="20"/>
        </w:rPr>
        <w:t>the State</w:t>
      </w:r>
      <w:r w:rsidRPr="00A51861">
        <w:rPr>
          <w:rFonts w:asciiTheme="majorHAnsi" w:hAnsiTheme="majorHAnsi"/>
          <w:sz w:val="20"/>
          <w:szCs w:val="20"/>
        </w:rPr>
        <w:t xml:space="preserve"> </w:t>
      </w:r>
      <w:r w:rsidR="00B47E06">
        <w:rPr>
          <w:rFonts w:asciiTheme="majorHAnsi" w:hAnsiTheme="majorHAnsi"/>
          <w:sz w:val="20"/>
          <w:szCs w:val="20"/>
        </w:rPr>
        <w:t>refers</w:t>
      </w:r>
      <w:r w:rsidR="00E92985">
        <w:rPr>
          <w:rFonts w:asciiTheme="majorHAnsi" w:hAnsiTheme="majorHAnsi"/>
          <w:sz w:val="20"/>
          <w:szCs w:val="20"/>
        </w:rPr>
        <w:t xml:space="preserve"> </w:t>
      </w:r>
      <w:r w:rsidR="00B47E06">
        <w:rPr>
          <w:rFonts w:asciiTheme="majorHAnsi" w:hAnsiTheme="majorHAnsi"/>
          <w:sz w:val="20"/>
          <w:szCs w:val="20"/>
        </w:rPr>
        <w:t xml:space="preserve">to the fact </w:t>
      </w:r>
      <w:r w:rsidR="00E92985">
        <w:rPr>
          <w:rFonts w:asciiTheme="majorHAnsi" w:hAnsiTheme="majorHAnsi"/>
          <w:sz w:val="20"/>
          <w:szCs w:val="20"/>
        </w:rPr>
        <w:t xml:space="preserve">that the </w:t>
      </w:r>
      <w:r w:rsidR="00B47E06">
        <w:rPr>
          <w:rFonts w:asciiTheme="majorHAnsi" w:hAnsiTheme="majorHAnsi"/>
          <w:sz w:val="20"/>
          <w:szCs w:val="20"/>
        </w:rPr>
        <w:t>r</w:t>
      </w:r>
      <w:r w:rsidR="0029564F">
        <w:rPr>
          <w:rFonts w:asciiTheme="majorHAnsi" w:hAnsiTheme="majorHAnsi"/>
          <w:sz w:val="20"/>
          <w:szCs w:val="20"/>
        </w:rPr>
        <w:t>esolution</w:t>
      </w:r>
      <w:r w:rsidR="009A4B42" w:rsidRPr="00A51861">
        <w:rPr>
          <w:rFonts w:asciiTheme="majorHAnsi" w:hAnsiTheme="majorHAnsi"/>
          <w:sz w:val="20"/>
          <w:szCs w:val="20"/>
        </w:rPr>
        <w:t xml:space="preserve"> </w:t>
      </w:r>
      <w:r w:rsidR="00A51861" w:rsidRPr="00A51861">
        <w:rPr>
          <w:rFonts w:asciiTheme="majorHAnsi" w:hAnsiTheme="majorHAnsi"/>
          <w:sz w:val="20"/>
          <w:szCs w:val="20"/>
        </w:rPr>
        <w:t xml:space="preserve">of the </w:t>
      </w:r>
      <w:r w:rsidR="004078DB">
        <w:rPr>
          <w:rFonts w:asciiTheme="majorHAnsi" w:hAnsiTheme="majorHAnsi"/>
          <w:sz w:val="20"/>
          <w:szCs w:val="20"/>
        </w:rPr>
        <w:t>Ministry of Justice</w:t>
      </w:r>
      <w:r w:rsidR="004B400F">
        <w:rPr>
          <w:rFonts w:asciiTheme="majorHAnsi" w:hAnsiTheme="majorHAnsi"/>
          <w:sz w:val="20"/>
          <w:szCs w:val="20"/>
        </w:rPr>
        <w:t xml:space="preserve"> and Human Rights </w:t>
      </w:r>
      <w:r w:rsidR="00964584" w:rsidRPr="00A51861">
        <w:rPr>
          <w:rFonts w:asciiTheme="majorHAnsi" w:hAnsiTheme="majorHAnsi"/>
          <w:sz w:val="20"/>
          <w:szCs w:val="20"/>
        </w:rPr>
        <w:t xml:space="preserve">N° 670 </w:t>
      </w:r>
      <w:r w:rsidR="00E92985">
        <w:rPr>
          <w:rFonts w:asciiTheme="majorHAnsi" w:hAnsiTheme="majorHAnsi"/>
          <w:sz w:val="20"/>
          <w:szCs w:val="20"/>
        </w:rPr>
        <w:t xml:space="preserve">of August 19, </w:t>
      </w:r>
      <w:r w:rsidR="00964584" w:rsidRPr="00A51861">
        <w:rPr>
          <w:rFonts w:asciiTheme="majorHAnsi" w:hAnsiTheme="majorHAnsi"/>
          <w:sz w:val="20"/>
          <w:szCs w:val="20"/>
        </w:rPr>
        <w:t>2016, establ</w:t>
      </w:r>
      <w:r w:rsidR="00B47E06">
        <w:rPr>
          <w:rFonts w:asciiTheme="majorHAnsi" w:hAnsiTheme="majorHAnsi"/>
          <w:sz w:val="20"/>
          <w:szCs w:val="20"/>
        </w:rPr>
        <w:t>ished a</w:t>
      </w:r>
      <w:r w:rsidR="00964584" w:rsidRPr="00A51861">
        <w:rPr>
          <w:rFonts w:asciiTheme="majorHAnsi" w:hAnsiTheme="majorHAnsi"/>
          <w:sz w:val="20"/>
          <w:szCs w:val="20"/>
        </w:rPr>
        <w:t xml:space="preserve"> serie</w:t>
      </w:r>
      <w:r w:rsidR="00B47E06">
        <w:rPr>
          <w:rFonts w:asciiTheme="majorHAnsi" w:hAnsiTheme="majorHAnsi"/>
          <w:sz w:val="20"/>
          <w:szCs w:val="20"/>
        </w:rPr>
        <w:t>s</w:t>
      </w:r>
      <w:r w:rsidR="00E92985">
        <w:rPr>
          <w:rFonts w:asciiTheme="majorHAnsi" w:hAnsiTheme="majorHAnsi"/>
          <w:sz w:val="20"/>
          <w:szCs w:val="20"/>
        </w:rPr>
        <w:t xml:space="preserve"> of </w:t>
      </w:r>
      <w:r w:rsidR="00B47E06">
        <w:rPr>
          <w:rFonts w:asciiTheme="majorHAnsi" w:hAnsiTheme="majorHAnsi"/>
          <w:sz w:val="20"/>
          <w:szCs w:val="20"/>
        </w:rPr>
        <w:t>guidelines</w:t>
      </w:r>
      <w:r w:rsidR="00964584" w:rsidRPr="00A51861">
        <w:rPr>
          <w:rFonts w:asciiTheme="majorHAnsi" w:hAnsiTheme="majorHAnsi"/>
          <w:sz w:val="20"/>
          <w:szCs w:val="20"/>
        </w:rPr>
        <w:t xml:space="preserve"> </w:t>
      </w:r>
      <w:r w:rsidR="00B47E06">
        <w:rPr>
          <w:rFonts w:asciiTheme="majorHAnsi" w:hAnsiTheme="majorHAnsi"/>
          <w:sz w:val="20"/>
          <w:szCs w:val="20"/>
        </w:rPr>
        <w:t>for the granting of the</w:t>
      </w:r>
      <w:r w:rsidR="00964584" w:rsidRPr="00A51861">
        <w:rPr>
          <w:rFonts w:asciiTheme="majorHAnsi" w:hAnsiTheme="majorHAnsi"/>
          <w:sz w:val="20"/>
          <w:szCs w:val="20"/>
        </w:rPr>
        <w:t xml:space="preserve"> </w:t>
      </w:r>
      <w:r w:rsidR="00B47E06">
        <w:rPr>
          <w:rFonts w:asciiTheme="majorHAnsi" w:hAnsiTheme="majorHAnsi"/>
          <w:sz w:val="20"/>
          <w:szCs w:val="20"/>
        </w:rPr>
        <w:t>benefit</w:t>
      </w:r>
      <w:r w:rsidR="00964584" w:rsidRPr="00A51861">
        <w:rPr>
          <w:rFonts w:asciiTheme="majorHAnsi" w:hAnsiTheme="majorHAnsi"/>
          <w:sz w:val="20"/>
          <w:szCs w:val="20"/>
        </w:rPr>
        <w:t xml:space="preserve"> </w:t>
      </w:r>
      <w:r w:rsidR="00B47E06">
        <w:rPr>
          <w:rFonts w:asciiTheme="majorHAnsi" w:hAnsiTheme="majorHAnsi"/>
          <w:sz w:val="20"/>
          <w:szCs w:val="20"/>
        </w:rPr>
        <w:t>ruled by</w:t>
      </w:r>
      <w:r w:rsidR="00964584" w:rsidRPr="00A51861">
        <w:rPr>
          <w:rFonts w:asciiTheme="majorHAnsi" w:hAnsiTheme="majorHAnsi"/>
          <w:sz w:val="20"/>
          <w:szCs w:val="20"/>
        </w:rPr>
        <w:t xml:space="preserve"> </w:t>
      </w:r>
      <w:r w:rsidR="002835FC" w:rsidRPr="00A51861">
        <w:rPr>
          <w:rFonts w:asciiTheme="majorHAnsi" w:hAnsiTheme="majorHAnsi"/>
          <w:sz w:val="20"/>
          <w:szCs w:val="20"/>
        </w:rPr>
        <w:t xml:space="preserve">Law </w:t>
      </w:r>
      <w:r w:rsidR="00964584" w:rsidRPr="00A51861">
        <w:rPr>
          <w:rFonts w:asciiTheme="majorHAnsi" w:hAnsiTheme="majorHAnsi"/>
          <w:sz w:val="20"/>
          <w:szCs w:val="20"/>
        </w:rPr>
        <w:t xml:space="preserve">24.043, </w:t>
      </w:r>
      <w:r w:rsidR="00B47E06">
        <w:rPr>
          <w:rFonts w:asciiTheme="majorHAnsi" w:hAnsiTheme="majorHAnsi"/>
          <w:sz w:val="20"/>
          <w:szCs w:val="20"/>
        </w:rPr>
        <w:t>in cases which invoke</w:t>
      </w:r>
      <w:r w:rsidR="00964584" w:rsidRPr="00A51861">
        <w:rPr>
          <w:rFonts w:asciiTheme="majorHAnsi" w:hAnsiTheme="majorHAnsi"/>
          <w:sz w:val="20"/>
          <w:szCs w:val="20"/>
        </w:rPr>
        <w:t xml:space="preserve"> “</w:t>
      </w:r>
      <w:r w:rsidR="00B47E06">
        <w:rPr>
          <w:rFonts w:asciiTheme="majorHAnsi" w:hAnsiTheme="majorHAnsi"/>
          <w:sz w:val="20"/>
          <w:szCs w:val="20"/>
        </w:rPr>
        <w:t>forced</w:t>
      </w:r>
      <w:r w:rsidR="00B47E06" w:rsidRPr="00B47E06">
        <w:rPr>
          <w:rFonts w:asciiTheme="majorHAnsi" w:hAnsiTheme="majorHAnsi"/>
          <w:sz w:val="20"/>
          <w:szCs w:val="20"/>
        </w:rPr>
        <w:t xml:space="preserve"> </w:t>
      </w:r>
      <w:r w:rsidR="00B47E06" w:rsidRPr="00A51861">
        <w:rPr>
          <w:rFonts w:asciiTheme="majorHAnsi" w:hAnsiTheme="majorHAnsi"/>
          <w:sz w:val="20"/>
          <w:szCs w:val="20"/>
        </w:rPr>
        <w:t>exile</w:t>
      </w:r>
      <w:r w:rsidR="00964584" w:rsidRPr="00A51861">
        <w:rPr>
          <w:rFonts w:asciiTheme="majorHAnsi" w:hAnsiTheme="majorHAnsi"/>
          <w:sz w:val="20"/>
          <w:szCs w:val="20"/>
        </w:rPr>
        <w:t xml:space="preserve">”, </w:t>
      </w:r>
      <w:r w:rsidR="00B47E06">
        <w:rPr>
          <w:rFonts w:asciiTheme="majorHAnsi" w:hAnsiTheme="majorHAnsi"/>
          <w:sz w:val="20"/>
          <w:szCs w:val="20"/>
        </w:rPr>
        <w:t>expressly indicating</w:t>
      </w:r>
      <w:r w:rsidR="0029564F">
        <w:rPr>
          <w:rFonts w:asciiTheme="majorHAnsi" w:hAnsiTheme="majorHAnsi"/>
          <w:sz w:val="20"/>
          <w:szCs w:val="20"/>
        </w:rPr>
        <w:t xml:space="preserve"> </w:t>
      </w:r>
      <w:r w:rsidR="00B47E06">
        <w:rPr>
          <w:rFonts w:asciiTheme="majorHAnsi" w:hAnsiTheme="majorHAnsi"/>
          <w:sz w:val="20"/>
          <w:szCs w:val="20"/>
        </w:rPr>
        <w:t>denial for those cases in which the ends set forth by the norm do not concur.</w:t>
      </w:r>
      <w:r w:rsidR="00E36AA2" w:rsidRPr="00A51861">
        <w:rPr>
          <w:rFonts w:asciiTheme="majorHAnsi" w:hAnsiTheme="majorHAnsi"/>
          <w:sz w:val="20"/>
          <w:szCs w:val="20"/>
        </w:rPr>
        <w:t xml:space="preserve"> </w:t>
      </w:r>
      <w:r w:rsidR="00B47E06">
        <w:rPr>
          <w:rFonts w:asciiTheme="majorHAnsi" w:hAnsiTheme="majorHAnsi"/>
          <w:sz w:val="20"/>
          <w:szCs w:val="20"/>
        </w:rPr>
        <w:t>On the other hand</w:t>
      </w:r>
      <w:r w:rsidR="00E36AA2" w:rsidRPr="00A51861">
        <w:rPr>
          <w:rFonts w:asciiTheme="majorHAnsi" w:hAnsiTheme="majorHAnsi"/>
          <w:sz w:val="20"/>
          <w:szCs w:val="20"/>
        </w:rPr>
        <w:t xml:space="preserve">, </w:t>
      </w:r>
      <w:r w:rsidR="00B47E06">
        <w:rPr>
          <w:rFonts w:asciiTheme="majorHAnsi" w:hAnsiTheme="majorHAnsi"/>
          <w:sz w:val="20"/>
          <w:szCs w:val="20"/>
        </w:rPr>
        <w:t>it is highlighted that in said</w:t>
      </w:r>
      <w:r w:rsidR="00964584" w:rsidRPr="00A51861">
        <w:rPr>
          <w:rFonts w:asciiTheme="majorHAnsi" w:hAnsiTheme="majorHAnsi"/>
          <w:sz w:val="20"/>
          <w:szCs w:val="20"/>
        </w:rPr>
        <w:t xml:space="preserve"> </w:t>
      </w:r>
      <w:r w:rsidR="0029564F">
        <w:rPr>
          <w:rFonts w:asciiTheme="majorHAnsi" w:hAnsiTheme="majorHAnsi"/>
          <w:sz w:val="20"/>
          <w:szCs w:val="20"/>
        </w:rPr>
        <w:t>resolution</w:t>
      </w:r>
      <w:r w:rsidR="00964584" w:rsidRPr="00A51861">
        <w:rPr>
          <w:rFonts w:asciiTheme="majorHAnsi" w:hAnsiTheme="majorHAnsi"/>
          <w:sz w:val="20"/>
          <w:szCs w:val="20"/>
        </w:rPr>
        <w:t xml:space="preserve"> </w:t>
      </w:r>
      <w:r w:rsidR="00B47E06">
        <w:rPr>
          <w:rFonts w:asciiTheme="majorHAnsi" w:hAnsiTheme="majorHAnsi"/>
          <w:sz w:val="20"/>
          <w:szCs w:val="20"/>
        </w:rPr>
        <w:t>a clear</w:t>
      </w:r>
      <w:r w:rsidR="00964584" w:rsidRPr="00A51861">
        <w:rPr>
          <w:rFonts w:asciiTheme="majorHAnsi" w:hAnsiTheme="majorHAnsi"/>
          <w:sz w:val="20"/>
          <w:szCs w:val="20"/>
        </w:rPr>
        <w:t xml:space="preserve"> judicial </w:t>
      </w:r>
      <w:r w:rsidR="00B47E06">
        <w:rPr>
          <w:rFonts w:asciiTheme="majorHAnsi" w:hAnsiTheme="majorHAnsi"/>
          <w:sz w:val="20"/>
          <w:szCs w:val="20"/>
        </w:rPr>
        <w:t>doctrine was  verified by the forced exile in the sense of the</w:t>
      </w:r>
      <w:r w:rsidR="00E92985">
        <w:rPr>
          <w:rFonts w:asciiTheme="majorHAnsi" w:hAnsiTheme="majorHAnsi"/>
          <w:sz w:val="20"/>
          <w:szCs w:val="20"/>
        </w:rPr>
        <w:t xml:space="preserve"> </w:t>
      </w:r>
      <w:r w:rsidR="00B47E06" w:rsidRPr="00A51861">
        <w:rPr>
          <w:rFonts w:asciiTheme="majorHAnsi" w:hAnsiTheme="majorHAnsi"/>
          <w:sz w:val="20"/>
          <w:szCs w:val="20"/>
        </w:rPr>
        <w:t>admission</w:t>
      </w:r>
      <w:r w:rsidR="00964584" w:rsidRPr="00A51861">
        <w:rPr>
          <w:rFonts w:asciiTheme="majorHAnsi" w:hAnsiTheme="majorHAnsi"/>
          <w:sz w:val="20"/>
          <w:szCs w:val="20"/>
        </w:rPr>
        <w:t xml:space="preserve"> </w:t>
      </w:r>
      <w:r w:rsidR="00B47E06">
        <w:rPr>
          <w:rFonts w:asciiTheme="majorHAnsi" w:hAnsiTheme="majorHAnsi"/>
          <w:sz w:val="20"/>
          <w:szCs w:val="20"/>
        </w:rPr>
        <w:t xml:space="preserve">of the reparation regime foreseen in </w:t>
      </w:r>
      <w:r w:rsidR="002835FC" w:rsidRPr="00A51861">
        <w:rPr>
          <w:rFonts w:asciiTheme="majorHAnsi" w:hAnsiTheme="majorHAnsi"/>
          <w:sz w:val="20"/>
          <w:szCs w:val="20"/>
        </w:rPr>
        <w:t xml:space="preserve">Law </w:t>
      </w:r>
      <w:r w:rsidR="00964584" w:rsidRPr="00A51861">
        <w:rPr>
          <w:rFonts w:asciiTheme="majorHAnsi" w:hAnsiTheme="majorHAnsi"/>
          <w:sz w:val="20"/>
          <w:szCs w:val="20"/>
        </w:rPr>
        <w:t xml:space="preserve">N° 24.043, </w:t>
      </w:r>
      <w:r w:rsidR="00B47E06">
        <w:rPr>
          <w:rFonts w:asciiTheme="majorHAnsi" w:hAnsiTheme="majorHAnsi"/>
          <w:sz w:val="20"/>
          <w:szCs w:val="20"/>
        </w:rPr>
        <w:t>in those duly proven cases and</w:t>
      </w:r>
      <w:r w:rsidR="00E92985">
        <w:rPr>
          <w:rFonts w:asciiTheme="majorHAnsi" w:hAnsiTheme="majorHAnsi"/>
          <w:sz w:val="20"/>
          <w:szCs w:val="20"/>
        </w:rPr>
        <w:t xml:space="preserve"> </w:t>
      </w:r>
      <w:r w:rsidR="00964584" w:rsidRPr="00A51861">
        <w:rPr>
          <w:rFonts w:asciiTheme="majorHAnsi" w:hAnsiTheme="majorHAnsi"/>
          <w:sz w:val="20"/>
          <w:szCs w:val="20"/>
        </w:rPr>
        <w:t>preced</w:t>
      </w:r>
      <w:r w:rsidR="00B47E06">
        <w:rPr>
          <w:rFonts w:asciiTheme="majorHAnsi" w:hAnsiTheme="majorHAnsi"/>
          <w:sz w:val="20"/>
          <w:szCs w:val="20"/>
        </w:rPr>
        <w:t>ed by</w:t>
      </w:r>
      <w:r w:rsidR="00964584" w:rsidRPr="00A51861">
        <w:rPr>
          <w:rFonts w:asciiTheme="majorHAnsi" w:hAnsiTheme="majorHAnsi"/>
          <w:sz w:val="20"/>
          <w:szCs w:val="20"/>
        </w:rPr>
        <w:t xml:space="preserve"> </w:t>
      </w:r>
      <w:r w:rsidR="00E92985">
        <w:rPr>
          <w:rFonts w:asciiTheme="majorHAnsi" w:hAnsiTheme="majorHAnsi"/>
          <w:sz w:val="20"/>
          <w:szCs w:val="20"/>
        </w:rPr>
        <w:t xml:space="preserve">situations of </w:t>
      </w:r>
      <w:r w:rsidR="00B47E06" w:rsidRPr="00A51861">
        <w:rPr>
          <w:rFonts w:asciiTheme="majorHAnsi" w:hAnsiTheme="majorHAnsi"/>
          <w:sz w:val="20"/>
          <w:szCs w:val="20"/>
        </w:rPr>
        <w:t xml:space="preserve">illegal </w:t>
      </w:r>
      <w:r w:rsidR="006E255A">
        <w:rPr>
          <w:rFonts w:asciiTheme="majorHAnsi" w:hAnsiTheme="majorHAnsi"/>
          <w:sz w:val="20"/>
          <w:szCs w:val="20"/>
        </w:rPr>
        <w:t>detention</w:t>
      </w:r>
      <w:r w:rsidR="00B47E06">
        <w:rPr>
          <w:rFonts w:asciiTheme="majorHAnsi" w:hAnsiTheme="majorHAnsi"/>
          <w:sz w:val="20"/>
          <w:szCs w:val="20"/>
        </w:rPr>
        <w:t xml:space="preserve"> and/or </w:t>
      </w:r>
      <w:r w:rsidR="00B47E06" w:rsidRPr="00A51861">
        <w:rPr>
          <w:rFonts w:asciiTheme="majorHAnsi" w:hAnsiTheme="majorHAnsi"/>
          <w:sz w:val="20"/>
          <w:szCs w:val="20"/>
        </w:rPr>
        <w:t>persecution</w:t>
      </w:r>
      <w:r w:rsidR="00964584" w:rsidRPr="00A51861">
        <w:rPr>
          <w:rFonts w:asciiTheme="majorHAnsi" w:hAnsiTheme="majorHAnsi"/>
          <w:sz w:val="20"/>
          <w:szCs w:val="20"/>
        </w:rPr>
        <w:t xml:space="preserve"> </w:t>
      </w:r>
      <w:r w:rsidR="00B47E06">
        <w:rPr>
          <w:rFonts w:asciiTheme="majorHAnsi" w:hAnsiTheme="majorHAnsi"/>
          <w:sz w:val="20"/>
          <w:szCs w:val="20"/>
        </w:rPr>
        <w:t>which had generated in those involved a</w:t>
      </w:r>
      <w:r w:rsidR="00964584" w:rsidRPr="00A51861">
        <w:rPr>
          <w:rFonts w:asciiTheme="majorHAnsi" w:hAnsiTheme="majorHAnsi"/>
          <w:sz w:val="20"/>
          <w:szCs w:val="20"/>
        </w:rPr>
        <w:t xml:space="preserve"> </w:t>
      </w:r>
      <w:r w:rsidR="00B47E06">
        <w:rPr>
          <w:rFonts w:asciiTheme="majorHAnsi" w:hAnsiTheme="majorHAnsi"/>
          <w:sz w:val="20"/>
          <w:szCs w:val="20"/>
        </w:rPr>
        <w:t>founded fear of experimenting</w:t>
      </w:r>
      <w:r w:rsidR="00964584" w:rsidRPr="00A51861">
        <w:rPr>
          <w:rFonts w:asciiTheme="majorHAnsi" w:hAnsiTheme="majorHAnsi"/>
          <w:sz w:val="20"/>
          <w:szCs w:val="20"/>
        </w:rPr>
        <w:t xml:space="preserve"> </w:t>
      </w:r>
      <w:r w:rsidR="00B47E06">
        <w:rPr>
          <w:rFonts w:asciiTheme="majorHAnsi" w:hAnsiTheme="majorHAnsi"/>
          <w:sz w:val="20"/>
          <w:szCs w:val="20"/>
        </w:rPr>
        <w:t>severe risk for their lives</w:t>
      </w:r>
      <w:r w:rsidR="00964584" w:rsidRPr="00A51861">
        <w:rPr>
          <w:rFonts w:asciiTheme="majorHAnsi" w:hAnsiTheme="majorHAnsi"/>
          <w:sz w:val="20"/>
          <w:szCs w:val="20"/>
        </w:rPr>
        <w:t xml:space="preserve">, </w:t>
      </w:r>
      <w:r w:rsidR="00B47E06">
        <w:rPr>
          <w:rFonts w:asciiTheme="majorHAnsi" w:hAnsiTheme="majorHAnsi"/>
          <w:sz w:val="20"/>
          <w:szCs w:val="20"/>
        </w:rPr>
        <w:t xml:space="preserve">physical integrity and/or </w:t>
      </w:r>
      <w:r w:rsidR="00964584" w:rsidRPr="00A51861">
        <w:rPr>
          <w:rFonts w:asciiTheme="majorHAnsi" w:hAnsiTheme="majorHAnsi"/>
          <w:sz w:val="20"/>
          <w:szCs w:val="20"/>
        </w:rPr>
        <w:t>personal</w:t>
      </w:r>
      <w:r w:rsidR="00B47E06" w:rsidRPr="00B47E06">
        <w:rPr>
          <w:rFonts w:asciiTheme="majorHAnsi" w:hAnsiTheme="majorHAnsi"/>
          <w:sz w:val="20"/>
          <w:szCs w:val="20"/>
        </w:rPr>
        <w:t xml:space="preserve"> </w:t>
      </w:r>
      <w:r w:rsidR="00B47E06" w:rsidRPr="00A51861">
        <w:rPr>
          <w:rFonts w:asciiTheme="majorHAnsi" w:hAnsiTheme="majorHAnsi"/>
          <w:sz w:val="20"/>
          <w:szCs w:val="20"/>
        </w:rPr>
        <w:t>libert</w:t>
      </w:r>
      <w:r w:rsidR="00B47E06">
        <w:rPr>
          <w:rFonts w:asciiTheme="majorHAnsi" w:hAnsiTheme="majorHAnsi"/>
          <w:sz w:val="20"/>
          <w:szCs w:val="20"/>
        </w:rPr>
        <w:t>y</w:t>
      </w:r>
      <w:r w:rsidR="00964584" w:rsidRPr="00A51861">
        <w:rPr>
          <w:rFonts w:asciiTheme="majorHAnsi" w:hAnsiTheme="majorHAnsi"/>
          <w:sz w:val="20"/>
          <w:szCs w:val="20"/>
        </w:rPr>
        <w:t>,</w:t>
      </w:r>
      <w:r w:rsidR="00E92985">
        <w:rPr>
          <w:rFonts w:asciiTheme="majorHAnsi" w:hAnsiTheme="majorHAnsi"/>
          <w:sz w:val="20"/>
          <w:szCs w:val="20"/>
        </w:rPr>
        <w:t xml:space="preserve"> and </w:t>
      </w:r>
      <w:r w:rsidR="00964584" w:rsidRPr="00A51861">
        <w:rPr>
          <w:rFonts w:asciiTheme="majorHAnsi" w:hAnsiTheme="majorHAnsi"/>
          <w:sz w:val="20"/>
          <w:szCs w:val="20"/>
        </w:rPr>
        <w:t>no</w:t>
      </w:r>
      <w:r w:rsidR="00B47E06">
        <w:rPr>
          <w:rFonts w:asciiTheme="majorHAnsi" w:hAnsiTheme="majorHAnsi"/>
          <w:sz w:val="20"/>
          <w:szCs w:val="20"/>
        </w:rPr>
        <w:t>t</w:t>
      </w:r>
      <w:r w:rsidR="00964584" w:rsidRPr="00A51861">
        <w:rPr>
          <w:rFonts w:asciiTheme="majorHAnsi" w:hAnsiTheme="majorHAnsi"/>
          <w:sz w:val="20"/>
          <w:szCs w:val="20"/>
        </w:rPr>
        <w:t xml:space="preserve"> </w:t>
      </w:r>
      <w:r w:rsidR="00B47E06">
        <w:rPr>
          <w:rFonts w:asciiTheme="majorHAnsi" w:hAnsiTheme="majorHAnsi"/>
          <w:sz w:val="20"/>
          <w:szCs w:val="20"/>
        </w:rPr>
        <w:t xml:space="preserve">cases in which it is </w:t>
      </w:r>
      <w:r w:rsidR="00964584" w:rsidRPr="00A51861">
        <w:rPr>
          <w:rFonts w:asciiTheme="majorHAnsi" w:hAnsiTheme="majorHAnsi"/>
          <w:sz w:val="20"/>
          <w:szCs w:val="20"/>
        </w:rPr>
        <w:t>pos</w:t>
      </w:r>
      <w:r w:rsidR="00B47E06">
        <w:rPr>
          <w:rFonts w:asciiTheme="majorHAnsi" w:hAnsiTheme="majorHAnsi"/>
          <w:sz w:val="20"/>
          <w:szCs w:val="20"/>
        </w:rPr>
        <w:t>s</w:t>
      </w:r>
      <w:r w:rsidR="00964584" w:rsidRPr="00A51861">
        <w:rPr>
          <w:rFonts w:asciiTheme="majorHAnsi" w:hAnsiTheme="majorHAnsi"/>
          <w:sz w:val="20"/>
          <w:szCs w:val="20"/>
        </w:rPr>
        <w:t xml:space="preserve">ible </w:t>
      </w:r>
      <w:r w:rsidR="00B47E06">
        <w:rPr>
          <w:rFonts w:asciiTheme="majorHAnsi" w:hAnsiTheme="majorHAnsi"/>
          <w:sz w:val="20"/>
          <w:szCs w:val="20"/>
        </w:rPr>
        <w:t>to interpret the departure from the country as voluntary self-exile</w:t>
      </w:r>
      <w:r w:rsidR="00964584" w:rsidRPr="00A51861">
        <w:rPr>
          <w:rFonts w:asciiTheme="majorHAnsi" w:hAnsiTheme="majorHAnsi"/>
          <w:sz w:val="20"/>
          <w:szCs w:val="20"/>
        </w:rPr>
        <w:t>.</w:t>
      </w:r>
    </w:p>
    <w:p w14:paraId="4EDB7658" w14:textId="77777777" w:rsidR="008266A7" w:rsidRPr="00A51861" w:rsidRDefault="008266A7" w:rsidP="008E4D36">
      <w:pPr>
        <w:pStyle w:val="ListParagraph"/>
        <w:rPr>
          <w:color w:val="FF0000"/>
          <w:sz w:val="20"/>
          <w:szCs w:val="20"/>
        </w:rPr>
      </w:pPr>
    </w:p>
    <w:p w14:paraId="5457F17A" w14:textId="7DD60B4D" w:rsidR="00D12193" w:rsidRPr="00A51861" w:rsidRDefault="00D12193" w:rsidP="00DA471F">
      <w:pPr>
        <w:pStyle w:val="Heading1"/>
        <w:keepNext/>
        <w:keepLines/>
        <w:numPr>
          <w:ilvl w:val="0"/>
          <w:numId w:val="55"/>
        </w:numPr>
        <w:suppressAutoHyphens w:val="0"/>
        <w:ind w:left="720" w:hanging="360"/>
        <w:rPr>
          <w:lang w:val="en-US"/>
        </w:rPr>
      </w:pPr>
      <w:bookmarkStart w:id="6" w:name="_Toc196383470"/>
      <w:r w:rsidRPr="00DA471F">
        <w:rPr>
          <w:rFonts w:eastAsiaTheme="majorEastAsia" w:cstheme="majorBidi"/>
          <w:bCs/>
          <w:color w:val="auto"/>
          <w:lang w:eastAsia="en-US"/>
        </w:rPr>
        <w:lastRenderedPageBreak/>
        <w:t>DETERMINA</w:t>
      </w:r>
      <w:r w:rsidR="002835FC" w:rsidRPr="00DA471F">
        <w:rPr>
          <w:rFonts w:eastAsiaTheme="majorEastAsia" w:cstheme="majorBidi"/>
          <w:bCs/>
          <w:color w:val="auto"/>
          <w:lang w:eastAsia="en-US"/>
        </w:rPr>
        <w:t>T</w:t>
      </w:r>
      <w:r w:rsidRPr="00DA471F">
        <w:rPr>
          <w:rFonts w:eastAsiaTheme="majorEastAsia" w:cstheme="majorBidi"/>
          <w:bCs/>
          <w:color w:val="auto"/>
          <w:lang w:eastAsia="en-US"/>
        </w:rPr>
        <w:t>ION</w:t>
      </w:r>
      <w:r w:rsidR="002835FC" w:rsidRPr="00DA471F">
        <w:rPr>
          <w:rFonts w:eastAsiaTheme="majorEastAsia" w:cstheme="majorBidi"/>
          <w:bCs/>
          <w:color w:val="auto"/>
          <w:lang w:eastAsia="en-US"/>
        </w:rPr>
        <w:t>S</w:t>
      </w:r>
      <w:r w:rsidR="002835FC" w:rsidRPr="00A51861">
        <w:rPr>
          <w:lang w:val="en-US"/>
        </w:rPr>
        <w:t xml:space="preserve"> OF FACT</w:t>
      </w:r>
      <w:bookmarkEnd w:id="6"/>
    </w:p>
    <w:p w14:paraId="4CD7A831" w14:textId="77777777" w:rsidR="000B6985" w:rsidRPr="00A51861" w:rsidRDefault="000B6985" w:rsidP="008E4D36">
      <w:pPr>
        <w:jc w:val="both"/>
        <w:rPr>
          <w:rFonts w:asciiTheme="majorHAnsi" w:hAnsiTheme="majorHAnsi"/>
          <w:b/>
          <w:sz w:val="20"/>
          <w:szCs w:val="20"/>
        </w:rPr>
      </w:pPr>
    </w:p>
    <w:p w14:paraId="085C3599" w14:textId="478FA3F0" w:rsidR="000A576A" w:rsidRPr="00A51861" w:rsidRDefault="002835FC" w:rsidP="00DA471F">
      <w:pPr>
        <w:pStyle w:val="Heading2"/>
        <w:keepNex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720"/>
        <w:rPr>
          <w:lang w:val="en-US"/>
        </w:rPr>
      </w:pPr>
      <w:bookmarkStart w:id="7" w:name="_Toc196383471"/>
      <w:r w:rsidRPr="00A51861">
        <w:rPr>
          <w:lang w:val="en-US"/>
        </w:rPr>
        <w:t>Relevant Regulatory Framework</w:t>
      </w:r>
      <w:bookmarkEnd w:id="7"/>
    </w:p>
    <w:p w14:paraId="5480E13C" w14:textId="77777777" w:rsidR="00AE38EC" w:rsidRPr="00A51861" w:rsidRDefault="00AE38EC" w:rsidP="008E4D36">
      <w:pPr>
        <w:pStyle w:val="ListParagraph"/>
        <w:rPr>
          <w:rFonts w:asciiTheme="majorHAnsi" w:hAnsiTheme="majorHAnsi"/>
          <w:b/>
          <w:color w:val="auto"/>
          <w:sz w:val="20"/>
          <w:szCs w:val="20"/>
        </w:rPr>
      </w:pPr>
    </w:p>
    <w:p w14:paraId="6F4D8C8B" w14:textId="00058412" w:rsidR="00AE38EC" w:rsidRPr="007D174A" w:rsidRDefault="00D6263C" w:rsidP="00DA471F">
      <w:pPr>
        <w:pStyle w:val="Heading3"/>
        <w:keepNext/>
        <w:numPr>
          <w:ilvl w:val="0"/>
          <w:numId w:val="70"/>
        </w:numPr>
        <w:spacing w:line="240" w:lineRule="auto"/>
        <w:jc w:val="left"/>
        <w:rPr>
          <w:rFonts w:asciiTheme="majorHAnsi" w:hAnsiTheme="majorHAnsi"/>
          <w:b w:val="0"/>
          <w:lang w:val="en-US"/>
        </w:rPr>
      </w:pPr>
      <w:bookmarkStart w:id="8" w:name="_Toc196383472"/>
      <w:r w:rsidRPr="007D174A">
        <w:rPr>
          <w:rFonts w:asciiTheme="majorHAnsi" w:hAnsiTheme="majorHAnsi"/>
          <w:lang w:val="en-US"/>
        </w:rPr>
        <w:t>Regard</w:t>
      </w:r>
      <w:r w:rsidR="002835FC" w:rsidRPr="007D174A">
        <w:rPr>
          <w:rFonts w:asciiTheme="majorHAnsi" w:hAnsiTheme="majorHAnsi"/>
          <w:lang w:val="en-US"/>
        </w:rPr>
        <w:t>ing regime of</w:t>
      </w:r>
      <w:r w:rsidR="00AE38EC" w:rsidRPr="007D174A">
        <w:rPr>
          <w:rFonts w:asciiTheme="majorHAnsi" w:hAnsiTheme="majorHAnsi"/>
          <w:lang w:val="en-US"/>
        </w:rPr>
        <w:t xml:space="preserve"> </w:t>
      </w:r>
      <w:r w:rsidR="002835FC" w:rsidRPr="007D174A">
        <w:rPr>
          <w:rFonts w:asciiTheme="majorHAnsi" w:hAnsiTheme="majorHAnsi"/>
          <w:lang w:val="en-US"/>
        </w:rPr>
        <w:t xml:space="preserve">Law </w:t>
      </w:r>
      <w:r w:rsidR="00AE38EC" w:rsidRPr="007D174A">
        <w:rPr>
          <w:rFonts w:asciiTheme="majorHAnsi" w:hAnsiTheme="majorHAnsi"/>
          <w:lang w:val="en-US"/>
        </w:rPr>
        <w:t>24.043</w:t>
      </w:r>
      <w:r w:rsidR="0090344A" w:rsidRPr="007D174A">
        <w:rPr>
          <w:rFonts w:asciiTheme="majorHAnsi" w:hAnsiTheme="majorHAnsi"/>
          <w:lang w:val="en-US"/>
        </w:rPr>
        <w:t xml:space="preserve"> </w:t>
      </w:r>
      <w:r w:rsidRPr="007D174A">
        <w:rPr>
          <w:rFonts w:asciiTheme="majorHAnsi" w:hAnsiTheme="majorHAnsi"/>
          <w:lang w:val="en-US"/>
        </w:rPr>
        <w:t>of</w:t>
      </w:r>
      <w:r w:rsidR="0090344A" w:rsidRPr="007D174A">
        <w:rPr>
          <w:rFonts w:asciiTheme="majorHAnsi" w:hAnsiTheme="majorHAnsi"/>
          <w:lang w:val="en-US"/>
        </w:rPr>
        <w:t xml:space="preserve"> 1991</w:t>
      </w:r>
      <w:bookmarkEnd w:id="8"/>
    </w:p>
    <w:p w14:paraId="0D1590DB" w14:textId="77777777" w:rsidR="00AE38EC" w:rsidRPr="00A51861" w:rsidRDefault="00AE38EC" w:rsidP="008E4D36">
      <w:pPr>
        <w:jc w:val="both"/>
        <w:rPr>
          <w:rFonts w:asciiTheme="majorHAnsi" w:hAnsiTheme="majorHAnsi"/>
          <w:b/>
          <w:sz w:val="20"/>
          <w:szCs w:val="20"/>
        </w:rPr>
      </w:pPr>
    </w:p>
    <w:p w14:paraId="0F62EBD1" w14:textId="16C73DE6" w:rsidR="00AE38EC" w:rsidRPr="00A51861" w:rsidRDefault="002835FC"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A51861">
        <w:rPr>
          <w:rFonts w:asciiTheme="majorHAnsi" w:hAnsiTheme="majorHAnsi"/>
          <w:sz w:val="20"/>
          <w:szCs w:val="20"/>
        </w:rPr>
        <w:t xml:space="preserve">Law </w:t>
      </w:r>
      <w:r w:rsidR="00AE38EC" w:rsidRPr="00A51861">
        <w:rPr>
          <w:rFonts w:asciiTheme="majorHAnsi" w:hAnsiTheme="majorHAnsi"/>
          <w:sz w:val="20"/>
          <w:szCs w:val="20"/>
        </w:rPr>
        <w:t xml:space="preserve">24.043 </w:t>
      </w:r>
      <w:r w:rsidR="00F92BA8">
        <w:rPr>
          <w:rFonts w:asciiTheme="majorHAnsi" w:hAnsiTheme="majorHAnsi"/>
          <w:sz w:val="20"/>
          <w:szCs w:val="20"/>
        </w:rPr>
        <w:t xml:space="preserve">of 1991 </w:t>
      </w:r>
      <w:r w:rsidR="00E92985">
        <w:rPr>
          <w:rFonts w:asciiTheme="majorHAnsi" w:hAnsiTheme="majorHAnsi"/>
          <w:sz w:val="20"/>
          <w:szCs w:val="20"/>
        </w:rPr>
        <w:t>provides on its first article that</w:t>
      </w:r>
      <w:r w:rsidR="00AE38EC" w:rsidRPr="00A51861">
        <w:rPr>
          <w:rFonts w:asciiTheme="majorHAnsi" w:hAnsiTheme="majorHAnsi"/>
          <w:sz w:val="20"/>
          <w:szCs w:val="20"/>
        </w:rPr>
        <w:t xml:space="preserve">: </w:t>
      </w:r>
    </w:p>
    <w:p w14:paraId="60FD64A0" w14:textId="77777777" w:rsidR="00AE38EC" w:rsidRPr="00A51861" w:rsidRDefault="00AE38EC" w:rsidP="008E4D36">
      <w:pPr>
        <w:jc w:val="both"/>
        <w:rPr>
          <w:rFonts w:asciiTheme="majorHAnsi" w:hAnsiTheme="majorHAnsi"/>
          <w:sz w:val="20"/>
          <w:szCs w:val="20"/>
        </w:rPr>
      </w:pPr>
    </w:p>
    <w:p w14:paraId="740A34B3" w14:textId="08F30B04" w:rsidR="00AE38EC" w:rsidRPr="00A51861" w:rsidRDefault="0076580C" w:rsidP="008E4D36">
      <w:pPr>
        <w:ind w:left="360" w:right="360"/>
        <w:jc w:val="both"/>
        <w:rPr>
          <w:rFonts w:asciiTheme="majorHAnsi" w:hAnsiTheme="majorHAnsi"/>
          <w:sz w:val="18"/>
          <w:szCs w:val="20"/>
        </w:rPr>
      </w:pPr>
      <w:r>
        <w:rPr>
          <w:rFonts w:asciiTheme="majorHAnsi" w:hAnsiTheme="majorHAnsi"/>
          <w:sz w:val="18"/>
          <w:szCs w:val="20"/>
        </w:rPr>
        <w:t xml:space="preserve">The persons whom during the validity of the </w:t>
      </w:r>
      <w:r w:rsidR="001A0B84">
        <w:rPr>
          <w:rFonts w:asciiTheme="majorHAnsi" w:hAnsiTheme="majorHAnsi"/>
          <w:sz w:val="18"/>
          <w:szCs w:val="20"/>
        </w:rPr>
        <w:t>State of Siege</w:t>
      </w:r>
      <w:r>
        <w:rPr>
          <w:rFonts w:asciiTheme="majorHAnsi" w:hAnsiTheme="majorHAnsi"/>
          <w:sz w:val="18"/>
          <w:szCs w:val="20"/>
        </w:rPr>
        <w:t xml:space="preserve"> had been placed at the disposal of the</w:t>
      </w:r>
      <w:r w:rsidR="00AE38EC" w:rsidRPr="00A51861">
        <w:rPr>
          <w:rFonts w:asciiTheme="majorHAnsi" w:hAnsiTheme="majorHAnsi"/>
          <w:sz w:val="18"/>
          <w:szCs w:val="20"/>
        </w:rPr>
        <w:t xml:space="preserve"> </w:t>
      </w:r>
      <w:r w:rsidR="00200AC7">
        <w:rPr>
          <w:rFonts w:asciiTheme="majorHAnsi" w:hAnsiTheme="majorHAnsi"/>
          <w:sz w:val="18"/>
          <w:szCs w:val="20"/>
        </w:rPr>
        <w:t xml:space="preserve">National Executive Power </w:t>
      </w:r>
      <w:r w:rsidR="00AE38EC" w:rsidRPr="00A51861">
        <w:rPr>
          <w:rFonts w:asciiTheme="majorHAnsi" w:hAnsiTheme="majorHAnsi"/>
          <w:sz w:val="18"/>
          <w:szCs w:val="20"/>
        </w:rPr>
        <w:t>(</w:t>
      </w:r>
      <w:r w:rsidR="00F92BA8">
        <w:rPr>
          <w:rFonts w:asciiTheme="majorHAnsi" w:hAnsiTheme="majorHAnsi"/>
          <w:sz w:val="18"/>
          <w:szCs w:val="20"/>
        </w:rPr>
        <w:t>hereinafter</w:t>
      </w:r>
      <w:r w:rsidR="00AE38EC" w:rsidRPr="00A51861">
        <w:rPr>
          <w:rFonts w:asciiTheme="majorHAnsi" w:hAnsiTheme="majorHAnsi"/>
          <w:sz w:val="18"/>
          <w:szCs w:val="20"/>
        </w:rPr>
        <w:t xml:space="preserve"> “</w:t>
      </w:r>
      <w:r w:rsidR="00323EBA">
        <w:rPr>
          <w:rFonts w:asciiTheme="majorHAnsi" w:hAnsiTheme="majorHAnsi"/>
          <w:sz w:val="18"/>
          <w:szCs w:val="20"/>
        </w:rPr>
        <w:t>N.E.P</w:t>
      </w:r>
      <w:r w:rsidR="00AE38EC" w:rsidRPr="00A51861">
        <w:rPr>
          <w:rFonts w:asciiTheme="majorHAnsi" w:hAnsiTheme="majorHAnsi"/>
          <w:sz w:val="18"/>
          <w:szCs w:val="20"/>
        </w:rPr>
        <w:t xml:space="preserve">.”), </w:t>
      </w:r>
      <w:r>
        <w:rPr>
          <w:rFonts w:asciiTheme="majorHAnsi" w:hAnsiTheme="majorHAnsi"/>
          <w:sz w:val="18"/>
          <w:szCs w:val="20"/>
        </w:rPr>
        <w:t>by</w:t>
      </w:r>
      <w:r w:rsidR="00AE38EC" w:rsidRPr="00A51861">
        <w:rPr>
          <w:rFonts w:asciiTheme="majorHAnsi" w:hAnsiTheme="majorHAnsi"/>
          <w:sz w:val="18"/>
          <w:szCs w:val="20"/>
        </w:rPr>
        <w:t xml:space="preserve"> </w:t>
      </w:r>
      <w:r w:rsidR="00F92BA8">
        <w:rPr>
          <w:rFonts w:asciiTheme="majorHAnsi" w:hAnsiTheme="majorHAnsi"/>
          <w:sz w:val="18"/>
          <w:szCs w:val="20"/>
        </w:rPr>
        <w:t>decision</w:t>
      </w:r>
      <w:r w:rsidR="00E92985">
        <w:rPr>
          <w:rFonts w:asciiTheme="majorHAnsi" w:hAnsiTheme="majorHAnsi"/>
          <w:sz w:val="18"/>
          <w:szCs w:val="20"/>
        </w:rPr>
        <w:t xml:space="preserve"> of </w:t>
      </w:r>
      <w:r>
        <w:rPr>
          <w:rFonts w:asciiTheme="majorHAnsi" w:hAnsiTheme="majorHAnsi"/>
          <w:sz w:val="18"/>
          <w:szCs w:val="20"/>
        </w:rPr>
        <w:t>the latter</w:t>
      </w:r>
      <w:r w:rsidR="00AE38EC" w:rsidRPr="00A51861">
        <w:rPr>
          <w:rFonts w:asciiTheme="majorHAnsi" w:hAnsiTheme="majorHAnsi"/>
          <w:sz w:val="18"/>
          <w:szCs w:val="20"/>
        </w:rPr>
        <w:t>,</w:t>
      </w:r>
      <w:r w:rsidR="00E92985">
        <w:rPr>
          <w:rFonts w:asciiTheme="majorHAnsi" w:hAnsiTheme="majorHAnsi"/>
          <w:sz w:val="18"/>
          <w:szCs w:val="20"/>
        </w:rPr>
        <w:t xml:space="preserve"> or </w:t>
      </w:r>
      <w:r>
        <w:rPr>
          <w:rFonts w:asciiTheme="majorHAnsi" w:hAnsiTheme="majorHAnsi"/>
          <w:sz w:val="18"/>
          <w:szCs w:val="20"/>
        </w:rPr>
        <w:t>whom while being civilians</w:t>
      </w:r>
      <w:r w:rsidR="00AE38EC" w:rsidRPr="00A51861">
        <w:rPr>
          <w:rFonts w:asciiTheme="majorHAnsi" w:hAnsiTheme="majorHAnsi"/>
          <w:sz w:val="18"/>
          <w:szCs w:val="20"/>
        </w:rPr>
        <w:t xml:space="preserve"> </w:t>
      </w:r>
      <w:r>
        <w:rPr>
          <w:rFonts w:asciiTheme="majorHAnsi" w:hAnsiTheme="majorHAnsi"/>
          <w:sz w:val="18"/>
          <w:szCs w:val="20"/>
        </w:rPr>
        <w:t xml:space="preserve">suffered </w:t>
      </w:r>
      <w:r w:rsidR="006E255A">
        <w:rPr>
          <w:rFonts w:asciiTheme="majorHAnsi" w:hAnsiTheme="majorHAnsi"/>
          <w:sz w:val="18"/>
          <w:szCs w:val="20"/>
        </w:rPr>
        <w:t>detention</w:t>
      </w:r>
      <w:r w:rsidR="00AE38EC" w:rsidRPr="00A51861">
        <w:rPr>
          <w:rFonts w:asciiTheme="majorHAnsi" w:hAnsiTheme="majorHAnsi"/>
          <w:sz w:val="18"/>
          <w:szCs w:val="20"/>
        </w:rPr>
        <w:t xml:space="preserve"> </w:t>
      </w:r>
      <w:r>
        <w:rPr>
          <w:rFonts w:asciiTheme="majorHAnsi" w:hAnsiTheme="majorHAnsi"/>
          <w:sz w:val="18"/>
          <w:szCs w:val="20"/>
        </w:rPr>
        <w:t>by virtue of</w:t>
      </w:r>
      <w:r w:rsidR="00E92985">
        <w:rPr>
          <w:rFonts w:asciiTheme="majorHAnsi" w:hAnsiTheme="majorHAnsi"/>
          <w:sz w:val="18"/>
          <w:szCs w:val="20"/>
        </w:rPr>
        <w:t xml:space="preserve"> </w:t>
      </w:r>
      <w:r w:rsidR="00AE38EC" w:rsidRPr="00A51861">
        <w:rPr>
          <w:rFonts w:asciiTheme="majorHAnsi" w:hAnsiTheme="majorHAnsi"/>
          <w:sz w:val="18"/>
          <w:szCs w:val="20"/>
        </w:rPr>
        <w:t xml:space="preserve">acts </w:t>
      </w:r>
      <w:r>
        <w:rPr>
          <w:rFonts w:asciiTheme="majorHAnsi" w:hAnsiTheme="majorHAnsi"/>
          <w:sz w:val="18"/>
          <w:szCs w:val="20"/>
        </w:rPr>
        <w:t>issued by</w:t>
      </w:r>
      <w:r w:rsidR="00E92985">
        <w:rPr>
          <w:rFonts w:asciiTheme="majorHAnsi" w:hAnsiTheme="majorHAnsi"/>
          <w:sz w:val="18"/>
          <w:szCs w:val="20"/>
        </w:rPr>
        <w:t xml:space="preserve"> </w:t>
      </w:r>
      <w:r w:rsidR="00F92BA8">
        <w:rPr>
          <w:rFonts w:asciiTheme="majorHAnsi" w:hAnsiTheme="majorHAnsi"/>
          <w:sz w:val="18"/>
          <w:szCs w:val="20"/>
        </w:rPr>
        <w:t>military courts</w:t>
      </w:r>
      <w:r w:rsidR="00AE38EC" w:rsidRPr="00A51861">
        <w:rPr>
          <w:rFonts w:asciiTheme="majorHAnsi" w:hAnsiTheme="majorHAnsi"/>
          <w:sz w:val="18"/>
          <w:szCs w:val="20"/>
        </w:rPr>
        <w:t xml:space="preserve">, </w:t>
      </w:r>
      <w:r>
        <w:rPr>
          <w:rFonts w:asciiTheme="majorHAnsi" w:hAnsiTheme="majorHAnsi"/>
          <w:sz w:val="18"/>
          <w:szCs w:val="20"/>
        </w:rPr>
        <w:t>whether they initiated or not trials for</w:t>
      </w:r>
      <w:r w:rsidR="00AE38EC" w:rsidRPr="00A51861">
        <w:rPr>
          <w:rFonts w:asciiTheme="majorHAnsi" w:hAnsiTheme="majorHAnsi"/>
          <w:sz w:val="18"/>
          <w:szCs w:val="20"/>
        </w:rPr>
        <w:t xml:space="preserve"> </w:t>
      </w:r>
      <w:r>
        <w:rPr>
          <w:rFonts w:asciiTheme="majorHAnsi" w:hAnsiTheme="majorHAnsi"/>
          <w:sz w:val="18"/>
          <w:szCs w:val="20"/>
        </w:rPr>
        <w:t>damages</w:t>
      </w:r>
      <w:r w:rsidR="00AE38EC" w:rsidRPr="00A51861">
        <w:rPr>
          <w:rFonts w:asciiTheme="majorHAnsi" w:hAnsiTheme="majorHAnsi"/>
          <w:sz w:val="18"/>
          <w:szCs w:val="20"/>
        </w:rPr>
        <w:t xml:space="preserve">, </w:t>
      </w:r>
      <w:r w:rsidR="006A3C04">
        <w:rPr>
          <w:rFonts w:asciiTheme="majorHAnsi" w:hAnsiTheme="majorHAnsi"/>
          <w:sz w:val="18"/>
          <w:szCs w:val="20"/>
        </w:rPr>
        <w:t>shall be eligible for the</w:t>
      </w:r>
      <w:r w:rsidR="00AE38EC" w:rsidRPr="00A51861">
        <w:rPr>
          <w:rFonts w:asciiTheme="majorHAnsi" w:hAnsiTheme="majorHAnsi"/>
          <w:sz w:val="18"/>
          <w:szCs w:val="20"/>
        </w:rPr>
        <w:t xml:space="preserve"> </w:t>
      </w:r>
      <w:r w:rsidR="00B47E06">
        <w:rPr>
          <w:rFonts w:asciiTheme="majorHAnsi" w:hAnsiTheme="majorHAnsi"/>
          <w:sz w:val="18"/>
          <w:szCs w:val="20"/>
        </w:rPr>
        <w:t>benefit</w:t>
      </w:r>
      <w:r w:rsidR="00AE38EC" w:rsidRPr="00A51861">
        <w:rPr>
          <w:rFonts w:asciiTheme="majorHAnsi" w:hAnsiTheme="majorHAnsi"/>
          <w:sz w:val="18"/>
          <w:szCs w:val="20"/>
        </w:rPr>
        <w:t>s</w:t>
      </w:r>
      <w:r w:rsidR="00E92985">
        <w:rPr>
          <w:rFonts w:asciiTheme="majorHAnsi" w:hAnsiTheme="majorHAnsi"/>
          <w:sz w:val="18"/>
          <w:szCs w:val="20"/>
        </w:rPr>
        <w:t xml:space="preserve"> of </w:t>
      </w:r>
      <w:r w:rsidR="006A3C04">
        <w:rPr>
          <w:rFonts w:asciiTheme="majorHAnsi" w:hAnsiTheme="majorHAnsi"/>
          <w:sz w:val="18"/>
          <w:szCs w:val="20"/>
        </w:rPr>
        <w:t>this</w:t>
      </w:r>
      <w:r w:rsidR="00AE38EC" w:rsidRPr="00A51861">
        <w:rPr>
          <w:rFonts w:asciiTheme="majorHAnsi" w:hAnsiTheme="majorHAnsi"/>
          <w:sz w:val="18"/>
          <w:szCs w:val="20"/>
        </w:rPr>
        <w:t xml:space="preserve"> </w:t>
      </w:r>
      <w:r w:rsidR="0029564F">
        <w:rPr>
          <w:rFonts w:asciiTheme="majorHAnsi" w:hAnsiTheme="majorHAnsi"/>
          <w:sz w:val="18"/>
          <w:szCs w:val="20"/>
        </w:rPr>
        <w:t>law</w:t>
      </w:r>
      <w:r w:rsidR="00AE38EC" w:rsidRPr="00A51861">
        <w:rPr>
          <w:rFonts w:asciiTheme="majorHAnsi" w:hAnsiTheme="majorHAnsi"/>
          <w:sz w:val="18"/>
          <w:szCs w:val="20"/>
        </w:rPr>
        <w:t xml:space="preserve">, </w:t>
      </w:r>
      <w:r w:rsidR="006A3C04">
        <w:rPr>
          <w:rFonts w:asciiTheme="majorHAnsi" w:hAnsiTheme="majorHAnsi"/>
          <w:sz w:val="18"/>
          <w:szCs w:val="20"/>
        </w:rPr>
        <w:t>provided they did not receive any indemnity by virtue of a</w:t>
      </w:r>
      <w:r w:rsidR="00E92985">
        <w:rPr>
          <w:rFonts w:asciiTheme="majorHAnsi" w:hAnsiTheme="majorHAnsi"/>
          <w:sz w:val="18"/>
          <w:szCs w:val="20"/>
        </w:rPr>
        <w:t xml:space="preserve"> </w:t>
      </w:r>
      <w:r w:rsidR="00AE38EC" w:rsidRPr="00A51861">
        <w:rPr>
          <w:rFonts w:asciiTheme="majorHAnsi" w:hAnsiTheme="majorHAnsi"/>
          <w:sz w:val="18"/>
          <w:szCs w:val="20"/>
        </w:rPr>
        <w:t>judicial</w:t>
      </w:r>
      <w:r w:rsidR="006A3C04" w:rsidRPr="006A3C04">
        <w:rPr>
          <w:rFonts w:asciiTheme="majorHAnsi" w:hAnsiTheme="majorHAnsi"/>
          <w:sz w:val="18"/>
          <w:szCs w:val="20"/>
        </w:rPr>
        <w:t xml:space="preserve"> </w:t>
      </w:r>
      <w:r w:rsidR="006A3C04" w:rsidRPr="00A51861">
        <w:rPr>
          <w:rFonts w:asciiTheme="majorHAnsi" w:hAnsiTheme="majorHAnsi"/>
          <w:sz w:val="18"/>
          <w:szCs w:val="20"/>
        </w:rPr>
        <w:t>sentenc</w:t>
      </w:r>
      <w:r w:rsidR="006A3C04">
        <w:rPr>
          <w:rFonts w:asciiTheme="majorHAnsi" w:hAnsiTheme="majorHAnsi"/>
          <w:sz w:val="18"/>
          <w:szCs w:val="20"/>
        </w:rPr>
        <w:t>e</w:t>
      </w:r>
      <w:r w:rsidR="00AE38EC" w:rsidRPr="00A51861">
        <w:rPr>
          <w:rFonts w:asciiTheme="majorHAnsi" w:hAnsiTheme="majorHAnsi"/>
          <w:sz w:val="18"/>
          <w:szCs w:val="20"/>
        </w:rPr>
        <w:t xml:space="preserve">, </w:t>
      </w:r>
      <w:r w:rsidR="006A3C04">
        <w:rPr>
          <w:rFonts w:asciiTheme="majorHAnsi" w:hAnsiTheme="majorHAnsi"/>
          <w:sz w:val="18"/>
          <w:szCs w:val="20"/>
        </w:rPr>
        <w:t>as a result of the facts</w:t>
      </w:r>
      <w:r w:rsidR="00AE38EC" w:rsidRPr="00A51861">
        <w:rPr>
          <w:rFonts w:asciiTheme="majorHAnsi" w:hAnsiTheme="majorHAnsi"/>
          <w:sz w:val="18"/>
          <w:szCs w:val="20"/>
        </w:rPr>
        <w:t xml:space="preserve"> </w:t>
      </w:r>
      <w:r w:rsidR="006A3C04">
        <w:rPr>
          <w:rFonts w:asciiTheme="majorHAnsi" w:hAnsiTheme="majorHAnsi"/>
          <w:sz w:val="18"/>
          <w:szCs w:val="20"/>
        </w:rPr>
        <w:t>contemplated herein</w:t>
      </w:r>
      <w:r w:rsidR="00AE38EC" w:rsidRPr="00A51861">
        <w:rPr>
          <w:rStyle w:val="FootnoteReference"/>
          <w:rFonts w:asciiTheme="majorHAnsi" w:hAnsiTheme="majorHAnsi"/>
          <w:sz w:val="18"/>
          <w:szCs w:val="20"/>
        </w:rPr>
        <w:footnoteReference w:id="5"/>
      </w:r>
      <w:r w:rsidR="00AE38EC" w:rsidRPr="00A51861">
        <w:rPr>
          <w:rFonts w:asciiTheme="majorHAnsi" w:hAnsiTheme="majorHAnsi"/>
          <w:sz w:val="18"/>
          <w:szCs w:val="20"/>
        </w:rPr>
        <w:t xml:space="preserve">. </w:t>
      </w:r>
    </w:p>
    <w:p w14:paraId="4694AA6B" w14:textId="77777777" w:rsidR="00AE38EC" w:rsidRPr="00A51861" w:rsidRDefault="00AE38EC" w:rsidP="008E4D36">
      <w:pPr>
        <w:jc w:val="both"/>
        <w:rPr>
          <w:rFonts w:asciiTheme="majorHAnsi" w:hAnsiTheme="majorHAnsi"/>
          <w:sz w:val="20"/>
          <w:szCs w:val="20"/>
        </w:rPr>
      </w:pPr>
    </w:p>
    <w:p w14:paraId="505A9A38" w14:textId="46F00814" w:rsidR="00AE38EC" w:rsidRPr="00A51861" w:rsidRDefault="006A3C04"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On its second</w:t>
      </w:r>
      <w:r w:rsidR="00AE38EC" w:rsidRPr="00A51861">
        <w:rPr>
          <w:rFonts w:asciiTheme="majorHAnsi" w:hAnsiTheme="majorHAnsi"/>
          <w:sz w:val="20"/>
          <w:szCs w:val="20"/>
        </w:rPr>
        <w:t xml:space="preserve"> </w:t>
      </w:r>
      <w:r w:rsidR="0029564F">
        <w:rPr>
          <w:rFonts w:asciiTheme="majorHAnsi" w:hAnsiTheme="majorHAnsi"/>
          <w:sz w:val="20"/>
          <w:szCs w:val="20"/>
        </w:rPr>
        <w:t>article</w:t>
      </w:r>
      <w:r w:rsidR="00AE38EC" w:rsidRPr="00A51861">
        <w:rPr>
          <w:rFonts w:asciiTheme="majorHAnsi" w:hAnsiTheme="majorHAnsi"/>
          <w:sz w:val="20"/>
          <w:szCs w:val="20"/>
        </w:rPr>
        <w:t xml:space="preserve">, </w:t>
      </w:r>
      <w:r>
        <w:rPr>
          <w:rFonts w:asciiTheme="majorHAnsi" w:hAnsiTheme="majorHAnsi"/>
          <w:sz w:val="20"/>
          <w:szCs w:val="20"/>
        </w:rPr>
        <w:t>the referred</w:t>
      </w:r>
      <w:r w:rsidR="00AE38EC" w:rsidRPr="00A51861">
        <w:rPr>
          <w:rFonts w:asciiTheme="majorHAnsi" w:hAnsiTheme="majorHAnsi"/>
          <w:sz w:val="20"/>
          <w:szCs w:val="20"/>
        </w:rPr>
        <w:t xml:space="preserve"> </w:t>
      </w:r>
      <w:r w:rsidR="0029564F">
        <w:rPr>
          <w:rFonts w:asciiTheme="majorHAnsi" w:hAnsiTheme="majorHAnsi"/>
          <w:sz w:val="20"/>
          <w:szCs w:val="20"/>
        </w:rPr>
        <w:t>law</w:t>
      </w:r>
      <w:r w:rsidR="00E92985">
        <w:rPr>
          <w:rFonts w:asciiTheme="majorHAnsi" w:hAnsiTheme="majorHAnsi"/>
          <w:sz w:val="20"/>
          <w:szCs w:val="20"/>
        </w:rPr>
        <w:t xml:space="preserve"> of </w:t>
      </w:r>
      <w:r>
        <w:rPr>
          <w:rFonts w:asciiTheme="majorHAnsi" w:hAnsiTheme="majorHAnsi"/>
          <w:sz w:val="20"/>
          <w:szCs w:val="20"/>
        </w:rPr>
        <w:t>compensations</w:t>
      </w:r>
      <w:r w:rsidR="00AE38EC" w:rsidRPr="00A51861">
        <w:rPr>
          <w:rFonts w:asciiTheme="majorHAnsi" w:hAnsiTheme="majorHAnsi"/>
          <w:sz w:val="20"/>
          <w:szCs w:val="20"/>
        </w:rPr>
        <w:t xml:space="preserve"> </w:t>
      </w:r>
      <w:r>
        <w:rPr>
          <w:rFonts w:asciiTheme="majorHAnsi" w:hAnsiTheme="majorHAnsi"/>
          <w:sz w:val="20"/>
          <w:szCs w:val="20"/>
        </w:rPr>
        <w:t>establishes as a</w:t>
      </w:r>
      <w:r w:rsidR="00AE38EC" w:rsidRPr="00A51861">
        <w:rPr>
          <w:rFonts w:asciiTheme="majorHAnsi" w:hAnsiTheme="majorHAnsi"/>
          <w:sz w:val="20"/>
          <w:szCs w:val="20"/>
        </w:rPr>
        <w:t xml:space="preserve"> </w:t>
      </w:r>
      <w:r w:rsidR="00EC7A58">
        <w:rPr>
          <w:rFonts w:asciiTheme="majorHAnsi" w:hAnsiTheme="majorHAnsi"/>
          <w:sz w:val="20"/>
          <w:szCs w:val="20"/>
        </w:rPr>
        <w:t>requirement</w:t>
      </w:r>
      <w:r w:rsidR="00AE38EC" w:rsidRPr="00A51861">
        <w:rPr>
          <w:rFonts w:asciiTheme="majorHAnsi" w:hAnsiTheme="majorHAnsi"/>
          <w:sz w:val="20"/>
          <w:szCs w:val="20"/>
        </w:rPr>
        <w:t xml:space="preserve"> </w:t>
      </w:r>
      <w:r w:rsidR="00EC7A58">
        <w:rPr>
          <w:rFonts w:asciiTheme="majorHAnsi" w:hAnsiTheme="majorHAnsi"/>
          <w:sz w:val="20"/>
          <w:szCs w:val="20"/>
        </w:rPr>
        <w:t>to access its</w:t>
      </w:r>
      <w:r w:rsidR="00AE38EC" w:rsidRPr="00A51861">
        <w:rPr>
          <w:rFonts w:asciiTheme="majorHAnsi" w:hAnsiTheme="majorHAnsi"/>
          <w:sz w:val="20"/>
          <w:szCs w:val="20"/>
        </w:rPr>
        <w:t xml:space="preserve"> </w:t>
      </w:r>
      <w:r w:rsidR="00B47E06">
        <w:rPr>
          <w:rFonts w:asciiTheme="majorHAnsi" w:hAnsiTheme="majorHAnsi"/>
          <w:sz w:val="20"/>
          <w:szCs w:val="20"/>
        </w:rPr>
        <w:t>benefit</w:t>
      </w:r>
      <w:r w:rsidR="00AE38EC" w:rsidRPr="00A51861">
        <w:rPr>
          <w:rFonts w:asciiTheme="majorHAnsi" w:hAnsiTheme="majorHAnsi"/>
          <w:sz w:val="20"/>
          <w:szCs w:val="20"/>
        </w:rPr>
        <w:t xml:space="preserve">s, </w:t>
      </w:r>
      <w:r w:rsidR="00EC7A58">
        <w:rPr>
          <w:rFonts w:asciiTheme="majorHAnsi" w:hAnsiTheme="majorHAnsi"/>
          <w:sz w:val="20"/>
          <w:szCs w:val="20"/>
        </w:rPr>
        <w:t>that the</w:t>
      </w:r>
      <w:r w:rsidR="00AE38EC" w:rsidRPr="00A51861">
        <w:rPr>
          <w:rFonts w:asciiTheme="majorHAnsi" w:hAnsiTheme="majorHAnsi"/>
          <w:sz w:val="20"/>
          <w:szCs w:val="20"/>
        </w:rPr>
        <w:t xml:space="preserve"> </w:t>
      </w:r>
      <w:r w:rsidR="00EC7A58">
        <w:rPr>
          <w:rFonts w:asciiTheme="majorHAnsi" w:hAnsiTheme="majorHAnsi"/>
          <w:sz w:val="20"/>
          <w:szCs w:val="20"/>
        </w:rPr>
        <w:t>persons</w:t>
      </w:r>
      <w:r w:rsidR="00AE38EC" w:rsidRPr="00A51861">
        <w:rPr>
          <w:rFonts w:asciiTheme="majorHAnsi" w:hAnsiTheme="majorHAnsi"/>
          <w:sz w:val="20"/>
          <w:szCs w:val="20"/>
        </w:rPr>
        <w:t xml:space="preserve"> </w:t>
      </w:r>
      <w:r w:rsidR="00EC7A58">
        <w:rPr>
          <w:rFonts w:asciiTheme="majorHAnsi" w:hAnsiTheme="majorHAnsi"/>
          <w:sz w:val="20"/>
          <w:szCs w:val="20"/>
        </w:rPr>
        <w:t>have been placed at the disposal of the</w:t>
      </w:r>
      <w:r w:rsidR="00AE38EC" w:rsidRPr="00A51861">
        <w:rPr>
          <w:rFonts w:asciiTheme="majorHAnsi" w:hAnsiTheme="majorHAnsi"/>
          <w:sz w:val="20"/>
          <w:szCs w:val="20"/>
        </w:rPr>
        <w:t xml:space="preserve"> </w:t>
      </w:r>
      <w:r w:rsidR="00200AC7">
        <w:rPr>
          <w:rFonts w:asciiTheme="majorHAnsi" w:hAnsiTheme="majorHAnsi"/>
          <w:sz w:val="20"/>
          <w:szCs w:val="20"/>
        </w:rPr>
        <w:t xml:space="preserve">National Executive Power </w:t>
      </w:r>
      <w:r w:rsidR="00EC7A58">
        <w:rPr>
          <w:rFonts w:asciiTheme="majorHAnsi" w:hAnsiTheme="majorHAnsi"/>
          <w:sz w:val="20"/>
          <w:szCs w:val="20"/>
        </w:rPr>
        <w:t>before December 10,</w:t>
      </w:r>
      <w:r w:rsidR="00E92985">
        <w:rPr>
          <w:rFonts w:asciiTheme="majorHAnsi" w:hAnsiTheme="majorHAnsi"/>
          <w:sz w:val="20"/>
          <w:szCs w:val="20"/>
        </w:rPr>
        <w:t xml:space="preserve"> </w:t>
      </w:r>
      <w:r w:rsidR="00AE38EC" w:rsidRPr="00A51861">
        <w:rPr>
          <w:rFonts w:asciiTheme="majorHAnsi" w:hAnsiTheme="majorHAnsi"/>
          <w:sz w:val="20"/>
          <w:szCs w:val="20"/>
        </w:rPr>
        <w:t>1983 (</w:t>
      </w:r>
      <w:r w:rsidR="00EC7A58">
        <w:rPr>
          <w:rFonts w:asciiTheme="majorHAnsi" w:hAnsiTheme="majorHAnsi"/>
          <w:sz w:val="20"/>
          <w:szCs w:val="20"/>
        </w:rPr>
        <w:t>date of return of democracy in</w:t>
      </w:r>
      <w:r w:rsidR="00AE38EC" w:rsidRPr="00A51861">
        <w:rPr>
          <w:rFonts w:asciiTheme="majorHAnsi" w:hAnsiTheme="majorHAnsi"/>
          <w:sz w:val="20"/>
          <w:szCs w:val="20"/>
        </w:rPr>
        <w:t xml:space="preserve"> Argentina)</w:t>
      </w:r>
      <w:r w:rsidR="00EE6EB2" w:rsidRPr="00A51861">
        <w:rPr>
          <w:rStyle w:val="FootnoteReference"/>
          <w:rFonts w:asciiTheme="majorHAnsi" w:hAnsiTheme="majorHAnsi"/>
          <w:sz w:val="20"/>
          <w:szCs w:val="20"/>
        </w:rPr>
        <w:footnoteReference w:id="6"/>
      </w:r>
      <w:r w:rsidR="00AE38EC" w:rsidRPr="00A51861">
        <w:rPr>
          <w:rFonts w:asciiTheme="majorHAnsi" w:hAnsiTheme="majorHAnsi"/>
          <w:sz w:val="20"/>
          <w:szCs w:val="20"/>
        </w:rPr>
        <w:t>.</w:t>
      </w:r>
    </w:p>
    <w:p w14:paraId="3EDB3DE5" w14:textId="77777777" w:rsidR="00AE38EC" w:rsidRPr="00A51861" w:rsidRDefault="00AE38EC" w:rsidP="008E4D36">
      <w:pPr>
        <w:jc w:val="both"/>
        <w:rPr>
          <w:rFonts w:asciiTheme="majorHAnsi" w:hAnsiTheme="majorHAnsi"/>
          <w:b/>
          <w:sz w:val="20"/>
          <w:szCs w:val="20"/>
        </w:rPr>
      </w:pPr>
    </w:p>
    <w:p w14:paraId="7BE25513" w14:textId="7FD7CAEF" w:rsidR="00AE38EC" w:rsidRPr="00A51861" w:rsidRDefault="00EC7A58"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As set forth by</w:t>
      </w:r>
      <w:r w:rsidR="00AE38EC" w:rsidRPr="00A51861">
        <w:rPr>
          <w:rFonts w:asciiTheme="majorHAnsi" w:hAnsiTheme="majorHAnsi"/>
          <w:sz w:val="20"/>
          <w:szCs w:val="20"/>
        </w:rPr>
        <w:t xml:space="preserve"> </w:t>
      </w:r>
      <w:r w:rsidR="00200AC7">
        <w:rPr>
          <w:rFonts w:asciiTheme="majorHAnsi" w:hAnsiTheme="majorHAnsi"/>
          <w:sz w:val="20"/>
          <w:szCs w:val="20"/>
        </w:rPr>
        <w:t xml:space="preserve">Decree </w:t>
      </w:r>
      <w:r w:rsidR="00AE38EC" w:rsidRPr="00A51861">
        <w:rPr>
          <w:rFonts w:asciiTheme="majorHAnsi" w:hAnsiTheme="majorHAnsi"/>
          <w:sz w:val="20"/>
          <w:szCs w:val="20"/>
        </w:rPr>
        <w:t>1023</w:t>
      </w:r>
      <w:r w:rsidR="00FA2923" w:rsidRPr="00A51861">
        <w:rPr>
          <w:rFonts w:asciiTheme="majorHAnsi" w:hAnsiTheme="majorHAnsi"/>
          <w:sz w:val="20"/>
          <w:szCs w:val="20"/>
        </w:rPr>
        <w:t xml:space="preserve"> </w:t>
      </w:r>
      <w:r>
        <w:rPr>
          <w:rFonts w:asciiTheme="majorHAnsi" w:hAnsiTheme="majorHAnsi"/>
          <w:sz w:val="20"/>
          <w:szCs w:val="20"/>
        </w:rPr>
        <w:t>which rules</w:t>
      </w:r>
      <w:r w:rsidR="00FA2923" w:rsidRPr="00A51861">
        <w:rPr>
          <w:rFonts w:asciiTheme="majorHAnsi" w:hAnsiTheme="majorHAnsi"/>
          <w:sz w:val="20"/>
          <w:szCs w:val="20"/>
        </w:rPr>
        <w:t xml:space="preserve"> </w:t>
      </w:r>
      <w:r w:rsidR="002835FC" w:rsidRPr="00A51861">
        <w:rPr>
          <w:rFonts w:asciiTheme="majorHAnsi" w:hAnsiTheme="majorHAnsi"/>
          <w:sz w:val="20"/>
          <w:szCs w:val="20"/>
        </w:rPr>
        <w:t xml:space="preserve">Law </w:t>
      </w:r>
      <w:r w:rsidR="00FA2923" w:rsidRPr="00A51861">
        <w:rPr>
          <w:rFonts w:asciiTheme="majorHAnsi" w:hAnsiTheme="majorHAnsi"/>
          <w:sz w:val="20"/>
          <w:szCs w:val="20"/>
        </w:rPr>
        <w:t xml:space="preserve">24.043, </w:t>
      </w:r>
      <w:r>
        <w:rPr>
          <w:rFonts w:asciiTheme="majorHAnsi" w:hAnsiTheme="majorHAnsi"/>
          <w:sz w:val="20"/>
          <w:szCs w:val="20"/>
        </w:rPr>
        <w:t>the request of the</w:t>
      </w:r>
      <w:r w:rsidR="00AE38EC" w:rsidRPr="00A51861">
        <w:rPr>
          <w:rFonts w:asciiTheme="majorHAnsi" w:hAnsiTheme="majorHAnsi"/>
          <w:sz w:val="20"/>
          <w:szCs w:val="20"/>
        </w:rPr>
        <w:t xml:space="preserve"> </w:t>
      </w:r>
      <w:r w:rsidR="00B47E06">
        <w:rPr>
          <w:rFonts w:asciiTheme="majorHAnsi" w:hAnsiTheme="majorHAnsi"/>
          <w:sz w:val="20"/>
          <w:szCs w:val="20"/>
        </w:rPr>
        <w:t>benefit</w:t>
      </w:r>
      <w:r w:rsidR="00AE38EC" w:rsidRPr="00A51861">
        <w:rPr>
          <w:rFonts w:asciiTheme="majorHAnsi" w:hAnsiTheme="majorHAnsi"/>
          <w:sz w:val="20"/>
          <w:szCs w:val="20"/>
        </w:rPr>
        <w:t xml:space="preserve"> </w:t>
      </w:r>
      <w:r>
        <w:rPr>
          <w:rFonts w:asciiTheme="majorHAnsi" w:hAnsiTheme="majorHAnsi"/>
          <w:sz w:val="20"/>
          <w:szCs w:val="20"/>
        </w:rPr>
        <w:t>established by it</w:t>
      </w:r>
      <w:r w:rsidR="00AE38EC" w:rsidRPr="00A51861">
        <w:rPr>
          <w:rFonts w:asciiTheme="majorHAnsi" w:hAnsiTheme="majorHAnsi"/>
          <w:sz w:val="20"/>
          <w:szCs w:val="20"/>
        </w:rPr>
        <w:t xml:space="preserve">, </w:t>
      </w:r>
      <w:r>
        <w:rPr>
          <w:rFonts w:asciiTheme="majorHAnsi" w:hAnsiTheme="majorHAnsi"/>
          <w:sz w:val="20"/>
          <w:szCs w:val="20"/>
        </w:rPr>
        <w:t>must contain a</w:t>
      </w:r>
      <w:r w:rsidR="00AE38EC" w:rsidRPr="00A51861">
        <w:rPr>
          <w:rFonts w:asciiTheme="majorHAnsi" w:hAnsiTheme="majorHAnsi"/>
          <w:sz w:val="20"/>
          <w:szCs w:val="20"/>
        </w:rPr>
        <w:t xml:space="preserve"> “</w:t>
      </w:r>
      <w:r>
        <w:rPr>
          <w:rFonts w:asciiTheme="majorHAnsi" w:hAnsiTheme="majorHAnsi"/>
          <w:sz w:val="20"/>
          <w:szCs w:val="20"/>
        </w:rPr>
        <w:t>sworn statement signed by the</w:t>
      </w:r>
      <w:r w:rsidR="00AE38EC" w:rsidRPr="00A51861">
        <w:rPr>
          <w:rFonts w:asciiTheme="majorHAnsi" w:hAnsiTheme="majorHAnsi"/>
          <w:sz w:val="20"/>
          <w:szCs w:val="20"/>
        </w:rPr>
        <w:t xml:space="preserve"> beneficiar</w:t>
      </w:r>
      <w:r>
        <w:rPr>
          <w:rFonts w:asciiTheme="majorHAnsi" w:hAnsiTheme="majorHAnsi"/>
          <w:sz w:val="20"/>
          <w:szCs w:val="20"/>
        </w:rPr>
        <w:t>y</w:t>
      </w:r>
      <w:r w:rsidR="00E92985">
        <w:rPr>
          <w:rFonts w:asciiTheme="majorHAnsi" w:hAnsiTheme="majorHAnsi"/>
          <w:sz w:val="20"/>
          <w:szCs w:val="20"/>
        </w:rPr>
        <w:t xml:space="preserve"> or </w:t>
      </w:r>
      <w:r>
        <w:rPr>
          <w:rFonts w:asciiTheme="majorHAnsi" w:hAnsiTheme="majorHAnsi"/>
          <w:sz w:val="20"/>
          <w:szCs w:val="20"/>
        </w:rPr>
        <w:t>his or her</w:t>
      </w:r>
      <w:r w:rsidR="00AE38EC" w:rsidRPr="00A51861">
        <w:rPr>
          <w:rFonts w:asciiTheme="majorHAnsi" w:hAnsiTheme="majorHAnsi"/>
          <w:sz w:val="20"/>
          <w:szCs w:val="20"/>
        </w:rPr>
        <w:t xml:space="preserve"> </w:t>
      </w:r>
      <w:r w:rsidR="00323EBA">
        <w:rPr>
          <w:rFonts w:asciiTheme="majorHAnsi" w:hAnsiTheme="majorHAnsi"/>
          <w:sz w:val="20"/>
          <w:szCs w:val="20"/>
        </w:rPr>
        <w:t>successo</w:t>
      </w:r>
      <w:r>
        <w:rPr>
          <w:rFonts w:asciiTheme="majorHAnsi" w:hAnsiTheme="majorHAnsi"/>
          <w:sz w:val="20"/>
          <w:szCs w:val="20"/>
        </w:rPr>
        <w:t>r</w:t>
      </w:r>
      <w:r w:rsidR="00AE38EC" w:rsidRPr="00A51861">
        <w:rPr>
          <w:rFonts w:asciiTheme="majorHAnsi" w:hAnsiTheme="majorHAnsi"/>
          <w:sz w:val="20"/>
          <w:szCs w:val="20"/>
        </w:rPr>
        <w:t xml:space="preserve">s </w:t>
      </w:r>
      <w:r>
        <w:rPr>
          <w:rFonts w:asciiTheme="majorHAnsi" w:hAnsiTheme="majorHAnsi"/>
          <w:sz w:val="20"/>
          <w:szCs w:val="20"/>
        </w:rPr>
        <w:t>which manifests the deprivation of liberty</w:t>
      </w:r>
      <w:r w:rsidR="00AE38EC" w:rsidRPr="00A51861">
        <w:rPr>
          <w:rFonts w:asciiTheme="majorHAnsi" w:hAnsiTheme="majorHAnsi"/>
          <w:sz w:val="20"/>
          <w:szCs w:val="20"/>
        </w:rPr>
        <w:t xml:space="preserve"> </w:t>
      </w:r>
      <w:r>
        <w:rPr>
          <w:rFonts w:asciiTheme="majorHAnsi" w:hAnsiTheme="majorHAnsi"/>
          <w:sz w:val="20"/>
          <w:szCs w:val="20"/>
        </w:rPr>
        <w:t>as a stipulation from the</w:t>
      </w:r>
      <w:r w:rsidR="00AE38EC" w:rsidRPr="00A51861">
        <w:rPr>
          <w:rFonts w:asciiTheme="majorHAnsi" w:hAnsiTheme="majorHAnsi"/>
          <w:sz w:val="20"/>
          <w:szCs w:val="20"/>
        </w:rPr>
        <w:t xml:space="preserve"> </w:t>
      </w:r>
      <w:r w:rsidR="00200AC7">
        <w:rPr>
          <w:rFonts w:asciiTheme="majorHAnsi" w:hAnsiTheme="majorHAnsi"/>
          <w:sz w:val="20"/>
          <w:szCs w:val="20"/>
        </w:rPr>
        <w:t xml:space="preserve">NATIONAL EXECUTIVE POWER </w:t>
      </w:r>
      <w:r w:rsidR="00E92985">
        <w:rPr>
          <w:rFonts w:asciiTheme="majorHAnsi" w:hAnsiTheme="majorHAnsi"/>
          <w:sz w:val="20"/>
          <w:szCs w:val="20"/>
        </w:rPr>
        <w:t xml:space="preserve">or </w:t>
      </w:r>
      <w:r>
        <w:rPr>
          <w:rFonts w:asciiTheme="majorHAnsi" w:hAnsiTheme="majorHAnsi"/>
          <w:sz w:val="20"/>
          <w:szCs w:val="20"/>
        </w:rPr>
        <w:t>by virtue of a judgment</w:t>
      </w:r>
      <w:r w:rsidR="00E92985">
        <w:rPr>
          <w:rFonts w:asciiTheme="majorHAnsi" w:hAnsiTheme="majorHAnsi"/>
          <w:sz w:val="20"/>
          <w:szCs w:val="20"/>
        </w:rPr>
        <w:t xml:space="preserve"> </w:t>
      </w:r>
      <w:r>
        <w:rPr>
          <w:rFonts w:asciiTheme="majorHAnsi" w:hAnsiTheme="majorHAnsi"/>
          <w:sz w:val="20"/>
          <w:szCs w:val="20"/>
        </w:rPr>
        <w:t>from</w:t>
      </w:r>
      <w:r w:rsidR="00E92985">
        <w:rPr>
          <w:rFonts w:asciiTheme="majorHAnsi" w:hAnsiTheme="majorHAnsi"/>
          <w:sz w:val="20"/>
          <w:szCs w:val="20"/>
        </w:rPr>
        <w:t xml:space="preserve"> </w:t>
      </w:r>
      <w:r w:rsidR="00F92BA8">
        <w:rPr>
          <w:rFonts w:asciiTheme="majorHAnsi" w:hAnsiTheme="majorHAnsi"/>
          <w:sz w:val="20"/>
          <w:szCs w:val="20"/>
        </w:rPr>
        <w:t>Military courts</w:t>
      </w:r>
      <w:r w:rsidR="00AE38EC" w:rsidRPr="00A51861">
        <w:rPr>
          <w:rFonts w:asciiTheme="majorHAnsi" w:hAnsiTheme="majorHAnsi"/>
          <w:sz w:val="20"/>
          <w:szCs w:val="20"/>
        </w:rPr>
        <w:t xml:space="preserve"> dur</w:t>
      </w:r>
      <w:r>
        <w:rPr>
          <w:rFonts w:asciiTheme="majorHAnsi" w:hAnsiTheme="majorHAnsi"/>
          <w:sz w:val="20"/>
          <w:szCs w:val="20"/>
        </w:rPr>
        <w:t>ing</w:t>
      </w:r>
      <w:r w:rsidR="00AE38EC" w:rsidRPr="00A51861">
        <w:rPr>
          <w:rFonts w:asciiTheme="majorHAnsi" w:hAnsiTheme="majorHAnsi"/>
          <w:sz w:val="20"/>
          <w:szCs w:val="20"/>
        </w:rPr>
        <w:t xml:space="preserve"> </w:t>
      </w:r>
      <w:r>
        <w:rPr>
          <w:rFonts w:asciiTheme="majorHAnsi" w:hAnsiTheme="majorHAnsi"/>
          <w:sz w:val="20"/>
          <w:szCs w:val="20"/>
        </w:rPr>
        <w:t>the period elapsed between</w:t>
      </w:r>
      <w:r w:rsidR="00AE38EC" w:rsidRPr="00A51861">
        <w:rPr>
          <w:rFonts w:asciiTheme="majorHAnsi" w:hAnsiTheme="majorHAnsi"/>
          <w:sz w:val="20"/>
          <w:szCs w:val="20"/>
        </w:rPr>
        <w:t xml:space="preserve"> </w:t>
      </w:r>
      <w:r>
        <w:rPr>
          <w:rFonts w:asciiTheme="majorHAnsi" w:hAnsiTheme="majorHAnsi"/>
          <w:sz w:val="20"/>
          <w:szCs w:val="20"/>
        </w:rPr>
        <w:t>November 6,</w:t>
      </w:r>
      <w:r w:rsidR="00E92985">
        <w:rPr>
          <w:rFonts w:asciiTheme="majorHAnsi" w:hAnsiTheme="majorHAnsi"/>
          <w:sz w:val="20"/>
          <w:szCs w:val="20"/>
        </w:rPr>
        <w:t xml:space="preserve"> </w:t>
      </w:r>
      <w:r w:rsidR="00AE38EC" w:rsidRPr="00A51861">
        <w:rPr>
          <w:rFonts w:asciiTheme="majorHAnsi" w:hAnsiTheme="majorHAnsi"/>
          <w:sz w:val="20"/>
          <w:szCs w:val="20"/>
        </w:rPr>
        <w:t>1974</w:t>
      </w:r>
      <w:r w:rsidR="00E92985">
        <w:rPr>
          <w:rFonts w:asciiTheme="majorHAnsi" w:hAnsiTheme="majorHAnsi"/>
          <w:sz w:val="20"/>
          <w:szCs w:val="20"/>
        </w:rPr>
        <w:t xml:space="preserve"> and </w:t>
      </w:r>
      <w:r>
        <w:rPr>
          <w:rFonts w:asciiTheme="majorHAnsi" w:hAnsiTheme="majorHAnsi"/>
          <w:sz w:val="20"/>
          <w:szCs w:val="20"/>
        </w:rPr>
        <w:t>December 10,</w:t>
      </w:r>
      <w:r w:rsidR="00E92985">
        <w:rPr>
          <w:rFonts w:asciiTheme="majorHAnsi" w:hAnsiTheme="majorHAnsi"/>
          <w:sz w:val="20"/>
          <w:szCs w:val="20"/>
        </w:rPr>
        <w:t xml:space="preserve"> </w:t>
      </w:r>
      <w:r w:rsidR="00AE38EC" w:rsidRPr="00A51861">
        <w:rPr>
          <w:rFonts w:asciiTheme="majorHAnsi" w:hAnsiTheme="majorHAnsi"/>
          <w:sz w:val="20"/>
          <w:szCs w:val="20"/>
        </w:rPr>
        <w:t>1983”</w:t>
      </w:r>
      <w:r w:rsidR="00AE38EC" w:rsidRPr="00A51861">
        <w:rPr>
          <w:rStyle w:val="FootnoteReference"/>
          <w:rFonts w:asciiTheme="majorHAnsi" w:hAnsiTheme="majorHAnsi"/>
          <w:sz w:val="20"/>
          <w:szCs w:val="20"/>
        </w:rPr>
        <w:footnoteReference w:id="7"/>
      </w:r>
      <w:r w:rsidR="00AE38EC" w:rsidRPr="00A51861">
        <w:rPr>
          <w:rFonts w:asciiTheme="majorHAnsi" w:hAnsiTheme="majorHAnsi"/>
          <w:sz w:val="20"/>
          <w:szCs w:val="20"/>
        </w:rPr>
        <w:t xml:space="preserve">. </w:t>
      </w:r>
    </w:p>
    <w:p w14:paraId="34E6C6C5" w14:textId="77777777" w:rsidR="00AE38EC" w:rsidRPr="00A51861" w:rsidRDefault="00AE38EC" w:rsidP="008E4D36">
      <w:pPr>
        <w:jc w:val="both"/>
        <w:rPr>
          <w:rFonts w:asciiTheme="majorHAnsi" w:hAnsiTheme="majorHAnsi"/>
          <w:b/>
          <w:sz w:val="20"/>
          <w:szCs w:val="20"/>
        </w:rPr>
      </w:pPr>
    </w:p>
    <w:p w14:paraId="146439A1" w14:textId="07679926" w:rsidR="00AE38EC" w:rsidRPr="00A51861" w:rsidRDefault="00F92BA8"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Likewise</w:t>
      </w:r>
      <w:r w:rsidR="00AE38EC" w:rsidRPr="00A51861">
        <w:rPr>
          <w:rFonts w:asciiTheme="majorHAnsi" w:hAnsiTheme="majorHAnsi"/>
          <w:sz w:val="20"/>
          <w:szCs w:val="20"/>
        </w:rPr>
        <w:t xml:space="preserve">, </w:t>
      </w:r>
      <w:r w:rsidR="002835FC" w:rsidRPr="00A51861">
        <w:rPr>
          <w:rFonts w:asciiTheme="majorHAnsi" w:hAnsiTheme="majorHAnsi"/>
          <w:sz w:val="20"/>
          <w:szCs w:val="20"/>
        </w:rPr>
        <w:t xml:space="preserve">Law </w:t>
      </w:r>
      <w:r w:rsidR="00AE38EC" w:rsidRPr="00A51861">
        <w:rPr>
          <w:rFonts w:asciiTheme="majorHAnsi" w:hAnsiTheme="majorHAnsi"/>
          <w:sz w:val="20"/>
          <w:szCs w:val="20"/>
        </w:rPr>
        <w:t xml:space="preserve">24.906, </w:t>
      </w:r>
      <w:r>
        <w:rPr>
          <w:rFonts w:asciiTheme="majorHAnsi" w:hAnsiTheme="majorHAnsi"/>
          <w:sz w:val="20"/>
          <w:szCs w:val="20"/>
        </w:rPr>
        <w:t>amplifier of Law</w:t>
      </w:r>
      <w:r w:rsidR="00AE38EC" w:rsidRPr="00A51861">
        <w:rPr>
          <w:rFonts w:asciiTheme="majorHAnsi" w:hAnsiTheme="majorHAnsi"/>
          <w:sz w:val="20"/>
          <w:szCs w:val="20"/>
        </w:rPr>
        <w:t xml:space="preserve"> 24.043</w:t>
      </w:r>
      <w:r w:rsidR="00FA2923" w:rsidRPr="00A51861">
        <w:rPr>
          <w:rFonts w:asciiTheme="majorHAnsi" w:hAnsiTheme="majorHAnsi"/>
          <w:sz w:val="20"/>
          <w:szCs w:val="20"/>
        </w:rPr>
        <w:t>,</w:t>
      </w:r>
      <w:r w:rsidR="00AE38EC" w:rsidRPr="00A51861">
        <w:rPr>
          <w:rFonts w:asciiTheme="majorHAnsi" w:hAnsiTheme="majorHAnsi"/>
          <w:sz w:val="20"/>
          <w:szCs w:val="20"/>
        </w:rPr>
        <w:t xml:space="preserve"> </w:t>
      </w:r>
      <w:r w:rsidR="00EC7A58">
        <w:rPr>
          <w:rFonts w:asciiTheme="majorHAnsi" w:hAnsiTheme="majorHAnsi"/>
          <w:sz w:val="20"/>
          <w:szCs w:val="20"/>
        </w:rPr>
        <w:t>provides on its</w:t>
      </w:r>
      <w:r w:rsidR="00AE38EC" w:rsidRPr="00A51861">
        <w:rPr>
          <w:rFonts w:asciiTheme="majorHAnsi" w:hAnsiTheme="majorHAnsi"/>
          <w:sz w:val="20"/>
          <w:szCs w:val="20"/>
        </w:rPr>
        <w:t xml:space="preserve"> </w:t>
      </w:r>
      <w:r>
        <w:rPr>
          <w:rFonts w:asciiTheme="majorHAnsi" w:hAnsiTheme="majorHAnsi"/>
          <w:sz w:val="20"/>
          <w:szCs w:val="20"/>
        </w:rPr>
        <w:t xml:space="preserve">second </w:t>
      </w:r>
      <w:r w:rsidR="0029564F">
        <w:rPr>
          <w:rFonts w:asciiTheme="majorHAnsi" w:hAnsiTheme="majorHAnsi"/>
          <w:sz w:val="20"/>
          <w:szCs w:val="20"/>
        </w:rPr>
        <w:t>article</w:t>
      </w:r>
      <w:r w:rsidR="00AE38EC" w:rsidRPr="00A51861">
        <w:rPr>
          <w:rFonts w:asciiTheme="majorHAnsi" w:hAnsiTheme="majorHAnsi"/>
          <w:sz w:val="20"/>
          <w:szCs w:val="20"/>
        </w:rPr>
        <w:t xml:space="preserve"> </w:t>
      </w:r>
      <w:r>
        <w:rPr>
          <w:rFonts w:asciiTheme="majorHAnsi" w:hAnsiTheme="majorHAnsi"/>
          <w:sz w:val="20"/>
          <w:szCs w:val="20"/>
        </w:rPr>
        <w:t>that</w:t>
      </w:r>
      <w:r w:rsidR="00AE38EC" w:rsidRPr="00A51861">
        <w:rPr>
          <w:rFonts w:asciiTheme="majorHAnsi" w:hAnsiTheme="majorHAnsi"/>
          <w:sz w:val="20"/>
          <w:szCs w:val="20"/>
        </w:rPr>
        <w:t>: “</w:t>
      </w:r>
      <w:r w:rsidR="00EC7A58">
        <w:rPr>
          <w:rFonts w:asciiTheme="majorHAnsi" w:hAnsiTheme="majorHAnsi"/>
          <w:sz w:val="20"/>
          <w:szCs w:val="20"/>
        </w:rPr>
        <w:t>the</w:t>
      </w:r>
      <w:r w:rsidR="00AE38EC" w:rsidRPr="00A51861">
        <w:rPr>
          <w:rFonts w:asciiTheme="majorHAnsi" w:hAnsiTheme="majorHAnsi"/>
          <w:sz w:val="20"/>
          <w:szCs w:val="20"/>
        </w:rPr>
        <w:t xml:space="preserve"> </w:t>
      </w:r>
      <w:r w:rsidR="00EC7A58">
        <w:rPr>
          <w:rFonts w:asciiTheme="majorHAnsi" w:hAnsiTheme="majorHAnsi"/>
          <w:sz w:val="20"/>
          <w:szCs w:val="20"/>
        </w:rPr>
        <w:t>persons</w:t>
      </w:r>
      <w:r w:rsidR="00AE38EC" w:rsidRPr="00A51861">
        <w:rPr>
          <w:rFonts w:asciiTheme="majorHAnsi" w:hAnsiTheme="majorHAnsi"/>
          <w:sz w:val="20"/>
          <w:szCs w:val="20"/>
        </w:rPr>
        <w:t xml:space="preserve"> </w:t>
      </w:r>
      <w:r w:rsidR="00EC7A58">
        <w:rPr>
          <w:rFonts w:asciiTheme="majorHAnsi" w:hAnsiTheme="majorHAnsi"/>
          <w:sz w:val="20"/>
          <w:szCs w:val="20"/>
        </w:rPr>
        <w:t>who</w:t>
      </w:r>
      <w:r w:rsidR="00AE38EC" w:rsidRPr="00A51861">
        <w:rPr>
          <w:rFonts w:asciiTheme="majorHAnsi" w:hAnsiTheme="majorHAnsi"/>
          <w:sz w:val="20"/>
          <w:szCs w:val="20"/>
        </w:rPr>
        <w:t xml:space="preserve"> </w:t>
      </w:r>
      <w:r w:rsidR="00EC7A58">
        <w:rPr>
          <w:rFonts w:asciiTheme="majorHAnsi" w:hAnsiTheme="majorHAnsi"/>
          <w:sz w:val="20"/>
          <w:szCs w:val="20"/>
        </w:rPr>
        <w:t>were at the disposal of the</w:t>
      </w:r>
      <w:r w:rsidR="00AE38EC" w:rsidRPr="00A51861">
        <w:rPr>
          <w:rFonts w:asciiTheme="majorHAnsi" w:hAnsiTheme="majorHAnsi"/>
          <w:sz w:val="20"/>
          <w:szCs w:val="20"/>
        </w:rPr>
        <w:t xml:space="preserve"> </w:t>
      </w:r>
      <w:r w:rsidR="00200AC7">
        <w:rPr>
          <w:rFonts w:asciiTheme="majorHAnsi" w:hAnsiTheme="majorHAnsi"/>
          <w:sz w:val="20"/>
          <w:szCs w:val="20"/>
        </w:rPr>
        <w:t xml:space="preserve">National Executive Power </w:t>
      </w:r>
      <w:r w:rsidR="00E92985">
        <w:rPr>
          <w:rFonts w:asciiTheme="majorHAnsi" w:hAnsiTheme="majorHAnsi"/>
          <w:sz w:val="20"/>
          <w:szCs w:val="20"/>
        </w:rPr>
        <w:t xml:space="preserve">or </w:t>
      </w:r>
      <w:r w:rsidR="00EC7A58">
        <w:rPr>
          <w:rFonts w:asciiTheme="majorHAnsi" w:hAnsiTheme="majorHAnsi"/>
          <w:sz w:val="20"/>
          <w:szCs w:val="20"/>
        </w:rPr>
        <w:t>that while being civilians</w:t>
      </w:r>
      <w:r w:rsidR="00AE38EC" w:rsidRPr="00A51861">
        <w:rPr>
          <w:rFonts w:asciiTheme="majorHAnsi" w:hAnsiTheme="majorHAnsi"/>
          <w:sz w:val="20"/>
          <w:szCs w:val="20"/>
        </w:rPr>
        <w:t xml:space="preserve"> </w:t>
      </w:r>
      <w:r w:rsidR="00EC7A58">
        <w:rPr>
          <w:rFonts w:asciiTheme="majorHAnsi" w:hAnsiTheme="majorHAnsi"/>
          <w:sz w:val="20"/>
          <w:szCs w:val="20"/>
        </w:rPr>
        <w:t>were at the disposal of</w:t>
      </w:r>
      <w:r w:rsidR="00E92985">
        <w:rPr>
          <w:rFonts w:asciiTheme="majorHAnsi" w:hAnsiTheme="majorHAnsi"/>
          <w:sz w:val="20"/>
          <w:szCs w:val="20"/>
        </w:rPr>
        <w:t xml:space="preserve"> </w:t>
      </w:r>
      <w:r w:rsidR="00940530">
        <w:rPr>
          <w:rFonts w:asciiTheme="majorHAnsi" w:hAnsiTheme="majorHAnsi"/>
          <w:sz w:val="20"/>
          <w:szCs w:val="20"/>
        </w:rPr>
        <w:t>authorities</w:t>
      </w:r>
      <w:r w:rsidR="00AE38EC" w:rsidRPr="00A51861">
        <w:rPr>
          <w:rFonts w:asciiTheme="majorHAnsi" w:hAnsiTheme="majorHAnsi"/>
          <w:sz w:val="20"/>
          <w:szCs w:val="20"/>
        </w:rPr>
        <w:t xml:space="preserve"> </w:t>
      </w:r>
      <w:r w:rsidR="00EC7A58">
        <w:rPr>
          <w:rFonts w:asciiTheme="majorHAnsi" w:hAnsiTheme="majorHAnsi"/>
          <w:sz w:val="20"/>
          <w:szCs w:val="20"/>
        </w:rPr>
        <w:t>military</w:t>
      </w:r>
      <w:r w:rsidR="00AE38EC" w:rsidRPr="00A51861">
        <w:rPr>
          <w:rFonts w:asciiTheme="majorHAnsi" w:hAnsiTheme="majorHAnsi"/>
          <w:sz w:val="20"/>
          <w:szCs w:val="20"/>
        </w:rPr>
        <w:t xml:space="preserve"> </w:t>
      </w:r>
      <w:r w:rsidR="00EC7A58">
        <w:rPr>
          <w:rFonts w:asciiTheme="majorHAnsi" w:hAnsiTheme="majorHAnsi"/>
          <w:sz w:val="20"/>
          <w:szCs w:val="20"/>
        </w:rPr>
        <w:t>between November 6,</w:t>
      </w:r>
      <w:r w:rsidR="00E92985">
        <w:rPr>
          <w:rFonts w:asciiTheme="majorHAnsi" w:hAnsiTheme="majorHAnsi"/>
          <w:sz w:val="20"/>
          <w:szCs w:val="20"/>
        </w:rPr>
        <w:t xml:space="preserve"> </w:t>
      </w:r>
      <w:r w:rsidR="00AE38EC" w:rsidRPr="00A51861">
        <w:rPr>
          <w:rFonts w:asciiTheme="majorHAnsi" w:hAnsiTheme="majorHAnsi"/>
          <w:sz w:val="20"/>
          <w:szCs w:val="20"/>
        </w:rPr>
        <w:t>1974</w:t>
      </w:r>
      <w:r w:rsidR="00E92985">
        <w:rPr>
          <w:rFonts w:asciiTheme="majorHAnsi" w:hAnsiTheme="majorHAnsi"/>
          <w:sz w:val="20"/>
          <w:szCs w:val="20"/>
        </w:rPr>
        <w:t xml:space="preserve"> and </w:t>
      </w:r>
      <w:r w:rsidR="00EC7A58">
        <w:rPr>
          <w:rFonts w:asciiTheme="majorHAnsi" w:hAnsiTheme="majorHAnsi"/>
          <w:sz w:val="20"/>
          <w:szCs w:val="20"/>
        </w:rPr>
        <w:t>December 10,</w:t>
      </w:r>
      <w:r w:rsidR="00E92985">
        <w:rPr>
          <w:rFonts w:asciiTheme="majorHAnsi" w:hAnsiTheme="majorHAnsi"/>
          <w:sz w:val="20"/>
          <w:szCs w:val="20"/>
        </w:rPr>
        <w:t xml:space="preserve"> </w:t>
      </w:r>
      <w:r w:rsidR="00AE38EC" w:rsidRPr="00A51861">
        <w:rPr>
          <w:rFonts w:asciiTheme="majorHAnsi" w:hAnsiTheme="majorHAnsi"/>
          <w:sz w:val="20"/>
          <w:szCs w:val="20"/>
        </w:rPr>
        <w:t xml:space="preserve">1983 </w:t>
      </w:r>
      <w:r w:rsidR="006273A5">
        <w:rPr>
          <w:rFonts w:asciiTheme="majorHAnsi" w:hAnsiTheme="majorHAnsi"/>
          <w:sz w:val="20"/>
          <w:szCs w:val="20"/>
        </w:rPr>
        <w:t>shall enjoy the</w:t>
      </w:r>
      <w:r w:rsidR="00EC7A58" w:rsidRPr="00A51861">
        <w:rPr>
          <w:rFonts w:asciiTheme="majorHAnsi" w:hAnsiTheme="majorHAnsi"/>
          <w:sz w:val="20"/>
          <w:szCs w:val="20"/>
        </w:rPr>
        <w:t xml:space="preserve"> </w:t>
      </w:r>
      <w:r w:rsidR="00EC7A58">
        <w:rPr>
          <w:rFonts w:asciiTheme="majorHAnsi" w:hAnsiTheme="majorHAnsi"/>
          <w:sz w:val="20"/>
          <w:szCs w:val="20"/>
        </w:rPr>
        <w:t>benefit</w:t>
      </w:r>
      <w:r w:rsidR="00EC7A58" w:rsidRPr="00A51861">
        <w:rPr>
          <w:rFonts w:asciiTheme="majorHAnsi" w:hAnsiTheme="majorHAnsi"/>
          <w:sz w:val="20"/>
          <w:szCs w:val="20"/>
        </w:rPr>
        <w:t xml:space="preserve"> </w:t>
      </w:r>
      <w:r w:rsidR="006273A5">
        <w:rPr>
          <w:rFonts w:asciiTheme="majorHAnsi" w:hAnsiTheme="majorHAnsi"/>
          <w:sz w:val="20"/>
          <w:szCs w:val="20"/>
        </w:rPr>
        <w:t>set forth in the aforesaid</w:t>
      </w:r>
      <w:r w:rsidR="00EC7A58" w:rsidRPr="00A51861">
        <w:rPr>
          <w:rFonts w:asciiTheme="majorHAnsi" w:hAnsiTheme="majorHAnsi"/>
          <w:sz w:val="20"/>
          <w:szCs w:val="20"/>
        </w:rPr>
        <w:t xml:space="preserve"> </w:t>
      </w:r>
      <w:r w:rsidR="00EC7A58">
        <w:rPr>
          <w:rFonts w:asciiTheme="majorHAnsi" w:hAnsiTheme="majorHAnsi"/>
          <w:sz w:val="20"/>
          <w:szCs w:val="20"/>
        </w:rPr>
        <w:t>laws</w:t>
      </w:r>
      <w:r w:rsidR="00EC7A58" w:rsidRPr="00A51861">
        <w:rPr>
          <w:rFonts w:asciiTheme="majorHAnsi" w:hAnsiTheme="majorHAnsi"/>
          <w:sz w:val="20"/>
          <w:szCs w:val="20"/>
        </w:rPr>
        <w:t xml:space="preserve"> </w:t>
      </w:r>
      <w:r w:rsidR="006273A5">
        <w:rPr>
          <w:rFonts w:asciiTheme="majorHAnsi" w:hAnsiTheme="majorHAnsi"/>
          <w:sz w:val="20"/>
          <w:szCs w:val="20"/>
        </w:rPr>
        <w:t>and</w:t>
      </w:r>
      <w:r w:rsidR="00AE38EC" w:rsidRPr="00A51861">
        <w:rPr>
          <w:rFonts w:asciiTheme="majorHAnsi" w:hAnsiTheme="majorHAnsi"/>
          <w:sz w:val="20"/>
          <w:szCs w:val="20"/>
        </w:rPr>
        <w:t xml:space="preserve">, </w:t>
      </w:r>
      <w:r w:rsidR="006273A5">
        <w:rPr>
          <w:rFonts w:asciiTheme="majorHAnsi" w:hAnsiTheme="majorHAnsi"/>
          <w:sz w:val="20"/>
          <w:szCs w:val="20"/>
        </w:rPr>
        <w:t>in both cases</w:t>
      </w:r>
      <w:r w:rsidR="00AE38EC" w:rsidRPr="00A51861">
        <w:rPr>
          <w:rFonts w:asciiTheme="majorHAnsi" w:hAnsiTheme="majorHAnsi"/>
          <w:sz w:val="20"/>
          <w:szCs w:val="20"/>
        </w:rPr>
        <w:t xml:space="preserve">, </w:t>
      </w:r>
      <w:r w:rsidR="006273A5">
        <w:rPr>
          <w:rFonts w:asciiTheme="majorHAnsi" w:hAnsiTheme="majorHAnsi"/>
          <w:sz w:val="20"/>
          <w:szCs w:val="20"/>
        </w:rPr>
        <w:t xml:space="preserve">even if they had </w:t>
      </w:r>
      <w:r w:rsidR="00AE38EC" w:rsidRPr="00A51861">
        <w:rPr>
          <w:rFonts w:asciiTheme="majorHAnsi" w:hAnsiTheme="majorHAnsi"/>
          <w:sz w:val="20"/>
          <w:szCs w:val="20"/>
        </w:rPr>
        <w:t>judicial</w:t>
      </w:r>
      <w:r w:rsidR="006273A5">
        <w:rPr>
          <w:rFonts w:asciiTheme="majorHAnsi" w:hAnsiTheme="majorHAnsi"/>
          <w:sz w:val="20"/>
          <w:szCs w:val="20"/>
        </w:rPr>
        <w:t xml:space="preserve"> proceedings or sentence</w:t>
      </w:r>
      <w:r w:rsidR="00AE38EC" w:rsidRPr="00A51861">
        <w:rPr>
          <w:rFonts w:asciiTheme="majorHAnsi" w:hAnsiTheme="majorHAnsi"/>
          <w:sz w:val="20"/>
          <w:szCs w:val="20"/>
        </w:rPr>
        <w:t>”</w:t>
      </w:r>
      <w:r w:rsidR="00AE38EC" w:rsidRPr="00A51861">
        <w:rPr>
          <w:rStyle w:val="FootnoteReference"/>
          <w:rFonts w:asciiTheme="majorHAnsi" w:hAnsiTheme="majorHAnsi"/>
          <w:sz w:val="20"/>
          <w:szCs w:val="20"/>
        </w:rPr>
        <w:footnoteReference w:id="8"/>
      </w:r>
      <w:r w:rsidR="00AE38EC" w:rsidRPr="00A51861">
        <w:rPr>
          <w:rFonts w:asciiTheme="majorHAnsi" w:hAnsiTheme="majorHAnsi"/>
          <w:sz w:val="20"/>
          <w:szCs w:val="20"/>
        </w:rPr>
        <w:t>.</w:t>
      </w:r>
    </w:p>
    <w:p w14:paraId="64038298" w14:textId="77777777" w:rsidR="00AE38EC" w:rsidRPr="00A51861" w:rsidRDefault="00AE38EC" w:rsidP="008E4D36">
      <w:pPr>
        <w:jc w:val="both"/>
        <w:rPr>
          <w:rFonts w:asciiTheme="majorHAnsi" w:hAnsiTheme="majorHAnsi"/>
          <w:sz w:val="20"/>
          <w:szCs w:val="20"/>
          <w:highlight w:val="cyan"/>
        </w:rPr>
      </w:pPr>
    </w:p>
    <w:p w14:paraId="75B5E864" w14:textId="489CF641" w:rsidR="00E07408" w:rsidRPr="00A51861" w:rsidRDefault="006273A5"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I</w:t>
      </w:r>
      <w:r w:rsidR="00D77CE8" w:rsidRPr="00A51861">
        <w:rPr>
          <w:rFonts w:asciiTheme="majorHAnsi" w:hAnsiTheme="majorHAnsi"/>
          <w:sz w:val="20"/>
          <w:szCs w:val="20"/>
        </w:rPr>
        <w:t xml:space="preserve">n </w:t>
      </w:r>
      <w:r w:rsidR="0029564F">
        <w:rPr>
          <w:rFonts w:asciiTheme="majorHAnsi" w:hAnsiTheme="majorHAnsi"/>
          <w:sz w:val="20"/>
          <w:szCs w:val="20"/>
        </w:rPr>
        <w:t>Resolution</w:t>
      </w:r>
      <w:r w:rsidR="00D77CE8" w:rsidRPr="00A51861">
        <w:rPr>
          <w:rFonts w:asciiTheme="majorHAnsi" w:hAnsiTheme="majorHAnsi"/>
          <w:sz w:val="20"/>
          <w:szCs w:val="20"/>
        </w:rPr>
        <w:t xml:space="preserve"> No. 670</w:t>
      </w:r>
      <w:r w:rsidR="00E92985">
        <w:rPr>
          <w:rFonts w:asciiTheme="majorHAnsi" w:hAnsiTheme="majorHAnsi"/>
          <w:sz w:val="20"/>
          <w:szCs w:val="20"/>
        </w:rPr>
        <w:t xml:space="preserve"> of </w:t>
      </w:r>
      <w:r w:rsidR="003A73FD" w:rsidRPr="00A51861">
        <w:rPr>
          <w:rFonts w:asciiTheme="majorHAnsi" w:hAnsiTheme="majorHAnsi"/>
          <w:sz w:val="20"/>
          <w:szCs w:val="20"/>
        </w:rPr>
        <w:t xml:space="preserve">2016, </w:t>
      </w:r>
      <w:r>
        <w:rPr>
          <w:rFonts w:asciiTheme="majorHAnsi" w:hAnsiTheme="majorHAnsi"/>
          <w:sz w:val="20"/>
          <w:szCs w:val="20"/>
        </w:rPr>
        <w:t>the</w:t>
      </w:r>
      <w:r w:rsidR="00D77CE8" w:rsidRPr="00A51861">
        <w:rPr>
          <w:rFonts w:asciiTheme="majorHAnsi" w:hAnsiTheme="majorHAnsi"/>
          <w:sz w:val="20"/>
          <w:szCs w:val="20"/>
        </w:rPr>
        <w:t xml:space="preserve"> </w:t>
      </w:r>
      <w:r w:rsidR="004078DB">
        <w:rPr>
          <w:rFonts w:asciiTheme="majorHAnsi" w:hAnsiTheme="majorHAnsi"/>
          <w:sz w:val="20"/>
          <w:szCs w:val="20"/>
        </w:rPr>
        <w:t>Ministry of Justice</w:t>
      </w:r>
      <w:r w:rsidR="004B400F">
        <w:rPr>
          <w:rFonts w:asciiTheme="majorHAnsi" w:hAnsiTheme="majorHAnsi"/>
          <w:sz w:val="20"/>
          <w:szCs w:val="20"/>
        </w:rPr>
        <w:t xml:space="preserve"> and Human Rights </w:t>
      </w:r>
      <w:r>
        <w:rPr>
          <w:rFonts w:asciiTheme="majorHAnsi" w:hAnsiTheme="majorHAnsi"/>
          <w:sz w:val="20"/>
          <w:szCs w:val="20"/>
        </w:rPr>
        <w:t>instructed guidelines</w:t>
      </w:r>
      <w:r w:rsidR="003A73FD" w:rsidRPr="00A51861">
        <w:rPr>
          <w:rFonts w:asciiTheme="majorHAnsi" w:hAnsiTheme="majorHAnsi"/>
          <w:sz w:val="20"/>
          <w:szCs w:val="20"/>
        </w:rPr>
        <w:t xml:space="preserve"> </w:t>
      </w:r>
      <w:r>
        <w:rPr>
          <w:rFonts w:asciiTheme="majorHAnsi" w:hAnsiTheme="majorHAnsi"/>
          <w:sz w:val="20"/>
          <w:szCs w:val="20"/>
        </w:rPr>
        <w:t>for the granting of the</w:t>
      </w:r>
      <w:r w:rsidR="003A73FD" w:rsidRPr="00A51861">
        <w:rPr>
          <w:rFonts w:asciiTheme="majorHAnsi" w:hAnsiTheme="majorHAnsi"/>
          <w:sz w:val="20"/>
          <w:szCs w:val="20"/>
        </w:rPr>
        <w:t xml:space="preserve"> </w:t>
      </w:r>
      <w:r w:rsidR="00B47E06">
        <w:rPr>
          <w:rFonts w:asciiTheme="majorHAnsi" w:hAnsiTheme="majorHAnsi"/>
          <w:sz w:val="20"/>
          <w:szCs w:val="20"/>
        </w:rPr>
        <w:t>benefit</w:t>
      </w:r>
      <w:r w:rsidR="003A73FD" w:rsidRPr="00A51861">
        <w:rPr>
          <w:rFonts w:asciiTheme="majorHAnsi" w:hAnsiTheme="majorHAnsi"/>
          <w:sz w:val="20"/>
          <w:szCs w:val="20"/>
        </w:rPr>
        <w:t xml:space="preserve"> </w:t>
      </w:r>
      <w:r>
        <w:rPr>
          <w:rFonts w:asciiTheme="majorHAnsi" w:hAnsiTheme="majorHAnsi"/>
          <w:sz w:val="20"/>
          <w:szCs w:val="20"/>
        </w:rPr>
        <w:t>ruled by</w:t>
      </w:r>
      <w:r w:rsidR="003A73FD" w:rsidRPr="00A51861">
        <w:rPr>
          <w:rFonts w:asciiTheme="majorHAnsi" w:hAnsiTheme="majorHAnsi"/>
          <w:sz w:val="20"/>
          <w:szCs w:val="20"/>
        </w:rPr>
        <w:t xml:space="preserve"> </w:t>
      </w:r>
      <w:r w:rsidR="002835FC" w:rsidRPr="00A51861">
        <w:rPr>
          <w:rFonts w:asciiTheme="majorHAnsi" w:hAnsiTheme="majorHAnsi"/>
          <w:sz w:val="20"/>
          <w:szCs w:val="20"/>
        </w:rPr>
        <w:t xml:space="preserve">Law </w:t>
      </w:r>
      <w:r w:rsidR="003A73FD" w:rsidRPr="00A51861">
        <w:rPr>
          <w:rFonts w:asciiTheme="majorHAnsi" w:hAnsiTheme="majorHAnsi"/>
          <w:sz w:val="20"/>
          <w:szCs w:val="20"/>
        </w:rPr>
        <w:t>No. 24.043</w:t>
      </w:r>
      <w:r w:rsidR="00E92985">
        <w:rPr>
          <w:rFonts w:asciiTheme="majorHAnsi" w:hAnsiTheme="majorHAnsi"/>
          <w:sz w:val="20"/>
          <w:szCs w:val="20"/>
        </w:rPr>
        <w:t xml:space="preserve"> and </w:t>
      </w:r>
      <w:r>
        <w:rPr>
          <w:rFonts w:asciiTheme="majorHAnsi" w:hAnsiTheme="majorHAnsi"/>
          <w:sz w:val="20"/>
          <w:szCs w:val="20"/>
        </w:rPr>
        <w:t>its</w:t>
      </w:r>
      <w:r w:rsidR="003A73FD" w:rsidRPr="00A51861">
        <w:rPr>
          <w:rFonts w:asciiTheme="majorHAnsi" w:hAnsiTheme="majorHAnsi"/>
          <w:sz w:val="20"/>
          <w:szCs w:val="20"/>
        </w:rPr>
        <w:t xml:space="preserve"> </w:t>
      </w:r>
      <w:r w:rsidR="00772057">
        <w:rPr>
          <w:rFonts w:asciiTheme="majorHAnsi" w:hAnsiTheme="majorHAnsi"/>
          <w:sz w:val="20"/>
          <w:szCs w:val="20"/>
        </w:rPr>
        <w:t>amendments</w:t>
      </w:r>
      <w:r w:rsidR="003A73FD" w:rsidRPr="00A51861">
        <w:rPr>
          <w:rFonts w:asciiTheme="majorHAnsi" w:hAnsiTheme="majorHAnsi"/>
          <w:sz w:val="20"/>
          <w:szCs w:val="20"/>
        </w:rPr>
        <w:t xml:space="preserve"> </w:t>
      </w:r>
      <w:r>
        <w:rPr>
          <w:rFonts w:asciiTheme="majorHAnsi" w:hAnsiTheme="majorHAnsi"/>
          <w:sz w:val="20"/>
          <w:szCs w:val="20"/>
        </w:rPr>
        <w:t>when invoking</w:t>
      </w:r>
      <w:r w:rsidR="003A73FD" w:rsidRPr="00A51861">
        <w:rPr>
          <w:rFonts w:asciiTheme="majorHAnsi" w:hAnsiTheme="majorHAnsi"/>
          <w:sz w:val="20"/>
          <w:szCs w:val="20"/>
        </w:rPr>
        <w:t xml:space="preserve"> </w:t>
      </w:r>
      <w:r w:rsidR="00E92985">
        <w:rPr>
          <w:rFonts w:asciiTheme="majorHAnsi" w:hAnsiTheme="majorHAnsi"/>
          <w:sz w:val="20"/>
          <w:szCs w:val="20"/>
        </w:rPr>
        <w:t xml:space="preserve">situations of </w:t>
      </w:r>
      <w:r w:rsidR="003A73FD" w:rsidRPr="00A51861">
        <w:rPr>
          <w:rFonts w:asciiTheme="majorHAnsi" w:hAnsiTheme="majorHAnsi"/>
          <w:sz w:val="20"/>
          <w:szCs w:val="20"/>
        </w:rPr>
        <w:t>“</w:t>
      </w:r>
      <w:r>
        <w:rPr>
          <w:rFonts w:asciiTheme="majorHAnsi" w:hAnsiTheme="majorHAnsi"/>
          <w:sz w:val="20"/>
          <w:szCs w:val="20"/>
        </w:rPr>
        <w:t>forced exile</w:t>
      </w:r>
      <w:r w:rsidR="003A73FD" w:rsidRPr="00A51861">
        <w:rPr>
          <w:rFonts w:asciiTheme="majorHAnsi" w:hAnsiTheme="majorHAnsi"/>
          <w:sz w:val="20"/>
          <w:szCs w:val="20"/>
        </w:rPr>
        <w:t>”</w:t>
      </w:r>
      <w:r w:rsidR="0065085D" w:rsidRPr="00A51861">
        <w:rPr>
          <w:rFonts w:asciiTheme="majorHAnsi" w:hAnsiTheme="majorHAnsi"/>
          <w:sz w:val="20"/>
          <w:szCs w:val="20"/>
        </w:rPr>
        <w:t xml:space="preserve">, </w:t>
      </w:r>
      <w:r>
        <w:rPr>
          <w:rFonts w:asciiTheme="majorHAnsi" w:hAnsiTheme="majorHAnsi"/>
          <w:sz w:val="20"/>
          <w:szCs w:val="20"/>
        </w:rPr>
        <w:t>indicating that the</w:t>
      </w:r>
      <w:r w:rsidR="0065085D" w:rsidRPr="00A51861">
        <w:rPr>
          <w:rFonts w:asciiTheme="majorHAnsi" w:hAnsiTheme="majorHAnsi"/>
          <w:sz w:val="20"/>
          <w:szCs w:val="20"/>
        </w:rPr>
        <w:t xml:space="preserve"> </w:t>
      </w:r>
      <w:r w:rsidR="00B47E06">
        <w:rPr>
          <w:rFonts w:asciiTheme="majorHAnsi" w:hAnsiTheme="majorHAnsi"/>
          <w:sz w:val="20"/>
          <w:szCs w:val="20"/>
        </w:rPr>
        <w:t>benefit</w:t>
      </w:r>
      <w:r w:rsidR="0065085D" w:rsidRPr="00A51861">
        <w:rPr>
          <w:rFonts w:asciiTheme="majorHAnsi" w:hAnsiTheme="majorHAnsi"/>
          <w:sz w:val="20"/>
          <w:szCs w:val="20"/>
        </w:rPr>
        <w:t xml:space="preserve"> </w:t>
      </w:r>
      <w:r>
        <w:rPr>
          <w:rFonts w:asciiTheme="majorHAnsi" w:hAnsiTheme="majorHAnsi"/>
          <w:sz w:val="20"/>
          <w:szCs w:val="20"/>
        </w:rPr>
        <w:t>shall only be granted in cases in which</w:t>
      </w:r>
      <w:r w:rsidR="0065085D" w:rsidRPr="00A51861">
        <w:rPr>
          <w:rFonts w:asciiTheme="majorHAnsi" w:hAnsiTheme="majorHAnsi"/>
          <w:sz w:val="20"/>
          <w:szCs w:val="20"/>
        </w:rPr>
        <w:t xml:space="preserve"> “</w:t>
      </w:r>
      <w:r>
        <w:rPr>
          <w:rFonts w:asciiTheme="majorHAnsi" w:hAnsiTheme="majorHAnsi"/>
          <w:sz w:val="20"/>
          <w:szCs w:val="20"/>
        </w:rPr>
        <w:t>it has been credited</w:t>
      </w:r>
      <w:r w:rsidR="0065085D" w:rsidRPr="00A51861">
        <w:rPr>
          <w:rFonts w:asciiTheme="majorHAnsi" w:hAnsiTheme="majorHAnsi"/>
          <w:sz w:val="20"/>
          <w:szCs w:val="20"/>
        </w:rPr>
        <w:t xml:space="preserve"> –</w:t>
      </w:r>
      <w:r>
        <w:rPr>
          <w:rFonts w:asciiTheme="majorHAnsi" w:hAnsiTheme="majorHAnsi"/>
          <w:sz w:val="20"/>
          <w:szCs w:val="20"/>
        </w:rPr>
        <w:t>with due evidentiary background</w:t>
      </w:r>
      <w:r w:rsidR="0065085D" w:rsidRPr="00A51861">
        <w:rPr>
          <w:rFonts w:asciiTheme="majorHAnsi" w:hAnsiTheme="majorHAnsi"/>
          <w:sz w:val="20"/>
          <w:szCs w:val="20"/>
        </w:rPr>
        <w:t xml:space="preserve">- </w:t>
      </w:r>
      <w:r>
        <w:rPr>
          <w:rFonts w:asciiTheme="majorHAnsi" w:hAnsiTheme="majorHAnsi"/>
          <w:sz w:val="20"/>
          <w:szCs w:val="20"/>
        </w:rPr>
        <w:t>the</w:t>
      </w:r>
      <w:r w:rsidR="0065085D" w:rsidRPr="00A51861">
        <w:rPr>
          <w:rFonts w:asciiTheme="majorHAnsi" w:hAnsiTheme="majorHAnsi"/>
          <w:sz w:val="20"/>
          <w:szCs w:val="20"/>
        </w:rPr>
        <w:t xml:space="preserve"> </w:t>
      </w:r>
      <w:r>
        <w:rPr>
          <w:rFonts w:asciiTheme="majorHAnsi" w:hAnsiTheme="majorHAnsi"/>
          <w:sz w:val="20"/>
          <w:szCs w:val="20"/>
        </w:rPr>
        <w:t>existence</w:t>
      </w:r>
      <w:r w:rsidR="00E92985">
        <w:rPr>
          <w:rFonts w:asciiTheme="majorHAnsi" w:hAnsiTheme="majorHAnsi"/>
          <w:sz w:val="20"/>
          <w:szCs w:val="20"/>
        </w:rPr>
        <w:t xml:space="preserve"> of situations of </w:t>
      </w:r>
      <w:r w:rsidR="005B42FA">
        <w:rPr>
          <w:rFonts w:asciiTheme="majorHAnsi" w:hAnsiTheme="majorHAnsi"/>
          <w:sz w:val="20"/>
          <w:szCs w:val="20"/>
        </w:rPr>
        <w:t>exile</w:t>
      </w:r>
      <w:r w:rsidR="0065085D" w:rsidRPr="00A51861">
        <w:rPr>
          <w:rFonts w:asciiTheme="majorHAnsi" w:hAnsiTheme="majorHAnsi"/>
          <w:sz w:val="20"/>
          <w:szCs w:val="20"/>
        </w:rPr>
        <w:t xml:space="preserve"> </w:t>
      </w:r>
      <w:r w:rsidR="005B42FA">
        <w:rPr>
          <w:rFonts w:asciiTheme="majorHAnsi" w:hAnsiTheme="majorHAnsi"/>
          <w:sz w:val="20"/>
          <w:szCs w:val="20"/>
        </w:rPr>
        <w:t>which hold substantial analogy with the</w:t>
      </w:r>
      <w:r w:rsidR="0065085D" w:rsidRPr="00A51861">
        <w:rPr>
          <w:rFonts w:asciiTheme="majorHAnsi" w:hAnsiTheme="majorHAnsi"/>
          <w:sz w:val="20"/>
          <w:szCs w:val="20"/>
        </w:rPr>
        <w:t xml:space="preserve"> doctri</w:t>
      </w:r>
      <w:r w:rsidR="005B42FA">
        <w:rPr>
          <w:rFonts w:asciiTheme="majorHAnsi" w:hAnsiTheme="majorHAnsi"/>
          <w:sz w:val="20"/>
          <w:szCs w:val="20"/>
        </w:rPr>
        <w:t>ne</w:t>
      </w:r>
      <w:r w:rsidR="0065085D" w:rsidRPr="00A51861">
        <w:rPr>
          <w:rFonts w:asciiTheme="majorHAnsi" w:hAnsiTheme="majorHAnsi"/>
          <w:sz w:val="20"/>
          <w:szCs w:val="20"/>
        </w:rPr>
        <w:t xml:space="preserve"> </w:t>
      </w:r>
      <w:r w:rsidR="005B42FA">
        <w:rPr>
          <w:rFonts w:asciiTheme="majorHAnsi" w:hAnsiTheme="majorHAnsi"/>
          <w:sz w:val="20"/>
          <w:szCs w:val="20"/>
        </w:rPr>
        <w:t>established by the</w:t>
      </w:r>
      <w:r w:rsidR="0065085D" w:rsidRPr="00A51861">
        <w:rPr>
          <w:rFonts w:asciiTheme="majorHAnsi" w:hAnsiTheme="majorHAnsi"/>
          <w:sz w:val="20"/>
          <w:szCs w:val="20"/>
        </w:rPr>
        <w:t xml:space="preserve"> </w:t>
      </w:r>
      <w:r w:rsidR="00EF1F73">
        <w:rPr>
          <w:rFonts w:asciiTheme="majorHAnsi" w:hAnsiTheme="majorHAnsi"/>
          <w:sz w:val="20"/>
          <w:szCs w:val="20"/>
        </w:rPr>
        <w:t>Supreme Court of Justice of the Nation</w:t>
      </w:r>
      <w:r w:rsidR="005F46B6">
        <w:rPr>
          <w:rFonts w:asciiTheme="majorHAnsi" w:hAnsiTheme="majorHAnsi"/>
          <w:sz w:val="20"/>
          <w:szCs w:val="20"/>
        </w:rPr>
        <w:t xml:space="preserve"> </w:t>
      </w:r>
      <w:r w:rsidR="005B42FA">
        <w:rPr>
          <w:rFonts w:asciiTheme="majorHAnsi" w:hAnsiTheme="majorHAnsi"/>
          <w:sz w:val="20"/>
          <w:szCs w:val="20"/>
        </w:rPr>
        <w:t>in the case of</w:t>
      </w:r>
      <w:r w:rsidR="0065085D" w:rsidRPr="00A51861">
        <w:rPr>
          <w:rFonts w:asciiTheme="majorHAnsi" w:hAnsiTheme="majorHAnsi"/>
          <w:sz w:val="20"/>
          <w:szCs w:val="20"/>
        </w:rPr>
        <w:t xml:space="preserve"> “Yofre</w:t>
      </w:r>
      <w:r w:rsidR="00E92985">
        <w:rPr>
          <w:rFonts w:asciiTheme="majorHAnsi" w:hAnsiTheme="majorHAnsi"/>
          <w:sz w:val="20"/>
          <w:szCs w:val="20"/>
        </w:rPr>
        <w:t xml:space="preserve"> </w:t>
      </w:r>
      <w:r w:rsidR="005B42FA">
        <w:rPr>
          <w:rFonts w:asciiTheme="majorHAnsi" w:hAnsiTheme="majorHAnsi"/>
          <w:sz w:val="20"/>
          <w:szCs w:val="20"/>
        </w:rPr>
        <w:t>de</w:t>
      </w:r>
      <w:r w:rsidR="00E92985">
        <w:rPr>
          <w:rFonts w:asciiTheme="majorHAnsi" w:hAnsiTheme="majorHAnsi"/>
          <w:sz w:val="20"/>
          <w:szCs w:val="20"/>
        </w:rPr>
        <w:t xml:space="preserve"> </w:t>
      </w:r>
      <w:r w:rsidR="0065085D" w:rsidRPr="00A51861">
        <w:rPr>
          <w:rFonts w:asciiTheme="majorHAnsi" w:hAnsiTheme="majorHAnsi"/>
          <w:sz w:val="20"/>
          <w:szCs w:val="20"/>
        </w:rPr>
        <w:t>Vaca Narvaja”</w:t>
      </w:r>
      <w:r w:rsidR="00D77CE8" w:rsidRPr="00A51861">
        <w:rPr>
          <w:rStyle w:val="FootnoteReference"/>
          <w:rFonts w:asciiTheme="majorHAnsi" w:hAnsiTheme="majorHAnsi"/>
          <w:sz w:val="20"/>
          <w:szCs w:val="20"/>
        </w:rPr>
        <w:footnoteReference w:id="9"/>
      </w:r>
      <w:r w:rsidR="001D1D61">
        <w:rPr>
          <w:rFonts w:asciiTheme="majorHAnsi" w:hAnsiTheme="majorHAnsi"/>
          <w:sz w:val="20"/>
          <w:szCs w:val="20"/>
        </w:rPr>
        <w:t>. Th</w:t>
      </w:r>
      <w:r w:rsidR="005B42FA">
        <w:rPr>
          <w:rFonts w:asciiTheme="majorHAnsi" w:hAnsiTheme="majorHAnsi"/>
          <w:sz w:val="20"/>
          <w:szCs w:val="20"/>
        </w:rPr>
        <w:t>e cited</w:t>
      </w:r>
      <w:r w:rsidR="00416FAB" w:rsidRPr="00A51861">
        <w:rPr>
          <w:rFonts w:asciiTheme="majorHAnsi" w:hAnsiTheme="majorHAnsi"/>
          <w:sz w:val="20"/>
          <w:szCs w:val="20"/>
        </w:rPr>
        <w:t xml:space="preserve"> </w:t>
      </w:r>
      <w:r w:rsidR="0029564F">
        <w:rPr>
          <w:rFonts w:asciiTheme="majorHAnsi" w:hAnsiTheme="majorHAnsi"/>
          <w:sz w:val="20"/>
          <w:szCs w:val="20"/>
        </w:rPr>
        <w:t>resolution</w:t>
      </w:r>
      <w:r w:rsidR="00416FAB" w:rsidRPr="00A51861">
        <w:rPr>
          <w:rFonts w:asciiTheme="majorHAnsi" w:hAnsiTheme="majorHAnsi"/>
          <w:sz w:val="20"/>
          <w:szCs w:val="20"/>
        </w:rPr>
        <w:t xml:space="preserve"> </w:t>
      </w:r>
      <w:r w:rsidR="005B42FA">
        <w:rPr>
          <w:rFonts w:asciiTheme="majorHAnsi" w:hAnsiTheme="majorHAnsi"/>
          <w:sz w:val="20"/>
          <w:szCs w:val="20"/>
        </w:rPr>
        <w:t>was issued given the legal gap</w:t>
      </w:r>
      <w:r w:rsidR="00416FAB" w:rsidRPr="00A51861">
        <w:rPr>
          <w:rFonts w:asciiTheme="majorHAnsi" w:hAnsiTheme="majorHAnsi"/>
          <w:sz w:val="20"/>
          <w:szCs w:val="20"/>
        </w:rPr>
        <w:t xml:space="preserve"> </w:t>
      </w:r>
      <w:r w:rsidR="005B42FA">
        <w:rPr>
          <w:rFonts w:asciiTheme="majorHAnsi" w:hAnsiTheme="majorHAnsi"/>
          <w:sz w:val="20"/>
          <w:szCs w:val="20"/>
        </w:rPr>
        <w:t>on</w:t>
      </w:r>
      <w:r w:rsidR="00416FAB" w:rsidRPr="00A51861">
        <w:rPr>
          <w:rFonts w:asciiTheme="majorHAnsi" w:hAnsiTheme="majorHAnsi"/>
          <w:sz w:val="20"/>
          <w:szCs w:val="20"/>
        </w:rPr>
        <w:t xml:space="preserve"> </w:t>
      </w:r>
      <w:r>
        <w:rPr>
          <w:rFonts w:asciiTheme="majorHAnsi" w:hAnsiTheme="majorHAnsi"/>
          <w:sz w:val="20"/>
          <w:szCs w:val="20"/>
        </w:rPr>
        <w:t>forced exile</w:t>
      </w:r>
      <w:r w:rsidR="00DA5DEB" w:rsidRPr="00A51861">
        <w:rPr>
          <w:rFonts w:asciiTheme="majorHAnsi" w:hAnsiTheme="majorHAnsi"/>
          <w:sz w:val="20"/>
          <w:szCs w:val="20"/>
        </w:rPr>
        <w:t xml:space="preserve"> </w:t>
      </w:r>
      <w:r w:rsidR="005B42FA">
        <w:rPr>
          <w:rFonts w:asciiTheme="majorHAnsi" w:hAnsiTheme="majorHAnsi"/>
          <w:sz w:val="20"/>
          <w:szCs w:val="20"/>
        </w:rPr>
        <w:t xml:space="preserve">concerning the analogous application of </w:t>
      </w:r>
      <w:r w:rsidR="002835FC" w:rsidRPr="00A51861">
        <w:rPr>
          <w:rFonts w:asciiTheme="majorHAnsi" w:hAnsiTheme="majorHAnsi"/>
          <w:sz w:val="20"/>
          <w:szCs w:val="20"/>
        </w:rPr>
        <w:t xml:space="preserve">Law </w:t>
      </w:r>
      <w:r w:rsidR="00DA5DEB" w:rsidRPr="00A51861">
        <w:rPr>
          <w:rFonts w:asciiTheme="majorHAnsi" w:hAnsiTheme="majorHAnsi"/>
          <w:sz w:val="20"/>
          <w:szCs w:val="20"/>
        </w:rPr>
        <w:t xml:space="preserve">24.043 </w:t>
      </w:r>
      <w:r w:rsidR="008E3124">
        <w:rPr>
          <w:rFonts w:asciiTheme="majorHAnsi" w:hAnsiTheme="majorHAnsi"/>
          <w:sz w:val="20"/>
          <w:szCs w:val="20"/>
        </w:rPr>
        <w:t>and its</w:t>
      </w:r>
      <w:r w:rsidR="00DA5DEB" w:rsidRPr="00A51861">
        <w:rPr>
          <w:rFonts w:asciiTheme="majorHAnsi" w:hAnsiTheme="majorHAnsi"/>
          <w:sz w:val="20"/>
          <w:szCs w:val="20"/>
        </w:rPr>
        <w:t xml:space="preserve"> </w:t>
      </w:r>
      <w:r w:rsidR="00772057">
        <w:rPr>
          <w:rFonts w:asciiTheme="majorHAnsi" w:hAnsiTheme="majorHAnsi"/>
          <w:sz w:val="20"/>
          <w:szCs w:val="20"/>
        </w:rPr>
        <w:t>amendments</w:t>
      </w:r>
      <w:r w:rsidR="00DA5DEB" w:rsidRPr="00A51861">
        <w:rPr>
          <w:rFonts w:asciiTheme="majorHAnsi" w:hAnsiTheme="majorHAnsi"/>
          <w:sz w:val="20"/>
          <w:szCs w:val="20"/>
        </w:rPr>
        <w:t>, particular</w:t>
      </w:r>
      <w:r w:rsidR="0029564F">
        <w:rPr>
          <w:rFonts w:asciiTheme="majorHAnsi" w:hAnsiTheme="majorHAnsi"/>
          <w:sz w:val="20"/>
          <w:szCs w:val="20"/>
        </w:rPr>
        <w:t xml:space="preserve">ly </w:t>
      </w:r>
      <w:r w:rsidR="005B42FA">
        <w:rPr>
          <w:rFonts w:asciiTheme="majorHAnsi" w:hAnsiTheme="majorHAnsi"/>
          <w:sz w:val="20"/>
          <w:szCs w:val="20"/>
        </w:rPr>
        <w:t>in regard to the need for</w:t>
      </w:r>
      <w:r w:rsidR="00E92985">
        <w:rPr>
          <w:rFonts w:asciiTheme="majorHAnsi" w:hAnsiTheme="majorHAnsi"/>
          <w:sz w:val="20"/>
          <w:szCs w:val="20"/>
        </w:rPr>
        <w:t xml:space="preserve"> </w:t>
      </w:r>
      <w:r w:rsidR="00DA5DEB" w:rsidRPr="00A51861">
        <w:rPr>
          <w:rFonts w:asciiTheme="majorHAnsi" w:hAnsiTheme="majorHAnsi"/>
          <w:sz w:val="20"/>
          <w:szCs w:val="20"/>
        </w:rPr>
        <w:t>unif</w:t>
      </w:r>
      <w:r w:rsidR="005B42FA">
        <w:rPr>
          <w:rFonts w:asciiTheme="majorHAnsi" w:hAnsiTheme="majorHAnsi"/>
          <w:sz w:val="20"/>
          <w:szCs w:val="20"/>
        </w:rPr>
        <w:t>ying criteria</w:t>
      </w:r>
      <w:r w:rsidR="00E92985">
        <w:rPr>
          <w:rFonts w:asciiTheme="majorHAnsi" w:hAnsiTheme="majorHAnsi"/>
          <w:sz w:val="20"/>
          <w:szCs w:val="20"/>
        </w:rPr>
        <w:t xml:space="preserve"> of </w:t>
      </w:r>
      <w:r w:rsidR="005B42FA" w:rsidRPr="00A51861">
        <w:rPr>
          <w:rFonts w:asciiTheme="majorHAnsi" w:hAnsiTheme="majorHAnsi"/>
          <w:sz w:val="20"/>
          <w:szCs w:val="20"/>
        </w:rPr>
        <w:t>interpretation</w:t>
      </w:r>
      <w:r w:rsidR="008F7014" w:rsidRPr="00A51861">
        <w:rPr>
          <w:rStyle w:val="FootnoteReference"/>
          <w:rFonts w:asciiTheme="majorHAnsi" w:hAnsiTheme="majorHAnsi"/>
          <w:sz w:val="20"/>
          <w:szCs w:val="20"/>
        </w:rPr>
        <w:footnoteReference w:id="10"/>
      </w:r>
      <w:r w:rsidR="00DA5DEB" w:rsidRPr="00A51861">
        <w:rPr>
          <w:rFonts w:asciiTheme="majorHAnsi" w:hAnsiTheme="majorHAnsi"/>
          <w:sz w:val="20"/>
          <w:szCs w:val="20"/>
        </w:rPr>
        <w:t>.</w:t>
      </w:r>
    </w:p>
    <w:p w14:paraId="5EA14919" w14:textId="77777777" w:rsidR="00DA5DEB" w:rsidRPr="00A51861" w:rsidRDefault="00DA5DEB" w:rsidP="008E4D36">
      <w:pPr>
        <w:pStyle w:val="ListParagraph"/>
        <w:rPr>
          <w:rFonts w:asciiTheme="majorHAnsi" w:hAnsiTheme="majorHAnsi"/>
          <w:sz w:val="20"/>
          <w:szCs w:val="20"/>
        </w:rPr>
      </w:pPr>
    </w:p>
    <w:p w14:paraId="6C7E3F30" w14:textId="6085B299" w:rsidR="00DA5DEB" w:rsidRPr="00A51861" w:rsidRDefault="005B42FA"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I</w:t>
      </w:r>
      <w:r w:rsidR="00F105E8" w:rsidRPr="00A51861">
        <w:rPr>
          <w:rFonts w:asciiTheme="majorHAnsi" w:hAnsiTheme="majorHAnsi"/>
          <w:sz w:val="20"/>
          <w:szCs w:val="20"/>
        </w:rPr>
        <w:t xml:space="preserve">n particular, </w:t>
      </w:r>
      <w:r>
        <w:rPr>
          <w:rFonts w:asciiTheme="majorHAnsi" w:hAnsiTheme="majorHAnsi"/>
          <w:sz w:val="20"/>
          <w:szCs w:val="20"/>
        </w:rPr>
        <w:t>the</w:t>
      </w:r>
      <w:r w:rsidR="00F105E8" w:rsidRPr="00A51861">
        <w:rPr>
          <w:rFonts w:asciiTheme="majorHAnsi" w:hAnsiTheme="majorHAnsi"/>
          <w:sz w:val="20"/>
          <w:szCs w:val="20"/>
        </w:rPr>
        <w:t xml:space="preserve"> </w:t>
      </w:r>
      <w:r w:rsidR="0029564F">
        <w:rPr>
          <w:rFonts w:ascii="Cambria" w:hAnsi="Cambria"/>
          <w:color w:val="000000" w:themeColor="text1"/>
          <w:sz w:val="20"/>
          <w:szCs w:val="20"/>
        </w:rPr>
        <w:t>resolution</w:t>
      </w:r>
      <w:r w:rsidR="00F105E8" w:rsidRPr="00A51861">
        <w:rPr>
          <w:rFonts w:asciiTheme="majorHAnsi" w:hAnsiTheme="majorHAnsi"/>
          <w:sz w:val="20"/>
          <w:szCs w:val="20"/>
        </w:rPr>
        <w:t xml:space="preserve"> </w:t>
      </w:r>
      <w:r>
        <w:rPr>
          <w:rFonts w:asciiTheme="majorHAnsi" w:hAnsiTheme="majorHAnsi"/>
          <w:sz w:val="20"/>
          <w:szCs w:val="20"/>
        </w:rPr>
        <w:t>holds the following</w:t>
      </w:r>
      <w:r w:rsidR="008F7014" w:rsidRPr="00A51861">
        <w:rPr>
          <w:rFonts w:asciiTheme="majorHAnsi" w:hAnsiTheme="majorHAnsi"/>
          <w:sz w:val="20"/>
          <w:szCs w:val="20"/>
        </w:rPr>
        <w:t>:</w:t>
      </w:r>
    </w:p>
    <w:p w14:paraId="424AFEFC" w14:textId="77777777" w:rsidR="008F7014" w:rsidRPr="00A51861" w:rsidRDefault="008F7014" w:rsidP="008E4D36">
      <w:pPr>
        <w:pStyle w:val="ListParagraph"/>
        <w:rPr>
          <w:rFonts w:asciiTheme="majorHAnsi" w:hAnsiTheme="majorHAnsi"/>
          <w:sz w:val="20"/>
          <w:szCs w:val="20"/>
        </w:rPr>
      </w:pPr>
    </w:p>
    <w:p w14:paraId="5224EEC6" w14:textId="2DE04F0C" w:rsidR="008F7014" w:rsidRPr="00A51861" w:rsidRDefault="008F7014" w:rsidP="008E4D3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20"/>
        </w:rPr>
      </w:pPr>
      <w:r w:rsidRPr="00A51861">
        <w:rPr>
          <w:rFonts w:asciiTheme="majorHAnsi" w:hAnsiTheme="majorHAnsi"/>
          <w:sz w:val="18"/>
          <w:szCs w:val="20"/>
        </w:rPr>
        <w:t xml:space="preserve">(…) </w:t>
      </w:r>
      <w:r w:rsidR="005B42FA">
        <w:rPr>
          <w:rFonts w:asciiTheme="majorHAnsi" w:hAnsiTheme="majorHAnsi"/>
          <w:sz w:val="18"/>
          <w:szCs w:val="20"/>
        </w:rPr>
        <w:t>it is thus verified</w:t>
      </w:r>
      <w:r w:rsidRPr="00A51861">
        <w:rPr>
          <w:rFonts w:asciiTheme="majorHAnsi" w:hAnsiTheme="majorHAnsi"/>
          <w:sz w:val="18"/>
          <w:szCs w:val="20"/>
        </w:rPr>
        <w:t xml:space="preserve">, </w:t>
      </w:r>
      <w:r w:rsidR="005B42FA">
        <w:rPr>
          <w:rFonts w:asciiTheme="majorHAnsi" w:hAnsiTheme="majorHAnsi"/>
          <w:sz w:val="18"/>
          <w:szCs w:val="20"/>
        </w:rPr>
        <w:t>a clear</w:t>
      </w:r>
      <w:r w:rsidRPr="00A51861">
        <w:rPr>
          <w:rFonts w:asciiTheme="majorHAnsi" w:hAnsiTheme="majorHAnsi"/>
          <w:sz w:val="18"/>
          <w:szCs w:val="20"/>
        </w:rPr>
        <w:t xml:space="preserve"> judicial </w:t>
      </w:r>
      <w:r w:rsidR="005B42FA">
        <w:rPr>
          <w:rFonts w:asciiTheme="majorHAnsi" w:hAnsiTheme="majorHAnsi"/>
          <w:sz w:val="18"/>
          <w:szCs w:val="20"/>
        </w:rPr>
        <w:t>doctrin</w:t>
      </w:r>
      <w:r w:rsidRPr="00A51861">
        <w:rPr>
          <w:rFonts w:asciiTheme="majorHAnsi" w:hAnsiTheme="majorHAnsi"/>
          <w:sz w:val="18"/>
          <w:szCs w:val="20"/>
        </w:rPr>
        <w:t>e</w:t>
      </w:r>
      <w:r w:rsidR="005B42FA">
        <w:rPr>
          <w:rFonts w:asciiTheme="majorHAnsi" w:hAnsiTheme="majorHAnsi"/>
          <w:sz w:val="18"/>
          <w:szCs w:val="20"/>
        </w:rPr>
        <w:t xml:space="preserve"> in the sense</w:t>
      </w:r>
      <w:r w:rsidR="00E92985">
        <w:rPr>
          <w:rFonts w:asciiTheme="majorHAnsi" w:hAnsiTheme="majorHAnsi"/>
          <w:sz w:val="18"/>
          <w:szCs w:val="20"/>
        </w:rPr>
        <w:t xml:space="preserve"> of the </w:t>
      </w:r>
      <w:r w:rsidR="005B42FA" w:rsidRPr="00A51861">
        <w:rPr>
          <w:rFonts w:asciiTheme="majorHAnsi" w:hAnsiTheme="majorHAnsi"/>
          <w:sz w:val="18"/>
          <w:szCs w:val="20"/>
        </w:rPr>
        <w:t>admission</w:t>
      </w:r>
      <w:r w:rsidRPr="00A51861">
        <w:rPr>
          <w:rFonts w:asciiTheme="majorHAnsi" w:hAnsiTheme="majorHAnsi"/>
          <w:sz w:val="18"/>
          <w:szCs w:val="20"/>
        </w:rPr>
        <w:t xml:space="preserve"> </w:t>
      </w:r>
      <w:r w:rsidR="005B42FA">
        <w:rPr>
          <w:rFonts w:asciiTheme="majorHAnsi" w:hAnsiTheme="majorHAnsi"/>
          <w:sz w:val="18"/>
          <w:szCs w:val="20"/>
        </w:rPr>
        <w:t>of the reparation regime reflected</w:t>
      </w:r>
      <w:r w:rsidRPr="00A51861">
        <w:rPr>
          <w:rFonts w:asciiTheme="majorHAnsi" w:hAnsiTheme="majorHAnsi"/>
          <w:sz w:val="18"/>
          <w:szCs w:val="20"/>
        </w:rPr>
        <w:t xml:space="preserve"> </w:t>
      </w:r>
      <w:r w:rsidR="00986A65">
        <w:rPr>
          <w:rFonts w:asciiTheme="majorHAnsi" w:hAnsiTheme="majorHAnsi"/>
          <w:sz w:val="18"/>
          <w:szCs w:val="20"/>
        </w:rPr>
        <w:t>i</w:t>
      </w:r>
      <w:r w:rsidRPr="00A51861">
        <w:rPr>
          <w:rFonts w:asciiTheme="majorHAnsi" w:hAnsiTheme="majorHAnsi"/>
          <w:sz w:val="18"/>
          <w:szCs w:val="20"/>
        </w:rPr>
        <w:t xml:space="preserve">n </w:t>
      </w:r>
      <w:r w:rsidR="002835FC" w:rsidRPr="00A51861">
        <w:rPr>
          <w:rFonts w:asciiTheme="majorHAnsi" w:hAnsiTheme="majorHAnsi"/>
          <w:sz w:val="18"/>
          <w:szCs w:val="20"/>
        </w:rPr>
        <w:t xml:space="preserve">Law </w:t>
      </w:r>
      <w:r w:rsidRPr="00A51861">
        <w:rPr>
          <w:rFonts w:asciiTheme="majorHAnsi" w:hAnsiTheme="majorHAnsi"/>
          <w:sz w:val="18"/>
          <w:szCs w:val="20"/>
        </w:rPr>
        <w:t>No. 24.043</w:t>
      </w:r>
      <w:r w:rsidR="00E92985">
        <w:rPr>
          <w:rFonts w:asciiTheme="majorHAnsi" w:hAnsiTheme="majorHAnsi"/>
          <w:sz w:val="18"/>
          <w:szCs w:val="20"/>
        </w:rPr>
        <w:t xml:space="preserve"> </w:t>
      </w:r>
      <w:r w:rsidR="00986A65">
        <w:rPr>
          <w:rFonts w:asciiTheme="majorHAnsi" w:hAnsiTheme="majorHAnsi"/>
          <w:sz w:val="18"/>
          <w:szCs w:val="20"/>
        </w:rPr>
        <w:t>and its amendments</w:t>
      </w:r>
      <w:r w:rsidRPr="00A51861">
        <w:rPr>
          <w:rFonts w:asciiTheme="majorHAnsi" w:hAnsiTheme="majorHAnsi"/>
          <w:sz w:val="18"/>
          <w:szCs w:val="20"/>
        </w:rPr>
        <w:t xml:space="preserve">, </w:t>
      </w:r>
      <w:r w:rsidR="00986A65">
        <w:rPr>
          <w:rFonts w:asciiTheme="majorHAnsi" w:hAnsiTheme="majorHAnsi"/>
          <w:sz w:val="18"/>
          <w:szCs w:val="20"/>
        </w:rPr>
        <w:t>in the cases</w:t>
      </w:r>
      <w:r w:rsidR="00E92985">
        <w:rPr>
          <w:rFonts w:asciiTheme="majorHAnsi" w:hAnsiTheme="majorHAnsi"/>
          <w:sz w:val="18"/>
          <w:szCs w:val="20"/>
        </w:rPr>
        <w:t xml:space="preserve"> of </w:t>
      </w:r>
      <w:r w:rsidR="00986A65">
        <w:rPr>
          <w:rFonts w:asciiTheme="majorHAnsi" w:hAnsiTheme="majorHAnsi"/>
          <w:sz w:val="18"/>
          <w:szCs w:val="20"/>
        </w:rPr>
        <w:t xml:space="preserve">duly proven forced </w:t>
      </w:r>
      <w:r w:rsidR="005B42FA">
        <w:rPr>
          <w:rFonts w:asciiTheme="majorHAnsi" w:hAnsiTheme="majorHAnsi"/>
          <w:sz w:val="18"/>
          <w:szCs w:val="20"/>
        </w:rPr>
        <w:t>exile</w:t>
      </w:r>
      <w:r w:rsidRPr="00A51861">
        <w:rPr>
          <w:rFonts w:asciiTheme="majorHAnsi" w:hAnsiTheme="majorHAnsi"/>
          <w:sz w:val="18"/>
          <w:szCs w:val="20"/>
        </w:rPr>
        <w:t xml:space="preserve"> preced</w:t>
      </w:r>
      <w:r w:rsidR="00986A65">
        <w:rPr>
          <w:rFonts w:asciiTheme="majorHAnsi" w:hAnsiTheme="majorHAnsi"/>
          <w:sz w:val="18"/>
          <w:szCs w:val="20"/>
        </w:rPr>
        <w:t>ed by</w:t>
      </w:r>
      <w:r w:rsidRPr="00A51861">
        <w:rPr>
          <w:rFonts w:asciiTheme="majorHAnsi" w:hAnsiTheme="majorHAnsi"/>
          <w:sz w:val="18"/>
          <w:szCs w:val="20"/>
        </w:rPr>
        <w:t xml:space="preserve"> </w:t>
      </w:r>
      <w:r w:rsidR="00E92985">
        <w:rPr>
          <w:rFonts w:asciiTheme="majorHAnsi" w:hAnsiTheme="majorHAnsi"/>
          <w:sz w:val="18"/>
          <w:szCs w:val="20"/>
        </w:rPr>
        <w:t xml:space="preserve">situations of </w:t>
      </w:r>
      <w:r w:rsidR="00986A65" w:rsidRPr="00A51861">
        <w:rPr>
          <w:rFonts w:asciiTheme="majorHAnsi" w:hAnsiTheme="majorHAnsi"/>
          <w:sz w:val="18"/>
          <w:szCs w:val="20"/>
        </w:rPr>
        <w:t>illegal</w:t>
      </w:r>
      <w:r w:rsidR="00986A65">
        <w:rPr>
          <w:rFonts w:asciiTheme="majorHAnsi" w:hAnsiTheme="majorHAnsi"/>
          <w:sz w:val="18"/>
          <w:szCs w:val="20"/>
        </w:rPr>
        <w:t xml:space="preserve"> </w:t>
      </w:r>
      <w:r w:rsidR="006E255A">
        <w:rPr>
          <w:rFonts w:asciiTheme="majorHAnsi" w:hAnsiTheme="majorHAnsi"/>
          <w:sz w:val="18"/>
          <w:szCs w:val="20"/>
        </w:rPr>
        <w:t>detention</w:t>
      </w:r>
      <w:r w:rsidRPr="00A51861">
        <w:rPr>
          <w:rFonts w:asciiTheme="majorHAnsi" w:hAnsiTheme="majorHAnsi"/>
          <w:sz w:val="18"/>
          <w:szCs w:val="20"/>
        </w:rPr>
        <w:t xml:space="preserve"> </w:t>
      </w:r>
      <w:r w:rsidR="00B47E06">
        <w:rPr>
          <w:rFonts w:asciiTheme="majorHAnsi" w:hAnsiTheme="majorHAnsi"/>
          <w:sz w:val="18"/>
          <w:szCs w:val="20"/>
        </w:rPr>
        <w:t xml:space="preserve">and/or </w:t>
      </w:r>
      <w:r w:rsidR="00986A65" w:rsidRPr="00A51861">
        <w:rPr>
          <w:rFonts w:asciiTheme="majorHAnsi" w:hAnsiTheme="majorHAnsi"/>
          <w:sz w:val="18"/>
          <w:szCs w:val="20"/>
        </w:rPr>
        <w:t>persecution</w:t>
      </w:r>
      <w:r w:rsidRPr="00A51861">
        <w:rPr>
          <w:rFonts w:asciiTheme="majorHAnsi" w:hAnsiTheme="majorHAnsi"/>
          <w:sz w:val="18"/>
          <w:szCs w:val="20"/>
        </w:rPr>
        <w:t xml:space="preserve"> </w:t>
      </w:r>
      <w:r w:rsidR="00986A65">
        <w:rPr>
          <w:rFonts w:asciiTheme="majorHAnsi" w:hAnsiTheme="majorHAnsi"/>
          <w:sz w:val="18"/>
          <w:szCs w:val="20"/>
        </w:rPr>
        <w:t>which generated in those involved founded fear</w:t>
      </w:r>
      <w:r w:rsidRPr="00A51861">
        <w:rPr>
          <w:rFonts w:asciiTheme="majorHAnsi" w:hAnsiTheme="majorHAnsi"/>
          <w:sz w:val="18"/>
          <w:szCs w:val="20"/>
        </w:rPr>
        <w:t xml:space="preserve"> </w:t>
      </w:r>
      <w:r w:rsidR="00986A65">
        <w:rPr>
          <w:rFonts w:asciiTheme="majorHAnsi" w:hAnsiTheme="majorHAnsi"/>
          <w:sz w:val="18"/>
          <w:szCs w:val="20"/>
        </w:rPr>
        <w:t>of</w:t>
      </w:r>
      <w:r w:rsidRPr="00A51861">
        <w:rPr>
          <w:rFonts w:asciiTheme="majorHAnsi" w:hAnsiTheme="majorHAnsi"/>
          <w:sz w:val="18"/>
          <w:szCs w:val="20"/>
        </w:rPr>
        <w:t xml:space="preserve"> experiment</w:t>
      </w:r>
      <w:r w:rsidR="00986A65">
        <w:rPr>
          <w:rFonts w:asciiTheme="majorHAnsi" w:hAnsiTheme="majorHAnsi"/>
          <w:sz w:val="18"/>
          <w:szCs w:val="20"/>
        </w:rPr>
        <w:t>ing</w:t>
      </w:r>
      <w:r w:rsidRPr="00A51861">
        <w:rPr>
          <w:rFonts w:asciiTheme="majorHAnsi" w:hAnsiTheme="majorHAnsi"/>
          <w:sz w:val="18"/>
          <w:szCs w:val="20"/>
        </w:rPr>
        <w:t xml:space="preserve"> </w:t>
      </w:r>
      <w:r w:rsidR="00986A65">
        <w:rPr>
          <w:rFonts w:asciiTheme="majorHAnsi" w:hAnsiTheme="majorHAnsi"/>
          <w:sz w:val="18"/>
          <w:szCs w:val="20"/>
        </w:rPr>
        <w:t>serious risk</w:t>
      </w:r>
      <w:r w:rsidRPr="00A51861">
        <w:rPr>
          <w:rFonts w:asciiTheme="majorHAnsi" w:hAnsiTheme="majorHAnsi"/>
          <w:sz w:val="18"/>
          <w:szCs w:val="20"/>
        </w:rPr>
        <w:t xml:space="preserve"> </w:t>
      </w:r>
      <w:r w:rsidR="00986A65">
        <w:rPr>
          <w:rFonts w:asciiTheme="majorHAnsi" w:hAnsiTheme="majorHAnsi"/>
          <w:sz w:val="18"/>
          <w:szCs w:val="20"/>
        </w:rPr>
        <w:t>for</w:t>
      </w:r>
      <w:r w:rsidRPr="00A51861">
        <w:rPr>
          <w:rFonts w:asciiTheme="majorHAnsi" w:hAnsiTheme="majorHAnsi"/>
          <w:sz w:val="18"/>
          <w:szCs w:val="20"/>
        </w:rPr>
        <w:t xml:space="preserve"> </w:t>
      </w:r>
      <w:r w:rsidR="00986A65">
        <w:rPr>
          <w:rFonts w:asciiTheme="majorHAnsi" w:hAnsiTheme="majorHAnsi"/>
          <w:sz w:val="18"/>
          <w:szCs w:val="20"/>
        </w:rPr>
        <w:t>their lives</w:t>
      </w:r>
      <w:r w:rsidRPr="00A51861">
        <w:rPr>
          <w:rFonts w:asciiTheme="majorHAnsi" w:hAnsiTheme="majorHAnsi"/>
          <w:sz w:val="18"/>
          <w:szCs w:val="20"/>
        </w:rPr>
        <w:t xml:space="preserve">, </w:t>
      </w:r>
      <w:r w:rsidR="00986A65">
        <w:rPr>
          <w:rFonts w:asciiTheme="majorHAnsi" w:hAnsiTheme="majorHAnsi"/>
          <w:sz w:val="18"/>
          <w:szCs w:val="20"/>
        </w:rPr>
        <w:t>physical integrity</w:t>
      </w:r>
      <w:r w:rsidR="00B47E06">
        <w:rPr>
          <w:rFonts w:asciiTheme="majorHAnsi" w:hAnsiTheme="majorHAnsi"/>
          <w:sz w:val="18"/>
          <w:szCs w:val="20"/>
        </w:rPr>
        <w:t xml:space="preserve"> and/or </w:t>
      </w:r>
      <w:r w:rsidR="00986A65">
        <w:rPr>
          <w:rFonts w:asciiTheme="majorHAnsi" w:hAnsiTheme="majorHAnsi"/>
          <w:sz w:val="18"/>
          <w:szCs w:val="20"/>
        </w:rPr>
        <w:t>personal liberty</w:t>
      </w:r>
      <w:r w:rsidRPr="00A51861">
        <w:rPr>
          <w:rFonts w:asciiTheme="majorHAnsi" w:hAnsiTheme="majorHAnsi"/>
          <w:sz w:val="18"/>
          <w:szCs w:val="20"/>
        </w:rPr>
        <w:t xml:space="preserve">. </w:t>
      </w:r>
      <w:r w:rsidR="00986A65">
        <w:rPr>
          <w:rFonts w:asciiTheme="majorHAnsi" w:hAnsiTheme="majorHAnsi"/>
          <w:sz w:val="18"/>
          <w:szCs w:val="20"/>
        </w:rPr>
        <w:t>It must be noted that the referred</w:t>
      </w:r>
      <w:r w:rsidRPr="00A51861">
        <w:rPr>
          <w:rFonts w:asciiTheme="majorHAnsi" w:hAnsiTheme="majorHAnsi"/>
          <w:sz w:val="18"/>
          <w:szCs w:val="20"/>
        </w:rPr>
        <w:t xml:space="preserve"> favorable</w:t>
      </w:r>
      <w:r w:rsidR="00986A65">
        <w:rPr>
          <w:rFonts w:asciiTheme="majorHAnsi" w:hAnsiTheme="majorHAnsi"/>
          <w:sz w:val="18"/>
          <w:szCs w:val="20"/>
        </w:rPr>
        <w:t xml:space="preserve"> judgment</w:t>
      </w:r>
      <w:r w:rsidRPr="00A51861">
        <w:rPr>
          <w:rFonts w:asciiTheme="majorHAnsi" w:hAnsiTheme="majorHAnsi"/>
          <w:sz w:val="18"/>
          <w:szCs w:val="20"/>
        </w:rPr>
        <w:t xml:space="preserve">s, </w:t>
      </w:r>
      <w:r w:rsidR="00986A65">
        <w:rPr>
          <w:rFonts w:asciiTheme="majorHAnsi" w:hAnsiTheme="majorHAnsi"/>
          <w:sz w:val="18"/>
          <w:szCs w:val="20"/>
        </w:rPr>
        <w:t>materialized only because the claimants</w:t>
      </w:r>
      <w:r w:rsidRPr="00A51861">
        <w:rPr>
          <w:rFonts w:asciiTheme="majorHAnsi" w:hAnsiTheme="majorHAnsi"/>
          <w:sz w:val="18"/>
          <w:szCs w:val="20"/>
        </w:rPr>
        <w:t xml:space="preserve"> </w:t>
      </w:r>
      <w:r w:rsidR="00986A65">
        <w:rPr>
          <w:rFonts w:asciiTheme="majorHAnsi" w:hAnsiTheme="majorHAnsi"/>
          <w:sz w:val="18"/>
          <w:szCs w:val="20"/>
        </w:rPr>
        <w:t>did not get to prove such circumstances</w:t>
      </w:r>
      <w:r w:rsidRPr="00A51861">
        <w:rPr>
          <w:rFonts w:asciiTheme="majorHAnsi" w:hAnsiTheme="majorHAnsi"/>
          <w:sz w:val="18"/>
          <w:szCs w:val="20"/>
        </w:rPr>
        <w:t xml:space="preserve">, </w:t>
      </w:r>
      <w:r w:rsidR="00986A65">
        <w:rPr>
          <w:rFonts w:asciiTheme="majorHAnsi" w:hAnsiTheme="majorHAnsi"/>
          <w:sz w:val="18"/>
          <w:szCs w:val="20"/>
        </w:rPr>
        <w:t>having their departure from the country being interpreted as</w:t>
      </w:r>
      <w:r w:rsidRPr="00A51861">
        <w:rPr>
          <w:rFonts w:asciiTheme="majorHAnsi" w:hAnsiTheme="majorHAnsi"/>
          <w:sz w:val="18"/>
          <w:szCs w:val="20"/>
        </w:rPr>
        <w:t xml:space="preserve"> </w:t>
      </w:r>
      <w:r w:rsidR="00986A65" w:rsidRPr="00A51861">
        <w:rPr>
          <w:rFonts w:asciiTheme="majorHAnsi" w:hAnsiTheme="majorHAnsi"/>
          <w:sz w:val="18"/>
          <w:szCs w:val="20"/>
        </w:rPr>
        <w:t>voluntar</w:t>
      </w:r>
      <w:r w:rsidR="00986A65">
        <w:rPr>
          <w:rFonts w:asciiTheme="majorHAnsi" w:hAnsiTheme="majorHAnsi"/>
          <w:sz w:val="18"/>
          <w:szCs w:val="20"/>
        </w:rPr>
        <w:t>y self-</w:t>
      </w:r>
      <w:r w:rsidR="005B42FA">
        <w:rPr>
          <w:rFonts w:asciiTheme="majorHAnsi" w:hAnsiTheme="majorHAnsi"/>
          <w:sz w:val="18"/>
          <w:szCs w:val="20"/>
        </w:rPr>
        <w:t>exile</w:t>
      </w:r>
      <w:r w:rsidRPr="00A51861">
        <w:rPr>
          <w:rStyle w:val="FootnoteReference"/>
          <w:rFonts w:asciiTheme="majorHAnsi" w:hAnsiTheme="majorHAnsi"/>
          <w:sz w:val="18"/>
          <w:szCs w:val="20"/>
        </w:rPr>
        <w:footnoteReference w:id="11"/>
      </w:r>
      <w:r w:rsidRPr="00A51861">
        <w:rPr>
          <w:rFonts w:asciiTheme="majorHAnsi" w:hAnsiTheme="majorHAnsi"/>
          <w:sz w:val="18"/>
          <w:szCs w:val="20"/>
        </w:rPr>
        <w:t>.</w:t>
      </w:r>
    </w:p>
    <w:p w14:paraId="6DE90AFA" w14:textId="77777777" w:rsidR="00AE38EC" w:rsidRPr="00A51861" w:rsidRDefault="00AE38EC" w:rsidP="008E4D36">
      <w:pPr>
        <w:jc w:val="both"/>
        <w:rPr>
          <w:rFonts w:asciiTheme="majorHAnsi" w:hAnsiTheme="majorHAnsi"/>
          <w:sz w:val="20"/>
          <w:szCs w:val="20"/>
        </w:rPr>
      </w:pPr>
    </w:p>
    <w:p w14:paraId="20570BFD" w14:textId="5B7182E9" w:rsidR="00AE38EC" w:rsidRPr="00A51861" w:rsidRDefault="002835FC" w:rsidP="00DA471F">
      <w:pPr>
        <w:pStyle w:val="Heading3"/>
        <w:keepNext/>
        <w:numPr>
          <w:ilvl w:val="0"/>
          <w:numId w:val="70"/>
        </w:numPr>
        <w:spacing w:line="240" w:lineRule="auto"/>
        <w:jc w:val="left"/>
        <w:rPr>
          <w:rFonts w:asciiTheme="majorHAnsi" w:hAnsiTheme="majorHAnsi"/>
          <w:b w:val="0"/>
        </w:rPr>
      </w:pPr>
      <w:bookmarkStart w:id="9" w:name="_Toc196383473"/>
      <w:r w:rsidRPr="00A51861">
        <w:rPr>
          <w:rFonts w:asciiTheme="majorHAnsi" w:hAnsiTheme="majorHAnsi"/>
        </w:rPr>
        <w:lastRenderedPageBreak/>
        <w:t>Regarding</w:t>
      </w:r>
      <w:r w:rsidR="00AE38EC" w:rsidRPr="00A51861">
        <w:rPr>
          <w:rFonts w:asciiTheme="majorHAnsi" w:hAnsiTheme="majorHAnsi"/>
        </w:rPr>
        <w:t xml:space="preserve"> </w:t>
      </w:r>
      <w:r w:rsidRPr="00A51861">
        <w:rPr>
          <w:rFonts w:asciiTheme="majorHAnsi" w:hAnsiTheme="majorHAnsi"/>
        </w:rPr>
        <w:t xml:space="preserve">Law </w:t>
      </w:r>
      <w:r w:rsidR="00AE38EC" w:rsidRPr="00A51861">
        <w:rPr>
          <w:rFonts w:asciiTheme="majorHAnsi" w:hAnsiTheme="majorHAnsi"/>
        </w:rPr>
        <w:t>26.564</w:t>
      </w:r>
      <w:r w:rsidR="00E92985">
        <w:rPr>
          <w:rFonts w:asciiTheme="majorHAnsi" w:hAnsiTheme="majorHAnsi"/>
        </w:rPr>
        <w:t xml:space="preserve"> of </w:t>
      </w:r>
      <w:r w:rsidR="0090344A" w:rsidRPr="00A51861">
        <w:rPr>
          <w:rFonts w:asciiTheme="majorHAnsi" w:hAnsiTheme="majorHAnsi"/>
        </w:rPr>
        <w:t>2009</w:t>
      </w:r>
      <w:bookmarkEnd w:id="9"/>
    </w:p>
    <w:p w14:paraId="4673A36E" w14:textId="77777777" w:rsidR="00AE38EC" w:rsidRPr="00A51861" w:rsidRDefault="00AE38EC" w:rsidP="008E4D36">
      <w:pPr>
        <w:pStyle w:val="ListParagraph"/>
        <w:ind w:left="1440"/>
        <w:jc w:val="both"/>
        <w:rPr>
          <w:rFonts w:asciiTheme="majorHAnsi" w:hAnsiTheme="majorHAnsi"/>
          <w:b/>
          <w:sz w:val="20"/>
          <w:szCs w:val="20"/>
        </w:rPr>
      </w:pPr>
    </w:p>
    <w:p w14:paraId="5D51877B" w14:textId="0ECA1F91" w:rsidR="000A576A" w:rsidRPr="00A51861" w:rsidRDefault="00292BEC" w:rsidP="008E4D36">
      <w:pPr>
        <w:jc w:val="both"/>
        <w:rPr>
          <w:rFonts w:asciiTheme="majorHAnsi" w:hAnsiTheme="majorHAnsi"/>
          <w:sz w:val="20"/>
          <w:szCs w:val="20"/>
        </w:rPr>
      </w:pPr>
      <w:r>
        <w:rPr>
          <w:rFonts w:asciiTheme="majorHAnsi" w:hAnsiTheme="majorHAnsi"/>
          <w:sz w:val="20"/>
          <w:szCs w:val="20"/>
        </w:rPr>
        <w:t>This</w:t>
      </w:r>
      <w:r w:rsidR="00FA2923" w:rsidRPr="00A51861">
        <w:rPr>
          <w:rFonts w:asciiTheme="majorHAnsi" w:hAnsiTheme="majorHAnsi"/>
          <w:sz w:val="20"/>
          <w:szCs w:val="20"/>
        </w:rPr>
        <w:t xml:space="preserve"> </w:t>
      </w:r>
      <w:r w:rsidR="0029564F">
        <w:rPr>
          <w:rFonts w:asciiTheme="majorHAnsi" w:hAnsiTheme="majorHAnsi"/>
          <w:sz w:val="20"/>
          <w:szCs w:val="20"/>
        </w:rPr>
        <w:t>Law</w:t>
      </w:r>
      <w:r w:rsidR="00FA2923" w:rsidRPr="00A51861">
        <w:rPr>
          <w:rFonts w:asciiTheme="majorHAnsi" w:hAnsiTheme="majorHAnsi"/>
          <w:sz w:val="20"/>
          <w:szCs w:val="20"/>
        </w:rPr>
        <w:t xml:space="preserve"> </w:t>
      </w:r>
      <w:r>
        <w:rPr>
          <w:rFonts w:asciiTheme="majorHAnsi" w:hAnsiTheme="majorHAnsi"/>
          <w:sz w:val="20"/>
          <w:szCs w:val="20"/>
        </w:rPr>
        <w:t>from</w:t>
      </w:r>
      <w:r w:rsidR="00FA2923" w:rsidRPr="00A51861">
        <w:rPr>
          <w:rFonts w:asciiTheme="majorHAnsi" w:hAnsiTheme="majorHAnsi"/>
          <w:sz w:val="20"/>
          <w:szCs w:val="20"/>
        </w:rPr>
        <w:t xml:space="preserve"> 2009 </w:t>
      </w:r>
      <w:r>
        <w:rPr>
          <w:rFonts w:asciiTheme="majorHAnsi" w:hAnsiTheme="majorHAnsi"/>
          <w:sz w:val="20"/>
          <w:szCs w:val="20"/>
        </w:rPr>
        <w:t>provides on its first</w:t>
      </w:r>
      <w:r w:rsidR="00785F4D" w:rsidRPr="00A51861">
        <w:rPr>
          <w:rFonts w:asciiTheme="majorHAnsi" w:hAnsiTheme="majorHAnsi"/>
          <w:sz w:val="20"/>
          <w:szCs w:val="20"/>
        </w:rPr>
        <w:t xml:space="preserve"> </w:t>
      </w:r>
      <w:r w:rsidR="0029564F">
        <w:rPr>
          <w:rFonts w:asciiTheme="majorHAnsi" w:hAnsiTheme="majorHAnsi"/>
          <w:sz w:val="20"/>
          <w:szCs w:val="20"/>
        </w:rPr>
        <w:t>article</w:t>
      </w:r>
      <w:r w:rsidR="00785F4D" w:rsidRPr="00A51861">
        <w:rPr>
          <w:rFonts w:asciiTheme="majorHAnsi" w:hAnsiTheme="majorHAnsi"/>
          <w:sz w:val="20"/>
          <w:szCs w:val="20"/>
        </w:rPr>
        <w:t xml:space="preserve"> </w:t>
      </w:r>
      <w:r w:rsidR="00705184">
        <w:rPr>
          <w:rFonts w:asciiTheme="majorHAnsi" w:hAnsiTheme="majorHAnsi"/>
          <w:sz w:val="20"/>
          <w:szCs w:val="20"/>
        </w:rPr>
        <w:t>to include in the</w:t>
      </w:r>
      <w:r w:rsidR="00785F4D" w:rsidRPr="00A51861">
        <w:rPr>
          <w:rFonts w:asciiTheme="majorHAnsi" w:hAnsiTheme="majorHAnsi"/>
          <w:sz w:val="20"/>
          <w:szCs w:val="20"/>
        </w:rPr>
        <w:t xml:space="preserve"> </w:t>
      </w:r>
      <w:r w:rsidR="00B47E06">
        <w:rPr>
          <w:rFonts w:asciiTheme="majorHAnsi" w:hAnsiTheme="majorHAnsi"/>
          <w:sz w:val="20"/>
          <w:szCs w:val="20"/>
        </w:rPr>
        <w:t>benefit</w:t>
      </w:r>
      <w:r w:rsidR="00785F4D" w:rsidRPr="00A51861">
        <w:rPr>
          <w:rFonts w:asciiTheme="majorHAnsi" w:hAnsiTheme="majorHAnsi"/>
          <w:sz w:val="20"/>
          <w:szCs w:val="20"/>
        </w:rPr>
        <w:t>s stipula</w:t>
      </w:r>
      <w:r w:rsidR="00705184">
        <w:rPr>
          <w:rFonts w:asciiTheme="majorHAnsi" w:hAnsiTheme="majorHAnsi"/>
          <w:sz w:val="20"/>
          <w:szCs w:val="20"/>
        </w:rPr>
        <w:t>te</w:t>
      </w:r>
      <w:r w:rsidR="00785F4D" w:rsidRPr="00A51861">
        <w:rPr>
          <w:rFonts w:asciiTheme="majorHAnsi" w:hAnsiTheme="majorHAnsi"/>
          <w:sz w:val="20"/>
          <w:szCs w:val="20"/>
        </w:rPr>
        <w:t xml:space="preserve">d </w:t>
      </w:r>
      <w:r w:rsidR="00705184">
        <w:rPr>
          <w:rFonts w:asciiTheme="majorHAnsi" w:hAnsiTheme="majorHAnsi"/>
          <w:sz w:val="20"/>
          <w:szCs w:val="20"/>
        </w:rPr>
        <w:t>by</w:t>
      </w:r>
      <w:r w:rsidR="00785F4D" w:rsidRPr="00A51861">
        <w:rPr>
          <w:rFonts w:asciiTheme="majorHAnsi" w:hAnsiTheme="majorHAnsi"/>
          <w:sz w:val="20"/>
          <w:szCs w:val="20"/>
        </w:rPr>
        <w:t xml:space="preserve"> </w:t>
      </w:r>
      <w:r w:rsidR="00EC7A58">
        <w:rPr>
          <w:rFonts w:asciiTheme="majorHAnsi" w:hAnsiTheme="majorHAnsi"/>
          <w:sz w:val="20"/>
          <w:szCs w:val="20"/>
        </w:rPr>
        <w:t>Laws</w:t>
      </w:r>
      <w:r w:rsidR="00785F4D" w:rsidRPr="00A51861">
        <w:rPr>
          <w:rFonts w:asciiTheme="majorHAnsi" w:hAnsiTheme="majorHAnsi"/>
          <w:sz w:val="20"/>
          <w:szCs w:val="20"/>
        </w:rPr>
        <w:t xml:space="preserve"> 24.043</w:t>
      </w:r>
      <w:r w:rsidR="00E92985">
        <w:rPr>
          <w:rFonts w:asciiTheme="majorHAnsi" w:hAnsiTheme="majorHAnsi"/>
          <w:sz w:val="20"/>
          <w:szCs w:val="20"/>
        </w:rPr>
        <w:t xml:space="preserve"> and </w:t>
      </w:r>
      <w:r w:rsidR="00785F4D" w:rsidRPr="00A51861">
        <w:rPr>
          <w:rFonts w:asciiTheme="majorHAnsi" w:hAnsiTheme="majorHAnsi"/>
          <w:sz w:val="20"/>
          <w:szCs w:val="20"/>
        </w:rPr>
        <w:t xml:space="preserve">24.411, </w:t>
      </w:r>
      <w:r w:rsidR="00705184">
        <w:rPr>
          <w:rFonts w:asciiTheme="majorHAnsi" w:hAnsiTheme="majorHAnsi"/>
          <w:sz w:val="20"/>
          <w:szCs w:val="20"/>
        </w:rPr>
        <w:t>their amplifiers</w:t>
      </w:r>
      <w:r w:rsidR="00E92985">
        <w:rPr>
          <w:rFonts w:asciiTheme="majorHAnsi" w:hAnsiTheme="majorHAnsi"/>
          <w:sz w:val="20"/>
          <w:szCs w:val="20"/>
        </w:rPr>
        <w:t xml:space="preserve"> and </w:t>
      </w:r>
      <w:r w:rsidR="00FA2923" w:rsidRPr="00A51861">
        <w:rPr>
          <w:rFonts w:asciiTheme="majorHAnsi" w:hAnsiTheme="majorHAnsi"/>
          <w:sz w:val="20"/>
          <w:szCs w:val="20"/>
        </w:rPr>
        <w:t>complementar</w:t>
      </w:r>
      <w:r w:rsidR="00705184">
        <w:rPr>
          <w:rFonts w:asciiTheme="majorHAnsi" w:hAnsiTheme="majorHAnsi"/>
          <w:sz w:val="20"/>
          <w:szCs w:val="20"/>
        </w:rPr>
        <w:t>y</w:t>
      </w:r>
      <w:r w:rsidR="00FA2923" w:rsidRPr="00A51861">
        <w:rPr>
          <w:rFonts w:asciiTheme="majorHAnsi" w:hAnsiTheme="majorHAnsi"/>
          <w:sz w:val="20"/>
          <w:szCs w:val="20"/>
        </w:rPr>
        <w:t xml:space="preserve">, </w:t>
      </w:r>
      <w:r w:rsidR="00705184">
        <w:rPr>
          <w:rFonts w:asciiTheme="majorHAnsi" w:hAnsiTheme="majorHAnsi"/>
          <w:sz w:val="20"/>
          <w:szCs w:val="20"/>
        </w:rPr>
        <w:t>to who</w:t>
      </w:r>
      <w:r w:rsidR="00785F4D" w:rsidRPr="00A51861">
        <w:rPr>
          <w:rFonts w:asciiTheme="majorHAnsi" w:hAnsiTheme="majorHAnsi"/>
          <w:sz w:val="20"/>
          <w:szCs w:val="20"/>
        </w:rPr>
        <w:t xml:space="preserve"> “</w:t>
      </w:r>
      <w:r w:rsidR="00705184">
        <w:rPr>
          <w:rFonts w:asciiTheme="majorHAnsi" w:hAnsiTheme="majorHAnsi"/>
          <w:sz w:val="20"/>
          <w:szCs w:val="20"/>
        </w:rPr>
        <w:t>were detained for political reasons</w:t>
      </w:r>
      <w:r w:rsidR="00785F4D" w:rsidRPr="00A51861">
        <w:rPr>
          <w:rFonts w:asciiTheme="majorHAnsi" w:hAnsiTheme="majorHAnsi"/>
          <w:sz w:val="20"/>
          <w:szCs w:val="20"/>
        </w:rPr>
        <w:t xml:space="preserve"> </w:t>
      </w:r>
      <w:r w:rsidR="00705184">
        <w:rPr>
          <w:rFonts w:asciiTheme="majorHAnsi" w:hAnsiTheme="majorHAnsi"/>
          <w:sz w:val="20"/>
          <w:szCs w:val="20"/>
        </w:rPr>
        <w:t>placed at the disposal</w:t>
      </w:r>
      <w:r w:rsidR="00E92985">
        <w:rPr>
          <w:rFonts w:asciiTheme="majorHAnsi" w:hAnsiTheme="majorHAnsi"/>
          <w:sz w:val="20"/>
          <w:szCs w:val="20"/>
        </w:rPr>
        <w:t xml:space="preserve"> of </w:t>
      </w:r>
      <w:r w:rsidR="0029564F">
        <w:rPr>
          <w:rFonts w:asciiTheme="majorHAnsi" w:hAnsiTheme="majorHAnsi"/>
          <w:sz w:val="20"/>
          <w:szCs w:val="20"/>
        </w:rPr>
        <w:t>federal</w:t>
      </w:r>
      <w:r w:rsidR="00E92985">
        <w:rPr>
          <w:rFonts w:asciiTheme="majorHAnsi" w:hAnsiTheme="majorHAnsi"/>
          <w:sz w:val="20"/>
          <w:szCs w:val="20"/>
        </w:rPr>
        <w:t xml:space="preserve"> or </w:t>
      </w:r>
      <w:r w:rsidR="00785F4D" w:rsidRPr="00A51861">
        <w:rPr>
          <w:rFonts w:asciiTheme="majorHAnsi" w:hAnsiTheme="majorHAnsi"/>
          <w:sz w:val="20"/>
          <w:szCs w:val="20"/>
        </w:rPr>
        <w:t>provincial</w:t>
      </w:r>
      <w:r w:rsidR="00705184">
        <w:rPr>
          <w:rFonts w:asciiTheme="majorHAnsi" w:hAnsiTheme="majorHAnsi"/>
          <w:sz w:val="20"/>
          <w:szCs w:val="20"/>
        </w:rPr>
        <w:t xml:space="preserve"> courts</w:t>
      </w:r>
      <w:r w:rsidR="00705184" w:rsidRPr="00A51861">
        <w:rPr>
          <w:rFonts w:asciiTheme="majorHAnsi" w:hAnsiTheme="majorHAnsi"/>
          <w:sz w:val="20"/>
          <w:szCs w:val="20"/>
        </w:rPr>
        <w:t xml:space="preserve"> </w:t>
      </w:r>
      <w:r w:rsidR="00B47E06">
        <w:rPr>
          <w:rFonts w:asciiTheme="majorHAnsi" w:hAnsiTheme="majorHAnsi"/>
          <w:sz w:val="20"/>
          <w:szCs w:val="20"/>
        </w:rPr>
        <w:t xml:space="preserve">and/or </w:t>
      </w:r>
      <w:r w:rsidR="00705184">
        <w:rPr>
          <w:rFonts w:asciiTheme="majorHAnsi" w:hAnsiTheme="majorHAnsi"/>
          <w:sz w:val="20"/>
          <w:szCs w:val="20"/>
        </w:rPr>
        <w:t xml:space="preserve">subjected to </w:t>
      </w:r>
      <w:r w:rsidR="00785F4D" w:rsidRPr="00A51861">
        <w:rPr>
          <w:rFonts w:asciiTheme="majorHAnsi" w:hAnsiTheme="majorHAnsi"/>
          <w:sz w:val="20"/>
          <w:szCs w:val="20"/>
        </w:rPr>
        <w:t>reg</w:t>
      </w:r>
      <w:r w:rsidR="00705184">
        <w:rPr>
          <w:rFonts w:asciiTheme="majorHAnsi" w:hAnsiTheme="majorHAnsi"/>
          <w:sz w:val="20"/>
          <w:szCs w:val="20"/>
        </w:rPr>
        <w:t>i</w:t>
      </w:r>
      <w:r w:rsidR="00785F4D" w:rsidRPr="00A51861">
        <w:rPr>
          <w:rFonts w:asciiTheme="majorHAnsi" w:hAnsiTheme="majorHAnsi"/>
          <w:sz w:val="20"/>
          <w:szCs w:val="20"/>
        </w:rPr>
        <w:t>me</w:t>
      </w:r>
      <w:r w:rsidR="00705184">
        <w:rPr>
          <w:rFonts w:asciiTheme="majorHAnsi" w:hAnsiTheme="majorHAnsi"/>
          <w:sz w:val="20"/>
          <w:szCs w:val="20"/>
        </w:rPr>
        <w:t>s</w:t>
      </w:r>
      <w:r w:rsidR="00E92985">
        <w:rPr>
          <w:rFonts w:asciiTheme="majorHAnsi" w:hAnsiTheme="majorHAnsi"/>
          <w:sz w:val="20"/>
          <w:szCs w:val="20"/>
        </w:rPr>
        <w:t xml:space="preserve"> of </w:t>
      </w:r>
      <w:r w:rsidR="006E255A">
        <w:rPr>
          <w:rFonts w:asciiTheme="majorHAnsi" w:hAnsiTheme="majorHAnsi"/>
          <w:sz w:val="20"/>
          <w:szCs w:val="20"/>
        </w:rPr>
        <w:t>detention</w:t>
      </w:r>
      <w:r w:rsidR="00785F4D" w:rsidRPr="00A51861">
        <w:rPr>
          <w:rFonts w:asciiTheme="majorHAnsi" w:hAnsiTheme="majorHAnsi"/>
          <w:sz w:val="20"/>
          <w:szCs w:val="20"/>
        </w:rPr>
        <w:t xml:space="preserve"> </w:t>
      </w:r>
      <w:r w:rsidR="00705184">
        <w:rPr>
          <w:rFonts w:asciiTheme="majorHAnsi" w:hAnsiTheme="majorHAnsi"/>
          <w:sz w:val="20"/>
          <w:szCs w:val="20"/>
        </w:rPr>
        <w:t>foreseen by any regulation</w:t>
      </w:r>
      <w:r w:rsidR="00785F4D" w:rsidRPr="00A51861">
        <w:rPr>
          <w:rFonts w:asciiTheme="majorHAnsi" w:hAnsiTheme="majorHAnsi"/>
          <w:sz w:val="20"/>
          <w:szCs w:val="20"/>
        </w:rPr>
        <w:t xml:space="preserve"> </w:t>
      </w:r>
      <w:r w:rsidR="00705184">
        <w:rPr>
          <w:rFonts w:asciiTheme="majorHAnsi" w:hAnsiTheme="majorHAnsi"/>
          <w:sz w:val="20"/>
          <w:szCs w:val="20"/>
        </w:rPr>
        <w:t>which</w:t>
      </w:r>
      <w:r w:rsidR="00785F4D" w:rsidRPr="00A51861">
        <w:rPr>
          <w:rFonts w:asciiTheme="majorHAnsi" w:hAnsiTheme="majorHAnsi"/>
          <w:sz w:val="20"/>
          <w:szCs w:val="20"/>
        </w:rPr>
        <w:t xml:space="preserve"> </w:t>
      </w:r>
      <w:r w:rsidR="00705184">
        <w:rPr>
          <w:rFonts w:asciiTheme="majorHAnsi" w:hAnsiTheme="majorHAnsi"/>
          <w:sz w:val="20"/>
          <w:szCs w:val="20"/>
        </w:rPr>
        <w:t>in accordance to the set forth by international doctrine</w:t>
      </w:r>
      <w:r w:rsidR="00E92985">
        <w:rPr>
          <w:rFonts w:asciiTheme="majorHAnsi" w:hAnsiTheme="majorHAnsi"/>
          <w:sz w:val="20"/>
          <w:szCs w:val="20"/>
        </w:rPr>
        <w:t xml:space="preserve"> and </w:t>
      </w:r>
      <w:r w:rsidR="00785F4D" w:rsidRPr="00A51861">
        <w:rPr>
          <w:rFonts w:asciiTheme="majorHAnsi" w:hAnsiTheme="majorHAnsi"/>
          <w:sz w:val="20"/>
          <w:szCs w:val="20"/>
        </w:rPr>
        <w:t>tr</w:t>
      </w:r>
      <w:r w:rsidR="00705184">
        <w:rPr>
          <w:rFonts w:asciiTheme="majorHAnsi" w:hAnsiTheme="majorHAnsi"/>
          <w:sz w:val="20"/>
          <w:szCs w:val="20"/>
        </w:rPr>
        <w:t>e</w:t>
      </w:r>
      <w:r w:rsidR="00785F4D" w:rsidRPr="00A51861">
        <w:rPr>
          <w:rFonts w:asciiTheme="majorHAnsi" w:hAnsiTheme="majorHAnsi"/>
          <w:sz w:val="20"/>
          <w:szCs w:val="20"/>
        </w:rPr>
        <w:t>at</w:t>
      </w:r>
      <w:r w:rsidR="00705184">
        <w:rPr>
          <w:rFonts w:asciiTheme="majorHAnsi" w:hAnsiTheme="majorHAnsi"/>
          <w:sz w:val="20"/>
          <w:szCs w:val="20"/>
        </w:rPr>
        <w:t>ies,</w:t>
      </w:r>
      <w:r w:rsidR="00785F4D" w:rsidRPr="00A51861">
        <w:rPr>
          <w:rFonts w:asciiTheme="majorHAnsi" w:hAnsiTheme="majorHAnsi"/>
          <w:sz w:val="20"/>
          <w:szCs w:val="20"/>
        </w:rPr>
        <w:t xml:space="preserve"> </w:t>
      </w:r>
      <w:r w:rsidR="00185E46">
        <w:rPr>
          <w:rFonts w:asciiTheme="majorHAnsi" w:hAnsiTheme="majorHAnsi"/>
          <w:sz w:val="20"/>
          <w:szCs w:val="20"/>
        </w:rPr>
        <w:t>m</w:t>
      </w:r>
      <w:r w:rsidR="00705184">
        <w:rPr>
          <w:rFonts w:asciiTheme="majorHAnsi" w:hAnsiTheme="majorHAnsi"/>
          <w:sz w:val="20"/>
          <w:szCs w:val="20"/>
        </w:rPr>
        <w:t>ay be defined as</w:t>
      </w:r>
      <w:r w:rsidR="00785F4D" w:rsidRPr="00A51861">
        <w:rPr>
          <w:rFonts w:asciiTheme="majorHAnsi" w:hAnsiTheme="majorHAnsi"/>
          <w:sz w:val="20"/>
          <w:szCs w:val="20"/>
        </w:rPr>
        <w:t xml:space="preserve"> </w:t>
      </w:r>
      <w:r w:rsidR="006E255A">
        <w:rPr>
          <w:rFonts w:asciiTheme="majorHAnsi" w:hAnsiTheme="majorHAnsi"/>
          <w:sz w:val="20"/>
          <w:szCs w:val="20"/>
        </w:rPr>
        <w:t>detention</w:t>
      </w:r>
      <w:r w:rsidR="00E92985">
        <w:rPr>
          <w:rFonts w:asciiTheme="majorHAnsi" w:hAnsiTheme="majorHAnsi"/>
          <w:sz w:val="20"/>
          <w:szCs w:val="20"/>
        </w:rPr>
        <w:t xml:space="preserve"> of </w:t>
      </w:r>
      <w:r w:rsidR="00705184" w:rsidRPr="00A51861">
        <w:rPr>
          <w:rFonts w:asciiTheme="majorHAnsi" w:hAnsiTheme="majorHAnsi"/>
          <w:sz w:val="20"/>
          <w:szCs w:val="20"/>
        </w:rPr>
        <w:t>politic</w:t>
      </w:r>
      <w:r w:rsidR="00705184">
        <w:rPr>
          <w:rFonts w:asciiTheme="majorHAnsi" w:hAnsiTheme="majorHAnsi"/>
          <w:sz w:val="20"/>
          <w:szCs w:val="20"/>
        </w:rPr>
        <w:t>al nature</w:t>
      </w:r>
      <w:r w:rsidR="00785F4D" w:rsidRPr="00A51861">
        <w:rPr>
          <w:rFonts w:asciiTheme="majorHAnsi" w:hAnsiTheme="majorHAnsi"/>
          <w:sz w:val="20"/>
          <w:szCs w:val="20"/>
        </w:rPr>
        <w:t>”</w:t>
      </w:r>
      <w:r w:rsidR="00785F4D" w:rsidRPr="00A51861">
        <w:rPr>
          <w:rStyle w:val="FootnoteReference"/>
          <w:rFonts w:asciiTheme="majorHAnsi" w:hAnsiTheme="majorHAnsi"/>
          <w:sz w:val="20"/>
          <w:szCs w:val="20"/>
        </w:rPr>
        <w:footnoteReference w:id="12"/>
      </w:r>
      <w:r w:rsidR="00785F4D" w:rsidRPr="00A51861">
        <w:rPr>
          <w:rFonts w:asciiTheme="majorHAnsi" w:hAnsiTheme="majorHAnsi"/>
          <w:sz w:val="20"/>
          <w:szCs w:val="20"/>
        </w:rPr>
        <w:t>.</w:t>
      </w:r>
    </w:p>
    <w:p w14:paraId="1BC74F54" w14:textId="77777777" w:rsidR="00785F4D" w:rsidRPr="00A51861" w:rsidRDefault="00785F4D" w:rsidP="008E4D36">
      <w:pPr>
        <w:rPr>
          <w:rFonts w:asciiTheme="majorHAnsi" w:hAnsiTheme="majorHAnsi"/>
          <w:b/>
          <w:sz w:val="20"/>
          <w:szCs w:val="20"/>
        </w:rPr>
      </w:pPr>
    </w:p>
    <w:p w14:paraId="483B1498" w14:textId="43B6CFFC" w:rsidR="00591189" w:rsidRPr="00A51861" w:rsidRDefault="002835FC" w:rsidP="00DA471F">
      <w:pPr>
        <w:pStyle w:val="Heading2"/>
        <w:keepNex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720"/>
        <w:rPr>
          <w:lang w:val="en-US"/>
        </w:rPr>
      </w:pPr>
      <w:bookmarkStart w:id="10" w:name="_Toc196383474"/>
      <w:r w:rsidRPr="00A51861">
        <w:rPr>
          <w:lang w:val="en-US"/>
        </w:rPr>
        <w:t>Information available</w:t>
      </w:r>
      <w:r w:rsidR="008E4D36" w:rsidRPr="00A51861">
        <w:rPr>
          <w:lang w:val="en-US"/>
        </w:rPr>
        <w:t xml:space="preserve"> </w:t>
      </w:r>
      <w:r w:rsidRPr="00A51861">
        <w:rPr>
          <w:lang w:val="en-US"/>
        </w:rPr>
        <w:t>on</w:t>
      </w:r>
      <w:r w:rsidR="008E4D36" w:rsidRPr="00A51861">
        <w:rPr>
          <w:lang w:val="en-US"/>
        </w:rPr>
        <w:t xml:space="preserve"> </w:t>
      </w:r>
      <w:r w:rsidRPr="00A51861">
        <w:rPr>
          <w:lang w:val="en-US"/>
        </w:rPr>
        <w:t xml:space="preserve">the alleged victims </w:t>
      </w:r>
      <w:r w:rsidR="00A51861">
        <w:rPr>
          <w:lang w:val="en-US"/>
        </w:rPr>
        <w:t>and</w:t>
      </w:r>
      <w:r w:rsidR="008E4D36" w:rsidRPr="00A51861">
        <w:rPr>
          <w:lang w:val="en-US"/>
        </w:rPr>
        <w:t xml:space="preserve"> </w:t>
      </w:r>
      <w:r w:rsidRPr="00A51861">
        <w:rPr>
          <w:lang w:val="en-US"/>
        </w:rPr>
        <w:t>their families</w:t>
      </w:r>
      <w:bookmarkEnd w:id="10"/>
    </w:p>
    <w:p w14:paraId="1D91E536" w14:textId="77777777" w:rsidR="00591189" w:rsidRPr="00A51861" w:rsidRDefault="00591189" w:rsidP="008E4D36">
      <w:pPr>
        <w:pStyle w:val="ListParagraph"/>
        <w:rPr>
          <w:rFonts w:asciiTheme="majorHAnsi" w:hAnsiTheme="majorHAnsi"/>
          <w:sz w:val="20"/>
          <w:szCs w:val="20"/>
        </w:rPr>
      </w:pPr>
    </w:p>
    <w:p w14:paraId="011301DE" w14:textId="2F2986B1" w:rsidR="00591189" w:rsidRPr="00A51861" w:rsidRDefault="002835FC" w:rsidP="00DA471F">
      <w:pPr>
        <w:pStyle w:val="Heading3"/>
        <w:keepNext/>
        <w:numPr>
          <w:ilvl w:val="0"/>
          <w:numId w:val="71"/>
        </w:numPr>
        <w:spacing w:line="240" w:lineRule="auto"/>
        <w:jc w:val="left"/>
        <w:rPr>
          <w:rFonts w:asciiTheme="majorHAnsi" w:hAnsiTheme="majorHAnsi"/>
          <w:b w:val="0"/>
        </w:rPr>
      </w:pPr>
      <w:bookmarkStart w:id="11" w:name="_Toc196383475"/>
      <w:r w:rsidRPr="00A51861">
        <w:rPr>
          <w:rFonts w:asciiTheme="majorHAnsi" w:hAnsiTheme="majorHAnsi"/>
        </w:rPr>
        <w:t>Regarding</w:t>
      </w:r>
      <w:r w:rsidR="00964584" w:rsidRPr="00A51861">
        <w:rPr>
          <w:rFonts w:asciiTheme="majorHAnsi" w:hAnsiTheme="majorHAnsi"/>
        </w:rPr>
        <w:t xml:space="preserve"> Julio César </w:t>
      </w:r>
      <w:r w:rsidR="00B01A54">
        <w:rPr>
          <w:rFonts w:asciiTheme="majorHAnsi" w:hAnsiTheme="majorHAnsi"/>
        </w:rPr>
        <w:t xml:space="preserve">Rito de los Santos </w:t>
      </w:r>
      <w:r w:rsidRPr="00A51861">
        <w:rPr>
          <w:rFonts w:asciiTheme="majorHAnsi" w:hAnsiTheme="majorHAnsi"/>
        </w:rPr>
        <w:t xml:space="preserve">and his family </w:t>
      </w:r>
      <w:r w:rsidR="00705184">
        <w:rPr>
          <w:rFonts w:asciiTheme="majorHAnsi" w:hAnsiTheme="majorHAnsi"/>
        </w:rPr>
        <w:t>circle</w:t>
      </w:r>
      <w:bookmarkEnd w:id="11"/>
    </w:p>
    <w:p w14:paraId="513B4C6F" w14:textId="77777777" w:rsidR="00A13D5E" w:rsidRPr="00A51861" w:rsidRDefault="00A13D5E" w:rsidP="008E4D36">
      <w:pPr>
        <w:pStyle w:val="ListParagraph"/>
        <w:ind w:left="1440"/>
        <w:jc w:val="both"/>
        <w:rPr>
          <w:rFonts w:asciiTheme="majorHAnsi" w:hAnsiTheme="majorHAnsi"/>
          <w:b/>
          <w:sz w:val="20"/>
          <w:szCs w:val="20"/>
        </w:rPr>
      </w:pPr>
    </w:p>
    <w:p w14:paraId="6AF00D4C" w14:textId="0CA8E57B" w:rsidR="00A13D5E" w:rsidRPr="00A51861" w:rsidRDefault="00A51861"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A51861">
        <w:rPr>
          <w:rFonts w:asciiTheme="majorHAnsi" w:hAnsiTheme="majorHAnsi"/>
          <w:sz w:val="20"/>
          <w:szCs w:val="20"/>
        </w:rPr>
        <w:t xml:space="preserve">Mr. </w:t>
      </w:r>
      <w:r w:rsidR="00A13D5E" w:rsidRPr="00A51861">
        <w:rPr>
          <w:rFonts w:asciiTheme="majorHAnsi" w:hAnsiTheme="majorHAnsi"/>
          <w:sz w:val="20"/>
          <w:szCs w:val="20"/>
        </w:rPr>
        <w:t>Rito</w:t>
      </w:r>
      <w:r w:rsidR="00E92985">
        <w:rPr>
          <w:rFonts w:asciiTheme="majorHAnsi" w:hAnsiTheme="majorHAnsi"/>
          <w:sz w:val="20"/>
          <w:szCs w:val="20"/>
        </w:rPr>
        <w:t xml:space="preserve"> </w:t>
      </w:r>
      <w:r w:rsidR="00BD6923">
        <w:rPr>
          <w:rFonts w:asciiTheme="majorHAnsi" w:hAnsiTheme="majorHAnsi"/>
          <w:sz w:val="20"/>
          <w:szCs w:val="20"/>
        </w:rPr>
        <w:t>de</w:t>
      </w:r>
      <w:r w:rsidR="00E92985">
        <w:rPr>
          <w:rFonts w:asciiTheme="majorHAnsi" w:hAnsiTheme="majorHAnsi"/>
          <w:sz w:val="20"/>
          <w:szCs w:val="20"/>
        </w:rPr>
        <w:t xml:space="preserve"> </w:t>
      </w:r>
      <w:r w:rsidR="00A13D5E" w:rsidRPr="00A51861">
        <w:rPr>
          <w:rFonts w:asciiTheme="majorHAnsi" w:hAnsiTheme="majorHAnsi"/>
          <w:sz w:val="20"/>
          <w:szCs w:val="20"/>
        </w:rPr>
        <w:t>los Santos,</w:t>
      </w:r>
      <w:r w:rsidR="00E92985">
        <w:rPr>
          <w:rFonts w:asciiTheme="majorHAnsi" w:hAnsiTheme="majorHAnsi"/>
          <w:sz w:val="20"/>
          <w:szCs w:val="20"/>
        </w:rPr>
        <w:t xml:space="preserve"> of </w:t>
      </w:r>
      <w:r w:rsidR="00D64B7E">
        <w:rPr>
          <w:rFonts w:asciiTheme="majorHAnsi" w:hAnsiTheme="majorHAnsi"/>
          <w:sz w:val="20"/>
          <w:szCs w:val="20"/>
        </w:rPr>
        <w:t>Uruguayan nationality</w:t>
      </w:r>
      <w:r w:rsidR="00A13D5E" w:rsidRPr="00A51861">
        <w:rPr>
          <w:rFonts w:asciiTheme="majorHAnsi" w:hAnsiTheme="majorHAnsi"/>
          <w:sz w:val="20"/>
          <w:szCs w:val="20"/>
        </w:rPr>
        <w:t xml:space="preserve">, </w:t>
      </w:r>
      <w:r w:rsidR="000E67BE">
        <w:rPr>
          <w:rFonts w:asciiTheme="majorHAnsi" w:hAnsiTheme="majorHAnsi"/>
          <w:sz w:val="20"/>
          <w:szCs w:val="20"/>
        </w:rPr>
        <w:t>arrived in</w:t>
      </w:r>
      <w:r w:rsidR="00BD6923">
        <w:rPr>
          <w:rFonts w:asciiTheme="majorHAnsi" w:hAnsiTheme="majorHAnsi"/>
          <w:sz w:val="20"/>
          <w:szCs w:val="20"/>
        </w:rPr>
        <w:t xml:space="preserve"> </w:t>
      </w:r>
      <w:r w:rsidR="00A13D5E" w:rsidRPr="00A51861">
        <w:rPr>
          <w:rFonts w:asciiTheme="majorHAnsi" w:hAnsiTheme="majorHAnsi"/>
          <w:sz w:val="20"/>
          <w:szCs w:val="20"/>
        </w:rPr>
        <w:t xml:space="preserve">Argentina </w:t>
      </w:r>
      <w:r w:rsidR="00BD6923">
        <w:rPr>
          <w:rFonts w:asciiTheme="majorHAnsi" w:hAnsiTheme="majorHAnsi"/>
          <w:sz w:val="20"/>
          <w:szCs w:val="20"/>
        </w:rPr>
        <w:t>in</w:t>
      </w:r>
      <w:r w:rsidR="00A13D5E" w:rsidRPr="00A51861">
        <w:rPr>
          <w:rFonts w:asciiTheme="majorHAnsi" w:hAnsiTheme="majorHAnsi"/>
          <w:sz w:val="20"/>
          <w:szCs w:val="20"/>
        </w:rPr>
        <w:t xml:space="preserve"> 1974 </w:t>
      </w:r>
      <w:r w:rsidR="00BD6923">
        <w:rPr>
          <w:rFonts w:asciiTheme="majorHAnsi" w:hAnsiTheme="majorHAnsi"/>
          <w:sz w:val="20"/>
          <w:szCs w:val="20"/>
        </w:rPr>
        <w:t>running away from</w:t>
      </w:r>
      <w:r w:rsidR="00E92985">
        <w:rPr>
          <w:rFonts w:asciiTheme="majorHAnsi" w:hAnsiTheme="majorHAnsi"/>
          <w:sz w:val="20"/>
          <w:szCs w:val="20"/>
        </w:rPr>
        <w:t xml:space="preserve"> the </w:t>
      </w:r>
      <w:r w:rsidR="00BD6923">
        <w:rPr>
          <w:rFonts w:asciiTheme="majorHAnsi" w:hAnsiTheme="majorHAnsi"/>
          <w:sz w:val="20"/>
          <w:szCs w:val="20"/>
        </w:rPr>
        <w:t>persecution</w:t>
      </w:r>
      <w:r w:rsidR="00E92985">
        <w:rPr>
          <w:rFonts w:asciiTheme="majorHAnsi" w:hAnsiTheme="majorHAnsi"/>
          <w:sz w:val="20"/>
          <w:szCs w:val="20"/>
        </w:rPr>
        <w:t xml:space="preserve"> </w:t>
      </w:r>
      <w:r w:rsidR="002B762A">
        <w:rPr>
          <w:rFonts w:asciiTheme="majorHAnsi" w:hAnsiTheme="majorHAnsi"/>
          <w:sz w:val="20"/>
          <w:szCs w:val="20"/>
        </w:rPr>
        <w:t>of Uruguay</w:t>
      </w:r>
      <w:r w:rsidR="00BD6923">
        <w:rPr>
          <w:rFonts w:asciiTheme="majorHAnsi" w:hAnsiTheme="majorHAnsi"/>
          <w:sz w:val="20"/>
          <w:szCs w:val="20"/>
        </w:rPr>
        <w:t>an joint forces</w:t>
      </w:r>
      <w:r w:rsidR="00A13D5E" w:rsidRPr="00A51861">
        <w:rPr>
          <w:rFonts w:asciiTheme="majorHAnsi" w:hAnsiTheme="majorHAnsi"/>
          <w:sz w:val="20"/>
          <w:szCs w:val="20"/>
        </w:rPr>
        <w:t xml:space="preserve">, </w:t>
      </w:r>
      <w:r w:rsidR="00BD6923">
        <w:rPr>
          <w:rFonts w:asciiTheme="majorHAnsi" w:hAnsiTheme="majorHAnsi"/>
          <w:sz w:val="20"/>
          <w:szCs w:val="20"/>
        </w:rPr>
        <w:t>after the coup</w:t>
      </w:r>
      <w:r w:rsidR="00E92985">
        <w:rPr>
          <w:rFonts w:asciiTheme="majorHAnsi" w:hAnsiTheme="majorHAnsi"/>
          <w:sz w:val="20"/>
          <w:szCs w:val="20"/>
        </w:rPr>
        <w:t xml:space="preserve"> of </w:t>
      </w:r>
      <w:r w:rsidR="00A13D5E" w:rsidRPr="00A51861">
        <w:rPr>
          <w:rFonts w:asciiTheme="majorHAnsi" w:hAnsiTheme="majorHAnsi"/>
          <w:sz w:val="20"/>
          <w:szCs w:val="20"/>
        </w:rPr>
        <w:t>1973</w:t>
      </w:r>
      <w:r w:rsidR="00A13D5E" w:rsidRPr="00A51861">
        <w:rPr>
          <w:rStyle w:val="FootnoteReference"/>
          <w:rFonts w:asciiTheme="majorHAnsi" w:hAnsiTheme="majorHAnsi"/>
          <w:sz w:val="20"/>
          <w:szCs w:val="20"/>
        </w:rPr>
        <w:footnoteReference w:id="13"/>
      </w:r>
      <w:r w:rsidR="00BD6923">
        <w:rPr>
          <w:rFonts w:asciiTheme="majorHAnsi" w:hAnsiTheme="majorHAnsi"/>
          <w:sz w:val="20"/>
          <w:szCs w:val="20"/>
        </w:rPr>
        <w:t>. According to the informed by</w:t>
      </w:r>
      <w:r w:rsidR="00A13D5E" w:rsidRPr="00A51861">
        <w:rPr>
          <w:rFonts w:asciiTheme="majorHAnsi" w:hAnsiTheme="majorHAnsi"/>
          <w:sz w:val="20"/>
          <w:szCs w:val="20"/>
        </w:rPr>
        <w:t xml:space="preserve"> </w:t>
      </w:r>
      <w:r w:rsidR="00E92985">
        <w:rPr>
          <w:rFonts w:asciiTheme="majorHAnsi" w:hAnsiTheme="majorHAnsi"/>
          <w:sz w:val="20"/>
          <w:szCs w:val="20"/>
        </w:rPr>
        <w:t>the petitioner</w:t>
      </w:r>
      <w:r w:rsidR="00A13D5E" w:rsidRPr="00A51861">
        <w:rPr>
          <w:rFonts w:asciiTheme="majorHAnsi" w:hAnsiTheme="majorHAnsi"/>
          <w:sz w:val="20"/>
          <w:szCs w:val="20"/>
        </w:rPr>
        <w:t xml:space="preserve">, </w:t>
      </w:r>
      <w:r w:rsidRPr="00A51861">
        <w:rPr>
          <w:rFonts w:asciiTheme="majorHAnsi" w:hAnsiTheme="majorHAnsi"/>
          <w:sz w:val="20"/>
          <w:szCs w:val="20"/>
        </w:rPr>
        <w:t>the alleged victim</w:t>
      </w:r>
      <w:r w:rsidR="00E92985">
        <w:rPr>
          <w:rFonts w:asciiTheme="majorHAnsi" w:hAnsiTheme="majorHAnsi"/>
          <w:sz w:val="20"/>
          <w:szCs w:val="20"/>
        </w:rPr>
        <w:t xml:space="preserve"> and </w:t>
      </w:r>
      <w:r w:rsidR="00BD6923">
        <w:rPr>
          <w:rFonts w:asciiTheme="majorHAnsi" w:hAnsiTheme="majorHAnsi"/>
          <w:sz w:val="20"/>
          <w:szCs w:val="20"/>
        </w:rPr>
        <w:t>mis wife</w:t>
      </w:r>
      <w:r w:rsidR="00A13D5E" w:rsidRPr="00A51861">
        <w:rPr>
          <w:rFonts w:asciiTheme="majorHAnsi" w:hAnsiTheme="majorHAnsi"/>
          <w:sz w:val="20"/>
          <w:szCs w:val="20"/>
        </w:rPr>
        <w:t xml:space="preserve">, </w:t>
      </w:r>
      <w:r w:rsidR="00BD6923">
        <w:rPr>
          <w:rFonts w:asciiTheme="majorHAnsi" w:hAnsiTheme="majorHAnsi"/>
          <w:sz w:val="20"/>
          <w:szCs w:val="20"/>
        </w:rPr>
        <w:t xml:space="preserve">Mrs. </w:t>
      </w:r>
      <w:r w:rsidR="00A13D5E" w:rsidRPr="00A51861">
        <w:rPr>
          <w:rFonts w:asciiTheme="majorHAnsi" w:hAnsiTheme="majorHAnsi"/>
          <w:sz w:val="20"/>
          <w:szCs w:val="20"/>
        </w:rPr>
        <w:t>Delma Alicia Pi Moreira -</w:t>
      </w:r>
      <w:r w:rsidR="00BD6923">
        <w:rPr>
          <w:rFonts w:asciiTheme="majorHAnsi" w:hAnsiTheme="majorHAnsi"/>
          <w:sz w:val="20"/>
          <w:szCs w:val="20"/>
        </w:rPr>
        <w:t>who also had to flee</w:t>
      </w:r>
      <w:r w:rsidR="00E92985">
        <w:rPr>
          <w:rFonts w:asciiTheme="majorHAnsi" w:hAnsiTheme="majorHAnsi"/>
          <w:sz w:val="20"/>
          <w:szCs w:val="20"/>
        </w:rPr>
        <w:t xml:space="preserve"> </w:t>
      </w:r>
      <w:r w:rsidR="00BD6923">
        <w:rPr>
          <w:rFonts w:asciiTheme="majorHAnsi" w:hAnsiTheme="majorHAnsi"/>
          <w:sz w:val="20"/>
          <w:szCs w:val="20"/>
        </w:rPr>
        <w:t>from</w:t>
      </w:r>
      <w:r w:rsidR="00E92985">
        <w:rPr>
          <w:rFonts w:asciiTheme="majorHAnsi" w:hAnsiTheme="majorHAnsi"/>
          <w:sz w:val="20"/>
          <w:szCs w:val="20"/>
        </w:rPr>
        <w:t xml:space="preserve"> the </w:t>
      </w:r>
      <w:r w:rsidR="00BD6923">
        <w:rPr>
          <w:rFonts w:asciiTheme="majorHAnsi" w:hAnsiTheme="majorHAnsi"/>
          <w:sz w:val="20"/>
          <w:szCs w:val="20"/>
        </w:rPr>
        <w:t>persecution</w:t>
      </w:r>
      <w:r w:rsidR="00A13D5E" w:rsidRPr="00A51861">
        <w:rPr>
          <w:rFonts w:asciiTheme="majorHAnsi" w:hAnsiTheme="majorHAnsi"/>
          <w:sz w:val="20"/>
          <w:szCs w:val="20"/>
        </w:rPr>
        <w:t xml:space="preserve"> </w:t>
      </w:r>
      <w:r w:rsidR="00BD6923">
        <w:rPr>
          <w:rFonts w:asciiTheme="majorHAnsi" w:hAnsiTheme="majorHAnsi"/>
          <w:sz w:val="20"/>
          <w:szCs w:val="20"/>
        </w:rPr>
        <w:t>i</w:t>
      </w:r>
      <w:r w:rsidR="00A13D5E" w:rsidRPr="00A51861">
        <w:rPr>
          <w:rFonts w:asciiTheme="majorHAnsi" w:hAnsiTheme="majorHAnsi"/>
          <w:sz w:val="20"/>
          <w:szCs w:val="20"/>
        </w:rPr>
        <w:t>n Uruguay-, r</w:t>
      </w:r>
      <w:r w:rsidR="00BD6923">
        <w:rPr>
          <w:rFonts w:asciiTheme="majorHAnsi" w:hAnsiTheme="majorHAnsi"/>
          <w:sz w:val="20"/>
          <w:szCs w:val="20"/>
        </w:rPr>
        <w:t>esided</w:t>
      </w:r>
      <w:r w:rsidR="00A13D5E" w:rsidRPr="00A51861">
        <w:rPr>
          <w:rFonts w:asciiTheme="majorHAnsi" w:hAnsiTheme="majorHAnsi"/>
          <w:sz w:val="20"/>
          <w:szCs w:val="20"/>
        </w:rPr>
        <w:t xml:space="preserve"> legal</w:t>
      </w:r>
      <w:r w:rsidR="0029564F">
        <w:rPr>
          <w:rFonts w:asciiTheme="majorHAnsi" w:hAnsiTheme="majorHAnsi"/>
          <w:sz w:val="20"/>
          <w:szCs w:val="20"/>
        </w:rPr>
        <w:t xml:space="preserve">ly </w:t>
      </w:r>
      <w:r w:rsidR="00BD6923">
        <w:rPr>
          <w:rFonts w:asciiTheme="majorHAnsi" w:hAnsiTheme="majorHAnsi"/>
          <w:sz w:val="20"/>
          <w:szCs w:val="20"/>
        </w:rPr>
        <w:t>i</w:t>
      </w:r>
      <w:r w:rsidR="00A13D5E" w:rsidRPr="00A51861">
        <w:rPr>
          <w:rFonts w:asciiTheme="majorHAnsi" w:hAnsiTheme="majorHAnsi"/>
          <w:sz w:val="20"/>
          <w:szCs w:val="20"/>
        </w:rPr>
        <w:t xml:space="preserve">n Argentina, </w:t>
      </w:r>
      <w:r w:rsidR="00BD6923">
        <w:rPr>
          <w:rFonts w:asciiTheme="majorHAnsi" w:hAnsiTheme="majorHAnsi"/>
          <w:sz w:val="20"/>
          <w:szCs w:val="20"/>
        </w:rPr>
        <w:t>as foreigners</w:t>
      </w:r>
      <w:r w:rsidR="00A13D5E" w:rsidRPr="00A51861">
        <w:rPr>
          <w:rStyle w:val="FootnoteReference"/>
          <w:rFonts w:asciiTheme="majorHAnsi" w:hAnsiTheme="majorHAnsi"/>
          <w:sz w:val="20"/>
          <w:szCs w:val="20"/>
        </w:rPr>
        <w:footnoteReference w:id="14"/>
      </w:r>
      <w:r w:rsidR="00A13D5E" w:rsidRPr="00A51861">
        <w:rPr>
          <w:rFonts w:asciiTheme="majorHAnsi" w:hAnsiTheme="majorHAnsi"/>
          <w:sz w:val="20"/>
          <w:szCs w:val="20"/>
        </w:rPr>
        <w:t>.</w:t>
      </w:r>
    </w:p>
    <w:p w14:paraId="163B1326" w14:textId="77777777" w:rsidR="00A13D5E" w:rsidRPr="00A51861" w:rsidRDefault="00A13D5E" w:rsidP="008E4D36">
      <w:pPr>
        <w:jc w:val="both"/>
        <w:rPr>
          <w:rFonts w:asciiTheme="majorHAnsi" w:hAnsiTheme="majorHAnsi"/>
          <w:sz w:val="20"/>
          <w:szCs w:val="20"/>
        </w:rPr>
      </w:pPr>
    </w:p>
    <w:p w14:paraId="735A5A10" w14:textId="4D860AA7" w:rsidR="00A13D5E" w:rsidRPr="00A51861" w:rsidRDefault="00E92985"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The Commission</w:t>
      </w:r>
      <w:r w:rsidR="00A13D5E" w:rsidRPr="00A51861">
        <w:rPr>
          <w:rFonts w:asciiTheme="majorHAnsi" w:hAnsiTheme="majorHAnsi"/>
          <w:sz w:val="20"/>
          <w:szCs w:val="20"/>
        </w:rPr>
        <w:t xml:space="preserve"> </w:t>
      </w:r>
      <w:r w:rsidR="00A51861" w:rsidRPr="00A51861">
        <w:rPr>
          <w:rFonts w:asciiTheme="majorHAnsi" w:hAnsiTheme="majorHAnsi"/>
          <w:sz w:val="20"/>
          <w:szCs w:val="20"/>
        </w:rPr>
        <w:t>observes that</w:t>
      </w:r>
      <w:r w:rsidR="00A13D5E" w:rsidRPr="00A51861">
        <w:rPr>
          <w:rFonts w:asciiTheme="majorHAnsi" w:hAnsiTheme="majorHAnsi"/>
          <w:sz w:val="20"/>
          <w:szCs w:val="20"/>
        </w:rPr>
        <w:t xml:space="preserve"> </w:t>
      </w:r>
      <w:r w:rsidR="0029564F">
        <w:rPr>
          <w:rFonts w:asciiTheme="majorHAnsi" w:hAnsiTheme="majorHAnsi"/>
          <w:sz w:val="20"/>
          <w:szCs w:val="20"/>
        </w:rPr>
        <w:t>according to the</w:t>
      </w:r>
      <w:r w:rsidR="00A13D5E" w:rsidRPr="00A51861">
        <w:rPr>
          <w:rFonts w:asciiTheme="majorHAnsi" w:hAnsiTheme="majorHAnsi"/>
          <w:sz w:val="20"/>
          <w:szCs w:val="20"/>
        </w:rPr>
        <w:t xml:space="preserve"> </w:t>
      </w:r>
      <w:r w:rsidR="00A51861" w:rsidRPr="00A51861">
        <w:rPr>
          <w:rFonts w:asciiTheme="majorHAnsi" w:hAnsiTheme="majorHAnsi"/>
          <w:sz w:val="20"/>
          <w:szCs w:val="20"/>
        </w:rPr>
        <w:t>information</w:t>
      </w:r>
      <w:r w:rsidR="00A13D5E" w:rsidRPr="00A51861">
        <w:rPr>
          <w:rFonts w:asciiTheme="majorHAnsi" w:hAnsiTheme="majorHAnsi"/>
          <w:sz w:val="20"/>
          <w:szCs w:val="20"/>
        </w:rPr>
        <w:t xml:space="preserve"> </w:t>
      </w:r>
      <w:r w:rsidR="00BD6923">
        <w:rPr>
          <w:rFonts w:asciiTheme="majorHAnsi" w:hAnsiTheme="majorHAnsi"/>
          <w:sz w:val="20"/>
          <w:szCs w:val="20"/>
        </w:rPr>
        <w:t>present in</w:t>
      </w:r>
      <w:r w:rsidR="0029564F">
        <w:rPr>
          <w:rFonts w:asciiTheme="majorHAnsi" w:hAnsiTheme="majorHAnsi"/>
          <w:sz w:val="20"/>
          <w:szCs w:val="20"/>
        </w:rPr>
        <w:t xml:space="preserve"> the casefile</w:t>
      </w:r>
      <w:r w:rsidR="00A13D5E" w:rsidRPr="00A51861">
        <w:rPr>
          <w:rFonts w:asciiTheme="majorHAnsi" w:hAnsiTheme="majorHAnsi"/>
          <w:sz w:val="20"/>
          <w:szCs w:val="20"/>
        </w:rPr>
        <w:t xml:space="preserve">, </w:t>
      </w:r>
      <w:r w:rsidR="00A51861" w:rsidRPr="00A51861">
        <w:rPr>
          <w:rFonts w:asciiTheme="majorHAnsi" w:hAnsiTheme="majorHAnsi"/>
          <w:sz w:val="20"/>
          <w:szCs w:val="20"/>
        </w:rPr>
        <w:t xml:space="preserve">Mr. </w:t>
      </w:r>
      <w:r w:rsidR="00B01A54">
        <w:rPr>
          <w:rFonts w:asciiTheme="majorHAnsi" w:hAnsiTheme="majorHAnsi"/>
          <w:sz w:val="20"/>
          <w:szCs w:val="20"/>
        </w:rPr>
        <w:t xml:space="preserve">Rito de los Santos </w:t>
      </w:r>
      <w:r>
        <w:rPr>
          <w:rFonts w:asciiTheme="majorHAnsi" w:hAnsiTheme="majorHAnsi"/>
          <w:sz w:val="20"/>
          <w:szCs w:val="20"/>
        </w:rPr>
        <w:t xml:space="preserve">and </w:t>
      </w:r>
      <w:r w:rsidR="00BD6923">
        <w:rPr>
          <w:rFonts w:asciiTheme="majorHAnsi" w:hAnsiTheme="majorHAnsi"/>
          <w:sz w:val="20"/>
          <w:szCs w:val="20"/>
        </w:rPr>
        <w:t>his wife</w:t>
      </w:r>
      <w:r w:rsidR="00A13D5E" w:rsidRPr="00A51861">
        <w:rPr>
          <w:rFonts w:asciiTheme="majorHAnsi" w:hAnsiTheme="majorHAnsi"/>
          <w:sz w:val="20"/>
          <w:szCs w:val="20"/>
        </w:rPr>
        <w:t xml:space="preserve">, </w:t>
      </w:r>
      <w:r w:rsidR="00BD6923">
        <w:rPr>
          <w:rFonts w:asciiTheme="majorHAnsi" w:hAnsiTheme="majorHAnsi"/>
          <w:sz w:val="20"/>
          <w:szCs w:val="20"/>
        </w:rPr>
        <w:t>have a</w:t>
      </w:r>
      <w:r w:rsidR="00B947BD">
        <w:rPr>
          <w:rFonts w:asciiTheme="majorHAnsi" w:hAnsiTheme="majorHAnsi"/>
          <w:sz w:val="20"/>
          <w:szCs w:val="20"/>
        </w:rPr>
        <w:t xml:space="preserve"> are </w:t>
      </w:r>
      <w:r w:rsidR="00185E46">
        <w:rPr>
          <w:rFonts w:asciiTheme="majorHAnsi" w:hAnsiTheme="majorHAnsi"/>
          <w:sz w:val="20"/>
          <w:szCs w:val="20"/>
        </w:rPr>
        <w:t xml:space="preserve">son </w:t>
      </w:r>
      <w:r w:rsidR="00BD6923">
        <w:rPr>
          <w:rFonts w:asciiTheme="majorHAnsi" w:hAnsiTheme="majorHAnsi"/>
          <w:sz w:val="20"/>
          <w:szCs w:val="20"/>
        </w:rPr>
        <w:t>born in</w:t>
      </w:r>
      <w:r w:rsidR="00A13D5E" w:rsidRPr="00A51861">
        <w:rPr>
          <w:rFonts w:asciiTheme="majorHAnsi" w:hAnsiTheme="majorHAnsi"/>
          <w:sz w:val="20"/>
          <w:szCs w:val="20"/>
        </w:rPr>
        <w:t xml:space="preserve"> Argentina </w:t>
      </w:r>
      <w:r w:rsidR="0029564F">
        <w:rPr>
          <w:rFonts w:asciiTheme="majorHAnsi" w:hAnsiTheme="majorHAnsi"/>
          <w:sz w:val="20"/>
          <w:szCs w:val="20"/>
        </w:rPr>
        <w:t>named</w:t>
      </w:r>
      <w:r w:rsidR="00A13D5E" w:rsidRPr="00A51861">
        <w:rPr>
          <w:rFonts w:asciiTheme="majorHAnsi" w:hAnsiTheme="majorHAnsi"/>
          <w:sz w:val="20"/>
          <w:szCs w:val="20"/>
        </w:rPr>
        <w:t xml:space="preserve"> Pablo Gerónimo Rito Pi, </w:t>
      </w:r>
      <w:r w:rsidR="00BD6923">
        <w:rPr>
          <w:rFonts w:asciiTheme="majorHAnsi" w:hAnsiTheme="majorHAnsi"/>
          <w:sz w:val="20"/>
          <w:szCs w:val="20"/>
        </w:rPr>
        <w:t>whom with they traveled to</w:t>
      </w:r>
      <w:r w:rsidR="00A13D5E" w:rsidRPr="00A51861">
        <w:rPr>
          <w:rFonts w:asciiTheme="majorHAnsi" w:hAnsiTheme="majorHAnsi"/>
          <w:sz w:val="20"/>
          <w:szCs w:val="20"/>
        </w:rPr>
        <w:t xml:space="preserve"> </w:t>
      </w:r>
      <w:r w:rsidR="00BD6923">
        <w:rPr>
          <w:rFonts w:asciiTheme="majorHAnsi" w:hAnsiTheme="majorHAnsi"/>
          <w:sz w:val="20"/>
          <w:szCs w:val="20"/>
        </w:rPr>
        <w:t>Sweden</w:t>
      </w:r>
      <w:r w:rsidR="00A13D5E" w:rsidRPr="00A51861">
        <w:rPr>
          <w:rFonts w:asciiTheme="majorHAnsi" w:hAnsiTheme="majorHAnsi"/>
          <w:sz w:val="20"/>
          <w:szCs w:val="20"/>
        </w:rPr>
        <w:t xml:space="preserve"> </w:t>
      </w:r>
      <w:r w:rsidR="00BD6923">
        <w:rPr>
          <w:rFonts w:asciiTheme="majorHAnsi" w:hAnsiTheme="majorHAnsi"/>
          <w:sz w:val="20"/>
          <w:szCs w:val="20"/>
        </w:rPr>
        <w:t>as political refugees</w:t>
      </w:r>
      <w:r w:rsidR="00A13D5E" w:rsidRPr="00A51861">
        <w:rPr>
          <w:rStyle w:val="FootnoteReference"/>
          <w:rFonts w:asciiTheme="majorHAnsi" w:hAnsiTheme="majorHAnsi"/>
          <w:sz w:val="20"/>
          <w:szCs w:val="20"/>
        </w:rPr>
        <w:footnoteReference w:id="15"/>
      </w:r>
      <w:r w:rsidR="00A13D5E" w:rsidRPr="00A51861">
        <w:rPr>
          <w:rFonts w:asciiTheme="majorHAnsi" w:hAnsiTheme="majorHAnsi"/>
          <w:sz w:val="20"/>
          <w:szCs w:val="20"/>
        </w:rPr>
        <w:t xml:space="preserve">. </w:t>
      </w:r>
      <w:r w:rsidR="00F92BA8">
        <w:rPr>
          <w:rFonts w:asciiTheme="majorHAnsi" w:hAnsiTheme="majorHAnsi"/>
          <w:sz w:val="20"/>
          <w:szCs w:val="20"/>
        </w:rPr>
        <w:t>Likewise,</w:t>
      </w:r>
      <w:r>
        <w:rPr>
          <w:rFonts w:asciiTheme="majorHAnsi" w:hAnsiTheme="majorHAnsi"/>
          <w:sz w:val="20"/>
          <w:szCs w:val="20"/>
        </w:rPr>
        <w:t xml:space="preserve"> </w:t>
      </w:r>
      <w:r w:rsidR="00BD6923">
        <w:rPr>
          <w:rFonts w:asciiTheme="majorHAnsi" w:hAnsiTheme="majorHAnsi"/>
          <w:sz w:val="20"/>
          <w:szCs w:val="20"/>
        </w:rPr>
        <w:t>in accordance with the stated in the</w:t>
      </w:r>
      <w:r w:rsidR="00A13D5E" w:rsidRPr="00A51861">
        <w:rPr>
          <w:rFonts w:asciiTheme="majorHAnsi" w:hAnsiTheme="majorHAnsi"/>
          <w:sz w:val="20"/>
          <w:szCs w:val="20"/>
        </w:rPr>
        <w:t xml:space="preserve"> </w:t>
      </w:r>
      <w:r w:rsidR="00BD6923">
        <w:rPr>
          <w:rFonts w:asciiTheme="majorHAnsi" w:hAnsiTheme="majorHAnsi"/>
          <w:sz w:val="20"/>
          <w:szCs w:val="20"/>
        </w:rPr>
        <w:t>initial petition</w:t>
      </w:r>
      <w:r w:rsidR="00A13D5E" w:rsidRPr="00A51861">
        <w:rPr>
          <w:rFonts w:asciiTheme="majorHAnsi" w:hAnsiTheme="majorHAnsi"/>
          <w:sz w:val="20"/>
          <w:szCs w:val="20"/>
        </w:rPr>
        <w:t xml:space="preserve">, </w:t>
      </w:r>
      <w:r w:rsidR="00BD6923">
        <w:rPr>
          <w:rFonts w:asciiTheme="majorHAnsi" w:hAnsiTheme="majorHAnsi"/>
          <w:sz w:val="20"/>
          <w:szCs w:val="20"/>
        </w:rPr>
        <w:t>they have a daughter</w:t>
      </w:r>
      <w:r w:rsidR="00A13D5E" w:rsidRPr="00A51861">
        <w:rPr>
          <w:rFonts w:asciiTheme="majorHAnsi" w:hAnsiTheme="majorHAnsi"/>
          <w:sz w:val="20"/>
          <w:szCs w:val="20"/>
        </w:rPr>
        <w:t xml:space="preserve"> </w:t>
      </w:r>
      <w:r w:rsidR="0029564F">
        <w:rPr>
          <w:rFonts w:asciiTheme="majorHAnsi" w:hAnsiTheme="majorHAnsi"/>
          <w:sz w:val="20"/>
          <w:szCs w:val="20"/>
        </w:rPr>
        <w:t>named</w:t>
      </w:r>
      <w:r w:rsidR="00A13D5E" w:rsidRPr="00A51861">
        <w:rPr>
          <w:rFonts w:asciiTheme="majorHAnsi" w:hAnsiTheme="majorHAnsi"/>
          <w:sz w:val="20"/>
          <w:szCs w:val="20"/>
        </w:rPr>
        <w:t xml:space="preserve"> Verónica, </w:t>
      </w:r>
      <w:r w:rsidR="00BD6923">
        <w:rPr>
          <w:rFonts w:asciiTheme="majorHAnsi" w:hAnsiTheme="majorHAnsi"/>
          <w:sz w:val="20"/>
          <w:szCs w:val="20"/>
        </w:rPr>
        <w:t>who was born in</w:t>
      </w:r>
      <w:r w:rsidR="00A13D5E" w:rsidRPr="00A51861">
        <w:rPr>
          <w:rFonts w:asciiTheme="majorHAnsi" w:hAnsiTheme="majorHAnsi"/>
          <w:sz w:val="20"/>
          <w:szCs w:val="20"/>
        </w:rPr>
        <w:t xml:space="preserve"> </w:t>
      </w:r>
      <w:r w:rsidR="00BD6923">
        <w:rPr>
          <w:rFonts w:asciiTheme="majorHAnsi" w:hAnsiTheme="majorHAnsi"/>
          <w:sz w:val="20"/>
          <w:szCs w:val="20"/>
        </w:rPr>
        <w:t>Sweden</w:t>
      </w:r>
      <w:r w:rsidR="00A13D5E" w:rsidRPr="00A51861">
        <w:rPr>
          <w:rFonts w:asciiTheme="majorHAnsi" w:hAnsiTheme="majorHAnsi"/>
          <w:sz w:val="20"/>
          <w:szCs w:val="20"/>
        </w:rPr>
        <w:t xml:space="preserve">, </w:t>
      </w:r>
      <w:r w:rsidR="00BD093F">
        <w:rPr>
          <w:rFonts w:asciiTheme="majorHAnsi" w:hAnsiTheme="majorHAnsi"/>
          <w:sz w:val="20"/>
          <w:szCs w:val="20"/>
        </w:rPr>
        <w:t>after the arrival of</w:t>
      </w:r>
      <w:r>
        <w:rPr>
          <w:rFonts w:asciiTheme="majorHAnsi" w:hAnsiTheme="majorHAnsi"/>
          <w:sz w:val="20"/>
          <w:szCs w:val="20"/>
        </w:rPr>
        <w:t xml:space="preserve"> </w:t>
      </w:r>
      <w:r w:rsidR="00A51861" w:rsidRPr="00A51861">
        <w:rPr>
          <w:rFonts w:asciiTheme="majorHAnsi" w:hAnsiTheme="majorHAnsi"/>
          <w:sz w:val="20"/>
          <w:szCs w:val="20"/>
        </w:rPr>
        <w:t>the alleged victim</w:t>
      </w:r>
      <w:r>
        <w:rPr>
          <w:rFonts w:asciiTheme="majorHAnsi" w:hAnsiTheme="majorHAnsi"/>
          <w:sz w:val="20"/>
          <w:szCs w:val="20"/>
        </w:rPr>
        <w:t xml:space="preserve"> and </w:t>
      </w:r>
      <w:r w:rsidR="00BD093F">
        <w:rPr>
          <w:rFonts w:asciiTheme="majorHAnsi" w:hAnsiTheme="majorHAnsi"/>
          <w:sz w:val="20"/>
          <w:szCs w:val="20"/>
        </w:rPr>
        <w:t>his wife in that country</w:t>
      </w:r>
      <w:r w:rsidR="00A13D5E" w:rsidRPr="00A51861">
        <w:rPr>
          <w:rFonts w:asciiTheme="majorHAnsi" w:hAnsiTheme="majorHAnsi"/>
          <w:sz w:val="20"/>
          <w:szCs w:val="20"/>
        </w:rPr>
        <w:t>,</w:t>
      </w:r>
      <w:r>
        <w:rPr>
          <w:rFonts w:asciiTheme="majorHAnsi" w:hAnsiTheme="majorHAnsi"/>
          <w:sz w:val="20"/>
          <w:szCs w:val="20"/>
        </w:rPr>
        <w:t xml:space="preserve"> and </w:t>
      </w:r>
      <w:r w:rsidR="00BD093F">
        <w:rPr>
          <w:rFonts w:asciiTheme="majorHAnsi" w:hAnsiTheme="majorHAnsi"/>
          <w:sz w:val="20"/>
          <w:szCs w:val="20"/>
        </w:rPr>
        <w:t>who was</w:t>
      </w:r>
      <w:r w:rsidR="00A13D5E" w:rsidRPr="00A51861">
        <w:rPr>
          <w:rFonts w:asciiTheme="majorHAnsi" w:hAnsiTheme="majorHAnsi"/>
          <w:sz w:val="20"/>
          <w:szCs w:val="20"/>
        </w:rPr>
        <w:t xml:space="preserve"> </w:t>
      </w:r>
      <w:r w:rsidR="0029564F">
        <w:rPr>
          <w:rFonts w:asciiTheme="majorHAnsi" w:hAnsiTheme="majorHAnsi"/>
          <w:sz w:val="20"/>
          <w:szCs w:val="20"/>
        </w:rPr>
        <w:t>equally granted political asylum</w:t>
      </w:r>
      <w:r w:rsidR="00A13D5E" w:rsidRPr="00A51861">
        <w:rPr>
          <w:rStyle w:val="FootnoteReference"/>
          <w:rFonts w:asciiTheme="majorHAnsi" w:hAnsiTheme="majorHAnsi"/>
          <w:sz w:val="20"/>
          <w:szCs w:val="20"/>
        </w:rPr>
        <w:footnoteReference w:id="16"/>
      </w:r>
      <w:r w:rsidR="00A13D5E" w:rsidRPr="00A51861">
        <w:rPr>
          <w:rFonts w:asciiTheme="majorHAnsi" w:hAnsiTheme="majorHAnsi"/>
          <w:sz w:val="20"/>
          <w:szCs w:val="20"/>
        </w:rPr>
        <w:t xml:space="preserve">. </w:t>
      </w:r>
    </w:p>
    <w:p w14:paraId="6C3E2008" w14:textId="77777777" w:rsidR="00A13D5E" w:rsidRPr="00A51861" w:rsidRDefault="00A13D5E" w:rsidP="008E4D36">
      <w:pPr>
        <w:jc w:val="both"/>
        <w:rPr>
          <w:rFonts w:asciiTheme="majorHAnsi" w:hAnsiTheme="majorHAnsi"/>
          <w:sz w:val="20"/>
          <w:szCs w:val="20"/>
        </w:rPr>
      </w:pPr>
    </w:p>
    <w:p w14:paraId="265FB570" w14:textId="0B35852B" w:rsidR="00A13D5E" w:rsidRPr="00A51861" w:rsidRDefault="00BD093F"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From the</w:t>
      </w:r>
      <w:r w:rsidR="00A13D5E" w:rsidRPr="00A51861">
        <w:rPr>
          <w:rFonts w:asciiTheme="majorHAnsi" w:hAnsiTheme="majorHAnsi"/>
          <w:sz w:val="20"/>
          <w:szCs w:val="20"/>
        </w:rPr>
        <w:t xml:space="preserve"> </w:t>
      </w:r>
      <w:r w:rsidR="00A51861" w:rsidRPr="00A51861">
        <w:rPr>
          <w:rFonts w:asciiTheme="majorHAnsi" w:hAnsiTheme="majorHAnsi"/>
          <w:sz w:val="20"/>
          <w:szCs w:val="20"/>
        </w:rPr>
        <w:t>information</w:t>
      </w:r>
      <w:r w:rsidR="00A13D5E" w:rsidRPr="00A51861">
        <w:rPr>
          <w:rFonts w:asciiTheme="majorHAnsi" w:hAnsiTheme="majorHAnsi"/>
          <w:sz w:val="20"/>
          <w:szCs w:val="20"/>
        </w:rPr>
        <w:t xml:space="preserve"> </w:t>
      </w:r>
      <w:r>
        <w:rPr>
          <w:rFonts w:asciiTheme="majorHAnsi" w:hAnsiTheme="majorHAnsi"/>
          <w:sz w:val="20"/>
          <w:szCs w:val="20"/>
        </w:rPr>
        <w:t>contained</w:t>
      </w:r>
      <w:r w:rsidR="00A13D5E" w:rsidRPr="00A51861">
        <w:rPr>
          <w:rFonts w:asciiTheme="majorHAnsi" w:hAnsiTheme="majorHAnsi"/>
          <w:sz w:val="20"/>
          <w:szCs w:val="20"/>
        </w:rPr>
        <w:t xml:space="preserve"> </w:t>
      </w:r>
      <w:r w:rsidR="0029564F">
        <w:rPr>
          <w:rFonts w:asciiTheme="majorHAnsi" w:hAnsiTheme="majorHAnsi"/>
          <w:sz w:val="20"/>
          <w:szCs w:val="20"/>
        </w:rPr>
        <w:t>in the casefile</w:t>
      </w:r>
      <w:r w:rsidR="00A13D5E" w:rsidRPr="00A51861">
        <w:rPr>
          <w:rFonts w:asciiTheme="majorHAnsi" w:hAnsiTheme="majorHAnsi"/>
          <w:sz w:val="20"/>
          <w:szCs w:val="20"/>
        </w:rPr>
        <w:t xml:space="preserve"> </w:t>
      </w:r>
      <w:r>
        <w:rPr>
          <w:rFonts w:asciiTheme="majorHAnsi" w:hAnsiTheme="majorHAnsi"/>
          <w:sz w:val="20"/>
          <w:szCs w:val="20"/>
        </w:rPr>
        <w:t>on the migratory process</w:t>
      </w:r>
      <w:r w:rsidR="00E92985">
        <w:rPr>
          <w:rFonts w:asciiTheme="majorHAnsi" w:hAnsiTheme="majorHAnsi"/>
          <w:sz w:val="20"/>
          <w:szCs w:val="20"/>
        </w:rPr>
        <w:t xml:space="preserve"> of </w:t>
      </w:r>
      <w:r w:rsidR="00A51861" w:rsidRPr="00A51861">
        <w:rPr>
          <w:rFonts w:asciiTheme="majorHAnsi" w:hAnsiTheme="majorHAnsi"/>
          <w:sz w:val="20"/>
          <w:szCs w:val="20"/>
        </w:rPr>
        <w:t>the alleged victim</w:t>
      </w:r>
      <w:r w:rsidR="00A13D5E" w:rsidRPr="00A51861">
        <w:rPr>
          <w:rFonts w:asciiTheme="majorHAnsi" w:hAnsiTheme="majorHAnsi"/>
          <w:sz w:val="20"/>
          <w:szCs w:val="20"/>
        </w:rPr>
        <w:t xml:space="preserve">, </w:t>
      </w:r>
      <w:r>
        <w:rPr>
          <w:rFonts w:asciiTheme="majorHAnsi" w:hAnsiTheme="majorHAnsi"/>
          <w:sz w:val="20"/>
          <w:szCs w:val="20"/>
        </w:rPr>
        <w:t>we know that on March 3,</w:t>
      </w:r>
      <w:r w:rsidR="00E92985">
        <w:rPr>
          <w:rFonts w:asciiTheme="majorHAnsi" w:hAnsiTheme="majorHAnsi"/>
          <w:sz w:val="20"/>
          <w:szCs w:val="20"/>
        </w:rPr>
        <w:t xml:space="preserve"> </w:t>
      </w:r>
      <w:r w:rsidR="00A13D5E" w:rsidRPr="00A51861">
        <w:rPr>
          <w:rFonts w:asciiTheme="majorHAnsi" w:hAnsiTheme="majorHAnsi"/>
          <w:sz w:val="20"/>
          <w:szCs w:val="20"/>
        </w:rPr>
        <w:t xml:space="preserve">1974 </w:t>
      </w:r>
      <w:r>
        <w:rPr>
          <w:rFonts w:asciiTheme="majorHAnsi" w:hAnsiTheme="majorHAnsi"/>
          <w:sz w:val="20"/>
          <w:szCs w:val="20"/>
        </w:rPr>
        <w:t>by means of a</w:t>
      </w:r>
      <w:r w:rsidR="00A13D5E" w:rsidRPr="00A51861">
        <w:rPr>
          <w:rFonts w:asciiTheme="majorHAnsi" w:hAnsiTheme="majorHAnsi"/>
          <w:sz w:val="20"/>
          <w:szCs w:val="20"/>
        </w:rPr>
        <w:t xml:space="preserve"> </w:t>
      </w:r>
      <w:r w:rsidR="0029564F">
        <w:rPr>
          <w:rFonts w:asciiTheme="majorHAnsi" w:hAnsiTheme="majorHAnsi"/>
          <w:sz w:val="20"/>
          <w:szCs w:val="20"/>
        </w:rPr>
        <w:t>resolution</w:t>
      </w:r>
      <w:r w:rsidR="00A13D5E" w:rsidRPr="00A51861">
        <w:rPr>
          <w:rFonts w:asciiTheme="majorHAnsi" w:hAnsiTheme="majorHAnsi"/>
          <w:sz w:val="20"/>
          <w:szCs w:val="20"/>
        </w:rPr>
        <w:t xml:space="preserve">, </w:t>
      </w:r>
      <w:r>
        <w:rPr>
          <w:rFonts w:asciiTheme="majorHAnsi" w:hAnsiTheme="majorHAnsi"/>
          <w:sz w:val="20"/>
          <w:szCs w:val="20"/>
        </w:rPr>
        <w:t>Mr.</w:t>
      </w:r>
      <w:r w:rsidR="00A13D5E" w:rsidRPr="00A51861">
        <w:rPr>
          <w:rFonts w:asciiTheme="majorHAnsi" w:hAnsiTheme="majorHAnsi"/>
          <w:sz w:val="20"/>
          <w:szCs w:val="20"/>
        </w:rPr>
        <w:t xml:space="preserve"> </w:t>
      </w:r>
      <w:r w:rsidR="00B01A54">
        <w:rPr>
          <w:rFonts w:asciiTheme="majorHAnsi" w:hAnsiTheme="majorHAnsi"/>
          <w:sz w:val="20"/>
          <w:szCs w:val="20"/>
        </w:rPr>
        <w:t xml:space="preserve">Rito de los Santos </w:t>
      </w:r>
      <w:r>
        <w:rPr>
          <w:rFonts w:asciiTheme="majorHAnsi" w:hAnsiTheme="majorHAnsi"/>
          <w:sz w:val="20"/>
          <w:szCs w:val="20"/>
        </w:rPr>
        <w:t xml:space="preserve">was granted the temporary </w:t>
      </w:r>
      <w:r w:rsidR="004E56A9">
        <w:rPr>
          <w:rFonts w:asciiTheme="majorHAnsi" w:hAnsiTheme="majorHAnsi"/>
          <w:sz w:val="20"/>
          <w:szCs w:val="20"/>
        </w:rPr>
        <w:t>residency</w:t>
      </w:r>
      <w:r>
        <w:rPr>
          <w:rFonts w:asciiTheme="majorHAnsi" w:hAnsiTheme="majorHAnsi"/>
          <w:sz w:val="20"/>
          <w:szCs w:val="20"/>
        </w:rPr>
        <w:t xml:space="preserve"> in</w:t>
      </w:r>
      <w:r w:rsidR="00A13D5E" w:rsidRPr="00A51861">
        <w:rPr>
          <w:rFonts w:asciiTheme="majorHAnsi" w:hAnsiTheme="majorHAnsi"/>
          <w:sz w:val="20"/>
          <w:szCs w:val="20"/>
        </w:rPr>
        <w:t xml:space="preserve"> Argentina</w:t>
      </w:r>
      <w:r w:rsidR="00A13D5E" w:rsidRPr="00A51861">
        <w:rPr>
          <w:rStyle w:val="FootnoteReference"/>
          <w:rFonts w:asciiTheme="majorHAnsi" w:hAnsiTheme="majorHAnsi"/>
          <w:sz w:val="20"/>
          <w:szCs w:val="20"/>
        </w:rPr>
        <w:footnoteReference w:id="17"/>
      </w:r>
      <w:r w:rsidR="001D1D61">
        <w:rPr>
          <w:rFonts w:asciiTheme="majorHAnsi" w:hAnsiTheme="majorHAnsi"/>
          <w:sz w:val="20"/>
          <w:szCs w:val="20"/>
        </w:rPr>
        <w:t>. Th</w:t>
      </w:r>
      <w:r>
        <w:rPr>
          <w:rFonts w:asciiTheme="majorHAnsi" w:hAnsiTheme="majorHAnsi"/>
          <w:sz w:val="20"/>
          <w:szCs w:val="20"/>
        </w:rPr>
        <w:t>e judgment from</w:t>
      </w:r>
      <w:r w:rsidR="00A13D5E" w:rsidRPr="00A51861">
        <w:rPr>
          <w:rFonts w:asciiTheme="majorHAnsi" w:hAnsiTheme="majorHAnsi"/>
          <w:sz w:val="20"/>
          <w:szCs w:val="20"/>
        </w:rPr>
        <w:t xml:space="preserve"> </w:t>
      </w:r>
      <w:r>
        <w:rPr>
          <w:rFonts w:asciiTheme="majorHAnsi" w:hAnsiTheme="majorHAnsi"/>
          <w:sz w:val="20"/>
          <w:szCs w:val="20"/>
        </w:rPr>
        <w:t>the</w:t>
      </w:r>
      <w:r w:rsidR="00A13D5E" w:rsidRPr="00A51861">
        <w:rPr>
          <w:rFonts w:asciiTheme="majorHAnsi" w:hAnsiTheme="majorHAnsi"/>
          <w:sz w:val="20"/>
          <w:szCs w:val="20"/>
        </w:rPr>
        <w:t xml:space="preserve"> </w:t>
      </w:r>
      <w:r>
        <w:rPr>
          <w:rFonts w:asciiTheme="majorHAnsi" w:hAnsiTheme="majorHAnsi"/>
          <w:sz w:val="20"/>
          <w:szCs w:val="20"/>
        </w:rPr>
        <w:t>Psycho-physical Selection Service</w:t>
      </w:r>
      <w:r w:rsidR="00E92985">
        <w:rPr>
          <w:rFonts w:asciiTheme="majorHAnsi" w:hAnsiTheme="majorHAnsi"/>
          <w:sz w:val="20"/>
          <w:szCs w:val="20"/>
        </w:rPr>
        <w:t xml:space="preserve"> of the </w:t>
      </w:r>
      <w:r w:rsidR="00B90CEF">
        <w:rPr>
          <w:rFonts w:asciiTheme="majorHAnsi" w:hAnsiTheme="majorHAnsi"/>
          <w:sz w:val="20"/>
          <w:szCs w:val="20"/>
        </w:rPr>
        <w:t xml:space="preserve">National Directorate of Migrations </w:t>
      </w:r>
      <w:r w:rsidR="00E553DB" w:rsidRPr="00A51861">
        <w:rPr>
          <w:rFonts w:asciiTheme="majorHAnsi" w:hAnsiTheme="majorHAnsi"/>
          <w:sz w:val="20"/>
          <w:szCs w:val="20"/>
        </w:rPr>
        <w:t>(</w:t>
      </w:r>
      <w:r w:rsidR="00F92BA8">
        <w:rPr>
          <w:rFonts w:asciiTheme="majorHAnsi" w:hAnsiTheme="majorHAnsi"/>
          <w:sz w:val="20"/>
          <w:szCs w:val="20"/>
        </w:rPr>
        <w:t>hereinafter</w:t>
      </w:r>
      <w:r w:rsidR="00E553DB" w:rsidRPr="00A51861">
        <w:rPr>
          <w:rFonts w:asciiTheme="majorHAnsi" w:hAnsiTheme="majorHAnsi"/>
          <w:sz w:val="20"/>
          <w:szCs w:val="20"/>
        </w:rPr>
        <w:t xml:space="preserve"> “</w:t>
      </w:r>
      <w:r w:rsidR="00185E46">
        <w:rPr>
          <w:rFonts w:asciiTheme="majorHAnsi" w:hAnsiTheme="majorHAnsi"/>
          <w:sz w:val="20"/>
          <w:szCs w:val="20"/>
        </w:rPr>
        <w:t>NDM</w:t>
      </w:r>
      <w:r w:rsidR="00E553DB" w:rsidRPr="00A51861">
        <w:rPr>
          <w:rFonts w:asciiTheme="majorHAnsi" w:hAnsiTheme="majorHAnsi"/>
          <w:sz w:val="20"/>
          <w:szCs w:val="20"/>
        </w:rPr>
        <w:t>”)</w:t>
      </w:r>
      <w:r w:rsidR="00E92985">
        <w:rPr>
          <w:rFonts w:asciiTheme="majorHAnsi" w:hAnsiTheme="majorHAnsi"/>
          <w:sz w:val="20"/>
          <w:szCs w:val="20"/>
        </w:rPr>
        <w:t xml:space="preserve"> of </w:t>
      </w:r>
      <w:r>
        <w:rPr>
          <w:rFonts w:asciiTheme="majorHAnsi" w:hAnsiTheme="majorHAnsi"/>
          <w:sz w:val="20"/>
          <w:szCs w:val="20"/>
        </w:rPr>
        <w:t>March 5,</w:t>
      </w:r>
      <w:r w:rsidR="00E92985">
        <w:rPr>
          <w:rFonts w:asciiTheme="majorHAnsi" w:hAnsiTheme="majorHAnsi"/>
          <w:sz w:val="20"/>
          <w:szCs w:val="20"/>
        </w:rPr>
        <w:t xml:space="preserve"> </w:t>
      </w:r>
      <w:r w:rsidR="00A13D5E" w:rsidRPr="00A51861">
        <w:rPr>
          <w:rFonts w:asciiTheme="majorHAnsi" w:hAnsiTheme="majorHAnsi"/>
          <w:sz w:val="20"/>
          <w:szCs w:val="20"/>
        </w:rPr>
        <w:t xml:space="preserve">1974, </w:t>
      </w:r>
      <w:r>
        <w:rPr>
          <w:rFonts w:asciiTheme="majorHAnsi" w:hAnsiTheme="majorHAnsi"/>
          <w:sz w:val="20"/>
          <w:szCs w:val="20"/>
        </w:rPr>
        <w:t>declared</w:t>
      </w:r>
      <w:r w:rsidR="00A13D5E" w:rsidRPr="00A51861">
        <w:rPr>
          <w:rFonts w:asciiTheme="majorHAnsi" w:hAnsiTheme="majorHAnsi"/>
          <w:sz w:val="20"/>
          <w:szCs w:val="20"/>
        </w:rPr>
        <w:t xml:space="preserve"> </w:t>
      </w:r>
      <w:r w:rsidR="00A51861" w:rsidRPr="00A51861">
        <w:rPr>
          <w:rFonts w:asciiTheme="majorHAnsi" w:hAnsiTheme="majorHAnsi"/>
          <w:sz w:val="20"/>
          <w:szCs w:val="20"/>
        </w:rPr>
        <w:t>the alleged victim</w:t>
      </w:r>
      <w:r>
        <w:rPr>
          <w:rFonts w:asciiTheme="majorHAnsi" w:hAnsiTheme="majorHAnsi"/>
          <w:sz w:val="20"/>
          <w:szCs w:val="20"/>
        </w:rPr>
        <w:t xml:space="preserve"> as suitable</w:t>
      </w:r>
      <w:r w:rsidR="00A13D5E" w:rsidRPr="00A51861">
        <w:rPr>
          <w:rStyle w:val="FootnoteReference"/>
          <w:rFonts w:asciiTheme="majorHAnsi" w:hAnsiTheme="majorHAnsi"/>
          <w:sz w:val="20"/>
          <w:szCs w:val="20"/>
        </w:rPr>
        <w:footnoteReference w:id="18"/>
      </w:r>
      <w:r w:rsidR="00A13D5E" w:rsidRPr="00A51861">
        <w:rPr>
          <w:rFonts w:asciiTheme="majorHAnsi" w:hAnsiTheme="majorHAnsi"/>
          <w:sz w:val="20"/>
          <w:szCs w:val="20"/>
        </w:rPr>
        <w:t>,</w:t>
      </w:r>
      <w:r w:rsidR="00E92985">
        <w:rPr>
          <w:rFonts w:asciiTheme="majorHAnsi" w:hAnsiTheme="majorHAnsi"/>
          <w:sz w:val="20"/>
          <w:szCs w:val="20"/>
        </w:rPr>
        <w:t xml:space="preserve"> and </w:t>
      </w:r>
      <w:r>
        <w:rPr>
          <w:rFonts w:asciiTheme="majorHAnsi" w:hAnsiTheme="majorHAnsi"/>
          <w:sz w:val="20"/>
          <w:szCs w:val="20"/>
        </w:rPr>
        <w:t>in a report of th</w:t>
      </w:r>
      <w:r w:rsidR="00E92985">
        <w:rPr>
          <w:rFonts w:asciiTheme="majorHAnsi" w:hAnsiTheme="majorHAnsi"/>
          <w:sz w:val="20"/>
          <w:szCs w:val="20"/>
        </w:rPr>
        <w:t xml:space="preserve">e </w:t>
      </w:r>
      <w:r>
        <w:rPr>
          <w:rFonts w:asciiTheme="majorHAnsi" w:hAnsiTheme="majorHAnsi"/>
          <w:sz w:val="20"/>
          <w:szCs w:val="20"/>
        </w:rPr>
        <w:t>Bureau</w:t>
      </w:r>
      <w:r w:rsidR="00E92985">
        <w:rPr>
          <w:rFonts w:asciiTheme="majorHAnsi" w:hAnsiTheme="majorHAnsi"/>
          <w:sz w:val="20"/>
          <w:szCs w:val="20"/>
        </w:rPr>
        <w:t xml:space="preserve"> of </w:t>
      </w:r>
      <w:r w:rsidR="00A13D5E" w:rsidRPr="00A51861">
        <w:rPr>
          <w:rFonts w:asciiTheme="majorHAnsi" w:hAnsiTheme="majorHAnsi"/>
          <w:sz w:val="20"/>
          <w:szCs w:val="20"/>
        </w:rPr>
        <w:t>Entr</w:t>
      </w:r>
      <w:r>
        <w:rPr>
          <w:rFonts w:asciiTheme="majorHAnsi" w:hAnsiTheme="majorHAnsi"/>
          <w:sz w:val="20"/>
          <w:szCs w:val="20"/>
        </w:rPr>
        <w:t>ies</w:t>
      </w:r>
      <w:r w:rsidR="00E92985">
        <w:rPr>
          <w:rFonts w:asciiTheme="majorHAnsi" w:hAnsiTheme="majorHAnsi"/>
          <w:sz w:val="20"/>
          <w:szCs w:val="20"/>
        </w:rPr>
        <w:t xml:space="preserve"> of the</w:t>
      </w:r>
      <w:r w:rsidR="00185E46">
        <w:rPr>
          <w:rFonts w:asciiTheme="majorHAnsi" w:hAnsiTheme="majorHAnsi"/>
          <w:sz w:val="20"/>
          <w:szCs w:val="20"/>
        </w:rPr>
        <w:t xml:space="preserve"> NDM </w:t>
      </w:r>
      <w:r>
        <w:rPr>
          <w:rFonts w:asciiTheme="majorHAnsi" w:hAnsiTheme="majorHAnsi"/>
          <w:sz w:val="20"/>
          <w:szCs w:val="20"/>
        </w:rPr>
        <w:t>it is noted that there w</w:t>
      </w:r>
      <w:r w:rsidR="00A9213F">
        <w:rPr>
          <w:rFonts w:asciiTheme="majorHAnsi" w:hAnsiTheme="majorHAnsi"/>
          <w:sz w:val="20"/>
          <w:szCs w:val="20"/>
        </w:rPr>
        <w:t xml:space="preserve">as </w:t>
      </w:r>
      <w:r>
        <w:rPr>
          <w:rFonts w:asciiTheme="majorHAnsi" w:hAnsiTheme="majorHAnsi"/>
          <w:sz w:val="20"/>
          <w:szCs w:val="20"/>
        </w:rPr>
        <w:t>no information about</w:t>
      </w:r>
      <w:r w:rsidR="00A13D5E" w:rsidRPr="00A51861">
        <w:rPr>
          <w:rFonts w:asciiTheme="majorHAnsi" w:hAnsiTheme="majorHAnsi"/>
          <w:sz w:val="20"/>
          <w:szCs w:val="20"/>
        </w:rPr>
        <w:t xml:space="preserve"> </w:t>
      </w:r>
      <w:r>
        <w:rPr>
          <w:rFonts w:asciiTheme="majorHAnsi" w:hAnsiTheme="majorHAnsi"/>
          <w:sz w:val="20"/>
          <w:szCs w:val="20"/>
        </w:rPr>
        <w:t xml:space="preserve">Mr. Rito de los </w:t>
      </w:r>
      <w:r w:rsidR="00A13D5E" w:rsidRPr="00A51861">
        <w:rPr>
          <w:rFonts w:asciiTheme="majorHAnsi" w:hAnsiTheme="majorHAnsi"/>
          <w:sz w:val="20"/>
          <w:szCs w:val="20"/>
        </w:rPr>
        <w:t>Santos</w:t>
      </w:r>
      <w:r w:rsidR="00A13D5E" w:rsidRPr="00A51861">
        <w:rPr>
          <w:rStyle w:val="FootnoteReference"/>
          <w:rFonts w:asciiTheme="majorHAnsi" w:hAnsiTheme="majorHAnsi"/>
          <w:sz w:val="20"/>
          <w:szCs w:val="20"/>
        </w:rPr>
        <w:footnoteReference w:id="19"/>
      </w:r>
      <w:r w:rsidR="00A13D5E" w:rsidRPr="00A51861">
        <w:rPr>
          <w:rFonts w:asciiTheme="majorHAnsi" w:hAnsiTheme="majorHAnsi"/>
          <w:sz w:val="20"/>
          <w:szCs w:val="20"/>
        </w:rPr>
        <w:t xml:space="preserve">. </w:t>
      </w:r>
      <w:r>
        <w:rPr>
          <w:rFonts w:asciiTheme="majorHAnsi" w:hAnsiTheme="majorHAnsi"/>
          <w:sz w:val="20"/>
          <w:szCs w:val="20"/>
        </w:rPr>
        <w:t>Afterward</w:t>
      </w:r>
      <w:r w:rsidR="00A13D5E" w:rsidRPr="00A51861">
        <w:rPr>
          <w:rFonts w:asciiTheme="majorHAnsi" w:hAnsiTheme="majorHAnsi"/>
          <w:sz w:val="20"/>
          <w:szCs w:val="20"/>
        </w:rPr>
        <w:t xml:space="preserve">, </w:t>
      </w:r>
      <w:r>
        <w:rPr>
          <w:rFonts w:asciiTheme="majorHAnsi" w:hAnsiTheme="majorHAnsi"/>
          <w:sz w:val="20"/>
          <w:szCs w:val="20"/>
        </w:rPr>
        <w:t>the casefile</w:t>
      </w:r>
      <w:r w:rsidR="00E92985">
        <w:rPr>
          <w:rFonts w:asciiTheme="majorHAnsi" w:hAnsiTheme="majorHAnsi"/>
          <w:sz w:val="20"/>
          <w:szCs w:val="20"/>
        </w:rPr>
        <w:t xml:space="preserve"> of </w:t>
      </w:r>
      <w:r w:rsidR="00A51861" w:rsidRPr="00A51861">
        <w:rPr>
          <w:rFonts w:asciiTheme="majorHAnsi" w:hAnsiTheme="majorHAnsi"/>
          <w:sz w:val="20"/>
          <w:szCs w:val="20"/>
        </w:rPr>
        <w:t>the alleged victim</w:t>
      </w:r>
      <w:r w:rsidR="00A9213F">
        <w:rPr>
          <w:rFonts w:asciiTheme="majorHAnsi" w:hAnsiTheme="majorHAnsi"/>
          <w:sz w:val="20"/>
          <w:szCs w:val="20"/>
        </w:rPr>
        <w:t xml:space="preserve"> was forwarded to the</w:t>
      </w:r>
      <w:r w:rsidR="00A13D5E" w:rsidRPr="00A51861">
        <w:rPr>
          <w:rFonts w:asciiTheme="majorHAnsi" w:hAnsiTheme="majorHAnsi"/>
          <w:sz w:val="20"/>
          <w:szCs w:val="20"/>
        </w:rPr>
        <w:t xml:space="preserve"> archiv</w:t>
      </w:r>
      <w:r w:rsidR="00A9213F">
        <w:rPr>
          <w:rFonts w:asciiTheme="majorHAnsi" w:hAnsiTheme="majorHAnsi"/>
          <w:sz w:val="20"/>
          <w:szCs w:val="20"/>
        </w:rPr>
        <w:t>e</w:t>
      </w:r>
      <w:r w:rsidR="00E92985">
        <w:rPr>
          <w:rFonts w:asciiTheme="majorHAnsi" w:hAnsiTheme="majorHAnsi"/>
          <w:sz w:val="20"/>
          <w:szCs w:val="20"/>
        </w:rPr>
        <w:t xml:space="preserve"> of the </w:t>
      </w:r>
      <w:r w:rsidR="008E2F10">
        <w:rPr>
          <w:rFonts w:asciiTheme="majorHAnsi" w:hAnsiTheme="majorHAnsi"/>
          <w:sz w:val="20"/>
          <w:szCs w:val="20"/>
        </w:rPr>
        <w:t>NDM</w:t>
      </w:r>
      <w:r w:rsidR="00A13D5E" w:rsidRPr="00A51861">
        <w:rPr>
          <w:rFonts w:asciiTheme="majorHAnsi" w:hAnsiTheme="majorHAnsi"/>
          <w:sz w:val="20"/>
          <w:szCs w:val="20"/>
        </w:rPr>
        <w:t xml:space="preserve">, </w:t>
      </w:r>
      <w:r w:rsidR="00A9213F">
        <w:rPr>
          <w:rFonts w:asciiTheme="majorHAnsi" w:hAnsiTheme="majorHAnsi"/>
          <w:sz w:val="20"/>
          <w:szCs w:val="20"/>
        </w:rPr>
        <w:t>since the proceedings had been exhausted and he had</w:t>
      </w:r>
      <w:r w:rsidR="00A13D5E" w:rsidRPr="00A51861">
        <w:rPr>
          <w:rFonts w:asciiTheme="majorHAnsi" w:hAnsiTheme="majorHAnsi"/>
          <w:sz w:val="20"/>
          <w:szCs w:val="20"/>
        </w:rPr>
        <w:t xml:space="preserve"> </w:t>
      </w:r>
      <w:r w:rsidR="00A9213F">
        <w:rPr>
          <w:rFonts w:asciiTheme="majorHAnsi" w:hAnsiTheme="majorHAnsi"/>
          <w:sz w:val="20"/>
          <w:szCs w:val="20"/>
        </w:rPr>
        <w:t>been granted the</w:t>
      </w:r>
      <w:r w:rsidR="00A13D5E" w:rsidRPr="00A51861">
        <w:rPr>
          <w:rFonts w:asciiTheme="majorHAnsi" w:hAnsiTheme="majorHAnsi"/>
          <w:sz w:val="20"/>
          <w:szCs w:val="20"/>
        </w:rPr>
        <w:t xml:space="preserve"> respectiv</w:t>
      </w:r>
      <w:r w:rsidR="00A9213F">
        <w:rPr>
          <w:rFonts w:asciiTheme="majorHAnsi" w:hAnsiTheme="majorHAnsi"/>
          <w:sz w:val="20"/>
          <w:szCs w:val="20"/>
        </w:rPr>
        <w:t xml:space="preserve">e </w:t>
      </w:r>
      <w:r w:rsidR="004E56A9">
        <w:rPr>
          <w:rFonts w:asciiTheme="majorHAnsi" w:hAnsiTheme="majorHAnsi"/>
          <w:sz w:val="20"/>
          <w:szCs w:val="20"/>
        </w:rPr>
        <w:t>residency</w:t>
      </w:r>
      <w:r w:rsidR="00A13D5E" w:rsidRPr="00A51861">
        <w:rPr>
          <w:rStyle w:val="FootnoteReference"/>
          <w:rFonts w:asciiTheme="majorHAnsi" w:hAnsiTheme="majorHAnsi"/>
          <w:sz w:val="20"/>
          <w:szCs w:val="20"/>
        </w:rPr>
        <w:footnoteReference w:id="20"/>
      </w:r>
      <w:r w:rsidR="00BD6923">
        <w:rPr>
          <w:rFonts w:asciiTheme="majorHAnsi" w:hAnsiTheme="majorHAnsi"/>
          <w:sz w:val="20"/>
          <w:szCs w:val="20"/>
        </w:rPr>
        <w:t xml:space="preserve">. According to </w:t>
      </w:r>
      <w:r w:rsidR="00A9213F">
        <w:rPr>
          <w:rFonts w:asciiTheme="majorHAnsi" w:hAnsiTheme="majorHAnsi"/>
          <w:sz w:val="20"/>
          <w:szCs w:val="20"/>
        </w:rPr>
        <w:t>the stated in the brief before the</w:t>
      </w:r>
      <w:r w:rsidR="00A13D5E" w:rsidRPr="00A51861">
        <w:rPr>
          <w:rFonts w:asciiTheme="majorHAnsi" w:hAnsiTheme="majorHAnsi"/>
          <w:sz w:val="20"/>
          <w:szCs w:val="20"/>
        </w:rPr>
        <w:t xml:space="preserve"> </w:t>
      </w:r>
      <w:r w:rsidR="00A9213F">
        <w:rPr>
          <w:rFonts w:asciiTheme="majorHAnsi" w:hAnsiTheme="majorHAnsi"/>
          <w:sz w:val="20"/>
          <w:szCs w:val="20"/>
        </w:rPr>
        <w:t>Supreme Court of Justice</w:t>
      </w:r>
      <w:r w:rsidR="00A13D5E" w:rsidRPr="00A51861">
        <w:rPr>
          <w:rFonts w:asciiTheme="majorHAnsi" w:hAnsiTheme="majorHAnsi"/>
          <w:sz w:val="20"/>
          <w:szCs w:val="20"/>
        </w:rPr>
        <w:t>,</w:t>
      </w:r>
      <w:r w:rsidR="00E92985">
        <w:rPr>
          <w:rFonts w:asciiTheme="majorHAnsi" w:hAnsiTheme="majorHAnsi"/>
          <w:sz w:val="20"/>
          <w:szCs w:val="20"/>
        </w:rPr>
        <w:t xml:space="preserve"> </w:t>
      </w:r>
      <w:r w:rsidR="00A9213F">
        <w:rPr>
          <w:rFonts w:asciiTheme="majorHAnsi" w:hAnsiTheme="majorHAnsi"/>
          <w:sz w:val="20"/>
          <w:szCs w:val="20"/>
        </w:rPr>
        <w:t>suddenly</w:t>
      </w:r>
      <w:r w:rsidR="00A13D5E" w:rsidRPr="00A51861">
        <w:rPr>
          <w:rFonts w:asciiTheme="majorHAnsi" w:hAnsiTheme="majorHAnsi"/>
          <w:sz w:val="20"/>
          <w:szCs w:val="20"/>
        </w:rPr>
        <w:t xml:space="preserve">, </w:t>
      </w:r>
      <w:r w:rsidR="00A9213F">
        <w:rPr>
          <w:rFonts w:asciiTheme="majorHAnsi" w:hAnsiTheme="majorHAnsi"/>
          <w:sz w:val="20"/>
          <w:szCs w:val="20"/>
        </w:rPr>
        <w:t>on November 6,</w:t>
      </w:r>
      <w:r w:rsidR="00E92985">
        <w:rPr>
          <w:rFonts w:asciiTheme="majorHAnsi" w:hAnsiTheme="majorHAnsi"/>
          <w:sz w:val="20"/>
          <w:szCs w:val="20"/>
        </w:rPr>
        <w:t xml:space="preserve"> </w:t>
      </w:r>
      <w:r w:rsidR="00A13D5E" w:rsidRPr="00A51861">
        <w:rPr>
          <w:rFonts w:asciiTheme="majorHAnsi" w:hAnsiTheme="majorHAnsi"/>
          <w:sz w:val="20"/>
          <w:szCs w:val="20"/>
        </w:rPr>
        <w:t xml:space="preserve">1974, </w:t>
      </w:r>
      <w:r w:rsidR="00A9213F">
        <w:rPr>
          <w:rFonts w:asciiTheme="majorHAnsi" w:hAnsiTheme="majorHAnsi"/>
          <w:sz w:val="20"/>
          <w:szCs w:val="20"/>
        </w:rPr>
        <w:t>the</w:t>
      </w:r>
      <w:r w:rsidR="00A13D5E" w:rsidRPr="00A51861">
        <w:rPr>
          <w:rFonts w:asciiTheme="majorHAnsi" w:hAnsiTheme="majorHAnsi"/>
          <w:sz w:val="20"/>
          <w:szCs w:val="20"/>
        </w:rPr>
        <w:t xml:space="preserve"> </w:t>
      </w:r>
      <w:r w:rsidR="00200AC7">
        <w:rPr>
          <w:rFonts w:asciiTheme="majorHAnsi" w:hAnsiTheme="majorHAnsi"/>
          <w:sz w:val="20"/>
          <w:szCs w:val="20"/>
        </w:rPr>
        <w:t xml:space="preserve">National Executive Power </w:t>
      </w:r>
      <w:r w:rsidR="00A9213F">
        <w:rPr>
          <w:rFonts w:asciiTheme="majorHAnsi" w:hAnsiTheme="majorHAnsi"/>
          <w:sz w:val="20"/>
          <w:szCs w:val="20"/>
        </w:rPr>
        <w:t xml:space="preserve">filed a request </w:t>
      </w:r>
      <w:r w:rsidR="00E92985">
        <w:rPr>
          <w:rFonts w:asciiTheme="majorHAnsi" w:hAnsiTheme="majorHAnsi"/>
          <w:sz w:val="20"/>
          <w:szCs w:val="20"/>
        </w:rPr>
        <w:t xml:space="preserve">of </w:t>
      </w:r>
      <w:r w:rsidR="00A9213F">
        <w:rPr>
          <w:rFonts w:asciiTheme="majorHAnsi" w:hAnsiTheme="majorHAnsi"/>
          <w:sz w:val="20"/>
          <w:szCs w:val="20"/>
        </w:rPr>
        <w:t xml:space="preserve">inquiry before the </w:t>
      </w:r>
      <w:r w:rsidR="008E2F10">
        <w:rPr>
          <w:rFonts w:asciiTheme="majorHAnsi" w:hAnsiTheme="majorHAnsi"/>
          <w:sz w:val="20"/>
          <w:szCs w:val="20"/>
        </w:rPr>
        <w:t>NDM</w:t>
      </w:r>
      <w:r w:rsidR="00A13D5E" w:rsidRPr="00A51861">
        <w:rPr>
          <w:rFonts w:asciiTheme="majorHAnsi" w:hAnsiTheme="majorHAnsi"/>
          <w:sz w:val="20"/>
          <w:szCs w:val="20"/>
        </w:rPr>
        <w:t xml:space="preserve">, </w:t>
      </w:r>
      <w:r w:rsidR="00A9213F">
        <w:rPr>
          <w:rFonts w:asciiTheme="majorHAnsi" w:hAnsiTheme="majorHAnsi"/>
          <w:sz w:val="20"/>
          <w:szCs w:val="20"/>
        </w:rPr>
        <w:t>in order to determine whether</w:t>
      </w:r>
      <w:r w:rsidR="00A13D5E" w:rsidRPr="00A51861">
        <w:rPr>
          <w:rFonts w:asciiTheme="majorHAnsi" w:hAnsiTheme="majorHAnsi"/>
          <w:sz w:val="20"/>
          <w:szCs w:val="20"/>
        </w:rPr>
        <w:t xml:space="preserve"> </w:t>
      </w:r>
      <w:r w:rsidR="00A51861" w:rsidRPr="00A51861">
        <w:rPr>
          <w:rFonts w:asciiTheme="majorHAnsi" w:hAnsiTheme="majorHAnsi"/>
          <w:sz w:val="20"/>
          <w:szCs w:val="20"/>
        </w:rPr>
        <w:t xml:space="preserve">Mr. </w:t>
      </w:r>
      <w:r w:rsidR="00B01A54">
        <w:rPr>
          <w:rFonts w:asciiTheme="majorHAnsi" w:hAnsiTheme="majorHAnsi"/>
          <w:sz w:val="20"/>
          <w:szCs w:val="20"/>
        </w:rPr>
        <w:t xml:space="preserve">Rito de los Santos </w:t>
      </w:r>
      <w:r w:rsidR="00A9213F">
        <w:rPr>
          <w:rFonts w:asciiTheme="majorHAnsi" w:hAnsiTheme="majorHAnsi"/>
          <w:sz w:val="20"/>
          <w:szCs w:val="20"/>
        </w:rPr>
        <w:t>met the</w:t>
      </w:r>
      <w:r w:rsidR="00A13D5E" w:rsidRPr="00A51861">
        <w:rPr>
          <w:rFonts w:asciiTheme="majorHAnsi" w:hAnsiTheme="majorHAnsi"/>
          <w:sz w:val="20"/>
          <w:szCs w:val="20"/>
        </w:rPr>
        <w:t xml:space="preserve"> </w:t>
      </w:r>
      <w:r w:rsidR="00EC7A58">
        <w:rPr>
          <w:rFonts w:asciiTheme="majorHAnsi" w:hAnsiTheme="majorHAnsi"/>
          <w:sz w:val="20"/>
          <w:szCs w:val="20"/>
        </w:rPr>
        <w:t>requirement</w:t>
      </w:r>
      <w:r w:rsidR="00A13D5E" w:rsidRPr="00A51861">
        <w:rPr>
          <w:rFonts w:asciiTheme="majorHAnsi" w:hAnsiTheme="majorHAnsi"/>
          <w:sz w:val="20"/>
          <w:szCs w:val="20"/>
        </w:rPr>
        <w:t xml:space="preserve">s </w:t>
      </w:r>
      <w:r w:rsidR="00A9213F">
        <w:rPr>
          <w:rFonts w:asciiTheme="majorHAnsi" w:hAnsiTheme="majorHAnsi"/>
          <w:sz w:val="20"/>
          <w:szCs w:val="20"/>
        </w:rPr>
        <w:t>to grant him the</w:t>
      </w:r>
      <w:r w:rsidR="00A13D5E" w:rsidRPr="00A51861">
        <w:rPr>
          <w:rFonts w:asciiTheme="majorHAnsi" w:hAnsiTheme="majorHAnsi"/>
          <w:sz w:val="20"/>
          <w:szCs w:val="20"/>
        </w:rPr>
        <w:t xml:space="preserve"> </w:t>
      </w:r>
      <w:r w:rsidR="004E56A9">
        <w:rPr>
          <w:rFonts w:asciiTheme="majorHAnsi" w:hAnsiTheme="majorHAnsi"/>
          <w:sz w:val="20"/>
          <w:szCs w:val="20"/>
        </w:rPr>
        <w:t>residency</w:t>
      </w:r>
      <w:r w:rsidR="00A13D5E" w:rsidRPr="00A51861">
        <w:rPr>
          <w:rFonts w:asciiTheme="majorHAnsi" w:hAnsiTheme="majorHAnsi"/>
          <w:sz w:val="20"/>
          <w:szCs w:val="20"/>
        </w:rPr>
        <w:t xml:space="preserve">, </w:t>
      </w:r>
      <w:r w:rsidR="00185E46">
        <w:rPr>
          <w:rFonts w:asciiTheme="majorHAnsi" w:hAnsiTheme="majorHAnsi"/>
          <w:sz w:val="20"/>
          <w:szCs w:val="20"/>
        </w:rPr>
        <w:t xml:space="preserve">which </w:t>
      </w:r>
      <w:r w:rsidR="00A9213F">
        <w:rPr>
          <w:rFonts w:asciiTheme="majorHAnsi" w:hAnsiTheme="majorHAnsi"/>
          <w:sz w:val="20"/>
          <w:szCs w:val="20"/>
        </w:rPr>
        <w:t>he had just been awarded</w:t>
      </w:r>
      <w:r w:rsidR="00A13D5E" w:rsidRPr="00A51861">
        <w:rPr>
          <w:rStyle w:val="FootnoteReference"/>
          <w:rFonts w:asciiTheme="majorHAnsi" w:hAnsiTheme="majorHAnsi"/>
          <w:sz w:val="20"/>
          <w:szCs w:val="20"/>
        </w:rPr>
        <w:footnoteReference w:id="21"/>
      </w:r>
      <w:r w:rsidR="00A13D5E" w:rsidRPr="00A51861">
        <w:rPr>
          <w:rFonts w:asciiTheme="majorHAnsi" w:hAnsiTheme="majorHAnsi"/>
          <w:sz w:val="20"/>
          <w:szCs w:val="20"/>
        </w:rPr>
        <w:t xml:space="preserve">. </w:t>
      </w:r>
    </w:p>
    <w:p w14:paraId="40C05E22" w14:textId="77777777" w:rsidR="00A13D5E" w:rsidRPr="00A51861" w:rsidRDefault="00A13D5E" w:rsidP="008E4D36">
      <w:pPr>
        <w:jc w:val="both"/>
        <w:rPr>
          <w:rFonts w:asciiTheme="majorHAnsi" w:hAnsiTheme="majorHAnsi"/>
          <w:b/>
          <w:sz w:val="20"/>
          <w:szCs w:val="20"/>
        </w:rPr>
      </w:pPr>
    </w:p>
    <w:p w14:paraId="2EE80D07" w14:textId="6CCE7099" w:rsidR="00591189" w:rsidRPr="007D174A" w:rsidRDefault="00BD093F" w:rsidP="00DA471F">
      <w:pPr>
        <w:pStyle w:val="Heading3"/>
        <w:keepNext/>
        <w:numPr>
          <w:ilvl w:val="0"/>
          <w:numId w:val="71"/>
        </w:numPr>
        <w:spacing w:line="240" w:lineRule="auto"/>
        <w:jc w:val="left"/>
        <w:rPr>
          <w:rFonts w:asciiTheme="majorHAnsi" w:hAnsiTheme="majorHAnsi"/>
          <w:b w:val="0"/>
          <w:lang w:val="en-US"/>
        </w:rPr>
      </w:pPr>
      <w:bookmarkStart w:id="12" w:name="_Toc196383476"/>
      <w:r w:rsidRPr="007D174A">
        <w:rPr>
          <w:rFonts w:asciiTheme="majorHAnsi" w:hAnsiTheme="majorHAnsi"/>
          <w:lang w:val="en-US"/>
        </w:rPr>
        <w:t>Regarding</w:t>
      </w:r>
      <w:r w:rsidR="00964584" w:rsidRPr="007D174A">
        <w:rPr>
          <w:rFonts w:asciiTheme="majorHAnsi" w:hAnsiTheme="majorHAnsi"/>
          <w:lang w:val="en-US"/>
        </w:rPr>
        <w:t xml:space="preserve"> Hugo Daniel Ferreira</w:t>
      </w:r>
      <w:r w:rsidR="00E92985" w:rsidRPr="007D174A">
        <w:rPr>
          <w:rFonts w:asciiTheme="majorHAnsi" w:hAnsiTheme="majorHAnsi"/>
          <w:lang w:val="en-US"/>
        </w:rPr>
        <w:t xml:space="preserve"> and </w:t>
      </w:r>
      <w:r w:rsidRPr="007D174A">
        <w:rPr>
          <w:rFonts w:asciiTheme="majorHAnsi" w:hAnsiTheme="majorHAnsi"/>
          <w:lang w:val="en-US"/>
        </w:rPr>
        <w:t>his family circle</w:t>
      </w:r>
      <w:bookmarkEnd w:id="12"/>
    </w:p>
    <w:p w14:paraId="174894BF" w14:textId="77777777" w:rsidR="00A13D5E" w:rsidRPr="00A51861" w:rsidRDefault="00A13D5E" w:rsidP="008E4D36">
      <w:pPr>
        <w:jc w:val="both"/>
        <w:rPr>
          <w:rFonts w:asciiTheme="majorHAnsi" w:hAnsiTheme="majorHAnsi"/>
          <w:b/>
          <w:sz w:val="20"/>
          <w:szCs w:val="20"/>
        </w:rPr>
      </w:pPr>
    </w:p>
    <w:p w14:paraId="567F16A3" w14:textId="12FE07D8" w:rsidR="00A13D5E" w:rsidRPr="00A51861" w:rsidRDefault="00A51861"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A51861">
        <w:rPr>
          <w:rFonts w:asciiTheme="majorHAnsi" w:hAnsiTheme="majorHAnsi"/>
          <w:sz w:val="20"/>
          <w:szCs w:val="20"/>
        </w:rPr>
        <w:t xml:space="preserve">Mr. </w:t>
      </w:r>
      <w:r w:rsidR="00A13D5E" w:rsidRPr="00A51861">
        <w:rPr>
          <w:rFonts w:asciiTheme="majorHAnsi" w:hAnsiTheme="majorHAnsi"/>
          <w:sz w:val="20"/>
          <w:szCs w:val="20"/>
        </w:rPr>
        <w:t>Hugo Daniel Ferreira,</w:t>
      </w:r>
      <w:r w:rsidR="00E92985">
        <w:rPr>
          <w:rFonts w:asciiTheme="majorHAnsi" w:hAnsiTheme="majorHAnsi"/>
          <w:sz w:val="20"/>
          <w:szCs w:val="20"/>
        </w:rPr>
        <w:t xml:space="preserve"> of </w:t>
      </w:r>
      <w:r w:rsidR="00D64B7E">
        <w:rPr>
          <w:rFonts w:asciiTheme="majorHAnsi" w:hAnsiTheme="majorHAnsi"/>
          <w:sz w:val="20"/>
          <w:szCs w:val="20"/>
        </w:rPr>
        <w:t>Uruguayan nationality</w:t>
      </w:r>
      <w:r w:rsidR="00A13D5E" w:rsidRPr="00A51861">
        <w:rPr>
          <w:rFonts w:asciiTheme="majorHAnsi" w:hAnsiTheme="majorHAnsi"/>
          <w:sz w:val="20"/>
          <w:szCs w:val="20"/>
        </w:rPr>
        <w:t xml:space="preserve">, </w:t>
      </w:r>
      <w:r w:rsidR="000E67BE">
        <w:rPr>
          <w:rFonts w:asciiTheme="majorHAnsi" w:hAnsiTheme="majorHAnsi"/>
          <w:sz w:val="20"/>
          <w:szCs w:val="20"/>
        </w:rPr>
        <w:t xml:space="preserve">arrived in </w:t>
      </w:r>
      <w:r w:rsidR="00A13D5E" w:rsidRPr="00A51861">
        <w:rPr>
          <w:rFonts w:asciiTheme="majorHAnsi" w:hAnsiTheme="majorHAnsi"/>
          <w:sz w:val="20"/>
          <w:szCs w:val="20"/>
        </w:rPr>
        <w:t xml:space="preserve">Argentina </w:t>
      </w:r>
      <w:r w:rsidR="000E67BE">
        <w:rPr>
          <w:rFonts w:asciiTheme="majorHAnsi" w:hAnsiTheme="majorHAnsi"/>
          <w:sz w:val="20"/>
          <w:szCs w:val="20"/>
        </w:rPr>
        <w:t>on April 15,</w:t>
      </w:r>
      <w:r w:rsidR="00E92985">
        <w:rPr>
          <w:rFonts w:asciiTheme="majorHAnsi" w:hAnsiTheme="majorHAnsi"/>
          <w:sz w:val="20"/>
          <w:szCs w:val="20"/>
        </w:rPr>
        <w:t xml:space="preserve"> </w:t>
      </w:r>
      <w:r w:rsidR="00A13D5E" w:rsidRPr="00A51861">
        <w:rPr>
          <w:rFonts w:asciiTheme="majorHAnsi" w:hAnsiTheme="majorHAnsi"/>
          <w:sz w:val="20"/>
          <w:szCs w:val="20"/>
        </w:rPr>
        <w:t xml:space="preserve">1974, </w:t>
      </w:r>
      <w:r w:rsidR="000E67BE">
        <w:rPr>
          <w:rFonts w:asciiTheme="majorHAnsi" w:hAnsiTheme="majorHAnsi"/>
          <w:sz w:val="20"/>
          <w:szCs w:val="20"/>
        </w:rPr>
        <w:t xml:space="preserve">running away from the persecution </w:t>
      </w:r>
      <w:r w:rsidR="002B762A">
        <w:rPr>
          <w:rFonts w:asciiTheme="majorHAnsi" w:hAnsiTheme="majorHAnsi"/>
          <w:sz w:val="20"/>
          <w:szCs w:val="20"/>
        </w:rPr>
        <w:t>of Uruguay</w:t>
      </w:r>
      <w:r w:rsidR="000E67BE">
        <w:rPr>
          <w:rFonts w:asciiTheme="majorHAnsi" w:hAnsiTheme="majorHAnsi"/>
          <w:sz w:val="20"/>
          <w:szCs w:val="20"/>
        </w:rPr>
        <w:t>an joint forces</w:t>
      </w:r>
      <w:r w:rsidR="000E67BE" w:rsidRPr="00A51861">
        <w:rPr>
          <w:rFonts w:asciiTheme="majorHAnsi" w:hAnsiTheme="majorHAnsi"/>
          <w:sz w:val="20"/>
          <w:szCs w:val="20"/>
        </w:rPr>
        <w:t xml:space="preserve">, </w:t>
      </w:r>
      <w:r w:rsidR="000E67BE">
        <w:rPr>
          <w:rFonts w:asciiTheme="majorHAnsi" w:hAnsiTheme="majorHAnsi"/>
          <w:sz w:val="20"/>
          <w:szCs w:val="20"/>
        </w:rPr>
        <w:t>after the coup of</w:t>
      </w:r>
      <w:r w:rsidR="00E92985">
        <w:rPr>
          <w:rFonts w:asciiTheme="majorHAnsi" w:hAnsiTheme="majorHAnsi"/>
          <w:sz w:val="20"/>
          <w:szCs w:val="20"/>
        </w:rPr>
        <w:t xml:space="preserve"> </w:t>
      </w:r>
      <w:r w:rsidR="00A13D5E" w:rsidRPr="00A51861">
        <w:rPr>
          <w:rFonts w:asciiTheme="majorHAnsi" w:hAnsiTheme="majorHAnsi"/>
          <w:sz w:val="20"/>
          <w:szCs w:val="20"/>
        </w:rPr>
        <w:t>1973</w:t>
      </w:r>
      <w:r w:rsidR="00A13D5E" w:rsidRPr="00A51861">
        <w:rPr>
          <w:rStyle w:val="FootnoteReference"/>
          <w:rFonts w:asciiTheme="majorHAnsi" w:hAnsiTheme="majorHAnsi"/>
          <w:sz w:val="20"/>
          <w:szCs w:val="20"/>
        </w:rPr>
        <w:footnoteReference w:id="22"/>
      </w:r>
      <w:r w:rsidR="00A13D5E" w:rsidRPr="00A51861">
        <w:rPr>
          <w:rFonts w:asciiTheme="majorHAnsi" w:hAnsiTheme="majorHAnsi"/>
          <w:sz w:val="20"/>
          <w:szCs w:val="20"/>
        </w:rPr>
        <w:t xml:space="preserve">. </w:t>
      </w:r>
      <w:r w:rsidRPr="00A51861">
        <w:rPr>
          <w:rFonts w:asciiTheme="majorHAnsi" w:hAnsiTheme="majorHAnsi"/>
          <w:sz w:val="20"/>
          <w:szCs w:val="20"/>
        </w:rPr>
        <w:t xml:space="preserve">Mr. </w:t>
      </w:r>
      <w:r w:rsidR="00A13D5E" w:rsidRPr="00A51861">
        <w:rPr>
          <w:rFonts w:asciiTheme="majorHAnsi" w:hAnsiTheme="majorHAnsi"/>
          <w:sz w:val="20"/>
          <w:szCs w:val="20"/>
        </w:rPr>
        <w:t>Ferreira resid</w:t>
      </w:r>
      <w:r w:rsidR="000E67BE">
        <w:rPr>
          <w:rFonts w:asciiTheme="majorHAnsi" w:hAnsiTheme="majorHAnsi"/>
          <w:sz w:val="20"/>
          <w:szCs w:val="20"/>
        </w:rPr>
        <w:t>ed</w:t>
      </w:r>
      <w:r w:rsidR="00A13D5E" w:rsidRPr="00A51861">
        <w:rPr>
          <w:rFonts w:asciiTheme="majorHAnsi" w:hAnsiTheme="majorHAnsi"/>
          <w:sz w:val="20"/>
          <w:szCs w:val="20"/>
        </w:rPr>
        <w:t xml:space="preserve"> legal</w:t>
      </w:r>
      <w:r w:rsidR="0029564F">
        <w:rPr>
          <w:rFonts w:asciiTheme="majorHAnsi" w:hAnsiTheme="majorHAnsi"/>
          <w:sz w:val="20"/>
          <w:szCs w:val="20"/>
        </w:rPr>
        <w:t xml:space="preserve">ly </w:t>
      </w:r>
      <w:r w:rsidR="000E67BE">
        <w:rPr>
          <w:rFonts w:ascii="Cambria" w:hAnsi="Cambria"/>
          <w:color w:val="000000" w:themeColor="text1"/>
          <w:sz w:val="20"/>
          <w:szCs w:val="20"/>
        </w:rPr>
        <w:t>in the country</w:t>
      </w:r>
      <w:r w:rsidR="00A13D5E" w:rsidRPr="00A51861">
        <w:rPr>
          <w:rFonts w:asciiTheme="majorHAnsi" w:hAnsiTheme="majorHAnsi"/>
          <w:sz w:val="20"/>
          <w:szCs w:val="20"/>
        </w:rPr>
        <w:t xml:space="preserve">, </w:t>
      </w:r>
      <w:r w:rsidR="000E67BE">
        <w:rPr>
          <w:rFonts w:asciiTheme="majorHAnsi" w:hAnsiTheme="majorHAnsi"/>
          <w:sz w:val="20"/>
          <w:szCs w:val="20"/>
        </w:rPr>
        <w:t>as a foreigner</w:t>
      </w:r>
      <w:r w:rsidR="00A13D5E" w:rsidRPr="00A51861">
        <w:rPr>
          <w:rFonts w:asciiTheme="majorHAnsi" w:hAnsiTheme="majorHAnsi"/>
          <w:sz w:val="20"/>
          <w:szCs w:val="20"/>
        </w:rPr>
        <w:t xml:space="preserve">, </w:t>
      </w:r>
      <w:r w:rsidR="000E67BE">
        <w:rPr>
          <w:rFonts w:asciiTheme="majorHAnsi" w:hAnsiTheme="majorHAnsi"/>
          <w:sz w:val="20"/>
          <w:szCs w:val="20"/>
        </w:rPr>
        <w:t xml:space="preserve">along with his </w:t>
      </w:r>
      <w:r w:rsidR="00A13D5E" w:rsidRPr="00A51861">
        <w:rPr>
          <w:rFonts w:asciiTheme="majorHAnsi" w:hAnsiTheme="majorHAnsi"/>
          <w:sz w:val="20"/>
          <w:szCs w:val="20"/>
        </w:rPr>
        <w:t>famil</w:t>
      </w:r>
      <w:r w:rsidR="000E67BE">
        <w:rPr>
          <w:rFonts w:asciiTheme="majorHAnsi" w:hAnsiTheme="majorHAnsi"/>
          <w:sz w:val="20"/>
          <w:szCs w:val="20"/>
        </w:rPr>
        <w:t>y</w:t>
      </w:r>
      <w:r w:rsidR="00A13D5E" w:rsidRPr="00A51861">
        <w:rPr>
          <w:rStyle w:val="FootnoteReference"/>
          <w:rFonts w:asciiTheme="majorHAnsi" w:hAnsiTheme="majorHAnsi"/>
          <w:sz w:val="20"/>
          <w:szCs w:val="20"/>
        </w:rPr>
        <w:footnoteReference w:id="23"/>
      </w:r>
      <w:r w:rsidR="00A13D5E" w:rsidRPr="00A51861">
        <w:rPr>
          <w:rFonts w:asciiTheme="majorHAnsi" w:hAnsiTheme="majorHAnsi"/>
          <w:sz w:val="20"/>
          <w:szCs w:val="20"/>
        </w:rPr>
        <w:t xml:space="preserve">. </w:t>
      </w:r>
      <w:r w:rsidR="000E67BE">
        <w:rPr>
          <w:rFonts w:asciiTheme="majorHAnsi" w:hAnsiTheme="majorHAnsi"/>
          <w:sz w:val="20"/>
          <w:szCs w:val="20"/>
        </w:rPr>
        <w:t>In the</w:t>
      </w:r>
      <w:r w:rsidR="00A13D5E" w:rsidRPr="00A51861">
        <w:rPr>
          <w:rFonts w:asciiTheme="majorHAnsi" w:hAnsiTheme="majorHAnsi"/>
          <w:sz w:val="20"/>
          <w:szCs w:val="20"/>
        </w:rPr>
        <w:t xml:space="preserve"> Rep</w:t>
      </w:r>
      <w:r w:rsidR="000E67BE">
        <w:rPr>
          <w:rFonts w:asciiTheme="majorHAnsi" w:hAnsiTheme="majorHAnsi"/>
          <w:sz w:val="20"/>
          <w:szCs w:val="20"/>
        </w:rPr>
        <w:t>u</w:t>
      </w:r>
      <w:r w:rsidR="00A13D5E" w:rsidRPr="00A51861">
        <w:rPr>
          <w:rFonts w:asciiTheme="majorHAnsi" w:hAnsiTheme="majorHAnsi"/>
          <w:sz w:val="20"/>
          <w:szCs w:val="20"/>
        </w:rPr>
        <w:t>blic</w:t>
      </w:r>
      <w:r w:rsidR="000E67BE">
        <w:rPr>
          <w:rFonts w:asciiTheme="majorHAnsi" w:hAnsiTheme="majorHAnsi"/>
          <w:sz w:val="20"/>
          <w:szCs w:val="20"/>
        </w:rPr>
        <w:t xml:space="preserve"> of</w:t>
      </w:r>
      <w:r w:rsidR="00A13D5E" w:rsidRPr="00A51861">
        <w:rPr>
          <w:rFonts w:asciiTheme="majorHAnsi" w:hAnsiTheme="majorHAnsi"/>
          <w:sz w:val="20"/>
          <w:szCs w:val="20"/>
        </w:rPr>
        <w:t xml:space="preserve"> </w:t>
      </w:r>
      <w:r w:rsidR="000E67BE" w:rsidRPr="00A51861">
        <w:rPr>
          <w:rFonts w:asciiTheme="majorHAnsi" w:hAnsiTheme="majorHAnsi"/>
          <w:sz w:val="20"/>
          <w:szCs w:val="20"/>
        </w:rPr>
        <w:t>Argentina,</w:t>
      </w:r>
      <w:r w:rsidR="00A13D5E" w:rsidRPr="00A51861">
        <w:rPr>
          <w:rFonts w:asciiTheme="majorHAnsi" w:hAnsiTheme="majorHAnsi"/>
          <w:sz w:val="20"/>
          <w:szCs w:val="20"/>
        </w:rPr>
        <w:t xml:space="preserve"> </w:t>
      </w:r>
      <w:r w:rsidR="000E67BE">
        <w:rPr>
          <w:rFonts w:asciiTheme="majorHAnsi" w:hAnsiTheme="majorHAnsi"/>
          <w:sz w:val="20"/>
          <w:szCs w:val="20"/>
        </w:rPr>
        <w:t>he met and got married to</w:t>
      </w:r>
      <w:r w:rsidR="00A13D5E" w:rsidRPr="00A51861">
        <w:rPr>
          <w:rFonts w:asciiTheme="majorHAnsi" w:hAnsiTheme="majorHAnsi"/>
          <w:sz w:val="20"/>
          <w:szCs w:val="20"/>
        </w:rPr>
        <w:t xml:space="preserve"> </w:t>
      </w:r>
      <w:r w:rsidR="00BD6923">
        <w:rPr>
          <w:rFonts w:asciiTheme="majorHAnsi" w:hAnsiTheme="majorHAnsi"/>
          <w:sz w:val="20"/>
          <w:szCs w:val="20"/>
        </w:rPr>
        <w:t xml:space="preserve">Mrs. </w:t>
      </w:r>
      <w:r w:rsidR="00A13D5E" w:rsidRPr="00A51861">
        <w:rPr>
          <w:rFonts w:asciiTheme="majorHAnsi" w:hAnsiTheme="majorHAnsi"/>
          <w:sz w:val="20"/>
          <w:szCs w:val="20"/>
        </w:rPr>
        <w:lastRenderedPageBreak/>
        <w:t>Claudia García Corona Martínez,</w:t>
      </w:r>
      <w:r w:rsidR="00E92985">
        <w:rPr>
          <w:rFonts w:asciiTheme="majorHAnsi" w:hAnsiTheme="majorHAnsi"/>
          <w:sz w:val="20"/>
          <w:szCs w:val="20"/>
        </w:rPr>
        <w:t xml:space="preserve"> of </w:t>
      </w:r>
      <w:r w:rsidR="000E67BE">
        <w:rPr>
          <w:rFonts w:asciiTheme="majorHAnsi" w:hAnsiTheme="majorHAnsi"/>
          <w:sz w:val="20"/>
          <w:szCs w:val="20"/>
        </w:rPr>
        <w:t xml:space="preserve">Argentine </w:t>
      </w:r>
      <w:r w:rsidR="00D64B7E">
        <w:rPr>
          <w:rFonts w:asciiTheme="majorHAnsi" w:hAnsiTheme="majorHAnsi"/>
          <w:sz w:val="20"/>
          <w:szCs w:val="20"/>
        </w:rPr>
        <w:t>nationality</w:t>
      </w:r>
      <w:r w:rsidR="00A13D5E" w:rsidRPr="00A51861">
        <w:rPr>
          <w:rFonts w:asciiTheme="majorHAnsi" w:hAnsiTheme="majorHAnsi"/>
          <w:sz w:val="20"/>
          <w:szCs w:val="20"/>
        </w:rPr>
        <w:t xml:space="preserve">, </w:t>
      </w:r>
      <w:r w:rsidR="000E67BE">
        <w:rPr>
          <w:rFonts w:asciiTheme="majorHAnsi" w:hAnsiTheme="majorHAnsi"/>
          <w:sz w:val="20"/>
          <w:szCs w:val="20"/>
        </w:rPr>
        <w:t>with whom he had three children</w:t>
      </w:r>
      <w:r w:rsidR="00A13D5E" w:rsidRPr="00A51861">
        <w:rPr>
          <w:rFonts w:asciiTheme="majorHAnsi" w:hAnsiTheme="majorHAnsi"/>
          <w:sz w:val="20"/>
          <w:szCs w:val="20"/>
        </w:rPr>
        <w:t xml:space="preserve">, </w:t>
      </w:r>
      <w:r w:rsidR="000E67BE">
        <w:rPr>
          <w:rFonts w:asciiTheme="majorHAnsi" w:hAnsiTheme="majorHAnsi"/>
          <w:sz w:val="20"/>
          <w:szCs w:val="20"/>
        </w:rPr>
        <w:t>one born in</w:t>
      </w:r>
      <w:r w:rsidR="00A13D5E" w:rsidRPr="00A51861">
        <w:rPr>
          <w:rFonts w:asciiTheme="majorHAnsi" w:hAnsiTheme="majorHAnsi"/>
          <w:sz w:val="20"/>
          <w:szCs w:val="20"/>
        </w:rPr>
        <w:t xml:space="preserve"> Argentina,</w:t>
      </w:r>
      <w:r w:rsidR="00E92985">
        <w:rPr>
          <w:rFonts w:asciiTheme="majorHAnsi" w:hAnsiTheme="majorHAnsi"/>
          <w:sz w:val="20"/>
          <w:szCs w:val="20"/>
        </w:rPr>
        <w:t xml:space="preserve"> and </w:t>
      </w:r>
      <w:r w:rsidR="000E67BE">
        <w:rPr>
          <w:rFonts w:asciiTheme="majorHAnsi" w:hAnsiTheme="majorHAnsi"/>
          <w:sz w:val="20"/>
          <w:szCs w:val="20"/>
        </w:rPr>
        <w:t>the other two born in</w:t>
      </w:r>
      <w:r w:rsidR="00A13D5E" w:rsidRPr="00A51861">
        <w:rPr>
          <w:rFonts w:asciiTheme="majorHAnsi" w:hAnsiTheme="majorHAnsi"/>
          <w:sz w:val="20"/>
          <w:szCs w:val="20"/>
        </w:rPr>
        <w:t xml:space="preserve"> </w:t>
      </w:r>
      <w:r w:rsidR="00BD6923">
        <w:rPr>
          <w:rFonts w:asciiTheme="majorHAnsi" w:hAnsiTheme="majorHAnsi"/>
          <w:sz w:val="20"/>
          <w:szCs w:val="20"/>
        </w:rPr>
        <w:t>Sweden</w:t>
      </w:r>
      <w:r w:rsidR="00A13D5E" w:rsidRPr="00A51861">
        <w:rPr>
          <w:rFonts w:asciiTheme="majorHAnsi" w:hAnsiTheme="majorHAnsi"/>
          <w:sz w:val="20"/>
          <w:szCs w:val="20"/>
        </w:rPr>
        <w:t>: Daniela Edith Ferreira</w:t>
      </w:r>
      <w:r w:rsidR="00A13D5E" w:rsidRPr="00A51861">
        <w:rPr>
          <w:rStyle w:val="FootnoteReference"/>
          <w:rFonts w:asciiTheme="majorHAnsi" w:hAnsiTheme="majorHAnsi"/>
          <w:sz w:val="20"/>
          <w:szCs w:val="20"/>
        </w:rPr>
        <w:footnoteReference w:id="24"/>
      </w:r>
      <w:r w:rsidR="00A13D5E" w:rsidRPr="00A51861">
        <w:rPr>
          <w:rFonts w:asciiTheme="majorHAnsi" w:hAnsiTheme="majorHAnsi"/>
          <w:sz w:val="20"/>
          <w:szCs w:val="20"/>
        </w:rPr>
        <w:t>, Verónica Sole</w:t>
      </w:r>
      <w:r w:rsidR="00FA2E7B">
        <w:rPr>
          <w:rFonts w:asciiTheme="majorHAnsi" w:hAnsiTheme="majorHAnsi"/>
          <w:sz w:val="20"/>
          <w:szCs w:val="20"/>
        </w:rPr>
        <w:t xml:space="preserve">ty </w:t>
      </w:r>
      <w:r w:rsidR="00A13D5E" w:rsidRPr="00A51861">
        <w:rPr>
          <w:rFonts w:asciiTheme="majorHAnsi" w:hAnsiTheme="majorHAnsi"/>
          <w:sz w:val="20"/>
          <w:szCs w:val="20"/>
        </w:rPr>
        <w:t>Ferreira</w:t>
      </w:r>
      <w:r w:rsidR="00A13D5E" w:rsidRPr="00A51861">
        <w:rPr>
          <w:rStyle w:val="FootnoteReference"/>
          <w:rFonts w:asciiTheme="majorHAnsi" w:hAnsiTheme="majorHAnsi"/>
          <w:sz w:val="20"/>
          <w:szCs w:val="20"/>
        </w:rPr>
        <w:footnoteReference w:id="25"/>
      </w:r>
      <w:r w:rsidR="00E92985">
        <w:rPr>
          <w:rFonts w:asciiTheme="majorHAnsi" w:hAnsiTheme="majorHAnsi"/>
          <w:sz w:val="20"/>
          <w:szCs w:val="20"/>
        </w:rPr>
        <w:t xml:space="preserve"> and </w:t>
      </w:r>
      <w:r w:rsidR="00A13D5E" w:rsidRPr="00A51861">
        <w:rPr>
          <w:rFonts w:asciiTheme="majorHAnsi" w:hAnsiTheme="majorHAnsi"/>
          <w:sz w:val="20"/>
          <w:szCs w:val="20"/>
        </w:rPr>
        <w:t>Amilcar Nicolás Ferreira</w:t>
      </w:r>
      <w:r w:rsidR="00A13D5E" w:rsidRPr="00A51861">
        <w:rPr>
          <w:rStyle w:val="FootnoteReference"/>
          <w:rFonts w:asciiTheme="majorHAnsi" w:hAnsiTheme="majorHAnsi"/>
          <w:sz w:val="20"/>
          <w:szCs w:val="20"/>
        </w:rPr>
        <w:footnoteReference w:id="26"/>
      </w:r>
      <w:r w:rsidR="00A13D5E" w:rsidRPr="00A51861">
        <w:rPr>
          <w:rFonts w:asciiTheme="majorHAnsi" w:hAnsiTheme="majorHAnsi"/>
          <w:sz w:val="20"/>
          <w:szCs w:val="20"/>
        </w:rPr>
        <w:t xml:space="preserve">. </w:t>
      </w:r>
    </w:p>
    <w:p w14:paraId="64944E58" w14:textId="77777777" w:rsidR="00A13D5E" w:rsidRPr="00A51861" w:rsidRDefault="00A13D5E" w:rsidP="008E4D36">
      <w:pPr>
        <w:jc w:val="both"/>
        <w:rPr>
          <w:rFonts w:asciiTheme="majorHAnsi" w:hAnsiTheme="majorHAnsi"/>
          <w:sz w:val="20"/>
          <w:szCs w:val="20"/>
        </w:rPr>
      </w:pPr>
    </w:p>
    <w:p w14:paraId="288E6BB9" w14:textId="537471DB" w:rsidR="00A13D5E" w:rsidRPr="00A51861" w:rsidRDefault="000E67BE"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It is noted in</w:t>
      </w:r>
      <w:r w:rsidR="0029564F">
        <w:rPr>
          <w:rFonts w:asciiTheme="majorHAnsi" w:hAnsiTheme="majorHAnsi"/>
          <w:sz w:val="20"/>
          <w:szCs w:val="20"/>
        </w:rPr>
        <w:t xml:space="preserve"> the </w:t>
      </w:r>
      <w:r w:rsidRPr="00A51861">
        <w:rPr>
          <w:rFonts w:asciiTheme="majorHAnsi" w:hAnsiTheme="majorHAnsi"/>
          <w:sz w:val="20"/>
          <w:szCs w:val="20"/>
        </w:rPr>
        <w:t>migrator</w:t>
      </w:r>
      <w:r>
        <w:rPr>
          <w:rFonts w:asciiTheme="majorHAnsi" w:hAnsiTheme="majorHAnsi"/>
          <w:sz w:val="20"/>
          <w:szCs w:val="20"/>
        </w:rPr>
        <w:t>y</w:t>
      </w:r>
      <w:r w:rsidRPr="00A51861">
        <w:rPr>
          <w:rFonts w:asciiTheme="majorHAnsi" w:hAnsiTheme="majorHAnsi"/>
          <w:sz w:val="20"/>
          <w:szCs w:val="20"/>
        </w:rPr>
        <w:t xml:space="preserve"> </w:t>
      </w:r>
      <w:r w:rsidR="0029564F">
        <w:rPr>
          <w:rFonts w:asciiTheme="majorHAnsi" w:hAnsiTheme="majorHAnsi"/>
          <w:sz w:val="20"/>
          <w:szCs w:val="20"/>
        </w:rPr>
        <w:t>casefile</w:t>
      </w:r>
      <w:r>
        <w:rPr>
          <w:rFonts w:asciiTheme="majorHAnsi" w:hAnsiTheme="majorHAnsi"/>
          <w:sz w:val="20"/>
          <w:szCs w:val="20"/>
        </w:rPr>
        <w:t xml:space="preserve"> of</w:t>
      </w:r>
      <w:r w:rsidR="00A13D5E" w:rsidRPr="00A51861">
        <w:rPr>
          <w:rFonts w:asciiTheme="majorHAnsi" w:hAnsiTheme="majorHAnsi"/>
          <w:sz w:val="20"/>
          <w:szCs w:val="20"/>
        </w:rPr>
        <w:t xml:space="preserve"> </w:t>
      </w:r>
      <w:r w:rsidR="00BD093F">
        <w:rPr>
          <w:rFonts w:asciiTheme="majorHAnsi" w:hAnsiTheme="majorHAnsi"/>
          <w:sz w:val="20"/>
          <w:szCs w:val="20"/>
        </w:rPr>
        <w:t xml:space="preserve">Mr. </w:t>
      </w:r>
      <w:r w:rsidR="00A13D5E" w:rsidRPr="00A51861">
        <w:rPr>
          <w:rFonts w:asciiTheme="majorHAnsi" w:hAnsiTheme="majorHAnsi"/>
          <w:sz w:val="20"/>
          <w:szCs w:val="20"/>
        </w:rPr>
        <w:t>Ferreira,</w:t>
      </w:r>
      <w:r w:rsidR="00E92985">
        <w:rPr>
          <w:rFonts w:asciiTheme="majorHAnsi" w:hAnsiTheme="majorHAnsi"/>
          <w:sz w:val="20"/>
          <w:szCs w:val="20"/>
        </w:rPr>
        <w:t xml:space="preserve"> that </w:t>
      </w:r>
      <w:r>
        <w:rPr>
          <w:rFonts w:asciiTheme="majorHAnsi" w:hAnsiTheme="majorHAnsi"/>
          <w:sz w:val="20"/>
          <w:szCs w:val="20"/>
        </w:rPr>
        <w:t>on June 11,</w:t>
      </w:r>
      <w:r w:rsidR="00E92985">
        <w:rPr>
          <w:rFonts w:asciiTheme="majorHAnsi" w:hAnsiTheme="majorHAnsi"/>
          <w:sz w:val="20"/>
          <w:szCs w:val="20"/>
        </w:rPr>
        <w:t xml:space="preserve"> </w:t>
      </w:r>
      <w:r w:rsidR="00A13D5E" w:rsidRPr="00A51861">
        <w:rPr>
          <w:rFonts w:asciiTheme="majorHAnsi" w:hAnsiTheme="majorHAnsi"/>
          <w:sz w:val="20"/>
          <w:szCs w:val="20"/>
        </w:rPr>
        <w:t xml:space="preserve">1974 </w:t>
      </w:r>
      <w:r w:rsidR="004E56A9">
        <w:rPr>
          <w:rFonts w:asciiTheme="majorHAnsi" w:hAnsiTheme="majorHAnsi"/>
          <w:sz w:val="20"/>
          <w:szCs w:val="20"/>
        </w:rPr>
        <w:t>the</w:t>
      </w:r>
      <w:r w:rsidR="00A13D5E" w:rsidRPr="00A51861">
        <w:rPr>
          <w:rFonts w:asciiTheme="majorHAnsi" w:hAnsiTheme="majorHAnsi"/>
          <w:sz w:val="20"/>
          <w:szCs w:val="20"/>
        </w:rPr>
        <w:t xml:space="preserve"> </w:t>
      </w:r>
      <w:r w:rsidR="004E56A9" w:rsidRPr="00A51861">
        <w:rPr>
          <w:rFonts w:asciiTheme="majorHAnsi" w:hAnsiTheme="majorHAnsi"/>
          <w:sz w:val="20"/>
          <w:szCs w:val="20"/>
        </w:rPr>
        <w:t>Na</w:t>
      </w:r>
      <w:r w:rsidR="004E56A9">
        <w:rPr>
          <w:rFonts w:asciiTheme="majorHAnsi" w:hAnsiTheme="majorHAnsi"/>
          <w:sz w:val="20"/>
          <w:szCs w:val="20"/>
        </w:rPr>
        <w:t>t</w:t>
      </w:r>
      <w:r w:rsidR="004E56A9" w:rsidRPr="00A51861">
        <w:rPr>
          <w:rFonts w:asciiTheme="majorHAnsi" w:hAnsiTheme="majorHAnsi"/>
          <w:sz w:val="20"/>
          <w:szCs w:val="20"/>
        </w:rPr>
        <w:t>ional</w:t>
      </w:r>
      <w:r w:rsidR="004E56A9">
        <w:rPr>
          <w:rFonts w:asciiTheme="majorHAnsi" w:hAnsiTheme="majorHAnsi"/>
          <w:sz w:val="20"/>
          <w:szCs w:val="20"/>
        </w:rPr>
        <w:t xml:space="preserve"> </w:t>
      </w:r>
      <w:r w:rsidR="00A13D5E" w:rsidRPr="00A51861">
        <w:rPr>
          <w:rFonts w:asciiTheme="majorHAnsi" w:hAnsiTheme="majorHAnsi"/>
          <w:sz w:val="20"/>
          <w:szCs w:val="20"/>
        </w:rPr>
        <w:t xml:space="preserve">Director </w:t>
      </w:r>
      <w:r w:rsidR="00E92985">
        <w:rPr>
          <w:rFonts w:asciiTheme="majorHAnsi" w:hAnsiTheme="majorHAnsi"/>
          <w:sz w:val="20"/>
          <w:szCs w:val="20"/>
        </w:rPr>
        <w:t xml:space="preserve">of </w:t>
      </w:r>
      <w:r w:rsidR="004E56A9" w:rsidRPr="00A51861">
        <w:rPr>
          <w:rFonts w:asciiTheme="majorHAnsi" w:hAnsiTheme="majorHAnsi"/>
          <w:sz w:val="20"/>
          <w:szCs w:val="20"/>
        </w:rPr>
        <w:t>Migrations</w:t>
      </w:r>
      <w:r w:rsidR="00A13D5E" w:rsidRPr="00A51861">
        <w:rPr>
          <w:rFonts w:asciiTheme="majorHAnsi" w:hAnsiTheme="majorHAnsi"/>
          <w:sz w:val="20"/>
          <w:szCs w:val="20"/>
        </w:rPr>
        <w:t xml:space="preserve"> </w:t>
      </w:r>
      <w:r w:rsidR="004E56A9">
        <w:rPr>
          <w:rFonts w:asciiTheme="majorHAnsi" w:hAnsiTheme="majorHAnsi"/>
          <w:sz w:val="20"/>
          <w:szCs w:val="20"/>
        </w:rPr>
        <w:t>granted him the temporary residency</w:t>
      </w:r>
      <w:r w:rsidR="00A13D5E" w:rsidRPr="00A51861">
        <w:rPr>
          <w:rStyle w:val="FootnoteReference"/>
          <w:rFonts w:asciiTheme="majorHAnsi" w:hAnsiTheme="majorHAnsi"/>
          <w:sz w:val="20"/>
          <w:szCs w:val="20"/>
        </w:rPr>
        <w:footnoteReference w:id="27"/>
      </w:r>
      <w:r w:rsidR="00A13D5E" w:rsidRPr="00A51861">
        <w:rPr>
          <w:rFonts w:asciiTheme="majorHAnsi" w:hAnsiTheme="majorHAnsi"/>
          <w:sz w:val="20"/>
          <w:szCs w:val="20"/>
        </w:rPr>
        <w:t xml:space="preserve">. </w:t>
      </w:r>
      <w:r w:rsidR="00F92BA8">
        <w:rPr>
          <w:rFonts w:asciiTheme="majorHAnsi" w:hAnsiTheme="majorHAnsi"/>
          <w:sz w:val="20"/>
          <w:szCs w:val="20"/>
        </w:rPr>
        <w:t xml:space="preserve">Likewise, </w:t>
      </w:r>
      <w:r w:rsidR="004E56A9">
        <w:rPr>
          <w:rFonts w:asciiTheme="majorHAnsi" w:hAnsiTheme="majorHAnsi"/>
          <w:sz w:val="20"/>
          <w:szCs w:val="20"/>
        </w:rPr>
        <w:t>in the judgment from the</w:t>
      </w:r>
      <w:r w:rsidR="00A13D5E" w:rsidRPr="00A51861">
        <w:rPr>
          <w:rFonts w:asciiTheme="majorHAnsi" w:hAnsiTheme="majorHAnsi"/>
          <w:sz w:val="20"/>
          <w:szCs w:val="20"/>
        </w:rPr>
        <w:t xml:space="preserve"> </w:t>
      </w:r>
      <w:r w:rsidR="004E56A9">
        <w:rPr>
          <w:rFonts w:asciiTheme="majorHAnsi" w:hAnsiTheme="majorHAnsi"/>
          <w:sz w:val="20"/>
          <w:szCs w:val="20"/>
        </w:rPr>
        <w:t>Psycho-physical Selection Service</w:t>
      </w:r>
      <w:r w:rsidR="00E92985">
        <w:rPr>
          <w:rFonts w:asciiTheme="majorHAnsi" w:hAnsiTheme="majorHAnsi"/>
          <w:sz w:val="20"/>
          <w:szCs w:val="20"/>
        </w:rPr>
        <w:t xml:space="preserve"> of the</w:t>
      </w:r>
      <w:r w:rsidR="00185E46">
        <w:rPr>
          <w:rFonts w:asciiTheme="majorHAnsi" w:hAnsiTheme="majorHAnsi"/>
          <w:sz w:val="20"/>
          <w:szCs w:val="20"/>
        </w:rPr>
        <w:t xml:space="preserve"> NDM </w:t>
      </w:r>
      <w:r w:rsidR="004E56A9">
        <w:rPr>
          <w:rFonts w:asciiTheme="majorHAnsi" w:hAnsiTheme="majorHAnsi"/>
          <w:sz w:val="20"/>
          <w:szCs w:val="20"/>
        </w:rPr>
        <w:t>from May 14,</w:t>
      </w:r>
      <w:r w:rsidR="00E92985">
        <w:rPr>
          <w:rFonts w:asciiTheme="majorHAnsi" w:hAnsiTheme="majorHAnsi"/>
          <w:sz w:val="20"/>
          <w:szCs w:val="20"/>
        </w:rPr>
        <w:t xml:space="preserve"> </w:t>
      </w:r>
      <w:r w:rsidR="00A13D5E" w:rsidRPr="00A51861">
        <w:rPr>
          <w:rFonts w:asciiTheme="majorHAnsi" w:hAnsiTheme="majorHAnsi"/>
          <w:sz w:val="20"/>
          <w:szCs w:val="20"/>
        </w:rPr>
        <w:t xml:space="preserve">1974 </w:t>
      </w:r>
      <w:r w:rsidR="004E56A9">
        <w:rPr>
          <w:rFonts w:asciiTheme="majorHAnsi" w:hAnsiTheme="majorHAnsi"/>
          <w:sz w:val="20"/>
          <w:szCs w:val="20"/>
        </w:rPr>
        <w:t>which branded Mr.</w:t>
      </w:r>
      <w:r w:rsidR="00A13D5E" w:rsidRPr="00A51861">
        <w:rPr>
          <w:rFonts w:asciiTheme="majorHAnsi" w:hAnsiTheme="majorHAnsi"/>
          <w:sz w:val="20"/>
          <w:szCs w:val="20"/>
        </w:rPr>
        <w:t xml:space="preserve"> Ferreira</w:t>
      </w:r>
      <w:r w:rsidR="004E56A9">
        <w:rPr>
          <w:rFonts w:asciiTheme="majorHAnsi" w:hAnsiTheme="majorHAnsi"/>
          <w:sz w:val="20"/>
          <w:szCs w:val="20"/>
        </w:rPr>
        <w:t xml:space="preserve"> as suitable</w:t>
      </w:r>
      <w:r w:rsidR="00A13D5E" w:rsidRPr="00A51861">
        <w:rPr>
          <w:rStyle w:val="FootnoteReference"/>
          <w:rFonts w:asciiTheme="majorHAnsi" w:hAnsiTheme="majorHAnsi"/>
          <w:sz w:val="20"/>
          <w:szCs w:val="20"/>
        </w:rPr>
        <w:footnoteReference w:id="28"/>
      </w:r>
      <w:r w:rsidR="00A13D5E" w:rsidRPr="00A51861">
        <w:rPr>
          <w:rFonts w:asciiTheme="majorHAnsi" w:hAnsiTheme="majorHAnsi"/>
          <w:sz w:val="20"/>
          <w:szCs w:val="20"/>
        </w:rPr>
        <w:t>,</w:t>
      </w:r>
      <w:r w:rsidR="00E92985">
        <w:rPr>
          <w:rFonts w:asciiTheme="majorHAnsi" w:hAnsiTheme="majorHAnsi"/>
          <w:sz w:val="20"/>
          <w:szCs w:val="20"/>
        </w:rPr>
        <w:t xml:space="preserve"> and </w:t>
      </w:r>
      <w:r w:rsidR="004E56A9">
        <w:rPr>
          <w:rFonts w:asciiTheme="majorHAnsi" w:hAnsiTheme="majorHAnsi"/>
          <w:sz w:val="20"/>
          <w:szCs w:val="20"/>
        </w:rPr>
        <w:t>the report</w:t>
      </w:r>
      <w:r w:rsidR="00E92985">
        <w:rPr>
          <w:rFonts w:asciiTheme="majorHAnsi" w:hAnsiTheme="majorHAnsi"/>
          <w:sz w:val="20"/>
          <w:szCs w:val="20"/>
        </w:rPr>
        <w:t xml:space="preserve"> of </w:t>
      </w:r>
      <w:r w:rsidR="004E56A9">
        <w:rPr>
          <w:rFonts w:asciiTheme="majorHAnsi" w:hAnsiTheme="majorHAnsi"/>
          <w:sz w:val="20"/>
          <w:szCs w:val="20"/>
        </w:rPr>
        <w:t xml:space="preserve">the Bureau of Entries </w:t>
      </w:r>
      <w:r w:rsidR="00E92985">
        <w:rPr>
          <w:rFonts w:asciiTheme="majorHAnsi" w:hAnsiTheme="majorHAnsi"/>
          <w:sz w:val="20"/>
          <w:szCs w:val="20"/>
        </w:rPr>
        <w:t>of the</w:t>
      </w:r>
      <w:r w:rsidR="00185E46">
        <w:rPr>
          <w:rFonts w:asciiTheme="majorHAnsi" w:hAnsiTheme="majorHAnsi"/>
          <w:sz w:val="20"/>
          <w:szCs w:val="20"/>
        </w:rPr>
        <w:t xml:space="preserve"> NDM </w:t>
      </w:r>
      <w:r w:rsidR="004E56A9">
        <w:rPr>
          <w:rFonts w:asciiTheme="majorHAnsi" w:hAnsiTheme="majorHAnsi"/>
          <w:sz w:val="20"/>
          <w:szCs w:val="20"/>
        </w:rPr>
        <w:t>which states that there was no information on</w:t>
      </w:r>
      <w:r w:rsidR="00A13D5E" w:rsidRPr="00A51861">
        <w:rPr>
          <w:rFonts w:asciiTheme="majorHAnsi" w:hAnsiTheme="majorHAnsi"/>
          <w:sz w:val="20"/>
          <w:szCs w:val="20"/>
        </w:rPr>
        <w:t xml:space="preserve"> </w:t>
      </w:r>
      <w:r w:rsidR="00BD093F">
        <w:rPr>
          <w:rFonts w:asciiTheme="majorHAnsi" w:hAnsiTheme="majorHAnsi"/>
          <w:sz w:val="20"/>
          <w:szCs w:val="20"/>
        </w:rPr>
        <w:t xml:space="preserve">Mr. </w:t>
      </w:r>
      <w:r w:rsidR="00A13D5E" w:rsidRPr="00A51861">
        <w:rPr>
          <w:rFonts w:asciiTheme="majorHAnsi" w:hAnsiTheme="majorHAnsi"/>
          <w:sz w:val="20"/>
          <w:szCs w:val="20"/>
        </w:rPr>
        <w:t>Hugo Daniel</w:t>
      </w:r>
      <w:r w:rsidR="00A13D5E" w:rsidRPr="00A51861">
        <w:rPr>
          <w:rStyle w:val="FootnoteReference"/>
          <w:rFonts w:asciiTheme="majorHAnsi" w:hAnsiTheme="majorHAnsi"/>
          <w:sz w:val="20"/>
          <w:szCs w:val="20"/>
        </w:rPr>
        <w:footnoteReference w:id="29"/>
      </w:r>
      <w:r w:rsidR="00BD6923">
        <w:rPr>
          <w:rFonts w:asciiTheme="majorHAnsi" w:hAnsiTheme="majorHAnsi"/>
          <w:sz w:val="20"/>
          <w:szCs w:val="20"/>
        </w:rPr>
        <w:t xml:space="preserve">. According to </w:t>
      </w:r>
      <w:r w:rsidR="004E56A9">
        <w:rPr>
          <w:rFonts w:asciiTheme="majorHAnsi" w:hAnsiTheme="majorHAnsi"/>
          <w:sz w:val="20"/>
          <w:szCs w:val="20"/>
        </w:rPr>
        <w:t>the informed in the</w:t>
      </w:r>
      <w:r w:rsidR="00A13D5E" w:rsidRPr="00A51861">
        <w:rPr>
          <w:rFonts w:asciiTheme="majorHAnsi" w:hAnsiTheme="majorHAnsi"/>
          <w:sz w:val="20"/>
          <w:szCs w:val="20"/>
        </w:rPr>
        <w:t xml:space="preserve"> </w:t>
      </w:r>
      <w:r w:rsidR="004E56A9">
        <w:rPr>
          <w:rFonts w:asciiTheme="majorHAnsi" w:hAnsiTheme="majorHAnsi"/>
          <w:sz w:val="20"/>
          <w:szCs w:val="20"/>
        </w:rPr>
        <w:t>internal proceedings</w:t>
      </w:r>
      <w:r w:rsidR="00A13D5E" w:rsidRPr="00A51861">
        <w:rPr>
          <w:rFonts w:asciiTheme="majorHAnsi" w:hAnsiTheme="majorHAnsi"/>
          <w:sz w:val="20"/>
          <w:szCs w:val="20"/>
        </w:rPr>
        <w:t xml:space="preserve">, </w:t>
      </w:r>
      <w:r w:rsidR="004E56A9">
        <w:rPr>
          <w:rFonts w:asciiTheme="majorHAnsi" w:hAnsiTheme="majorHAnsi"/>
          <w:sz w:val="20"/>
          <w:szCs w:val="20"/>
        </w:rPr>
        <w:t>the</w:t>
      </w:r>
      <w:r w:rsidR="00A13D5E" w:rsidRPr="00A51861">
        <w:rPr>
          <w:rFonts w:asciiTheme="majorHAnsi" w:hAnsiTheme="majorHAnsi"/>
          <w:sz w:val="20"/>
          <w:szCs w:val="20"/>
        </w:rPr>
        <w:t xml:space="preserve"> </w:t>
      </w:r>
      <w:r w:rsidR="00200AC7">
        <w:rPr>
          <w:rFonts w:asciiTheme="majorHAnsi" w:hAnsiTheme="majorHAnsi"/>
          <w:sz w:val="20"/>
          <w:szCs w:val="20"/>
        </w:rPr>
        <w:t xml:space="preserve">National Executive Power </w:t>
      </w:r>
      <w:r w:rsidR="004E56A9">
        <w:rPr>
          <w:rFonts w:asciiTheme="majorHAnsi" w:hAnsiTheme="majorHAnsi"/>
          <w:sz w:val="20"/>
          <w:szCs w:val="20"/>
        </w:rPr>
        <w:t>filed a request of inquiry before the</w:t>
      </w:r>
      <w:r w:rsidR="00A13D5E" w:rsidRPr="00A51861">
        <w:rPr>
          <w:rFonts w:asciiTheme="majorHAnsi" w:hAnsiTheme="majorHAnsi"/>
          <w:sz w:val="20"/>
          <w:szCs w:val="20"/>
        </w:rPr>
        <w:t xml:space="preserve"> </w:t>
      </w:r>
      <w:r w:rsidR="008E2F10">
        <w:rPr>
          <w:rFonts w:asciiTheme="majorHAnsi" w:hAnsiTheme="majorHAnsi"/>
          <w:sz w:val="20"/>
          <w:szCs w:val="20"/>
        </w:rPr>
        <w:t>NDM</w:t>
      </w:r>
      <w:r w:rsidR="00A13D5E" w:rsidRPr="00A51861">
        <w:rPr>
          <w:rFonts w:asciiTheme="majorHAnsi" w:hAnsiTheme="majorHAnsi"/>
          <w:sz w:val="20"/>
          <w:szCs w:val="20"/>
        </w:rPr>
        <w:t xml:space="preserve">, </w:t>
      </w:r>
      <w:r w:rsidR="004E56A9">
        <w:rPr>
          <w:rFonts w:asciiTheme="majorHAnsi" w:hAnsiTheme="majorHAnsi"/>
          <w:sz w:val="20"/>
          <w:szCs w:val="20"/>
        </w:rPr>
        <w:t>in order to</w:t>
      </w:r>
      <w:r w:rsidR="00E92985">
        <w:rPr>
          <w:rFonts w:asciiTheme="majorHAnsi" w:hAnsiTheme="majorHAnsi"/>
          <w:sz w:val="20"/>
          <w:szCs w:val="20"/>
        </w:rPr>
        <w:t xml:space="preserve"> </w:t>
      </w:r>
      <w:r w:rsidR="00A13D5E" w:rsidRPr="00A51861">
        <w:rPr>
          <w:rFonts w:asciiTheme="majorHAnsi" w:hAnsiTheme="majorHAnsi"/>
          <w:sz w:val="20"/>
          <w:szCs w:val="20"/>
        </w:rPr>
        <w:t>determin</w:t>
      </w:r>
      <w:r w:rsidR="004E56A9">
        <w:rPr>
          <w:rFonts w:asciiTheme="majorHAnsi" w:hAnsiTheme="majorHAnsi"/>
          <w:sz w:val="20"/>
          <w:szCs w:val="20"/>
        </w:rPr>
        <w:t>e</w:t>
      </w:r>
      <w:r w:rsidR="00A13D5E" w:rsidRPr="00A51861">
        <w:rPr>
          <w:rFonts w:asciiTheme="majorHAnsi" w:hAnsiTheme="majorHAnsi"/>
          <w:sz w:val="20"/>
          <w:szCs w:val="20"/>
        </w:rPr>
        <w:t xml:space="preserve"> </w:t>
      </w:r>
      <w:r w:rsidR="004E56A9">
        <w:rPr>
          <w:rFonts w:asciiTheme="majorHAnsi" w:hAnsiTheme="majorHAnsi"/>
          <w:sz w:val="20"/>
          <w:szCs w:val="20"/>
        </w:rPr>
        <w:t>whether</w:t>
      </w:r>
      <w:r w:rsidR="00A13D5E" w:rsidRPr="00A51861">
        <w:rPr>
          <w:rFonts w:asciiTheme="majorHAnsi" w:hAnsiTheme="majorHAnsi"/>
          <w:sz w:val="20"/>
          <w:szCs w:val="20"/>
        </w:rPr>
        <w:t xml:space="preserve"> </w:t>
      </w:r>
      <w:r w:rsidR="00A51861" w:rsidRPr="00A51861">
        <w:rPr>
          <w:rFonts w:asciiTheme="majorHAnsi" w:hAnsiTheme="majorHAnsi"/>
          <w:sz w:val="20"/>
          <w:szCs w:val="20"/>
        </w:rPr>
        <w:t xml:space="preserve">Mr. </w:t>
      </w:r>
      <w:r w:rsidR="00A13D5E" w:rsidRPr="00A51861">
        <w:rPr>
          <w:rFonts w:asciiTheme="majorHAnsi" w:hAnsiTheme="majorHAnsi"/>
          <w:sz w:val="20"/>
          <w:szCs w:val="20"/>
        </w:rPr>
        <w:t xml:space="preserve">Ferreira </w:t>
      </w:r>
      <w:r w:rsidR="004E56A9">
        <w:rPr>
          <w:rFonts w:asciiTheme="majorHAnsi" w:hAnsiTheme="majorHAnsi"/>
          <w:sz w:val="20"/>
          <w:szCs w:val="20"/>
        </w:rPr>
        <w:t>met the</w:t>
      </w:r>
      <w:r w:rsidR="00A13D5E" w:rsidRPr="00A51861">
        <w:rPr>
          <w:rFonts w:asciiTheme="majorHAnsi" w:hAnsiTheme="majorHAnsi"/>
          <w:sz w:val="20"/>
          <w:szCs w:val="20"/>
        </w:rPr>
        <w:t xml:space="preserve"> </w:t>
      </w:r>
      <w:r w:rsidR="00EC7A58">
        <w:rPr>
          <w:rFonts w:asciiTheme="majorHAnsi" w:hAnsiTheme="majorHAnsi"/>
          <w:sz w:val="20"/>
          <w:szCs w:val="20"/>
        </w:rPr>
        <w:t>requirement</w:t>
      </w:r>
      <w:r w:rsidR="00A13D5E" w:rsidRPr="00A51861">
        <w:rPr>
          <w:rFonts w:asciiTheme="majorHAnsi" w:hAnsiTheme="majorHAnsi"/>
          <w:sz w:val="20"/>
          <w:szCs w:val="20"/>
        </w:rPr>
        <w:t xml:space="preserve">s </w:t>
      </w:r>
      <w:r w:rsidR="004E56A9">
        <w:rPr>
          <w:rFonts w:asciiTheme="majorHAnsi" w:hAnsiTheme="majorHAnsi"/>
          <w:sz w:val="20"/>
          <w:szCs w:val="20"/>
        </w:rPr>
        <w:t>to grant him the residency</w:t>
      </w:r>
      <w:r w:rsidR="00A13D5E" w:rsidRPr="00A51861">
        <w:rPr>
          <w:rFonts w:asciiTheme="majorHAnsi" w:hAnsiTheme="majorHAnsi"/>
          <w:sz w:val="20"/>
          <w:szCs w:val="20"/>
        </w:rPr>
        <w:t xml:space="preserve"> </w:t>
      </w:r>
      <w:r w:rsidR="004E56A9">
        <w:rPr>
          <w:rFonts w:asciiTheme="majorHAnsi" w:hAnsiTheme="majorHAnsi"/>
          <w:sz w:val="20"/>
          <w:szCs w:val="20"/>
        </w:rPr>
        <w:t>which he had just been awarded</w:t>
      </w:r>
      <w:r w:rsidR="00A13D5E" w:rsidRPr="00A51861">
        <w:rPr>
          <w:rStyle w:val="FootnoteReference"/>
          <w:rFonts w:asciiTheme="majorHAnsi" w:hAnsiTheme="majorHAnsi"/>
          <w:sz w:val="20"/>
          <w:szCs w:val="20"/>
        </w:rPr>
        <w:footnoteReference w:id="30"/>
      </w:r>
      <w:r w:rsidR="00A13D5E" w:rsidRPr="00A51861">
        <w:rPr>
          <w:rFonts w:asciiTheme="majorHAnsi" w:hAnsiTheme="majorHAnsi"/>
          <w:sz w:val="20"/>
          <w:szCs w:val="20"/>
        </w:rPr>
        <w:t>.</w:t>
      </w:r>
    </w:p>
    <w:p w14:paraId="7AC7654E" w14:textId="77777777" w:rsidR="00A13D5E" w:rsidRPr="00A51861" w:rsidRDefault="00A13D5E" w:rsidP="008E4D36">
      <w:pPr>
        <w:jc w:val="both"/>
        <w:rPr>
          <w:rFonts w:asciiTheme="majorHAnsi" w:hAnsiTheme="majorHAnsi"/>
          <w:b/>
          <w:sz w:val="20"/>
          <w:szCs w:val="20"/>
        </w:rPr>
      </w:pPr>
    </w:p>
    <w:p w14:paraId="4E865E04" w14:textId="0552DDA1" w:rsidR="00964584" w:rsidRPr="00A51861" w:rsidRDefault="004E56A9" w:rsidP="00DA471F">
      <w:pPr>
        <w:pStyle w:val="Heading3"/>
        <w:keepNext/>
        <w:numPr>
          <w:ilvl w:val="0"/>
          <w:numId w:val="71"/>
        </w:numPr>
        <w:spacing w:line="240" w:lineRule="auto"/>
        <w:jc w:val="left"/>
        <w:rPr>
          <w:rFonts w:asciiTheme="majorHAnsi" w:hAnsiTheme="majorHAnsi"/>
          <w:b w:val="0"/>
        </w:rPr>
      </w:pPr>
      <w:bookmarkStart w:id="13" w:name="_Toc196383477"/>
      <w:r>
        <w:rPr>
          <w:rFonts w:asciiTheme="majorHAnsi" w:hAnsiTheme="majorHAnsi"/>
        </w:rPr>
        <w:t>Regarding</w:t>
      </w:r>
      <w:r w:rsidR="00964584" w:rsidRPr="00A51861">
        <w:rPr>
          <w:rFonts w:asciiTheme="majorHAnsi" w:hAnsiTheme="majorHAnsi"/>
        </w:rPr>
        <w:t xml:space="preserve"> Nicasio Washington </w:t>
      </w:r>
      <w:r w:rsidR="00384CFD" w:rsidRPr="00A51861">
        <w:rPr>
          <w:rFonts w:asciiTheme="majorHAnsi" w:hAnsiTheme="majorHAnsi"/>
        </w:rPr>
        <w:t>Romero Ubal</w:t>
      </w:r>
      <w:bookmarkEnd w:id="13"/>
      <w:r w:rsidR="00384CFD" w:rsidRPr="00A51861">
        <w:rPr>
          <w:rFonts w:asciiTheme="majorHAnsi" w:hAnsiTheme="majorHAnsi"/>
        </w:rPr>
        <w:t xml:space="preserve"> </w:t>
      </w:r>
    </w:p>
    <w:p w14:paraId="13D1A2E3" w14:textId="77777777" w:rsidR="00D3384D" w:rsidRPr="00A51861" w:rsidRDefault="00D3384D" w:rsidP="008E4D36">
      <w:pPr>
        <w:pStyle w:val="ListParagraph"/>
        <w:ind w:left="1440"/>
        <w:jc w:val="both"/>
        <w:rPr>
          <w:rFonts w:asciiTheme="majorHAnsi" w:hAnsiTheme="majorHAnsi"/>
          <w:b/>
          <w:sz w:val="20"/>
          <w:szCs w:val="20"/>
        </w:rPr>
      </w:pPr>
    </w:p>
    <w:p w14:paraId="6C62935D" w14:textId="7A31640C" w:rsidR="00D3384D" w:rsidRPr="00A51861" w:rsidRDefault="00A51861"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A51861">
        <w:rPr>
          <w:rFonts w:asciiTheme="majorHAnsi" w:hAnsiTheme="majorHAnsi"/>
          <w:sz w:val="20"/>
          <w:szCs w:val="20"/>
        </w:rPr>
        <w:t xml:space="preserve">Mr. </w:t>
      </w:r>
      <w:r w:rsidR="00D3384D" w:rsidRPr="00A51861">
        <w:rPr>
          <w:rFonts w:asciiTheme="majorHAnsi" w:hAnsiTheme="majorHAnsi"/>
          <w:sz w:val="20"/>
          <w:szCs w:val="20"/>
        </w:rPr>
        <w:t>Nicasio Washington Romero Ubal,</w:t>
      </w:r>
      <w:r w:rsidR="00E92985">
        <w:rPr>
          <w:rFonts w:asciiTheme="majorHAnsi" w:hAnsiTheme="majorHAnsi"/>
          <w:sz w:val="20"/>
          <w:szCs w:val="20"/>
        </w:rPr>
        <w:t xml:space="preserve"> of </w:t>
      </w:r>
      <w:r w:rsidR="00D64B7E">
        <w:rPr>
          <w:rFonts w:asciiTheme="majorHAnsi" w:hAnsiTheme="majorHAnsi"/>
          <w:sz w:val="20"/>
          <w:szCs w:val="20"/>
        </w:rPr>
        <w:t>Uruguayan nationality</w:t>
      </w:r>
      <w:r w:rsidR="00D3384D" w:rsidRPr="00A51861">
        <w:rPr>
          <w:rFonts w:asciiTheme="majorHAnsi" w:hAnsiTheme="majorHAnsi"/>
          <w:sz w:val="20"/>
          <w:szCs w:val="20"/>
        </w:rPr>
        <w:t xml:space="preserve">, </w:t>
      </w:r>
      <w:r w:rsidR="004E56A9">
        <w:rPr>
          <w:rFonts w:asciiTheme="majorHAnsi" w:hAnsiTheme="majorHAnsi"/>
          <w:sz w:val="20"/>
          <w:szCs w:val="20"/>
        </w:rPr>
        <w:t>arrived in</w:t>
      </w:r>
      <w:r w:rsidR="00D3384D" w:rsidRPr="00A51861">
        <w:rPr>
          <w:rFonts w:asciiTheme="majorHAnsi" w:hAnsiTheme="majorHAnsi"/>
          <w:sz w:val="20"/>
          <w:szCs w:val="20"/>
        </w:rPr>
        <w:t xml:space="preserve"> Argentina </w:t>
      </w:r>
      <w:r w:rsidR="004E56A9">
        <w:rPr>
          <w:rFonts w:asciiTheme="majorHAnsi" w:hAnsiTheme="majorHAnsi"/>
          <w:sz w:val="20"/>
          <w:szCs w:val="20"/>
        </w:rPr>
        <w:t>in September</w:t>
      </w:r>
      <w:r w:rsidR="00E92985">
        <w:rPr>
          <w:rFonts w:asciiTheme="majorHAnsi" w:hAnsiTheme="majorHAnsi"/>
          <w:sz w:val="20"/>
          <w:szCs w:val="20"/>
        </w:rPr>
        <w:t xml:space="preserve"> of </w:t>
      </w:r>
      <w:r w:rsidR="00D3384D" w:rsidRPr="00A51861">
        <w:rPr>
          <w:rFonts w:asciiTheme="majorHAnsi" w:hAnsiTheme="majorHAnsi"/>
          <w:sz w:val="20"/>
          <w:szCs w:val="20"/>
        </w:rPr>
        <w:t xml:space="preserve">1973, </w:t>
      </w:r>
      <w:r w:rsidR="004E56A9">
        <w:rPr>
          <w:rFonts w:asciiTheme="majorHAnsi" w:hAnsiTheme="majorHAnsi"/>
          <w:sz w:val="20"/>
          <w:szCs w:val="20"/>
        </w:rPr>
        <w:t>running away from</w:t>
      </w:r>
      <w:r w:rsidR="00E92985">
        <w:rPr>
          <w:rFonts w:asciiTheme="majorHAnsi" w:hAnsiTheme="majorHAnsi"/>
          <w:sz w:val="20"/>
          <w:szCs w:val="20"/>
        </w:rPr>
        <w:t xml:space="preserve"> the </w:t>
      </w:r>
      <w:r w:rsidR="004E56A9">
        <w:rPr>
          <w:rFonts w:asciiTheme="majorHAnsi" w:hAnsiTheme="majorHAnsi"/>
          <w:sz w:val="20"/>
          <w:szCs w:val="20"/>
        </w:rPr>
        <w:t xml:space="preserve">repressive </w:t>
      </w:r>
      <w:r w:rsidR="00E92985">
        <w:rPr>
          <w:rFonts w:asciiTheme="majorHAnsi" w:hAnsiTheme="majorHAnsi"/>
          <w:sz w:val="20"/>
          <w:szCs w:val="20"/>
        </w:rPr>
        <w:t>situation</w:t>
      </w:r>
      <w:r w:rsidR="00D3384D" w:rsidRPr="00A51861">
        <w:rPr>
          <w:rFonts w:asciiTheme="majorHAnsi" w:hAnsiTheme="majorHAnsi"/>
          <w:sz w:val="20"/>
          <w:szCs w:val="20"/>
        </w:rPr>
        <w:t xml:space="preserve"> origin</w:t>
      </w:r>
      <w:r w:rsidR="004E56A9">
        <w:rPr>
          <w:rFonts w:asciiTheme="majorHAnsi" w:hAnsiTheme="majorHAnsi"/>
          <w:sz w:val="20"/>
          <w:szCs w:val="20"/>
        </w:rPr>
        <w:t>ated</w:t>
      </w:r>
      <w:r w:rsidR="00D3384D" w:rsidRPr="00A51861">
        <w:rPr>
          <w:rFonts w:asciiTheme="majorHAnsi" w:hAnsiTheme="majorHAnsi"/>
          <w:sz w:val="20"/>
          <w:szCs w:val="20"/>
        </w:rPr>
        <w:t xml:space="preserve"> </w:t>
      </w:r>
      <w:r w:rsidR="004E56A9">
        <w:rPr>
          <w:rFonts w:asciiTheme="majorHAnsi" w:hAnsiTheme="majorHAnsi"/>
          <w:sz w:val="20"/>
          <w:szCs w:val="20"/>
        </w:rPr>
        <w:t>due to the coup of that year in</w:t>
      </w:r>
      <w:r w:rsidR="00D3384D" w:rsidRPr="00A51861">
        <w:rPr>
          <w:rFonts w:asciiTheme="majorHAnsi" w:hAnsiTheme="majorHAnsi"/>
          <w:sz w:val="20"/>
          <w:szCs w:val="20"/>
        </w:rPr>
        <w:t xml:space="preserve"> Uruguay</w:t>
      </w:r>
      <w:r w:rsidR="00D3384D" w:rsidRPr="00A51861">
        <w:rPr>
          <w:rStyle w:val="FootnoteReference"/>
          <w:rFonts w:asciiTheme="majorHAnsi" w:hAnsiTheme="majorHAnsi"/>
          <w:sz w:val="20"/>
          <w:szCs w:val="20"/>
        </w:rPr>
        <w:footnoteReference w:id="31"/>
      </w:r>
      <w:r w:rsidR="00D3384D" w:rsidRPr="00A51861">
        <w:rPr>
          <w:rFonts w:asciiTheme="majorHAnsi" w:hAnsiTheme="majorHAnsi"/>
          <w:sz w:val="20"/>
          <w:szCs w:val="20"/>
        </w:rPr>
        <w:t xml:space="preserve">. </w:t>
      </w:r>
      <w:r w:rsidR="004E56A9">
        <w:rPr>
          <w:rFonts w:asciiTheme="majorHAnsi" w:hAnsiTheme="majorHAnsi"/>
          <w:sz w:val="20"/>
          <w:szCs w:val="20"/>
        </w:rPr>
        <w:t>While in</w:t>
      </w:r>
      <w:r w:rsidR="00D3384D" w:rsidRPr="00A51861">
        <w:rPr>
          <w:rFonts w:asciiTheme="majorHAnsi" w:hAnsiTheme="majorHAnsi"/>
          <w:sz w:val="20"/>
          <w:szCs w:val="20"/>
        </w:rPr>
        <w:t xml:space="preserve"> Argentina, </w:t>
      </w:r>
      <w:r w:rsidR="004E56A9">
        <w:rPr>
          <w:rFonts w:asciiTheme="majorHAnsi" w:hAnsiTheme="majorHAnsi"/>
          <w:sz w:val="20"/>
          <w:szCs w:val="20"/>
        </w:rPr>
        <w:t>he initiated actions</w:t>
      </w:r>
      <w:r w:rsidR="00D3384D" w:rsidRPr="00A51861">
        <w:rPr>
          <w:rFonts w:asciiTheme="majorHAnsi" w:hAnsiTheme="majorHAnsi"/>
          <w:sz w:val="20"/>
          <w:szCs w:val="20"/>
        </w:rPr>
        <w:t xml:space="preserve"> </w:t>
      </w:r>
      <w:r w:rsidR="004E56A9">
        <w:rPr>
          <w:rFonts w:asciiTheme="majorHAnsi" w:hAnsiTheme="majorHAnsi"/>
          <w:sz w:val="20"/>
          <w:szCs w:val="20"/>
        </w:rPr>
        <w:t>so as to obtain the definitive residency</w:t>
      </w:r>
      <w:r w:rsidR="00D3384D" w:rsidRPr="00A51861">
        <w:rPr>
          <w:rFonts w:asciiTheme="majorHAnsi" w:hAnsiTheme="majorHAnsi"/>
          <w:sz w:val="20"/>
          <w:szCs w:val="20"/>
        </w:rPr>
        <w:t xml:space="preserve">, </w:t>
      </w:r>
      <w:r w:rsidR="004E56A9">
        <w:rPr>
          <w:rFonts w:asciiTheme="majorHAnsi" w:hAnsiTheme="majorHAnsi"/>
          <w:sz w:val="20"/>
          <w:szCs w:val="20"/>
        </w:rPr>
        <w:t>which he finally received</w:t>
      </w:r>
      <w:r w:rsidR="00D3384D" w:rsidRPr="00A51861">
        <w:rPr>
          <w:rStyle w:val="FootnoteReference"/>
          <w:rFonts w:asciiTheme="majorHAnsi" w:hAnsiTheme="majorHAnsi"/>
          <w:sz w:val="20"/>
          <w:szCs w:val="20"/>
        </w:rPr>
        <w:footnoteReference w:id="32"/>
      </w:r>
      <w:r w:rsidR="00D3384D" w:rsidRPr="00A51861">
        <w:rPr>
          <w:rFonts w:asciiTheme="majorHAnsi" w:hAnsiTheme="majorHAnsi"/>
          <w:sz w:val="20"/>
          <w:szCs w:val="20"/>
        </w:rPr>
        <w:t xml:space="preserve">. </w:t>
      </w:r>
    </w:p>
    <w:p w14:paraId="1CBC39C5" w14:textId="77777777" w:rsidR="00D83D73" w:rsidRPr="00A51861" w:rsidRDefault="00D83D73" w:rsidP="008E4D36">
      <w:pPr>
        <w:pStyle w:val="ListParagraph"/>
        <w:rPr>
          <w:rFonts w:asciiTheme="majorHAnsi" w:hAnsiTheme="majorHAnsi"/>
          <w:b/>
          <w:color w:val="auto"/>
          <w:sz w:val="20"/>
          <w:szCs w:val="20"/>
        </w:rPr>
      </w:pPr>
    </w:p>
    <w:p w14:paraId="7C00EC17" w14:textId="252F841D" w:rsidR="00591189" w:rsidRPr="00A51861" w:rsidRDefault="00DA471F" w:rsidP="00DA471F">
      <w:pPr>
        <w:pStyle w:val="Heading2"/>
        <w:keepNex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720"/>
        <w:rPr>
          <w:lang w:val="en-US"/>
        </w:rPr>
      </w:pPr>
      <w:bookmarkStart w:id="14" w:name="_Toc196383478"/>
      <w:r>
        <w:rPr>
          <w:lang w:val="en-US"/>
        </w:rPr>
        <w:t>REGARDING THE</w:t>
      </w:r>
      <w:r w:rsidRPr="00A51861">
        <w:rPr>
          <w:lang w:val="en-US"/>
        </w:rPr>
        <w:t xml:space="preserve"> DETEN</w:t>
      </w:r>
      <w:r>
        <w:rPr>
          <w:lang w:val="en-US"/>
        </w:rPr>
        <w:t>T</w:t>
      </w:r>
      <w:r w:rsidRPr="00A51861">
        <w:rPr>
          <w:lang w:val="en-US"/>
        </w:rPr>
        <w:t>IONS</w:t>
      </w:r>
      <w:r>
        <w:rPr>
          <w:lang w:val="en-US"/>
        </w:rPr>
        <w:t xml:space="preserve"> AND PROCEEDINGS OF </w:t>
      </w:r>
      <w:r w:rsidRPr="00A51861">
        <w:rPr>
          <w:lang w:val="en-US"/>
        </w:rPr>
        <w:t>REPARA</w:t>
      </w:r>
      <w:r>
        <w:rPr>
          <w:lang w:val="en-US"/>
        </w:rPr>
        <w:t>TIO</w:t>
      </w:r>
      <w:r w:rsidRPr="00A51861">
        <w:rPr>
          <w:lang w:val="en-US"/>
        </w:rPr>
        <w:t xml:space="preserve">N </w:t>
      </w:r>
      <w:r>
        <w:rPr>
          <w:lang w:val="en-US"/>
        </w:rPr>
        <w:t>INITIATED BY THE ALLEGED VICTIMS</w:t>
      </w:r>
      <w:bookmarkEnd w:id="14"/>
    </w:p>
    <w:p w14:paraId="4A6E3108" w14:textId="77777777" w:rsidR="00591189" w:rsidRPr="00A51861" w:rsidRDefault="00591189" w:rsidP="008E4D36">
      <w:pPr>
        <w:pStyle w:val="ListParagraph"/>
        <w:ind w:left="1440"/>
        <w:jc w:val="both"/>
        <w:rPr>
          <w:rFonts w:asciiTheme="majorHAnsi" w:hAnsiTheme="majorHAnsi"/>
          <w:b/>
          <w:color w:val="auto"/>
          <w:sz w:val="20"/>
          <w:szCs w:val="20"/>
        </w:rPr>
      </w:pPr>
    </w:p>
    <w:p w14:paraId="005BD15C" w14:textId="47B84949" w:rsidR="00591189" w:rsidRPr="00061015" w:rsidRDefault="00591189" w:rsidP="00DA471F">
      <w:pPr>
        <w:pStyle w:val="Heading3"/>
        <w:keepNext/>
        <w:numPr>
          <w:ilvl w:val="0"/>
          <w:numId w:val="72"/>
        </w:numPr>
        <w:spacing w:line="240" w:lineRule="auto"/>
        <w:jc w:val="left"/>
        <w:rPr>
          <w:rFonts w:asciiTheme="majorHAnsi" w:hAnsiTheme="majorHAnsi"/>
          <w:b w:val="0"/>
          <w:lang w:val="es-US"/>
        </w:rPr>
      </w:pPr>
      <w:bookmarkStart w:id="15" w:name="_Toc196383479"/>
      <w:r w:rsidRPr="00061015">
        <w:rPr>
          <w:rFonts w:asciiTheme="majorHAnsi" w:hAnsiTheme="majorHAnsi"/>
          <w:lang w:val="es-US"/>
        </w:rPr>
        <w:t xml:space="preserve">Julio César </w:t>
      </w:r>
      <w:r w:rsidR="00BD093F" w:rsidRPr="00061015">
        <w:rPr>
          <w:rFonts w:asciiTheme="majorHAnsi" w:hAnsiTheme="majorHAnsi"/>
          <w:lang w:val="es-US"/>
        </w:rPr>
        <w:t xml:space="preserve">Rito de los </w:t>
      </w:r>
      <w:r w:rsidRPr="00061015">
        <w:rPr>
          <w:rFonts w:asciiTheme="majorHAnsi" w:hAnsiTheme="majorHAnsi"/>
          <w:lang w:val="es-US"/>
        </w:rPr>
        <w:t>Santos</w:t>
      </w:r>
      <w:bookmarkEnd w:id="15"/>
    </w:p>
    <w:p w14:paraId="5D7B548B" w14:textId="77777777" w:rsidR="008E351F" w:rsidRPr="00061015" w:rsidRDefault="008E351F" w:rsidP="008E4D36">
      <w:pPr>
        <w:pStyle w:val="ListParagraph"/>
        <w:ind w:left="1440"/>
        <w:jc w:val="both"/>
        <w:rPr>
          <w:rFonts w:asciiTheme="majorHAnsi" w:hAnsiTheme="majorHAnsi"/>
          <w:b/>
          <w:sz w:val="20"/>
          <w:szCs w:val="20"/>
          <w:lang w:val="es-US"/>
        </w:rPr>
      </w:pPr>
    </w:p>
    <w:p w14:paraId="5F673316" w14:textId="6E761E87" w:rsidR="008E351F" w:rsidRPr="00A51861" w:rsidRDefault="005766F7"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On June 2,</w:t>
      </w:r>
      <w:r w:rsidR="00E92985">
        <w:rPr>
          <w:rFonts w:asciiTheme="majorHAnsi" w:hAnsiTheme="majorHAnsi"/>
          <w:sz w:val="20"/>
          <w:szCs w:val="20"/>
        </w:rPr>
        <w:t xml:space="preserve"> </w:t>
      </w:r>
      <w:r w:rsidR="008E351F" w:rsidRPr="00A51861">
        <w:rPr>
          <w:rFonts w:asciiTheme="majorHAnsi" w:hAnsiTheme="majorHAnsi"/>
          <w:sz w:val="20"/>
          <w:szCs w:val="20"/>
        </w:rPr>
        <w:t xml:space="preserve">1974 </w:t>
      </w:r>
      <w:r w:rsidR="00A51861" w:rsidRPr="00A51861">
        <w:rPr>
          <w:rFonts w:asciiTheme="majorHAnsi" w:hAnsiTheme="majorHAnsi"/>
          <w:sz w:val="20"/>
          <w:szCs w:val="20"/>
        </w:rPr>
        <w:t xml:space="preserve">Mr. </w:t>
      </w:r>
      <w:r w:rsidR="00B01A54">
        <w:rPr>
          <w:rFonts w:asciiTheme="majorHAnsi" w:hAnsiTheme="majorHAnsi"/>
          <w:sz w:val="20"/>
          <w:szCs w:val="20"/>
        </w:rPr>
        <w:t xml:space="preserve">Rito de los Santos </w:t>
      </w:r>
      <w:r>
        <w:rPr>
          <w:rFonts w:asciiTheme="majorHAnsi" w:hAnsiTheme="majorHAnsi"/>
          <w:sz w:val="20"/>
          <w:szCs w:val="20"/>
        </w:rPr>
        <w:t xml:space="preserve">was detained while he was participating in a </w:t>
      </w:r>
      <w:r w:rsidR="005056C0">
        <w:rPr>
          <w:rFonts w:asciiTheme="majorHAnsi" w:hAnsiTheme="majorHAnsi"/>
          <w:sz w:val="20"/>
          <w:szCs w:val="20"/>
        </w:rPr>
        <w:t>political assembly</w:t>
      </w:r>
      <w:r w:rsidR="008E351F" w:rsidRPr="00A51861">
        <w:rPr>
          <w:rFonts w:asciiTheme="majorHAnsi" w:hAnsiTheme="majorHAnsi"/>
          <w:sz w:val="20"/>
          <w:szCs w:val="20"/>
        </w:rPr>
        <w:t xml:space="preserve"> </w:t>
      </w:r>
      <w:r>
        <w:rPr>
          <w:rFonts w:asciiTheme="majorHAnsi" w:hAnsiTheme="majorHAnsi"/>
          <w:sz w:val="20"/>
          <w:szCs w:val="20"/>
        </w:rPr>
        <w:t>in an establishment located in</w:t>
      </w:r>
      <w:r w:rsidR="008E351F" w:rsidRPr="00A51861">
        <w:rPr>
          <w:rFonts w:asciiTheme="majorHAnsi" w:hAnsiTheme="majorHAnsi"/>
          <w:sz w:val="20"/>
          <w:szCs w:val="20"/>
        </w:rPr>
        <w:t xml:space="preserve"> </w:t>
      </w:r>
      <w:r w:rsidR="00185E46" w:rsidRPr="00A51861">
        <w:rPr>
          <w:rFonts w:asciiTheme="majorHAnsi" w:hAnsiTheme="majorHAnsi"/>
          <w:sz w:val="20"/>
          <w:szCs w:val="20"/>
        </w:rPr>
        <w:t>México</w:t>
      </w:r>
      <w:r w:rsidR="00185E46">
        <w:rPr>
          <w:rFonts w:asciiTheme="majorHAnsi" w:hAnsiTheme="majorHAnsi"/>
          <w:sz w:val="20"/>
          <w:szCs w:val="20"/>
        </w:rPr>
        <w:t xml:space="preserve"> Street</w:t>
      </w:r>
      <w:r w:rsidR="00E92985">
        <w:rPr>
          <w:rFonts w:asciiTheme="majorHAnsi" w:hAnsiTheme="majorHAnsi"/>
          <w:sz w:val="20"/>
          <w:szCs w:val="20"/>
        </w:rPr>
        <w:t xml:space="preserve"> of the </w:t>
      </w:r>
      <w:r w:rsidR="008E351F" w:rsidRPr="00A51861">
        <w:rPr>
          <w:rFonts w:asciiTheme="majorHAnsi" w:hAnsiTheme="majorHAnsi"/>
          <w:sz w:val="20"/>
          <w:szCs w:val="20"/>
        </w:rPr>
        <w:t>Federal</w:t>
      </w:r>
      <w:r w:rsidRPr="005766F7">
        <w:rPr>
          <w:rFonts w:asciiTheme="majorHAnsi" w:hAnsiTheme="majorHAnsi"/>
          <w:sz w:val="20"/>
          <w:szCs w:val="20"/>
        </w:rPr>
        <w:t xml:space="preserve"> </w:t>
      </w:r>
      <w:r w:rsidRPr="00A51861">
        <w:rPr>
          <w:rFonts w:asciiTheme="majorHAnsi" w:hAnsiTheme="majorHAnsi"/>
          <w:sz w:val="20"/>
          <w:szCs w:val="20"/>
        </w:rPr>
        <w:t>Capital</w:t>
      </w:r>
      <w:r w:rsidR="008E351F" w:rsidRPr="00A51861">
        <w:rPr>
          <w:rFonts w:asciiTheme="majorHAnsi" w:hAnsiTheme="majorHAnsi"/>
          <w:sz w:val="20"/>
          <w:szCs w:val="20"/>
        </w:rPr>
        <w:t xml:space="preserve">, </w:t>
      </w:r>
      <w:r>
        <w:rPr>
          <w:rFonts w:asciiTheme="majorHAnsi" w:hAnsiTheme="majorHAnsi"/>
          <w:sz w:val="20"/>
          <w:szCs w:val="20"/>
        </w:rPr>
        <w:t>within an operati</w:t>
      </w:r>
      <w:r w:rsidR="007A384B">
        <w:rPr>
          <w:rFonts w:asciiTheme="majorHAnsi" w:hAnsiTheme="majorHAnsi"/>
          <w:sz w:val="20"/>
          <w:szCs w:val="20"/>
        </w:rPr>
        <w:t>on</w:t>
      </w:r>
      <w:r>
        <w:rPr>
          <w:rFonts w:asciiTheme="majorHAnsi" w:hAnsiTheme="majorHAnsi"/>
          <w:sz w:val="20"/>
          <w:szCs w:val="20"/>
        </w:rPr>
        <w:t xml:space="preserve"> carried out by</w:t>
      </w:r>
      <w:r w:rsidR="008E351F" w:rsidRPr="00A51861">
        <w:rPr>
          <w:rFonts w:asciiTheme="majorHAnsi" w:hAnsiTheme="majorHAnsi"/>
          <w:sz w:val="20"/>
          <w:szCs w:val="20"/>
        </w:rPr>
        <w:t xml:space="preserve"> </w:t>
      </w:r>
      <w:r w:rsidRPr="00A51861">
        <w:rPr>
          <w:rFonts w:asciiTheme="majorHAnsi" w:hAnsiTheme="majorHAnsi"/>
          <w:sz w:val="20"/>
          <w:szCs w:val="20"/>
        </w:rPr>
        <w:t>Argenti</w:t>
      </w:r>
      <w:r>
        <w:rPr>
          <w:rFonts w:asciiTheme="majorHAnsi" w:hAnsiTheme="majorHAnsi"/>
          <w:sz w:val="20"/>
          <w:szCs w:val="20"/>
        </w:rPr>
        <w:t>ne</w:t>
      </w:r>
      <w:r w:rsidRPr="00A51861">
        <w:rPr>
          <w:rFonts w:asciiTheme="majorHAnsi" w:hAnsiTheme="majorHAnsi"/>
          <w:sz w:val="20"/>
          <w:szCs w:val="20"/>
        </w:rPr>
        <w:t xml:space="preserve"> </w:t>
      </w:r>
      <w:r w:rsidR="008E351F" w:rsidRPr="00A51861">
        <w:rPr>
          <w:rFonts w:asciiTheme="majorHAnsi" w:hAnsiTheme="majorHAnsi"/>
          <w:sz w:val="20"/>
          <w:szCs w:val="20"/>
        </w:rPr>
        <w:t>se</w:t>
      </w:r>
      <w:r>
        <w:rPr>
          <w:rFonts w:asciiTheme="majorHAnsi" w:hAnsiTheme="majorHAnsi"/>
          <w:sz w:val="20"/>
          <w:szCs w:val="20"/>
        </w:rPr>
        <w:t>curity forces</w:t>
      </w:r>
      <w:r w:rsidR="008E351F" w:rsidRPr="00A51861">
        <w:rPr>
          <w:rStyle w:val="FootnoteReference"/>
          <w:rFonts w:asciiTheme="majorHAnsi" w:hAnsiTheme="majorHAnsi"/>
          <w:sz w:val="20"/>
          <w:szCs w:val="20"/>
        </w:rPr>
        <w:footnoteReference w:id="33"/>
      </w:r>
      <w:r w:rsidR="008E351F" w:rsidRPr="00A51861">
        <w:rPr>
          <w:rFonts w:asciiTheme="majorHAnsi" w:hAnsiTheme="majorHAnsi"/>
          <w:sz w:val="20"/>
          <w:szCs w:val="20"/>
        </w:rPr>
        <w:t xml:space="preserve">. </w:t>
      </w:r>
      <w:r>
        <w:rPr>
          <w:rFonts w:asciiTheme="majorHAnsi" w:hAnsiTheme="majorHAnsi"/>
          <w:sz w:val="20"/>
          <w:szCs w:val="20"/>
        </w:rPr>
        <w:t>In said operati</w:t>
      </w:r>
      <w:r w:rsidR="00185E46">
        <w:rPr>
          <w:rFonts w:asciiTheme="majorHAnsi" w:hAnsiTheme="majorHAnsi"/>
          <w:sz w:val="20"/>
          <w:szCs w:val="20"/>
        </w:rPr>
        <w:t>on</w:t>
      </w:r>
      <w:r>
        <w:rPr>
          <w:rFonts w:asciiTheme="majorHAnsi" w:hAnsiTheme="majorHAnsi"/>
          <w:sz w:val="20"/>
          <w:szCs w:val="20"/>
        </w:rPr>
        <w:t xml:space="preserve"> over</w:t>
      </w:r>
      <w:r w:rsidR="00E92985">
        <w:rPr>
          <w:rFonts w:asciiTheme="majorHAnsi" w:hAnsiTheme="majorHAnsi"/>
          <w:sz w:val="20"/>
          <w:szCs w:val="20"/>
        </w:rPr>
        <w:t xml:space="preserve"> </w:t>
      </w:r>
      <w:r w:rsidR="008E351F" w:rsidRPr="00A51861">
        <w:rPr>
          <w:rFonts w:asciiTheme="majorHAnsi" w:hAnsiTheme="majorHAnsi"/>
          <w:sz w:val="20"/>
          <w:szCs w:val="20"/>
        </w:rPr>
        <w:t xml:space="preserve">100 </w:t>
      </w:r>
      <w:r w:rsidR="00EC7A58">
        <w:rPr>
          <w:rFonts w:asciiTheme="majorHAnsi" w:hAnsiTheme="majorHAnsi"/>
          <w:sz w:val="20"/>
          <w:szCs w:val="20"/>
        </w:rPr>
        <w:t>persons</w:t>
      </w:r>
      <w:r>
        <w:rPr>
          <w:rFonts w:asciiTheme="majorHAnsi" w:hAnsiTheme="majorHAnsi"/>
          <w:sz w:val="20"/>
          <w:szCs w:val="20"/>
        </w:rPr>
        <w:t xml:space="preserve"> were detained</w:t>
      </w:r>
      <w:r w:rsidR="008E351F" w:rsidRPr="00A51861">
        <w:rPr>
          <w:rFonts w:asciiTheme="majorHAnsi" w:hAnsiTheme="majorHAnsi"/>
          <w:sz w:val="20"/>
          <w:szCs w:val="20"/>
        </w:rPr>
        <w:t xml:space="preserve">, </w:t>
      </w:r>
      <w:r>
        <w:rPr>
          <w:rFonts w:asciiTheme="majorHAnsi" w:hAnsiTheme="majorHAnsi"/>
          <w:sz w:val="20"/>
          <w:szCs w:val="20"/>
        </w:rPr>
        <w:t>most of which were</w:t>
      </w:r>
      <w:r w:rsidR="008E351F" w:rsidRPr="00A51861">
        <w:rPr>
          <w:rFonts w:asciiTheme="majorHAnsi" w:hAnsiTheme="majorHAnsi"/>
          <w:sz w:val="20"/>
          <w:szCs w:val="20"/>
        </w:rPr>
        <w:t xml:space="preserve"> </w:t>
      </w:r>
      <w:r w:rsidR="00940530">
        <w:rPr>
          <w:rFonts w:asciiTheme="majorHAnsi" w:hAnsiTheme="majorHAnsi"/>
          <w:sz w:val="20"/>
          <w:szCs w:val="20"/>
        </w:rPr>
        <w:t>Uruguayan</w:t>
      </w:r>
      <w:r w:rsidR="008E351F" w:rsidRPr="00A51861">
        <w:rPr>
          <w:rFonts w:asciiTheme="majorHAnsi" w:hAnsiTheme="majorHAnsi"/>
          <w:sz w:val="20"/>
          <w:szCs w:val="20"/>
        </w:rPr>
        <w:t xml:space="preserve">, </w:t>
      </w:r>
      <w:r>
        <w:rPr>
          <w:rFonts w:asciiTheme="majorHAnsi" w:hAnsiTheme="majorHAnsi"/>
          <w:sz w:val="20"/>
          <w:szCs w:val="20"/>
        </w:rPr>
        <w:t>among whom was also the wives of</w:t>
      </w:r>
      <w:r w:rsidR="008E351F" w:rsidRPr="00A51861">
        <w:rPr>
          <w:rFonts w:asciiTheme="majorHAnsi" w:hAnsiTheme="majorHAnsi"/>
          <w:sz w:val="20"/>
          <w:szCs w:val="20"/>
        </w:rPr>
        <w:t xml:space="preserve"> </w:t>
      </w:r>
      <w:r w:rsidR="00BD093F">
        <w:rPr>
          <w:rFonts w:asciiTheme="majorHAnsi" w:hAnsiTheme="majorHAnsi"/>
          <w:sz w:val="20"/>
          <w:szCs w:val="20"/>
        </w:rPr>
        <w:t xml:space="preserve">Mr. </w:t>
      </w:r>
      <w:r w:rsidR="00B01A54">
        <w:rPr>
          <w:rFonts w:asciiTheme="majorHAnsi" w:hAnsiTheme="majorHAnsi"/>
          <w:sz w:val="20"/>
          <w:szCs w:val="20"/>
        </w:rPr>
        <w:t xml:space="preserve">Rito de los Santos </w:t>
      </w:r>
      <w:r w:rsidR="00E92985">
        <w:rPr>
          <w:rFonts w:asciiTheme="majorHAnsi" w:hAnsiTheme="majorHAnsi"/>
          <w:sz w:val="20"/>
          <w:szCs w:val="20"/>
        </w:rPr>
        <w:t xml:space="preserve">and </w:t>
      </w:r>
      <w:r w:rsidR="00A51861" w:rsidRPr="00A51861">
        <w:rPr>
          <w:rFonts w:asciiTheme="majorHAnsi" w:hAnsiTheme="majorHAnsi"/>
          <w:sz w:val="20"/>
          <w:szCs w:val="20"/>
        </w:rPr>
        <w:t xml:space="preserve">Mr. </w:t>
      </w:r>
      <w:r w:rsidR="008E351F" w:rsidRPr="00A51861">
        <w:rPr>
          <w:rFonts w:asciiTheme="majorHAnsi" w:hAnsiTheme="majorHAnsi"/>
          <w:sz w:val="20"/>
          <w:szCs w:val="20"/>
        </w:rPr>
        <w:t>Hugo Daniel Ferreira</w:t>
      </w:r>
      <w:r w:rsidR="008E351F" w:rsidRPr="00A51861">
        <w:rPr>
          <w:rStyle w:val="FootnoteReference"/>
          <w:rFonts w:asciiTheme="majorHAnsi" w:hAnsiTheme="majorHAnsi"/>
          <w:sz w:val="20"/>
          <w:szCs w:val="20"/>
        </w:rPr>
        <w:footnoteReference w:id="34"/>
      </w:r>
      <w:r w:rsidR="008E351F" w:rsidRPr="00A51861">
        <w:rPr>
          <w:rFonts w:asciiTheme="majorHAnsi" w:hAnsiTheme="majorHAnsi"/>
          <w:sz w:val="20"/>
          <w:szCs w:val="20"/>
        </w:rPr>
        <w:t xml:space="preserve">. </w:t>
      </w:r>
    </w:p>
    <w:p w14:paraId="151FAC03" w14:textId="77777777" w:rsidR="008E351F" w:rsidRPr="00A51861" w:rsidRDefault="008E351F" w:rsidP="008E4D3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rPr>
      </w:pPr>
    </w:p>
    <w:p w14:paraId="7B169A78" w14:textId="608A71D4" w:rsidR="008E351F" w:rsidRPr="00A51861" w:rsidRDefault="005766F7"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As held in the brief of request</w:t>
      </w:r>
      <w:r w:rsidR="00E92985">
        <w:rPr>
          <w:rFonts w:asciiTheme="majorHAnsi" w:hAnsiTheme="majorHAnsi"/>
          <w:sz w:val="20"/>
          <w:szCs w:val="20"/>
        </w:rPr>
        <w:t xml:space="preserve"> of </w:t>
      </w:r>
      <w:r w:rsidR="00B47E06">
        <w:rPr>
          <w:rFonts w:asciiTheme="majorHAnsi" w:hAnsiTheme="majorHAnsi"/>
          <w:sz w:val="20"/>
          <w:szCs w:val="20"/>
        </w:rPr>
        <w:t>benefit</w:t>
      </w:r>
      <w:r w:rsidR="008E351F" w:rsidRPr="00A51861">
        <w:rPr>
          <w:rFonts w:asciiTheme="majorHAnsi" w:hAnsiTheme="majorHAnsi"/>
          <w:sz w:val="20"/>
          <w:szCs w:val="20"/>
        </w:rPr>
        <w:t>s</w:t>
      </w:r>
      <w:r w:rsidR="00E92985">
        <w:rPr>
          <w:rFonts w:asciiTheme="majorHAnsi" w:hAnsiTheme="majorHAnsi"/>
          <w:sz w:val="20"/>
          <w:szCs w:val="20"/>
        </w:rPr>
        <w:t xml:space="preserve"> of </w:t>
      </w:r>
      <w:r w:rsidR="002835FC" w:rsidRPr="00A51861">
        <w:rPr>
          <w:rFonts w:asciiTheme="majorHAnsi" w:hAnsiTheme="majorHAnsi"/>
          <w:sz w:val="20"/>
          <w:szCs w:val="20"/>
        </w:rPr>
        <w:t xml:space="preserve">Law </w:t>
      </w:r>
      <w:r w:rsidR="008E351F" w:rsidRPr="00A51861">
        <w:rPr>
          <w:rFonts w:asciiTheme="majorHAnsi" w:hAnsiTheme="majorHAnsi"/>
          <w:sz w:val="20"/>
          <w:szCs w:val="20"/>
        </w:rPr>
        <w:t xml:space="preserve">24.043 </w:t>
      </w:r>
      <w:r>
        <w:rPr>
          <w:rFonts w:asciiTheme="majorHAnsi" w:hAnsiTheme="majorHAnsi"/>
          <w:sz w:val="20"/>
          <w:szCs w:val="20"/>
        </w:rPr>
        <w:t>addressed to the</w:t>
      </w:r>
      <w:r w:rsidR="008E351F" w:rsidRPr="00A51861">
        <w:rPr>
          <w:rFonts w:asciiTheme="majorHAnsi" w:hAnsiTheme="majorHAnsi"/>
          <w:sz w:val="20"/>
          <w:szCs w:val="20"/>
        </w:rPr>
        <w:t xml:space="preserve"> Minist</w:t>
      </w:r>
      <w:r>
        <w:rPr>
          <w:rFonts w:asciiTheme="majorHAnsi" w:hAnsiTheme="majorHAnsi"/>
          <w:sz w:val="20"/>
          <w:szCs w:val="20"/>
        </w:rPr>
        <w:t>ry</w:t>
      </w:r>
      <w:r w:rsidR="008E351F" w:rsidRPr="00A51861">
        <w:rPr>
          <w:rFonts w:asciiTheme="majorHAnsi" w:hAnsiTheme="majorHAnsi"/>
          <w:sz w:val="20"/>
          <w:szCs w:val="20"/>
        </w:rPr>
        <w:t xml:space="preserve"> </w:t>
      </w:r>
      <w:r>
        <w:rPr>
          <w:rFonts w:asciiTheme="majorHAnsi" w:hAnsiTheme="majorHAnsi"/>
          <w:sz w:val="20"/>
          <w:szCs w:val="20"/>
        </w:rPr>
        <w:t>of</w:t>
      </w:r>
      <w:r w:rsidR="008E351F" w:rsidRPr="00A51861">
        <w:rPr>
          <w:rFonts w:asciiTheme="majorHAnsi" w:hAnsiTheme="majorHAnsi"/>
          <w:sz w:val="20"/>
          <w:szCs w:val="20"/>
        </w:rPr>
        <w:t xml:space="preserve"> Interior, </w:t>
      </w:r>
      <w:r>
        <w:rPr>
          <w:rFonts w:asciiTheme="majorHAnsi" w:hAnsiTheme="majorHAnsi"/>
          <w:sz w:val="20"/>
          <w:szCs w:val="20"/>
        </w:rPr>
        <w:t>the raided establishment belonged to the</w:t>
      </w:r>
      <w:r w:rsidR="008E351F" w:rsidRPr="00A51861">
        <w:rPr>
          <w:rFonts w:asciiTheme="majorHAnsi" w:hAnsiTheme="majorHAnsi"/>
          <w:sz w:val="20"/>
          <w:szCs w:val="20"/>
        </w:rPr>
        <w:t xml:space="preserve"> “Peronism</w:t>
      </w:r>
      <w:r w:rsidR="00E92985">
        <w:rPr>
          <w:rFonts w:asciiTheme="majorHAnsi" w:hAnsiTheme="majorHAnsi"/>
          <w:sz w:val="20"/>
          <w:szCs w:val="20"/>
        </w:rPr>
        <w:t xml:space="preserve"> of </w:t>
      </w:r>
      <w:r w:rsidR="008E351F" w:rsidRPr="00A51861">
        <w:rPr>
          <w:rFonts w:asciiTheme="majorHAnsi" w:hAnsiTheme="majorHAnsi"/>
          <w:sz w:val="20"/>
          <w:szCs w:val="20"/>
        </w:rPr>
        <w:t xml:space="preserve">Base” </w:t>
      </w:r>
      <w:r>
        <w:rPr>
          <w:rFonts w:asciiTheme="majorHAnsi" w:hAnsiTheme="majorHAnsi"/>
          <w:sz w:val="20"/>
          <w:szCs w:val="20"/>
        </w:rPr>
        <w:t>where a</w:t>
      </w:r>
      <w:r w:rsidR="00C43691">
        <w:rPr>
          <w:rFonts w:asciiTheme="majorHAnsi" w:hAnsiTheme="majorHAnsi"/>
          <w:sz w:val="20"/>
          <w:szCs w:val="20"/>
        </w:rPr>
        <w:t xml:space="preserve">n </w:t>
      </w:r>
      <w:r w:rsidR="00C91385">
        <w:rPr>
          <w:rFonts w:asciiTheme="majorHAnsi" w:hAnsiTheme="majorHAnsi"/>
          <w:sz w:val="20"/>
          <w:szCs w:val="20"/>
        </w:rPr>
        <w:t>assembly</w:t>
      </w:r>
      <w:r>
        <w:rPr>
          <w:rFonts w:asciiTheme="majorHAnsi" w:hAnsiTheme="majorHAnsi"/>
          <w:sz w:val="20"/>
          <w:szCs w:val="20"/>
        </w:rPr>
        <w:t xml:space="preserve"> was being held summoned by the</w:t>
      </w:r>
      <w:r w:rsidR="008E351F" w:rsidRPr="00A51861">
        <w:rPr>
          <w:rFonts w:asciiTheme="majorHAnsi" w:hAnsiTheme="majorHAnsi"/>
          <w:sz w:val="20"/>
          <w:szCs w:val="20"/>
        </w:rPr>
        <w:t xml:space="preserve"> “</w:t>
      </w:r>
      <w:r w:rsidRPr="00A51861">
        <w:rPr>
          <w:rFonts w:asciiTheme="majorHAnsi" w:hAnsiTheme="majorHAnsi"/>
          <w:sz w:val="20"/>
          <w:szCs w:val="20"/>
        </w:rPr>
        <w:t>Commit</w:t>
      </w:r>
      <w:r>
        <w:rPr>
          <w:rFonts w:asciiTheme="majorHAnsi" w:hAnsiTheme="majorHAnsi"/>
          <w:sz w:val="20"/>
          <w:szCs w:val="20"/>
        </w:rPr>
        <w:t>tee</w:t>
      </w:r>
      <w:r w:rsidR="00E92985">
        <w:rPr>
          <w:rFonts w:asciiTheme="majorHAnsi" w:hAnsiTheme="majorHAnsi"/>
          <w:sz w:val="20"/>
          <w:szCs w:val="20"/>
        </w:rPr>
        <w:t xml:space="preserve"> of </w:t>
      </w:r>
      <w:r w:rsidRPr="00A51861">
        <w:rPr>
          <w:rFonts w:asciiTheme="majorHAnsi" w:hAnsiTheme="majorHAnsi"/>
          <w:sz w:val="20"/>
          <w:szCs w:val="20"/>
        </w:rPr>
        <w:t>Uruguay</w:t>
      </w:r>
      <w:r>
        <w:rPr>
          <w:rFonts w:asciiTheme="majorHAnsi" w:hAnsiTheme="majorHAnsi"/>
          <w:sz w:val="20"/>
          <w:szCs w:val="20"/>
        </w:rPr>
        <w:t>an</w:t>
      </w:r>
      <w:r w:rsidRPr="00A51861">
        <w:rPr>
          <w:rFonts w:asciiTheme="majorHAnsi" w:hAnsiTheme="majorHAnsi"/>
          <w:sz w:val="20"/>
          <w:szCs w:val="20"/>
        </w:rPr>
        <w:t xml:space="preserve"> </w:t>
      </w:r>
      <w:r w:rsidR="008E351F" w:rsidRPr="00A51861">
        <w:rPr>
          <w:rFonts w:asciiTheme="majorHAnsi" w:hAnsiTheme="majorHAnsi"/>
          <w:sz w:val="20"/>
          <w:szCs w:val="20"/>
        </w:rPr>
        <w:t>Residents 19</w:t>
      </w:r>
      <w:r w:rsidR="00E92985">
        <w:rPr>
          <w:rFonts w:asciiTheme="majorHAnsi" w:hAnsiTheme="majorHAnsi"/>
          <w:sz w:val="20"/>
          <w:szCs w:val="20"/>
        </w:rPr>
        <w:t xml:space="preserve"> </w:t>
      </w:r>
      <w:r>
        <w:rPr>
          <w:rFonts w:asciiTheme="majorHAnsi" w:hAnsiTheme="majorHAnsi"/>
          <w:sz w:val="20"/>
          <w:szCs w:val="20"/>
        </w:rPr>
        <w:t>de</w:t>
      </w:r>
      <w:r w:rsidR="00E92985">
        <w:rPr>
          <w:rFonts w:asciiTheme="majorHAnsi" w:hAnsiTheme="majorHAnsi"/>
          <w:sz w:val="20"/>
          <w:szCs w:val="20"/>
        </w:rPr>
        <w:t xml:space="preserve"> </w:t>
      </w:r>
      <w:r w:rsidR="008E351F" w:rsidRPr="00A51861">
        <w:rPr>
          <w:rFonts w:asciiTheme="majorHAnsi" w:hAnsiTheme="majorHAnsi"/>
          <w:sz w:val="20"/>
          <w:szCs w:val="20"/>
        </w:rPr>
        <w:t xml:space="preserve">abril”, </w:t>
      </w:r>
      <w:r>
        <w:rPr>
          <w:rFonts w:asciiTheme="majorHAnsi" w:hAnsiTheme="majorHAnsi"/>
          <w:sz w:val="20"/>
          <w:szCs w:val="20"/>
        </w:rPr>
        <w:t>a political organization who fought to release</w:t>
      </w:r>
      <w:r w:rsidR="008E351F" w:rsidRPr="00A51861">
        <w:rPr>
          <w:rFonts w:asciiTheme="majorHAnsi" w:hAnsiTheme="majorHAnsi"/>
          <w:sz w:val="20"/>
          <w:szCs w:val="20"/>
        </w:rPr>
        <w:t xml:space="preserve"> </w:t>
      </w:r>
      <w:r>
        <w:rPr>
          <w:rFonts w:asciiTheme="majorHAnsi" w:hAnsiTheme="majorHAnsi"/>
          <w:sz w:val="20"/>
          <w:szCs w:val="20"/>
        </w:rPr>
        <w:t>Uruguayan and Argentine political prisoners</w:t>
      </w:r>
      <w:r w:rsidR="008E351F" w:rsidRPr="00A51861">
        <w:rPr>
          <w:rStyle w:val="FootnoteReference"/>
          <w:rFonts w:asciiTheme="majorHAnsi" w:hAnsiTheme="majorHAnsi"/>
          <w:sz w:val="20"/>
          <w:szCs w:val="20"/>
        </w:rPr>
        <w:footnoteReference w:id="35"/>
      </w:r>
      <w:r w:rsidR="008E351F" w:rsidRPr="00A51861">
        <w:rPr>
          <w:rFonts w:asciiTheme="majorHAnsi" w:hAnsiTheme="majorHAnsi"/>
          <w:sz w:val="20"/>
          <w:szCs w:val="20"/>
        </w:rPr>
        <w:t xml:space="preserve">. </w:t>
      </w:r>
      <w:r>
        <w:rPr>
          <w:rFonts w:asciiTheme="majorHAnsi" w:hAnsiTheme="majorHAnsi"/>
          <w:sz w:val="20"/>
          <w:szCs w:val="20"/>
        </w:rPr>
        <w:t>It was referred that according to the informe</w:t>
      </w:r>
      <w:r w:rsidR="00F03E79">
        <w:rPr>
          <w:rFonts w:asciiTheme="majorHAnsi" w:hAnsiTheme="majorHAnsi"/>
          <w:sz w:val="20"/>
          <w:szCs w:val="20"/>
        </w:rPr>
        <w:t>d</w:t>
      </w:r>
      <w:r>
        <w:rPr>
          <w:rFonts w:asciiTheme="majorHAnsi" w:hAnsiTheme="majorHAnsi"/>
          <w:sz w:val="20"/>
          <w:szCs w:val="20"/>
        </w:rPr>
        <w:t xml:space="preserve"> </w:t>
      </w:r>
      <w:r w:rsidR="00F03E79">
        <w:rPr>
          <w:rFonts w:asciiTheme="majorHAnsi" w:hAnsiTheme="majorHAnsi"/>
          <w:sz w:val="20"/>
          <w:szCs w:val="20"/>
        </w:rPr>
        <w:t>by</w:t>
      </w:r>
      <w:r>
        <w:rPr>
          <w:rFonts w:asciiTheme="majorHAnsi" w:hAnsiTheme="majorHAnsi"/>
          <w:sz w:val="20"/>
          <w:szCs w:val="20"/>
        </w:rPr>
        <w:t xml:space="preserve"> press releases</w:t>
      </w:r>
      <w:r w:rsidR="00E92985">
        <w:rPr>
          <w:rFonts w:asciiTheme="majorHAnsi" w:hAnsiTheme="majorHAnsi"/>
          <w:sz w:val="20"/>
          <w:szCs w:val="20"/>
        </w:rPr>
        <w:t xml:space="preserve"> of </w:t>
      </w:r>
      <w:r w:rsidR="00F03E79">
        <w:rPr>
          <w:rFonts w:asciiTheme="majorHAnsi" w:hAnsiTheme="majorHAnsi"/>
          <w:sz w:val="20"/>
          <w:szCs w:val="20"/>
        </w:rPr>
        <w:t>June 4,</w:t>
      </w:r>
      <w:r w:rsidR="00E92985">
        <w:rPr>
          <w:rFonts w:asciiTheme="majorHAnsi" w:hAnsiTheme="majorHAnsi"/>
          <w:sz w:val="20"/>
          <w:szCs w:val="20"/>
        </w:rPr>
        <w:t xml:space="preserve"> </w:t>
      </w:r>
      <w:r w:rsidR="008E351F" w:rsidRPr="00A51861">
        <w:rPr>
          <w:rFonts w:asciiTheme="majorHAnsi" w:hAnsiTheme="majorHAnsi"/>
          <w:sz w:val="20"/>
          <w:szCs w:val="20"/>
        </w:rPr>
        <w:t xml:space="preserve">1974, </w:t>
      </w:r>
      <w:r w:rsidR="00F03E79">
        <w:rPr>
          <w:rFonts w:asciiTheme="majorHAnsi" w:hAnsiTheme="majorHAnsi"/>
          <w:sz w:val="20"/>
          <w:szCs w:val="20"/>
        </w:rPr>
        <w:t>the</w:t>
      </w:r>
      <w:r w:rsidR="008E351F" w:rsidRPr="00A51861">
        <w:rPr>
          <w:rFonts w:asciiTheme="majorHAnsi" w:hAnsiTheme="majorHAnsi"/>
          <w:sz w:val="20"/>
          <w:szCs w:val="20"/>
        </w:rPr>
        <w:t xml:space="preserve"> operati</w:t>
      </w:r>
      <w:r w:rsidR="00C43691">
        <w:rPr>
          <w:rFonts w:asciiTheme="majorHAnsi" w:hAnsiTheme="majorHAnsi"/>
          <w:sz w:val="20"/>
          <w:szCs w:val="20"/>
        </w:rPr>
        <w:t>on</w:t>
      </w:r>
      <w:r w:rsidR="00F03E79">
        <w:rPr>
          <w:rFonts w:asciiTheme="majorHAnsi" w:hAnsiTheme="majorHAnsi"/>
          <w:sz w:val="20"/>
          <w:szCs w:val="20"/>
        </w:rPr>
        <w:t xml:space="preserve"> was conducted by the</w:t>
      </w:r>
      <w:r w:rsidR="008E351F" w:rsidRPr="00A51861">
        <w:rPr>
          <w:rFonts w:asciiTheme="majorHAnsi" w:hAnsiTheme="majorHAnsi"/>
          <w:sz w:val="20"/>
          <w:szCs w:val="20"/>
        </w:rPr>
        <w:t xml:space="preserve"> </w:t>
      </w:r>
      <w:r w:rsidR="00F03E79" w:rsidRPr="00A51861">
        <w:rPr>
          <w:rFonts w:asciiTheme="majorHAnsi" w:hAnsiTheme="majorHAnsi"/>
          <w:sz w:val="20"/>
          <w:szCs w:val="20"/>
        </w:rPr>
        <w:t>Superintendency</w:t>
      </w:r>
      <w:r w:rsidR="00E92985">
        <w:rPr>
          <w:rFonts w:asciiTheme="majorHAnsi" w:hAnsiTheme="majorHAnsi"/>
          <w:sz w:val="20"/>
          <w:szCs w:val="20"/>
        </w:rPr>
        <w:t xml:space="preserve"> of </w:t>
      </w:r>
      <w:r w:rsidR="008E351F" w:rsidRPr="00A51861">
        <w:rPr>
          <w:rFonts w:asciiTheme="majorHAnsi" w:hAnsiTheme="majorHAnsi"/>
          <w:sz w:val="20"/>
          <w:szCs w:val="20"/>
        </w:rPr>
        <w:t>Federal</w:t>
      </w:r>
      <w:r w:rsidR="00F03E79" w:rsidRPr="00F03E79">
        <w:rPr>
          <w:rFonts w:asciiTheme="majorHAnsi" w:hAnsiTheme="majorHAnsi"/>
          <w:sz w:val="20"/>
          <w:szCs w:val="20"/>
        </w:rPr>
        <w:t xml:space="preserve"> </w:t>
      </w:r>
      <w:r w:rsidR="00F03E79" w:rsidRPr="00A51861">
        <w:rPr>
          <w:rFonts w:asciiTheme="majorHAnsi" w:hAnsiTheme="majorHAnsi"/>
          <w:sz w:val="20"/>
          <w:szCs w:val="20"/>
        </w:rPr>
        <w:t>Se</w:t>
      </w:r>
      <w:r w:rsidR="00F03E79">
        <w:rPr>
          <w:rFonts w:asciiTheme="majorHAnsi" w:hAnsiTheme="majorHAnsi"/>
          <w:sz w:val="20"/>
          <w:szCs w:val="20"/>
        </w:rPr>
        <w:t>curity</w:t>
      </w:r>
      <w:r w:rsidR="008E351F" w:rsidRPr="00A51861">
        <w:rPr>
          <w:rFonts w:asciiTheme="majorHAnsi" w:hAnsiTheme="majorHAnsi"/>
          <w:sz w:val="20"/>
          <w:szCs w:val="20"/>
        </w:rPr>
        <w:t>,</w:t>
      </w:r>
      <w:r w:rsidR="00E92985">
        <w:rPr>
          <w:rFonts w:asciiTheme="majorHAnsi" w:hAnsiTheme="majorHAnsi"/>
          <w:sz w:val="20"/>
          <w:szCs w:val="20"/>
        </w:rPr>
        <w:t xml:space="preserve"> and of </w:t>
      </w:r>
      <w:r w:rsidR="00F03E79">
        <w:rPr>
          <w:rFonts w:asciiTheme="majorHAnsi" w:hAnsiTheme="majorHAnsi"/>
          <w:sz w:val="20"/>
          <w:szCs w:val="20"/>
        </w:rPr>
        <w:t>the</w:t>
      </w:r>
      <w:r w:rsidR="008E351F" w:rsidRPr="00A51861">
        <w:rPr>
          <w:rFonts w:asciiTheme="majorHAnsi" w:hAnsiTheme="majorHAnsi"/>
          <w:sz w:val="20"/>
          <w:szCs w:val="20"/>
        </w:rPr>
        <w:t xml:space="preserve"> </w:t>
      </w:r>
      <w:r w:rsidR="00F03E79">
        <w:rPr>
          <w:rFonts w:asciiTheme="majorHAnsi" w:hAnsiTheme="majorHAnsi"/>
          <w:sz w:val="20"/>
          <w:szCs w:val="20"/>
        </w:rPr>
        <w:t xml:space="preserve">detained </w:t>
      </w:r>
      <w:r w:rsidR="00EC7A58">
        <w:rPr>
          <w:rFonts w:asciiTheme="majorHAnsi" w:hAnsiTheme="majorHAnsi"/>
          <w:sz w:val="20"/>
          <w:szCs w:val="20"/>
        </w:rPr>
        <w:t>persons</w:t>
      </w:r>
      <w:r w:rsidR="008E351F" w:rsidRPr="00A51861">
        <w:rPr>
          <w:rFonts w:asciiTheme="majorHAnsi" w:hAnsiTheme="majorHAnsi"/>
          <w:sz w:val="20"/>
          <w:szCs w:val="20"/>
        </w:rPr>
        <w:t xml:space="preserve"> </w:t>
      </w:r>
      <w:r w:rsidR="00F03E79">
        <w:rPr>
          <w:rFonts w:asciiTheme="majorHAnsi" w:hAnsiTheme="majorHAnsi"/>
          <w:sz w:val="20"/>
          <w:szCs w:val="20"/>
        </w:rPr>
        <w:t>only five were set free because they were minors</w:t>
      </w:r>
      <w:r w:rsidR="008E351F" w:rsidRPr="00A51861">
        <w:rPr>
          <w:rStyle w:val="FootnoteReference"/>
          <w:rFonts w:asciiTheme="majorHAnsi" w:hAnsiTheme="majorHAnsi"/>
          <w:sz w:val="20"/>
          <w:szCs w:val="20"/>
        </w:rPr>
        <w:footnoteReference w:id="36"/>
      </w:r>
      <w:r w:rsidR="008E351F" w:rsidRPr="00A51861">
        <w:rPr>
          <w:rFonts w:asciiTheme="majorHAnsi" w:hAnsiTheme="majorHAnsi"/>
          <w:sz w:val="20"/>
          <w:szCs w:val="20"/>
        </w:rPr>
        <w:t xml:space="preserve">. </w:t>
      </w:r>
      <w:r w:rsidR="00F03E79">
        <w:rPr>
          <w:rFonts w:asciiTheme="majorHAnsi" w:hAnsiTheme="majorHAnsi"/>
          <w:sz w:val="20"/>
          <w:szCs w:val="20"/>
        </w:rPr>
        <w:t>Several of the</w:t>
      </w:r>
      <w:r w:rsidR="008E351F" w:rsidRPr="00A51861">
        <w:rPr>
          <w:rFonts w:asciiTheme="majorHAnsi" w:hAnsiTheme="majorHAnsi"/>
          <w:sz w:val="20"/>
          <w:szCs w:val="20"/>
        </w:rPr>
        <w:t xml:space="preserve"> </w:t>
      </w:r>
      <w:r w:rsidR="00EC7A58">
        <w:rPr>
          <w:rFonts w:asciiTheme="majorHAnsi" w:hAnsiTheme="majorHAnsi"/>
          <w:sz w:val="20"/>
          <w:szCs w:val="20"/>
        </w:rPr>
        <w:t>persons</w:t>
      </w:r>
      <w:r w:rsidR="008E351F" w:rsidRPr="00A51861">
        <w:rPr>
          <w:rFonts w:asciiTheme="majorHAnsi" w:hAnsiTheme="majorHAnsi"/>
          <w:sz w:val="20"/>
          <w:szCs w:val="20"/>
        </w:rPr>
        <w:t xml:space="preserve"> </w:t>
      </w:r>
      <w:r w:rsidR="00F03E79">
        <w:rPr>
          <w:rFonts w:asciiTheme="majorHAnsi" w:hAnsiTheme="majorHAnsi"/>
          <w:sz w:val="20"/>
          <w:szCs w:val="20"/>
        </w:rPr>
        <w:t>detained in said</w:t>
      </w:r>
      <w:r w:rsidR="008E351F" w:rsidRPr="00A51861">
        <w:rPr>
          <w:rFonts w:asciiTheme="majorHAnsi" w:hAnsiTheme="majorHAnsi"/>
          <w:sz w:val="20"/>
          <w:szCs w:val="20"/>
        </w:rPr>
        <w:t xml:space="preserve"> operat</w:t>
      </w:r>
      <w:r w:rsidR="00C43691">
        <w:rPr>
          <w:rFonts w:asciiTheme="majorHAnsi" w:hAnsiTheme="majorHAnsi"/>
          <w:sz w:val="20"/>
          <w:szCs w:val="20"/>
        </w:rPr>
        <w:t xml:space="preserve">ion </w:t>
      </w:r>
      <w:r w:rsidR="00F03E79">
        <w:rPr>
          <w:rFonts w:asciiTheme="majorHAnsi" w:hAnsiTheme="majorHAnsi"/>
          <w:sz w:val="20"/>
          <w:szCs w:val="20"/>
        </w:rPr>
        <w:t xml:space="preserve">were released </w:t>
      </w:r>
      <w:r w:rsidR="00F03E79">
        <w:rPr>
          <w:rFonts w:asciiTheme="majorHAnsi" w:hAnsiTheme="majorHAnsi"/>
          <w:sz w:val="20"/>
          <w:szCs w:val="20"/>
        </w:rPr>
        <w:lastRenderedPageBreak/>
        <w:t>afterward</w:t>
      </w:r>
      <w:r w:rsidR="008E351F" w:rsidRPr="00A51861">
        <w:rPr>
          <w:rFonts w:asciiTheme="majorHAnsi" w:hAnsiTheme="majorHAnsi"/>
          <w:sz w:val="20"/>
          <w:szCs w:val="20"/>
        </w:rPr>
        <w:t>,</w:t>
      </w:r>
      <w:r w:rsidR="00E92985">
        <w:rPr>
          <w:rFonts w:asciiTheme="majorHAnsi" w:hAnsiTheme="majorHAnsi"/>
          <w:sz w:val="20"/>
          <w:szCs w:val="20"/>
        </w:rPr>
        <w:t xml:space="preserve"> and </w:t>
      </w:r>
      <w:r w:rsidR="00F03E79">
        <w:rPr>
          <w:rFonts w:asciiTheme="majorHAnsi" w:hAnsiTheme="majorHAnsi"/>
          <w:sz w:val="20"/>
          <w:szCs w:val="20"/>
        </w:rPr>
        <w:t>others who were advocating for the liberation of</w:t>
      </w:r>
      <w:r w:rsidR="00E92985">
        <w:rPr>
          <w:rFonts w:asciiTheme="majorHAnsi" w:hAnsiTheme="majorHAnsi"/>
          <w:sz w:val="20"/>
          <w:szCs w:val="20"/>
        </w:rPr>
        <w:t xml:space="preserve"> </w:t>
      </w:r>
      <w:r w:rsidR="00F03E79">
        <w:rPr>
          <w:rFonts w:asciiTheme="majorHAnsi" w:hAnsiTheme="majorHAnsi"/>
          <w:sz w:val="20"/>
          <w:szCs w:val="20"/>
        </w:rPr>
        <w:t>those arrested on June 2,</w:t>
      </w:r>
      <w:r w:rsidR="00E92985">
        <w:rPr>
          <w:rFonts w:asciiTheme="majorHAnsi" w:hAnsiTheme="majorHAnsi"/>
          <w:sz w:val="20"/>
          <w:szCs w:val="20"/>
        </w:rPr>
        <w:t xml:space="preserve"> </w:t>
      </w:r>
      <w:r w:rsidR="008E351F" w:rsidRPr="00A51861">
        <w:rPr>
          <w:rFonts w:asciiTheme="majorHAnsi" w:hAnsiTheme="majorHAnsi"/>
          <w:sz w:val="20"/>
          <w:szCs w:val="20"/>
        </w:rPr>
        <w:t xml:space="preserve">1974, </w:t>
      </w:r>
      <w:r w:rsidR="00F03E79">
        <w:rPr>
          <w:rFonts w:asciiTheme="majorHAnsi" w:hAnsiTheme="majorHAnsi"/>
          <w:sz w:val="20"/>
          <w:szCs w:val="20"/>
        </w:rPr>
        <w:t>are currently missing</w:t>
      </w:r>
      <w:r w:rsidR="008E351F" w:rsidRPr="00A51861">
        <w:rPr>
          <w:rStyle w:val="FootnoteReference"/>
          <w:rFonts w:asciiTheme="majorHAnsi" w:hAnsiTheme="majorHAnsi"/>
          <w:sz w:val="20"/>
          <w:szCs w:val="20"/>
        </w:rPr>
        <w:footnoteReference w:id="37"/>
      </w:r>
      <w:r w:rsidR="008E351F" w:rsidRPr="00A51861">
        <w:rPr>
          <w:rFonts w:asciiTheme="majorHAnsi" w:hAnsiTheme="majorHAnsi"/>
          <w:sz w:val="20"/>
          <w:szCs w:val="20"/>
        </w:rPr>
        <w:t>.</w:t>
      </w:r>
    </w:p>
    <w:p w14:paraId="2D30F451" w14:textId="77777777" w:rsidR="008E351F" w:rsidRPr="00A51861" w:rsidRDefault="008E351F" w:rsidP="008E4D36">
      <w:pPr>
        <w:pStyle w:val="ListParagraph"/>
        <w:rPr>
          <w:rFonts w:asciiTheme="majorHAnsi" w:hAnsiTheme="majorHAnsi"/>
          <w:sz w:val="20"/>
          <w:szCs w:val="20"/>
        </w:rPr>
      </w:pPr>
    </w:p>
    <w:p w14:paraId="4A1991AE" w14:textId="274235FE" w:rsidR="008E351F" w:rsidRPr="00A51861" w:rsidRDefault="002D7CF5"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After his</w:t>
      </w:r>
      <w:r w:rsidR="008E351F" w:rsidRPr="00A51861">
        <w:rPr>
          <w:rFonts w:asciiTheme="majorHAnsi" w:hAnsiTheme="majorHAnsi"/>
          <w:sz w:val="20"/>
          <w:szCs w:val="20"/>
        </w:rPr>
        <w:t xml:space="preserve"> </w:t>
      </w:r>
      <w:r w:rsidR="006E255A">
        <w:rPr>
          <w:rFonts w:asciiTheme="majorHAnsi" w:hAnsiTheme="majorHAnsi"/>
          <w:sz w:val="20"/>
          <w:szCs w:val="20"/>
        </w:rPr>
        <w:t>detention</w:t>
      </w:r>
      <w:r w:rsidR="008E351F" w:rsidRPr="00A51861">
        <w:rPr>
          <w:rFonts w:asciiTheme="majorHAnsi" w:hAnsiTheme="majorHAnsi"/>
          <w:sz w:val="20"/>
          <w:szCs w:val="20"/>
        </w:rPr>
        <w:t xml:space="preserve">, </w:t>
      </w:r>
      <w:r w:rsidR="00A51861" w:rsidRPr="00A51861">
        <w:rPr>
          <w:rFonts w:asciiTheme="majorHAnsi" w:hAnsiTheme="majorHAnsi"/>
          <w:sz w:val="20"/>
          <w:szCs w:val="20"/>
        </w:rPr>
        <w:t xml:space="preserve">Mr. </w:t>
      </w:r>
      <w:r w:rsidR="00B01A54">
        <w:rPr>
          <w:rFonts w:asciiTheme="majorHAnsi" w:hAnsiTheme="majorHAnsi"/>
          <w:sz w:val="20"/>
          <w:szCs w:val="20"/>
        </w:rPr>
        <w:t xml:space="preserve">Rito de los Santos </w:t>
      </w:r>
      <w:r>
        <w:rPr>
          <w:rFonts w:asciiTheme="majorHAnsi" w:hAnsiTheme="majorHAnsi"/>
          <w:sz w:val="20"/>
          <w:szCs w:val="20"/>
        </w:rPr>
        <w:t>was transferred to the premises of</w:t>
      </w:r>
      <w:r w:rsidR="00E92985">
        <w:rPr>
          <w:rFonts w:asciiTheme="majorHAnsi" w:hAnsiTheme="majorHAnsi"/>
          <w:sz w:val="20"/>
          <w:szCs w:val="20"/>
        </w:rPr>
        <w:t xml:space="preserve"> the </w:t>
      </w:r>
      <w:r>
        <w:rPr>
          <w:rFonts w:asciiTheme="majorHAnsi" w:hAnsiTheme="majorHAnsi"/>
          <w:sz w:val="20"/>
          <w:szCs w:val="20"/>
        </w:rPr>
        <w:t>Superintendence of Federal Security</w:t>
      </w:r>
      <w:r w:rsidR="008E351F" w:rsidRPr="00A51861">
        <w:rPr>
          <w:rFonts w:asciiTheme="majorHAnsi" w:hAnsiTheme="majorHAnsi"/>
          <w:sz w:val="20"/>
          <w:szCs w:val="20"/>
        </w:rPr>
        <w:t xml:space="preserve">, </w:t>
      </w:r>
      <w:r>
        <w:rPr>
          <w:rFonts w:asciiTheme="majorHAnsi" w:hAnsiTheme="majorHAnsi"/>
          <w:sz w:val="20"/>
          <w:szCs w:val="20"/>
        </w:rPr>
        <w:t>where he was</w:t>
      </w:r>
      <w:r w:rsidR="008E351F" w:rsidRPr="00A51861">
        <w:rPr>
          <w:rFonts w:asciiTheme="majorHAnsi" w:hAnsiTheme="majorHAnsi"/>
          <w:sz w:val="20"/>
          <w:szCs w:val="20"/>
        </w:rPr>
        <w:t xml:space="preserve"> interroga</w:t>
      </w:r>
      <w:r>
        <w:rPr>
          <w:rFonts w:asciiTheme="majorHAnsi" w:hAnsiTheme="majorHAnsi"/>
          <w:sz w:val="20"/>
          <w:szCs w:val="20"/>
        </w:rPr>
        <w:t>te</w:t>
      </w:r>
      <w:r w:rsidR="008E351F" w:rsidRPr="00A51861">
        <w:rPr>
          <w:rFonts w:asciiTheme="majorHAnsi" w:hAnsiTheme="majorHAnsi"/>
          <w:sz w:val="20"/>
          <w:szCs w:val="20"/>
        </w:rPr>
        <w:t xml:space="preserve">d </w:t>
      </w:r>
      <w:r>
        <w:rPr>
          <w:rFonts w:asciiTheme="majorHAnsi" w:hAnsiTheme="majorHAnsi"/>
          <w:sz w:val="20"/>
          <w:szCs w:val="20"/>
        </w:rPr>
        <w:t>on several occasions</w:t>
      </w:r>
      <w:r w:rsidR="008E351F" w:rsidRPr="00A51861">
        <w:rPr>
          <w:rFonts w:asciiTheme="majorHAnsi" w:hAnsiTheme="majorHAnsi"/>
          <w:sz w:val="20"/>
          <w:szCs w:val="20"/>
        </w:rPr>
        <w:t xml:space="preserve"> </w:t>
      </w:r>
      <w:r w:rsidR="00E92985">
        <w:rPr>
          <w:rFonts w:asciiTheme="majorHAnsi" w:hAnsiTheme="majorHAnsi"/>
          <w:sz w:val="20"/>
          <w:szCs w:val="20"/>
        </w:rPr>
        <w:t xml:space="preserve">and </w:t>
      </w:r>
      <w:r>
        <w:rPr>
          <w:rFonts w:asciiTheme="majorHAnsi" w:hAnsiTheme="majorHAnsi"/>
          <w:sz w:val="20"/>
          <w:szCs w:val="20"/>
        </w:rPr>
        <w:t>was forced to sign under pressure</w:t>
      </w:r>
      <w:r w:rsidR="008E351F" w:rsidRPr="00A51861">
        <w:rPr>
          <w:rFonts w:asciiTheme="majorHAnsi" w:hAnsiTheme="majorHAnsi"/>
          <w:sz w:val="20"/>
          <w:szCs w:val="20"/>
        </w:rPr>
        <w:t xml:space="preserve">, documents </w:t>
      </w:r>
      <w:r>
        <w:rPr>
          <w:rFonts w:asciiTheme="majorHAnsi" w:hAnsiTheme="majorHAnsi"/>
          <w:sz w:val="20"/>
          <w:szCs w:val="20"/>
        </w:rPr>
        <w:t>that would afterward be used in his proceedings of expulsion</w:t>
      </w:r>
      <w:r w:rsidR="008E351F" w:rsidRPr="00A51861">
        <w:rPr>
          <w:rStyle w:val="FootnoteReference"/>
          <w:rFonts w:asciiTheme="majorHAnsi" w:hAnsiTheme="majorHAnsi"/>
          <w:sz w:val="20"/>
          <w:szCs w:val="20"/>
        </w:rPr>
        <w:footnoteReference w:id="38"/>
      </w:r>
      <w:r w:rsidR="001D1D61">
        <w:rPr>
          <w:rFonts w:asciiTheme="majorHAnsi" w:hAnsiTheme="majorHAnsi"/>
          <w:sz w:val="20"/>
          <w:szCs w:val="20"/>
        </w:rPr>
        <w:t>. Th</w:t>
      </w:r>
      <w:r w:rsidR="00A51861" w:rsidRPr="00A51861">
        <w:rPr>
          <w:rFonts w:asciiTheme="majorHAnsi" w:hAnsiTheme="majorHAnsi"/>
          <w:sz w:val="20"/>
          <w:szCs w:val="20"/>
        </w:rPr>
        <w:t>e IACHR</w:t>
      </w:r>
      <w:r w:rsidR="008E351F" w:rsidRPr="00A51861">
        <w:rPr>
          <w:rFonts w:asciiTheme="majorHAnsi" w:hAnsiTheme="majorHAnsi"/>
          <w:sz w:val="20"/>
          <w:szCs w:val="20"/>
        </w:rPr>
        <w:t xml:space="preserve"> </w:t>
      </w:r>
      <w:r w:rsidR="00A51861" w:rsidRPr="00A51861">
        <w:rPr>
          <w:rFonts w:asciiTheme="majorHAnsi" w:hAnsiTheme="majorHAnsi"/>
          <w:sz w:val="20"/>
          <w:szCs w:val="20"/>
        </w:rPr>
        <w:t>observes that</w:t>
      </w:r>
      <w:r w:rsidR="008E351F" w:rsidRPr="00A51861">
        <w:rPr>
          <w:rFonts w:asciiTheme="majorHAnsi" w:hAnsiTheme="majorHAnsi"/>
          <w:sz w:val="20"/>
          <w:szCs w:val="20"/>
        </w:rPr>
        <w:t xml:space="preserve"> </w:t>
      </w:r>
      <w:r>
        <w:rPr>
          <w:rFonts w:asciiTheme="majorHAnsi" w:hAnsiTheme="majorHAnsi"/>
          <w:sz w:val="20"/>
          <w:szCs w:val="20"/>
        </w:rPr>
        <w:t>it has not been specified in the</w:t>
      </w:r>
      <w:r w:rsidR="008E351F" w:rsidRPr="00A51861">
        <w:rPr>
          <w:rFonts w:asciiTheme="majorHAnsi" w:hAnsiTheme="majorHAnsi"/>
          <w:sz w:val="20"/>
          <w:szCs w:val="20"/>
        </w:rPr>
        <w:t xml:space="preserve"> </w:t>
      </w:r>
      <w:r w:rsidR="00AA5556">
        <w:rPr>
          <w:rFonts w:asciiTheme="majorHAnsi" w:hAnsiTheme="majorHAnsi"/>
          <w:sz w:val="20"/>
          <w:szCs w:val="20"/>
        </w:rPr>
        <w:t>petition</w:t>
      </w:r>
      <w:r w:rsidR="008E351F" w:rsidRPr="00A51861">
        <w:rPr>
          <w:rFonts w:asciiTheme="majorHAnsi" w:hAnsiTheme="majorHAnsi"/>
          <w:sz w:val="20"/>
          <w:szCs w:val="20"/>
        </w:rPr>
        <w:t xml:space="preserve"> </w:t>
      </w:r>
      <w:r>
        <w:rPr>
          <w:rFonts w:asciiTheme="majorHAnsi" w:hAnsiTheme="majorHAnsi"/>
          <w:sz w:val="20"/>
          <w:szCs w:val="20"/>
        </w:rPr>
        <w:t>nor in its annexes</w:t>
      </w:r>
      <w:r w:rsidR="008E351F" w:rsidRPr="00A51861">
        <w:rPr>
          <w:rFonts w:asciiTheme="majorHAnsi" w:hAnsiTheme="majorHAnsi"/>
          <w:sz w:val="20"/>
          <w:szCs w:val="20"/>
        </w:rPr>
        <w:t xml:space="preserve">, </w:t>
      </w:r>
      <w:r>
        <w:rPr>
          <w:rFonts w:asciiTheme="majorHAnsi" w:hAnsiTheme="majorHAnsi"/>
          <w:sz w:val="20"/>
          <w:szCs w:val="20"/>
        </w:rPr>
        <w:t>what kind</w:t>
      </w:r>
      <w:r w:rsidR="00E92985">
        <w:rPr>
          <w:rFonts w:asciiTheme="majorHAnsi" w:hAnsiTheme="majorHAnsi"/>
          <w:sz w:val="20"/>
          <w:szCs w:val="20"/>
        </w:rPr>
        <w:t xml:space="preserve"> of </w:t>
      </w:r>
      <w:r>
        <w:rPr>
          <w:rFonts w:asciiTheme="majorHAnsi" w:hAnsiTheme="majorHAnsi"/>
          <w:sz w:val="20"/>
          <w:szCs w:val="20"/>
        </w:rPr>
        <w:t>documents</w:t>
      </w:r>
      <w:r w:rsidR="008E351F" w:rsidRPr="00A51861">
        <w:rPr>
          <w:rFonts w:asciiTheme="majorHAnsi" w:hAnsiTheme="majorHAnsi"/>
          <w:sz w:val="20"/>
          <w:szCs w:val="20"/>
        </w:rPr>
        <w:t xml:space="preserve"> </w:t>
      </w:r>
      <w:r>
        <w:rPr>
          <w:rFonts w:asciiTheme="majorHAnsi" w:hAnsiTheme="majorHAnsi"/>
          <w:sz w:val="20"/>
          <w:szCs w:val="20"/>
        </w:rPr>
        <w:t xml:space="preserve">were those which Mr. </w:t>
      </w:r>
      <w:r w:rsidR="00BD093F">
        <w:rPr>
          <w:rFonts w:asciiTheme="majorHAnsi" w:hAnsiTheme="majorHAnsi"/>
          <w:sz w:val="20"/>
          <w:szCs w:val="20"/>
        </w:rPr>
        <w:t xml:space="preserve">Rito de los </w:t>
      </w:r>
      <w:r w:rsidR="008E351F" w:rsidRPr="00A51861">
        <w:rPr>
          <w:rFonts w:asciiTheme="majorHAnsi" w:hAnsiTheme="majorHAnsi"/>
          <w:sz w:val="20"/>
          <w:szCs w:val="20"/>
        </w:rPr>
        <w:t>Santos</w:t>
      </w:r>
      <w:r>
        <w:rPr>
          <w:rFonts w:asciiTheme="majorHAnsi" w:hAnsiTheme="majorHAnsi"/>
          <w:sz w:val="20"/>
          <w:szCs w:val="20"/>
        </w:rPr>
        <w:t xml:space="preserve"> was forced to sign</w:t>
      </w:r>
      <w:r w:rsidR="008E351F" w:rsidRPr="00A51861">
        <w:rPr>
          <w:rFonts w:asciiTheme="majorHAnsi" w:hAnsiTheme="majorHAnsi"/>
          <w:sz w:val="20"/>
          <w:szCs w:val="20"/>
        </w:rPr>
        <w:t xml:space="preserve">. </w:t>
      </w:r>
    </w:p>
    <w:p w14:paraId="51F69A46" w14:textId="77777777" w:rsidR="008E351F" w:rsidRPr="00A51861" w:rsidRDefault="008E351F" w:rsidP="008E4D36">
      <w:pPr>
        <w:pStyle w:val="ListParagraph"/>
        <w:rPr>
          <w:rFonts w:asciiTheme="majorHAnsi" w:hAnsiTheme="majorHAnsi"/>
          <w:sz w:val="20"/>
          <w:szCs w:val="20"/>
        </w:rPr>
      </w:pPr>
    </w:p>
    <w:p w14:paraId="7C895601" w14:textId="659F037B" w:rsidR="008E351F" w:rsidRPr="00A51861" w:rsidRDefault="002D7CF5"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He was imposed a sentence of</w:t>
      </w:r>
      <w:r w:rsidR="00E92985">
        <w:rPr>
          <w:rFonts w:asciiTheme="majorHAnsi" w:hAnsiTheme="majorHAnsi"/>
          <w:sz w:val="20"/>
          <w:szCs w:val="20"/>
        </w:rPr>
        <w:t xml:space="preserve"> </w:t>
      </w:r>
      <w:r w:rsidR="008E351F" w:rsidRPr="00A51861">
        <w:rPr>
          <w:rFonts w:asciiTheme="majorHAnsi" w:hAnsiTheme="majorHAnsi"/>
          <w:sz w:val="20"/>
          <w:szCs w:val="20"/>
        </w:rPr>
        <w:t xml:space="preserve">30 </w:t>
      </w:r>
      <w:r>
        <w:rPr>
          <w:rFonts w:asciiTheme="majorHAnsi" w:hAnsiTheme="majorHAnsi"/>
          <w:sz w:val="20"/>
          <w:szCs w:val="20"/>
        </w:rPr>
        <w:t xml:space="preserve">-day </w:t>
      </w:r>
      <w:r w:rsidR="008E351F" w:rsidRPr="00A51861">
        <w:rPr>
          <w:rFonts w:asciiTheme="majorHAnsi" w:hAnsiTheme="majorHAnsi"/>
          <w:sz w:val="20"/>
          <w:szCs w:val="20"/>
        </w:rPr>
        <w:t>arrest</w:t>
      </w:r>
      <w:r>
        <w:rPr>
          <w:rFonts w:asciiTheme="majorHAnsi" w:hAnsiTheme="majorHAnsi"/>
          <w:sz w:val="20"/>
          <w:szCs w:val="20"/>
        </w:rPr>
        <w:t xml:space="preserve"> f</w:t>
      </w:r>
      <w:r w:rsidR="008E351F" w:rsidRPr="00A51861">
        <w:rPr>
          <w:rFonts w:asciiTheme="majorHAnsi" w:hAnsiTheme="majorHAnsi"/>
          <w:sz w:val="20"/>
          <w:szCs w:val="20"/>
        </w:rPr>
        <w:t xml:space="preserve">or </w:t>
      </w:r>
      <w:r w:rsidR="004E1083">
        <w:rPr>
          <w:rFonts w:asciiTheme="majorHAnsi" w:hAnsiTheme="majorHAnsi"/>
          <w:sz w:val="20"/>
          <w:szCs w:val="20"/>
        </w:rPr>
        <w:t>violation</w:t>
      </w:r>
      <w:r w:rsidR="008E351F" w:rsidRPr="00A51861">
        <w:rPr>
          <w:rFonts w:asciiTheme="majorHAnsi" w:hAnsiTheme="majorHAnsi"/>
          <w:sz w:val="20"/>
          <w:szCs w:val="20"/>
        </w:rPr>
        <w:t xml:space="preserve"> </w:t>
      </w:r>
      <w:r>
        <w:rPr>
          <w:rFonts w:asciiTheme="majorHAnsi" w:hAnsiTheme="majorHAnsi"/>
          <w:sz w:val="20"/>
          <w:szCs w:val="20"/>
        </w:rPr>
        <w:t>of the</w:t>
      </w:r>
      <w:r w:rsidR="008E351F" w:rsidRPr="00A51861">
        <w:rPr>
          <w:rFonts w:asciiTheme="majorHAnsi" w:hAnsiTheme="majorHAnsi"/>
          <w:sz w:val="20"/>
          <w:szCs w:val="20"/>
        </w:rPr>
        <w:t xml:space="preserve"> </w:t>
      </w:r>
      <w:r>
        <w:rPr>
          <w:rFonts w:asciiTheme="majorHAnsi" w:hAnsiTheme="majorHAnsi"/>
          <w:sz w:val="20"/>
          <w:szCs w:val="20"/>
        </w:rPr>
        <w:t>decree</w:t>
      </w:r>
      <w:r w:rsidR="008E351F" w:rsidRPr="00A51861">
        <w:rPr>
          <w:rFonts w:asciiTheme="majorHAnsi" w:hAnsiTheme="majorHAnsi"/>
          <w:sz w:val="20"/>
          <w:szCs w:val="20"/>
        </w:rPr>
        <w:t xml:space="preserve"> </w:t>
      </w:r>
      <w:r>
        <w:rPr>
          <w:rFonts w:asciiTheme="majorHAnsi" w:hAnsiTheme="majorHAnsi"/>
          <w:sz w:val="20"/>
          <w:szCs w:val="20"/>
        </w:rPr>
        <w:t xml:space="preserve">which prohibited </w:t>
      </w:r>
      <w:r w:rsidR="00160A67">
        <w:rPr>
          <w:rFonts w:asciiTheme="majorHAnsi" w:hAnsiTheme="majorHAnsi"/>
          <w:sz w:val="20"/>
          <w:szCs w:val="20"/>
        </w:rPr>
        <w:t>public assemblies</w:t>
      </w:r>
      <w:r w:rsidR="00E92985">
        <w:rPr>
          <w:rFonts w:asciiTheme="majorHAnsi" w:hAnsiTheme="majorHAnsi"/>
          <w:sz w:val="20"/>
          <w:szCs w:val="20"/>
        </w:rPr>
        <w:t xml:space="preserve"> and </w:t>
      </w:r>
      <w:r w:rsidR="003A78FE">
        <w:rPr>
          <w:rFonts w:asciiTheme="majorHAnsi" w:hAnsiTheme="majorHAnsi"/>
          <w:sz w:val="20"/>
          <w:szCs w:val="20"/>
        </w:rPr>
        <w:t>in pursuit of public security</w:t>
      </w:r>
      <w:r w:rsidR="008E351F" w:rsidRPr="00A51861">
        <w:rPr>
          <w:rFonts w:asciiTheme="majorHAnsi" w:hAnsiTheme="majorHAnsi"/>
          <w:sz w:val="20"/>
          <w:szCs w:val="20"/>
        </w:rPr>
        <w:t xml:space="preserve">, </w:t>
      </w:r>
      <w:r w:rsidR="003A78FE">
        <w:rPr>
          <w:rFonts w:asciiTheme="majorHAnsi" w:hAnsiTheme="majorHAnsi"/>
          <w:sz w:val="20"/>
          <w:szCs w:val="20"/>
        </w:rPr>
        <w:t>he was transferred in a prisoner status</w:t>
      </w:r>
      <w:r w:rsidR="00E92985">
        <w:rPr>
          <w:rFonts w:asciiTheme="majorHAnsi" w:hAnsiTheme="majorHAnsi"/>
          <w:sz w:val="20"/>
          <w:szCs w:val="20"/>
        </w:rPr>
        <w:t xml:space="preserve"> </w:t>
      </w:r>
      <w:r w:rsidR="003A78FE">
        <w:rPr>
          <w:rFonts w:asciiTheme="majorHAnsi" w:hAnsiTheme="majorHAnsi"/>
          <w:sz w:val="20"/>
          <w:szCs w:val="20"/>
        </w:rPr>
        <w:t>to the incarceration facility of</w:t>
      </w:r>
      <w:r w:rsidR="00E92985">
        <w:rPr>
          <w:rFonts w:asciiTheme="majorHAnsi" w:hAnsiTheme="majorHAnsi"/>
          <w:sz w:val="20"/>
          <w:szCs w:val="20"/>
        </w:rPr>
        <w:t xml:space="preserve"> </w:t>
      </w:r>
      <w:r w:rsidR="008E351F" w:rsidRPr="00A51861">
        <w:rPr>
          <w:rFonts w:asciiTheme="majorHAnsi" w:hAnsiTheme="majorHAnsi"/>
          <w:sz w:val="20"/>
          <w:szCs w:val="20"/>
        </w:rPr>
        <w:t>Villa Devoto</w:t>
      </w:r>
      <w:r w:rsidR="00E92985">
        <w:rPr>
          <w:rFonts w:asciiTheme="majorHAnsi" w:hAnsiTheme="majorHAnsi"/>
          <w:sz w:val="20"/>
          <w:szCs w:val="20"/>
        </w:rPr>
        <w:t xml:space="preserve"> and </w:t>
      </w:r>
      <w:r w:rsidR="003A78FE">
        <w:rPr>
          <w:rFonts w:asciiTheme="majorHAnsi" w:hAnsiTheme="majorHAnsi"/>
          <w:sz w:val="20"/>
          <w:szCs w:val="20"/>
        </w:rPr>
        <w:t>set free after</w:t>
      </w:r>
      <w:r w:rsidR="00E92985">
        <w:rPr>
          <w:rFonts w:asciiTheme="majorHAnsi" w:hAnsiTheme="majorHAnsi"/>
          <w:sz w:val="20"/>
          <w:szCs w:val="20"/>
        </w:rPr>
        <w:t xml:space="preserve"> </w:t>
      </w:r>
      <w:r w:rsidR="008E351F" w:rsidRPr="00A51861">
        <w:rPr>
          <w:rFonts w:asciiTheme="majorHAnsi" w:hAnsiTheme="majorHAnsi"/>
          <w:sz w:val="20"/>
          <w:szCs w:val="20"/>
        </w:rPr>
        <w:t>15 d</w:t>
      </w:r>
      <w:r w:rsidR="003A78FE">
        <w:rPr>
          <w:rFonts w:asciiTheme="majorHAnsi" w:hAnsiTheme="majorHAnsi"/>
          <w:sz w:val="20"/>
          <w:szCs w:val="20"/>
        </w:rPr>
        <w:t>ay</w:t>
      </w:r>
      <w:r w:rsidR="008E351F" w:rsidRPr="00A51861">
        <w:rPr>
          <w:rFonts w:asciiTheme="majorHAnsi" w:hAnsiTheme="majorHAnsi"/>
          <w:sz w:val="20"/>
          <w:szCs w:val="20"/>
        </w:rPr>
        <w:t>s</w:t>
      </w:r>
      <w:r w:rsidR="008E351F" w:rsidRPr="00A51861">
        <w:rPr>
          <w:rStyle w:val="FootnoteReference"/>
          <w:rFonts w:asciiTheme="majorHAnsi" w:hAnsiTheme="majorHAnsi"/>
          <w:sz w:val="20"/>
          <w:szCs w:val="20"/>
        </w:rPr>
        <w:footnoteReference w:id="39"/>
      </w:r>
      <w:r w:rsidR="008E351F" w:rsidRPr="00A51861">
        <w:rPr>
          <w:rFonts w:asciiTheme="majorHAnsi" w:hAnsiTheme="majorHAnsi"/>
          <w:sz w:val="20"/>
          <w:szCs w:val="20"/>
        </w:rPr>
        <w:t xml:space="preserve">.  </w:t>
      </w:r>
    </w:p>
    <w:p w14:paraId="3BB557C1" w14:textId="77777777" w:rsidR="008E351F" w:rsidRPr="00A51861" w:rsidRDefault="008E351F" w:rsidP="008E4D36">
      <w:pPr>
        <w:pStyle w:val="ListParagraph"/>
        <w:rPr>
          <w:rFonts w:asciiTheme="majorHAnsi" w:hAnsiTheme="majorHAnsi"/>
          <w:sz w:val="20"/>
          <w:szCs w:val="20"/>
        </w:rPr>
      </w:pPr>
    </w:p>
    <w:p w14:paraId="36F45677" w14:textId="7CE49C95" w:rsidR="008E351F" w:rsidRPr="00A51861" w:rsidRDefault="003A78FE"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After</w:t>
      </w:r>
      <w:r w:rsidR="00E92985">
        <w:rPr>
          <w:rFonts w:asciiTheme="majorHAnsi" w:hAnsiTheme="majorHAnsi"/>
          <w:sz w:val="20"/>
          <w:szCs w:val="20"/>
        </w:rPr>
        <w:t xml:space="preserve"> the </w:t>
      </w:r>
      <w:r w:rsidR="006E255A">
        <w:rPr>
          <w:rFonts w:asciiTheme="majorHAnsi" w:hAnsiTheme="majorHAnsi"/>
          <w:sz w:val="20"/>
          <w:szCs w:val="20"/>
        </w:rPr>
        <w:t>detention</w:t>
      </w:r>
      <w:r w:rsidR="00E92985">
        <w:rPr>
          <w:rFonts w:asciiTheme="majorHAnsi" w:hAnsiTheme="majorHAnsi"/>
          <w:sz w:val="20"/>
          <w:szCs w:val="20"/>
        </w:rPr>
        <w:t xml:space="preserve"> and </w:t>
      </w:r>
      <w:r>
        <w:rPr>
          <w:rFonts w:asciiTheme="majorHAnsi" w:hAnsiTheme="majorHAnsi"/>
          <w:sz w:val="20"/>
          <w:szCs w:val="20"/>
        </w:rPr>
        <w:t>further</w:t>
      </w:r>
      <w:r w:rsidR="008E351F" w:rsidRPr="00A51861">
        <w:rPr>
          <w:rFonts w:asciiTheme="majorHAnsi" w:hAnsiTheme="majorHAnsi"/>
          <w:sz w:val="20"/>
          <w:szCs w:val="20"/>
        </w:rPr>
        <w:t xml:space="preserve"> </w:t>
      </w:r>
      <w:r>
        <w:rPr>
          <w:rFonts w:asciiTheme="majorHAnsi" w:hAnsiTheme="majorHAnsi"/>
          <w:sz w:val="20"/>
          <w:szCs w:val="20"/>
        </w:rPr>
        <w:t>release</w:t>
      </w:r>
      <w:r w:rsidR="008E351F" w:rsidRPr="00A51861">
        <w:rPr>
          <w:rFonts w:asciiTheme="majorHAnsi" w:hAnsiTheme="majorHAnsi"/>
          <w:sz w:val="20"/>
          <w:szCs w:val="20"/>
        </w:rPr>
        <w:t xml:space="preserve">, </w:t>
      </w:r>
      <w:r w:rsidR="00A51861" w:rsidRPr="00A51861">
        <w:rPr>
          <w:rFonts w:asciiTheme="majorHAnsi" w:hAnsiTheme="majorHAnsi"/>
          <w:sz w:val="20"/>
          <w:szCs w:val="20"/>
        </w:rPr>
        <w:t xml:space="preserve">Mr. </w:t>
      </w:r>
      <w:r w:rsidR="00B01A54">
        <w:rPr>
          <w:rFonts w:asciiTheme="majorHAnsi" w:hAnsiTheme="majorHAnsi"/>
          <w:sz w:val="20"/>
          <w:szCs w:val="20"/>
        </w:rPr>
        <w:t xml:space="preserve">Rito de los Santos </w:t>
      </w:r>
      <w:r w:rsidR="00E92985">
        <w:rPr>
          <w:rFonts w:asciiTheme="majorHAnsi" w:hAnsiTheme="majorHAnsi"/>
          <w:sz w:val="20"/>
          <w:szCs w:val="20"/>
        </w:rPr>
        <w:t xml:space="preserve">and </w:t>
      </w:r>
      <w:r w:rsidR="00BD093F">
        <w:rPr>
          <w:rFonts w:asciiTheme="majorHAnsi" w:hAnsiTheme="majorHAnsi"/>
          <w:sz w:val="20"/>
          <w:szCs w:val="20"/>
        </w:rPr>
        <w:t xml:space="preserve">his wife </w:t>
      </w:r>
      <w:r>
        <w:rPr>
          <w:rFonts w:asciiTheme="majorHAnsi" w:hAnsiTheme="majorHAnsi"/>
          <w:sz w:val="20"/>
          <w:szCs w:val="20"/>
        </w:rPr>
        <w:t>had to change their</w:t>
      </w:r>
      <w:r w:rsidR="00E92985">
        <w:rPr>
          <w:rFonts w:asciiTheme="majorHAnsi" w:hAnsiTheme="majorHAnsi"/>
          <w:sz w:val="20"/>
          <w:szCs w:val="20"/>
        </w:rPr>
        <w:t xml:space="preserve"> </w:t>
      </w:r>
      <w:r w:rsidR="008E351F" w:rsidRPr="00A51861">
        <w:rPr>
          <w:rFonts w:asciiTheme="majorHAnsi" w:hAnsiTheme="majorHAnsi"/>
          <w:sz w:val="20"/>
          <w:szCs w:val="20"/>
        </w:rPr>
        <w:t>domicil</w:t>
      </w:r>
      <w:r>
        <w:rPr>
          <w:rFonts w:asciiTheme="majorHAnsi" w:hAnsiTheme="majorHAnsi"/>
          <w:sz w:val="20"/>
          <w:szCs w:val="20"/>
        </w:rPr>
        <w:t>e</w:t>
      </w:r>
      <w:r w:rsidR="008E351F" w:rsidRPr="00A51861">
        <w:rPr>
          <w:rFonts w:asciiTheme="majorHAnsi" w:hAnsiTheme="majorHAnsi"/>
          <w:sz w:val="20"/>
          <w:szCs w:val="20"/>
        </w:rPr>
        <w:t xml:space="preserve"> </w:t>
      </w:r>
      <w:r>
        <w:rPr>
          <w:rFonts w:asciiTheme="majorHAnsi" w:hAnsiTheme="majorHAnsi"/>
          <w:sz w:val="20"/>
          <w:szCs w:val="20"/>
        </w:rPr>
        <w:t>several times</w:t>
      </w:r>
      <w:r w:rsidR="008E351F" w:rsidRPr="00A51861">
        <w:rPr>
          <w:rFonts w:asciiTheme="majorHAnsi" w:hAnsiTheme="majorHAnsi"/>
          <w:sz w:val="20"/>
          <w:szCs w:val="20"/>
        </w:rPr>
        <w:t xml:space="preserve">, </w:t>
      </w:r>
      <w:r>
        <w:rPr>
          <w:rFonts w:asciiTheme="majorHAnsi" w:hAnsiTheme="majorHAnsi"/>
          <w:sz w:val="20"/>
          <w:szCs w:val="20"/>
        </w:rPr>
        <w:t>since on repeated</w:t>
      </w:r>
      <w:r w:rsidR="008E351F" w:rsidRPr="00A51861">
        <w:rPr>
          <w:rFonts w:asciiTheme="majorHAnsi" w:hAnsiTheme="majorHAnsi"/>
          <w:sz w:val="20"/>
          <w:szCs w:val="20"/>
        </w:rPr>
        <w:t xml:space="preserve"> op</w:t>
      </w:r>
      <w:r>
        <w:rPr>
          <w:rFonts w:asciiTheme="majorHAnsi" w:hAnsiTheme="majorHAnsi"/>
          <w:sz w:val="20"/>
          <w:szCs w:val="20"/>
        </w:rPr>
        <w:t>p</w:t>
      </w:r>
      <w:r w:rsidR="008E351F" w:rsidRPr="00A51861">
        <w:rPr>
          <w:rFonts w:asciiTheme="majorHAnsi" w:hAnsiTheme="majorHAnsi"/>
          <w:sz w:val="20"/>
          <w:szCs w:val="20"/>
        </w:rPr>
        <w:t>ortuni</w:t>
      </w:r>
      <w:r>
        <w:rPr>
          <w:rFonts w:asciiTheme="majorHAnsi" w:hAnsiTheme="majorHAnsi"/>
          <w:sz w:val="20"/>
          <w:szCs w:val="20"/>
        </w:rPr>
        <w:t>ti</w:t>
      </w:r>
      <w:r w:rsidR="008E351F" w:rsidRPr="00A51861">
        <w:rPr>
          <w:rFonts w:asciiTheme="majorHAnsi" w:hAnsiTheme="majorHAnsi"/>
          <w:sz w:val="20"/>
          <w:szCs w:val="20"/>
        </w:rPr>
        <w:t xml:space="preserve">es </w:t>
      </w:r>
      <w:r w:rsidR="00EC7A58">
        <w:rPr>
          <w:rFonts w:asciiTheme="majorHAnsi" w:hAnsiTheme="majorHAnsi"/>
          <w:sz w:val="20"/>
          <w:szCs w:val="20"/>
        </w:rPr>
        <w:t>persons</w:t>
      </w:r>
      <w:r w:rsidR="008E351F" w:rsidRPr="00A51861">
        <w:rPr>
          <w:rFonts w:asciiTheme="majorHAnsi" w:hAnsiTheme="majorHAnsi"/>
          <w:sz w:val="20"/>
          <w:szCs w:val="20"/>
        </w:rPr>
        <w:t xml:space="preserve"> </w:t>
      </w:r>
      <w:r>
        <w:rPr>
          <w:rFonts w:asciiTheme="majorHAnsi" w:hAnsiTheme="majorHAnsi"/>
          <w:sz w:val="20"/>
          <w:szCs w:val="20"/>
        </w:rPr>
        <w:t>dressed in</w:t>
      </w:r>
      <w:r w:rsidR="00E92985">
        <w:rPr>
          <w:rFonts w:asciiTheme="majorHAnsi" w:hAnsiTheme="majorHAnsi"/>
          <w:sz w:val="20"/>
          <w:szCs w:val="20"/>
        </w:rPr>
        <w:t xml:space="preserve"> </w:t>
      </w:r>
      <w:r w:rsidR="008E351F" w:rsidRPr="00A51861">
        <w:rPr>
          <w:rFonts w:asciiTheme="majorHAnsi" w:hAnsiTheme="majorHAnsi"/>
          <w:sz w:val="20"/>
          <w:szCs w:val="20"/>
        </w:rPr>
        <w:t>civil</w:t>
      </w:r>
      <w:r>
        <w:rPr>
          <w:rFonts w:asciiTheme="majorHAnsi" w:hAnsiTheme="majorHAnsi"/>
          <w:sz w:val="20"/>
          <w:szCs w:val="20"/>
        </w:rPr>
        <w:t>ian clothes</w:t>
      </w:r>
      <w:r w:rsidR="008E351F" w:rsidRPr="00A51861">
        <w:rPr>
          <w:rFonts w:asciiTheme="majorHAnsi" w:hAnsiTheme="majorHAnsi"/>
          <w:sz w:val="20"/>
          <w:szCs w:val="20"/>
        </w:rPr>
        <w:t xml:space="preserve"> </w:t>
      </w:r>
      <w:r>
        <w:rPr>
          <w:rFonts w:asciiTheme="majorHAnsi" w:hAnsiTheme="majorHAnsi"/>
          <w:sz w:val="20"/>
          <w:szCs w:val="20"/>
        </w:rPr>
        <w:t>appeared to ask for both of their whereabouts</w:t>
      </w:r>
      <w:r w:rsidR="008E351F" w:rsidRPr="00A51861">
        <w:rPr>
          <w:rStyle w:val="FootnoteReference"/>
          <w:rFonts w:asciiTheme="majorHAnsi" w:hAnsiTheme="majorHAnsi"/>
          <w:sz w:val="20"/>
          <w:szCs w:val="20"/>
        </w:rPr>
        <w:footnoteReference w:id="40"/>
      </w:r>
      <w:r w:rsidR="008300AA" w:rsidRPr="00A51861">
        <w:rPr>
          <w:rFonts w:asciiTheme="majorHAnsi" w:hAnsiTheme="majorHAnsi"/>
          <w:sz w:val="20"/>
          <w:szCs w:val="20"/>
        </w:rPr>
        <w:t xml:space="preserve">. </w:t>
      </w:r>
      <w:r>
        <w:rPr>
          <w:rFonts w:asciiTheme="majorHAnsi" w:hAnsiTheme="majorHAnsi"/>
          <w:sz w:val="20"/>
          <w:szCs w:val="20"/>
        </w:rPr>
        <w:t>For this reason, they</w:t>
      </w:r>
      <w:r w:rsidR="008E351F" w:rsidRPr="00A51861">
        <w:rPr>
          <w:rFonts w:asciiTheme="majorHAnsi" w:hAnsiTheme="majorHAnsi"/>
          <w:sz w:val="20"/>
          <w:szCs w:val="20"/>
        </w:rPr>
        <w:t xml:space="preserve"> </w:t>
      </w:r>
      <w:r>
        <w:rPr>
          <w:rFonts w:asciiTheme="majorHAnsi" w:hAnsiTheme="majorHAnsi"/>
          <w:sz w:val="20"/>
          <w:szCs w:val="20"/>
        </w:rPr>
        <w:t>requested the</w:t>
      </w:r>
      <w:r w:rsidR="008E351F" w:rsidRPr="00A51861">
        <w:rPr>
          <w:rFonts w:asciiTheme="majorHAnsi" w:hAnsiTheme="majorHAnsi"/>
          <w:sz w:val="20"/>
          <w:szCs w:val="20"/>
        </w:rPr>
        <w:t xml:space="preserve"> </w:t>
      </w:r>
      <w:r w:rsidR="00423CF1">
        <w:rPr>
          <w:rFonts w:asciiTheme="majorHAnsi" w:hAnsiTheme="majorHAnsi"/>
          <w:sz w:val="20"/>
          <w:szCs w:val="20"/>
        </w:rPr>
        <w:t>protection</w:t>
      </w:r>
      <w:r w:rsidR="008E351F" w:rsidRPr="00A51861">
        <w:rPr>
          <w:rFonts w:asciiTheme="majorHAnsi" w:hAnsiTheme="majorHAnsi"/>
          <w:sz w:val="20"/>
          <w:szCs w:val="20"/>
        </w:rPr>
        <w:t xml:space="preserve"> </w:t>
      </w:r>
      <w:r w:rsidR="00C43691">
        <w:rPr>
          <w:rFonts w:asciiTheme="majorHAnsi" w:hAnsiTheme="majorHAnsi"/>
          <w:sz w:val="20"/>
          <w:szCs w:val="20"/>
        </w:rPr>
        <w:t>of</w:t>
      </w:r>
      <w:r>
        <w:rPr>
          <w:rFonts w:asciiTheme="majorHAnsi" w:hAnsiTheme="majorHAnsi"/>
          <w:sz w:val="20"/>
          <w:szCs w:val="20"/>
        </w:rPr>
        <w:t xml:space="preserve"> the</w:t>
      </w:r>
      <w:r w:rsidR="008E351F" w:rsidRPr="00A51861">
        <w:rPr>
          <w:rFonts w:asciiTheme="majorHAnsi" w:hAnsiTheme="majorHAnsi"/>
          <w:sz w:val="20"/>
          <w:szCs w:val="20"/>
        </w:rPr>
        <w:t xml:space="preserve"> </w:t>
      </w:r>
      <w:r>
        <w:rPr>
          <w:rFonts w:asciiTheme="majorHAnsi" w:hAnsiTheme="majorHAnsi"/>
          <w:sz w:val="20"/>
          <w:szCs w:val="20"/>
        </w:rPr>
        <w:t>High Commissioner of United Nations</w:t>
      </w:r>
      <w:r w:rsidR="008300AA" w:rsidRPr="00A51861">
        <w:rPr>
          <w:rFonts w:asciiTheme="majorHAnsi" w:hAnsiTheme="majorHAnsi"/>
          <w:sz w:val="20"/>
          <w:szCs w:val="20"/>
        </w:rPr>
        <w:t xml:space="preserve"> </w:t>
      </w:r>
      <w:r>
        <w:rPr>
          <w:rFonts w:asciiTheme="majorHAnsi" w:hAnsiTheme="majorHAnsi"/>
          <w:sz w:val="20"/>
          <w:szCs w:val="20"/>
        </w:rPr>
        <w:t>for Refugees</w:t>
      </w:r>
      <w:r w:rsidR="00E92985">
        <w:rPr>
          <w:rFonts w:asciiTheme="majorHAnsi" w:hAnsiTheme="majorHAnsi"/>
          <w:sz w:val="20"/>
          <w:szCs w:val="20"/>
        </w:rPr>
        <w:t xml:space="preserve"> and </w:t>
      </w:r>
      <w:r>
        <w:rPr>
          <w:rFonts w:asciiTheme="majorHAnsi" w:hAnsiTheme="majorHAnsi"/>
          <w:sz w:val="20"/>
          <w:szCs w:val="20"/>
        </w:rPr>
        <w:t>were hosted in one of their shelters</w:t>
      </w:r>
      <w:r w:rsidR="008E351F" w:rsidRPr="00A51861">
        <w:rPr>
          <w:rFonts w:asciiTheme="majorHAnsi" w:hAnsiTheme="majorHAnsi"/>
          <w:sz w:val="20"/>
          <w:szCs w:val="20"/>
        </w:rPr>
        <w:t xml:space="preserve">, </w:t>
      </w:r>
      <w:r>
        <w:rPr>
          <w:rFonts w:asciiTheme="majorHAnsi" w:hAnsiTheme="majorHAnsi"/>
          <w:sz w:val="20"/>
          <w:szCs w:val="20"/>
        </w:rPr>
        <w:t>to ensure their security</w:t>
      </w:r>
      <w:r w:rsidR="008E351F" w:rsidRPr="00A51861">
        <w:rPr>
          <w:rStyle w:val="FootnoteReference"/>
          <w:rFonts w:asciiTheme="majorHAnsi" w:hAnsiTheme="majorHAnsi"/>
          <w:sz w:val="20"/>
          <w:szCs w:val="20"/>
        </w:rPr>
        <w:footnoteReference w:id="41"/>
      </w:r>
      <w:r w:rsidR="008E351F" w:rsidRPr="00A51861">
        <w:rPr>
          <w:rFonts w:asciiTheme="majorHAnsi" w:hAnsiTheme="majorHAnsi"/>
          <w:sz w:val="20"/>
          <w:szCs w:val="20"/>
        </w:rPr>
        <w:t xml:space="preserve">. </w:t>
      </w:r>
      <w:r>
        <w:rPr>
          <w:rFonts w:asciiTheme="majorHAnsi" w:hAnsiTheme="majorHAnsi"/>
          <w:sz w:val="20"/>
          <w:szCs w:val="20"/>
        </w:rPr>
        <w:t>In parallel</w:t>
      </w:r>
      <w:r w:rsidR="008E351F" w:rsidRPr="00A51861">
        <w:rPr>
          <w:rFonts w:asciiTheme="majorHAnsi" w:hAnsiTheme="majorHAnsi"/>
          <w:sz w:val="20"/>
          <w:szCs w:val="20"/>
        </w:rPr>
        <w:t xml:space="preserve">, </w:t>
      </w:r>
      <w:r>
        <w:rPr>
          <w:rFonts w:asciiTheme="majorHAnsi" w:hAnsiTheme="majorHAnsi"/>
          <w:sz w:val="20"/>
          <w:szCs w:val="20"/>
        </w:rPr>
        <w:t>they tried by every means possible to avoid being expelled from the country</w:t>
      </w:r>
      <w:r w:rsidR="008E351F" w:rsidRPr="00A51861">
        <w:rPr>
          <w:rFonts w:asciiTheme="majorHAnsi" w:hAnsiTheme="majorHAnsi"/>
          <w:sz w:val="20"/>
          <w:szCs w:val="20"/>
        </w:rPr>
        <w:t xml:space="preserve">, </w:t>
      </w:r>
      <w:r>
        <w:rPr>
          <w:rFonts w:asciiTheme="majorHAnsi" w:hAnsiTheme="majorHAnsi"/>
          <w:sz w:val="20"/>
          <w:szCs w:val="20"/>
        </w:rPr>
        <w:t xml:space="preserve">upon the risks on their lives </w:t>
      </w:r>
      <w:r w:rsidR="00423CF1">
        <w:rPr>
          <w:rFonts w:asciiTheme="majorHAnsi" w:hAnsiTheme="majorHAnsi"/>
          <w:sz w:val="20"/>
          <w:szCs w:val="20"/>
        </w:rPr>
        <w:t>if being</w:t>
      </w:r>
      <w:r>
        <w:rPr>
          <w:rFonts w:asciiTheme="majorHAnsi" w:hAnsiTheme="majorHAnsi"/>
          <w:sz w:val="20"/>
          <w:szCs w:val="20"/>
        </w:rPr>
        <w:t xml:space="preserve"> sent back to</w:t>
      </w:r>
      <w:r w:rsidR="008E351F" w:rsidRPr="00A51861">
        <w:rPr>
          <w:rFonts w:asciiTheme="majorHAnsi" w:hAnsiTheme="majorHAnsi"/>
          <w:sz w:val="20"/>
          <w:szCs w:val="20"/>
        </w:rPr>
        <w:t xml:space="preserve"> Uruguay</w:t>
      </w:r>
      <w:r w:rsidR="008E351F" w:rsidRPr="00A51861">
        <w:rPr>
          <w:rStyle w:val="FootnoteReference"/>
          <w:rFonts w:asciiTheme="majorHAnsi" w:hAnsiTheme="majorHAnsi"/>
          <w:sz w:val="20"/>
          <w:szCs w:val="20"/>
        </w:rPr>
        <w:footnoteReference w:id="42"/>
      </w:r>
      <w:r w:rsidR="008E351F" w:rsidRPr="00A51861">
        <w:rPr>
          <w:rFonts w:asciiTheme="majorHAnsi" w:hAnsiTheme="majorHAnsi"/>
          <w:sz w:val="20"/>
          <w:szCs w:val="20"/>
        </w:rPr>
        <w:t>.</w:t>
      </w:r>
    </w:p>
    <w:p w14:paraId="56A5D46B" w14:textId="77777777" w:rsidR="008E351F" w:rsidRPr="00A51861" w:rsidRDefault="008E351F" w:rsidP="008E4D36">
      <w:pPr>
        <w:pStyle w:val="ListParagraph"/>
        <w:rPr>
          <w:rFonts w:asciiTheme="majorHAnsi" w:hAnsiTheme="majorHAnsi"/>
          <w:sz w:val="20"/>
          <w:szCs w:val="20"/>
        </w:rPr>
      </w:pPr>
    </w:p>
    <w:p w14:paraId="32D2E7C3" w14:textId="205570FC" w:rsidR="008E351F" w:rsidRPr="00A51861" w:rsidRDefault="003A78FE"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On June 11,</w:t>
      </w:r>
      <w:r w:rsidR="00E92985">
        <w:rPr>
          <w:rFonts w:asciiTheme="majorHAnsi" w:hAnsiTheme="majorHAnsi"/>
          <w:sz w:val="20"/>
          <w:szCs w:val="20"/>
        </w:rPr>
        <w:t xml:space="preserve"> </w:t>
      </w:r>
      <w:r w:rsidR="008E351F" w:rsidRPr="00A51861">
        <w:rPr>
          <w:rFonts w:asciiTheme="majorHAnsi" w:hAnsiTheme="majorHAnsi"/>
          <w:sz w:val="20"/>
          <w:szCs w:val="20"/>
        </w:rPr>
        <w:t>1974</w:t>
      </w:r>
      <w:r w:rsidR="007E4AFF">
        <w:rPr>
          <w:rFonts w:asciiTheme="majorHAnsi" w:hAnsiTheme="majorHAnsi"/>
          <w:sz w:val="20"/>
          <w:szCs w:val="20"/>
        </w:rPr>
        <w:t>,</w:t>
      </w:r>
      <w:r w:rsidR="008E351F" w:rsidRPr="00A51861">
        <w:rPr>
          <w:rFonts w:asciiTheme="majorHAnsi" w:hAnsiTheme="majorHAnsi"/>
          <w:sz w:val="20"/>
          <w:szCs w:val="20"/>
        </w:rPr>
        <w:t xml:space="preserve"> </w:t>
      </w:r>
      <w:r>
        <w:rPr>
          <w:rFonts w:asciiTheme="majorHAnsi" w:hAnsiTheme="majorHAnsi"/>
          <w:sz w:val="20"/>
          <w:szCs w:val="20"/>
        </w:rPr>
        <w:t>the</w:t>
      </w:r>
      <w:r w:rsidR="008E351F" w:rsidRPr="00A51861">
        <w:rPr>
          <w:rFonts w:asciiTheme="majorHAnsi" w:hAnsiTheme="majorHAnsi"/>
          <w:sz w:val="20"/>
          <w:szCs w:val="20"/>
        </w:rPr>
        <w:t xml:space="preserve"> </w:t>
      </w:r>
      <w:r>
        <w:rPr>
          <w:rFonts w:asciiTheme="majorHAnsi" w:hAnsiTheme="majorHAnsi"/>
          <w:sz w:val="20"/>
          <w:szCs w:val="20"/>
        </w:rPr>
        <w:t xml:space="preserve">Federal Police </w:t>
      </w:r>
      <w:r w:rsidR="008E351F" w:rsidRPr="00A51861">
        <w:rPr>
          <w:rFonts w:asciiTheme="majorHAnsi" w:hAnsiTheme="majorHAnsi"/>
          <w:sz w:val="20"/>
          <w:szCs w:val="20"/>
        </w:rPr>
        <w:t>inform</w:t>
      </w:r>
      <w:r w:rsidR="00BE5683">
        <w:rPr>
          <w:rFonts w:asciiTheme="majorHAnsi" w:hAnsiTheme="majorHAnsi"/>
          <w:sz w:val="20"/>
          <w:szCs w:val="20"/>
        </w:rPr>
        <w:t>ed</w:t>
      </w:r>
      <w:r w:rsidR="008E351F" w:rsidRPr="00A51861">
        <w:rPr>
          <w:rFonts w:asciiTheme="majorHAnsi" w:hAnsiTheme="majorHAnsi"/>
          <w:sz w:val="20"/>
          <w:szCs w:val="20"/>
        </w:rPr>
        <w:t xml:space="preserve"> </w:t>
      </w:r>
      <w:r w:rsidR="00BE5683">
        <w:rPr>
          <w:rFonts w:asciiTheme="majorHAnsi" w:hAnsiTheme="majorHAnsi"/>
          <w:sz w:val="20"/>
          <w:szCs w:val="20"/>
        </w:rPr>
        <w:t>by means of a document addressed to the</w:t>
      </w:r>
      <w:r w:rsidR="008E351F" w:rsidRPr="00A51861">
        <w:rPr>
          <w:rFonts w:asciiTheme="majorHAnsi" w:hAnsiTheme="majorHAnsi"/>
          <w:sz w:val="20"/>
          <w:szCs w:val="20"/>
        </w:rPr>
        <w:t xml:space="preserve"> </w:t>
      </w:r>
      <w:r w:rsidR="008E2F10">
        <w:rPr>
          <w:rFonts w:asciiTheme="majorHAnsi" w:hAnsiTheme="majorHAnsi"/>
          <w:sz w:val="20"/>
          <w:szCs w:val="20"/>
        </w:rPr>
        <w:t>NDM</w:t>
      </w:r>
      <w:r w:rsidR="008E351F" w:rsidRPr="00A51861">
        <w:rPr>
          <w:rFonts w:asciiTheme="majorHAnsi" w:hAnsiTheme="majorHAnsi"/>
          <w:sz w:val="20"/>
          <w:szCs w:val="20"/>
        </w:rPr>
        <w:t xml:space="preserve">, </w:t>
      </w:r>
      <w:r w:rsidR="00BE5683">
        <w:rPr>
          <w:rFonts w:asciiTheme="majorHAnsi" w:hAnsiTheme="majorHAnsi"/>
          <w:sz w:val="20"/>
          <w:szCs w:val="20"/>
        </w:rPr>
        <w:t>of the</w:t>
      </w:r>
      <w:r w:rsidR="008E351F" w:rsidRPr="00A51861">
        <w:rPr>
          <w:rFonts w:asciiTheme="majorHAnsi" w:hAnsiTheme="majorHAnsi"/>
          <w:sz w:val="20"/>
          <w:szCs w:val="20"/>
        </w:rPr>
        <w:t xml:space="preserve"> arrest</w:t>
      </w:r>
      <w:r w:rsidR="00BE5683">
        <w:rPr>
          <w:rFonts w:asciiTheme="majorHAnsi" w:hAnsiTheme="majorHAnsi"/>
          <w:sz w:val="20"/>
          <w:szCs w:val="20"/>
        </w:rPr>
        <w:t xml:space="preserve"> of</w:t>
      </w:r>
      <w:r w:rsidR="008E351F" w:rsidRPr="00A51861">
        <w:rPr>
          <w:rFonts w:asciiTheme="majorHAnsi" w:hAnsiTheme="majorHAnsi"/>
          <w:sz w:val="20"/>
          <w:szCs w:val="20"/>
        </w:rPr>
        <w:t xml:space="preserve"> </w:t>
      </w:r>
      <w:r w:rsidR="00BD093F">
        <w:rPr>
          <w:rFonts w:asciiTheme="majorHAnsi" w:hAnsiTheme="majorHAnsi"/>
          <w:sz w:val="20"/>
          <w:szCs w:val="20"/>
        </w:rPr>
        <w:t xml:space="preserve">Mr. </w:t>
      </w:r>
      <w:r w:rsidR="008E351F" w:rsidRPr="00A51861">
        <w:rPr>
          <w:rFonts w:asciiTheme="majorHAnsi" w:hAnsiTheme="majorHAnsi"/>
          <w:sz w:val="20"/>
          <w:szCs w:val="20"/>
        </w:rPr>
        <w:t xml:space="preserve">Rito </w:t>
      </w:r>
      <w:r w:rsidR="00BE5683">
        <w:rPr>
          <w:rFonts w:asciiTheme="majorHAnsi" w:hAnsiTheme="majorHAnsi"/>
          <w:sz w:val="20"/>
          <w:szCs w:val="20"/>
        </w:rPr>
        <w:t>for</w:t>
      </w:r>
      <w:r w:rsidR="008E351F" w:rsidRPr="00A51861">
        <w:rPr>
          <w:rFonts w:asciiTheme="majorHAnsi" w:hAnsiTheme="majorHAnsi"/>
          <w:sz w:val="20"/>
          <w:szCs w:val="20"/>
        </w:rPr>
        <w:t xml:space="preserve"> 30 da</w:t>
      </w:r>
      <w:r w:rsidR="00BE5683">
        <w:rPr>
          <w:rFonts w:asciiTheme="majorHAnsi" w:hAnsiTheme="majorHAnsi"/>
          <w:sz w:val="20"/>
          <w:szCs w:val="20"/>
        </w:rPr>
        <w:t>y</w:t>
      </w:r>
      <w:r w:rsidR="008E351F" w:rsidRPr="00A51861">
        <w:rPr>
          <w:rFonts w:asciiTheme="majorHAnsi" w:hAnsiTheme="majorHAnsi"/>
          <w:sz w:val="20"/>
          <w:szCs w:val="20"/>
        </w:rPr>
        <w:t xml:space="preserve">s, </w:t>
      </w:r>
      <w:r w:rsidR="00BE5683">
        <w:rPr>
          <w:rFonts w:asciiTheme="majorHAnsi" w:hAnsiTheme="majorHAnsi"/>
          <w:sz w:val="20"/>
          <w:szCs w:val="20"/>
        </w:rPr>
        <w:t>dues to the infringement committed by him and</w:t>
      </w:r>
      <w:r w:rsidR="00E92985">
        <w:rPr>
          <w:rFonts w:asciiTheme="majorHAnsi" w:hAnsiTheme="majorHAnsi"/>
          <w:sz w:val="20"/>
          <w:szCs w:val="20"/>
        </w:rPr>
        <w:t xml:space="preserve"> </w:t>
      </w:r>
      <w:r w:rsidR="00BD093F">
        <w:rPr>
          <w:rFonts w:asciiTheme="majorHAnsi" w:hAnsiTheme="majorHAnsi"/>
          <w:sz w:val="20"/>
          <w:szCs w:val="20"/>
        </w:rPr>
        <w:t xml:space="preserve">his wife </w:t>
      </w:r>
      <w:r w:rsidR="00E92985">
        <w:rPr>
          <w:rFonts w:asciiTheme="majorHAnsi" w:hAnsiTheme="majorHAnsi"/>
          <w:sz w:val="20"/>
          <w:szCs w:val="20"/>
        </w:rPr>
        <w:t xml:space="preserve">of </w:t>
      </w:r>
      <w:r w:rsidR="00BE5683">
        <w:rPr>
          <w:rFonts w:asciiTheme="majorHAnsi" w:hAnsiTheme="majorHAnsi"/>
          <w:sz w:val="20"/>
          <w:szCs w:val="20"/>
        </w:rPr>
        <w:t>police decrees of</w:t>
      </w:r>
      <w:r w:rsidR="00E92985">
        <w:rPr>
          <w:rFonts w:asciiTheme="majorHAnsi" w:hAnsiTheme="majorHAnsi"/>
          <w:sz w:val="20"/>
          <w:szCs w:val="20"/>
        </w:rPr>
        <w:t xml:space="preserve"> </w:t>
      </w:r>
      <w:r w:rsidR="008E351F" w:rsidRPr="00A51861">
        <w:rPr>
          <w:rFonts w:asciiTheme="majorHAnsi" w:hAnsiTheme="majorHAnsi"/>
          <w:sz w:val="20"/>
          <w:szCs w:val="20"/>
        </w:rPr>
        <w:t>“</w:t>
      </w:r>
      <w:r w:rsidR="00BE5683">
        <w:rPr>
          <w:rFonts w:asciiTheme="majorHAnsi" w:hAnsiTheme="majorHAnsi"/>
          <w:sz w:val="20"/>
          <w:szCs w:val="20"/>
        </w:rPr>
        <w:t>Public Meetings</w:t>
      </w:r>
      <w:r w:rsidR="008E351F" w:rsidRPr="00A51861">
        <w:rPr>
          <w:rFonts w:asciiTheme="majorHAnsi" w:hAnsiTheme="majorHAnsi"/>
          <w:sz w:val="20"/>
          <w:szCs w:val="20"/>
        </w:rPr>
        <w:t>”</w:t>
      </w:r>
      <w:r w:rsidR="00E92985">
        <w:rPr>
          <w:rFonts w:asciiTheme="majorHAnsi" w:hAnsiTheme="majorHAnsi"/>
          <w:sz w:val="20"/>
          <w:szCs w:val="20"/>
        </w:rPr>
        <w:t xml:space="preserve"> and </w:t>
      </w:r>
      <w:r w:rsidR="008E351F" w:rsidRPr="00A51861">
        <w:rPr>
          <w:rFonts w:asciiTheme="majorHAnsi" w:hAnsiTheme="majorHAnsi"/>
          <w:sz w:val="20"/>
          <w:szCs w:val="20"/>
        </w:rPr>
        <w:t>“</w:t>
      </w:r>
      <w:r w:rsidR="00BE5683">
        <w:rPr>
          <w:rFonts w:ascii="Cambria" w:hAnsi="Cambria"/>
          <w:color w:val="000000" w:themeColor="text1"/>
          <w:sz w:val="20"/>
          <w:szCs w:val="20"/>
        </w:rPr>
        <w:t>Public security</w:t>
      </w:r>
      <w:r w:rsidR="008E351F" w:rsidRPr="00A51861">
        <w:rPr>
          <w:rFonts w:asciiTheme="majorHAnsi" w:hAnsiTheme="majorHAnsi"/>
          <w:sz w:val="20"/>
          <w:szCs w:val="20"/>
        </w:rPr>
        <w:t>”</w:t>
      </w:r>
      <w:r w:rsidR="008E351F" w:rsidRPr="00A51861">
        <w:rPr>
          <w:rStyle w:val="FootnoteReference"/>
          <w:rFonts w:asciiTheme="majorHAnsi" w:hAnsiTheme="majorHAnsi"/>
          <w:sz w:val="20"/>
          <w:szCs w:val="20"/>
        </w:rPr>
        <w:footnoteReference w:id="43"/>
      </w:r>
      <w:r w:rsidR="001D1D61">
        <w:rPr>
          <w:rFonts w:asciiTheme="majorHAnsi" w:hAnsiTheme="majorHAnsi"/>
          <w:sz w:val="20"/>
          <w:szCs w:val="20"/>
        </w:rPr>
        <w:t>. Th</w:t>
      </w:r>
      <w:r w:rsidR="00BE5683">
        <w:rPr>
          <w:rFonts w:asciiTheme="majorHAnsi" w:hAnsiTheme="majorHAnsi"/>
          <w:sz w:val="20"/>
          <w:szCs w:val="20"/>
        </w:rPr>
        <w:t>e document specified that</w:t>
      </w:r>
      <w:r w:rsidR="008E351F" w:rsidRPr="00A51861">
        <w:rPr>
          <w:rFonts w:asciiTheme="majorHAnsi" w:hAnsiTheme="majorHAnsi"/>
          <w:sz w:val="20"/>
          <w:szCs w:val="20"/>
        </w:rPr>
        <w:t xml:space="preserve"> </w:t>
      </w:r>
      <w:r w:rsidR="00A51861" w:rsidRPr="00A51861">
        <w:rPr>
          <w:rFonts w:asciiTheme="majorHAnsi" w:hAnsiTheme="majorHAnsi"/>
          <w:sz w:val="20"/>
          <w:szCs w:val="20"/>
        </w:rPr>
        <w:t>the alleged victim</w:t>
      </w:r>
      <w:r w:rsidR="008E351F" w:rsidRPr="00A51861">
        <w:rPr>
          <w:rFonts w:asciiTheme="majorHAnsi" w:hAnsiTheme="majorHAnsi"/>
          <w:sz w:val="20"/>
          <w:szCs w:val="20"/>
        </w:rPr>
        <w:t xml:space="preserve"> </w:t>
      </w:r>
      <w:r w:rsidR="00BE5683">
        <w:rPr>
          <w:rFonts w:asciiTheme="majorHAnsi" w:hAnsiTheme="majorHAnsi"/>
          <w:sz w:val="20"/>
          <w:szCs w:val="20"/>
        </w:rPr>
        <w:t>had</w:t>
      </w:r>
      <w:r w:rsidR="008E351F" w:rsidRPr="00A51861">
        <w:rPr>
          <w:rFonts w:asciiTheme="majorHAnsi" w:hAnsiTheme="majorHAnsi"/>
          <w:sz w:val="20"/>
          <w:szCs w:val="20"/>
        </w:rPr>
        <w:t xml:space="preserve"> </w:t>
      </w:r>
      <w:r w:rsidR="00BE5683">
        <w:rPr>
          <w:rFonts w:asciiTheme="majorHAnsi" w:hAnsiTheme="majorHAnsi"/>
          <w:sz w:val="20"/>
          <w:szCs w:val="20"/>
        </w:rPr>
        <w:t>participated</w:t>
      </w:r>
      <w:r w:rsidR="008E351F" w:rsidRPr="00A51861">
        <w:rPr>
          <w:rFonts w:asciiTheme="majorHAnsi" w:hAnsiTheme="majorHAnsi"/>
          <w:sz w:val="20"/>
          <w:szCs w:val="20"/>
        </w:rPr>
        <w:t xml:space="preserve"> </w:t>
      </w:r>
      <w:r w:rsidR="00BE5683">
        <w:rPr>
          <w:rFonts w:asciiTheme="majorHAnsi" w:hAnsiTheme="majorHAnsi"/>
          <w:sz w:val="20"/>
          <w:szCs w:val="20"/>
        </w:rPr>
        <w:t>along with other</w:t>
      </w:r>
      <w:r w:rsidR="008E351F" w:rsidRPr="00A51861">
        <w:rPr>
          <w:rFonts w:asciiTheme="majorHAnsi" w:hAnsiTheme="majorHAnsi"/>
          <w:sz w:val="20"/>
          <w:szCs w:val="20"/>
        </w:rPr>
        <w:t xml:space="preserve"> </w:t>
      </w:r>
      <w:r w:rsidR="00BE5683">
        <w:rPr>
          <w:rFonts w:asciiTheme="majorHAnsi" w:hAnsiTheme="majorHAnsi"/>
          <w:sz w:val="20"/>
          <w:szCs w:val="20"/>
        </w:rPr>
        <w:t>Uruguayans</w:t>
      </w:r>
      <w:r w:rsidR="008E351F" w:rsidRPr="00A51861">
        <w:rPr>
          <w:rFonts w:asciiTheme="majorHAnsi" w:hAnsiTheme="majorHAnsi"/>
          <w:sz w:val="20"/>
          <w:szCs w:val="20"/>
        </w:rPr>
        <w:t xml:space="preserve">, </w:t>
      </w:r>
      <w:r w:rsidR="00BE5683">
        <w:rPr>
          <w:rFonts w:asciiTheme="majorHAnsi" w:hAnsiTheme="majorHAnsi"/>
          <w:sz w:val="20"/>
          <w:szCs w:val="20"/>
        </w:rPr>
        <w:t xml:space="preserve">in an </w:t>
      </w:r>
      <w:r w:rsidR="00423CF1">
        <w:rPr>
          <w:rFonts w:asciiTheme="majorHAnsi" w:hAnsiTheme="majorHAnsi"/>
          <w:sz w:val="20"/>
          <w:szCs w:val="20"/>
        </w:rPr>
        <w:t>unauthorized assembly</w:t>
      </w:r>
      <w:r w:rsidR="00BE5683">
        <w:rPr>
          <w:rFonts w:asciiTheme="majorHAnsi" w:hAnsiTheme="majorHAnsi"/>
          <w:sz w:val="20"/>
          <w:szCs w:val="20"/>
        </w:rPr>
        <w:t xml:space="preserve"> in which</w:t>
      </w:r>
      <w:r w:rsidR="00C72DA4" w:rsidRPr="00A51861">
        <w:rPr>
          <w:rFonts w:asciiTheme="majorHAnsi" w:hAnsiTheme="majorHAnsi"/>
          <w:sz w:val="20"/>
          <w:szCs w:val="20"/>
        </w:rPr>
        <w:t xml:space="preserve"> </w:t>
      </w:r>
      <w:r w:rsidR="00BE5683">
        <w:rPr>
          <w:rFonts w:asciiTheme="majorHAnsi" w:hAnsiTheme="majorHAnsi"/>
          <w:sz w:val="20"/>
          <w:szCs w:val="20"/>
        </w:rPr>
        <w:t>political issues</w:t>
      </w:r>
      <w:r w:rsidR="00E92985">
        <w:rPr>
          <w:rFonts w:asciiTheme="majorHAnsi" w:hAnsiTheme="majorHAnsi"/>
          <w:sz w:val="20"/>
          <w:szCs w:val="20"/>
        </w:rPr>
        <w:t xml:space="preserve"> of </w:t>
      </w:r>
      <w:r w:rsidR="00C72DA4" w:rsidRPr="00A51861">
        <w:rPr>
          <w:rFonts w:asciiTheme="majorHAnsi" w:hAnsiTheme="majorHAnsi"/>
          <w:sz w:val="20"/>
          <w:szCs w:val="20"/>
        </w:rPr>
        <w:t>Uruguay</w:t>
      </w:r>
      <w:r w:rsidR="00BE5683">
        <w:rPr>
          <w:rFonts w:asciiTheme="majorHAnsi" w:hAnsiTheme="majorHAnsi"/>
          <w:sz w:val="20"/>
          <w:szCs w:val="20"/>
        </w:rPr>
        <w:t xml:space="preserve"> were being discussed</w:t>
      </w:r>
      <w:r w:rsidR="008E351F" w:rsidRPr="00A51861">
        <w:rPr>
          <w:rFonts w:asciiTheme="majorHAnsi" w:hAnsiTheme="majorHAnsi"/>
          <w:sz w:val="20"/>
          <w:szCs w:val="20"/>
        </w:rPr>
        <w:t xml:space="preserve">; </w:t>
      </w:r>
      <w:r w:rsidR="00C72DA4" w:rsidRPr="00A51861">
        <w:rPr>
          <w:rFonts w:asciiTheme="majorHAnsi" w:hAnsiTheme="majorHAnsi"/>
          <w:sz w:val="20"/>
          <w:szCs w:val="20"/>
        </w:rPr>
        <w:t>“</w:t>
      </w:r>
      <w:r w:rsidR="00BE5683">
        <w:rPr>
          <w:rFonts w:asciiTheme="majorHAnsi" w:hAnsiTheme="majorHAnsi"/>
          <w:sz w:val="20"/>
          <w:szCs w:val="20"/>
        </w:rPr>
        <w:t>being kidnapped at the place</w:t>
      </w:r>
      <w:r w:rsidR="008E351F" w:rsidRPr="00A51861">
        <w:rPr>
          <w:rFonts w:asciiTheme="majorHAnsi" w:hAnsiTheme="majorHAnsi"/>
          <w:sz w:val="20"/>
          <w:szCs w:val="20"/>
        </w:rPr>
        <w:t xml:space="preserve">, abundant </w:t>
      </w:r>
      <w:r w:rsidR="00BE5683" w:rsidRPr="00A51861">
        <w:rPr>
          <w:rFonts w:asciiTheme="majorHAnsi" w:hAnsiTheme="majorHAnsi"/>
          <w:sz w:val="20"/>
          <w:szCs w:val="20"/>
        </w:rPr>
        <w:t>ideologic</w:t>
      </w:r>
      <w:r w:rsidR="00E92985">
        <w:rPr>
          <w:rFonts w:asciiTheme="majorHAnsi" w:hAnsiTheme="majorHAnsi"/>
          <w:sz w:val="20"/>
          <w:szCs w:val="20"/>
        </w:rPr>
        <w:t xml:space="preserve"> </w:t>
      </w:r>
      <w:r w:rsidR="00BE5683" w:rsidRPr="00A51861">
        <w:rPr>
          <w:rFonts w:asciiTheme="majorHAnsi" w:hAnsiTheme="majorHAnsi"/>
          <w:sz w:val="20"/>
          <w:szCs w:val="20"/>
        </w:rPr>
        <w:t xml:space="preserve">material </w:t>
      </w:r>
      <w:r w:rsidR="00BE5683">
        <w:rPr>
          <w:rFonts w:asciiTheme="majorHAnsi" w:hAnsiTheme="majorHAnsi"/>
          <w:sz w:val="20"/>
          <w:szCs w:val="20"/>
        </w:rPr>
        <w:t xml:space="preserve">of </w:t>
      </w:r>
      <w:r w:rsidR="008E351F" w:rsidRPr="00A51861">
        <w:rPr>
          <w:rFonts w:asciiTheme="majorHAnsi" w:hAnsiTheme="majorHAnsi"/>
          <w:sz w:val="20"/>
          <w:szCs w:val="20"/>
        </w:rPr>
        <w:t>subversiv</w:t>
      </w:r>
      <w:r w:rsidR="00BE5683">
        <w:rPr>
          <w:rFonts w:asciiTheme="majorHAnsi" w:hAnsiTheme="majorHAnsi"/>
          <w:sz w:val="20"/>
          <w:szCs w:val="20"/>
        </w:rPr>
        <w:t>e nature</w:t>
      </w:r>
      <w:r w:rsidR="008E351F" w:rsidRPr="00A51861">
        <w:rPr>
          <w:rFonts w:asciiTheme="majorHAnsi" w:hAnsiTheme="majorHAnsi"/>
          <w:sz w:val="20"/>
          <w:szCs w:val="20"/>
        </w:rPr>
        <w:t xml:space="preserve"> (…) </w:t>
      </w:r>
      <w:r w:rsidR="00BE5683">
        <w:rPr>
          <w:rFonts w:asciiTheme="majorHAnsi" w:hAnsiTheme="majorHAnsi"/>
          <w:sz w:val="20"/>
          <w:szCs w:val="20"/>
        </w:rPr>
        <w:t>requesting said body</w:t>
      </w:r>
      <w:r w:rsidR="008E351F" w:rsidRPr="00A51861">
        <w:rPr>
          <w:rFonts w:asciiTheme="majorHAnsi" w:hAnsiTheme="majorHAnsi"/>
          <w:sz w:val="20"/>
          <w:szCs w:val="20"/>
        </w:rPr>
        <w:t xml:space="preserve">, </w:t>
      </w:r>
      <w:r w:rsidR="00BE5683">
        <w:rPr>
          <w:rFonts w:asciiTheme="majorHAnsi" w:hAnsiTheme="majorHAnsi"/>
          <w:sz w:val="20"/>
          <w:szCs w:val="20"/>
        </w:rPr>
        <w:t>to</w:t>
      </w:r>
      <w:r w:rsidR="008E351F" w:rsidRPr="00A51861">
        <w:rPr>
          <w:rFonts w:asciiTheme="majorHAnsi" w:hAnsiTheme="majorHAnsi"/>
          <w:sz w:val="20"/>
          <w:szCs w:val="20"/>
        </w:rPr>
        <w:t xml:space="preserve"> </w:t>
      </w:r>
      <w:r w:rsidR="00BE5683">
        <w:rPr>
          <w:rFonts w:asciiTheme="majorHAnsi" w:hAnsiTheme="majorHAnsi"/>
          <w:sz w:val="20"/>
          <w:szCs w:val="20"/>
        </w:rPr>
        <w:t>proceed with the cancelation of the temporary</w:t>
      </w:r>
      <w:r w:rsidR="008E351F" w:rsidRPr="00A51861">
        <w:rPr>
          <w:rFonts w:asciiTheme="majorHAnsi" w:hAnsiTheme="majorHAnsi"/>
          <w:sz w:val="20"/>
          <w:szCs w:val="20"/>
        </w:rPr>
        <w:t xml:space="preserve"> </w:t>
      </w:r>
      <w:r w:rsidR="00BE5683">
        <w:rPr>
          <w:rFonts w:asciiTheme="majorHAnsi" w:hAnsiTheme="majorHAnsi"/>
          <w:sz w:val="20"/>
          <w:szCs w:val="20"/>
        </w:rPr>
        <w:t>residency agreed for Mr.</w:t>
      </w:r>
      <w:r w:rsidR="008E351F" w:rsidRPr="00A51861">
        <w:rPr>
          <w:rFonts w:asciiTheme="majorHAnsi" w:hAnsiTheme="majorHAnsi"/>
          <w:sz w:val="20"/>
          <w:szCs w:val="20"/>
        </w:rPr>
        <w:t xml:space="preserve"> </w:t>
      </w:r>
      <w:r w:rsidR="00BD093F">
        <w:rPr>
          <w:rFonts w:asciiTheme="majorHAnsi" w:hAnsiTheme="majorHAnsi"/>
          <w:sz w:val="20"/>
          <w:szCs w:val="20"/>
        </w:rPr>
        <w:t xml:space="preserve">Rito de los </w:t>
      </w:r>
      <w:r w:rsidR="008E351F" w:rsidRPr="00A51861">
        <w:rPr>
          <w:rFonts w:asciiTheme="majorHAnsi" w:hAnsiTheme="majorHAnsi"/>
          <w:sz w:val="20"/>
          <w:szCs w:val="20"/>
        </w:rPr>
        <w:t>S</w:t>
      </w:r>
      <w:r w:rsidR="00BE5683">
        <w:rPr>
          <w:rFonts w:asciiTheme="majorHAnsi" w:hAnsiTheme="majorHAnsi"/>
          <w:sz w:val="20"/>
          <w:szCs w:val="20"/>
        </w:rPr>
        <w:t>antos</w:t>
      </w:r>
      <w:r w:rsidR="008E351F" w:rsidRPr="00A51861">
        <w:rPr>
          <w:rFonts w:asciiTheme="majorHAnsi" w:hAnsiTheme="majorHAnsi"/>
          <w:sz w:val="20"/>
          <w:szCs w:val="20"/>
        </w:rPr>
        <w:t>,</w:t>
      </w:r>
      <w:r w:rsidR="00E92985">
        <w:rPr>
          <w:rFonts w:asciiTheme="majorHAnsi" w:hAnsiTheme="majorHAnsi"/>
          <w:sz w:val="20"/>
          <w:szCs w:val="20"/>
        </w:rPr>
        <w:t xml:space="preserve"> and </w:t>
      </w:r>
      <w:r w:rsidR="00BE5683">
        <w:rPr>
          <w:rFonts w:asciiTheme="majorHAnsi" w:hAnsiTheme="majorHAnsi"/>
          <w:sz w:val="20"/>
          <w:szCs w:val="20"/>
        </w:rPr>
        <w:t>to keep</w:t>
      </w:r>
      <w:r w:rsidR="008E351F" w:rsidRPr="00A51861">
        <w:rPr>
          <w:rFonts w:asciiTheme="majorHAnsi" w:hAnsiTheme="majorHAnsi"/>
          <w:sz w:val="20"/>
          <w:szCs w:val="20"/>
        </w:rPr>
        <w:t xml:space="preserve"> </w:t>
      </w:r>
      <w:r w:rsidR="00BD093F">
        <w:rPr>
          <w:rFonts w:asciiTheme="majorHAnsi" w:hAnsiTheme="majorHAnsi"/>
          <w:sz w:val="20"/>
          <w:szCs w:val="20"/>
        </w:rPr>
        <w:t xml:space="preserve">his wife </w:t>
      </w:r>
      <w:r w:rsidR="008E351F" w:rsidRPr="00A51861">
        <w:rPr>
          <w:rFonts w:asciiTheme="majorHAnsi" w:hAnsiTheme="majorHAnsi"/>
          <w:sz w:val="20"/>
          <w:szCs w:val="20"/>
        </w:rPr>
        <w:t xml:space="preserve">Delma Alicia </w:t>
      </w:r>
      <w:r w:rsidR="00BE5683">
        <w:rPr>
          <w:rFonts w:asciiTheme="majorHAnsi" w:hAnsiTheme="majorHAnsi"/>
          <w:sz w:val="20"/>
          <w:szCs w:val="20"/>
        </w:rPr>
        <w:t>Pi</w:t>
      </w:r>
      <w:r w:rsidR="00E92985">
        <w:rPr>
          <w:rFonts w:asciiTheme="majorHAnsi" w:hAnsiTheme="majorHAnsi"/>
          <w:sz w:val="20"/>
          <w:szCs w:val="20"/>
        </w:rPr>
        <w:t xml:space="preserve"> of </w:t>
      </w:r>
      <w:r w:rsidR="008E351F" w:rsidRPr="00A51861">
        <w:rPr>
          <w:rFonts w:asciiTheme="majorHAnsi" w:hAnsiTheme="majorHAnsi"/>
          <w:sz w:val="20"/>
          <w:szCs w:val="20"/>
        </w:rPr>
        <w:t>R</w:t>
      </w:r>
      <w:r w:rsidR="00BE5683">
        <w:rPr>
          <w:rFonts w:asciiTheme="majorHAnsi" w:hAnsiTheme="majorHAnsi"/>
          <w:sz w:val="20"/>
          <w:szCs w:val="20"/>
        </w:rPr>
        <w:t>ito</w:t>
      </w:r>
      <w:r w:rsidR="008E351F" w:rsidRPr="00A51861">
        <w:rPr>
          <w:rFonts w:asciiTheme="majorHAnsi" w:hAnsiTheme="majorHAnsi"/>
          <w:sz w:val="20"/>
          <w:szCs w:val="20"/>
        </w:rPr>
        <w:t xml:space="preserve">, </w:t>
      </w:r>
      <w:r w:rsidR="00BE5683">
        <w:rPr>
          <w:rFonts w:asciiTheme="majorHAnsi" w:hAnsiTheme="majorHAnsi"/>
          <w:sz w:val="20"/>
          <w:szCs w:val="20"/>
        </w:rPr>
        <w:t>from receiving her residency</w:t>
      </w:r>
      <w:r w:rsidR="008E351F" w:rsidRPr="00A51861">
        <w:rPr>
          <w:rFonts w:asciiTheme="majorHAnsi" w:hAnsiTheme="majorHAnsi"/>
          <w:sz w:val="20"/>
          <w:szCs w:val="20"/>
        </w:rPr>
        <w:t xml:space="preserve">; </w:t>
      </w:r>
      <w:r w:rsidR="00BE5683">
        <w:rPr>
          <w:rFonts w:asciiTheme="majorHAnsi" w:hAnsiTheme="majorHAnsi"/>
          <w:sz w:val="20"/>
          <w:szCs w:val="20"/>
        </w:rPr>
        <w:t>in</w:t>
      </w:r>
      <w:r w:rsidR="008E351F" w:rsidRPr="00A51861">
        <w:rPr>
          <w:rFonts w:asciiTheme="majorHAnsi" w:hAnsiTheme="majorHAnsi"/>
          <w:sz w:val="20"/>
          <w:szCs w:val="20"/>
        </w:rPr>
        <w:t xml:space="preserve"> conside</w:t>
      </w:r>
      <w:r w:rsidR="00BE5683">
        <w:rPr>
          <w:rFonts w:asciiTheme="majorHAnsi" w:hAnsiTheme="majorHAnsi"/>
          <w:sz w:val="20"/>
          <w:szCs w:val="20"/>
        </w:rPr>
        <w:t>ring them</w:t>
      </w:r>
      <w:r w:rsidR="008E351F" w:rsidRPr="00A51861">
        <w:rPr>
          <w:rFonts w:asciiTheme="majorHAnsi" w:hAnsiTheme="majorHAnsi"/>
          <w:sz w:val="20"/>
          <w:szCs w:val="20"/>
        </w:rPr>
        <w:t xml:space="preserve"> </w:t>
      </w:r>
      <w:r w:rsidR="005D2B55">
        <w:rPr>
          <w:rFonts w:asciiTheme="majorHAnsi" w:hAnsiTheme="majorHAnsi"/>
          <w:sz w:val="20"/>
          <w:szCs w:val="20"/>
        </w:rPr>
        <w:t>incurring in the provisions of</w:t>
      </w:r>
      <w:r w:rsidR="008E351F" w:rsidRPr="00A51861">
        <w:rPr>
          <w:rFonts w:asciiTheme="majorHAnsi" w:hAnsiTheme="majorHAnsi"/>
          <w:sz w:val="20"/>
          <w:szCs w:val="20"/>
        </w:rPr>
        <w:t xml:space="preserve"> Art. 25 </w:t>
      </w:r>
      <w:r w:rsidR="00423CF1">
        <w:rPr>
          <w:rFonts w:asciiTheme="majorHAnsi" w:hAnsiTheme="majorHAnsi"/>
          <w:sz w:val="20"/>
          <w:szCs w:val="20"/>
        </w:rPr>
        <w:t>subs.</w:t>
      </w:r>
      <w:r w:rsidR="008E351F" w:rsidRPr="00A51861">
        <w:rPr>
          <w:rFonts w:asciiTheme="majorHAnsi" w:hAnsiTheme="majorHAnsi"/>
          <w:sz w:val="20"/>
          <w:szCs w:val="20"/>
        </w:rPr>
        <w:t xml:space="preserve"> g) </w:t>
      </w:r>
      <w:r w:rsidR="005D2B55">
        <w:rPr>
          <w:rFonts w:asciiTheme="majorHAnsi" w:hAnsiTheme="majorHAnsi"/>
          <w:sz w:val="20"/>
          <w:szCs w:val="20"/>
        </w:rPr>
        <w:t xml:space="preserve">of the </w:t>
      </w:r>
      <w:r w:rsidR="00166E8A">
        <w:rPr>
          <w:rFonts w:asciiTheme="majorHAnsi" w:hAnsiTheme="majorHAnsi"/>
          <w:sz w:val="20"/>
          <w:szCs w:val="20"/>
        </w:rPr>
        <w:t>Migration Regulations</w:t>
      </w:r>
      <w:r w:rsidR="008E351F" w:rsidRPr="00A51861">
        <w:rPr>
          <w:rFonts w:asciiTheme="majorHAnsi" w:hAnsiTheme="majorHAnsi"/>
          <w:sz w:val="20"/>
          <w:szCs w:val="20"/>
        </w:rPr>
        <w:t>”</w:t>
      </w:r>
      <w:r w:rsidR="008E351F" w:rsidRPr="00A51861">
        <w:rPr>
          <w:rStyle w:val="FootnoteReference"/>
          <w:rFonts w:asciiTheme="majorHAnsi" w:hAnsiTheme="majorHAnsi"/>
          <w:sz w:val="20"/>
          <w:szCs w:val="20"/>
        </w:rPr>
        <w:footnoteReference w:id="44"/>
      </w:r>
      <w:r w:rsidR="008E351F" w:rsidRPr="00A51861">
        <w:rPr>
          <w:rFonts w:asciiTheme="majorHAnsi" w:hAnsiTheme="majorHAnsi"/>
          <w:sz w:val="20"/>
          <w:szCs w:val="20"/>
        </w:rPr>
        <w:t>.</w:t>
      </w:r>
    </w:p>
    <w:p w14:paraId="6011E3FA" w14:textId="77777777" w:rsidR="008E351F" w:rsidRPr="00A51861" w:rsidRDefault="008E351F" w:rsidP="008E4D36">
      <w:pPr>
        <w:pStyle w:val="ListParagraph"/>
        <w:rPr>
          <w:rFonts w:asciiTheme="majorHAnsi" w:hAnsiTheme="majorHAnsi"/>
          <w:sz w:val="20"/>
          <w:szCs w:val="20"/>
        </w:rPr>
      </w:pPr>
    </w:p>
    <w:p w14:paraId="2963DA3E" w14:textId="2E5FC877" w:rsidR="008E351F" w:rsidRPr="00A51861" w:rsidRDefault="005D2B55"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 xml:space="preserve">On June 28, </w:t>
      </w:r>
      <w:r w:rsidR="008E351F" w:rsidRPr="00A51861">
        <w:rPr>
          <w:rFonts w:asciiTheme="majorHAnsi" w:hAnsiTheme="majorHAnsi"/>
          <w:sz w:val="20"/>
          <w:szCs w:val="20"/>
        </w:rPr>
        <w:t>1974</w:t>
      </w:r>
      <w:r w:rsidR="007E4AFF">
        <w:rPr>
          <w:rFonts w:asciiTheme="majorHAnsi" w:hAnsiTheme="majorHAnsi"/>
          <w:sz w:val="20"/>
          <w:szCs w:val="20"/>
        </w:rPr>
        <w:t>,</w:t>
      </w:r>
      <w:r w:rsidR="008E351F" w:rsidRPr="00A51861">
        <w:rPr>
          <w:rFonts w:asciiTheme="majorHAnsi" w:hAnsiTheme="majorHAnsi"/>
          <w:sz w:val="20"/>
          <w:szCs w:val="20"/>
        </w:rPr>
        <w:t xml:space="preserve"> </w:t>
      </w:r>
      <w:r w:rsidR="008333FF">
        <w:rPr>
          <w:rFonts w:asciiTheme="majorHAnsi" w:hAnsiTheme="majorHAnsi"/>
          <w:sz w:val="20"/>
          <w:szCs w:val="20"/>
        </w:rPr>
        <w:t>ordinance</w:t>
      </w:r>
      <w:r w:rsidR="008E351F" w:rsidRPr="00A51861">
        <w:rPr>
          <w:rFonts w:asciiTheme="majorHAnsi" w:hAnsiTheme="majorHAnsi"/>
          <w:sz w:val="20"/>
          <w:szCs w:val="20"/>
        </w:rPr>
        <w:t xml:space="preserve"> 7.888 </w:t>
      </w:r>
      <w:r>
        <w:rPr>
          <w:rFonts w:asciiTheme="majorHAnsi" w:hAnsiTheme="majorHAnsi"/>
          <w:sz w:val="20"/>
          <w:szCs w:val="20"/>
        </w:rPr>
        <w:t>was issued, from the</w:t>
      </w:r>
      <w:r w:rsidR="008E351F" w:rsidRPr="00A51861">
        <w:rPr>
          <w:rFonts w:asciiTheme="majorHAnsi" w:hAnsiTheme="majorHAnsi"/>
          <w:sz w:val="20"/>
          <w:szCs w:val="20"/>
        </w:rPr>
        <w:t xml:space="preserve"> </w:t>
      </w:r>
      <w:r>
        <w:rPr>
          <w:rFonts w:asciiTheme="majorHAnsi" w:hAnsiTheme="majorHAnsi"/>
          <w:sz w:val="20"/>
          <w:szCs w:val="20"/>
        </w:rPr>
        <w:t xml:space="preserve">Juridical Affairs Department </w:t>
      </w:r>
      <w:r w:rsidR="00E92985">
        <w:rPr>
          <w:rFonts w:asciiTheme="majorHAnsi" w:hAnsiTheme="majorHAnsi"/>
          <w:sz w:val="20"/>
          <w:szCs w:val="20"/>
        </w:rPr>
        <w:t xml:space="preserve">of the </w:t>
      </w:r>
      <w:r w:rsidR="008E2F10">
        <w:rPr>
          <w:rFonts w:asciiTheme="majorHAnsi" w:hAnsiTheme="majorHAnsi"/>
          <w:sz w:val="20"/>
          <w:szCs w:val="20"/>
        </w:rPr>
        <w:t>NDM</w:t>
      </w:r>
      <w:r w:rsidR="00C72DA4" w:rsidRPr="00A51861">
        <w:rPr>
          <w:rFonts w:asciiTheme="majorHAnsi" w:hAnsiTheme="majorHAnsi"/>
          <w:sz w:val="20"/>
          <w:szCs w:val="20"/>
        </w:rPr>
        <w:t xml:space="preserve">, </w:t>
      </w:r>
      <w:r>
        <w:rPr>
          <w:rFonts w:asciiTheme="majorHAnsi" w:hAnsiTheme="majorHAnsi"/>
          <w:sz w:val="20"/>
          <w:szCs w:val="20"/>
        </w:rPr>
        <w:t>which recommended</w:t>
      </w:r>
      <w:r w:rsidR="008E351F" w:rsidRPr="00A51861">
        <w:rPr>
          <w:rFonts w:asciiTheme="majorHAnsi" w:hAnsiTheme="majorHAnsi"/>
          <w:sz w:val="20"/>
          <w:szCs w:val="20"/>
        </w:rPr>
        <w:t xml:space="preserve"> </w:t>
      </w:r>
      <w:r>
        <w:rPr>
          <w:rFonts w:asciiTheme="majorHAnsi" w:hAnsiTheme="majorHAnsi"/>
          <w:sz w:val="20"/>
          <w:szCs w:val="20"/>
        </w:rPr>
        <w:t xml:space="preserve">to </w:t>
      </w:r>
      <w:r w:rsidR="00C72DA4" w:rsidRPr="00A51861">
        <w:rPr>
          <w:rFonts w:asciiTheme="majorHAnsi" w:hAnsiTheme="majorHAnsi"/>
          <w:sz w:val="20"/>
          <w:szCs w:val="20"/>
        </w:rPr>
        <w:t>“</w:t>
      </w:r>
      <w:r>
        <w:rPr>
          <w:rFonts w:asciiTheme="majorHAnsi" w:hAnsiTheme="majorHAnsi"/>
          <w:sz w:val="20"/>
          <w:szCs w:val="20"/>
        </w:rPr>
        <w:t>request the</w:t>
      </w:r>
      <w:r w:rsidR="008E351F" w:rsidRPr="00A51861">
        <w:rPr>
          <w:rFonts w:asciiTheme="majorHAnsi" w:hAnsiTheme="majorHAnsi"/>
          <w:sz w:val="20"/>
          <w:szCs w:val="20"/>
        </w:rPr>
        <w:t xml:space="preserve"> </w:t>
      </w:r>
      <w:r w:rsidRPr="00A51861">
        <w:rPr>
          <w:rFonts w:asciiTheme="majorHAnsi" w:hAnsiTheme="majorHAnsi"/>
          <w:sz w:val="20"/>
          <w:szCs w:val="20"/>
        </w:rPr>
        <w:t>Secretariat</w:t>
      </w:r>
      <w:r w:rsidR="00E92985">
        <w:rPr>
          <w:rFonts w:asciiTheme="majorHAnsi" w:hAnsiTheme="majorHAnsi"/>
          <w:sz w:val="20"/>
          <w:szCs w:val="20"/>
        </w:rPr>
        <w:t xml:space="preserve"> of </w:t>
      </w:r>
      <w:r w:rsidRPr="00A51861">
        <w:rPr>
          <w:rFonts w:asciiTheme="majorHAnsi" w:hAnsiTheme="majorHAnsi"/>
          <w:sz w:val="20"/>
          <w:szCs w:val="20"/>
        </w:rPr>
        <w:t>Information</w:t>
      </w:r>
      <w:r w:rsidR="008E351F" w:rsidRPr="00A51861">
        <w:rPr>
          <w:rFonts w:asciiTheme="majorHAnsi" w:hAnsiTheme="majorHAnsi"/>
          <w:sz w:val="20"/>
          <w:szCs w:val="20"/>
        </w:rPr>
        <w:t xml:space="preserve"> </w:t>
      </w:r>
      <w:r w:rsidR="00F92BA8">
        <w:rPr>
          <w:rFonts w:asciiTheme="majorHAnsi" w:hAnsiTheme="majorHAnsi"/>
          <w:sz w:val="20"/>
          <w:szCs w:val="20"/>
        </w:rPr>
        <w:t>of the State</w:t>
      </w:r>
      <w:r w:rsidR="008E351F" w:rsidRPr="00A51861">
        <w:rPr>
          <w:rFonts w:asciiTheme="majorHAnsi" w:hAnsiTheme="majorHAnsi"/>
          <w:sz w:val="20"/>
          <w:szCs w:val="20"/>
        </w:rPr>
        <w:t xml:space="preserve"> (S.I.D.E.) </w:t>
      </w:r>
      <w:r>
        <w:rPr>
          <w:rFonts w:asciiTheme="majorHAnsi" w:hAnsiTheme="majorHAnsi"/>
          <w:sz w:val="20"/>
          <w:szCs w:val="20"/>
        </w:rPr>
        <w:t xml:space="preserve">to report whether the foreigners </w:t>
      </w:r>
      <w:r w:rsidR="00423CF1">
        <w:rPr>
          <w:rFonts w:asciiTheme="majorHAnsi" w:hAnsiTheme="majorHAnsi"/>
          <w:sz w:val="20"/>
          <w:szCs w:val="20"/>
        </w:rPr>
        <w:t>in the</w:t>
      </w:r>
      <w:r>
        <w:rPr>
          <w:rFonts w:asciiTheme="majorHAnsi" w:hAnsiTheme="majorHAnsi"/>
          <w:sz w:val="20"/>
          <w:szCs w:val="20"/>
        </w:rPr>
        <w:t xml:space="preserve"> briefs</w:t>
      </w:r>
      <w:r w:rsidR="008E351F" w:rsidRPr="00A51861">
        <w:rPr>
          <w:rFonts w:asciiTheme="majorHAnsi" w:hAnsiTheme="majorHAnsi"/>
          <w:sz w:val="20"/>
          <w:szCs w:val="20"/>
        </w:rPr>
        <w:t xml:space="preserve"> –</w:t>
      </w:r>
      <w:r w:rsidR="00A51861" w:rsidRPr="00A51861">
        <w:rPr>
          <w:rFonts w:asciiTheme="majorHAnsi" w:hAnsiTheme="majorHAnsi"/>
          <w:sz w:val="20"/>
          <w:szCs w:val="20"/>
        </w:rPr>
        <w:t xml:space="preserve">Mr. </w:t>
      </w:r>
      <w:r w:rsidR="00B01A54">
        <w:rPr>
          <w:rFonts w:asciiTheme="majorHAnsi" w:hAnsiTheme="majorHAnsi"/>
          <w:sz w:val="20"/>
          <w:szCs w:val="20"/>
        </w:rPr>
        <w:t xml:space="preserve">Rito de los Santos </w:t>
      </w:r>
      <w:r w:rsidR="00E92985">
        <w:rPr>
          <w:rFonts w:asciiTheme="majorHAnsi" w:hAnsiTheme="majorHAnsi"/>
          <w:sz w:val="20"/>
          <w:szCs w:val="20"/>
        </w:rPr>
        <w:t xml:space="preserve">and </w:t>
      </w:r>
      <w:r>
        <w:rPr>
          <w:rFonts w:asciiTheme="majorHAnsi" w:hAnsiTheme="majorHAnsi"/>
          <w:sz w:val="20"/>
          <w:szCs w:val="20"/>
        </w:rPr>
        <w:t>his wife</w:t>
      </w:r>
      <w:r w:rsidR="008E351F" w:rsidRPr="00A51861">
        <w:rPr>
          <w:rFonts w:asciiTheme="majorHAnsi" w:hAnsiTheme="majorHAnsi"/>
          <w:sz w:val="20"/>
          <w:szCs w:val="20"/>
        </w:rPr>
        <w:t xml:space="preserve">-, </w:t>
      </w:r>
      <w:r>
        <w:rPr>
          <w:rFonts w:asciiTheme="majorHAnsi" w:hAnsiTheme="majorHAnsi"/>
          <w:sz w:val="20"/>
          <w:szCs w:val="20"/>
        </w:rPr>
        <w:t>have a record which may</w:t>
      </w:r>
      <w:r w:rsidR="008E351F" w:rsidRPr="00A51861">
        <w:rPr>
          <w:rFonts w:asciiTheme="majorHAnsi" w:hAnsiTheme="majorHAnsi"/>
          <w:sz w:val="20"/>
          <w:szCs w:val="20"/>
        </w:rPr>
        <w:t xml:space="preserve"> </w:t>
      </w:r>
      <w:r>
        <w:rPr>
          <w:rFonts w:asciiTheme="majorHAnsi" w:hAnsiTheme="majorHAnsi"/>
          <w:sz w:val="20"/>
          <w:szCs w:val="20"/>
        </w:rPr>
        <w:t>lead to assume that they shall</w:t>
      </w:r>
      <w:r w:rsidR="008E351F" w:rsidRPr="00A51861">
        <w:rPr>
          <w:rFonts w:asciiTheme="majorHAnsi" w:hAnsiTheme="majorHAnsi"/>
          <w:sz w:val="20"/>
          <w:szCs w:val="20"/>
        </w:rPr>
        <w:t xml:space="preserve"> comprom</w:t>
      </w:r>
      <w:r>
        <w:rPr>
          <w:rFonts w:asciiTheme="majorHAnsi" w:hAnsiTheme="majorHAnsi"/>
          <w:sz w:val="20"/>
          <w:szCs w:val="20"/>
        </w:rPr>
        <w:t>ise national security</w:t>
      </w:r>
      <w:r w:rsidR="008E351F" w:rsidRPr="00A51861">
        <w:rPr>
          <w:rFonts w:asciiTheme="majorHAnsi" w:hAnsiTheme="majorHAnsi"/>
          <w:sz w:val="20"/>
          <w:szCs w:val="20"/>
        </w:rPr>
        <w:t xml:space="preserve"> </w:t>
      </w:r>
      <w:r>
        <w:rPr>
          <w:rFonts w:asciiTheme="majorHAnsi" w:hAnsiTheme="majorHAnsi"/>
          <w:sz w:val="20"/>
          <w:szCs w:val="20"/>
        </w:rPr>
        <w:t>or public order</w:t>
      </w:r>
      <w:r w:rsidR="008E351F" w:rsidRPr="00A51861">
        <w:rPr>
          <w:rFonts w:asciiTheme="majorHAnsi" w:hAnsiTheme="majorHAnsi"/>
          <w:sz w:val="20"/>
          <w:szCs w:val="20"/>
        </w:rPr>
        <w:t>”</w:t>
      </w:r>
      <w:r w:rsidR="008E351F" w:rsidRPr="00A51861">
        <w:rPr>
          <w:rStyle w:val="FootnoteReference"/>
          <w:rFonts w:asciiTheme="majorHAnsi" w:hAnsiTheme="majorHAnsi"/>
          <w:sz w:val="20"/>
          <w:szCs w:val="20"/>
        </w:rPr>
        <w:footnoteReference w:id="45"/>
      </w:r>
      <w:r w:rsidR="008E351F" w:rsidRPr="00A51861">
        <w:rPr>
          <w:rFonts w:asciiTheme="majorHAnsi" w:hAnsiTheme="majorHAnsi"/>
          <w:sz w:val="20"/>
          <w:szCs w:val="20"/>
        </w:rPr>
        <w:t xml:space="preserve">. </w:t>
      </w:r>
      <w:r>
        <w:rPr>
          <w:rFonts w:asciiTheme="majorHAnsi" w:hAnsiTheme="majorHAnsi"/>
          <w:sz w:val="20"/>
          <w:szCs w:val="20"/>
        </w:rPr>
        <w:t>On July 25 that same year</w:t>
      </w:r>
      <w:r w:rsidR="008E351F" w:rsidRPr="00A51861">
        <w:rPr>
          <w:rFonts w:asciiTheme="majorHAnsi" w:hAnsiTheme="majorHAnsi"/>
          <w:sz w:val="20"/>
          <w:szCs w:val="20"/>
        </w:rPr>
        <w:t xml:space="preserve">, </w:t>
      </w:r>
      <w:r>
        <w:rPr>
          <w:rFonts w:asciiTheme="majorHAnsi" w:hAnsiTheme="majorHAnsi"/>
          <w:sz w:val="20"/>
          <w:szCs w:val="20"/>
        </w:rPr>
        <w:t>the request for information was submitted to the</w:t>
      </w:r>
      <w:r w:rsidR="008E351F" w:rsidRPr="00A51861">
        <w:rPr>
          <w:rFonts w:asciiTheme="majorHAnsi" w:hAnsiTheme="majorHAnsi"/>
          <w:sz w:val="20"/>
          <w:szCs w:val="20"/>
        </w:rPr>
        <w:t xml:space="preserve"> </w:t>
      </w:r>
      <w:r>
        <w:rPr>
          <w:rFonts w:asciiTheme="majorHAnsi" w:hAnsiTheme="majorHAnsi"/>
          <w:sz w:val="20"/>
          <w:szCs w:val="20"/>
        </w:rPr>
        <w:t xml:space="preserve">Secretariat of Information of the State </w:t>
      </w:r>
      <w:r w:rsidR="008E351F" w:rsidRPr="00A51861">
        <w:rPr>
          <w:rFonts w:asciiTheme="majorHAnsi" w:hAnsiTheme="majorHAnsi"/>
          <w:sz w:val="20"/>
          <w:szCs w:val="20"/>
        </w:rPr>
        <w:t>(</w:t>
      </w:r>
      <w:r w:rsidR="00F92BA8">
        <w:rPr>
          <w:rFonts w:asciiTheme="majorHAnsi" w:hAnsiTheme="majorHAnsi"/>
          <w:sz w:val="20"/>
          <w:szCs w:val="20"/>
        </w:rPr>
        <w:t>hereinafter</w:t>
      </w:r>
      <w:r w:rsidR="008E351F" w:rsidRPr="00A51861">
        <w:rPr>
          <w:rFonts w:asciiTheme="majorHAnsi" w:hAnsiTheme="majorHAnsi"/>
          <w:sz w:val="20"/>
          <w:szCs w:val="20"/>
        </w:rPr>
        <w:t xml:space="preserve"> “S.I.D.E.”)</w:t>
      </w:r>
      <w:r w:rsidR="008E351F" w:rsidRPr="00A51861">
        <w:rPr>
          <w:rStyle w:val="FootnoteReference"/>
          <w:rFonts w:asciiTheme="majorHAnsi" w:hAnsiTheme="majorHAnsi"/>
          <w:sz w:val="20"/>
          <w:szCs w:val="20"/>
        </w:rPr>
        <w:footnoteReference w:id="46"/>
      </w:r>
      <w:r w:rsidR="008E351F" w:rsidRPr="00A51861">
        <w:rPr>
          <w:rFonts w:asciiTheme="majorHAnsi" w:hAnsiTheme="majorHAnsi"/>
          <w:sz w:val="20"/>
          <w:szCs w:val="20"/>
        </w:rPr>
        <w:t>.</w:t>
      </w:r>
    </w:p>
    <w:p w14:paraId="76B84FFE" w14:textId="77777777" w:rsidR="008E351F" w:rsidRPr="00A51861" w:rsidRDefault="008E351F" w:rsidP="008E4D36">
      <w:pPr>
        <w:pStyle w:val="ListParagraph"/>
        <w:rPr>
          <w:rFonts w:asciiTheme="majorHAnsi" w:hAnsiTheme="majorHAnsi"/>
          <w:sz w:val="20"/>
          <w:szCs w:val="20"/>
        </w:rPr>
      </w:pPr>
    </w:p>
    <w:p w14:paraId="17E1AA74" w14:textId="64C65A5B" w:rsidR="008E351F" w:rsidRPr="00A51861" w:rsidRDefault="00A63761"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lastRenderedPageBreak/>
        <w:t>As held by the attorney of</w:t>
      </w:r>
      <w:r w:rsidR="008E351F" w:rsidRPr="00A51861">
        <w:rPr>
          <w:rFonts w:asciiTheme="majorHAnsi" w:hAnsiTheme="majorHAnsi"/>
          <w:sz w:val="20"/>
          <w:szCs w:val="20"/>
        </w:rPr>
        <w:t xml:space="preserve"> </w:t>
      </w:r>
      <w:r w:rsidR="00BD093F">
        <w:rPr>
          <w:rFonts w:asciiTheme="majorHAnsi" w:hAnsiTheme="majorHAnsi"/>
          <w:sz w:val="20"/>
          <w:szCs w:val="20"/>
        </w:rPr>
        <w:t xml:space="preserve">Mr. </w:t>
      </w:r>
      <w:r w:rsidR="00B01A54">
        <w:rPr>
          <w:rFonts w:asciiTheme="majorHAnsi" w:hAnsiTheme="majorHAnsi"/>
          <w:sz w:val="20"/>
          <w:szCs w:val="20"/>
        </w:rPr>
        <w:t xml:space="preserve">Rito de los Santos </w:t>
      </w:r>
      <w:r>
        <w:rPr>
          <w:rFonts w:asciiTheme="majorHAnsi" w:hAnsiTheme="majorHAnsi"/>
          <w:sz w:val="20"/>
          <w:szCs w:val="20"/>
        </w:rPr>
        <w:t>in the brief before the</w:t>
      </w:r>
      <w:r w:rsidR="002F7031" w:rsidRPr="00A51861">
        <w:rPr>
          <w:rFonts w:asciiTheme="majorHAnsi" w:hAnsiTheme="majorHAnsi"/>
          <w:sz w:val="20"/>
          <w:szCs w:val="20"/>
        </w:rPr>
        <w:t xml:space="preserve"> </w:t>
      </w:r>
      <w:r>
        <w:rPr>
          <w:rFonts w:asciiTheme="majorHAnsi" w:hAnsiTheme="majorHAnsi"/>
          <w:sz w:val="20"/>
          <w:szCs w:val="20"/>
        </w:rPr>
        <w:t>Supreme Court</w:t>
      </w:r>
      <w:r w:rsidR="002F7031" w:rsidRPr="00A51861">
        <w:rPr>
          <w:rFonts w:asciiTheme="majorHAnsi" w:hAnsiTheme="majorHAnsi"/>
          <w:sz w:val="20"/>
          <w:szCs w:val="20"/>
        </w:rPr>
        <w:t>,</w:t>
      </w:r>
      <w:r w:rsidR="008E351F" w:rsidRPr="00A51861">
        <w:rPr>
          <w:rFonts w:asciiTheme="majorHAnsi" w:hAnsiTheme="majorHAnsi"/>
          <w:sz w:val="20"/>
          <w:szCs w:val="20"/>
        </w:rPr>
        <w:t xml:space="preserve"> </w:t>
      </w:r>
      <w:r w:rsidR="008333FF">
        <w:rPr>
          <w:rFonts w:asciiTheme="majorHAnsi" w:hAnsiTheme="majorHAnsi"/>
          <w:sz w:val="20"/>
          <w:szCs w:val="20"/>
        </w:rPr>
        <w:t xml:space="preserve">the </w:t>
      </w:r>
      <w:r w:rsidR="00EC7A58">
        <w:rPr>
          <w:rFonts w:asciiTheme="majorHAnsi" w:hAnsiTheme="majorHAnsi"/>
          <w:sz w:val="20"/>
          <w:szCs w:val="20"/>
        </w:rPr>
        <w:t>persons</w:t>
      </w:r>
      <w:r w:rsidR="008E351F" w:rsidRPr="00A51861">
        <w:rPr>
          <w:rFonts w:asciiTheme="majorHAnsi" w:hAnsiTheme="majorHAnsi"/>
          <w:sz w:val="20"/>
          <w:szCs w:val="20"/>
        </w:rPr>
        <w:t xml:space="preserve"> </w:t>
      </w:r>
      <w:r>
        <w:rPr>
          <w:rFonts w:ascii="Cambria" w:hAnsi="Cambria"/>
          <w:color w:val="000000" w:themeColor="text1"/>
          <w:sz w:val="20"/>
          <w:szCs w:val="20"/>
        </w:rPr>
        <w:t>indicted</w:t>
      </w:r>
      <w:r w:rsidR="008E351F" w:rsidRPr="00A51861">
        <w:rPr>
          <w:rFonts w:asciiTheme="majorHAnsi" w:hAnsiTheme="majorHAnsi"/>
          <w:sz w:val="20"/>
          <w:szCs w:val="20"/>
        </w:rPr>
        <w:t xml:space="preserve"> </w:t>
      </w:r>
      <w:r w:rsidR="00041D89">
        <w:rPr>
          <w:rFonts w:asciiTheme="majorHAnsi" w:hAnsiTheme="majorHAnsi"/>
          <w:sz w:val="20"/>
          <w:szCs w:val="20"/>
        </w:rPr>
        <w:t>for the case in which</w:t>
      </w:r>
      <w:r w:rsidR="008E351F" w:rsidRPr="00A51861">
        <w:rPr>
          <w:rFonts w:asciiTheme="majorHAnsi" w:hAnsiTheme="majorHAnsi"/>
          <w:sz w:val="20"/>
          <w:szCs w:val="20"/>
        </w:rPr>
        <w:t xml:space="preserve"> </w:t>
      </w:r>
      <w:r w:rsidR="00A51861" w:rsidRPr="00A51861">
        <w:rPr>
          <w:rFonts w:asciiTheme="majorHAnsi" w:hAnsiTheme="majorHAnsi"/>
          <w:sz w:val="20"/>
          <w:szCs w:val="20"/>
        </w:rPr>
        <w:t xml:space="preserve">Mr. </w:t>
      </w:r>
      <w:r w:rsidR="008E351F" w:rsidRPr="00A51861">
        <w:rPr>
          <w:rFonts w:asciiTheme="majorHAnsi" w:hAnsiTheme="majorHAnsi"/>
          <w:sz w:val="20"/>
          <w:szCs w:val="20"/>
        </w:rPr>
        <w:t>Julio César</w:t>
      </w:r>
      <w:r w:rsidR="00E92985">
        <w:rPr>
          <w:rFonts w:asciiTheme="majorHAnsi" w:hAnsiTheme="majorHAnsi"/>
          <w:sz w:val="20"/>
          <w:szCs w:val="20"/>
        </w:rPr>
        <w:t xml:space="preserve"> and </w:t>
      </w:r>
      <w:r w:rsidR="00041D89">
        <w:rPr>
          <w:rFonts w:asciiTheme="majorHAnsi" w:hAnsiTheme="majorHAnsi"/>
          <w:sz w:val="20"/>
          <w:szCs w:val="20"/>
        </w:rPr>
        <w:t>his wife were detained</w:t>
      </w:r>
      <w:r w:rsidR="008E351F" w:rsidRPr="00A51861">
        <w:rPr>
          <w:rFonts w:asciiTheme="majorHAnsi" w:hAnsiTheme="majorHAnsi"/>
          <w:sz w:val="20"/>
          <w:szCs w:val="20"/>
        </w:rPr>
        <w:t xml:space="preserve">, </w:t>
      </w:r>
      <w:r w:rsidR="008333FF">
        <w:rPr>
          <w:rFonts w:asciiTheme="majorHAnsi" w:hAnsiTheme="majorHAnsi"/>
          <w:sz w:val="20"/>
          <w:szCs w:val="20"/>
        </w:rPr>
        <w:t>were acquitted</w:t>
      </w:r>
      <w:r w:rsidR="008E351F" w:rsidRPr="00A51861">
        <w:rPr>
          <w:rFonts w:asciiTheme="majorHAnsi" w:hAnsiTheme="majorHAnsi"/>
          <w:sz w:val="20"/>
          <w:szCs w:val="20"/>
        </w:rPr>
        <w:t>,</w:t>
      </w:r>
      <w:r w:rsidR="00E92985">
        <w:rPr>
          <w:rFonts w:asciiTheme="majorHAnsi" w:hAnsiTheme="majorHAnsi"/>
          <w:sz w:val="20"/>
          <w:szCs w:val="20"/>
        </w:rPr>
        <w:t xml:space="preserve"> and </w:t>
      </w:r>
      <w:r w:rsidR="008333FF">
        <w:rPr>
          <w:rFonts w:asciiTheme="majorHAnsi" w:hAnsiTheme="majorHAnsi"/>
          <w:sz w:val="20"/>
          <w:szCs w:val="20"/>
        </w:rPr>
        <w:t>it is so noted in the</w:t>
      </w:r>
      <w:r w:rsidR="008E351F" w:rsidRPr="00A51861">
        <w:rPr>
          <w:rFonts w:asciiTheme="majorHAnsi" w:hAnsiTheme="majorHAnsi"/>
          <w:sz w:val="20"/>
          <w:szCs w:val="20"/>
        </w:rPr>
        <w:t xml:space="preserve"> </w:t>
      </w:r>
      <w:r w:rsidR="008333FF" w:rsidRPr="00A51861">
        <w:rPr>
          <w:rFonts w:asciiTheme="majorHAnsi" w:hAnsiTheme="majorHAnsi"/>
          <w:sz w:val="20"/>
          <w:szCs w:val="20"/>
        </w:rPr>
        <w:t>certification</w:t>
      </w:r>
      <w:r w:rsidR="008E351F" w:rsidRPr="00A51861">
        <w:rPr>
          <w:rFonts w:asciiTheme="majorHAnsi" w:hAnsiTheme="majorHAnsi"/>
          <w:sz w:val="20"/>
          <w:szCs w:val="20"/>
        </w:rPr>
        <w:t xml:space="preserve"> </w:t>
      </w:r>
      <w:r w:rsidR="008333FF">
        <w:rPr>
          <w:rFonts w:asciiTheme="majorHAnsi" w:hAnsiTheme="majorHAnsi"/>
          <w:sz w:val="20"/>
          <w:szCs w:val="20"/>
        </w:rPr>
        <w:t>of the</w:t>
      </w:r>
      <w:r w:rsidR="008E351F" w:rsidRPr="00A51861">
        <w:rPr>
          <w:rFonts w:asciiTheme="majorHAnsi" w:hAnsiTheme="majorHAnsi"/>
          <w:sz w:val="20"/>
          <w:szCs w:val="20"/>
        </w:rPr>
        <w:t xml:space="preserve"> </w:t>
      </w:r>
      <w:r w:rsidR="008333FF">
        <w:rPr>
          <w:rFonts w:asciiTheme="majorHAnsi" w:hAnsiTheme="majorHAnsi"/>
          <w:sz w:val="20"/>
          <w:szCs w:val="20"/>
        </w:rPr>
        <w:t>Judicial Power of the Nation</w:t>
      </w:r>
      <w:r w:rsidR="008E351F" w:rsidRPr="00A51861">
        <w:rPr>
          <w:rFonts w:asciiTheme="majorHAnsi" w:hAnsiTheme="majorHAnsi"/>
          <w:sz w:val="20"/>
          <w:szCs w:val="20"/>
        </w:rPr>
        <w:t xml:space="preserve"> </w:t>
      </w:r>
      <w:r w:rsidR="008333FF">
        <w:rPr>
          <w:rFonts w:asciiTheme="majorHAnsi" w:hAnsiTheme="majorHAnsi"/>
          <w:sz w:val="20"/>
          <w:szCs w:val="20"/>
        </w:rPr>
        <w:t>on the acquittal of Mrs.</w:t>
      </w:r>
      <w:r w:rsidR="008E351F" w:rsidRPr="00A51861">
        <w:rPr>
          <w:rFonts w:asciiTheme="majorHAnsi" w:hAnsiTheme="majorHAnsi"/>
          <w:sz w:val="20"/>
          <w:szCs w:val="20"/>
        </w:rPr>
        <w:t xml:space="preserve"> Delma Alicia Pi</w:t>
      </w:r>
      <w:r w:rsidR="008E351F" w:rsidRPr="00A51861">
        <w:rPr>
          <w:rStyle w:val="FootnoteReference"/>
          <w:rFonts w:asciiTheme="majorHAnsi" w:hAnsiTheme="majorHAnsi"/>
          <w:sz w:val="20"/>
          <w:szCs w:val="20"/>
        </w:rPr>
        <w:footnoteReference w:id="47"/>
      </w:r>
      <w:r w:rsidR="008E351F" w:rsidRPr="00A51861">
        <w:rPr>
          <w:rFonts w:asciiTheme="majorHAnsi" w:hAnsiTheme="majorHAnsi"/>
          <w:sz w:val="20"/>
          <w:szCs w:val="20"/>
        </w:rPr>
        <w:t>.</w:t>
      </w:r>
    </w:p>
    <w:p w14:paraId="4754DC43" w14:textId="77777777" w:rsidR="008E351F" w:rsidRPr="00A51861" w:rsidRDefault="008E351F" w:rsidP="008E4D36">
      <w:pPr>
        <w:pStyle w:val="ListParagraph"/>
        <w:rPr>
          <w:rFonts w:asciiTheme="majorHAnsi" w:hAnsiTheme="majorHAnsi"/>
          <w:sz w:val="20"/>
          <w:szCs w:val="20"/>
        </w:rPr>
      </w:pPr>
    </w:p>
    <w:p w14:paraId="1D92D20E" w14:textId="74E026AB" w:rsidR="008E351F" w:rsidRPr="00A51861" w:rsidRDefault="008333FF"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In ordinance</w:t>
      </w:r>
      <w:r w:rsidR="008E351F" w:rsidRPr="00A51861">
        <w:rPr>
          <w:rFonts w:asciiTheme="majorHAnsi" w:hAnsiTheme="majorHAnsi"/>
          <w:sz w:val="20"/>
          <w:szCs w:val="20"/>
        </w:rPr>
        <w:t xml:space="preserve"> No. 8</w:t>
      </w:r>
      <w:r w:rsidR="00627E5D" w:rsidRPr="00A51861">
        <w:rPr>
          <w:rFonts w:asciiTheme="majorHAnsi" w:hAnsiTheme="majorHAnsi"/>
          <w:sz w:val="20"/>
          <w:szCs w:val="20"/>
        </w:rPr>
        <w:t xml:space="preserve">395 </w:t>
      </w:r>
      <w:r>
        <w:rPr>
          <w:rFonts w:asciiTheme="majorHAnsi" w:hAnsiTheme="majorHAnsi"/>
          <w:sz w:val="20"/>
          <w:szCs w:val="20"/>
        </w:rPr>
        <w:t>of November 20,</w:t>
      </w:r>
      <w:r w:rsidR="00E92985">
        <w:rPr>
          <w:rFonts w:asciiTheme="majorHAnsi" w:hAnsiTheme="majorHAnsi"/>
          <w:sz w:val="20"/>
          <w:szCs w:val="20"/>
        </w:rPr>
        <w:t xml:space="preserve"> </w:t>
      </w:r>
      <w:r w:rsidR="00627E5D" w:rsidRPr="00A51861">
        <w:rPr>
          <w:rFonts w:asciiTheme="majorHAnsi" w:hAnsiTheme="majorHAnsi"/>
          <w:sz w:val="20"/>
          <w:szCs w:val="20"/>
        </w:rPr>
        <w:t>1974,</w:t>
      </w:r>
      <w:r w:rsidR="008E351F" w:rsidRPr="00A51861">
        <w:rPr>
          <w:rFonts w:asciiTheme="majorHAnsi" w:hAnsiTheme="majorHAnsi"/>
          <w:sz w:val="20"/>
          <w:szCs w:val="20"/>
        </w:rPr>
        <w:t xml:space="preserve"> </w:t>
      </w:r>
      <w:r>
        <w:rPr>
          <w:rFonts w:asciiTheme="majorHAnsi" w:hAnsiTheme="majorHAnsi"/>
          <w:sz w:val="20"/>
          <w:szCs w:val="20"/>
        </w:rPr>
        <w:t>the</w:t>
      </w:r>
      <w:r w:rsidR="00185E46">
        <w:rPr>
          <w:rFonts w:asciiTheme="majorHAnsi" w:hAnsiTheme="majorHAnsi"/>
          <w:sz w:val="20"/>
          <w:szCs w:val="20"/>
        </w:rPr>
        <w:t xml:space="preserve"> NDM </w:t>
      </w:r>
      <w:r>
        <w:rPr>
          <w:rFonts w:asciiTheme="majorHAnsi" w:hAnsiTheme="majorHAnsi"/>
          <w:sz w:val="20"/>
          <w:szCs w:val="20"/>
        </w:rPr>
        <w:t>made a request for amplification</w:t>
      </w:r>
      <w:r w:rsidR="00E92985">
        <w:rPr>
          <w:rFonts w:asciiTheme="majorHAnsi" w:hAnsiTheme="majorHAnsi"/>
          <w:sz w:val="20"/>
          <w:szCs w:val="20"/>
        </w:rPr>
        <w:t xml:space="preserve"> of </w:t>
      </w:r>
      <w:r w:rsidR="00A51861" w:rsidRPr="00A51861">
        <w:rPr>
          <w:rFonts w:asciiTheme="majorHAnsi" w:hAnsiTheme="majorHAnsi"/>
          <w:sz w:val="20"/>
          <w:szCs w:val="20"/>
        </w:rPr>
        <w:t>information</w:t>
      </w:r>
      <w:r w:rsidR="008E351F" w:rsidRPr="00A51861">
        <w:rPr>
          <w:rFonts w:asciiTheme="majorHAnsi" w:hAnsiTheme="majorHAnsi"/>
          <w:sz w:val="20"/>
          <w:szCs w:val="20"/>
        </w:rPr>
        <w:t xml:space="preserve"> </w:t>
      </w:r>
      <w:r>
        <w:rPr>
          <w:rFonts w:asciiTheme="majorHAnsi" w:hAnsiTheme="majorHAnsi"/>
          <w:sz w:val="20"/>
          <w:szCs w:val="20"/>
        </w:rPr>
        <w:t>to the</w:t>
      </w:r>
      <w:r w:rsidR="008E351F" w:rsidRPr="00A51861">
        <w:rPr>
          <w:rFonts w:asciiTheme="majorHAnsi" w:hAnsiTheme="majorHAnsi"/>
          <w:sz w:val="20"/>
          <w:szCs w:val="20"/>
        </w:rPr>
        <w:t xml:space="preserve"> S.I.D.E. </w:t>
      </w:r>
      <w:r>
        <w:rPr>
          <w:rFonts w:asciiTheme="majorHAnsi" w:hAnsiTheme="majorHAnsi"/>
          <w:sz w:val="20"/>
          <w:szCs w:val="20"/>
        </w:rPr>
        <w:t>in order to</w:t>
      </w:r>
      <w:r w:rsidR="00E92985">
        <w:rPr>
          <w:rFonts w:asciiTheme="majorHAnsi" w:hAnsiTheme="majorHAnsi"/>
          <w:sz w:val="20"/>
          <w:szCs w:val="20"/>
        </w:rPr>
        <w:t xml:space="preserve"> </w:t>
      </w:r>
      <w:r w:rsidR="008E351F" w:rsidRPr="00A51861">
        <w:rPr>
          <w:rFonts w:asciiTheme="majorHAnsi" w:hAnsiTheme="majorHAnsi"/>
          <w:sz w:val="20"/>
          <w:szCs w:val="20"/>
        </w:rPr>
        <w:t>determin</w:t>
      </w:r>
      <w:r>
        <w:rPr>
          <w:rFonts w:asciiTheme="majorHAnsi" w:hAnsiTheme="majorHAnsi"/>
          <w:sz w:val="20"/>
          <w:szCs w:val="20"/>
        </w:rPr>
        <w:t>e</w:t>
      </w:r>
      <w:r w:rsidR="008E351F" w:rsidRPr="00A51861">
        <w:rPr>
          <w:rFonts w:asciiTheme="majorHAnsi" w:hAnsiTheme="majorHAnsi"/>
          <w:sz w:val="20"/>
          <w:szCs w:val="20"/>
        </w:rPr>
        <w:t xml:space="preserve"> </w:t>
      </w:r>
      <w:r>
        <w:rPr>
          <w:rFonts w:asciiTheme="majorHAnsi" w:hAnsiTheme="majorHAnsi"/>
          <w:sz w:val="20"/>
          <w:szCs w:val="20"/>
        </w:rPr>
        <w:t>whether</w:t>
      </w:r>
      <w:r w:rsidR="008E351F" w:rsidRPr="00A51861">
        <w:rPr>
          <w:rFonts w:asciiTheme="majorHAnsi" w:hAnsiTheme="majorHAnsi"/>
          <w:sz w:val="20"/>
          <w:szCs w:val="20"/>
        </w:rPr>
        <w:t xml:space="preserve"> “</w:t>
      </w:r>
      <w:r>
        <w:rPr>
          <w:rFonts w:asciiTheme="majorHAnsi" w:hAnsiTheme="majorHAnsi"/>
          <w:sz w:val="20"/>
          <w:szCs w:val="20"/>
        </w:rPr>
        <w:t>the</w:t>
      </w:r>
      <w:r w:rsidR="008E351F" w:rsidRPr="00A51861">
        <w:rPr>
          <w:rFonts w:asciiTheme="majorHAnsi" w:hAnsiTheme="majorHAnsi"/>
          <w:sz w:val="20"/>
          <w:szCs w:val="20"/>
        </w:rPr>
        <w:t xml:space="preserve"> </w:t>
      </w:r>
      <w:r>
        <w:rPr>
          <w:rFonts w:asciiTheme="majorHAnsi" w:hAnsiTheme="majorHAnsi"/>
          <w:sz w:val="20"/>
          <w:szCs w:val="20"/>
        </w:rPr>
        <w:t>applicant</w:t>
      </w:r>
      <w:r w:rsidR="008E351F" w:rsidRPr="00A51861">
        <w:rPr>
          <w:rFonts w:asciiTheme="majorHAnsi" w:hAnsiTheme="majorHAnsi"/>
          <w:sz w:val="20"/>
          <w:szCs w:val="20"/>
        </w:rPr>
        <w:t xml:space="preserve"> (…) denaturaliz</w:t>
      </w:r>
      <w:r>
        <w:rPr>
          <w:rFonts w:asciiTheme="majorHAnsi" w:hAnsiTheme="majorHAnsi"/>
          <w:sz w:val="20"/>
          <w:szCs w:val="20"/>
        </w:rPr>
        <w:t>ed the reasons taken into account so as to grant him</w:t>
      </w:r>
      <w:r w:rsidR="008E351F" w:rsidRPr="00A51861">
        <w:rPr>
          <w:rFonts w:asciiTheme="majorHAnsi" w:hAnsiTheme="majorHAnsi"/>
          <w:sz w:val="20"/>
          <w:szCs w:val="20"/>
        </w:rPr>
        <w:t xml:space="preserve"> </w:t>
      </w:r>
      <w:r>
        <w:rPr>
          <w:rFonts w:asciiTheme="majorHAnsi" w:hAnsiTheme="majorHAnsi"/>
          <w:sz w:val="20"/>
          <w:szCs w:val="20"/>
        </w:rPr>
        <w:t xml:space="preserve">his </w:t>
      </w:r>
      <w:r w:rsidR="008E351F" w:rsidRPr="00A51861">
        <w:rPr>
          <w:rFonts w:asciiTheme="majorHAnsi" w:hAnsiTheme="majorHAnsi"/>
          <w:sz w:val="20"/>
          <w:szCs w:val="20"/>
        </w:rPr>
        <w:t>temporar</w:t>
      </w:r>
      <w:r>
        <w:rPr>
          <w:rFonts w:asciiTheme="majorHAnsi" w:hAnsiTheme="majorHAnsi"/>
          <w:sz w:val="20"/>
          <w:szCs w:val="20"/>
        </w:rPr>
        <w:t>y</w:t>
      </w:r>
      <w:r w:rsidR="008E351F" w:rsidRPr="00A51861">
        <w:rPr>
          <w:rFonts w:asciiTheme="majorHAnsi" w:hAnsiTheme="majorHAnsi"/>
          <w:sz w:val="20"/>
          <w:szCs w:val="20"/>
        </w:rPr>
        <w:t xml:space="preserve"> </w:t>
      </w:r>
      <w:r>
        <w:rPr>
          <w:rFonts w:asciiTheme="majorHAnsi" w:hAnsiTheme="majorHAnsi"/>
          <w:sz w:val="20"/>
          <w:szCs w:val="20"/>
        </w:rPr>
        <w:t>residency</w:t>
      </w:r>
      <w:r w:rsidRPr="00A51861">
        <w:rPr>
          <w:rFonts w:asciiTheme="majorHAnsi" w:hAnsiTheme="majorHAnsi"/>
          <w:sz w:val="20"/>
          <w:szCs w:val="20"/>
        </w:rPr>
        <w:t xml:space="preserve"> </w:t>
      </w:r>
      <w:r w:rsidR="008E351F" w:rsidRPr="00A51861">
        <w:rPr>
          <w:rFonts w:asciiTheme="majorHAnsi" w:hAnsiTheme="majorHAnsi"/>
          <w:sz w:val="20"/>
          <w:szCs w:val="20"/>
        </w:rPr>
        <w:t xml:space="preserve">(…) </w:t>
      </w:r>
      <w:r>
        <w:rPr>
          <w:rFonts w:asciiTheme="majorHAnsi" w:hAnsiTheme="majorHAnsi"/>
          <w:sz w:val="20"/>
          <w:szCs w:val="20"/>
        </w:rPr>
        <w:t>to report whether the record of</w:t>
      </w:r>
      <w:r w:rsidR="008E351F" w:rsidRPr="00A51861">
        <w:rPr>
          <w:rFonts w:asciiTheme="majorHAnsi" w:hAnsiTheme="majorHAnsi"/>
          <w:sz w:val="20"/>
          <w:szCs w:val="20"/>
        </w:rPr>
        <w:t xml:space="preserve"> </w:t>
      </w:r>
      <w:r w:rsidR="00B01A54">
        <w:rPr>
          <w:rFonts w:asciiTheme="majorHAnsi" w:hAnsiTheme="majorHAnsi"/>
          <w:sz w:val="20"/>
          <w:szCs w:val="20"/>
        </w:rPr>
        <w:t xml:space="preserve">Rito de los Santos </w:t>
      </w:r>
      <w:r>
        <w:rPr>
          <w:rFonts w:asciiTheme="majorHAnsi" w:hAnsiTheme="majorHAnsi"/>
          <w:sz w:val="20"/>
          <w:szCs w:val="20"/>
        </w:rPr>
        <w:t>corresponds to</w:t>
      </w:r>
      <w:r w:rsidR="00166E8A">
        <w:rPr>
          <w:rFonts w:asciiTheme="majorHAnsi" w:hAnsiTheme="majorHAnsi"/>
          <w:sz w:val="20"/>
          <w:szCs w:val="20"/>
        </w:rPr>
        <w:t xml:space="preserve"> a date</w:t>
      </w:r>
      <w:r w:rsidR="00E92985">
        <w:rPr>
          <w:rFonts w:asciiTheme="majorHAnsi" w:hAnsiTheme="majorHAnsi"/>
          <w:sz w:val="20"/>
          <w:szCs w:val="20"/>
        </w:rPr>
        <w:t xml:space="preserve"> </w:t>
      </w:r>
      <w:r>
        <w:rPr>
          <w:rFonts w:asciiTheme="majorHAnsi" w:hAnsiTheme="majorHAnsi"/>
          <w:sz w:val="20"/>
          <w:szCs w:val="20"/>
        </w:rPr>
        <w:t>after the</w:t>
      </w:r>
      <w:r w:rsidR="008E351F" w:rsidRPr="00A51861">
        <w:rPr>
          <w:rFonts w:asciiTheme="majorHAnsi" w:hAnsiTheme="majorHAnsi"/>
          <w:sz w:val="20"/>
          <w:szCs w:val="20"/>
        </w:rPr>
        <w:t xml:space="preserve"> </w:t>
      </w:r>
      <w:r w:rsidRPr="00A51861">
        <w:rPr>
          <w:rFonts w:asciiTheme="majorHAnsi" w:hAnsiTheme="majorHAnsi"/>
          <w:sz w:val="20"/>
          <w:szCs w:val="20"/>
        </w:rPr>
        <w:t>concession</w:t>
      </w:r>
      <w:r w:rsidR="00E92985">
        <w:rPr>
          <w:rFonts w:asciiTheme="majorHAnsi" w:hAnsiTheme="majorHAnsi"/>
          <w:sz w:val="20"/>
          <w:szCs w:val="20"/>
        </w:rPr>
        <w:t xml:space="preserve"> of </w:t>
      </w:r>
      <w:r>
        <w:rPr>
          <w:rFonts w:asciiTheme="majorHAnsi" w:hAnsiTheme="majorHAnsi"/>
          <w:sz w:val="20"/>
          <w:szCs w:val="20"/>
        </w:rPr>
        <w:t>his</w:t>
      </w:r>
      <w:r w:rsidR="008E351F" w:rsidRPr="00A51861">
        <w:rPr>
          <w:rFonts w:asciiTheme="majorHAnsi" w:hAnsiTheme="majorHAnsi"/>
          <w:sz w:val="20"/>
          <w:szCs w:val="20"/>
        </w:rPr>
        <w:t xml:space="preserve"> </w:t>
      </w:r>
      <w:r>
        <w:rPr>
          <w:rFonts w:asciiTheme="majorHAnsi" w:hAnsiTheme="majorHAnsi"/>
          <w:sz w:val="20"/>
          <w:szCs w:val="20"/>
        </w:rPr>
        <w:t>temporary residency</w:t>
      </w:r>
      <w:r w:rsidR="008E351F" w:rsidRPr="00A51861">
        <w:rPr>
          <w:rFonts w:asciiTheme="majorHAnsi" w:hAnsiTheme="majorHAnsi"/>
          <w:sz w:val="20"/>
          <w:szCs w:val="20"/>
        </w:rPr>
        <w:t>”</w:t>
      </w:r>
      <w:r w:rsidR="008E351F" w:rsidRPr="00A51861">
        <w:rPr>
          <w:rStyle w:val="FootnoteReference"/>
          <w:rFonts w:asciiTheme="majorHAnsi" w:hAnsiTheme="majorHAnsi"/>
          <w:sz w:val="20"/>
          <w:szCs w:val="20"/>
        </w:rPr>
        <w:footnoteReference w:id="48"/>
      </w:r>
      <w:r w:rsidR="008E351F" w:rsidRPr="00A51861">
        <w:rPr>
          <w:rFonts w:asciiTheme="majorHAnsi" w:hAnsiTheme="majorHAnsi"/>
          <w:sz w:val="20"/>
          <w:szCs w:val="20"/>
        </w:rPr>
        <w:t>.</w:t>
      </w:r>
    </w:p>
    <w:p w14:paraId="24912327" w14:textId="77777777" w:rsidR="008E351F" w:rsidRPr="00A51861" w:rsidRDefault="008E351F" w:rsidP="008E4D36">
      <w:pPr>
        <w:pStyle w:val="ListParagraph"/>
        <w:rPr>
          <w:rFonts w:asciiTheme="majorHAnsi" w:hAnsiTheme="majorHAnsi"/>
          <w:sz w:val="20"/>
          <w:szCs w:val="20"/>
        </w:rPr>
      </w:pPr>
    </w:p>
    <w:p w14:paraId="6EFE4E41" w14:textId="3945552E" w:rsidR="008E351F" w:rsidRPr="00A51861" w:rsidRDefault="008333FF"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In May</w:t>
      </w:r>
      <w:r w:rsidR="00E92985">
        <w:rPr>
          <w:rFonts w:asciiTheme="majorHAnsi" w:hAnsiTheme="majorHAnsi"/>
          <w:sz w:val="20"/>
          <w:szCs w:val="20"/>
        </w:rPr>
        <w:t xml:space="preserve"> </w:t>
      </w:r>
      <w:r w:rsidR="008E351F" w:rsidRPr="00A51861">
        <w:rPr>
          <w:rFonts w:asciiTheme="majorHAnsi" w:hAnsiTheme="majorHAnsi"/>
          <w:sz w:val="20"/>
          <w:szCs w:val="20"/>
        </w:rPr>
        <w:t xml:space="preserve">1975 </w:t>
      </w:r>
      <w:r>
        <w:rPr>
          <w:rFonts w:asciiTheme="majorHAnsi" w:hAnsiTheme="majorHAnsi"/>
          <w:sz w:val="20"/>
          <w:szCs w:val="20"/>
        </w:rPr>
        <w:t xml:space="preserve">the S.I.D.E. </w:t>
      </w:r>
      <w:r w:rsidR="008E351F" w:rsidRPr="00A51861">
        <w:rPr>
          <w:rFonts w:asciiTheme="majorHAnsi" w:hAnsiTheme="majorHAnsi"/>
          <w:sz w:val="20"/>
          <w:szCs w:val="20"/>
        </w:rPr>
        <w:t>inform</w:t>
      </w:r>
      <w:r w:rsidR="00166E8A">
        <w:rPr>
          <w:rFonts w:asciiTheme="majorHAnsi" w:hAnsiTheme="majorHAnsi"/>
          <w:sz w:val="20"/>
          <w:szCs w:val="20"/>
        </w:rPr>
        <w:t>ed</w:t>
      </w:r>
      <w:r w:rsidR="008E351F" w:rsidRPr="00A51861">
        <w:rPr>
          <w:rFonts w:asciiTheme="majorHAnsi" w:hAnsiTheme="majorHAnsi"/>
          <w:sz w:val="20"/>
          <w:szCs w:val="20"/>
        </w:rPr>
        <w:t xml:space="preserve"> </w:t>
      </w:r>
      <w:r w:rsidR="00166E8A">
        <w:rPr>
          <w:rFonts w:asciiTheme="majorHAnsi" w:hAnsiTheme="majorHAnsi"/>
          <w:sz w:val="20"/>
          <w:szCs w:val="20"/>
        </w:rPr>
        <w:t>that</w:t>
      </w:r>
      <w:r w:rsidR="008E351F" w:rsidRPr="00A51861">
        <w:rPr>
          <w:rFonts w:asciiTheme="majorHAnsi" w:hAnsiTheme="majorHAnsi"/>
          <w:sz w:val="20"/>
          <w:szCs w:val="20"/>
        </w:rPr>
        <w:t xml:space="preserve"> </w:t>
      </w:r>
      <w:r w:rsidR="00A51861" w:rsidRPr="00A51861">
        <w:rPr>
          <w:rFonts w:asciiTheme="majorHAnsi" w:hAnsiTheme="majorHAnsi"/>
          <w:sz w:val="20"/>
          <w:szCs w:val="20"/>
        </w:rPr>
        <w:t xml:space="preserve">Mr. </w:t>
      </w:r>
      <w:r w:rsidR="00B01A54">
        <w:rPr>
          <w:rFonts w:asciiTheme="majorHAnsi" w:hAnsiTheme="majorHAnsi"/>
          <w:sz w:val="20"/>
          <w:szCs w:val="20"/>
        </w:rPr>
        <w:t xml:space="preserve">Rito de los Santos </w:t>
      </w:r>
      <w:r w:rsidR="00E92985">
        <w:rPr>
          <w:rFonts w:asciiTheme="majorHAnsi" w:hAnsiTheme="majorHAnsi"/>
          <w:sz w:val="20"/>
          <w:szCs w:val="20"/>
        </w:rPr>
        <w:t xml:space="preserve">and </w:t>
      </w:r>
      <w:r w:rsidR="00BD093F">
        <w:rPr>
          <w:rFonts w:asciiTheme="majorHAnsi" w:hAnsiTheme="majorHAnsi"/>
          <w:sz w:val="20"/>
          <w:szCs w:val="20"/>
        </w:rPr>
        <w:t xml:space="preserve">his wife </w:t>
      </w:r>
      <w:r w:rsidR="008E351F" w:rsidRPr="00A51861">
        <w:rPr>
          <w:rFonts w:asciiTheme="majorHAnsi" w:hAnsiTheme="majorHAnsi"/>
          <w:sz w:val="20"/>
          <w:szCs w:val="20"/>
        </w:rPr>
        <w:t>“</w:t>
      </w:r>
      <w:r w:rsidR="00166E8A">
        <w:rPr>
          <w:rFonts w:asciiTheme="majorHAnsi" w:hAnsiTheme="majorHAnsi"/>
          <w:sz w:val="20"/>
          <w:szCs w:val="20"/>
        </w:rPr>
        <w:t>have an unfavorable record</w:t>
      </w:r>
      <w:r w:rsidR="008E351F" w:rsidRPr="00A51861">
        <w:rPr>
          <w:rFonts w:asciiTheme="majorHAnsi" w:hAnsiTheme="majorHAnsi"/>
          <w:sz w:val="20"/>
          <w:szCs w:val="20"/>
        </w:rPr>
        <w:t xml:space="preserve"> </w:t>
      </w:r>
      <w:r w:rsidR="00166E8A">
        <w:rPr>
          <w:rFonts w:asciiTheme="majorHAnsi" w:hAnsiTheme="majorHAnsi"/>
          <w:sz w:val="20"/>
          <w:szCs w:val="20"/>
        </w:rPr>
        <w:t>which qualify to place them in the ineligibility of</w:t>
      </w:r>
      <w:r w:rsidR="008E351F" w:rsidRPr="00A51861">
        <w:rPr>
          <w:rFonts w:asciiTheme="majorHAnsi" w:hAnsiTheme="majorHAnsi"/>
          <w:sz w:val="20"/>
          <w:szCs w:val="20"/>
        </w:rPr>
        <w:t xml:space="preserve"> art. 25 inc. g) </w:t>
      </w:r>
      <w:r w:rsidR="00166E8A">
        <w:rPr>
          <w:rFonts w:asciiTheme="majorHAnsi" w:hAnsiTheme="majorHAnsi"/>
          <w:sz w:val="20"/>
          <w:szCs w:val="20"/>
        </w:rPr>
        <w:t>on the Migration Regulations</w:t>
      </w:r>
      <w:r w:rsidR="008E351F" w:rsidRPr="00A51861">
        <w:rPr>
          <w:rFonts w:asciiTheme="majorHAnsi" w:hAnsiTheme="majorHAnsi"/>
          <w:sz w:val="20"/>
          <w:szCs w:val="20"/>
        </w:rPr>
        <w:t xml:space="preserve">- </w:t>
      </w:r>
      <w:r w:rsidR="00A63761">
        <w:rPr>
          <w:rFonts w:asciiTheme="majorHAnsi" w:hAnsiTheme="majorHAnsi"/>
          <w:sz w:val="20"/>
          <w:szCs w:val="20"/>
        </w:rPr>
        <w:t>Decree</w:t>
      </w:r>
      <w:r w:rsidR="008E351F" w:rsidRPr="00A51861">
        <w:rPr>
          <w:rFonts w:asciiTheme="majorHAnsi" w:hAnsiTheme="majorHAnsi"/>
          <w:sz w:val="20"/>
          <w:szCs w:val="20"/>
        </w:rPr>
        <w:t xml:space="preserve"> N° 4418/65, </w:t>
      </w:r>
      <w:r w:rsidR="00166E8A">
        <w:rPr>
          <w:rFonts w:asciiTheme="majorHAnsi" w:hAnsiTheme="majorHAnsi"/>
          <w:sz w:val="20"/>
          <w:szCs w:val="20"/>
        </w:rPr>
        <w:t>which verses</w:t>
      </w:r>
      <w:r w:rsidR="008E351F" w:rsidRPr="00A51861">
        <w:rPr>
          <w:rFonts w:asciiTheme="majorHAnsi" w:hAnsiTheme="majorHAnsi"/>
          <w:sz w:val="20"/>
          <w:szCs w:val="20"/>
        </w:rPr>
        <w:t>: “</w:t>
      </w:r>
      <w:r w:rsidR="00166E8A">
        <w:rPr>
          <w:rFonts w:asciiTheme="majorHAnsi" w:hAnsiTheme="majorHAnsi"/>
          <w:sz w:val="20"/>
          <w:szCs w:val="20"/>
        </w:rPr>
        <w:t>Holding a record which may lead to assume a compromise of national security or</w:t>
      </w:r>
      <w:r w:rsidR="008E351F" w:rsidRPr="00A51861">
        <w:rPr>
          <w:rFonts w:asciiTheme="majorHAnsi" w:hAnsiTheme="majorHAnsi"/>
          <w:sz w:val="20"/>
          <w:szCs w:val="20"/>
        </w:rPr>
        <w:t xml:space="preserve"> </w:t>
      </w:r>
      <w:r w:rsidR="00166E8A">
        <w:rPr>
          <w:rFonts w:ascii="Cambria" w:hAnsi="Cambria"/>
          <w:color w:val="000000" w:themeColor="text1"/>
          <w:sz w:val="20"/>
          <w:szCs w:val="20"/>
        </w:rPr>
        <w:t>public order</w:t>
      </w:r>
      <w:r w:rsidR="008E351F" w:rsidRPr="00A51861">
        <w:rPr>
          <w:rFonts w:asciiTheme="majorHAnsi" w:hAnsiTheme="majorHAnsi"/>
          <w:sz w:val="20"/>
          <w:szCs w:val="20"/>
        </w:rPr>
        <w:t xml:space="preserve">” </w:t>
      </w:r>
      <w:r w:rsidR="00166E8A">
        <w:rPr>
          <w:rFonts w:asciiTheme="majorHAnsi" w:hAnsiTheme="majorHAnsi"/>
          <w:sz w:val="20"/>
          <w:szCs w:val="20"/>
        </w:rPr>
        <w:t>regardless of the dates to which it corresponds</w:t>
      </w:r>
      <w:r w:rsidR="00E92985">
        <w:rPr>
          <w:rFonts w:asciiTheme="majorHAnsi" w:hAnsiTheme="majorHAnsi"/>
          <w:sz w:val="20"/>
          <w:szCs w:val="20"/>
        </w:rPr>
        <w:t xml:space="preserve"> and of </w:t>
      </w:r>
      <w:r w:rsidR="0026043F">
        <w:rPr>
          <w:rFonts w:asciiTheme="majorHAnsi" w:hAnsiTheme="majorHAnsi"/>
          <w:sz w:val="20"/>
          <w:szCs w:val="20"/>
        </w:rPr>
        <w:t>the related reports conducted by this body</w:t>
      </w:r>
      <w:r w:rsidR="008E351F" w:rsidRPr="00A51861">
        <w:rPr>
          <w:rFonts w:asciiTheme="majorHAnsi" w:hAnsiTheme="majorHAnsi"/>
          <w:sz w:val="20"/>
          <w:szCs w:val="20"/>
        </w:rPr>
        <w:t>”</w:t>
      </w:r>
      <w:r w:rsidR="008E351F" w:rsidRPr="00A51861">
        <w:rPr>
          <w:rStyle w:val="FootnoteReference"/>
          <w:rFonts w:asciiTheme="majorHAnsi" w:hAnsiTheme="majorHAnsi"/>
          <w:sz w:val="20"/>
          <w:szCs w:val="20"/>
        </w:rPr>
        <w:footnoteReference w:id="49"/>
      </w:r>
      <w:r w:rsidR="008E351F" w:rsidRPr="00A51861">
        <w:rPr>
          <w:rFonts w:asciiTheme="majorHAnsi" w:hAnsiTheme="majorHAnsi"/>
          <w:sz w:val="20"/>
          <w:szCs w:val="20"/>
        </w:rPr>
        <w:t>.</w:t>
      </w:r>
    </w:p>
    <w:p w14:paraId="2D0D1192" w14:textId="77777777" w:rsidR="008E351F" w:rsidRPr="00A51861" w:rsidRDefault="008E351F" w:rsidP="008E4D36">
      <w:pPr>
        <w:pStyle w:val="ListParagraph"/>
        <w:rPr>
          <w:rFonts w:asciiTheme="majorHAnsi" w:hAnsiTheme="majorHAnsi"/>
          <w:sz w:val="20"/>
          <w:szCs w:val="20"/>
        </w:rPr>
      </w:pPr>
    </w:p>
    <w:p w14:paraId="6967CE8D" w14:textId="4C18ACE7" w:rsidR="008E351F" w:rsidRPr="00A51861" w:rsidRDefault="0026043F"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By means of</w:t>
      </w:r>
      <w:r w:rsidR="001D0DBA" w:rsidRPr="00A51861">
        <w:rPr>
          <w:rFonts w:asciiTheme="majorHAnsi" w:hAnsiTheme="majorHAnsi"/>
          <w:sz w:val="20"/>
          <w:szCs w:val="20"/>
        </w:rPr>
        <w:t xml:space="preserve"> </w:t>
      </w:r>
      <w:r w:rsidR="0029564F">
        <w:rPr>
          <w:rFonts w:asciiTheme="majorHAnsi" w:hAnsiTheme="majorHAnsi"/>
          <w:sz w:val="20"/>
          <w:szCs w:val="20"/>
        </w:rPr>
        <w:t>Resolution</w:t>
      </w:r>
      <w:r w:rsidR="001D0DBA" w:rsidRPr="00A51861">
        <w:rPr>
          <w:rFonts w:asciiTheme="majorHAnsi" w:hAnsiTheme="majorHAnsi"/>
          <w:sz w:val="20"/>
          <w:szCs w:val="20"/>
        </w:rPr>
        <w:t xml:space="preserve"> No. 3840</w:t>
      </w:r>
      <w:r w:rsidR="00E92985">
        <w:rPr>
          <w:rFonts w:asciiTheme="majorHAnsi" w:hAnsiTheme="majorHAnsi"/>
          <w:sz w:val="20"/>
          <w:szCs w:val="20"/>
        </w:rPr>
        <w:t xml:space="preserve"> of </w:t>
      </w:r>
      <w:r>
        <w:rPr>
          <w:rFonts w:asciiTheme="majorHAnsi" w:hAnsiTheme="majorHAnsi"/>
          <w:sz w:val="20"/>
          <w:szCs w:val="20"/>
        </w:rPr>
        <w:t>July 15,</w:t>
      </w:r>
      <w:r w:rsidR="008E351F" w:rsidRPr="00A51861">
        <w:rPr>
          <w:rFonts w:asciiTheme="majorHAnsi" w:hAnsiTheme="majorHAnsi"/>
          <w:sz w:val="20"/>
          <w:szCs w:val="20"/>
        </w:rPr>
        <w:t xml:space="preserve">1975, </w:t>
      </w:r>
      <w:r>
        <w:rPr>
          <w:rFonts w:asciiTheme="majorHAnsi" w:hAnsiTheme="majorHAnsi"/>
          <w:sz w:val="20"/>
          <w:szCs w:val="20"/>
        </w:rPr>
        <w:t>the</w:t>
      </w:r>
      <w:r w:rsidR="00185E46">
        <w:rPr>
          <w:rFonts w:asciiTheme="majorHAnsi" w:hAnsiTheme="majorHAnsi"/>
          <w:sz w:val="20"/>
          <w:szCs w:val="20"/>
        </w:rPr>
        <w:t xml:space="preserve"> NDM </w:t>
      </w:r>
      <w:r>
        <w:rPr>
          <w:rFonts w:asciiTheme="majorHAnsi" w:hAnsiTheme="majorHAnsi"/>
          <w:sz w:val="20"/>
          <w:szCs w:val="20"/>
        </w:rPr>
        <w:t xml:space="preserve">decreed the </w:t>
      </w:r>
      <w:r w:rsidR="00103579">
        <w:rPr>
          <w:rFonts w:asciiTheme="majorHAnsi" w:hAnsiTheme="majorHAnsi"/>
          <w:sz w:val="20"/>
          <w:szCs w:val="20"/>
        </w:rPr>
        <w:t>expulsion from</w:t>
      </w:r>
      <w:r w:rsidR="008E351F" w:rsidRPr="00A51861">
        <w:rPr>
          <w:rFonts w:asciiTheme="majorHAnsi" w:hAnsiTheme="majorHAnsi"/>
          <w:sz w:val="20"/>
          <w:szCs w:val="20"/>
        </w:rPr>
        <w:t xml:space="preserve"> </w:t>
      </w:r>
      <w:r w:rsidR="00BD093F">
        <w:rPr>
          <w:rFonts w:asciiTheme="majorHAnsi" w:hAnsiTheme="majorHAnsi"/>
          <w:sz w:val="20"/>
          <w:szCs w:val="20"/>
        </w:rPr>
        <w:t xml:space="preserve">Mr. </w:t>
      </w:r>
      <w:r w:rsidR="00B01A54">
        <w:rPr>
          <w:rFonts w:asciiTheme="majorHAnsi" w:hAnsiTheme="majorHAnsi"/>
          <w:sz w:val="20"/>
          <w:szCs w:val="20"/>
        </w:rPr>
        <w:t xml:space="preserve">Rito de los Santos </w:t>
      </w:r>
      <w:r w:rsidR="00E92985">
        <w:rPr>
          <w:rFonts w:asciiTheme="majorHAnsi" w:hAnsiTheme="majorHAnsi"/>
          <w:sz w:val="20"/>
          <w:szCs w:val="20"/>
        </w:rPr>
        <w:t xml:space="preserve">and </w:t>
      </w:r>
      <w:r>
        <w:rPr>
          <w:rFonts w:asciiTheme="majorHAnsi" w:hAnsiTheme="majorHAnsi"/>
          <w:sz w:val="20"/>
          <w:szCs w:val="20"/>
        </w:rPr>
        <w:t>his wife</w:t>
      </w:r>
      <w:r w:rsidR="008E351F" w:rsidRPr="00A51861">
        <w:rPr>
          <w:rStyle w:val="FootnoteReference"/>
          <w:rFonts w:asciiTheme="majorHAnsi" w:hAnsiTheme="majorHAnsi"/>
          <w:sz w:val="20"/>
          <w:szCs w:val="20"/>
        </w:rPr>
        <w:footnoteReference w:id="50"/>
      </w:r>
      <w:r w:rsidR="001D1D61">
        <w:rPr>
          <w:rFonts w:asciiTheme="majorHAnsi" w:hAnsiTheme="majorHAnsi"/>
          <w:sz w:val="20"/>
          <w:szCs w:val="20"/>
        </w:rPr>
        <w:t>. Th</w:t>
      </w:r>
      <w:r>
        <w:rPr>
          <w:rFonts w:ascii="Cambria" w:hAnsi="Cambria"/>
          <w:color w:val="000000" w:themeColor="text1"/>
          <w:sz w:val="20"/>
          <w:szCs w:val="20"/>
        </w:rPr>
        <w:t>e</w:t>
      </w:r>
      <w:r w:rsidR="008E351F" w:rsidRPr="00A51861">
        <w:rPr>
          <w:rFonts w:asciiTheme="majorHAnsi" w:hAnsiTheme="majorHAnsi"/>
          <w:sz w:val="20"/>
          <w:szCs w:val="20"/>
        </w:rPr>
        <w:t xml:space="preserve"> </w:t>
      </w:r>
      <w:r w:rsidR="0029564F">
        <w:rPr>
          <w:rFonts w:asciiTheme="majorHAnsi" w:hAnsiTheme="majorHAnsi"/>
          <w:sz w:val="20"/>
          <w:szCs w:val="20"/>
        </w:rPr>
        <w:t>resolution</w:t>
      </w:r>
      <w:r w:rsidR="008E351F" w:rsidRPr="00A51861">
        <w:rPr>
          <w:rFonts w:asciiTheme="majorHAnsi" w:hAnsiTheme="majorHAnsi"/>
          <w:sz w:val="20"/>
          <w:szCs w:val="20"/>
        </w:rPr>
        <w:t xml:space="preserve"> </w:t>
      </w:r>
      <w:r>
        <w:rPr>
          <w:rFonts w:asciiTheme="majorHAnsi" w:hAnsiTheme="majorHAnsi"/>
          <w:sz w:val="20"/>
          <w:szCs w:val="20"/>
        </w:rPr>
        <w:t>held that based on the record</w:t>
      </w:r>
      <w:r w:rsidR="008E351F" w:rsidRPr="00A51861">
        <w:rPr>
          <w:rFonts w:asciiTheme="majorHAnsi" w:hAnsiTheme="majorHAnsi"/>
          <w:sz w:val="20"/>
          <w:szCs w:val="20"/>
        </w:rPr>
        <w:t xml:space="preserve"> </w:t>
      </w:r>
      <w:r>
        <w:rPr>
          <w:rFonts w:asciiTheme="majorHAnsi" w:hAnsiTheme="majorHAnsi"/>
          <w:sz w:val="20"/>
          <w:szCs w:val="20"/>
        </w:rPr>
        <w:t>provided by</w:t>
      </w:r>
      <w:r w:rsidR="008E351F" w:rsidRPr="00A51861">
        <w:rPr>
          <w:rFonts w:asciiTheme="majorHAnsi" w:hAnsiTheme="majorHAnsi"/>
          <w:sz w:val="20"/>
          <w:szCs w:val="20"/>
        </w:rPr>
        <w:t xml:space="preserve"> </w:t>
      </w:r>
      <w:r w:rsidR="008333FF">
        <w:rPr>
          <w:rFonts w:asciiTheme="majorHAnsi" w:hAnsiTheme="majorHAnsi"/>
          <w:sz w:val="20"/>
          <w:szCs w:val="20"/>
        </w:rPr>
        <w:t xml:space="preserve">the S.I.D.E. </w:t>
      </w:r>
      <w:r w:rsidR="008E351F" w:rsidRPr="00A51861">
        <w:rPr>
          <w:rFonts w:asciiTheme="majorHAnsi" w:hAnsiTheme="majorHAnsi"/>
          <w:sz w:val="20"/>
          <w:szCs w:val="20"/>
        </w:rPr>
        <w:t>“</w:t>
      </w:r>
      <w:r>
        <w:rPr>
          <w:rFonts w:asciiTheme="majorHAnsi" w:hAnsiTheme="majorHAnsi"/>
          <w:sz w:val="20"/>
          <w:szCs w:val="20"/>
        </w:rPr>
        <w:t>it is fit to order their expulsion</w:t>
      </w:r>
      <w:r w:rsidR="008E351F" w:rsidRPr="00A51861">
        <w:rPr>
          <w:rFonts w:asciiTheme="majorHAnsi" w:hAnsiTheme="majorHAnsi"/>
          <w:sz w:val="20"/>
          <w:szCs w:val="20"/>
        </w:rPr>
        <w:t xml:space="preserve"> </w:t>
      </w:r>
      <w:r>
        <w:rPr>
          <w:rFonts w:asciiTheme="majorHAnsi" w:hAnsiTheme="majorHAnsi"/>
          <w:sz w:val="20"/>
          <w:szCs w:val="20"/>
        </w:rPr>
        <w:t>as a public charge</w:t>
      </w:r>
      <w:r w:rsidR="00E92985">
        <w:rPr>
          <w:rFonts w:asciiTheme="majorHAnsi" w:hAnsiTheme="majorHAnsi"/>
          <w:sz w:val="20"/>
          <w:szCs w:val="20"/>
        </w:rPr>
        <w:t xml:space="preserve"> and </w:t>
      </w:r>
      <w:r>
        <w:rPr>
          <w:rFonts w:asciiTheme="majorHAnsi" w:hAnsiTheme="majorHAnsi"/>
          <w:sz w:val="20"/>
          <w:szCs w:val="20"/>
        </w:rPr>
        <w:t>to forbid them to re-enter national territory</w:t>
      </w:r>
      <w:r w:rsidR="008E351F" w:rsidRPr="00A51861">
        <w:rPr>
          <w:rFonts w:asciiTheme="majorHAnsi" w:hAnsiTheme="majorHAnsi"/>
          <w:sz w:val="20"/>
          <w:szCs w:val="20"/>
        </w:rPr>
        <w:t>”</w:t>
      </w:r>
      <w:r w:rsidR="00E92985">
        <w:rPr>
          <w:rFonts w:asciiTheme="majorHAnsi" w:hAnsiTheme="majorHAnsi"/>
          <w:sz w:val="20"/>
          <w:szCs w:val="20"/>
        </w:rPr>
        <w:t xml:space="preserve"> and </w:t>
      </w:r>
      <w:r>
        <w:rPr>
          <w:rFonts w:asciiTheme="majorHAnsi" w:hAnsiTheme="majorHAnsi"/>
          <w:sz w:val="20"/>
          <w:szCs w:val="20"/>
        </w:rPr>
        <w:t>in said pursuit</w:t>
      </w:r>
      <w:r w:rsidR="001D0DBA" w:rsidRPr="00A51861">
        <w:rPr>
          <w:rFonts w:asciiTheme="majorHAnsi" w:hAnsiTheme="majorHAnsi"/>
          <w:sz w:val="20"/>
          <w:szCs w:val="20"/>
        </w:rPr>
        <w:t>,</w:t>
      </w:r>
      <w:r w:rsidR="00884AB0" w:rsidRPr="00A51861">
        <w:rPr>
          <w:rFonts w:asciiTheme="majorHAnsi" w:hAnsiTheme="majorHAnsi"/>
          <w:sz w:val="20"/>
          <w:szCs w:val="20"/>
        </w:rPr>
        <w:t xml:space="preserve"> orde</w:t>
      </w:r>
      <w:r>
        <w:rPr>
          <w:rFonts w:asciiTheme="majorHAnsi" w:hAnsiTheme="majorHAnsi"/>
          <w:sz w:val="20"/>
          <w:szCs w:val="20"/>
        </w:rPr>
        <w:t>red their</w:t>
      </w:r>
      <w:r w:rsidR="001D0DBA" w:rsidRPr="00A51861">
        <w:rPr>
          <w:rFonts w:asciiTheme="majorHAnsi" w:hAnsiTheme="majorHAnsi"/>
          <w:sz w:val="20"/>
          <w:szCs w:val="20"/>
        </w:rPr>
        <w:t xml:space="preserve"> </w:t>
      </w:r>
      <w:r w:rsidR="006E255A">
        <w:rPr>
          <w:rFonts w:asciiTheme="majorHAnsi" w:hAnsiTheme="majorHAnsi"/>
          <w:sz w:val="20"/>
          <w:szCs w:val="20"/>
        </w:rPr>
        <w:t>detention</w:t>
      </w:r>
      <w:r w:rsidR="008E351F" w:rsidRPr="00A51861">
        <w:rPr>
          <w:rStyle w:val="FootnoteReference"/>
          <w:rFonts w:asciiTheme="majorHAnsi" w:hAnsiTheme="majorHAnsi"/>
          <w:sz w:val="20"/>
          <w:szCs w:val="20"/>
        </w:rPr>
        <w:footnoteReference w:id="51"/>
      </w:r>
      <w:r w:rsidR="008E351F" w:rsidRPr="00A51861">
        <w:rPr>
          <w:rFonts w:asciiTheme="majorHAnsi" w:hAnsiTheme="majorHAnsi"/>
          <w:sz w:val="20"/>
          <w:szCs w:val="20"/>
        </w:rPr>
        <w:t>.</w:t>
      </w:r>
    </w:p>
    <w:p w14:paraId="4E6BE01F" w14:textId="77777777" w:rsidR="008E351F" w:rsidRPr="00A51861" w:rsidRDefault="008E351F" w:rsidP="008E4D36">
      <w:pPr>
        <w:pStyle w:val="ListParagraph"/>
        <w:rPr>
          <w:rFonts w:asciiTheme="majorHAnsi" w:hAnsiTheme="majorHAnsi"/>
          <w:sz w:val="20"/>
          <w:szCs w:val="20"/>
        </w:rPr>
      </w:pPr>
    </w:p>
    <w:p w14:paraId="1B81EA7E" w14:textId="34F058A7" w:rsidR="008E351F" w:rsidRPr="00A51861" w:rsidRDefault="0026043F"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Thanks to the</w:t>
      </w:r>
      <w:r w:rsidR="00323EBA">
        <w:rPr>
          <w:rFonts w:asciiTheme="majorHAnsi" w:hAnsiTheme="majorHAnsi"/>
          <w:sz w:val="20"/>
          <w:szCs w:val="20"/>
        </w:rPr>
        <w:t xml:space="preserve"> HCUNR</w:t>
      </w:r>
      <w:r>
        <w:rPr>
          <w:rFonts w:asciiTheme="majorHAnsi" w:hAnsiTheme="majorHAnsi"/>
          <w:sz w:val="20"/>
          <w:szCs w:val="20"/>
        </w:rPr>
        <w:t>’s</w:t>
      </w:r>
      <w:r w:rsidR="008E351F" w:rsidRPr="00A51861">
        <w:rPr>
          <w:rFonts w:asciiTheme="majorHAnsi" w:hAnsiTheme="majorHAnsi"/>
          <w:sz w:val="20"/>
          <w:szCs w:val="20"/>
        </w:rPr>
        <w:t xml:space="preserve"> </w:t>
      </w:r>
      <w:r w:rsidRPr="00A51861">
        <w:rPr>
          <w:rFonts w:asciiTheme="majorHAnsi" w:hAnsiTheme="majorHAnsi"/>
          <w:sz w:val="20"/>
          <w:szCs w:val="20"/>
        </w:rPr>
        <w:t xml:space="preserve">intercession </w:t>
      </w:r>
      <w:r>
        <w:rPr>
          <w:rFonts w:asciiTheme="majorHAnsi" w:hAnsiTheme="majorHAnsi"/>
          <w:sz w:val="20"/>
          <w:szCs w:val="20"/>
        </w:rPr>
        <w:t>before Argentine</w:t>
      </w:r>
      <w:r w:rsidR="008E351F" w:rsidRPr="00A51861">
        <w:rPr>
          <w:rFonts w:asciiTheme="majorHAnsi" w:hAnsiTheme="majorHAnsi"/>
          <w:sz w:val="20"/>
          <w:szCs w:val="20"/>
        </w:rPr>
        <w:t xml:space="preserve"> </w:t>
      </w:r>
      <w:r w:rsidR="00940530">
        <w:rPr>
          <w:rFonts w:asciiTheme="majorHAnsi" w:hAnsiTheme="majorHAnsi"/>
          <w:sz w:val="20"/>
          <w:szCs w:val="20"/>
        </w:rPr>
        <w:t>authorities</w:t>
      </w:r>
      <w:r w:rsidR="008E351F" w:rsidRPr="00A51861">
        <w:rPr>
          <w:rFonts w:asciiTheme="majorHAnsi" w:hAnsiTheme="majorHAnsi"/>
          <w:sz w:val="20"/>
          <w:szCs w:val="20"/>
        </w:rPr>
        <w:t xml:space="preserve">, </w:t>
      </w:r>
      <w:r w:rsidR="00A51861" w:rsidRPr="00A51861">
        <w:rPr>
          <w:rFonts w:asciiTheme="majorHAnsi" w:hAnsiTheme="majorHAnsi"/>
          <w:sz w:val="20"/>
          <w:szCs w:val="20"/>
        </w:rPr>
        <w:t>the alleged victim</w:t>
      </w:r>
      <w:r w:rsidR="00E92985">
        <w:rPr>
          <w:rFonts w:asciiTheme="majorHAnsi" w:hAnsiTheme="majorHAnsi"/>
          <w:sz w:val="20"/>
          <w:szCs w:val="20"/>
        </w:rPr>
        <w:t xml:space="preserve"> and </w:t>
      </w:r>
      <w:r>
        <w:rPr>
          <w:rFonts w:asciiTheme="majorHAnsi" w:hAnsiTheme="majorHAnsi"/>
          <w:sz w:val="20"/>
          <w:szCs w:val="20"/>
        </w:rPr>
        <w:t>his wife were granted</w:t>
      </w:r>
      <w:r w:rsidR="008E351F" w:rsidRPr="00A51861">
        <w:rPr>
          <w:rFonts w:asciiTheme="majorHAnsi" w:hAnsiTheme="majorHAnsi"/>
          <w:sz w:val="20"/>
          <w:szCs w:val="20"/>
        </w:rPr>
        <w:t xml:space="preserve"> </w:t>
      </w:r>
      <w:r>
        <w:rPr>
          <w:rFonts w:asciiTheme="majorHAnsi" w:hAnsiTheme="majorHAnsi"/>
          <w:sz w:val="20"/>
          <w:szCs w:val="20"/>
        </w:rPr>
        <w:t>a safe-guard pass</w:t>
      </w:r>
      <w:r w:rsidR="008E351F" w:rsidRPr="00A51861">
        <w:rPr>
          <w:rFonts w:asciiTheme="majorHAnsi" w:hAnsiTheme="majorHAnsi"/>
          <w:sz w:val="20"/>
          <w:szCs w:val="20"/>
        </w:rPr>
        <w:t xml:space="preserve"> </w:t>
      </w:r>
      <w:r>
        <w:rPr>
          <w:rFonts w:asciiTheme="majorHAnsi" w:hAnsiTheme="majorHAnsi"/>
          <w:sz w:val="20"/>
          <w:szCs w:val="20"/>
        </w:rPr>
        <w:t>for 24 hours</w:t>
      </w:r>
      <w:r w:rsidR="008E351F" w:rsidRPr="00A51861">
        <w:rPr>
          <w:rFonts w:asciiTheme="majorHAnsi" w:hAnsiTheme="majorHAnsi"/>
          <w:sz w:val="20"/>
          <w:szCs w:val="20"/>
        </w:rPr>
        <w:t xml:space="preserve">, </w:t>
      </w:r>
      <w:r>
        <w:rPr>
          <w:rFonts w:asciiTheme="majorHAnsi" w:hAnsiTheme="majorHAnsi"/>
          <w:sz w:val="20"/>
          <w:szCs w:val="20"/>
        </w:rPr>
        <w:t xml:space="preserve">so they </w:t>
      </w:r>
      <w:r w:rsidR="00423CF1">
        <w:rPr>
          <w:rFonts w:asciiTheme="majorHAnsi" w:hAnsiTheme="majorHAnsi"/>
          <w:sz w:val="20"/>
          <w:szCs w:val="20"/>
        </w:rPr>
        <w:t>could</w:t>
      </w:r>
      <w:r>
        <w:rPr>
          <w:rFonts w:asciiTheme="majorHAnsi" w:hAnsiTheme="majorHAnsi"/>
          <w:sz w:val="20"/>
          <w:szCs w:val="20"/>
        </w:rPr>
        <w:t xml:space="preserve"> exit the country</w:t>
      </w:r>
      <w:r w:rsidR="008E351F" w:rsidRPr="00A51861">
        <w:rPr>
          <w:rFonts w:asciiTheme="majorHAnsi" w:hAnsiTheme="majorHAnsi"/>
          <w:sz w:val="20"/>
          <w:szCs w:val="20"/>
        </w:rPr>
        <w:t xml:space="preserve">, </w:t>
      </w:r>
      <w:r>
        <w:rPr>
          <w:rFonts w:asciiTheme="majorHAnsi" w:hAnsiTheme="majorHAnsi"/>
          <w:sz w:val="20"/>
          <w:szCs w:val="20"/>
        </w:rPr>
        <w:t>before being arrested and</w:t>
      </w:r>
      <w:r w:rsidR="00E92985">
        <w:rPr>
          <w:rFonts w:asciiTheme="majorHAnsi" w:hAnsiTheme="majorHAnsi"/>
          <w:sz w:val="20"/>
          <w:szCs w:val="20"/>
        </w:rPr>
        <w:t xml:space="preserve"> </w:t>
      </w:r>
      <w:r>
        <w:rPr>
          <w:rFonts w:asciiTheme="majorHAnsi" w:hAnsiTheme="majorHAnsi"/>
          <w:sz w:val="20"/>
          <w:szCs w:val="20"/>
        </w:rPr>
        <w:t>expelled toward</w:t>
      </w:r>
      <w:r w:rsidR="008E351F" w:rsidRPr="00A51861">
        <w:rPr>
          <w:rFonts w:asciiTheme="majorHAnsi" w:hAnsiTheme="majorHAnsi"/>
          <w:sz w:val="20"/>
          <w:szCs w:val="20"/>
        </w:rPr>
        <w:t xml:space="preserve"> Uruguay</w:t>
      </w:r>
      <w:r w:rsidR="008E351F" w:rsidRPr="00A51861">
        <w:rPr>
          <w:rStyle w:val="FootnoteReference"/>
          <w:rFonts w:asciiTheme="majorHAnsi" w:hAnsiTheme="majorHAnsi"/>
          <w:sz w:val="20"/>
          <w:szCs w:val="20"/>
        </w:rPr>
        <w:footnoteReference w:id="52"/>
      </w:r>
      <w:r w:rsidR="008E351F" w:rsidRPr="00A51861">
        <w:rPr>
          <w:rFonts w:asciiTheme="majorHAnsi" w:hAnsiTheme="majorHAnsi"/>
          <w:sz w:val="20"/>
          <w:szCs w:val="20"/>
        </w:rPr>
        <w:t xml:space="preserve">. </w:t>
      </w:r>
    </w:p>
    <w:p w14:paraId="620DA675" w14:textId="77777777" w:rsidR="008E351F" w:rsidRPr="00A51861" w:rsidRDefault="008E351F" w:rsidP="008E4D36">
      <w:pPr>
        <w:pStyle w:val="ListParagraph"/>
        <w:rPr>
          <w:rFonts w:asciiTheme="majorHAnsi" w:hAnsiTheme="majorHAnsi"/>
          <w:sz w:val="20"/>
          <w:szCs w:val="20"/>
        </w:rPr>
      </w:pPr>
    </w:p>
    <w:p w14:paraId="40B7C9AB" w14:textId="56B2BCC3" w:rsidR="008E351F" w:rsidRPr="00A51861" w:rsidRDefault="0026043F"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On July 18,</w:t>
      </w:r>
      <w:r w:rsidR="007E4AFF">
        <w:rPr>
          <w:rFonts w:asciiTheme="majorHAnsi" w:hAnsiTheme="majorHAnsi"/>
          <w:sz w:val="20"/>
          <w:szCs w:val="20"/>
        </w:rPr>
        <w:t xml:space="preserve"> </w:t>
      </w:r>
      <w:r w:rsidR="008E351F" w:rsidRPr="00A51861">
        <w:rPr>
          <w:rFonts w:asciiTheme="majorHAnsi" w:hAnsiTheme="majorHAnsi"/>
          <w:sz w:val="20"/>
          <w:szCs w:val="20"/>
        </w:rPr>
        <w:t>1975</w:t>
      </w:r>
      <w:r w:rsidR="007E4AFF">
        <w:rPr>
          <w:rFonts w:asciiTheme="majorHAnsi" w:hAnsiTheme="majorHAnsi"/>
          <w:sz w:val="20"/>
          <w:szCs w:val="20"/>
        </w:rPr>
        <w:t>,</w:t>
      </w:r>
      <w:r w:rsidR="008E351F" w:rsidRPr="00A51861">
        <w:rPr>
          <w:rFonts w:asciiTheme="majorHAnsi" w:hAnsiTheme="majorHAnsi"/>
          <w:sz w:val="20"/>
          <w:szCs w:val="20"/>
        </w:rPr>
        <w:t xml:space="preserve"> </w:t>
      </w:r>
      <w:r w:rsidR="00A51861" w:rsidRPr="00A51861">
        <w:rPr>
          <w:rFonts w:asciiTheme="majorHAnsi" w:hAnsiTheme="majorHAnsi"/>
          <w:sz w:val="20"/>
          <w:szCs w:val="20"/>
        </w:rPr>
        <w:t xml:space="preserve">Mr. </w:t>
      </w:r>
      <w:r w:rsidR="008E351F" w:rsidRPr="00A51861">
        <w:rPr>
          <w:rFonts w:asciiTheme="majorHAnsi" w:hAnsiTheme="majorHAnsi"/>
          <w:sz w:val="20"/>
          <w:szCs w:val="20"/>
        </w:rPr>
        <w:t xml:space="preserve">Julio César </w:t>
      </w:r>
      <w:r w:rsidR="00BD093F">
        <w:rPr>
          <w:rFonts w:asciiTheme="majorHAnsi" w:hAnsiTheme="majorHAnsi"/>
          <w:sz w:val="20"/>
          <w:szCs w:val="20"/>
        </w:rPr>
        <w:t xml:space="preserve">Rito de los </w:t>
      </w:r>
      <w:r w:rsidR="008E351F" w:rsidRPr="00A51861">
        <w:rPr>
          <w:rFonts w:asciiTheme="majorHAnsi" w:hAnsiTheme="majorHAnsi"/>
          <w:sz w:val="20"/>
          <w:szCs w:val="20"/>
        </w:rPr>
        <w:t xml:space="preserve">Santos, </w:t>
      </w:r>
      <w:r w:rsidR="00BD093F">
        <w:rPr>
          <w:rFonts w:asciiTheme="majorHAnsi" w:hAnsiTheme="majorHAnsi"/>
          <w:sz w:val="20"/>
          <w:szCs w:val="20"/>
        </w:rPr>
        <w:t xml:space="preserve">his wife </w:t>
      </w:r>
      <w:r w:rsidR="00E92985">
        <w:rPr>
          <w:rFonts w:asciiTheme="majorHAnsi" w:hAnsiTheme="majorHAnsi"/>
          <w:sz w:val="20"/>
          <w:szCs w:val="20"/>
        </w:rPr>
        <w:t xml:space="preserve">and </w:t>
      </w:r>
      <w:r>
        <w:rPr>
          <w:rFonts w:asciiTheme="majorHAnsi" w:hAnsiTheme="majorHAnsi"/>
          <w:sz w:val="20"/>
          <w:szCs w:val="20"/>
        </w:rPr>
        <w:t>their</w:t>
      </w:r>
      <w:r w:rsidR="00B947BD">
        <w:rPr>
          <w:rFonts w:asciiTheme="majorHAnsi" w:hAnsiTheme="majorHAnsi"/>
          <w:sz w:val="20"/>
          <w:szCs w:val="20"/>
        </w:rPr>
        <w:t xml:space="preserve"> </w:t>
      </w:r>
      <w:r w:rsidR="00423CF1">
        <w:rPr>
          <w:rFonts w:asciiTheme="majorHAnsi" w:hAnsiTheme="majorHAnsi"/>
          <w:sz w:val="20"/>
          <w:szCs w:val="20"/>
        </w:rPr>
        <w:t>son</w:t>
      </w:r>
      <w:r w:rsidR="00B947BD">
        <w:rPr>
          <w:rFonts w:asciiTheme="majorHAnsi" w:hAnsiTheme="majorHAnsi"/>
          <w:sz w:val="20"/>
          <w:szCs w:val="20"/>
        </w:rPr>
        <w:t xml:space="preserve"> </w:t>
      </w:r>
      <w:r w:rsidR="008E351F" w:rsidRPr="00A51861">
        <w:rPr>
          <w:rFonts w:asciiTheme="majorHAnsi" w:hAnsiTheme="majorHAnsi"/>
          <w:sz w:val="20"/>
          <w:szCs w:val="20"/>
        </w:rPr>
        <w:t xml:space="preserve">Pablo </w:t>
      </w:r>
      <w:r>
        <w:rPr>
          <w:rFonts w:asciiTheme="majorHAnsi" w:hAnsiTheme="majorHAnsi"/>
          <w:sz w:val="20"/>
          <w:szCs w:val="20"/>
        </w:rPr>
        <w:t>left</w:t>
      </w:r>
      <w:r w:rsidR="00E92985">
        <w:rPr>
          <w:rFonts w:asciiTheme="majorHAnsi" w:hAnsiTheme="majorHAnsi"/>
          <w:sz w:val="20"/>
          <w:szCs w:val="20"/>
        </w:rPr>
        <w:t xml:space="preserve"> </w:t>
      </w:r>
      <w:r w:rsidR="008E351F" w:rsidRPr="00A51861">
        <w:rPr>
          <w:rFonts w:asciiTheme="majorHAnsi" w:hAnsiTheme="majorHAnsi"/>
          <w:sz w:val="20"/>
          <w:szCs w:val="20"/>
        </w:rPr>
        <w:t xml:space="preserve">Argentina </w:t>
      </w:r>
      <w:r>
        <w:rPr>
          <w:rFonts w:asciiTheme="majorHAnsi" w:hAnsiTheme="majorHAnsi"/>
          <w:sz w:val="20"/>
          <w:szCs w:val="20"/>
        </w:rPr>
        <w:t>toward</w:t>
      </w:r>
      <w:r w:rsidR="008E351F" w:rsidRPr="00A51861">
        <w:rPr>
          <w:rFonts w:asciiTheme="majorHAnsi" w:hAnsiTheme="majorHAnsi"/>
          <w:sz w:val="20"/>
          <w:szCs w:val="20"/>
        </w:rPr>
        <w:t xml:space="preserve"> </w:t>
      </w:r>
      <w:r w:rsidR="00BD6923">
        <w:rPr>
          <w:rFonts w:asciiTheme="majorHAnsi" w:hAnsiTheme="majorHAnsi"/>
          <w:sz w:val="20"/>
          <w:szCs w:val="20"/>
        </w:rPr>
        <w:t>Sweden</w:t>
      </w:r>
      <w:r w:rsidR="008E351F" w:rsidRPr="00A51861">
        <w:rPr>
          <w:rFonts w:asciiTheme="majorHAnsi" w:hAnsiTheme="majorHAnsi"/>
          <w:sz w:val="20"/>
          <w:szCs w:val="20"/>
        </w:rPr>
        <w:t xml:space="preserve"> </w:t>
      </w:r>
      <w:r>
        <w:rPr>
          <w:rFonts w:asciiTheme="majorHAnsi" w:hAnsiTheme="majorHAnsi"/>
          <w:sz w:val="20"/>
          <w:szCs w:val="20"/>
        </w:rPr>
        <w:t>as</w:t>
      </w:r>
      <w:r w:rsidR="00E92985">
        <w:rPr>
          <w:rFonts w:asciiTheme="majorHAnsi" w:hAnsiTheme="majorHAnsi"/>
          <w:sz w:val="20"/>
          <w:szCs w:val="20"/>
        </w:rPr>
        <w:t xml:space="preserve"> </w:t>
      </w:r>
      <w:r>
        <w:rPr>
          <w:rFonts w:asciiTheme="majorHAnsi" w:hAnsiTheme="majorHAnsi"/>
          <w:sz w:val="20"/>
          <w:szCs w:val="20"/>
        </w:rPr>
        <w:t>political refugees</w:t>
      </w:r>
      <w:r w:rsidR="008E351F" w:rsidRPr="00A51861">
        <w:rPr>
          <w:rStyle w:val="FootnoteReference"/>
          <w:rFonts w:asciiTheme="majorHAnsi" w:hAnsiTheme="majorHAnsi"/>
          <w:sz w:val="20"/>
          <w:szCs w:val="20"/>
        </w:rPr>
        <w:footnoteReference w:id="53"/>
      </w:r>
      <w:r w:rsidR="008E351F" w:rsidRPr="00A51861">
        <w:rPr>
          <w:rFonts w:asciiTheme="majorHAnsi" w:hAnsiTheme="majorHAnsi"/>
          <w:sz w:val="20"/>
          <w:szCs w:val="20"/>
        </w:rPr>
        <w:t xml:space="preserve">. </w:t>
      </w:r>
    </w:p>
    <w:p w14:paraId="65C085ED" w14:textId="77777777" w:rsidR="008E351F" w:rsidRPr="00A51861" w:rsidRDefault="008E351F" w:rsidP="008E4D36">
      <w:pPr>
        <w:pStyle w:val="ListParagraph"/>
        <w:rPr>
          <w:rFonts w:asciiTheme="majorHAnsi" w:hAnsiTheme="majorHAnsi"/>
          <w:sz w:val="20"/>
          <w:szCs w:val="20"/>
        </w:rPr>
      </w:pPr>
    </w:p>
    <w:p w14:paraId="25DEC903" w14:textId="235B04D7" w:rsidR="008E351F" w:rsidRPr="00A51861" w:rsidRDefault="00423CF1"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T</w:t>
      </w:r>
      <w:r w:rsidR="0026043F">
        <w:rPr>
          <w:rFonts w:asciiTheme="majorHAnsi" w:hAnsiTheme="majorHAnsi"/>
          <w:sz w:val="20"/>
          <w:szCs w:val="20"/>
        </w:rPr>
        <w:t>he prohibition to re-enter the</w:t>
      </w:r>
      <w:r w:rsidR="008E351F" w:rsidRPr="00A51861">
        <w:rPr>
          <w:rFonts w:asciiTheme="majorHAnsi" w:hAnsiTheme="majorHAnsi"/>
          <w:sz w:val="20"/>
          <w:szCs w:val="20"/>
        </w:rPr>
        <w:t xml:space="preserve"> Rep</w:t>
      </w:r>
      <w:r w:rsidR="00F86E9F">
        <w:rPr>
          <w:rFonts w:asciiTheme="majorHAnsi" w:hAnsiTheme="majorHAnsi"/>
          <w:sz w:val="20"/>
          <w:szCs w:val="20"/>
        </w:rPr>
        <w:t>u</w:t>
      </w:r>
      <w:r w:rsidR="008E351F" w:rsidRPr="00A51861">
        <w:rPr>
          <w:rFonts w:asciiTheme="majorHAnsi" w:hAnsiTheme="majorHAnsi"/>
          <w:sz w:val="20"/>
          <w:szCs w:val="20"/>
        </w:rPr>
        <w:t>blic</w:t>
      </w:r>
      <w:r w:rsidR="00E92985">
        <w:rPr>
          <w:rFonts w:asciiTheme="majorHAnsi" w:hAnsiTheme="majorHAnsi"/>
          <w:sz w:val="20"/>
          <w:szCs w:val="20"/>
        </w:rPr>
        <w:t xml:space="preserve"> of </w:t>
      </w:r>
      <w:r w:rsidR="008E351F" w:rsidRPr="00A51861">
        <w:rPr>
          <w:rFonts w:asciiTheme="majorHAnsi" w:hAnsiTheme="majorHAnsi"/>
          <w:sz w:val="20"/>
          <w:szCs w:val="20"/>
        </w:rPr>
        <w:t xml:space="preserve">Argentina </w:t>
      </w:r>
      <w:r w:rsidR="00F86E9F">
        <w:rPr>
          <w:rFonts w:asciiTheme="majorHAnsi" w:hAnsiTheme="majorHAnsi"/>
          <w:sz w:val="20"/>
          <w:szCs w:val="20"/>
        </w:rPr>
        <w:t>against</w:t>
      </w:r>
      <w:r w:rsidR="008E351F" w:rsidRPr="00A51861">
        <w:rPr>
          <w:rFonts w:asciiTheme="majorHAnsi" w:hAnsiTheme="majorHAnsi"/>
          <w:sz w:val="20"/>
          <w:szCs w:val="20"/>
        </w:rPr>
        <w:t xml:space="preserve"> </w:t>
      </w:r>
      <w:r w:rsidR="00A51861" w:rsidRPr="00A51861">
        <w:rPr>
          <w:rFonts w:asciiTheme="majorHAnsi" w:hAnsiTheme="majorHAnsi"/>
          <w:sz w:val="20"/>
          <w:szCs w:val="20"/>
        </w:rPr>
        <w:t>the alleged victim</w:t>
      </w:r>
      <w:r w:rsidR="00E92985">
        <w:rPr>
          <w:rFonts w:asciiTheme="majorHAnsi" w:hAnsiTheme="majorHAnsi"/>
          <w:sz w:val="20"/>
          <w:szCs w:val="20"/>
        </w:rPr>
        <w:t xml:space="preserve"> and </w:t>
      </w:r>
      <w:r w:rsidR="00BD093F">
        <w:rPr>
          <w:rFonts w:asciiTheme="majorHAnsi" w:hAnsiTheme="majorHAnsi"/>
          <w:sz w:val="20"/>
          <w:szCs w:val="20"/>
        </w:rPr>
        <w:t xml:space="preserve">his wife </w:t>
      </w:r>
      <w:r w:rsidR="00F86E9F">
        <w:rPr>
          <w:rFonts w:asciiTheme="majorHAnsi" w:hAnsiTheme="majorHAnsi"/>
          <w:sz w:val="20"/>
          <w:szCs w:val="20"/>
        </w:rPr>
        <w:t>remained in force until</w:t>
      </w:r>
      <w:r w:rsidR="008E351F" w:rsidRPr="00A51861">
        <w:rPr>
          <w:rFonts w:asciiTheme="majorHAnsi" w:hAnsiTheme="majorHAnsi"/>
          <w:sz w:val="20"/>
          <w:szCs w:val="20"/>
        </w:rPr>
        <w:t xml:space="preserve"> 2007.  </w:t>
      </w:r>
      <w:r w:rsidR="00F86E9F">
        <w:rPr>
          <w:rFonts w:asciiTheme="majorHAnsi" w:hAnsiTheme="majorHAnsi"/>
          <w:sz w:val="20"/>
          <w:szCs w:val="20"/>
        </w:rPr>
        <w:t>On January 17,</w:t>
      </w:r>
      <w:r w:rsidR="00E92985">
        <w:rPr>
          <w:rFonts w:asciiTheme="majorHAnsi" w:hAnsiTheme="majorHAnsi"/>
          <w:sz w:val="20"/>
          <w:szCs w:val="20"/>
        </w:rPr>
        <w:t xml:space="preserve"> </w:t>
      </w:r>
      <w:r w:rsidR="008E351F" w:rsidRPr="00A51861">
        <w:rPr>
          <w:rFonts w:asciiTheme="majorHAnsi" w:hAnsiTheme="majorHAnsi"/>
          <w:sz w:val="20"/>
          <w:szCs w:val="20"/>
        </w:rPr>
        <w:t xml:space="preserve">2007 </w:t>
      </w:r>
      <w:r w:rsidR="00F86E9F">
        <w:rPr>
          <w:rFonts w:asciiTheme="majorHAnsi" w:hAnsiTheme="majorHAnsi"/>
          <w:sz w:val="20"/>
          <w:szCs w:val="20"/>
        </w:rPr>
        <w:t>the attorney of</w:t>
      </w:r>
      <w:r w:rsidR="008E351F" w:rsidRPr="00A51861">
        <w:rPr>
          <w:rFonts w:asciiTheme="majorHAnsi" w:hAnsiTheme="majorHAnsi"/>
          <w:sz w:val="20"/>
          <w:szCs w:val="20"/>
        </w:rPr>
        <w:t xml:space="preserve"> </w:t>
      </w:r>
      <w:r w:rsidR="00BD093F">
        <w:rPr>
          <w:rFonts w:asciiTheme="majorHAnsi" w:hAnsiTheme="majorHAnsi"/>
          <w:sz w:val="20"/>
          <w:szCs w:val="20"/>
        </w:rPr>
        <w:t xml:space="preserve">Mr. </w:t>
      </w:r>
      <w:r w:rsidR="008E351F" w:rsidRPr="00A51861">
        <w:rPr>
          <w:rFonts w:asciiTheme="majorHAnsi" w:hAnsiTheme="majorHAnsi"/>
          <w:sz w:val="20"/>
          <w:szCs w:val="20"/>
        </w:rPr>
        <w:t xml:space="preserve">Julio César </w:t>
      </w:r>
      <w:r w:rsidR="00F86E9F">
        <w:rPr>
          <w:rFonts w:asciiTheme="majorHAnsi" w:hAnsiTheme="majorHAnsi"/>
          <w:sz w:val="20"/>
          <w:szCs w:val="20"/>
        </w:rPr>
        <w:t>petitioned</w:t>
      </w:r>
      <w:r w:rsidR="008E351F" w:rsidRPr="00A51861">
        <w:rPr>
          <w:rFonts w:asciiTheme="majorHAnsi" w:hAnsiTheme="majorHAnsi"/>
          <w:sz w:val="20"/>
          <w:szCs w:val="20"/>
        </w:rPr>
        <w:t xml:space="preserve"> </w:t>
      </w:r>
      <w:r w:rsidR="0026043F">
        <w:rPr>
          <w:rFonts w:asciiTheme="majorHAnsi" w:hAnsiTheme="majorHAnsi"/>
          <w:sz w:val="20"/>
          <w:szCs w:val="20"/>
        </w:rPr>
        <w:t>the</w:t>
      </w:r>
      <w:r w:rsidR="00185E46">
        <w:rPr>
          <w:rFonts w:asciiTheme="majorHAnsi" w:hAnsiTheme="majorHAnsi"/>
          <w:sz w:val="20"/>
          <w:szCs w:val="20"/>
        </w:rPr>
        <w:t xml:space="preserve"> NDM </w:t>
      </w:r>
      <w:r w:rsidR="00E92985">
        <w:rPr>
          <w:rFonts w:asciiTheme="majorHAnsi" w:hAnsiTheme="majorHAnsi"/>
          <w:sz w:val="20"/>
          <w:szCs w:val="20"/>
        </w:rPr>
        <w:t xml:space="preserve">and </w:t>
      </w:r>
      <w:r w:rsidR="00F86E9F">
        <w:rPr>
          <w:rFonts w:asciiTheme="majorHAnsi" w:hAnsiTheme="majorHAnsi"/>
          <w:sz w:val="20"/>
          <w:szCs w:val="20"/>
        </w:rPr>
        <w:t xml:space="preserve">by means of </w:t>
      </w:r>
      <w:r w:rsidR="00185E46">
        <w:rPr>
          <w:rFonts w:asciiTheme="majorHAnsi" w:hAnsiTheme="majorHAnsi"/>
          <w:sz w:val="20"/>
          <w:szCs w:val="20"/>
        </w:rPr>
        <w:t xml:space="preserve">NDM </w:t>
      </w:r>
      <w:r w:rsidR="00A24A5F">
        <w:rPr>
          <w:rFonts w:asciiTheme="majorHAnsi" w:hAnsiTheme="majorHAnsi"/>
          <w:sz w:val="20"/>
          <w:szCs w:val="20"/>
        </w:rPr>
        <w:t xml:space="preserve">Note </w:t>
      </w:r>
      <w:r w:rsidR="008E351F" w:rsidRPr="00A51861">
        <w:rPr>
          <w:rFonts w:asciiTheme="majorHAnsi" w:hAnsiTheme="majorHAnsi"/>
          <w:sz w:val="20"/>
          <w:szCs w:val="20"/>
        </w:rPr>
        <w:t xml:space="preserve">No. 161/07 </w:t>
      </w:r>
      <w:r w:rsidR="00F86E9F">
        <w:rPr>
          <w:rFonts w:asciiTheme="majorHAnsi" w:hAnsiTheme="majorHAnsi"/>
          <w:sz w:val="20"/>
          <w:szCs w:val="20"/>
        </w:rPr>
        <w:t>informed that by virtue o</w:t>
      </w:r>
      <w:r w:rsidR="00E92985">
        <w:rPr>
          <w:rFonts w:asciiTheme="majorHAnsi" w:hAnsiTheme="majorHAnsi"/>
          <w:sz w:val="20"/>
          <w:szCs w:val="20"/>
        </w:rPr>
        <w:t xml:space="preserve">f </w:t>
      </w:r>
      <w:r w:rsidR="00F86E9F">
        <w:rPr>
          <w:rFonts w:asciiTheme="majorHAnsi" w:hAnsiTheme="majorHAnsi"/>
          <w:sz w:val="20"/>
          <w:szCs w:val="20"/>
        </w:rPr>
        <w:t xml:space="preserve">the fact </w:t>
      </w:r>
      <w:r w:rsidR="00E92985">
        <w:rPr>
          <w:rFonts w:asciiTheme="majorHAnsi" w:hAnsiTheme="majorHAnsi"/>
          <w:sz w:val="20"/>
          <w:szCs w:val="20"/>
        </w:rPr>
        <w:t xml:space="preserve">that the </w:t>
      </w:r>
      <w:r w:rsidR="00F86E9F">
        <w:rPr>
          <w:rFonts w:asciiTheme="majorHAnsi" w:hAnsiTheme="majorHAnsi"/>
          <w:sz w:val="20"/>
          <w:szCs w:val="20"/>
        </w:rPr>
        <w:t>Migration Law in force</w:t>
      </w:r>
      <w:r w:rsidR="008E351F" w:rsidRPr="00A51861">
        <w:rPr>
          <w:rFonts w:asciiTheme="majorHAnsi" w:hAnsiTheme="majorHAnsi"/>
          <w:sz w:val="20"/>
          <w:szCs w:val="20"/>
        </w:rPr>
        <w:t xml:space="preserve"> </w:t>
      </w:r>
      <w:r w:rsidR="00F86E9F">
        <w:rPr>
          <w:rFonts w:asciiTheme="majorHAnsi" w:hAnsiTheme="majorHAnsi"/>
          <w:sz w:val="20"/>
          <w:szCs w:val="20"/>
        </w:rPr>
        <w:t xml:space="preserve">provides </w:t>
      </w:r>
      <w:r w:rsidR="008E351F" w:rsidRPr="00A51861">
        <w:rPr>
          <w:rFonts w:asciiTheme="majorHAnsi" w:hAnsiTheme="majorHAnsi"/>
          <w:sz w:val="20"/>
          <w:szCs w:val="20"/>
        </w:rPr>
        <w:t>special relevan</w:t>
      </w:r>
      <w:r w:rsidR="00F86E9F">
        <w:rPr>
          <w:rFonts w:asciiTheme="majorHAnsi" w:hAnsiTheme="majorHAnsi"/>
          <w:sz w:val="20"/>
          <w:szCs w:val="20"/>
        </w:rPr>
        <w:t>ce</w:t>
      </w:r>
      <w:r w:rsidR="008E351F" w:rsidRPr="00A51861">
        <w:rPr>
          <w:rFonts w:asciiTheme="majorHAnsi" w:hAnsiTheme="majorHAnsi"/>
          <w:sz w:val="20"/>
          <w:szCs w:val="20"/>
        </w:rPr>
        <w:t xml:space="preserve"> </w:t>
      </w:r>
      <w:r w:rsidR="00F86E9F">
        <w:rPr>
          <w:rFonts w:asciiTheme="majorHAnsi" w:hAnsiTheme="majorHAnsi"/>
          <w:sz w:val="20"/>
          <w:szCs w:val="20"/>
        </w:rPr>
        <w:t>o</w:t>
      </w:r>
      <w:r>
        <w:rPr>
          <w:rFonts w:asciiTheme="majorHAnsi" w:hAnsiTheme="majorHAnsi"/>
          <w:sz w:val="20"/>
          <w:szCs w:val="20"/>
        </w:rPr>
        <w:t>n</w:t>
      </w:r>
      <w:r w:rsidR="00F86E9F">
        <w:rPr>
          <w:rFonts w:asciiTheme="majorHAnsi" w:hAnsiTheme="majorHAnsi"/>
          <w:sz w:val="20"/>
          <w:szCs w:val="20"/>
        </w:rPr>
        <w:t xml:space="preserve"> </w:t>
      </w:r>
      <w:r>
        <w:rPr>
          <w:rFonts w:asciiTheme="majorHAnsi" w:hAnsiTheme="majorHAnsi"/>
          <w:sz w:val="20"/>
          <w:szCs w:val="20"/>
        </w:rPr>
        <w:t>h</w:t>
      </w:r>
      <w:r w:rsidR="00664D70">
        <w:rPr>
          <w:rFonts w:asciiTheme="majorHAnsi" w:hAnsiTheme="majorHAnsi"/>
          <w:sz w:val="20"/>
          <w:szCs w:val="20"/>
        </w:rPr>
        <w:t>uman rights</w:t>
      </w:r>
      <w:r w:rsidR="008E351F" w:rsidRPr="00A51861">
        <w:rPr>
          <w:rFonts w:asciiTheme="majorHAnsi" w:hAnsiTheme="majorHAnsi"/>
          <w:sz w:val="20"/>
          <w:szCs w:val="20"/>
        </w:rPr>
        <w:t xml:space="preserve">, </w:t>
      </w:r>
      <w:r w:rsidR="00F86E9F">
        <w:rPr>
          <w:rFonts w:asciiTheme="majorHAnsi" w:hAnsiTheme="majorHAnsi"/>
          <w:sz w:val="20"/>
          <w:szCs w:val="20"/>
        </w:rPr>
        <w:t>the</w:t>
      </w:r>
      <w:r w:rsidR="008E351F" w:rsidRPr="00A51861">
        <w:rPr>
          <w:rFonts w:asciiTheme="majorHAnsi" w:hAnsiTheme="majorHAnsi"/>
          <w:sz w:val="20"/>
          <w:szCs w:val="20"/>
        </w:rPr>
        <w:t xml:space="preserve"> </w:t>
      </w:r>
      <w:r w:rsidR="00F86E9F" w:rsidRPr="00A51861">
        <w:rPr>
          <w:rFonts w:asciiTheme="majorHAnsi" w:hAnsiTheme="majorHAnsi"/>
          <w:sz w:val="20"/>
          <w:szCs w:val="20"/>
        </w:rPr>
        <w:t>integration</w:t>
      </w:r>
      <w:r w:rsidR="00E92985">
        <w:rPr>
          <w:rFonts w:asciiTheme="majorHAnsi" w:hAnsiTheme="majorHAnsi"/>
          <w:sz w:val="20"/>
          <w:szCs w:val="20"/>
        </w:rPr>
        <w:t xml:space="preserve"> and </w:t>
      </w:r>
      <w:r w:rsidR="00F86E9F">
        <w:rPr>
          <w:rFonts w:asciiTheme="majorHAnsi" w:hAnsiTheme="majorHAnsi"/>
          <w:sz w:val="20"/>
          <w:szCs w:val="20"/>
        </w:rPr>
        <w:t>mobility of</w:t>
      </w:r>
      <w:r w:rsidR="008E351F" w:rsidRPr="00A51861">
        <w:rPr>
          <w:rFonts w:asciiTheme="majorHAnsi" w:hAnsiTheme="majorHAnsi"/>
          <w:sz w:val="20"/>
          <w:szCs w:val="20"/>
        </w:rPr>
        <w:t xml:space="preserve"> migrants, </w:t>
      </w:r>
      <w:r w:rsidR="00F86E9F">
        <w:rPr>
          <w:rFonts w:asciiTheme="majorHAnsi" w:hAnsiTheme="majorHAnsi"/>
          <w:sz w:val="20"/>
          <w:szCs w:val="20"/>
        </w:rPr>
        <w:t xml:space="preserve">since February 8, </w:t>
      </w:r>
      <w:r w:rsidR="008E351F" w:rsidRPr="00A51861">
        <w:rPr>
          <w:rFonts w:asciiTheme="majorHAnsi" w:hAnsiTheme="majorHAnsi"/>
          <w:sz w:val="20"/>
          <w:szCs w:val="20"/>
        </w:rPr>
        <w:t xml:space="preserve">2007 </w:t>
      </w:r>
      <w:r w:rsidR="00F86E9F">
        <w:rPr>
          <w:rFonts w:asciiTheme="majorHAnsi" w:hAnsiTheme="majorHAnsi"/>
          <w:sz w:val="20"/>
          <w:szCs w:val="20"/>
        </w:rPr>
        <w:t>withdrew the</w:t>
      </w:r>
      <w:r w:rsidR="008E351F" w:rsidRPr="00A51861">
        <w:rPr>
          <w:rFonts w:asciiTheme="majorHAnsi" w:hAnsiTheme="majorHAnsi"/>
          <w:sz w:val="20"/>
          <w:szCs w:val="20"/>
        </w:rPr>
        <w:t xml:space="preserve"> </w:t>
      </w:r>
      <w:r w:rsidR="00F86E9F" w:rsidRPr="00A51861">
        <w:rPr>
          <w:rFonts w:asciiTheme="majorHAnsi" w:hAnsiTheme="majorHAnsi"/>
          <w:sz w:val="20"/>
          <w:szCs w:val="20"/>
        </w:rPr>
        <w:t>migrator</w:t>
      </w:r>
      <w:r w:rsidR="00F86E9F">
        <w:rPr>
          <w:rFonts w:asciiTheme="majorHAnsi" w:hAnsiTheme="majorHAnsi"/>
          <w:sz w:val="20"/>
          <w:szCs w:val="20"/>
        </w:rPr>
        <w:t>y</w:t>
      </w:r>
      <w:r w:rsidR="00F86E9F" w:rsidRPr="00A51861">
        <w:rPr>
          <w:rFonts w:asciiTheme="majorHAnsi" w:hAnsiTheme="majorHAnsi"/>
          <w:sz w:val="20"/>
          <w:szCs w:val="20"/>
        </w:rPr>
        <w:t xml:space="preserve"> </w:t>
      </w:r>
      <w:r w:rsidR="008E351F" w:rsidRPr="00A51861">
        <w:rPr>
          <w:rFonts w:asciiTheme="majorHAnsi" w:hAnsiTheme="majorHAnsi"/>
          <w:sz w:val="20"/>
          <w:szCs w:val="20"/>
        </w:rPr>
        <w:t>restri</w:t>
      </w:r>
      <w:r w:rsidR="00F86E9F">
        <w:rPr>
          <w:rFonts w:asciiTheme="majorHAnsi" w:hAnsiTheme="majorHAnsi"/>
          <w:sz w:val="20"/>
          <w:szCs w:val="20"/>
        </w:rPr>
        <w:t>ct</w:t>
      </w:r>
      <w:r w:rsidR="008E351F" w:rsidRPr="00A51861">
        <w:rPr>
          <w:rFonts w:asciiTheme="majorHAnsi" w:hAnsiTheme="majorHAnsi"/>
          <w:sz w:val="20"/>
          <w:szCs w:val="20"/>
        </w:rPr>
        <w:t>ions</w:t>
      </w:r>
      <w:r w:rsidR="00E92985">
        <w:rPr>
          <w:rFonts w:asciiTheme="majorHAnsi" w:hAnsiTheme="majorHAnsi"/>
          <w:sz w:val="20"/>
          <w:szCs w:val="20"/>
        </w:rPr>
        <w:t xml:space="preserve"> </w:t>
      </w:r>
      <w:r w:rsidR="00F86E9F">
        <w:rPr>
          <w:rFonts w:asciiTheme="majorHAnsi" w:hAnsiTheme="majorHAnsi"/>
          <w:sz w:val="20"/>
          <w:szCs w:val="20"/>
        </w:rPr>
        <w:t>of</w:t>
      </w:r>
      <w:r w:rsidR="00AE069A" w:rsidRPr="00A51861">
        <w:rPr>
          <w:rFonts w:asciiTheme="majorHAnsi" w:hAnsiTheme="majorHAnsi"/>
          <w:sz w:val="20"/>
          <w:szCs w:val="20"/>
        </w:rPr>
        <w:t xml:space="preserve"> </w:t>
      </w:r>
      <w:r w:rsidR="00BD093F">
        <w:rPr>
          <w:rFonts w:asciiTheme="majorHAnsi" w:hAnsiTheme="majorHAnsi"/>
          <w:sz w:val="20"/>
          <w:szCs w:val="20"/>
        </w:rPr>
        <w:t xml:space="preserve">Mr. </w:t>
      </w:r>
      <w:r w:rsidR="00B01A54">
        <w:rPr>
          <w:rFonts w:asciiTheme="majorHAnsi" w:hAnsiTheme="majorHAnsi"/>
          <w:sz w:val="20"/>
          <w:szCs w:val="20"/>
        </w:rPr>
        <w:t xml:space="preserve">Rito de los Santos </w:t>
      </w:r>
      <w:r w:rsidR="00E92985">
        <w:rPr>
          <w:rFonts w:asciiTheme="majorHAnsi" w:hAnsiTheme="majorHAnsi"/>
          <w:sz w:val="20"/>
          <w:szCs w:val="20"/>
        </w:rPr>
        <w:t xml:space="preserve">and </w:t>
      </w:r>
      <w:r w:rsidR="00F86E9F">
        <w:rPr>
          <w:rFonts w:asciiTheme="majorHAnsi" w:hAnsiTheme="majorHAnsi"/>
          <w:sz w:val="20"/>
          <w:szCs w:val="20"/>
        </w:rPr>
        <w:t>his wife</w:t>
      </w:r>
      <w:r w:rsidR="008E351F" w:rsidRPr="00A51861">
        <w:rPr>
          <w:rStyle w:val="FootnoteReference"/>
          <w:rFonts w:asciiTheme="majorHAnsi" w:hAnsiTheme="majorHAnsi"/>
          <w:sz w:val="20"/>
          <w:szCs w:val="20"/>
        </w:rPr>
        <w:footnoteReference w:id="54"/>
      </w:r>
      <w:r w:rsidR="008E351F" w:rsidRPr="00A51861">
        <w:rPr>
          <w:rFonts w:asciiTheme="majorHAnsi" w:hAnsiTheme="majorHAnsi"/>
          <w:sz w:val="20"/>
          <w:szCs w:val="20"/>
        </w:rPr>
        <w:t xml:space="preserve">. </w:t>
      </w:r>
    </w:p>
    <w:p w14:paraId="6ED251DA" w14:textId="77777777" w:rsidR="008E351F" w:rsidRPr="00A51861" w:rsidRDefault="008E351F" w:rsidP="008E4D3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14:paraId="159B0944" w14:textId="47811DD8" w:rsidR="008E351F" w:rsidRPr="00273F34" w:rsidRDefault="00F86E9F" w:rsidP="00273F34">
      <w:pPr>
        <w:pStyle w:val="Heading4"/>
        <w:numPr>
          <w:ilvl w:val="1"/>
          <w:numId w:val="72"/>
        </w:numPr>
        <w:ind w:left="0" w:firstLine="720"/>
        <w:rPr>
          <w:b/>
          <w:i w:val="0"/>
          <w:iCs w:val="0"/>
          <w:color w:val="auto"/>
          <w:sz w:val="20"/>
          <w:szCs w:val="20"/>
        </w:rPr>
      </w:pPr>
      <w:bookmarkStart w:id="16" w:name="_Toc196383480"/>
      <w:r w:rsidRPr="00273F34">
        <w:rPr>
          <w:b/>
          <w:i w:val="0"/>
          <w:iCs w:val="0"/>
          <w:color w:val="auto"/>
          <w:sz w:val="20"/>
          <w:szCs w:val="20"/>
        </w:rPr>
        <w:t>Regarding the reparation proceedings initiated by</w:t>
      </w:r>
      <w:r w:rsidR="008E351F" w:rsidRPr="00273F34">
        <w:rPr>
          <w:b/>
          <w:i w:val="0"/>
          <w:iCs w:val="0"/>
          <w:color w:val="auto"/>
          <w:sz w:val="20"/>
          <w:szCs w:val="20"/>
        </w:rPr>
        <w:t xml:space="preserve"> </w:t>
      </w:r>
      <w:r w:rsidR="00A51861" w:rsidRPr="00273F34">
        <w:rPr>
          <w:b/>
          <w:i w:val="0"/>
          <w:iCs w:val="0"/>
          <w:color w:val="auto"/>
          <w:sz w:val="20"/>
          <w:szCs w:val="20"/>
        </w:rPr>
        <w:t xml:space="preserve">Mr. </w:t>
      </w:r>
      <w:r w:rsidR="00BD093F" w:rsidRPr="00273F34">
        <w:rPr>
          <w:b/>
          <w:i w:val="0"/>
          <w:iCs w:val="0"/>
          <w:color w:val="auto"/>
          <w:sz w:val="20"/>
          <w:szCs w:val="20"/>
        </w:rPr>
        <w:t xml:space="preserve">Rito de los </w:t>
      </w:r>
      <w:r w:rsidR="008E351F" w:rsidRPr="00273F34">
        <w:rPr>
          <w:b/>
          <w:i w:val="0"/>
          <w:iCs w:val="0"/>
          <w:color w:val="auto"/>
          <w:sz w:val="20"/>
          <w:szCs w:val="20"/>
        </w:rPr>
        <w:t>Santos</w:t>
      </w:r>
      <w:bookmarkEnd w:id="16"/>
    </w:p>
    <w:p w14:paraId="77BF2CEC" w14:textId="77777777" w:rsidR="008E351F" w:rsidRPr="00A51861" w:rsidRDefault="008E351F" w:rsidP="008E4D36">
      <w:pPr>
        <w:jc w:val="both"/>
        <w:rPr>
          <w:rFonts w:asciiTheme="majorHAnsi" w:hAnsiTheme="majorHAnsi"/>
          <w:b/>
          <w:sz w:val="20"/>
          <w:szCs w:val="20"/>
        </w:rPr>
      </w:pPr>
    </w:p>
    <w:p w14:paraId="7C2B54EA" w14:textId="1FC20C74" w:rsidR="008E351F" w:rsidRPr="00A51861" w:rsidRDefault="00356384"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I</w:t>
      </w:r>
      <w:r w:rsidR="008E351F" w:rsidRPr="00A51861">
        <w:rPr>
          <w:rFonts w:asciiTheme="majorHAnsi" w:hAnsiTheme="majorHAnsi"/>
          <w:sz w:val="20"/>
          <w:szCs w:val="20"/>
        </w:rPr>
        <w:t xml:space="preserve">n 1998 </w:t>
      </w:r>
      <w:r w:rsidR="00A51861" w:rsidRPr="00A51861">
        <w:rPr>
          <w:rFonts w:asciiTheme="majorHAnsi" w:hAnsiTheme="majorHAnsi"/>
          <w:sz w:val="20"/>
          <w:szCs w:val="20"/>
        </w:rPr>
        <w:t xml:space="preserve">Mr. </w:t>
      </w:r>
      <w:r w:rsidR="008E351F" w:rsidRPr="00A51861">
        <w:rPr>
          <w:rFonts w:asciiTheme="majorHAnsi" w:hAnsiTheme="majorHAnsi"/>
          <w:sz w:val="20"/>
          <w:szCs w:val="20"/>
        </w:rPr>
        <w:t xml:space="preserve">Julio César </w:t>
      </w:r>
      <w:r w:rsidR="00B01A54">
        <w:rPr>
          <w:rFonts w:asciiTheme="majorHAnsi" w:hAnsiTheme="majorHAnsi"/>
          <w:sz w:val="20"/>
          <w:szCs w:val="20"/>
        </w:rPr>
        <w:t xml:space="preserve">Rito de los Santos </w:t>
      </w:r>
      <w:r>
        <w:rPr>
          <w:rFonts w:asciiTheme="majorHAnsi" w:hAnsiTheme="majorHAnsi"/>
          <w:sz w:val="20"/>
          <w:szCs w:val="20"/>
        </w:rPr>
        <w:t>initiated before the</w:t>
      </w:r>
      <w:r w:rsidR="008E351F" w:rsidRPr="00A51861">
        <w:rPr>
          <w:rFonts w:asciiTheme="majorHAnsi" w:hAnsiTheme="majorHAnsi"/>
          <w:sz w:val="20"/>
          <w:szCs w:val="20"/>
        </w:rPr>
        <w:t xml:space="preserve"> </w:t>
      </w:r>
      <w:r>
        <w:rPr>
          <w:rFonts w:asciiTheme="majorHAnsi" w:hAnsiTheme="majorHAnsi"/>
          <w:sz w:val="20"/>
          <w:szCs w:val="20"/>
        </w:rPr>
        <w:t xml:space="preserve">Undersecretariat </w:t>
      </w:r>
      <w:r w:rsidR="00E92985">
        <w:rPr>
          <w:rFonts w:asciiTheme="majorHAnsi" w:hAnsiTheme="majorHAnsi"/>
          <w:sz w:val="20"/>
          <w:szCs w:val="20"/>
        </w:rPr>
        <w:t xml:space="preserve">of </w:t>
      </w:r>
      <w:r w:rsidRPr="00A51861">
        <w:rPr>
          <w:rFonts w:asciiTheme="majorHAnsi" w:hAnsiTheme="majorHAnsi"/>
          <w:sz w:val="20"/>
          <w:szCs w:val="20"/>
        </w:rPr>
        <w:t>Social</w:t>
      </w:r>
      <w:r>
        <w:rPr>
          <w:rFonts w:asciiTheme="majorHAnsi" w:hAnsiTheme="majorHAnsi"/>
          <w:sz w:val="20"/>
          <w:szCs w:val="20"/>
        </w:rPr>
        <w:t xml:space="preserve"> and</w:t>
      </w:r>
      <w:r w:rsidRPr="00A51861">
        <w:rPr>
          <w:rFonts w:asciiTheme="majorHAnsi" w:hAnsiTheme="majorHAnsi"/>
          <w:sz w:val="20"/>
          <w:szCs w:val="20"/>
        </w:rPr>
        <w:t xml:space="preserve"> </w:t>
      </w:r>
      <w:r w:rsidR="00664D70">
        <w:rPr>
          <w:rFonts w:asciiTheme="majorHAnsi" w:hAnsiTheme="majorHAnsi"/>
          <w:sz w:val="20"/>
          <w:szCs w:val="20"/>
        </w:rPr>
        <w:t xml:space="preserve">Human </w:t>
      </w:r>
      <w:r w:rsidR="004B400F">
        <w:rPr>
          <w:rFonts w:asciiTheme="majorHAnsi" w:hAnsiTheme="majorHAnsi"/>
          <w:sz w:val="20"/>
          <w:szCs w:val="20"/>
        </w:rPr>
        <w:t>R</w:t>
      </w:r>
      <w:r w:rsidR="00664D70">
        <w:rPr>
          <w:rFonts w:asciiTheme="majorHAnsi" w:hAnsiTheme="majorHAnsi"/>
          <w:sz w:val="20"/>
          <w:szCs w:val="20"/>
        </w:rPr>
        <w:t>ights</w:t>
      </w:r>
      <w:r w:rsidR="00E92985">
        <w:rPr>
          <w:rFonts w:asciiTheme="majorHAnsi" w:hAnsiTheme="majorHAnsi"/>
          <w:sz w:val="20"/>
          <w:szCs w:val="20"/>
        </w:rPr>
        <w:t xml:space="preserve"> </w:t>
      </w:r>
      <w:r>
        <w:rPr>
          <w:rFonts w:asciiTheme="majorHAnsi" w:hAnsiTheme="majorHAnsi"/>
          <w:sz w:val="20"/>
          <w:szCs w:val="20"/>
        </w:rPr>
        <w:t>of the Ministry of</w:t>
      </w:r>
      <w:r w:rsidR="008E351F" w:rsidRPr="00A51861">
        <w:rPr>
          <w:rFonts w:asciiTheme="majorHAnsi" w:hAnsiTheme="majorHAnsi"/>
          <w:sz w:val="20"/>
          <w:szCs w:val="20"/>
        </w:rPr>
        <w:t xml:space="preserve"> Interior, </w:t>
      </w:r>
      <w:r>
        <w:rPr>
          <w:rFonts w:asciiTheme="majorHAnsi" w:hAnsiTheme="majorHAnsi"/>
          <w:sz w:val="20"/>
          <w:szCs w:val="20"/>
        </w:rPr>
        <w:t>the proceedings to attain the compensation</w:t>
      </w:r>
      <w:r w:rsidR="008E351F" w:rsidRPr="00A51861">
        <w:rPr>
          <w:rFonts w:asciiTheme="majorHAnsi" w:hAnsiTheme="majorHAnsi"/>
          <w:sz w:val="20"/>
          <w:szCs w:val="20"/>
        </w:rPr>
        <w:t xml:space="preserve"> </w:t>
      </w:r>
      <w:r>
        <w:rPr>
          <w:rFonts w:asciiTheme="majorHAnsi" w:hAnsiTheme="majorHAnsi"/>
          <w:sz w:val="20"/>
          <w:szCs w:val="20"/>
        </w:rPr>
        <w:t>for his</w:t>
      </w:r>
      <w:r w:rsidR="008E351F" w:rsidRPr="00A51861">
        <w:rPr>
          <w:rFonts w:asciiTheme="majorHAnsi" w:hAnsiTheme="majorHAnsi"/>
          <w:sz w:val="20"/>
          <w:szCs w:val="20"/>
        </w:rPr>
        <w:t xml:space="preserve"> </w:t>
      </w:r>
      <w:r w:rsidR="006E255A">
        <w:rPr>
          <w:rFonts w:asciiTheme="majorHAnsi" w:hAnsiTheme="majorHAnsi"/>
          <w:sz w:val="20"/>
          <w:szCs w:val="20"/>
        </w:rPr>
        <w:t>detention</w:t>
      </w:r>
      <w:r w:rsidR="008E351F" w:rsidRPr="00A51861">
        <w:rPr>
          <w:rFonts w:asciiTheme="majorHAnsi" w:hAnsiTheme="majorHAnsi"/>
          <w:sz w:val="20"/>
          <w:szCs w:val="20"/>
        </w:rPr>
        <w:t xml:space="preserve">, </w:t>
      </w:r>
      <w:r w:rsidR="00BD6923">
        <w:rPr>
          <w:rFonts w:asciiTheme="majorHAnsi" w:hAnsiTheme="majorHAnsi"/>
          <w:sz w:val="20"/>
          <w:szCs w:val="20"/>
        </w:rPr>
        <w:t>persecution</w:t>
      </w:r>
      <w:r w:rsidR="008E351F" w:rsidRPr="00A51861">
        <w:rPr>
          <w:rFonts w:asciiTheme="majorHAnsi" w:hAnsiTheme="majorHAnsi"/>
          <w:sz w:val="20"/>
          <w:szCs w:val="20"/>
        </w:rPr>
        <w:t xml:space="preserve"> (“</w:t>
      </w:r>
      <w:r>
        <w:rPr>
          <w:rFonts w:asciiTheme="majorHAnsi" w:hAnsiTheme="majorHAnsi"/>
          <w:sz w:val="20"/>
          <w:szCs w:val="20"/>
        </w:rPr>
        <w:t xml:space="preserve">internal </w:t>
      </w:r>
      <w:r w:rsidR="005B42FA">
        <w:rPr>
          <w:rFonts w:asciiTheme="majorHAnsi" w:hAnsiTheme="majorHAnsi"/>
          <w:sz w:val="20"/>
          <w:szCs w:val="20"/>
        </w:rPr>
        <w:t>exile</w:t>
      </w:r>
      <w:r w:rsidR="008E351F" w:rsidRPr="00A51861">
        <w:rPr>
          <w:rFonts w:asciiTheme="majorHAnsi" w:hAnsiTheme="majorHAnsi"/>
          <w:sz w:val="20"/>
          <w:szCs w:val="20"/>
        </w:rPr>
        <w:t>”)</w:t>
      </w:r>
      <w:r w:rsidR="00E92985">
        <w:rPr>
          <w:rFonts w:asciiTheme="majorHAnsi" w:hAnsiTheme="majorHAnsi"/>
          <w:sz w:val="20"/>
          <w:szCs w:val="20"/>
        </w:rPr>
        <w:t xml:space="preserve"> and </w:t>
      </w:r>
      <w:r w:rsidRPr="00A51861">
        <w:rPr>
          <w:rFonts w:asciiTheme="majorHAnsi" w:hAnsiTheme="majorHAnsi"/>
          <w:sz w:val="20"/>
          <w:szCs w:val="20"/>
        </w:rPr>
        <w:t>extern</w:t>
      </w:r>
      <w:r>
        <w:rPr>
          <w:rFonts w:asciiTheme="majorHAnsi" w:hAnsiTheme="majorHAnsi"/>
          <w:sz w:val="20"/>
          <w:szCs w:val="20"/>
        </w:rPr>
        <w:t xml:space="preserve">al </w:t>
      </w:r>
      <w:r w:rsidR="005B42FA">
        <w:rPr>
          <w:rFonts w:asciiTheme="majorHAnsi" w:hAnsiTheme="majorHAnsi"/>
          <w:sz w:val="20"/>
          <w:szCs w:val="20"/>
        </w:rPr>
        <w:t>exile</w:t>
      </w:r>
      <w:r w:rsidR="008E351F" w:rsidRPr="00A51861">
        <w:rPr>
          <w:rFonts w:asciiTheme="majorHAnsi" w:hAnsiTheme="majorHAnsi"/>
          <w:sz w:val="20"/>
          <w:szCs w:val="20"/>
        </w:rPr>
        <w:t xml:space="preserve">, </w:t>
      </w:r>
      <w:r>
        <w:rPr>
          <w:rFonts w:asciiTheme="majorHAnsi" w:hAnsiTheme="majorHAnsi"/>
          <w:sz w:val="20"/>
          <w:szCs w:val="20"/>
        </w:rPr>
        <w:t>based on</w:t>
      </w:r>
      <w:r w:rsidR="008E351F" w:rsidRPr="00A51861">
        <w:rPr>
          <w:rFonts w:asciiTheme="majorHAnsi" w:hAnsiTheme="majorHAnsi"/>
          <w:sz w:val="20"/>
          <w:szCs w:val="20"/>
        </w:rPr>
        <w:t xml:space="preserve"> </w:t>
      </w:r>
      <w:r w:rsidR="002835FC" w:rsidRPr="00A51861">
        <w:rPr>
          <w:rFonts w:asciiTheme="majorHAnsi" w:hAnsiTheme="majorHAnsi"/>
          <w:sz w:val="20"/>
          <w:szCs w:val="20"/>
        </w:rPr>
        <w:t xml:space="preserve">Law </w:t>
      </w:r>
      <w:r w:rsidR="008E351F" w:rsidRPr="00A51861">
        <w:rPr>
          <w:rFonts w:asciiTheme="majorHAnsi" w:hAnsiTheme="majorHAnsi"/>
          <w:sz w:val="20"/>
          <w:szCs w:val="20"/>
        </w:rPr>
        <w:t>24.043</w:t>
      </w:r>
      <w:r w:rsidR="00E92985">
        <w:rPr>
          <w:rFonts w:asciiTheme="majorHAnsi" w:hAnsiTheme="majorHAnsi"/>
          <w:sz w:val="20"/>
          <w:szCs w:val="20"/>
        </w:rPr>
        <w:t xml:space="preserve"> and </w:t>
      </w:r>
      <w:r>
        <w:rPr>
          <w:rFonts w:asciiTheme="majorHAnsi" w:hAnsiTheme="majorHAnsi"/>
          <w:sz w:val="20"/>
          <w:szCs w:val="20"/>
        </w:rPr>
        <w:t>its amplifier</w:t>
      </w:r>
      <w:r w:rsidR="008E351F" w:rsidRPr="00A51861">
        <w:rPr>
          <w:rFonts w:asciiTheme="majorHAnsi" w:hAnsiTheme="majorHAnsi"/>
          <w:sz w:val="20"/>
          <w:szCs w:val="20"/>
        </w:rPr>
        <w:t xml:space="preserve"> 24.906</w:t>
      </w:r>
      <w:r w:rsidR="008E351F" w:rsidRPr="00A51861">
        <w:rPr>
          <w:rStyle w:val="FootnoteReference"/>
          <w:rFonts w:asciiTheme="majorHAnsi" w:hAnsiTheme="majorHAnsi"/>
          <w:sz w:val="20"/>
          <w:szCs w:val="20"/>
        </w:rPr>
        <w:footnoteReference w:id="55"/>
      </w:r>
      <w:r w:rsidR="008E351F" w:rsidRPr="00A51861">
        <w:rPr>
          <w:rFonts w:asciiTheme="majorHAnsi" w:hAnsiTheme="majorHAnsi"/>
          <w:sz w:val="20"/>
          <w:szCs w:val="20"/>
        </w:rPr>
        <w:t xml:space="preserve">. </w:t>
      </w:r>
      <w:r>
        <w:rPr>
          <w:rFonts w:asciiTheme="majorHAnsi" w:hAnsiTheme="majorHAnsi"/>
          <w:sz w:val="20"/>
          <w:szCs w:val="20"/>
        </w:rPr>
        <w:t xml:space="preserve">In </w:t>
      </w:r>
      <w:r w:rsidR="006925E3">
        <w:rPr>
          <w:rFonts w:asciiTheme="majorHAnsi" w:hAnsiTheme="majorHAnsi"/>
          <w:sz w:val="20"/>
          <w:szCs w:val="20"/>
        </w:rPr>
        <w:t>subsidy</w:t>
      </w:r>
      <w:r w:rsidR="008E351F" w:rsidRPr="00A51861">
        <w:rPr>
          <w:rFonts w:asciiTheme="majorHAnsi" w:hAnsiTheme="majorHAnsi"/>
          <w:sz w:val="20"/>
          <w:szCs w:val="20"/>
        </w:rPr>
        <w:t xml:space="preserve">, </w:t>
      </w:r>
      <w:r>
        <w:rPr>
          <w:rFonts w:asciiTheme="majorHAnsi" w:hAnsiTheme="majorHAnsi"/>
          <w:sz w:val="20"/>
          <w:szCs w:val="20"/>
        </w:rPr>
        <w:t>a compensation for damages was claimed for the same facts</w:t>
      </w:r>
      <w:r w:rsidR="008E351F" w:rsidRPr="00A51861">
        <w:rPr>
          <w:rStyle w:val="FootnoteReference"/>
          <w:rFonts w:asciiTheme="majorHAnsi" w:hAnsiTheme="majorHAnsi"/>
          <w:sz w:val="20"/>
          <w:szCs w:val="20"/>
        </w:rPr>
        <w:footnoteReference w:id="56"/>
      </w:r>
      <w:r w:rsidR="008E351F" w:rsidRPr="00A51861">
        <w:rPr>
          <w:rFonts w:asciiTheme="majorHAnsi" w:hAnsiTheme="majorHAnsi"/>
          <w:sz w:val="20"/>
          <w:szCs w:val="20"/>
        </w:rPr>
        <w:t xml:space="preserve">. </w:t>
      </w:r>
    </w:p>
    <w:p w14:paraId="25658687" w14:textId="77777777" w:rsidR="008E351F" w:rsidRPr="00A51861" w:rsidRDefault="008E351F" w:rsidP="008E4D36">
      <w:pPr>
        <w:rPr>
          <w:rFonts w:asciiTheme="majorHAnsi" w:hAnsiTheme="majorHAnsi"/>
          <w:sz w:val="20"/>
          <w:szCs w:val="20"/>
        </w:rPr>
      </w:pPr>
    </w:p>
    <w:p w14:paraId="42E6A3B6" w14:textId="22005C78" w:rsidR="008E351F" w:rsidRPr="00A51861" w:rsidRDefault="00280367"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On January 23,</w:t>
      </w:r>
      <w:r w:rsidR="00E92985">
        <w:rPr>
          <w:rFonts w:asciiTheme="majorHAnsi" w:hAnsiTheme="majorHAnsi"/>
          <w:sz w:val="20"/>
          <w:szCs w:val="20"/>
        </w:rPr>
        <w:t xml:space="preserve"> </w:t>
      </w:r>
      <w:r w:rsidR="008E351F" w:rsidRPr="00A51861">
        <w:rPr>
          <w:rFonts w:asciiTheme="majorHAnsi" w:hAnsiTheme="majorHAnsi"/>
          <w:sz w:val="20"/>
          <w:szCs w:val="20"/>
        </w:rPr>
        <w:t>2001</w:t>
      </w:r>
      <w:r w:rsidR="007E4AFF">
        <w:rPr>
          <w:rFonts w:asciiTheme="majorHAnsi" w:hAnsiTheme="majorHAnsi"/>
          <w:sz w:val="20"/>
          <w:szCs w:val="20"/>
        </w:rPr>
        <w:t>,</w:t>
      </w:r>
      <w:r w:rsidR="008E351F" w:rsidRPr="00A51861">
        <w:rPr>
          <w:rFonts w:asciiTheme="majorHAnsi" w:hAnsiTheme="majorHAnsi"/>
          <w:sz w:val="20"/>
          <w:szCs w:val="20"/>
        </w:rPr>
        <w:t xml:space="preserve"> </w:t>
      </w:r>
      <w:r>
        <w:rPr>
          <w:rFonts w:asciiTheme="majorHAnsi" w:hAnsiTheme="majorHAnsi"/>
          <w:sz w:val="20"/>
          <w:szCs w:val="20"/>
        </w:rPr>
        <w:t>the</w:t>
      </w:r>
      <w:r w:rsidR="008E351F" w:rsidRPr="00A51861">
        <w:rPr>
          <w:rFonts w:asciiTheme="majorHAnsi" w:hAnsiTheme="majorHAnsi"/>
          <w:sz w:val="20"/>
          <w:szCs w:val="20"/>
        </w:rPr>
        <w:t xml:space="preserve"> </w:t>
      </w:r>
      <w:r w:rsidR="004078DB">
        <w:rPr>
          <w:rFonts w:asciiTheme="majorHAnsi" w:hAnsiTheme="majorHAnsi"/>
          <w:sz w:val="20"/>
          <w:szCs w:val="20"/>
        </w:rPr>
        <w:t>Ministry of Justice</w:t>
      </w:r>
      <w:r w:rsidR="004B400F">
        <w:rPr>
          <w:rFonts w:asciiTheme="majorHAnsi" w:hAnsiTheme="majorHAnsi"/>
          <w:sz w:val="20"/>
          <w:szCs w:val="20"/>
        </w:rPr>
        <w:t xml:space="preserve"> and Human Rights </w:t>
      </w:r>
      <w:r>
        <w:rPr>
          <w:rFonts w:asciiTheme="majorHAnsi" w:hAnsiTheme="majorHAnsi"/>
          <w:sz w:val="20"/>
          <w:szCs w:val="20"/>
        </w:rPr>
        <w:t>issued</w:t>
      </w:r>
      <w:r w:rsidR="008E351F" w:rsidRPr="00A51861">
        <w:rPr>
          <w:rFonts w:asciiTheme="majorHAnsi" w:hAnsiTheme="majorHAnsi"/>
          <w:sz w:val="20"/>
          <w:szCs w:val="20"/>
        </w:rPr>
        <w:t xml:space="preserve"> </w:t>
      </w:r>
      <w:r w:rsidR="0029564F">
        <w:rPr>
          <w:rFonts w:asciiTheme="majorHAnsi" w:hAnsiTheme="majorHAnsi"/>
          <w:sz w:val="20"/>
          <w:szCs w:val="20"/>
        </w:rPr>
        <w:t>Resolution</w:t>
      </w:r>
      <w:r w:rsidR="008E351F" w:rsidRPr="00A51861">
        <w:rPr>
          <w:rFonts w:asciiTheme="majorHAnsi" w:hAnsiTheme="majorHAnsi"/>
          <w:sz w:val="20"/>
          <w:szCs w:val="20"/>
        </w:rPr>
        <w:t xml:space="preserve"> No. 098 </w:t>
      </w:r>
      <w:r>
        <w:rPr>
          <w:rFonts w:asciiTheme="majorHAnsi" w:hAnsiTheme="majorHAnsi"/>
          <w:sz w:val="20"/>
          <w:szCs w:val="20"/>
        </w:rPr>
        <w:t>rejecting</w:t>
      </w:r>
      <w:r w:rsidR="008E351F" w:rsidRPr="00A51861">
        <w:rPr>
          <w:rFonts w:asciiTheme="majorHAnsi" w:hAnsiTheme="majorHAnsi"/>
          <w:sz w:val="20"/>
          <w:szCs w:val="20"/>
        </w:rPr>
        <w:t xml:space="preserve"> </w:t>
      </w:r>
      <w:r>
        <w:rPr>
          <w:rFonts w:asciiTheme="majorHAnsi" w:hAnsiTheme="majorHAnsi"/>
          <w:sz w:val="20"/>
          <w:szCs w:val="20"/>
        </w:rPr>
        <w:t>the request for compensation</w:t>
      </w:r>
      <w:r w:rsidR="008E351F" w:rsidRPr="00A51861">
        <w:rPr>
          <w:rFonts w:asciiTheme="majorHAnsi" w:hAnsiTheme="majorHAnsi"/>
          <w:sz w:val="20"/>
          <w:szCs w:val="20"/>
        </w:rPr>
        <w:t xml:space="preserve">. </w:t>
      </w:r>
      <w:r>
        <w:rPr>
          <w:rFonts w:asciiTheme="majorHAnsi" w:hAnsiTheme="majorHAnsi"/>
          <w:sz w:val="20"/>
          <w:szCs w:val="20"/>
        </w:rPr>
        <w:t>In regard to the</w:t>
      </w:r>
      <w:r w:rsidR="008E351F" w:rsidRPr="00A51861">
        <w:rPr>
          <w:rFonts w:asciiTheme="majorHAnsi" w:hAnsiTheme="majorHAnsi"/>
          <w:sz w:val="20"/>
          <w:szCs w:val="20"/>
        </w:rPr>
        <w:t xml:space="preserve"> </w:t>
      </w:r>
      <w:r w:rsidR="006E255A">
        <w:rPr>
          <w:rFonts w:asciiTheme="majorHAnsi" w:hAnsiTheme="majorHAnsi"/>
          <w:sz w:val="20"/>
          <w:szCs w:val="20"/>
        </w:rPr>
        <w:t>detention</w:t>
      </w:r>
      <w:r w:rsidR="008E351F" w:rsidRPr="00A51861">
        <w:rPr>
          <w:rFonts w:asciiTheme="majorHAnsi" w:hAnsiTheme="majorHAnsi"/>
          <w:sz w:val="20"/>
          <w:szCs w:val="20"/>
        </w:rPr>
        <w:t xml:space="preserve"> </w:t>
      </w:r>
      <w:r>
        <w:rPr>
          <w:rFonts w:asciiTheme="majorHAnsi" w:hAnsiTheme="majorHAnsi"/>
          <w:sz w:val="20"/>
          <w:szCs w:val="20"/>
        </w:rPr>
        <w:t xml:space="preserve">of </w:t>
      </w:r>
      <w:r w:rsidR="00BD093F">
        <w:rPr>
          <w:rFonts w:asciiTheme="majorHAnsi" w:hAnsiTheme="majorHAnsi"/>
          <w:sz w:val="20"/>
          <w:szCs w:val="20"/>
        </w:rPr>
        <w:t xml:space="preserve">Mr. </w:t>
      </w:r>
      <w:r w:rsidR="008E351F" w:rsidRPr="00A51861">
        <w:rPr>
          <w:rFonts w:asciiTheme="majorHAnsi" w:hAnsiTheme="majorHAnsi"/>
          <w:sz w:val="20"/>
          <w:szCs w:val="20"/>
        </w:rPr>
        <w:t>Jul</w:t>
      </w:r>
      <w:r w:rsidR="00DC6792" w:rsidRPr="00A51861">
        <w:rPr>
          <w:rFonts w:asciiTheme="majorHAnsi" w:hAnsiTheme="majorHAnsi"/>
          <w:sz w:val="20"/>
          <w:szCs w:val="20"/>
        </w:rPr>
        <w:t xml:space="preserve">io César, </w:t>
      </w:r>
      <w:r>
        <w:rPr>
          <w:rFonts w:asciiTheme="majorHAnsi" w:hAnsiTheme="majorHAnsi"/>
          <w:sz w:val="20"/>
          <w:szCs w:val="20"/>
        </w:rPr>
        <w:t>the</w:t>
      </w:r>
      <w:r w:rsidR="00DC6792" w:rsidRPr="00A51861">
        <w:rPr>
          <w:rFonts w:asciiTheme="majorHAnsi" w:hAnsiTheme="majorHAnsi"/>
          <w:sz w:val="20"/>
          <w:szCs w:val="20"/>
        </w:rPr>
        <w:t xml:space="preserve"> Minist</w:t>
      </w:r>
      <w:r>
        <w:rPr>
          <w:rFonts w:asciiTheme="majorHAnsi" w:hAnsiTheme="majorHAnsi"/>
          <w:sz w:val="20"/>
          <w:szCs w:val="20"/>
        </w:rPr>
        <w:t>ry</w:t>
      </w:r>
      <w:r w:rsidR="00DC6792" w:rsidRPr="00A51861">
        <w:rPr>
          <w:rFonts w:asciiTheme="majorHAnsi" w:hAnsiTheme="majorHAnsi"/>
          <w:sz w:val="20"/>
          <w:szCs w:val="20"/>
        </w:rPr>
        <w:t xml:space="preserve"> </w:t>
      </w:r>
      <w:r>
        <w:rPr>
          <w:rFonts w:asciiTheme="majorHAnsi" w:hAnsiTheme="majorHAnsi"/>
          <w:sz w:val="20"/>
          <w:szCs w:val="20"/>
        </w:rPr>
        <w:t>held that</w:t>
      </w:r>
      <w:r w:rsidR="006A3C04">
        <w:rPr>
          <w:rFonts w:asciiTheme="majorHAnsi" w:hAnsiTheme="majorHAnsi"/>
          <w:sz w:val="20"/>
          <w:szCs w:val="20"/>
        </w:rPr>
        <w:t xml:space="preserve"> the facts</w:t>
      </w:r>
      <w:r w:rsidR="008E351F" w:rsidRPr="00A51861">
        <w:rPr>
          <w:rFonts w:asciiTheme="majorHAnsi" w:hAnsiTheme="majorHAnsi"/>
          <w:sz w:val="20"/>
          <w:szCs w:val="20"/>
        </w:rPr>
        <w:t xml:space="preserve"> </w:t>
      </w:r>
      <w:r>
        <w:rPr>
          <w:rFonts w:asciiTheme="majorHAnsi" w:hAnsiTheme="majorHAnsi"/>
          <w:sz w:val="20"/>
          <w:szCs w:val="20"/>
        </w:rPr>
        <w:t>did not fit within the timeframe set forth by</w:t>
      </w:r>
      <w:r w:rsidR="008E351F" w:rsidRPr="00A51861">
        <w:rPr>
          <w:rFonts w:asciiTheme="majorHAnsi" w:hAnsiTheme="majorHAnsi"/>
          <w:sz w:val="20"/>
          <w:szCs w:val="20"/>
        </w:rPr>
        <w:t xml:space="preserve"> </w:t>
      </w:r>
      <w:r w:rsidR="00200AC7">
        <w:rPr>
          <w:rFonts w:asciiTheme="majorHAnsi" w:hAnsiTheme="majorHAnsi"/>
          <w:sz w:val="20"/>
          <w:szCs w:val="20"/>
        </w:rPr>
        <w:t xml:space="preserve">Decree </w:t>
      </w:r>
      <w:r w:rsidR="008E351F" w:rsidRPr="00A51861">
        <w:rPr>
          <w:rFonts w:asciiTheme="majorHAnsi" w:hAnsiTheme="majorHAnsi"/>
          <w:sz w:val="20"/>
          <w:szCs w:val="20"/>
        </w:rPr>
        <w:t>No. 1023</w:t>
      </w:r>
      <w:r w:rsidR="00E92985">
        <w:rPr>
          <w:rFonts w:asciiTheme="majorHAnsi" w:hAnsiTheme="majorHAnsi"/>
          <w:sz w:val="20"/>
          <w:szCs w:val="20"/>
        </w:rPr>
        <w:t xml:space="preserve"> of </w:t>
      </w:r>
      <w:r w:rsidR="008E351F" w:rsidRPr="00A51861">
        <w:rPr>
          <w:rFonts w:asciiTheme="majorHAnsi" w:hAnsiTheme="majorHAnsi"/>
          <w:sz w:val="20"/>
          <w:szCs w:val="20"/>
        </w:rPr>
        <w:t xml:space="preserve">1992 </w:t>
      </w:r>
      <w:r>
        <w:rPr>
          <w:rFonts w:asciiTheme="majorHAnsi" w:hAnsiTheme="majorHAnsi"/>
          <w:sz w:val="20"/>
          <w:szCs w:val="20"/>
        </w:rPr>
        <w:t>which rules</w:t>
      </w:r>
      <w:r w:rsidR="008E351F" w:rsidRPr="00A51861">
        <w:rPr>
          <w:rFonts w:asciiTheme="majorHAnsi" w:hAnsiTheme="majorHAnsi"/>
          <w:sz w:val="20"/>
          <w:szCs w:val="20"/>
        </w:rPr>
        <w:t xml:space="preserve"> </w:t>
      </w:r>
      <w:r w:rsidR="002835FC" w:rsidRPr="00A51861">
        <w:rPr>
          <w:rFonts w:asciiTheme="majorHAnsi" w:hAnsiTheme="majorHAnsi"/>
          <w:sz w:val="20"/>
          <w:szCs w:val="20"/>
        </w:rPr>
        <w:t xml:space="preserve">Law </w:t>
      </w:r>
      <w:r w:rsidR="008E351F" w:rsidRPr="00A51861">
        <w:rPr>
          <w:rFonts w:asciiTheme="majorHAnsi" w:hAnsiTheme="majorHAnsi"/>
          <w:sz w:val="20"/>
          <w:szCs w:val="20"/>
        </w:rPr>
        <w:t>24.043</w:t>
      </w:r>
      <w:r w:rsidR="008E351F" w:rsidRPr="00A51861">
        <w:rPr>
          <w:rStyle w:val="FootnoteReference"/>
          <w:rFonts w:asciiTheme="majorHAnsi" w:hAnsiTheme="majorHAnsi"/>
          <w:sz w:val="20"/>
          <w:szCs w:val="20"/>
        </w:rPr>
        <w:footnoteReference w:id="57"/>
      </w:r>
      <w:r w:rsidR="00AB5F2A" w:rsidRPr="00A51861">
        <w:rPr>
          <w:rFonts w:asciiTheme="majorHAnsi" w:hAnsiTheme="majorHAnsi"/>
          <w:sz w:val="20"/>
          <w:szCs w:val="20"/>
        </w:rPr>
        <w:t xml:space="preserve">. </w:t>
      </w:r>
      <w:r>
        <w:rPr>
          <w:rFonts w:asciiTheme="majorHAnsi" w:hAnsiTheme="majorHAnsi"/>
          <w:sz w:val="20"/>
          <w:szCs w:val="20"/>
        </w:rPr>
        <w:t>Concerning the alleged</w:t>
      </w:r>
      <w:r w:rsidR="009D4795" w:rsidRPr="00A51861">
        <w:rPr>
          <w:rFonts w:asciiTheme="majorHAnsi" w:hAnsiTheme="majorHAnsi"/>
          <w:sz w:val="20"/>
          <w:szCs w:val="20"/>
        </w:rPr>
        <w:t xml:space="preserve"> </w:t>
      </w:r>
      <w:r w:rsidR="005F46B6">
        <w:rPr>
          <w:rFonts w:asciiTheme="majorHAnsi" w:hAnsiTheme="majorHAnsi"/>
          <w:sz w:val="20"/>
          <w:szCs w:val="20"/>
        </w:rPr>
        <w:t xml:space="preserve">political persecution </w:t>
      </w:r>
      <w:r w:rsidR="00E92985">
        <w:rPr>
          <w:rFonts w:asciiTheme="majorHAnsi" w:hAnsiTheme="majorHAnsi"/>
          <w:sz w:val="20"/>
          <w:szCs w:val="20"/>
        </w:rPr>
        <w:t xml:space="preserve">and </w:t>
      </w:r>
      <w:r w:rsidR="005B42FA">
        <w:rPr>
          <w:rFonts w:asciiTheme="majorHAnsi" w:hAnsiTheme="majorHAnsi"/>
          <w:sz w:val="20"/>
          <w:szCs w:val="20"/>
        </w:rPr>
        <w:t>exile</w:t>
      </w:r>
      <w:r w:rsidR="008E351F" w:rsidRPr="00A51861">
        <w:rPr>
          <w:rFonts w:asciiTheme="majorHAnsi" w:hAnsiTheme="majorHAnsi"/>
          <w:sz w:val="20"/>
          <w:szCs w:val="20"/>
        </w:rPr>
        <w:t xml:space="preserve">, </w:t>
      </w:r>
      <w:r>
        <w:rPr>
          <w:rFonts w:asciiTheme="majorHAnsi" w:hAnsiTheme="majorHAnsi"/>
          <w:sz w:val="20"/>
          <w:szCs w:val="20"/>
        </w:rPr>
        <w:t>it held</w:t>
      </w:r>
      <w:r w:rsidR="00E92985">
        <w:rPr>
          <w:rFonts w:asciiTheme="majorHAnsi" w:hAnsiTheme="majorHAnsi"/>
          <w:sz w:val="20"/>
          <w:szCs w:val="20"/>
        </w:rPr>
        <w:t xml:space="preserve"> that the situation</w:t>
      </w:r>
      <w:r w:rsidR="008E351F" w:rsidRPr="00A51861">
        <w:rPr>
          <w:rFonts w:asciiTheme="majorHAnsi" w:hAnsiTheme="majorHAnsi"/>
          <w:sz w:val="20"/>
          <w:szCs w:val="20"/>
        </w:rPr>
        <w:t xml:space="preserve"> </w:t>
      </w:r>
      <w:r>
        <w:rPr>
          <w:rFonts w:asciiTheme="majorHAnsi" w:hAnsiTheme="majorHAnsi"/>
          <w:sz w:val="20"/>
          <w:szCs w:val="20"/>
        </w:rPr>
        <w:t>fails to meet the</w:t>
      </w:r>
      <w:r w:rsidR="008E351F" w:rsidRPr="00A51861">
        <w:rPr>
          <w:rFonts w:asciiTheme="majorHAnsi" w:hAnsiTheme="majorHAnsi"/>
          <w:sz w:val="20"/>
          <w:szCs w:val="20"/>
        </w:rPr>
        <w:t xml:space="preserve"> </w:t>
      </w:r>
      <w:r w:rsidR="00EC7A58">
        <w:rPr>
          <w:rFonts w:asciiTheme="majorHAnsi" w:hAnsiTheme="majorHAnsi"/>
          <w:sz w:val="20"/>
          <w:szCs w:val="20"/>
        </w:rPr>
        <w:t>requirement</w:t>
      </w:r>
      <w:r w:rsidR="008E351F" w:rsidRPr="00A51861">
        <w:rPr>
          <w:rFonts w:asciiTheme="majorHAnsi" w:hAnsiTheme="majorHAnsi"/>
          <w:sz w:val="20"/>
          <w:szCs w:val="20"/>
        </w:rPr>
        <w:t xml:space="preserve">s </w:t>
      </w:r>
      <w:r>
        <w:rPr>
          <w:rFonts w:asciiTheme="majorHAnsi" w:hAnsiTheme="majorHAnsi"/>
          <w:sz w:val="20"/>
          <w:szCs w:val="20"/>
        </w:rPr>
        <w:t>that</w:t>
      </w:r>
      <w:r w:rsidR="008E351F" w:rsidRPr="00A51861">
        <w:rPr>
          <w:rFonts w:asciiTheme="majorHAnsi" w:hAnsiTheme="majorHAnsi"/>
          <w:sz w:val="20"/>
          <w:szCs w:val="20"/>
        </w:rPr>
        <w:t xml:space="preserve"> </w:t>
      </w:r>
      <w:r w:rsidR="00EC7A58">
        <w:rPr>
          <w:rFonts w:asciiTheme="majorHAnsi" w:hAnsiTheme="majorHAnsi"/>
          <w:sz w:val="20"/>
          <w:szCs w:val="20"/>
        </w:rPr>
        <w:t>Laws</w:t>
      </w:r>
      <w:r w:rsidR="008E351F" w:rsidRPr="00A51861">
        <w:rPr>
          <w:rFonts w:asciiTheme="majorHAnsi" w:hAnsiTheme="majorHAnsi"/>
          <w:sz w:val="20"/>
          <w:szCs w:val="20"/>
        </w:rPr>
        <w:t xml:space="preserve"> 24.043</w:t>
      </w:r>
      <w:r w:rsidR="00E92985">
        <w:rPr>
          <w:rFonts w:asciiTheme="majorHAnsi" w:hAnsiTheme="majorHAnsi"/>
          <w:sz w:val="20"/>
          <w:szCs w:val="20"/>
        </w:rPr>
        <w:t xml:space="preserve"> and </w:t>
      </w:r>
      <w:r w:rsidR="008E351F" w:rsidRPr="00A51861">
        <w:rPr>
          <w:rFonts w:asciiTheme="majorHAnsi" w:hAnsiTheme="majorHAnsi"/>
          <w:sz w:val="20"/>
          <w:szCs w:val="20"/>
        </w:rPr>
        <w:t xml:space="preserve">24.906 </w:t>
      </w:r>
      <w:r>
        <w:rPr>
          <w:rFonts w:asciiTheme="majorHAnsi" w:hAnsiTheme="majorHAnsi"/>
          <w:sz w:val="20"/>
          <w:szCs w:val="20"/>
        </w:rPr>
        <w:t>established to receive the</w:t>
      </w:r>
      <w:r w:rsidR="008E351F" w:rsidRPr="00A51861">
        <w:rPr>
          <w:rFonts w:asciiTheme="majorHAnsi" w:hAnsiTheme="majorHAnsi"/>
          <w:sz w:val="20"/>
          <w:szCs w:val="20"/>
        </w:rPr>
        <w:t xml:space="preserve"> </w:t>
      </w:r>
      <w:r w:rsidR="00B47E06">
        <w:rPr>
          <w:rFonts w:asciiTheme="majorHAnsi" w:hAnsiTheme="majorHAnsi"/>
          <w:sz w:val="20"/>
          <w:szCs w:val="20"/>
        </w:rPr>
        <w:t>benefit</w:t>
      </w:r>
      <w:r w:rsidR="00160396" w:rsidRPr="00A51861">
        <w:rPr>
          <w:rFonts w:asciiTheme="majorHAnsi" w:hAnsiTheme="majorHAnsi"/>
          <w:sz w:val="20"/>
          <w:szCs w:val="20"/>
        </w:rPr>
        <w:t>,</w:t>
      </w:r>
      <w:r w:rsidR="00160396" w:rsidRPr="00A51861">
        <w:rPr>
          <w:rFonts w:asciiTheme="minorHAnsi" w:eastAsiaTheme="minorHAnsi" w:hAnsiTheme="minorHAnsi" w:cstheme="minorBidi"/>
          <w:sz w:val="22"/>
          <w:szCs w:val="22"/>
          <w:bdr w:val="none" w:sz="0" w:space="0" w:color="auto"/>
        </w:rPr>
        <w:t xml:space="preserve"> </w:t>
      </w:r>
      <w:r>
        <w:rPr>
          <w:rFonts w:asciiTheme="majorHAnsi" w:hAnsiTheme="majorHAnsi"/>
          <w:sz w:val="20"/>
          <w:szCs w:val="20"/>
        </w:rPr>
        <w:t>whose</w:t>
      </w:r>
      <w:r w:rsidR="00160396" w:rsidRPr="00A51861">
        <w:rPr>
          <w:rFonts w:asciiTheme="majorHAnsi" w:hAnsiTheme="majorHAnsi"/>
          <w:sz w:val="20"/>
          <w:szCs w:val="20"/>
        </w:rPr>
        <w:t xml:space="preserve"> </w:t>
      </w:r>
      <w:r w:rsidRPr="00A51861">
        <w:rPr>
          <w:rFonts w:asciiTheme="majorHAnsi" w:hAnsiTheme="majorHAnsi"/>
          <w:sz w:val="20"/>
          <w:szCs w:val="20"/>
        </w:rPr>
        <w:t>enumeration</w:t>
      </w:r>
      <w:r w:rsidR="00160396" w:rsidRPr="00A51861">
        <w:rPr>
          <w:rFonts w:asciiTheme="majorHAnsi" w:hAnsiTheme="majorHAnsi"/>
          <w:sz w:val="20"/>
          <w:szCs w:val="20"/>
        </w:rPr>
        <w:t xml:space="preserve"> </w:t>
      </w:r>
      <w:r>
        <w:rPr>
          <w:rFonts w:asciiTheme="majorHAnsi" w:hAnsiTheme="majorHAnsi"/>
          <w:sz w:val="20"/>
          <w:szCs w:val="20"/>
        </w:rPr>
        <w:t>is</w:t>
      </w:r>
      <w:r w:rsidR="00160396" w:rsidRPr="00A51861">
        <w:rPr>
          <w:rFonts w:asciiTheme="majorHAnsi" w:hAnsiTheme="majorHAnsi"/>
          <w:sz w:val="20"/>
          <w:szCs w:val="20"/>
        </w:rPr>
        <w:t xml:space="preserve"> </w:t>
      </w:r>
      <w:r>
        <w:rPr>
          <w:rFonts w:asciiTheme="majorHAnsi" w:hAnsiTheme="majorHAnsi"/>
          <w:sz w:val="20"/>
          <w:szCs w:val="20"/>
        </w:rPr>
        <w:t>strict</w:t>
      </w:r>
      <w:r w:rsidR="00E92985">
        <w:rPr>
          <w:rFonts w:asciiTheme="majorHAnsi" w:hAnsiTheme="majorHAnsi"/>
          <w:sz w:val="20"/>
          <w:szCs w:val="20"/>
        </w:rPr>
        <w:t xml:space="preserve"> and </w:t>
      </w:r>
      <w:r w:rsidR="00160396" w:rsidRPr="00A51861">
        <w:rPr>
          <w:rFonts w:asciiTheme="majorHAnsi" w:hAnsiTheme="majorHAnsi"/>
          <w:sz w:val="20"/>
          <w:szCs w:val="20"/>
        </w:rPr>
        <w:t>no mer</w:t>
      </w:r>
      <w:r>
        <w:rPr>
          <w:rFonts w:asciiTheme="majorHAnsi" w:hAnsiTheme="majorHAnsi"/>
          <w:sz w:val="20"/>
          <w:szCs w:val="20"/>
        </w:rPr>
        <w:t>e</w:t>
      </w:r>
      <w:r w:rsidR="0029564F">
        <w:rPr>
          <w:rFonts w:asciiTheme="majorHAnsi" w:hAnsiTheme="majorHAnsi"/>
          <w:sz w:val="20"/>
          <w:szCs w:val="20"/>
        </w:rPr>
        <w:t xml:space="preserve">ly </w:t>
      </w:r>
      <w:r w:rsidRPr="00A51861">
        <w:rPr>
          <w:rFonts w:asciiTheme="majorHAnsi" w:hAnsiTheme="majorHAnsi"/>
          <w:sz w:val="20"/>
          <w:szCs w:val="20"/>
        </w:rPr>
        <w:t>enunciative</w:t>
      </w:r>
      <w:r w:rsidR="008E351F" w:rsidRPr="00A51861">
        <w:rPr>
          <w:rFonts w:asciiTheme="majorHAnsi" w:hAnsiTheme="majorHAnsi"/>
          <w:sz w:val="20"/>
          <w:szCs w:val="20"/>
        </w:rPr>
        <w:t>. Final</w:t>
      </w:r>
      <w:r w:rsidR="00F92BA8">
        <w:rPr>
          <w:rFonts w:asciiTheme="majorHAnsi" w:hAnsiTheme="majorHAnsi"/>
          <w:sz w:val="20"/>
          <w:szCs w:val="20"/>
        </w:rPr>
        <w:t>ly</w:t>
      </w:r>
      <w:r w:rsidR="008E351F" w:rsidRPr="00A51861">
        <w:rPr>
          <w:rFonts w:asciiTheme="majorHAnsi" w:hAnsiTheme="majorHAnsi"/>
          <w:sz w:val="20"/>
          <w:szCs w:val="20"/>
        </w:rPr>
        <w:t xml:space="preserve">, </w:t>
      </w:r>
      <w:r>
        <w:rPr>
          <w:rFonts w:asciiTheme="majorHAnsi" w:hAnsiTheme="majorHAnsi"/>
          <w:sz w:val="20"/>
          <w:szCs w:val="20"/>
        </w:rPr>
        <w:t>the subsidiary claim for</w:t>
      </w:r>
      <w:r w:rsidR="00E92985">
        <w:rPr>
          <w:rFonts w:asciiTheme="majorHAnsi" w:hAnsiTheme="majorHAnsi"/>
          <w:sz w:val="20"/>
          <w:szCs w:val="20"/>
        </w:rPr>
        <w:t xml:space="preserve"> </w:t>
      </w:r>
      <w:r>
        <w:rPr>
          <w:rFonts w:asciiTheme="majorHAnsi" w:hAnsiTheme="majorHAnsi"/>
          <w:sz w:val="20"/>
          <w:szCs w:val="20"/>
        </w:rPr>
        <w:t>compensation for damages was dismissed</w:t>
      </w:r>
      <w:r w:rsidR="008E351F" w:rsidRPr="00A51861">
        <w:rPr>
          <w:rStyle w:val="FootnoteReference"/>
          <w:rFonts w:asciiTheme="majorHAnsi" w:hAnsiTheme="majorHAnsi"/>
          <w:sz w:val="20"/>
          <w:szCs w:val="20"/>
        </w:rPr>
        <w:footnoteReference w:id="58"/>
      </w:r>
      <w:r w:rsidR="008E351F" w:rsidRPr="00A51861">
        <w:rPr>
          <w:rFonts w:asciiTheme="majorHAnsi" w:hAnsiTheme="majorHAnsi"/>
          <w:sz w:val="20"/>
          <w:szCs w:val="20"/>
        </w:rPr>
        <w:t xml:space="preserve">. </w:t>
      </w:r>
    </w:p>
    <w:p w14:paraId="25235F93" w14:textId="77777777" w:rsidR="008E351F" w:rsidRPr="00A51861" w:rsidRDefault="008E351F" w:rsidP="008E4D36">
      <w:pPr>
        <w:pStyle w:val="ListParagraph"/>
        <w:rPr>
          <w:rFonts w:asciiTheme="majorHAnsi" w:hAnsiTheme="majorHAnsi"/>
          <w:sz w:val="20"/>
          <w:szCs w:val="20"/>
        </w:rPr>
      </w:pPr>
    </w:p>
    <w:p w14:paraId="591657CD" w14:textId="02E83EAA" w:rsidR="008E351F" w:rsidRPr="00A51861" w:rsidRDefault="00280367"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On February 9,</w:t>
      </w:r>
      <w:r w:rsidR="00E92985">
        <w:rPr>
          <w:rFonts w:asciiTheme="majorHAnsi" w:hAnsiTheme="majorHAnsi"/>
          <w:sz w:val="20"/>
          <w:szCs w:val="20"/>
        </w:rPr>
        <w:t xml:space="preserve"> </w:t>
      </w:r>
      <w:r w:rsidR="008E351F" w:rsidRPr="00A51861">
        <w:rPr>
          <w:rFonts w:asciiTheme="majorHAnsi" w:hAnsiTheme="majorHAnsi"/>
          <w:sz w:val="20"/>
          <w:szCs w:val="20"/>
        </w:rPr>
        <w:t>2001</w:t>
      </w:r>
      <w:r w:rsidR="007E4AFF">
        <w:rPr>
          <w:rFonts w:asciiTheme="majorHAnsi" w:hAnsiTheme="majorHAnsi"/>
          <w:sz w:val="20"/>
          <w:szCs w:val="20"/>
        </w:rPr>
        <w:t>,</w:t>
      </w:r>
      <w:r w:rsidR="008E351F" w:rsidRPr="00A51861">
        <w:rPr>
          <w:rFonts w:asciiTheme="majorHAnsi" w:hAnsiTheme="majorHAnsi"/>
          <w:sz w:val="20"/>
          <w:szCs w:val="20"/>
        </w:rPr>
        <w:t xml:space="preserve"> </w:t>
      </w:r>
      <w:r w:rsidR="007F3E8C">
        <w:rPr>
          <w:rFonts w:asciiTheme="majorHAnsi" w:hAnsiTheme="majorHAnsi"/>
          <w:sz w:val="20"/>
          <w:szCs w:val="20"/>
        </w:rPr>
        <w:t xml:space="preserve">the attorney of Mr. Rito </w:t>
      </w:r>
      <w:r w:rsidR="00B01A54">
        <w:rPr>
          <w:rFonts w:asciiTheme="majorHAnsi" w:hAnsiTheme="majorHAnsi"/>
          <w:sz w:val="20"/>
          <w:szCs w:val="20"/>
        </w:rPr>
        <w:t xml:space="preserve">de los Santos </w:t>
      </w:r>
      <w:r>
        <w:rPr>
          <w:rFonts w:asciiTheme="majorHAnsi" w:hAnsiTheme="majorHAnsi"/>
          <w:sz w:val="20"/>
          <w:szCs w:val="20"/>
        </w:rPr>
        <w:t>filed a direct appeal remedy</w:t>
      </w:r>
      <w:r w:rsidR="00CB0928">
        <w:rPr>
          <w:rFonts w:asciiTheme="majorHAnsi" w:hAnsiTheme="majorHAnsi"/>
          <w:sz w:val="20"/>
          <w:szCs w:val="20"/>
        </w:rPr>
        <w:t xml:space="preserve"> against the</w:t>
      </w:r>
      <w:r w:rsidR="00314DC4" w:rsidRPr="00A51861">
        <w:rPr>
          <w:rFonts w:asciiTheme="majorHAnsi" w:hAnsiTheme="majorHAnsi"/>
          <w:sz w:val="20"/>
          <w:szCs w:val="20"/>
        </w:rPr>
        <w:t xml:space="preserve"> </w:t>
      </w:r>
      <w:r w:rsidR="0029564F">
        <w:rPr>
          <w:rFonts w:asciiTheme="majorHAnsi" w:hAnsiTheme="majorHAnsi"/>
          <w:sz w:val="20"/>
          <w:szCs w:val="20"/>
        </w:rPr>
        <w:t>resolution</w:t>
      </w:r>
      <w:r w:rsidR="008E351F" w:rsidRPr="00A51861">
        <w:rPr>
          <w:rFonts w:asciiTheme="majorHAnsi" w:hAnsiTheme="majorHAnsi"/>
          <w:sz w:val="20"/>
          <w:szCs w:val="20"/>
        </w:rPr>
        <w:t xml:space="preserve">, </w:t>
      </w:r>
      <w:r w:rsidR="00CB0928">
        <w:rPr>
          <w:rFonts w:asciiTheme="majorHAnsi" w:hAnsiTheme="majorHAnsi"/>
          <w:sz w:val="20"/>
          <w:szCs w:val="20"/>
        </w:rPr>
        <w:t>in the terms set forth by the third</w:t>
      </w:r>
      <w:r w:rsidR="008E351F" w:rsidRPr="00A51861">
        <w:rPr>
          <w:rFonts w:asciiTheme="majorHAnsi" w:hAnsiTheme="majorHAnsi"/>
          <w:sz w:val="20"/>
          <w:szCs w:val="20"/>
        </w:rPr>
        <w:t xml:space="preserve"> </w:t>
      </w:r>
      <w:r w:rsidR="0029564F">
        <w:rPr>
          <w:rFonts w:asciiTheme="majorHAnsi" w:hAnsiTheme="majorHAnsi"/>
          <w:sz w:val="20"/>
          <w:szCs w:val="20"/>
        </w:rPr>
        <w:t>article</w:t>
      </w:r>
      <w:r w:rsidR="008E351F" w:rsidRPr="00A51861">
        <w:rPr>
          <w:rFonts w:asciiTheme="majorHAnsi" w:hAnsiTheme="majorHAnsi"/>
          <w:sz w:val="20"/>
          <w:szCs w:val="20"/>
        </w:rPr>
        <w:t xml:space="preserve"> </w:t>
      </w:r>
      <w:r w:rsidR="00E92985">
        <w:rPr>
          <w:rFonts w:asciiTheme="majorHAnsi" w:hAnsiTheme="majorHAnsi"/>
          <w:sz w:val="20"/>
          <w:szCs w:val="20"/>
        </w:rPr>
        <w:t xml:space="preserve">of </w:t>
      </w:r>
      <w:r w:rsidR="002835FC" w:rsidRPr="00A51861">
        <w:rPr>
          <w:rFonts w:asciiTheme="majorHAnsi" w:hAnsiTheme="majorHAnsi"/>
          <w:sz w:val="20"/>
          <w:szCs w:val="20"/>
        </w:rPr>
        <w:t xml:space="preserve">Law </w:t>
      </w:r>
      <w:r w:rsidR="008E351F" w:rsidRPr="00A51861">
        <w:rPr>
          <w:rFonts w:asciiTheme="majorHAnsi" w:hAnsiTheme="majorHAnsi"/>
          <w:sz w:val="20"/>
          <w:szCs w:val="20"/>
        </w:rPr>
        <w:t>24.043</w:t>
      </w:r>
      <w:r w:rsidR="008E351F" w:rsidRPr="00A51861">
        <w:rPr>
          <w:rStyle w:val="FootnoteReference"/>
          <w:rFonts w:asciiTheme="majorHAnsi" w:hAnsiTheme="majorHAnsi"/>
          <w:sz w:val="20"/>
          <w:szCs w:val="20"/>
        </w:rPr>
        <w:footnoteReference w:id="59"/>
      </w:r>
      <w:r w:rsidR="001D1D61">
        <w:rPr>
          <w:rFonts w:asciiTheme="majorHAnsi" w:hAnsiTheme="majorHAnsi"/>
          <w:sz w:val="20"/>
          <w:szCs w:val="20"/>
        </w:rPr>
        <w:t>. Th</w:t>
      </w:r>
      <w:r w:rsidR="00CB0928">
        <w:rPr>
          <w:rFonts w:asciiTheme="majorHAnsi" w:hAnsiTheme="majorHAnsi"/>
          <w:sz w:val="20"/>
          <w:szCs w:val="20"/>
        </w:rPr>
        <w:t>e remedy argued</w:t>
      </w:r>
      <w:r w:rsidR="00E92985">
        <w:rPr>
          <w:rFonts w:asciiTheme="majorHAnsi" w:hAnsiTheme="majorHAnsi"/>
          <w:sz w:val="20"/>
          <w:szCs w:val="20"/>
        </w:rPr>
        <w:t xml:space="preserve"> that the </w:t>
      </w:r>
      <w:r w:rsidR="00CB0928" w:rsidRPr="00A51861">
        <w:rPr>
          <w:rFonts w:ascii="Cambria" w:hAnsi="Cambria"/>
          <w:color w:val="000000" w:themeColor="text1"/>
          <w:sz w:val="20"/>
          <w:szCs w:val="20"/>
        </w:rPr>
        <w:t>administration</w:t>
      </w:r>
      <w:r w:rsidR="008E351F" w:rsidRPr="00A51861">
        <w:rPr>
          <w:rFonts w:asciiTheme="majorHAnsi" w:hAnsiTheme="majorHAnsi"/>
          <w:sz w:val="20"/>
          <w:szCs w:val="20"/>
        </w:rPr>
        <w:t xml:space="preserve">, </w:t>
      </w:r>
      <w:r w:rsidR="00CB0928">
        <w:rPr>
          <w:rFonts w:asciiTheme="majorHAnsi" w:hAnsiTheme="majorHAnsi"/>
          <w:sz w:val="20"/>
          <w:szCs w:val="20"/>
        </w:rPr>
        <w:t>in charge</w:t>
      </w:r>
      <w:r w:rsidR="008E351F" w:rsidRPr="00A51861">
        <w:rPr>
          <w:rFonts w:asciiTheme="majorHAnsi" w:hAnsiTheme="majorHAnsi"/>
          <w:sz w:val="20"/>
          <w:szCs w:val="20"/>
        </w:rPr>
        <w:t xml:space="preserve"> </w:t>
      </w:r>
      <w:r w:rsidR="00A51861" w:rsidRPr="00A51861">
        <w:rPr>
          <w:rFonts w:asciiTheme="majorHAnsi" w:hAnsiTheme="majorHAnsi"/>
          <w:sz w:val="20"/>
          <w:szCs w:val="20"/>
        </w:rPr>
        <w:t xml:space="preserve">of the </w:t>
      </w:r>
      <w:r w:rsidR="004B400F">
        <w:rPr>
          <w:rFonts w:asciiTheme="majorHAnsi" w:hAnsiTheme="majorHAnsi"/>
          <w:sz w:val="20"/>
          <w:szCs w:val="20"/>
        </w:rPr>
        <w:t>Ministry of Justice and Human Rights</w:t>
      </w:r>
      <w:r w:rsidR="008E351F" w:rsidRPr="00A51861">
        <w:rPr>
          <w:rFonts w:asciiTheme="majorHAnsi" w:hAnsiTheme="majorHAnsi"/>
          <w:sz w:val="20"/>
          <w:szCs w:val="20"/>
        </w:rPr>
        <w:t xml:space="preserve">, </w:t>
      </w:r>
      <w:r w:rsidR="00CB0928">
        <w:rPr>
          <w:rFonts w:asciiTheme="majorHAnsi" w:hAnsiTheme="majorHAnsi"/>
          <w:sz w:val="20"/>
          <w:szCs w:val="20"/>
        </w:rPr>
        <w:t>dismissed the claim without having fully developed</w:t>
      </w:r>
      <w:r w:rsidR="008E351F" w:rsidRPr="00A51861">
        <w:rPr>
          <w:rFonts w:asciiTheme="majorHAnsi" w:hAnsiTheme="majorHAnsi"/>
          <w:sz w:val="20"/>
          <w:szCs w:val="20"/>
        </w:rPr>
        <w:t xml:space="preserve"> </w:t>
      </w:r>
      <w:r w:rsidR="00CB0928">
        <w:rPr>
          <w:rFonts w:asciiTheme="majorHAnsi" w:hAnsiTheme="majorHAnsi"/>
          <w:sz w:val="20"/>
          <w:szCs w:val="20"/>
        </w:rPr>
        <w:t>the evidence provided</w:t>
      </w:r>
      <w:r w:rsidR="008E351F" w:rsidRPr="00A51861">
        <w:rPr>
          <w:rFonts w:asciiTheme="majorHAnsi" w:hAnsiTheme="majorHAnsi"/>
          <w:sz w:val="20"/>
          <w:szCs w:val="20"/>
        </w:rPr>
        <w:t>,</w:t>
      </w:r>
      <w:r w:rsidR="00E92985">
        <w:rPr>
          <w:rFonts w:asciiTheme="majorHAnsi" w:hAnsiTheme="majorHAnsi"/>
          <w:sz w:val="20"/>
          <w:szCs w:val="20"/>
        </w:rPr>
        <w:t xml:space="preserve"> and </w:t>
      </w:r>
      <w:r w:rsidR="00CB0928">
        <w:rPr>
          <w:rFonts w:asciiTheme="majorHAnsi" w:hAnsiTheme="majorHAnsi"/>
          <w:sz w:val="20"/>
          <w:szCs w:val="20"/>
        </w:rPr>
        <w:t>performed a narrow</w:t>
      </w:r>
      <w:r w:rsidR="008E351F" w:rsidRPr="00A51861">
        <w:rPr>
          <w:rFonts w:asciiTheme="majorHAnsi" w:hAnsiTheme="majorHAnsi"/>
          <w:sz w:val="20"/>
          <w:szCs w:val="20"/>
        </w:rPr>
        <w:t xml:space="preserve"> </w:t>
      </w:r>
      <w:r w:rsidR="00CB0928" w:rsidRPr="00A51861">
        <w:rPr>
          <w:rFonts w:asciiTheme="majorHAnsi" w:hAnsiTheme="majorHAnsi"/>
          <w:sz w:val="20"/>
          <w:szCs w:val="20"/>
        </w:rPr>
        <w:t>interpretation</w:t>
      </w:r>
      <w:r w:rsidR="008E351F" w:rsidRPr="00A51861">
        <w:rPr>
          <w:rFonts w:asciiTheme="majorHAnsi" w:hAnsiTheme="majorHAnsi"/>
          <w:sz w:val="20"/>
          <w:szCs w:val="20"/>
        </w:rPr>
        <w:t xml:space="preserve"> </w:t>
      </w:r>
      <w:r w:rsidR="00CB0928">
        <w:rPr>
          <w:rFonts w:asciiTheme="majorHAnsi" w:hAnsiTheme="majorHAnsi"/>
          <w:sz w:val="20"/>
          <w:szCs w:val="20"/>
        </w:rPr>
        <w:t xml:space="preserve">of </w:t>
      </w:r>
      <w:r w:rsidR="00EC7A58">
        <w:rPr>
          <w:rFonts w:asciiTheme="majorHAnsi" w:hAnsiTheme="majorHAnsi"/>
          <w:sz w:val="20"/>
          <w:szCs w:val="20"/>
        </w:rPr>
        <w:t>laws</w:t>
      </w:r>
      <w:r w:rsidR="008E351F" w:rsidRPr="00A51861">
        <w:rPr>
          <w:rFonts w:asciiTheme="majorHAnsi" w:hAnsiTheme="majorHAnsi"/>
          <w:sz w:val="20"/>
          <w:szCs w:val="20"/>
        </w:rPr>
        <w:t xml:space="preserve"> 24.043</w:t>
      </w:r>
      <w:r w:rsidR="00E92985">
        <w:rPr>
          <w:rFonts w:asciiTheme="majorHAnsi" w:hAnsiTheme="majorHAnsi"/>
          <w:sz w:val="20"/>
          <w:szCs w:val="20"/>
        </w:rPr>
        <w:t xml:space="preserve"> and </w:t>
      </w:r>
      <w:r w:rsidR="008E351F" w:rsidRPr="00A51861">
        <w:rPr>
          <w:rFonts w:asciiTheme="majorHAnsi" w:hAnsiTheme="majorHAnsi"/>
          <w:sz w:val="20"/>
          <w:szCs w:val="20"/>
        </w:rPr>
        <w:t xml:space="preserve">24.906. </w:t>
      </w:r>
      <w:r w:rsidR="00CB0928">
        <w:rPr>
          <w:rFonts w:asciiTheme="majorHAnsi" w:hAnsiTheme="majorHAnsi"/>
          <w:sz w:val="20"/>
          <w:szCs w:val="20"/>
        </w:rPr>
        <w:t>I</w:t>
      </w:r>
      <w:r w:rsidR="00940A0B" w:rsidRPr="00A51861">
        <w:rPr>
          <w:rFonts w:asciiTheme="majorHAnsi" w:hAnsiTheme="majorHAnsi"/>
          <w:sz w:val="20"/>
          <w:szCs w:val="20"/>
        </w:rPr>
        <w:t xml:space="preserve">n particular, </w:t>
      </w:r>
      <w:r w:rsidR="00CB0928">
        <w:rPr>
          <w:rFonts w:asciiTheme="majorHAnsi" w:hAnsiTheme="majorHAnsi"/>
          <w:sz w:val="20"/>
          <w:szCs w:val="20"/>
        </w:rPr>
        <w:t>a reference was made for</w:t>
      </w:r>
      <w:r w:rsidR="00940A0B" w:rsidRPr="00A51861">
        <w:rPr>
          <w:rFonts w:asciiTheme="majorHAnsi" w:hAnsiTheme="majorHAnsi"/>
          <w:sz w:val="20"/>
          <w:szCs w:val="20"/>
        </w:rPr>
        <w:t xml:space="preserve"> precedents</w:t>
      </w:r>
      <w:r w:rsidR="00E92985">
        <w:rPr>
          <w:rFonts w:asciiTheme="majorHAnsi" w:hAnsiTheme="majorHAnsi"/>
          <w:sz w:val="20"/>
          <w:szCs w:val="20"/>
        </w:rPr>
        <w:t xml:space="preserve"> of the </w:t>
      </w:r>
      <w:r w:rsidR="005D0AC1">
        <w:rPr>
          <w:rFonts w:asciiTheme="majorHAnsi" w:hAnsiTheme="majorHAnsi"/>
          <w:sz w:val="20"/>
          <w:szCs w:val="20"/>
        </w:rPr>
        <w:t>Supreme Court of Justice of the Nation</w:t>
      </w:r>
      <w:r w:rsidR="00CB0928">
        <w:rPr>
          <w:rFonts w:asciiTheme="majorHAnsi" w:hAnsiTheme="majorHAnsi"/>
          <w:sz w:val="20"/>
          <w:szCs w:val="20"/>
        </w:rPr>
        <w:t xml:space="preserve"> in which</w:t>
      </w:r>
      <w:r w:rsidR="00940A0B" w:rsidRPr="00A51861">
        <w:rPr>
          <w:rFonts w:asciiTheme="majorHAnsi" w:hAnsiTheme="majorHAnsi"/>
          <w:sz w:val="20"/>
          <w:szCs w:val="20"/>
        </w:rPr>
        <w:t xml:space="preserve">, </w:t>
      </w:r>
      <w:r w:rsidR="00CB0928">
        <w:rPr>
          <w:rFonts w:asciiTheme="majorHAnsi" w:hAnsiTheme="majorHAnsi"/>
          <w:sz w:val="20"/>
          <w:szCs w:val="20"/>
        </w:rPr>
        <w:t>on similar cases</w:t>
      </w:r>
      <w:r w:rsidR="00940A0B" w:rsidRPr="00A51861">
        <w:rPr>
          <w:rFonts w:asciiTheme="majorHAnsi" w:hAnsiTheme="majorHAnsi"/>
          <w:sz w:val="20"/>
          <w:szCs w:val="20"/>
        </w:rPr>
        <w:t xml:space="preserve">, </w:t>
      </w:r>
      <w:r w:rsidR="00CB0928">
        <w:rPr>
          <w:rFonts w:asciiTheme="majorHAnsi" w:hAnsiTheme="majorHAnsi"/>
          <w:sz w:val="20"/>
          <w:szCs w:val="20"/>
        </w:rPr>
        <w:t xml:space="preserve">the benefit of said law had been granted </w:t>
      </w:r>
      <w:r w:rsidR="00940A0B" w:rsidRPr="00A51861">
        <w:rPr>
          <w:rFonts w:asciiTheme="majorHAnsi" w:hAnsiTheme="majorHAnsi"/>
          <w:sz w:val="20"/>
          <w:szCs w:val="20"/>
        </w:rPr>
        <w:t>(</w:t>
      </w:r>
      <w:r w:rsidR="00CB0928">
        <w:rPr>
          <w:rFonts w:asciiTheme="majorHAnsi" w:hAnsiTheme="majorHAnsi"/>
          <w:sz w:val="20"/>
          <w:szCs w:val="20"/>
        </w:rPr>
        <w:t>for example in the cases of</w:t>
      </w:r>
      <w:r w:rsidR="00940A0B" w:rsidRPr="00A51861">
        <w:rPr>
          <w:rFonts w:asciiTheme="majorHAnsi" w:hAnsiTheme="majorHAnsi"/>
          <w:sz w:val="20"/>
          <w:szCs w:val="20"/>
        </w:rPr>
        <w:t xml:space="preserve"> Bufano, Geuna</w:t>
      </w:r>
      <w:r w:rsidR="00E92985">
        <w:rPr>
          <w:rFonts w:asciiTheme="majorHAnsi" w:hAnsiTheme="majorHAnsi"/>
          <w:sz w:val="20"/>
          <w:szCs w:val="20"/>
        </w:rPr>
        <w:t xml:space="preserve"> and </w:t>
      </w:r>
      <w:r w:rsidR="00940A0B" w:rsidRPr="00A51861">
        <w:rPr>
          <w:rFonts w:asciiTheme="majorHAnsi" w:hAnsiTheme="majorHAnsi"/>
          <w:sz w:val="20"/>
          <w:szCs w:val="20"/>
        </w:rPr>
        <w:t>Quiroga)</w:t>
      </w:r>
      <w:r w:rsidR="00940A0B" w:rsidRPr="00A51861">
        <w:rPr>
          <w:rStyle w:val="FootnoteReference"/>
          <w:rFonts w:asciiTheme="majorHAnsi" w:hAnsiTheme="majorHAnsi"/>
          <w:sz w:val="20"/>
          <w:szCs w:val="20"/>
        </w:rPr>
        <w:footnoteReference w:id="60"/>
      </w:r>
      <w:r w:rsidR="00940A0B" w:rsidRPr="00A51861">
        <w:rPr>
          <w:rFonts w:asciiTheme="majorHAnsi" w:hAnsiTheme="majorHAnsi"/>
          <w:sz w:val="20"/>
          <w:szCs w:val="20"/>
        </w:rPr>
        <w:t>.</w:t>
      </w:r>
    </w:p>
    <w:p w14:paraId="493345AA" w14:textId="77777777" w:rsidR="008E351F" w:rsidRPr="00A51861" w:rsidRDefault="008E351F" w:rsidP="008E4D36">
      <w:pPr>
        <w:pStyle w:val="ListParagraph"/>
        <w:rPr>
          <w:rFonts w:asciiTheme="majorHAnsi" w:hAnsiTheme="majorHAnsi"/>
          <w:sz w:val="20"/>
          <w:szCs w:val="20"/>
        </w:rPr>
      </w:pPr>
    </w:p>
    <w:p w14:paraId="4F045DB4" w14:textId="004ABA46" w:rsidR="008E351F" w:rsidRPr="00A51861" w:rsidRDefault="00CB0928"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On June 11,</w:t>
      </w:r>
      <w:r w:rsidR="00E92985">
        <w:rPr>
          <w:rFonts w:asciiTheme="majorHAnsi" w:hAnsiTheme="majorHAnsi"/>
          <w:sz w:val="20"/>
          <w:szCs w:val="20"/>
        </w:rPr>
        <w:t xml:space="preserve"> </w:t>
      </w:r>
      <w:r w:rsidR="008E351F" w:rsidRPr="00A51861">
        <w:rPr>
          <w:rFonts w:asciiTheme="majorHAnsi" w:hAnsiTheme="majorHAnsi"/>
          <w:sz w:val="20"/>
          <w:szCs w:val="20"/>
        </w:rPr>
        <w:t>2002</w:t>
      </w:r>
      <w:r w:rsidR="007E4AFF">
        <w:rPr>
          <w:rFonts w:asciiTheme="majorHAnsi" w:hAnsiTheme="majorHAnsi"/>
          <w:sz w:val="20"/>
          <w:szCs w:val="20"/>
        </w:rPr>
        <w:t>,</w:t>
      </w:r>
      <w:r w:rsidR="008E351F" w:rsidRPr="00A51861">
        <w:rPr>
          <w:rFonts w:asciiTheme="majorHAnsi" w:hAnsiTheme="majorHAnsi"/>
          <w:sz w:val="20"/>
          <w:szCs w:val="20"/>
        </w:rPr>
        <w:t xml:space="preserve"> </w:t>
      </w:r>
      <w:r w:rsidR="00116313">
        <w:rPr>
          <w:rFonts w:asciiTheme="majorHAnsi" w:hAnsiTheme="majorHAnsi"/>
          <w:sz w:val="20"/>
          <w:szCs w:val="20"/>
        </w:rPr>
        <w:t>the</w:t>
      </w:r>
      <w:r w:rsidR="008E351F" w:rsidRPr="00A51861">
        <w:rPr>
          <w:rFonts w:asciiTheme="majorHAnsi" w:hAnsiTheme="majorHAnsi"/>
          <w:sz w:val="20"/>
          <w:szCs w:val="20"/>
        </w:rPr>
        <w:t xml:space="preserve"> </w:t>
      </w:r>
      <w:r w:rsidR="00116313">
        <w:rPr>
          <w:rFonts w:asciiTheme="majorHAnsi" w:hAnsiTheme="majorHAnsi"/>
          <w:sz w:val="20"/>
          <w:szCs w:val="20"/>
        </w:rPr>
        <w:t>National Chamber of Federal Contentious Administrative Appeals rejected the remedy filed by</w:t>
      </w:r>
      <w:r w:rsidR="008E351F" w:rsidRPr="00A51861">
        <w:rPr>
          <w:rFonts w:asciiTheme="majorHAnsi" w:hAnsiTheme="majorHAnsi"/>
          <w:sz w:val="20"/>
          <w:szCs w:val="20"/>
        </w:rPr>
        <w:t xml:space="preserve"> </w:t>
      </w:r>
      <w:r w:rsidR="00A51861" w:rsidRPr="00A51861">
        <w:rPr>
          <w:rFonts w:asciiTheme="majorHAnsi" w:hAnsiTheme="majorHAnsi"/>
          <w:sz w:val="20"/>
          <w:szCs w:val="20"/>
        </w:rPr>
        <w:t>the alleged victim</w:t>
      </w:r>
      <w:r w:rsidR="008E351F" w:rsidRPr="00A51861">
        <w:rPr>
          <w:rStyle w:val="FootnoteReference"/>
          <w:rFonts w:asciiTheme="majorHAnsi" w:hAnsiTheme="majorHAnsi"/>
          <w:sz w:val="20"/>
          <w:szCs w:val="20"/>
        </w:rPr>
        <w:footnoteReference w:id="61"/>
      </w:r>
      <w:r w:rsidR="008E351F" w:rsidRPr="00A51861">
        <w:rPr>
          <w:rFonts w:asciiTheme="majorHAnsi" w:hAnsiTheme="majorHAnsi"/>
          <w:sz w:val="20"/>
          <w:szCs w:val="20"/>
        </w:rPr>
        <w:t xml:space="preserve">. </w:t>
      </w:r>
      <w:r w:rsidR="00116313">
        <w:rPr>
          <w:rFonts w:asciiTheme="majorHAnsi" w:hAnsiTheme="majorHAnsi"/>
          <w:sz w:val="20"/>
          <w:szCs w:val="20"/>
        </w:rPr>
        <w:t>In the</w:t>
      </w:r>
      <w:r w:rsidR="008E351F" w:rsidRPr="00A51861">
        <w:rPr>
          <w:rFonts w:asciiTheme="majorHAnsi" w:hAnsiTheme="majorHAnsi"/>
          <w:sz w:val="20"/>
          <w:szCs w:val="20"/>
        </w:rPr>
        <w:t xml:space="preserve"> </w:t>
      </w:r>
      <w:r w:rsidR="00F92BA8">
        <w:rPr>
          <w:rFonts w:asciiTheme="majorHAnsi" w:hAnsiTheme="majorHAnsi"/>
          <w:sz w:val="20"/>
          <w:szCs w:val="20"/>
        </w:rPr>
        <w:t xml:space="preserve">decision </w:t>
      </w:r>
      <w:r w:rsidR="00116313">
        <w:rPr>
          <w:rFonts w:asciiTheme="majorHAnsi" w:hAnsiTheme="majorHAnsi"/>
          <w:sz w:val="20"/>
          <w:szCs w:val="20"/>
        </w:rPr>
        <w:t>it was argued that</w:t>
      </w:r>
      <w:r w:rsidR="008E351F" w:rsidRPr="00A51861">
        <w:rPr>
          <w:rFonts w:asciiTheme="majorHAnsi" w:hAnsiTheme="majorHAnsi"/>
          <w:sz w:val="20"/>
          <w:szCs w:val="20"/>
        </w:rPr>
        <w:t xml:space="preserve"> “</w:t>
      </w:r>
      <w:r w:rsidR="00116313">
        <w:rPr>
          <w:rFonts w:asciiTheme="majorHAnsi" w:hAnsiTheme="majorHAnsi"/>
          <w:sz w:val="20"/>
          <w:szCs w:val="20"/>
        </w:rPr>
        <w:t>the</w:t>
      </w:r>
      <w:r w:rsidR="008E351F" w:rsidRPr="00A51861">
        <w:rPr>
          <w:rFonts w:asciiTheme="majorHAnsi" w:hAnsiTheme="majorHAnsi"/>
          <w:sz w:val="20"/>
          <w:szCs w:val="20"/>
        </w:rPr>
        <w:t xml:space="preserve"> </w:t>
      </w:r>
      <w:r w:rsidR="004078DB">
        <w:rPr>
          <w:rFonts w:asciiTheme="majorHAnsi" w:hAnsiTheme="majorHAnsi"/>
          <w:sz w:val="20"/>
          <w:szCs w:val="20"/>
        </w:rPr>
        <w:t xml:space="preserve">claimant </w:t>
      </w:r>
      <w:r w:rsidR="00116313">
        <w:rPr>
          <w:rFonts w:asciiTheme="majorHAnsi" w:hAnsiTheme="majorHAnsi"/>
          <w:sz w:val="20"/>
          <w:szCs w:val="20"/>
        </w:rPr>
        <w:t>failed to prove having been placed at the disposal of the</w:t>
      </w:r>
      <w:r w:rsidR="00323EBA">
        <w:rPr>
          <w:rFonts w:asciiTheme="majorHAnsi" w:hAnsiTheme="majorHAnsi"/>
          <w:sz w:val="20"/>
          <w:szCs w:val="20"/>
        </w:rPr>
        <w:t xml:space="preserve"> NEP</w:t>
      </w:r>
      <w:r w:rsidR="008E351F" w:rsidRPr="00A51861">
        <w:rPr>
          <w:rFonts w:asciiTheme="majorHAnsi" w:hAnsiTheme="majorHAnsi"/>
          <w:sz w:val="20"/>
          <w:szCs w:val="20"/>
        </w:rPr>
        <w:t xml:space="preserve">. </w:t>
      </w:r>
      <w:r w:rsidR="00116313">
        <w:rPr>
          <w:rFonts w:asciiTheme="majorHAnsi" w:hAnsiTheme="majorHAnsi"/>
          <w:sz w:val="20"/>
          <w:szCs w:val="20"/>
        </w:rPr>
        <w:t>On the other hand</w:t>
      </w:r>
      <w:r w:rsidR="008E351F" w:rsidRPr="00A51861">
        <w:rPr>
          <w:rFonts w:asciiTheme="majorHAnsi" w:hAnsiTheme="majorHAnsi"/>
          <w:sz w:val="20"/>
          <w:szCs w:val="20"/>
        </w:rPr>
        <w:t xml:space="preserve">, </w:t>
      </w:r>
      <w:r w:rsidR="00116313">
        <w:rPr>
          <w:rFonts w:asciiTheme="majorHAnsi" w:hAnsiTheme="majorHAnsi"/>
          <w:sz w:val="20"/>
          <w:szCs w:val="20"/>
        </w:rPr>
        <w:t>his</w:t>
      </w:r>
      <w:r w:rsidR="008E351F" w:rsidRPr="00A51861">
        <w:rPr>
          <w:rFonts w:asciiTheme="majorHAnsi" w:hAnsiTheme="majorHAnsi"/>
          <w:sz w:val="20"/>
          <w:szCs w:val="20"/>
        </w:rPr>
        <w:t xml:space="preserve"> </w:t>
      </w:r>
      <w:r w:rsidR="006E255A">
        <w:rPr>
          <w:rFonts w:asciiTheme="majorHAnsi" w:hAnsiTheme="majorHAnsi"/>
          <w:sz w:val="20"/>
          <w:szCs w:val="20"/>
        </w:rPr>
        <w:t>detention</w:t>
      </w:r>
      <w:r w:rsidR="00E92985">
        <w:rPr>
          <w:rFonts w:asciiTheme="majorHAnsi" w:hAnsiTheme="majorHAnsi"/>
          <w:sz w:val="20"/>
          <w:szCs w:val="20"/>
        </w:rPr>
        <w:t xml:space="preserve"> and </w:t>
      </w:r>
      <w:r w:rsidR="00116313">
        <w:rPr>
          <w:rFonts w:asciiTheme="majorHAnsi" w:hAnsiTheme="majorHAnsi"/>
          <w:sz w:val="20"/>
          <w:szCs w:val="20"/>
        </w:rPr>
        <w:t xml:space="preserve">the </w:t>
      </w:r>
      <w:r w:rsidR="006925E3">
        <w:rPr>
          <w:rFonts w:asciiTheme="majorHAnsi" w:hAnsiTheme="majorHAnsi"/>
          <w:sz w:val="20"/>
          <w:szCs w:val="20"/>
        </w:rPr>
        <w:t xml:space="preserve">imposed </w:t>
      </w:r>
      <w:r w:rsidR="00116313">
        <w:rPr>
          <w:rFonts w:asciiTheme="majorHAnsi" w:hAnsiTheme="majorHAnsi"/>
          <w:sz w:val="20"/>
          <w:szCs w:val="20"/>
        </w:rPr>
        <w:t xml:space="preserve">sentence of </w:t>
      </w:r>
      <w:r w:rsidR="006925E3">
        <w:rPr>
          <w:rFonts w:asciiTheme="majorHAnsi" w:hAnsiTheme="majorHAnsi"/>
          <w:sz w:val="20"/>
          <w:szCs w:val="20"/>
        </w:rPr>
        <w:t xml:space="preserve">thirty-day </w:t>
      </w:r>
      <w:r w:rsidR="008E351F" w:rsidRPr="00A51861">
        <w:rPr>
          <w:rFonts w:asciiTheme="majorHAnsi" w:hAnsiTheme="majorHAnsi"/>
          <w:sz w:val="20"/>
          <w:szCs w:val="20"/>
        </w:rPr>
        <w:t xml:space="preserve">arrest, </w:t>
      </w:r>
      <w:r w:rsidR="006925E3">
        <w:rPr>
          <w:rFonts w:asciiTheme="majorHAnsi" w:hAnsiTheme="majorHAnsi"/>
          <w:sz w:val="20"/>
          <w:szCs w:val="20"/>
        </w:rPr>
        <w:t>happened within a frame of legality</w:t>
      </w:r>
      <w:r w:rsidR="008E351F" w:rsidRPr="00A51861">
        <w:rPr>
          <w:rFonts w:asciiTheme="majorHAnsi" w:hAnsiTheme="majorHAnsi"/>
          <w:sz w:val="20"/>
          <w:szCs w:val="20"/>
        </w:rPr>
        <w:t xml:space="preserve"> </w:t>
      </w:r>
      <w:r w:rsidR="006925E3">
        <w:rPr>
          <w:rFonts w:asciiTheme="majorHAnsi" w:hAnsiTheme="majorHAnsi"/>
          <w:sz w:val="20"/>
          <w:szCs w:val="20"/>
        </w:rPr>
        <w:t>for having considered a violation to the</w:t>
      </w:r>
      <w:r w:rsidR="008E351F" w:rsidRPr="00A51861">
        <w:rPr>
          <w:rFonts w:asciiTheme="majorHAnsi" w:hAnsiTheme="majorHAnsi"/>
          <w:sz w:val="20"/>
          <w:szCs w:val="20"/>
        </w:rPr>
        <w:t xml:space="preserve"> </w:t>
      </w:r>
      <w:r w:rsidR="004078DB">
        <w:rPr>
          <w:rFonts w:asciiTheme="majorHAnsi" w:hAnsiTheme="majorHAnsi"/>
          <w:sz w:val="20"/>
          <w:szCs w:val="20"/>
        </w:rPr>
        <w:t>d</w:t>
      </w:r>
      <w:r w:rsidR="00280367">
        <w:rPr>
          <w:rFonts w:asciiTheme="majorHAnsi" w:hAnsiTheme="majorHAnsi"/>
          <w:sz w:val="20"/>
          <w:szCs w:val="20"/>
        </w:rPr>
        <w:t>ecree</w:t>
      </w:r>
      <w:r w:rsidR="008E351F" w:rsidRPr="00A51861">
        <w:rPr>
          <w:rFonts w:asciiTheme="majorHAnsi" w:hAnsiTheme="majorHAnsi"/>
          <w:sz w:val="20"/>
          <w:szCs w:val="20"/>
        </w:rPr>
        <w:t xml:space="preserve"> </w:t>
      </w:r>
      <w:r w:rsidR="006925E3">
        <w:rPr>
          <w:rFonts w:asciiTheme="majorHAnsi" w:hAnsiTheme="majorHAnsi"/>
          <w:sz w:val="20"/>
          <w:szCs w:val="20"/>
        </w:rPr>
        <w:t xml:space="preserve">which prohibited </w:t>
      </w:r>
      <w:r w:rsidR="00160A67">
        <w:rPr>
          <w:rFonts w:asciiTheme="majorHAnsi" w:hAnsiTheme="majorHAnsi"/>
          <w:sz w:val="20"/>
          <w:szCs w:val="20"/>
        </w:rPr>
        <w:t>public assemblies</w:t>
      </w:r>
      <w:r w:rsidR="008E351F" w:rsidRPr="00A51861">
        <w:rPr>
          <w:rFonts w:asciiTheme="majorHAnsi" w:hAnsiTheme="majorHAnsi"/>
          <w:sz w:val="20"/>
          <w:szCs w:val="20"/>
        </w:rPr>
        <w:t xml:space="preserve">, </w:t>
      </w:r>
      <w:r w:rsidR="006925E3">
        <w:rPr>
          <w:rFonts w:asciiTheme="majorHAnsi" w:hAnsiTheme="majorHAnsi"/>
          <w:sz w:val="20"/>
          <w:szCs w:val="20"/>
        </w:rPr>
        <w:t xml:space="preserve">whose </w:t>
      </w:r>
      <w:r w:rsidR="008E351F" w:rsidRPr="00A51861">
        <w:rPr>
          <w:rFonts w:asciiTheme="majorHAnsi" w:hAnsiTheme="majorHAnsi"/>
          <w:sz w:val="20"/>
          <w:szCs w:val="20"/>
        </w:rPr>
        <w:t>constitu</w:t>
      </w:r>
      <w:r w:rsidR="006925E3">
        <w:rPr>
          <w:rFonts w:asciiTheme="majorHAnsi" w:hAnsiTheme="majorHAnsi"/>
          <w:sz w:val="20"/>
          <w:szCs w:val="20"/>
        </w:rPr>
        <w:t>t</w:t>
      </w:r>
      <w:r w:rsidR="008E351F" w:rsidRPr="00A51861">
        <w:rPr>
          <w:rFonts w:asciiTheme="majorHAnsi" w:hAnsiTheme="majorHAnsi"/>
          <w:sz w:val="20"/>
          <w:szCs w:val="20"/>
        </w:rPr>
        <w:t xml:space="preserve">ional </w:t>
      </w:r>
      <w:r w:rsidR="006925E3">
        <w:rPr>
          <w:rFonts w:asciiTheme="majorHAnsi" w:hAnsiTheme="majorHAnsi"/>
          <w:sz w:val="20"/>
          <w:szCs w:val="20"/>
        </w:rPr>
        <w:t>validity was not contested by the claimant</w:t>
      </w:r>
      <w:r w:rsidR="008E351F" w:rsidRPr="00A51861">
        <w:rPr>
          <w:rFonts w:asciiTheme="majorHAnsi" w:hAnsiTheme="majorHAnsi"/>
          <w:sz w:val="20"/>
          <w:szCs w:val="20"/>
        </w:rPr>
        <w:t>”</w:t>
      </w:r>
      <w:r w:rsidR="008E351F" w:rsidRPr="00A51861">
        <w:rPr>
          <w:rStyle w:val="FootnoteReference"/>
          <w:rFonts w:asciiTheme="majorHAnsi" w:hAnsiTheme="majorHAnsi"/>
          <w:sz w:val="20"/>
          <w:szCs w:val="20"/>
        </w:rPr>
        <w:footnoteReference w:id="62"/>
      </w:r>
      <w:r w:rsidR="00C04D53" w:rsidRPr="00A51861">
        <w:rPr>
          <w:rFonts w:asciiTheme="majorHAnsi" w:hAnsiTheme="majorHAnsi"/>
          <w:sz w:val="20"/>
          <w:szCs w:val="20"/>
        </w:rPr>
        <w:t>.</w:t>
      </w:r>
      <w:r w:rsidR="00FC257E">
        <w:rPr>
          <w:rFonts w:asciiTheme="majorHAnsi" w:hAnsiTheme="majorHAnsi"/>
          <w:sz w:val="20"/>
          <w:szCs w:val="20"/>
        </w:rPr>
        <w:t xml:space="preserve"> Likewise, </w:t>
      </w:r>
      <w:r w:rsidR="006925E3">
        <w:rPr>
          <w:rFonts w:asciiTheme="majorHAnsi" w:hAnsiTheme="majorHAnsi"/>
          <w:sz w:val="20"/>
          <w:szCs w:val="20"/>
        </w:rPr>
        <w:t xml:space="preserve">it warned </w:t>
      </w:r>
      <w:r w:rsidR="00E92985">
        <w:rPr>
          <w:rFonts w:asciiTheme="majorHAnsi" w:hAnsiTheme="majorHAnsi"/>
          <w:sz w:val="20"/>
          <w:szCs w:val="20"/>
        </w:rPr>
        <w:t xml:space="preserve">that the </w:t>
      </w:r>
      <w:r w:rsidR="006925E3">
        <w:rPr>
          <w:rFonts w:asciiTheme="majorHAnsi" w:hAnsiTheme="majorHAnsi"/>
          <w:sz w:val="20"/>
          <w:szCs w:val="20"/>
        </w:rPr>
        <w:t>time period</w:t>
      </w:r>
      <w:r w:rsidR="008E351F" w:rsidRPr="00A51861">
        <w:rPr>
          <w:rFonts w:asciiTheme="majorHAnsi" w:hAnsiTheme="majorHAnsi"/>
          <w:sz w:val="20"/>
          <w:szCs w:val="20"/>
        </w:rPr>
        <w:t xml:space="preserve"> </w:t>
      </w:r>
      <w:r w:rsidR="006925E3">
        <w:rPr>
          <w:rFonts w:asciiTheme="majorHAnsi" w:hAnsiTheme="majorHAnsi"/>
          <w:sz w:val="20"/>
          <w:szCs w:val="20"/>
        </w:rPr>
        <w:t>to</w:t>
      </w:r>
      <w:r w:rsidR="008E351F" w:rsidRPr="00A51861">
        <w:rPr>
          <w:rFonts w:asciiTheme="majorHAnsi" w:hAnsiTheme="majorHAnsi"/>
          <w:sz w:val="20"/>
          <w:szCs w:val="20"/>
        </w:rPr>
        <w:t xml:space="preserve"> acce</w:t>
      </w:r>
      <w:r w:rsidR="006925E3">
        <w:rPr>
          <w:rFonts w:asciiTheme="majorHAnsi" w:hAnsiTheme="majorHAnsi"/>
          <w:sz w:val="20"/>
          <w:szCs w:val="20"/>
        </w:rPr>
        <w:t>ss</w:t>
      </w:r>
      <w:r w:rsidR="008E351F" w:rsidRPr="00A51861">
        <w:rPr>
          <w:rFonts w:asciiTheme="majorHAnsi" w:hAnsiTheme="majorHAnsi"/>
          <w:sz w:val="20"/>
          <w:szCs w:val="20"/>
        </w:rPr>
        <w:t xml:space="preserve"> </w:t>
      </w:r>
      <w:r w:rsidR="006925E3">
        <w:rPr>
          <w:rFonts w:asciiTheme="majorHAnsi" w:hAnsiTheme="majorHAnsi"/>
          <w:sz w:val="20"/>
          <w:szCs w:val="20"/>
        </w:rPr>
        <w:t>the</w:t>
      </w:r>
      <w:r w:rsidR="008E351F" w:rsidRPr="00A51861">
        <w:rPr>
          <w:rFonts w:asciiTheme="majorHAnsi" w:hAnsiTheme="majorHAnsi"/>
          <w:sz w:val="20"/>
          <w:szCs w:val="20"/>
        </w:rPr>
        <w:t xml:space="preserve"> </w:t>
      </w:r>
      <w:r w:rsidR="00B47E06">
        <w:rPr>
          <w:rFonts w:asciiTheme="majorHAnsi" w:hAnsiTheme="majorHAnsi"/>
          <w:sz w:val="20"/>
          <w:szCs w:val="20"/>
        </w:rPr>
        <w:t>benefit</w:t>
      </w:r>
      <w:r w:rsidR="008E351F" w:rsidRPr="00A51861">
        <w:rPr>
          <w:rFonts w:asciiTheme="majorHAnsi" w:hAnsiTheme="majorHAnsi"/>
          <w:sz w:val="20"/>
          <w:szCs w:val="20"/>
        </w:rPr>
        <w:t xml:space="preserve"> </w:t>
      </w:r>
      <w:r w:rsidR="006925E3">
        <w:rPr>
          <w:rFonts w:ascii="Cambria" w:hAnsi="Cambria"/>
          <w:color w:val="000000" w:themeColor="text1"/>
          <w:sz w:val="20"/>
          <w:szCs w:val="20"/>
        </w:rPr>
        <w:t>set forth in</w:t>
      </w:r>
      <w:r w:rsidR="008E351F" w:rsidRPr="00A51861">
        <w:rPr>
          <w:rFonts w:asciiTheme="majorHAnsi" w:hAnsiTheme="majorHAnsi"/>
          <w:sz w:val="20"/>
          <w:szCs w:val="20"/>
        </w:rPr>
        <w:t xml:space="preserve"> </w:t>
      </w:r>
      <w:r w:rsidR="002835FC" w:rsidRPr="00A51861">
        <w:rPr>
          <w:rFonts w:asciiTheme="majorHAnsi" w:hAnsiTheme="majorHAnsi"/>
          <w:sz w:val="20"/>
          <w:szCs w:val="20"/>
        </w:rPr>
        <w:t xml:space="preserve">Law </w:t>
      </w:r>
      <w:r w:rsidR="008E351F" w:rsidRPr="00A51861">
        <w:rPr>
          <w:rFonts w:asciiTheme="majorHAnsi" w:hAnsiTheme="majorHAnsi"/>
          <w:sz w:val="20"/>
          <w:szCs w:val="20"/>
        </w:rPr>
        <w:t xml:space="preserve">24.043, </w:t>
      </w:r>
      <w:r w:rsidR="006925E3">
        <w:rPr>
          <w:rFonts w:asciiTheme="majorHAnsi" w:hAnsiTheme="majorHAnsi"/>
          <w:sz w:val="20"/>
          <w:szCs w:val="20"/>
        </w:rPr>
        <w:t>was provided by</w:t>
      </w:r>
      <w:r w:rsidR="008E351F" w:rsidRPr="00A51861">
        <w:rPr>
          <w:rFonts w:asciiTheme="majorHAnsi" w:hAnsiTheme="majorHAnsi"/>
          <w:sz w:val="20"/>
          <w:szCs w:val="20"/>
        </w:rPr>
        <w:t xml:space="preserve"> </w:t>
      </w:r>
      <w:r w:rsidR="00200AC7">
        <w:rPr>
          <w:rFonts w:asciiTheme="majorHAnsi" w:hAnsiTheme="majorHAnsi"/>
          <w:sz w:val="20"/>
          <w:szCs w:val="20"/>
        </w:rPr>
        <w:t xml:space="preserve">Decree </w:t>
      </w:r>
      <w:r w:rsidR="008E351F" w:rsidRPr="00A51861">
        <w:rPr>
          <w:rFonts w:asciiTheme="majorHAnsi" w:hAnsiTheme="majorHAnsi"/>
          <w:sz w:val="20"/>
          <w:szCs w:val="20"/>
        </w:rPr>
        <w:t>1023</w:t>
      </w:r>
      <w:r w:rsidR="00E92985">
        <w:rPr>
          <w:rFonts w:asciiTheme="majorHAnsi" w:hAnsiTheme="majorHAnsi"/>
          <w:sz w:val="20"/>
          <w:szCs w:val="20"/>
        </w:rPr>
        <w:t xml:space="preserve"> </w:t>
      </w:r>
      <w:r w:rsidR="006925E3">
        <w:rPr>
          <w:rFonts w:asciiTheme="majorHAnsi" w:hAnsiTheme="majorHAnsi"/>
          <w:sz w:val="20"/>
          <w:szCs w:val="20"/>
        </w:rPr>
        <w:t>which regulates it</w:t>
      </w:r>
      <w:r w:rsidR="00C04D53" w:rsidRPr="00A51861">
        <w:rPr>
          <w:rFonts w:asciiTheme="majorHAnsi" w:hAnsiTheme="majorHAnsi"/>
          <w:sz w:val="20"/>
          <w:szCs w:val="20"/>
        </w:rPr>
        <w:t xml:space="preserve">, </w:t>
      </w:r>
      <w:r w:rsidR="006925E3">
        <w:rPr>
          <w:rFonts w:asciiTheme="majorHAnsi" w:hAnsiTheme="majorHAnsi"/>
          <w:sz w:val="20"/>
          <w:szCs w:val="20"/>
        </w:rPr>
        <w:t xml:space="preserve">setting November 6, </w:t>
      </w:r>
      <w:r w:rsidR="00810948" w:rsidRPr="00A51861">
        <w:rPr>
          <w:rFonts w:asciiTheme="majorHAnsi" w:hAnsiTheme="majorHAnsi"/>
          <w:sz w:val="20"/>
          <w:szCs w:val="20"/>
        </w:rPr>
        <w:t>1974</w:t>
      </w:r>
      <w:r w:rsidR="007E4AFF">
        <w:rPr>
          <w:rFonts w:asciiTheme="majorHAnsi" w:hAnsiTheme="majorHAnsi"/>
          <w:sz w:val="20"/>
          <w:szCs w:val="20"/>
        </w:rPr>
        <w:t>,</w:t>
      </w:r>
      <w:r w:rsidR="00E92985">
        <w:rPr>
          <w:rFonts w:asciiTheme="majorHAnsi" w:hAnsiTheme="majorHAnsi"/>
          <w:sz w:val="20"/>
          <w:szCs w:val="20"/>
        </w:rPr>
        <w:t xml:space="preserve"> </w:t>
      </w:r>
      <w:r w:rsidR="006925E3">
        <w:rPr>
          <w:rFonts w:asciiTheme="majorHAnsi" w:hAnsiTheme="majorHAnsi"/>
          <w:sz w:val="20"/>
          <w:szCs w:val="20"/>
        </w:rPr>
        <w:t xml:space="preserve">as initial date </w:t>
      </w:r>
      <w:r w:rsidR="00E92985">
        <w:rPr>
          <w:rFonts w:asciiTheme="majorHAnsi" w:hAnsiTheme="majorHAnsi"/>
          <w:sz w:val="20"/>
          <w:szCs w:val="20"/>
        </w:rPr>
        <w:t xml:space="preserve">and </w:t>
      </w:r>
      <w:r w:rsidR="006925E3">
        <w:rPr>
          <w:rFonts w:asciiTheme="majorHAnsi" w:hAnsiTheme="majorHAnsi"/>
          <w:sz w:val="20"/>
          <w:szCs w:val="20"/>
        </w:rPr>
        <w:t>that in the cases in which the compensation has been recognized for</w:t>
      </w:r>
      <w:r w:rsidR="00FD5F58" w:rsidRPr="00A51861">
        <w:rPr>
          <w:rFonts w:asciiTheme="majorHAnsi" w:hAnsiTheme="majorHAnsi"/>
          <w:sz w:val="20"/>
          <w:szCs w:val="20"/>
        </w:rPr>
        <w:t xml:space="preserve"> </w:t>
      </w:r>
      <w:r w:rsidR="005B42FA">
        <w:rPr>
          <w:rFonts w:asciiTheme="majorHAnsi" w:hAnsiTheme="majorHAnsi"/>
          <w:sz w:val="20"/>
          <w:szCs w:val="20"/>
        </w:rPr>
        <w:t>exile</w:t>
      </w:r>
      <w:r w:rsidR="00FD5F58" w:rsidRPr="00A51861">
        <w:rPr>
          <w:rFonts w:asciiTheme="majorHAnsi" w:hAnsiTheme="majorHAnsi"/>
          <w:sz w:val="20"/>
          <w:szCs w:val="20"/>
        </w:rPr>
        <w:t xml:space="preserve">, </w:t>
      </w:r>
      <w:r w:rsidR="006925E3">
        <w:rPr>
          <w:rFonts w:asciiTheme="majorHAnsi" w:hAnsiTheme="majorHAnsi"/>
          <w:sz w:val="20"/>
          <w:szCs w:val="20"/>
        </w:rPr>
        <w:t>the</w:t>
      </w:r>
      <w:r w:rsidR="00FD5F58" w:rsidRPr="00A51861">
        <w:rPr>
          <w:rFonts w:asciiTheme="majorHAnsi" w:hAnsiTheme="majorHAnsi"/>
          <w:sz w:val="20"/>
          <w:szCs w:val="20"/>
        </w:rPr>
        <w:t xml:space="preserve"> deten</w:t>
      </w:r>
      <w:r w:rsidR="006925E3">
        <w:rPr>
          <w:rFonts w:asciiTheme="majorHAnsi" w:hAnsiTheme="majorHAnsi"/>
          <w:sz w:val="20"/>
          <w:szCs w:val="20"/>
        </w:rPr>
        <w:t>tion</w:t>
      </w:r>
      <w:r w:rsidR="00FD5F58" w:rsidRPr="00A51861">
        <w:rPr>
          <w:rFonts w:asciiTheme="majorHAnsi" w:hAnsiTheme="majorHAnsi"/>
          <w:sz w:val="20"/>
          <w:szCs w:val="20"/>
        </w:rPr>
        <w:t xml:space="preserve">s </w:t>
      </w:r>
      <w:r w:rsidR="006925E3">
        <w:rPr>
          <w:rFonts w:asciiTheme="majorHAnsi" w:hAnsiTheme="majorHAnsi"/>
          <w:sz w:val="20"/>
          <w:szCs w:val="20"/>
        </w:rPr>
        <w:t xml:space="preserve">have taken place within the timeframe </w:t>
      </w:r>
      <w:r w:rsidR="00E92985">
        <w:rPr>
          <w:rFonts w:asciiTheme="majorHAnsi" w:hAnsiTheme="majorHAnsi"/>
          <w:sz w:val="20"/>
          <w:szCs w:val="20"/>
        </w:rPr>
        <w:t xml:space="preserve">of the </w:t>
      </w:r>
      <w:r w:rsidR="0029564F">
        <w:rPr>
          <w:rFonts w:asciiTheme="majorHAnsi" w:hAnsiTheme="majorHAnsi"/>
          <w:sz w:val="20"/>
          <w:szCs w:val="20"/>
        </w:rPr>
        <w:t>law</w:t>
      </w:r>
      <w:r w:rsidR="00810948" w:rsidRPr="00A51861">
        <w:rPr>
          <w:rFonts w:asciiTheme="majorHAnsi" w:hAnsiTheme="majorHAnsi"/>
          <w:sz w:val="20"/>
          <w:szCs w:val="20"/>
        </w:rPr>
        <w:t xml:space="preserve">. </w:t>
      </w:r>
      <w:r w:rsidR="008E351F" w:rsidRPr="00A51861">
        <w:rPr>
          <w:rFonts w:asciiTheme="majorHAnsi" w:hAnsiTheme="majorHAnsi"/>
          <w:sz w:val="20"/>
          <w:szCs w:val="20"/>
        </w:rPr>
        <w:t>Final</w:t>
      </w:r>
      <w:r w:rsidR="00F92BA8">
        <w:rPr>
          <w:rFonts w:asciiTheme="majorHAnsi" w:hAnsiTheme="majorHAnsi"/>
          <w:sz w:val="20"/>
          <w:szCs w:val="20"/>
        </w:rPr>
        <w:t>ly</w:t>
      </w:r>
      <w:r w:rsidR="008E351F" w:rsidRPr="00A51861">
        <w:rPr>
          <w:rFonts w:asciiTheme="majorHAnsi" w:hAnsiTheme="majorHAnsi"/>
          <w:sz w:val="20"/>
          <w:szCs w:val="20"/>
        </w:rPr>
        <w:t xml:space="preserve">, </w:t>
      </w:r>
      <w:r w:rsidR="006925E3">
        <w:rPr>
          <w:rFonts w:asciiTheme="majorHAnsi" w:hAnsiTheme="majorHAnsi"/>
          <w:sz w:val="20"/>
          <w:szCs w:val="20"/>
        </w:rPr>
        <w:t>it dismissed the claim in subsidy</w:t>
      </w:r>
      <w:r w:rsidR="008E351F" w:rsidRPr="00A51861">
        <w:rPr>
          <w:rFonts w:asciiTheme="majorHAnsi" w:hAnsiTheme="majorHAnsi"/>
          <w:sz w:val="20"/>
          <w:szCs w:val="20"/>
        </w:rPr>
        <w:t xml:space="preserve"> </w:t>
      </w:r>
      <w:r w:rsidR="006925E3">
        <w:rPr>
          <w:rFonts w:asciiTheme="majorHAnsi" w:hAnsiTheme="majorHAnsi"/>
          <w:sz w:val="20"/>
          <w:szCs w:val="20"/>
        </w:rPr>
        <w:t>in</w:t>
      </w:r>
      <w:r w:rsidR="008E351F" w:rsidRPr="00A51861">
        <w:rPr>
          <w:rFonts w:asciiTheme="majorHAnsi" w:hAnsiTheme="majorHAnsi"/>
          <w:sz w:val="20"/>
          <w:szCs w:val="20"/>
        </w:rPr>
        <w:t xml:space="preserve"> consider</w:t>
      </w:r>
      <w:r w:rsidR="006925E3">
        <w:rPr>
          <w:rFonts w:asciiTheme="majorHAnsi" w:hAnsiTheme="majorHAnsi"/>
          <w:sz w:val="20"/>
          <w:szCs w:val="20"/>
        </w:rPr>
        <w:t>ing</w:t>
      </w:r>
      <w:r w:rsidR="008E351F" w:rsidRPr="00A51861">
        <w:rPr>
          <w:rFonts w:asciiTheme="majorHAnsi" w:hAnsiTheme="majorHAnsi"/>
          <w:sz w:val="20"/>
          <w:szCs w:val="20"/>
        </w:rPr>
        <w:t xml:space="preserve"> </w:t>
      </w:r>
      <w:r w:rsidR="006925E3">
        <w:rPr>
          <w:rFonts w:asciiTheme="majorHAnsi" w:hAnsiTheme="majorHAnsi"/>
          <w:sz w:val="20"/>
          <w:szCs w:val="20"/>
        </w:rPr>
        <w:t>it was not the proper procedural</w:t>
      </w:r>
      <w:r w:rsidR="008E351F" w:rsidRPr="00A51861">
        <w:rPr>
          <w:rFonts w:asciiTheme="majorHAnsi" w:hAnsiTheme="majorHAnsi"/>
          <w:sz w:val="20"/>
          <w:szCs w:val="20"/>
        </w:rPr>
        <w:t xml:space="preserve"> </w:t>
      </w:r>
      <w:r w:rsidR="006925E3">
        <w:rPr>
          <w:rFonts w:asciiTheme="majorHAnsi" w:hAnsiTheme="majorHAnsi"/>
          <w:sz w:val="20"/>
          <w:szCs w:val="20"/>
        </w:rPr>
        <w:t>path to resolve said demand</w:t>
      </w:r>
      <w:r w:rsidR="008E351F" w:rsidRPr="00A51861">
        <w:rPr>
          <w:rStyle w:val="FootnoteReference"/>
          <w:rFonts w:asciiTheme="majorHAnsi" w:hAnsiTheme="majorHAnsi"/>
          <w:sz w:val="20"/>
          <w:szCs w:val="20"/>
        </w:rPr>
        <w:footnoteReference w:id="63"/>
      </w:r>
      <w:r w:rsidR="008E351F" w:rsidRPr="00A51861">
        <w:rPr>
          <w:rFonts w:asciiTheme="majorHAnsi" w:hAnsiTheme="majorHAnsi"/>
          <w:sz w:val="20"/>
          <w:szCs w:val="20"/>
        </w:rPr>
        <w:t xml:space="preserve">. </w:t>
      </w:r>
    </w:p>
    <w:p w14:paraId="758B9F26" w14:textId="77777777" w:rsidR="008E351F" w:rsidRPr="00A51861" w:rsidRDefault="008E351F" w:rsidP="008E4D36">
      <w:pPr>
        <w:pStyle w:val="ListParagraph"/>
        <w:rPr>
          <w:rFonts w:asciiTheme="majorHAnsi" w:hAnsiTheme="majorHAnsi"/>
          <w:sz w:val="20"/>
          <w:szCs w:val="20"/>
        </w:rPr>
      </w:pPr>
    </w:p>
    <w:p w14:paraId="08657011" w14:textId="613FF32B" w:rsidR="008E351F" w:rsidRPr="00A51861" w:rsidRDefault="006925E3"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Against the d</w:t>
      </w:r>
      <w:r w:rsidR="00F92BA8">
        <w:rPr>
          <w:rFonts w:asciiTheme="majorHAnsi" w:hAnsiTheme="majorHAnsi"/>
          <w:sz w:val="20"/>
          <w:szCs w:val="20"/>
        </w:rPr>
        <w:t>ecision</w:t>
      </w:r>
      <w:r w:rsidR="00E92985">
        <w:rPr>
          <w:rFonts w:asciiTheme="majorHAnsi" w:hAnsiTheme="majorHAnsi"/>
          <w:sz w:val="20"/>
          <w:szCs w:val="20"/>
        </w:rPr>
        <w:t xml:space="preserve"> of the </w:t>
      </w:r>
      <w:r>
        <w:rPr>
          <w:rFonts w:asciiTheme="majorHAnsi" w:hAnsiTheme="majorHAnsi"/>
          <w:sz w:val="20"/>
          <w:szCs w:val="20"/>
        </w:rPr>
        <w:t>Chamber</w:t>
      </w:r>
      <w:r w:rsidR="008E351F" w:rsidRPr="00A51861">
        <w:rPr>
          <w:rFonts w:asciiTheme="majorHAnsi" w:hAnsiTheme="majorHAnsi"/>
          <w:sz w:val="20"/>
          <w:szCs w:val="20"/>
        </w:rPr>
        <w:t xml:space="preserve"> </w:t>
      </w:r>
      <w:r w:rsidR="00A51861" w:rsidRPr="00A51861">
        <w:rPr>
          <w:rFonts w:asciiTheme="majorHAnsi" w:hAnsiTheme="majorHAnsi"/>
          <w:sz w:val="20"/>
          <w:szCs w:val="20"/>
        </w:rPr>
        <w:t>the alleged victim</w:t>
      </w:r>
      <w:r w:rsidR="008E351F" w:rsidRPr="00A51861">
        <w:rPr>
          <w:rFonts w:asciiTheme="majorHAnsi" w:hAnsiTheme="majorHAnsi"/>
          <w:sz w:val="20"/>
          <w:szCs w:val="20"/>
        </w:rPr>
        <w:t xml:space="preserve"> </w:t>
      </w:r>
      <w:r>
        <w:rPr>
          <w:rFonts w:asciiTheme="majorHAnsi" w:hAnsiTheme="majorHAnsi"/>
          <w:sz w:val="20"/>
          <w:szCs w:val="20"/>
        </w:rPr>
        <w:t>filed an</w:t>
      </w:r>
      <w:r w:rsidR="008E351F" w:rsidRPr="00A51861">
        <w:rPr>
          <w:rFonts w:asciiTheme="majorHAnsi" w:hAnsiTheme="majorHAnsi"/>
          <w:sz w:val="20"/>
          <w:szCs w:val="20"/>
        </w:rPr>
        <w:t xml:space="preserve"> </w:t>
      </w:r>
      <w:r>
        <w:rPr>
          <w:rFonts w:asciiTheme="majorHAnsi" w:hAnsiTheme="majorHAnsi"/>
          <w:sz w:val="20"/>
          <w:szCs w:val="20"/>
        </w:rPr>
        <w:t>extraordinary federal remedy before the</w:t>
      </w:r>
      <w:r w:rsidR="008E351F" w:rsidRPr="00A51861">
        <w:rPr>
          <w:rFonts w:asciiTheme="majorHAnsi" w:hAnsiTheme="majorHAnsi"/>
          <w:sz w:val="20"/>
          <w:szCs w:val="20"/>
        </w:rPr>
        <w:t xml:space="preserve"> </w:t>
      </w:r>
      <w:r w:rsidR="005D0AC1">
        <w:rPr>
          <w:rFonts w:asciiTheme="majorHAnsi" w:hAnsiTheme="majorHAnsi"/>
          <w:sz w:val="20"/>
          <w:szCs w:val="20"/>
        </w:rPr>
        <w:t>Supreme Court of Justice of the Nation</w:t>
      </w:r>
      <w:r w:rsidR="008E351F" w:rsidRPr="00A51861">
        <w:rPr>
          <w:rFonts w:asciiTheme="majorHAnsi" w:hAnsiTheme="majorHAnsi"/>
          <w:sz w:val="20"/>
          <w:szCs w:val="20"/>
        </w:rPr>
        <w:t xml:space="preserve">, </w:t>
      </w:r>
      <w:r>
        <w:rPr>
          <w:rFonts w:asciiTheme="majorHAnsi" w:hAnsiTheme="majorHAnsi"/>
          <w:sz w:val="20"/>
          <w:szCs w:val="20"/>
        </w:rPr>
        <w:t>in</w:t>
      </w:r>
      <w:r w:rsidR="008E351F" w:rsidRPr="00A51861">
        <w:rPr>
          <w:rFonts w:asciiTheme="majorHAnsi" w:hAnsiTheme="majorHAnsi"/>
          <w:sz w:val="20"/>
          <w:szCs w:val="20"/>
        </w:rPr>
        <w:t xml:space="preserve"> consider</w:t>
      </w:r>
      <w:r>
        <w:rPr>
          <w:rFonts w:asciiTheme="majorHAnsi" w:hAnsiTheme="majorHAnsi"/>
          <w:sz w:val="20"/>
          <w:szCs w:val="20"/>
        </w:rPr>
        <w:t>ing</w:t>
      </w:r>
      <w:r w:rsidR="008E351F" w:rsidRPr="00A51861">
        <w:rPr>
          <w:rFonts w:asciiTheme="majorHAnsi" w:hAnsiTheme="majorHAnsi"/>
          <w:sz w:val="20"/>
          <w:szCs w:val="20"/>
        </w:rPr>
        <w:t xml:space="preserve"> </w:t>
      </w:r>
      <w:r>
        <w:rPr>
          <w:rFonts w:asciiTheme="majorHAnsi" w:hAnsiTheme="majorHAnsi"/>
          <w:sz w:val="20"/>
          <w:szCs w:val="20"/>
        </w:rPr>
        <w:t>there were enough</w:t>
      </w:r>
      <w:r w:rsidR="008E351F" w:rsidRPr="00A51861">
        <w:rPr>
          <w:rFonts w:asciiTheme="majorHAnsi" w:hAnsiTheme="majorHAnsi"/>
          <w:sz w:val="20"/>
          <w:szCs w:val="20"/>
        </w:rPr>
        <w:t xml:space="preserve"> federal </w:t>
      </w:r>
      <w:r>
        <w:rPr>
          <w:rFonts w:asciiTheme="majorHAnsi" w:hAnsiTheme="majorHAnsi"/>
          <w:sz w:val="20"/>
          <w:szCs w:val="20"/>
        </w:rPr>
        <w:t>grounds</w:t>
      </w:r>
      <w:r w:rsidR="008E351F" w:rsidRPr="00A51861">
        <w:rPr>
          <w:rFonts w:asciiTheme="majorHAnsi" w:hAnsiTheme="majorHAnsi"/>
          <w:sz w:val="20"/>
          <w:szCs w:val="20"/>
        </w:rPr>
        <w:t xml:space="preserve">, </w:t>
      </w:r>
      <w:r>
        <w:rPr>
          <w:rFonts w:asciiTheme="majorHAnsi" w:hAnsiTheme="majorHAnsi"/>
          <w:sz w:val="20"/>
          <w:szCs w:val="20"/>
        </w:rPr>
        <w:t>due to the breach of</w:t>
      </w:r>
      <w:r w:rsidR="008E351F" w:rsidRPr="00A51861">
        <w:rPr>
          <w:rFonts w:asciiTheme="majorHAnsi" w:hAnsiTheme="majorHAnsi"/>
          <w:sz w:val="20"/>
          <w:szCs w:val="20"/>
        </w:rPr>
        <w:t xml:space="preserve"> </w:t>
      </w:r>
      <w:r w:rsidR="000452BB">
        <w:rPr>
          <w:rFonts w:asciiTheme="majorHAnsi" w:hAnsiTheme="majorHAnsi"/>
          <w:sz w:val="20"/>
          <w:szCs w:val="20"/>
        </w:rPr>
        <w:t>constitutional</w:t>
      </w:r>
      <w:r w:rsidR="00E92985">
        <w:rPr>
          <w:rFonts w:asciiTheme="majorHAnsi" w:hAnsiTheme="majorHAnsi"/>
          <w:sz w:val="20"/>
          <w:szCs w:val="20"/>
        </w:rPr>
        <w:t xml:space="preserve"> </w:t>
      </w:r>
      <w:r w:rsidR="000452BB">
        <w:rPr>
          <w:rFonts w:asciiTheme="majorHAnsi" w:hAnsiTheme="majorHAnsi"/>
          <w:sz w:val="20"/>
          <w:szCs w:val="20"/>
        </w:rPr>
        <w:t xml:space="preserve">guarantees </w:t>
      </w:r>
      <w:r w:rsidR="00E92985">
        <w:rPr>
          <w:rFonts w:asciiTheme="majorHAnsi" w:hAnsiTheme="majorHAnsi"/>
          <w:sz w:val="20"/>
          <w:szCs w:val="20"/>
        </w:rPr>
        <w:t xml:space="preserve">of </w:t>
      </w:r>
      <w:r w:rsidR="008E351F" w:rsidRPr="00A51861">
        <w:rPr>
          <w:rFonts w:asciiTheme="majorHAnsi" w:hAnsiTheme="majorHAnsi"/>
          <w:sz w:val="20"/>
          <w:szCs w:val="20"/>
        </w:rPr>
        <w:t>defens</w:t>
      </w:r>
      <w:r w:rsidR="000452BB">
        <w:rPr>
          <w:rFonts w:asciiTheme="majorHAnsi" w:hAnsiTheme="majorHAnsi"/>
          <w:sz w:val="20"/>
          <w:szCs w:val="20"/>
        </w:rPr>
        <w:t>e in trial</w:t>
      </w:r>
      <w:r w:rsidR="008E351F" w:rsidRPr="00A51861">
        <w:rPr>
          <w:rFonts w:asciiTheme="majorHAnsi" w:hAnsiTheme="majorHAnsi"/>
          <w:sz w:val="20"/>
          <w:szCs w:val="20"/>
        </w:rPr>
        <w:t xml:space="preserve">, </w:t>
      </w:r>
      <w:r w:rsidR="000452BB">
        <w:rPr>
          <w:rFonts w:asciiTheme="majorHAnsi" w:hAnsiTheme="majorHAnsi"/>
          <w:sz w:val="20"/>
          <w:szCs w:val="20"/>
        </w:rPr>
        <w:t>freedom of movement</w:t>
      </w:r>
      <w:r w:rsidR="008E351F" w:rsidRPr="00A51861">
        <w:rPr>
          <w:rFonts w:asciiTheme="majorHAnsi" w:hAnsiTheme="majorHAnsi"/>
          <w:sz w:val="20"/>
          <w:szCs w:val="20"/>
        </w:rPr>
        <w:t xml:space="preserve">, </w:t>
      </w:r>
      <w:r w:rsidR="000452BB">
        <w:rPr>
          <w:rFonts w:asciiTheme="majorHAnsi" w:hAnsiTheme="majorHAnsi"/>
          <w:sz w:val="20"/>
          <w:szCs w:val="20"/>
        </w:rPr>
        <w:t>right to property</w:t>
      </w:r>
      <w:r w:rsidR="00E92985">
        <w:rPr>
          <w:rFonts w:asciiTheme="majorHAnsi" w:hAnsiTheme="majorHAnsi"/>
          <w:sz w:val="20"/>
          <w:szCs w:val="20"/>
        </w:rPr>
        <w:t xml:space="preserve"> and </w:t>
      </w:r>
      <w:r w:rsidR="000452BB">
        <w:rPr>
          <w:rFonts w:asciiTheme="majorHAnsi" w:hAnsiTheme="majorHAnsi"/>
          <w:sz w:val="20"/>
          <w:szCs w:val="20"/>
        </w:rPr>
        <w:t>equality of treatment before the</w:t>
      </w:r>
      <w:r w:rsidR="008E351F" w:rsidRPr="00A51861">
        <w:rPr>
          <w:rFonts w:asciiTheme="majorHAnsi" w:hAnsiTheme="majorHAnsi"/>
          <w:sz w:val="20"/>
          <w:szCs w:val="20"/>
        </w:rPr>
        <w:t xml:space="preserve"> </w:t>
      </w:r>
      <w:r w:rsidR="0029564F">
        <w:rPr>
          <w:rFonts w:asciiTheme="majorHAnsi" w:hAnsiTheme="majorHAnsi"/>
          <w:sz w:val="20"/>
          <w:szCs w:val="20"/>
        </w:rPr>
        <w:t>law</w:t>
      </w:r>
      <w:r w:rsidR="008E351F" w:rsidRPr="00A51861">
        <w:rPr>
          <w:rStyle w:val="FootnoteReference"/>
          <w:rFonts w:asciiTheme="majorHAnsi" w:hAnsiTheme="majorHAnsi"/>
          <w:sz w:val="20"/>
          <w:szCs w:val="20"/>
        </w:rPr>
        <w:footnoteReference w:id="64"/>
      </w:r>
      <w:r w:rsidR="003D75DE" w:rsidRPr="00A51861">
        <w:rPr>
          <w:rFonts w:asciiTheme="majorHAnsi" w:hAnsiTheme="majorHAnsi"/>
          <w:sz w:val="20"/>
          <w:szCs w:val="20"/>
        </w:rPr>
        <w:t xml:space="preserve">. </w:t>
      </w:r>
      <w:r w:rsidR="000452BB">
        <w:rPr>
          <w:rFonts w:asciiTheme="majorHAnsi" w:hAnsiTheme="majorHAnsi"/>
          <w:sz w:val="20"/>
          <w:szCs w:val="20"/>
        </w:rPr>
        <w:t xml:space="preserve">It was emphasized </w:t>
      </w:r>
      <w:r w:rsidR="00E92985">
        <w:rPr>
          <w:rFonts w:asciiTheme="majorHAnsi" w:hAnsiTheme="majorHAnsi"/>
          <w:sz w:val="20"/>
          <w:szCs w:val="20"/>
        </w:rPr>
        <w:t xml:space="preserve">the </w:t>
      </w:r>
      <w:r w:rsidR="000452BB">
        <w:rPr>
          <w:rFonts w:asciiTheme="majorHAnsi" w:hAnsiTheme="majorHAnsi"/>
          <w:sz w:val="20"/>
          <w:szCs w:val="20"/>
        </w:rPr>
        <w:t xml:space="preserve">brief </w:t>
      </w:r>
      <w:r w:rsidR="00E92985">
        <w:rPr>
          <w:rFonts w:asciiTheme="majorHAnsi" w:hAnsiTheme="majorHAnsi"/>
          <w:sz w:val="20"/>
          <w:szCs w:val="20"/>
        </w:rPr>
        <w:t xml:space="preserve">of </w:t>
      </w:r>
      <w:r w:rsidR="00103579">
        <w:rPr>
          <w:rFonts w:asciiTheme="majorHAnsi" w:hAnsiTheme="majorHAnsi"/>
          <w:sz w:val="20"/>
          <w:szCs w:val="20"/>
        </w:rPr>
        <w:t>expulsion from</w:t>
      </w:r>
      <w:r w:rsidR="000452BB">
        <w:rPr>
          <w:rFonts w:asciiTheme="majorHAnsi" w:hAnsiTheme="majorHAnsi"/>
          <w:sz w:val="20"/>
          <w:szCs w:val="20"/>
        </w:rPr>
        <w:t xml:space="preserve"> </w:t>
      </w:r>
      <w:r w:rsidR="00BD093F">
        <w:rPr>
          <w:rFonts w:asciiTheme="majorHAnsi" w:hAnsiTheme="majorHAnsi"/>
          <w:sz w:val="20"/>
          <w:szCs w:val="20"/>
        </w:rPr>
        <w:t xml:space="preserve">Mr. </w:t>
      </w:r>
      <w:r w:rsidR="00B01A54">
        <w:rPr>
          <w:rFonts w:asciiTheme="majorHAnsi" w:hAnsiTheme="majorHAnsi"/>
          <w:sz w:val="20"/>
          <w:szCs w:val="20"/>
        </w:rPr>
        <w:t xml:space="preserve">Rito de los Santos </w:t>
      </w:r>
      <w:r w:rsidR="000452BB">
        <w:rPr>
          <w:rFonts w:asciiTheme="majorHAnsi" w:hAnsiTheme="majorHAnsi"/>
          <w:sz w:val="20"/>
          <w:szCs w:val="20"/>
        </w:rPr>
        <w:t>was a</w:t>
      </w:r>
      <w:r w:rsidR="008E351F" w:rsidRPr="00A51861">
        <w:rPr>
          <w:rFonts w:asciiTheme="majorHAnsi" w:hAnsiTheme="majorHAnsi"/>
          <w:sz w:val="20"/>
          <w:szCs w:val="20"/>
        </w:rPr>
        <w:t xml:space="preserve"> </w:t>
      </w:r>
      <w:r w:rsidR="00F92BA8">
        <w:rPr>
          <w:rFonts w:asciiTheme="majorHAnsi" w:hAnsiTheme="majorHAnsi"/>
          <w:sz w:val="20"/>
          <w:szCs w:val="20"/>
        </w:rPr>
        <w:t xml:space="preserve">decision </w:t>
      </w:r>
      <w:r w:rsidR="000452BB">
        <w:rPr>
          <w:rFonts w:asciiTheme="majorHAnsi" w:hAnsiTheme="majorHAnsi"/>
          <w:sz w:val="20"/>
          <w:szCs w:val="20"/>
        </w:rPr>
        <w:t>of the</w:t>
      </w:r>
      <w:r w:rsidR="008E351F" w:rsidRPr="00A51861">
        <w:rPr>
          <w:rFonts w:asciiTheme="majorHAnsi" w:hAnsiTheme="majorHAnsi"/>
          <w:sz w:val="20"/>
          <w:szCs w:val="20"/>
        </w:rPr>
        <w:t xml:space="preserve"> </w:t>
      </w:r>
      <w:r w:rsidR="00200AC7">
        <w:rPr>
          <w:rFonts w:asciiTheme="majorHAnsi" w:hAnsiTheme="majorHAnsi"/>
          <w:sz w:val="20"/>
          <w:szCs w:val="20"/>
        </w:rPr>
        <w:t xml:space="preserve">National Executive Power </w:t>
      </w:r>
      <w:r w:rsidR="00E92985">
        <w:rPr>
          <w:rFonts w:asciiTheme="majorHAnsi" w:hAnsiTheme="majorHAnsi"/>
          <w:sz w:val="20"/>
          <w:szCs w:val="20"/>
        </w:rPr>
        <w:t xml:space="preserve">and </w:t>
      </w:r>
      <w:r w:rsidR="000452BB">
        <w:rPr>
          <w:rFonts w:asciiTheme="majorHAnsi" w:hAnsiTheme="majorHAnsi"/>
          <w:sz w:val="20"/>
          <w:szCs w:val="20"/>
        </w:rPr>
        <w:t>that there was a gross</w:t>
      </w:r>
      <w:r w:rsidR="008E351F" w:rsidRPr="00A51861">
        <w:rPr>
          <w:rFonts w:asciiTheme="majorHAnsi" w:hAnsiTheme="majorHAnsi"/>
          <w:sz w:val="20"/>
          <w:szCs w:val="20"/>
        </w:rPr>
        <w:t xml:space="preserve"> error</w:t>
      </w:r>
      <w:r w:rsidR="00E92985">
        <w:rPr>
          <w:rFonts w:asciiTheme="majorHAnsi" w:hAnsiTheme="majorHAnsi"/>
          <w:sz w:val="20"/>
          <w:szCs w:val="20"/>
        </w:rPr>
        <w:t xml:space="preserve"> of </w:t>
      </w:r>
      <w:r w:rsidR="000452BB" w:rsidRPr="00A51861">
        <w:rPr>
          <w:rFonts w:asciiTheme="majorHAnsi" w:hAnsiTheme="majorHAnsi"/>
          <w:sz w:val="20"/>
          <w:szCs w:val="20"/>
        </w:rPr>
        <w:t>interpretation</w:t>
      </w:r>
      <w:r w:rsidR="008E351F" w:rsidRPr="00A51861">
        <w:rPr>
          <w:rFonts w:asciiTheme="majorHAnsi" w:hAnsiTheme="majorHAnsi"/>
          <w:sz w:val="20"/>
          <w:szCs w:val="20"/>
        </w:rPr>
        <w:t xml:space="preserve"> </w:t>
      </w:r>
      <w:r w:rsidR="000452BB">
        <w:rPr>
          <w:rFonts w:asciiTheme="majorHAnsi" w:hAnsiTheme="majorHAnsi"/>
          <w:sz w:val="20"/>
          <w:szCs w:val="20"/>
        </w:rPr>
        <w:t>in</w:t>
      </w:r>
      <w:r w:rsidR="008E351F" w:rsidRPr="00A51861">
        <w:rPr>
          <w:rFonts w:asciiTheme="majorHAnsi" w:hAnsiTheme="majorHAnsi"/>
          <w:sz w:val="20"/>
          <w:szCs w:val="20"/>
        </w:rPr>
        <w:t xml:space="preserve"> consider</w:t>
      </w:r>
      <w:r w:rsidR="000452BB">
        <w:rPr>
          <w:rFonts w:asciiTheme="majorHAnsi" w:hAnsiTheme="majorHAnsi"/>
          <w:sz w:val="20"/>
          <w:szCs w:val="20"/>
        </w:rPr>
        <w:t>ing</w:t>
      </w:r>
      <w:r w:rsidR="008E351F" w:rsidRPr="00A51861">
        <w:rPr>
          <w:rFonts w:asciiTheme="majorHAnsi" w:hAnsiTheme="majorHAnsi"/>
          <w:sz w:val="20"/>
          <w:szCs w:val="20"/>
        </w:rPr>
        <w:t xml:space="preserve"> </w:t>
      </w:r>
      <w:r w:rsidR="000452BB">
        <w:rPr>
          <w:rFonts w:asciiTheme="majorHAnsi" w:hAnsiTheme="majorHAnsi"/>
          <w:sz w:val="20"/>
          <w:szCs w:val="20"/>
        </w:rPr>
        <w:t>the</w:t>
      </w:r>
      <w:r w:rsidR="008E351F" w:rsidRPr="00A51861">
        <w:rPr>
          <w:rFonts w:asciiTheme="majorHAnsi" w:hAnsiTheme="majorHAnsi"/>
          <w:sz w:val="20"/>
          <w:szCs w:val="20"/>
        </w:rPr>
        <w:t xml:space="preserve"> </w:t>
      </w:r>
      <w:r w:rsidR="005F46B6">
        <w:rPr>
          <w:rFonts w:asciiTheme="majorHAnsi" w:hAnsiTheme="majorHAnsi"/>
          <w:sz w:val="20"/>
          <w:szCs w:val="20"/>
        </w:rPr>
        <w:t xml:space="preserve">political persecution </w:t>
      </w:r>
      <w:r w:rsidR="00E92985">
        <w:rPr>
          <w:rFonts w:asciiTheme="majorHAnsi" w:hAnsiTheme="majorHAnsi"/>
          <w:sz w:val="20"/>
          <w:szCs w:val="20"/>
        </w:rPr>
        <w:t xml:space="preserve">of </w:t>
      </w:r>
      <w:r w:rsidR="00A51861" w:rsidRPr="00A51861">
        <w:rPr>
          <w:rFonts w:asciiTheme="majorHAnsi" w:hAnsiTheme="majorHAnsi"/>
          <w:sz w:val="20"/>
          <w:szCs w:val="20"/>
        </w:rPr>
        <w:t>the alleged victim</w:t>
      </w:r>
      <w:r w:rsidR="008E351F" w:rsidRPr="00A51861">
        <w:rPr>
          <w:rFonts w:asciiTheme="majorHAnsi" w:hAnsiTheme="majorHAnsi"/>
          <w:sz w:val="20"/>
          <w:szCs w:val="20"/>
        </w:rPr>
        <w:t xml:space="preserve"> </w:t>
      </w:r>
      <w:r w:rsidR="000452BB">
        <w:rPr>
          <w:rFonts w:asciiTheme="majorHAnsi" w:hAnsiTheme="majorHAnsi"/>
          <w:sz w:val="20"/>
          <w:szCs w:val="20"/>
        </w:rPr>
        <w:t>as a single</w:t>
      </w:r>
      <w:r w:rsidR="008E351F" w:rsidRPr="00A51861">
        <w:rPr>
          <w:rFonts w:asciiTheme="majorHAnsi" w:hAnsiTheme="majorHAnsi"/>
          <w:sz w:val="20"/>
          <w:szCs w:val="20"/>
        </w:rPr>
        <w:t xml:space="preserve">, </w:t>
      </w:r>
      <w:r w:rsidR="000452BB" w:rsidRPr="00A51861">
        <w:rPr>
          <w:rFonts w:asciiTheme="majorHAnsi" w:hAnsiTheme="majorHAnsi"/>
          <w:sz w:val="20"/>
          <w:szCs w:val="20"/>
        </w:rPr>
        <w:t>exceptional</w:t>
      </w:r>
      <w:r w:rsidR="00E92985">
        <w:rPr>
          <w:rFonts w:asciiTheme="majorHAnsi" w:hAnsiTheme="majorHAnsi"/>
          <w:sz w:val="20"/>
          <w:szCs w:val="20"/>
        </w:rPr>
        <w:t xml:space="preserve"> and </w:t>
      </w:r>
      <w:r w:rsidR="000452BB" w:rsidRPr="00A51861">
        <w:rPr>
          <w:rFonts w:asciiTheme="majorHAnsi" w:hAnsiTheme="majorHAnsi"/>
          <w:sz w:val="20"/>
          <w:szCs w:val="20"/>
        </w:rPr>
        <w:t>instantaneous</w:t>
      </w:r>
      <w:r w:rsidR="000452BB">
        <w:rPr>
          <w:rFonts w:asciiTheme="majorHAnsi" w:hAnsiTheme="majorHAnsi"/>
          <w:sz w:val="20"/>
          <w:szCs w:val="20"/>
        </w:rPr>
        <w:t xml:space="preserve"> fact prior to the</w:t>
      </w:r>
      <w:r w:rsidR="008E351F" w:rsidRPr="00A51861">
        <w:rPr>
          <w:rFonts w:asciiTheme="majorHAnsi" w:hAnsiTheme="majorHAnsi"/>
          <w:sz w:val="20"/>
          <w:szCs w:val="20"/>
        </w:rPr>
        <w:t xml:space="preserve"> </w:t>
      </w:r>
      <w:r w:rsidR="000452BB">
        <w:rPr>
          <w:rFonts w:asciiTheme="majorHAnsi" w:hAnsiTheme="majorHAnsi"/>
          <w:sz w:val="20"/>
          <w:szCs w:val="20"/>
        </w:rPr>
        <w:t xml:space="preserve">starting date of the </w:t>
      </w:r>
      <w:r w:rsidR="001A0B84">
        <w:rPr>
          <w:rFonts w:asciiTheme="majorHAnsi" w:hAnsiTheme="majorHAnsi"/>
          <w:sz w:val="20"/>
          <w:szCs w:val="20"/>
        </w:rPr>
        <w:t>State of Siege</w:t>
      </w:r>
      <w:r w:rsidR="008E351F" w:rsidRPr="00A51861">
        <w:rPr>
          <w:rFonts w:asciiTheme="majorHAnsi" w:hAnsiTheme="majorHAnsi"/>
          <w:sz w:val="20"/>
          <w:szCs w:val="20"/>
        </w:rPr>
        <w:t>,</w:t>
      </w:r>
      <w:r w:rsidR="00E92985">
        <w:rPr>
          <w:rFonts w:asciiTheme="majorHAnsi" w:hAnsiTheme="majorHAnsi"/>
          <w:sz w:val="20"/>
          <w:szCs w:val="20"/>
        </w:rPr>
        <w:t xml:space="preserve"> and </w:t>
      </w:r>
      <w:r w:rsidR="008E351F" w:rsidRPr="00A51861">
        <w:rPr>
          <w:rFonts w:asciiTheme="majorHAnsi" w:hAnsiTheme="majorHAnsi"/>
          <w:sz w:val="20"/>
          <w:szCs w:val="20"/>
        </w:rPr>
        <w:t>no</w:t>
      </w:r>
      <w:r w:rsidR="000452BB">
        <w:rPr>
          <w:rFonts w:asciiTheme="majorHAnsi" w:hAnsiTheme="majorHAnsi"/>
          <w:sz w:val="20"/>
          <w:szCs w:val="20"/>
        </w:rPr>
        <w:t>t</w:t>
      </w:r>
      <w:r w:rsidR="008E351F" w:rsidRPr="00A51861">
        <w:rPr>
          <w:rFonts w:asciiTheme="majorHAnsi" w:hAnsiTheme="majorHAnsi"/>
          <w:sz w:val="20"/>
          <w:szCs w:val="20"/>
        </w:rPr>
        <w:t xml:space="preserve"> </w:t>
      </w:r>
      <w:r w:rsidR="000452BB">
        <w:rPr>
          <w:rFonts w:asciiTheme="majorHAnsi" w:hAnsiTheme="majorHAnsi"/>
          <w:sz w:val="20"/>
          <w:szCs w:val="20"/>
        </w:rPr>
        <w:t>like a</w:t>
      </w:r>
      <w:r w:rsidR="008E351F" w:rsidRPr="00A51861">
        <w:rPr>
          <w:rFonts w:asciiTheme="majorHAnsi" w:hAnsiTheme="majorHAnsi"/>
          <w:sz w:val="20"/>
          <w:szCs w:val="20"/>
        </w:rPr>
        <w:t xml:space="preserve"> continuo</w:t>
      </w:r>
      <w:r w:rsidR="000452BB">
        <w:rPr>
          <w:rFonts w:asciiTheme="majorHAnsi" w:hAnsiTheme="majorHAnsi"/>
          <w:sz w:val="20"/>
          <w:szCs w:val="20"/>
        </w:rPr>
        <w:t>us fact</w:t>
      </w:r>
      <w:r w:rsidR="008E351F" w:rsidRPr="00A51861">
        <w:rPr>
          <w:rFonts w:asciiTheme="majorHAnsi" w:hAnsiTheme="majorHAnsi"/>
          <w:sz w:val="20"/>
          <w:szCs w:val="20"/>
        </w:rPr>
        <w:t xml:space="preserve"> </w:t>
      </w:r>
      <w:r w:rsidR="000452BB">
        <w:rPr>
          <w:rFonts w:asciiTheme="majorHAnsi" w:hAnsiTheme="majorHAnsi"/>
          <w:sz w:val="20"/>
          <w:szCs w:val="20"/>
        </w:rPr>
        <w:t xml:space="preserve">which </w:t>
      </w:r>
      <w:r w:rsidR="00081F38">
        <w:rPr>
          <w:rFonts w:asciiTheme="majorHAnsi" w:hAnsiTheme="majorHAnsi"/>
          <w:sz w:val="20"/>
          <w:szCs w:val="20"/>
        </w:rPr>
        <w:t>continued even after</w:t>
      </w:r>
      <w:r w:rsidR="008E351F" w:rsidRPr="00A51861">
        <w:rPr>
          <w:rFonts w:asciiTheme="majorHAnsi" w:hAnsiTheme="majorHAnsi"/>
          <w:sz w:val="20"/>
          <w:szCs w:val="20"/>
        </w:rPr>
        <w:t xml:space="preserve"> </w:t>
      </w:r>
      <w:r w:rsidR="00081F38">
        <w:rPr>
          <w:rFonts w:asciiTheme="majorHAnsi" w:hAnsiTheme="majorHAnsi"/>
          <w:sz w:val="20"/>
          <w:szCs w:val="20"/>
        </w:rPr>
        <w:t>November 6,</w:t>
      </w:r>
      <w:r w:rsidR="00E92985">
        <w:rPr>
          <w:rFonts w:asciiTheme="majorHAnsi" w:hAnsiTheme="majorHAnsi"/>
          <w:sz w:val="20"/>
          <w:szCs w:val="20"/>
        </w:rPr>
        <w:t xml:space="preserve"> </w:t>
      </w:r>
      <w:r w:rsidR="008E351F" w:rsidRPr="00A51861">
        <w:rPr>
          <w:rFonts w:asciiTheme="majorHAnsi" w:hAnsiTheme="majorHAnsi"/>
          <w:sz w:val="20"/>
          <w:szCs w:val="20"/>
        </w:rPr>
        <w:t xml:space="preserve">1974, </w:t>
      </w:r>
      <w:r w:rsidR="00081F38">
        <w:rPr>
          <w:rFonts w:asciiTheme="majorHAnsi" w:hAnsiTheme="majorHAnsi"/>
          <w:sz w:val="20"/>
          <w:szCs w:val="20"/>
        </w:rPr>
        <w:t>being expelled afterward</w:t>
      </w:r>
      <w:r w:rsidR="00DE5533" w:rsidRPr="00A51861">
        <w:rPr>
          <w:rFonts w:asciiTheme="majorHAnsi" w:hAnsiTheme="majorHAnsi"/>
          <w:sz w:val="20"/>
          <w:szCs w:val="20"/>
        </w:rPr>
        <w:t xml:space="preserve">. </w:t>
      </w:r>
      <w:r w:rsidR="00F92BA8">
        <w:rPr>
          <w:rFonts w:asciiTheme="majorHAnsi" w:hAnsiTheme="majorHAnsi"/>
          <w:sz w:val="20"/>
          <w:szCs w:val="20"/>
        </w:rPr>
        <w:t xml:space="preserve">Likewise, </w:t>
      </w:r>
      <w:r w:rsidR="00081F38">
        <w:rPr>
          <w:rFonts w:asciiTheme="majorHAnsi" w:hAnsiTheme="majorHAnsi"/>
          <w:sz w:val="20"/>
          <w:szCs w:val="20"/>
        </w:rPr>
        <w:t>a reference was made of the</w:t>
      </w:r>
      <w:r w:rsidR="00DE5533" w:rsidRPr="00A51861">
        <w:rPr>
          <w:rFonts w:asciiTheme="majorHAnsi" w:hAnsiTheme="majorHAnsi"/>
          <w:sz w:val="20"/>
          <w:szCs w:val="20"/>
        </w:rPr>
        <w:t xml:space="preserve"> </w:t>
      </w:r>
      <w:r w:rsidR="00081F38" w:rsidRPr="00A51861">
        <w:rPr>
          <w:rFonts w:asciiTheme="majorHAnsi" w:hAnsiTheme="majorHAnsi"/>
          <w:sz w:val="20"/>
          <w:szCs w:val="20"/>
        </w:rPr>
        <w:t xml:space="preserve">jurisprudential </w:t>
      </w:r>
      <w:r w:rsidR="00DE5533" w:rsidRPr="00A51861">
        <w:rPr>
          <w:rFonts w:asciiTheme="majorHAnsi" w:hAnsiTheme="majorHAnsi"/>
          <w:sz w:val="20"/>
          <w:szCs w:val="20"/>
        </w:rPr>
        <w:t xml:space="preserve">precedent </w:t>
      </w:r>
      <w:r w:rsidR="00CB0928">
        <w:rPr>
          <w:rFonts w:asciiTheme="majorHAnsi" w:hAnsiTheme="majorHAnsi"/>
          <w:sz w:val="20"/>
          <w:szCs w:val="20"/>
        </w:rPr>
        <w:t>on similar cases</w:t>
      </w:r>
      <w:r w:rsidR="008E351F" w:rsidRPr="00A51861">
        <w:rPr>
          <w:rStyle w:val="FootnoteReference"/>
          <w:rFonts w:asciiTheme="majorHAnsi" w:hAnsiTheme="majorHAnsi"/>
          <w:sz w:val="20"/>
          <w:szCs w:val="20"/>
        </w:rPr>
        <w:footnoteReference w:id="65"/>
      </w:r>
      <w:r w:rsidR="00DE5533" w:rsidRPr="00A51861">
        <w:rPr>
          <w:rFonts w:asciiTheme="majorHAnsi" w:hAnsiTheme="majorHAnsi"/>
          <w:sz w:val="20"/>
          <w:szCs w:val="20"/>
        </w:rPr>
        <w:t xml:space="preserve">. </w:t>
      </w:r>
    </w:p>
    <w:p w14:paraId="3688E802" w14:textId="77777777" w:rsidR="008E351F" w:rsidRPr="00A51861" w:rsidRDefault="008E351F" w:rsidP="008E4D3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rPr>
      </w:pPr>
    </w:p>
    <w:p w14:paraId="3D397888" w14:textId="23229213" w:rsidR="008E351F" w:rsidRPr="00A51861" w:rsidRDefault="00817647"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 xml:space="preserve">On October 31, </w:t>
      </w:r>
      <w:r w:rsidR="008E351F" w:rsidRPr="00A51861">
        <w:rPr>
          <w:rFonts w:asciiTheme="majorHAnsi" w:hAnsiTheme="majorHAnsi"/>
          <w:sz w:val="20"/>
          <w:szCs w:val="20"/>
        </w:rPr>
        <w:t>2006</w:t>
      </w:r>
      <w:r w:rsidR="007E4AFF">
        <w:rPr>
          <w:rFonts w:asciiTheme="majorHAnsi" w:hAnsiTheme="majorHAnsi"/>
          <w:sz w:val="20"/>
          <w:szCs w:val="20"/>
        </w:rPr>
        <w:t>,</w:t>
      </w:r>
      <w:r w:rsidR="008E351F" w:rsidRPr="00A51861">
        <w:rPr>
          <w:rFonts w:asciiTheme="majorHAnsi" w:hAnsiTheme="majorHAnsi"/>
          <w:sz w:val="20"/>
          <w:szCs w:val="20"/>
        </w:rPr>
        <w:t xml:space="preserve"> </w:t>
      </w:r>
      <w:r w:rsidR="00BB7F24">
        <w:rPr>
          <w:rFonts w:asciiTheme="majorHAnsi" w:hAnsiTheme="majorHAnsi"/>
          <w:sz w:val="20"/>
          <w:szCs w:val="20"/>
        </w:rPr>
        <w:t>the</w:t>
      </w:r>
      <w:r w:rsidR="008E351F" w:rsidRPr="00A51861">
        <w:rPr>
          <w:rFonts w:asciiTheme="majorHAnsi" w:hAnsiTheme="majorHAnsi"/>
          <w:sz w:val="20"/>
          <w:szCs w:val="20"/>
        </w:rPr>
        <w:t xml:space="preserve"> </w:t>
      </w:r>
      <w:r w:rsidR="005D0AC1">
        <w:rPr>
          <w:rFonts w:asciiTheme="majorHAnsi" w:hAnsiTheme="majorHAnsi"/>
          <w:sz w:val="20"/>
          <w:szCs w:val="20"/>
        </w:rPr>
        <w:t>Supreme Court of Justice of the Nation</w:t>
      </w:r>
      <w:r w:rsidR="00BB7F24" w:rsidRPr="00BB7F24">
        <w:rPr>
          <w:rFonts w:asciiTheme="majorHAnsi" w:hAnsiTheme="majorHAnsi"/>
          <w:sz w:val="20"/>
          <w:szCs w:val="20"/>
        </w:rPr>
        <w:t xml:space="preserve"> </w:t>
      </w:r>
      <w:r>
        <w:rPr>
          <w:rFonts w:asciiTheme="majorHAnsi" w:hAnsiTheme="majorHAnsi"/>
          <w:sz w:val="20"/>
          <w:szCs w:val="20"/>
        </w:rPr>
        <w:t>issued a</w:t>
      </w:r>
      <w:r w:rsidR="008E351F" w:rsidRPr="00A51861">
        <w:rPr>
          <w:rFonts w:asciiTheme="majorHAnsi" w:hAnsiTheme="majorHAnsi"/>
          <w:sz w:val="20"/>
          <w:szCs w:val="20"/>
        </w:rPr>
        <w:t xml:space="preserve"> </w:t>
      </w:r>
      <w:r>
        <w:rPr>
          <w:rFonts w:asciiTheme="majorHAnsi" w:hAnsiTheme="majorHAnsi"/>
          <w:sz w:val="20"/>
          <w:szCs w:val="20"/>
        </w:rPr>
        <w:t>sentence</w:t>
      </w:r>
      <w:r w:rsidR="008E351F" w:rsidRPr="00A51861">
        <w:rPr>
          <w:rFonts w:asciiTheme="majorHAnsi" w:hAnsiTheme="majorHAnsi"/>
          <w:sz w:val="20"/>
          <w:szCs w:val="20"/>
        </w:rPr>
        <w:t xml:space="preserve"> confirm</w:t>
      </w:r>
      <w:r>
        <w:rPr>
          <w:rFonts w:asciiTheme="majorHAnsi" w:hAnsiTheme="majorHAnsi"/>
          <w:sz w:val="20"/>
          <w:szCs w:val="20"/>
        </w:rPr>
        <w:t>ing the appealed</w:t>
      </w:r>
      <w:r w:rsidR="008E351F" w:rsidRPr="00A51861">
        <w:rPr>
          <w:rFonts w:asciiTheme="majorHAnsi" w:hAnsiTheme="majorHAnsi"/>
          <w:sz w:val="20"/>
          <w:szCs w:val="20"/>
        </w:rPr>
        <w:t xml:space="preserve"> </w:t>
      </w:r>
      <w:r w:rsidR="00F92BA8">
        <w:rPr>
          <w:rFonts w:asciiTheme="majorHAnsi" w:hAnsiTheme="majorHAnsi"/>
          <w:sz w:val="20"/>
          <w:szCs w:val="20"/>
        </w:rPr>
        <w:t>decision</w:t>
      </w:r>
      <w:r w:rsidR="008E351F" w:rsidRPr="00A51861">
        <w:rPr>
          <w:rFonts w:asciiTheme="majorHAnsi" w:hAnsiTheme="majorHAnsi"/>
          <w:sz w:val="20"/>
          <w:szCs w:val="20"/>
        </w:rPr>
        <w:t xml:space="preserve">, </w:t>
      </w:r>
      <w:r>
        <w:rPr>
          <w:rFonts w:asciiTheme="majorHAnsi" w:hAnsiTheme="majorHAnsi"/>
          <w:sz w:val="20"/>
          <w:szCs w:val="20"/>
        </w:rPr>
        <w:t xml:space="preserve">taking ownership of </w:t>
      </w:r>
      <w:r w:rsidR="00E92985">
        <w:rPr>
          <w:rFonts w:asciiTheme="majorHAnsi" w:hAnsiTheme="majorHAnsi"/>
          <w:sz w:val="20"/>
          <w:szCs w:val="20"/>
        </w:rPr>
        <w:t xml:space="preserve">and </w:t>
      </w:r>
      <w:r w:rsidR="008E351F" w:rsidRPr="00A51861">
        <w:rPr>
          <w:rFonts w:asciiTheme="majorHAnsi" w:hAnsiTheme="majorHAnsi"/>
          <w:sz w:val="20"/>
          <w:szCs w:val="20"/>
        </w:rPr>
        <w:t>reproduc</w:t>
      </w:r>
      <w:r>
        <w:rPr>
          <w:rFonts w:asciiTheme="majorHAnsi" w:hAnsiTheme="majorHAnsi"/>
          <w:sz w:val="20"/>
          <w:szCs w:val="20"/>
        </w:rPr>
        <w:t>ing a judgment for the</w:t>
      </w:r>
      <w:r w:rsidR="008E351F" w:rsidRPr="00A51861">
        <w:rPr>
          <w:rFonts w:asciiTheme="majorHAnsi" w:hAnsiTheme="majorHAnsi"/>
          <w:sz w:val="20"/>
          <w:szCs w:val="20"/>
        </w:rPr>
        <w:t xml:space="preserve"> </w:t>
      </w:r>
      <w:r>
        <w:rPr>
          <w:rFonts w:asciiTheme="majorHAnsi" w:hAnsiTheme="majorHAnsi"/>
          <w:sz w:val="20"/>
          <w:szCs w:val="20"/>
        </w:rPr>
        <w:t>Attorney General</w:t>
      </w:r>
      <w:r w:rsidR="00641E9D" w:rsidRPr="00A51861">
        <w:rPr>
          <w:rStyle w:val="FootnoteReference"/>
          <w:rFonts w:asciiTheme="majorHAnsi" w:hAnsiTheme="majorHAnsi"/>
          <w:sz w:val="20"/>
          <w:szCs w:val="20"/>
        </w:rPr>
        <w:footnoteReference w:id="66"/>
      </w:r>
      <w:r w:rsidR="008E351F" w:rsidRPr="00A51861">
        <w:rPr>
          <w:rFonts w:asciiTheme="majorHAnsi" w:hAnsiTheme="majorHAnsi"/>
          <w:sz w:val="20"/>
          <w:szCs w:val="20"/>
        </w:rPr>
        <w:t xml:space="preserve">. </w:t>
      </w:r>
      <w:r>
        <w:rPr>
          <w:rFonts w:asciiTheme="majorHAnsi" w:hAnsiTheme="majorHAnsi"/>
          <w:sz w:val="20"/>
          <w:szCs w:val="20"/>
        </w:rPr>
        <w:t>In regard to the</w:t>
      </w:r>
      <w:r w:rsidR="008E351F" w:rsidRPr="00A51861">
        <w:rPr>
          <w:rFonts w:asciiTheme="majorHAnsi" w:hAnsiTheme="majorHAnsi"/>
          <w:sz w:val="20"/>
          <w:szCs w:val="20"/>
        </w:rPr>
        <w:t xml:space="preserve"> </w:t>
      </w:r>
      <w:r w:rsidR="006E255A">
        <w:rPr>
          <w:rFonts w:asciiTheme="majorHAnsi" w:hAnsiTheme="majorHAnsi"/>
          <w:sz w:val="20"/>
          <w:szCs w:val="20"/>
        </w:rPr>
        <w:t>detention</w:t>
      </w:r>
      <w:r w:rsidR="009C1252" w:rsidRPr="00A51861">
        <w:rPr>
          <w:rFonts w:asciiTheme="majorHAnsi" w:hAnsiTheme="majorHAnsi"/>
          <w:sz w:val="20"/>
          <w:szCs w:val="20"/>
        </w:rPr>
        <w:t xml:space="preserve"> </w:t>
      </w:r>
      <w:r>
        <w:rPr>
          <w:rFonts w:asciiTheme="majorHAnsi" w:hAnsiTheme="majorHAnsi"/>
          <w:sz w:val="20"/>
          <w:szCs w:val="20"/>
        </w:rPr>
        <w:t xml:space="preserve">of </w:t>
      </w:r>
      <w:r w:rsidR="00BD093F">
        <w:rPr>
          <w:rFonts w:asciiTheme="majorHAnsi" w:hAnsiTheme="majorHAnsi"/>
          <w:sz w:val="20"/>
          <w:szCs w:val="20"/>
        </w:rPr>
        <w:t xml:space="preserve">Mr. </w:t>
      </w:r>
      <w:r w:rsidR="009C1252" w:rsidRPr="00A51861">
        <w:rPr>
          <w:rFonts w:asciiTheme="majorHAnsi" w:hAnsiTheme="majorHAnsi"/>
          <w:sz w:val="20"/>
          <w:szCs w:val="20"/>
        </w:rPr>
        <w:t>Rito</w:t>
      </w:r>
      <w:r w:rsidR="00CF21E1" w:rsidRPr="00A51861">
        <w:rPr>
          <w:rFonts w:asciiTheme="majorHAnsi" w:hAnsiTheme="majorHAnsi"/>
          <w:sz w:val="20"/>
          <w:szCs w:val="20"/>
        </w:rPr>
        <w:t>,</w:t>
      </w:r>
      <w:r w:rsidR="009C1252" w:rsidRPr="00A51861">
        <w:rPr>
          <w:rFonts w:asciiTheme="majorHAnsi" w:hAnsiTheme="majorHAnsi"/>
          <w:sz w:val="20"/>
          <w:szCs w:val="20"/>
        </w:rPr>
        <w:t xml:space="preserve"> </w:t>
      </w:r>
      <w:r>
        <w:rPr>
          <w:rFonts w:asciiTheme="majorHAnsi" w:hAnsiTheme="majorHAnsi"/>
          <w:sz w:val="20"/>
          <w:szCs w:val="20"/>
        </w:rPr>
        <w:t>the resolution held</w:t>
      </w:r>
      <w:r w:rsidR="00E92985">
        <w:rPr>
          <w:rFonts w:asciiTheme="majorHAnsi" w:hAnsiTheme="majorHAnsi"/>
          <w:sz w:val="20"/>
          <w:szCs w:val="20"/>
        </w:rPr>
        <w:t xml:space="preserve"> that the </w:t>
      </w:r>
      <w:r>
        <w:rPr>
          <w:rFonts w:asciiTheme="majorHAnsi" w:hAnsiTheme="majorHAnsi"/>
          <w:sz w:val="20"/>
          <w:szCs w:val="20"/>
        </w:rPr>
        <w:t>sentence</w:t>
      </w:r>
      <w:r w:rsidR="006C4D15" w:rsidRPr="00A51861">
        <w:rPr>
          <w:rFonts w:asciiTheme="majorHAnsi" w:hAnsiTheme="majorHAnsi"/>
          <w:sz w:val="20"/>
          <w:szCs w:val="20"/>
        </w:rPr>
        <w:t xml:space="preserve"> </w:t>
      </w:r>
      <w:r>
        <w:rPr>
          <w:rFonts w:asciiTheme="majorHAnsi" w:hAnsiTheme="majorHAnsi"/>
          <w:sz w:val="20"/>
          <w:szCs w:val="20"/>
        </w:rPr>
        <w:t>adhered to the law</w:t>
      </w:r>
      <w:r w:rsidR="008E351F" w:rsidRPr="00A51861">
        <w:rPr>
          <w:rFonts w:asciiTheme="majorHAnsi" w:hAnsiTheme="majorHAnsi"/>
          <w:sz w:val="20"/>
          <w:szCs w:val="20"/>
        </w:rPr>
        <w:t xml:space="preserve"> </w:t>
      </w:r>
      <w:r>
        <w:rPr>
          <w:rFonts w:asciiTheme="majorHAnsi" w:hAnsiTheme="majorHAnsi"/>
          <w:sz w:val="20"/>
          <w:szCs w:val="20"/>
        </w:rPr>
        <w:t xml:space="preserve">in that </w:t>
      </w:r>
      <w:r w:rsidR="008E351F" w:rsidRPr="00A51861">
        <w:rPr>
          <w:rFonts w:asciiTheme="majorHAnsi" w:hAnsiTheme="majorHAnsi"/>
          <w:sz w:val="20"/>
          <w:szCs w:val="20"/>
        </w:rPr>
        <w:t>“</w:t>
      </w:r>
      <w:r w:rsidR="00A75646">
        <w:rPr>
          <w:rFonts w:asciiTheme="majorHAnsi" w:hAnsiTheme="majorHAnsi"/>
          <w:sz w:val="20"/>
          <w:szCs w:val="20"/>
        </w:rPr>
        <w:t xml:space="preserve">there is no doubt as to the legislative </w:t>
      </w:r>
      <w:r w:rsidR="00A75646">
        <w:rPr>
          <w:rFonts w:asciiTheme="majorHAnsi" w:hAnsiTheme="majorHAnsi"/>
          <w:sz w:val="20"/>
          <w:szCs w:val="20"/>
        </w:rPr>
        <w:lastRenderedPageBreak/>
        <w:t>will</w:t>
      </w:r>
      <w:r w:rsidR="008E351F" w:rsidRPr="00A51861">
        <w:rPr>
          <w:rFonts w:asciiTheme="majorHAnsi" w:hAnsiTheme="majorHAnsi"/>
          <w:sz w:val="20"/>
          <w:szCs w:val="20"/>
        </w:rPr>
        <w:t xml:space="preserve"> </w:t>
      </w:r>
      <w:r w:rsidR="00A75646">
        <w:rPr>
          <w:rFonts w:asciiTheme="majorHAnsi" w:hAnsiTheme="majorHAnsi"/>
          <w:sz w:val="20"/>
          <w:szCs w:val="20"/>
        </w:rPr>
        <w:t>to clarify that the</w:t>
      </w:r>
      <w:r w:rsidR="008E351F" w:rsidRPr="00A51861">
        <w:rPr>
          <w:rFonts w:asciiTheme="majorHAnsi" w:hAnsiTheme="majorHAnsi"/>
          <w:sz w:val="20"/>
          <w:szCs w:val="20"/>
        </w:rPr>
        <w:t xml:space="preserve"> </w:t>
      </w:r>
      <w:r w:rsidR="00A75646" w:rsidRPr="00A51861">
        <w:rPr>
          <w:rFonts w:asciiTheme="majorHAnsi" w:hAnsiTheme="majorHAnsi"/>
          <w:sz w:val="20"/>
          <w:szCs w:val="20"/>
        </w:rPr>
        <w:t>illegitim</w:t>
      </w:r>
      <w:r w:rsidR="00A75646">
        <w:rPr>
          <w:rFonts w:asciiTheme="majorHAnsi" w:hAnsiTheme="majorHAnsi"/>
          <w:sz w:val="20"/>
          <w:szCs w:val="20"/>
        </w:rPr>
        <w:t>ate</w:t>
      </w:r>
      <w:r w:rsidR="00A75646" w:rsidRPr="00A51861">
        <w:rPr>
          <w:rFonts w:asciiTheme="majorHAnsi" w:hAnsiTheme="majorHAnsi"/>
          <w:sz w:val="20"/>
          <w:szCs w:val="20"/>
        </w:rPr>
        <w:t xml:space="preserve"> </w:t>
      </w:r>
      <w:r w:rsidR="00A75646">
        <w:rPr>
          <w:rFonts w:asciiTheme="majorHAnsi" w:hAnsiTheme="majorHAnsi"/>
          <w:sz w:val="20"/>
          <w:szCs w:val="20"/>
        </w:rPr>
        <w:t>detentions</w:t>
      </w:r>
      <w:r w:rsidR="008E351F" w:rsidRPr="00A51861">
        <w:rPr>
          <w:rFonts w:asciiTheme="majorHAnsi" w:hAnsiTheme="majorHAnsi"/>
          <w:sz w:val="20"/>
          <w:szCs w:val="20"/>
        </w:rPr>
        <w:t xml:space="preserve"> </w:t>
      </w:r>
      <w:r w:rsidR="00A75646">
        <w:rPr>
          <w:rFonts w:asciiTheme="majorHAnsi" w:hAnsiTheme="majorHAnsi"/>
          <w:sz w:val="20"/>
          <w:szCs w:val="20"/>
        </w:rPr>
        <w:t>endured in the regime under study</w:t>
      </w:r>
      <w:r w:rsidR="008E351F" w:rsidRPr="00A51861">
        <w:rPr>
          <w:rFonts w:asciiTheme="majorHAnsi" w:hAnsiTheme="majorHAnsi"/>
          <w:sz w:val="20"/>
          <w:szCs w:val="20"/>
        </w:rPr>
        <w:t xml:space="preserve"> </w:t>
      </w:r>
      <w:r w:rsidR="00A75646">
        <w:rPr>
          <w:rFonts w:asciiTheme="majorHAnsi" w:hAnsiTheme="majorHAnsi"/>
          <w:sz w:val="20"/>
          <w:szCs w:val="20"/>
        </w:rPr>
        <w:t>are those occurred between the date of</w:t>
      </w:r>
      <w:r w:rsidR="00E92985">
        <w:rPr>
          <w:rFonts w:asciiTheme="majorHAnsi" w:hAnsiTheme="majorHAnsi"/>
          <w:sz w:val="20"/>
          <w:szCs w:val="20"/>
        </w:rPr>
        <w:t xml:space="preserve"> </w:t>
      </w:r>
      <w:r w:rsidR="00A75646" w:rsidRPr="00A51861">
        <w:rPr>
          <w:rFonts w:asciiTheme="majorHAnsi" w:hAnsiTheme="majorHAnsi"/>
          <w:sz w:val="20"/>
          <w:szCs w:val="20"/>
        </w:rPr>
        <w:t>declaration</w:t>
      </w:r>
      <w:r w:rsidR="008E351F" w:rsidRPr="00A51861">
        <w:rPr>
          <w:rFonts w:asciiTheme="majorHAnsi" w:hAnsiTheme="majorHAnsi"/>
          <w:sz w:val="20"/>
          <w:szCs w:val="20"/>
        </w:rPr>
        <w:t xml:space="preserve"> </w:t>
      </w:r>
      <w:r w:rsidR="00F92BA8">
        <w:rPr>
          <w:rFonts w:asciiTheme="majorHAnsi" w:hAnsiTheme="majorHAnsi"/>
          <w:sz w:val="20"/>
          <w:szCs w:val="20"/>
        </w:rPr>
        <w:t>of the</w:t>
      </w:r>
      <w:r w:rsidR="0076580C">
        <w:rPr>
          <w:rFonts w:asciiTheme="majorHAnsi" w:hAnsiTheme="majorHAnsi"/>
          <w:sz w:val="20"/>
          <w:szCs w:val="20"/>
        </w:rPr>
        <w:t xml:space="preserve"> </w:t>
      </w:r>
      <w:r w:rsidR="001A0B84">
        <w:rPr>
          <w:rFonts w:asciiTheme="majorHAnsi" w:hAnsiTheme="majorHAnsi"/>
          <w:sz w:val="20"/>
          <w:szCs w:val="20"/>
        </w:rPr>
        <w:t>State of Siege</w:t>
      </w:r>
      <w:r w:rsidR="00BB7F24">
        <w:rPr>
          <w:rFonts w:asciiTheme="majorHAnsi" w:hAnsiTheme="majorHAnsi"/>
          <w:sz w:val="20"/>
          <w:szCs w:val="20"/>
        </w:rPr>
        <w:t xml:space="preserve"> </w:t>
      </w:r>
      <w:r w:rsidR="00E92985">
        <w:rPr>
          <w:rFonts w:asciiTheme="majorHAnsi" w:hAnsiTheme="majorHAnsi"/>
          <w:sz w:val="20"/>
          <w:szCs w:val="20"/>
        </w:rPr>
        <w:t xml:space="preserve">and </w:t>
      </w:r>
      <w:r w:rsidR="00A75646">
        <w:rPr>
          <w:rFonts w:asciiTheme="majorHAnsi" w:hAnsiTheme="majorHAnsi"/>
          <w:sz w:val="20"/>
          <w:szCs w:val="20"/>
        </w:rPr>
        <w:t>the</w:t>
      </w:r>
      <w:r w:rsidR="008E351F" w:rsidRPr="00A51861">
        <w:rPr>
          <w:rFonts w:asciiTheme="majorHAnsi" w:hAnsiTheme="majorHAnsi"/>
          <w:sz w:val="20"/>
          <w:szCs w:val="20"/>
        </w:rPr>
        <w:t xml:space="preserve"> reinsta</w:t>
      </w:r>
      <w:r w:rsidR="00A75646">
        <w:rPr>
          <w:rFonts w:asciiTheme="majorHAnsi" w:hAnsiTheme="majorHAnsi"/>
          <w:sz w:val="20"/>
          <w:szCs w:val="20"/>
        </w:rPr>
        <w:t>tement</w:t>
      </w:r>
      <w:r w:rsidR="008E351F" w:rsidRPr="00A51861">
        <w:rPr>
          <w:rFonts w:asciiTheme="majorHAnsi" w:hAnsiTheme="majorHAnsi"/>
          <w:sz w:val="20"/>
          <w:szCs w:val="20"/>
        </w:rPr>
        <w:t xml:space="preserve"> </w:t>
      </w:r>
      <w:r w:rsidR="00A75646">
        <w:rPr>
          <w:rFonts w:asciiTheme="majorHAnsi" w:hAnsiTheme="majorHAnsi"/>
          <w:sz w:val="20"/>
          <w:szCs w:val="20"/>
        </w:rPr>
        <w:t>of the</w:t>
      </w:r>
      <w:r w:rsidR="008E351F" w:rsidRPr="00A51861">
        <w:rPr>
          <w:rFonts w:asciiTheme="majorHAnsi" w:hAnsiTheme="majorHAnsi"/>
          <w:sz w:val="20"/>
          <w:szCs w:val="20"/>
        </w:rPr>
        <w:t xml:space="preserve"> </w:t>
      </w:r>
      <w:r w:rsidR="00A75646" w:rsidRPr="00A51861">
        <w:rPr>
          <w:rFonts w:asciiTheme="majorHAnsi" w:hAnsiTheme="majorHAnsi"/>
          <w:sz w:val="20"/>
          <w:szCs w:val="20"/>
        </w:rPr>
        <w:t>democratic</w:t>
      </w:r>
      <w:r w:rsidR="00A75646" w:rsidRPr="00A75646">
        <w:rPr>
          <w:rFonts w:asciiTheme="majorHAnsi" w:hAnsiTheme="majorHAnsi"/>
          <w:sz w:val="20"/>
          <w:szCs w:val="20"/>
        </w:rPr>
        <w:t xml:space="preserve"> </w:t>
      </w:r>
      <w:r w:rsidR="00A75646" w:rsidRPr="00A51861">
        <w:rPr>
          <w:rFonts w:asciiTheme="majorHAnsi" w:hAnsiTheme="majorHAnsi"/>
          <w:sz w:val="20"/>
          <w:szCs w:val="20"/>
        </w:rPr>
        <w:t>s</w:t>
      </w:r>
      <w:r w:rsidR="00A75646">
        <w:rPr>
          <w:rFonts w:asciiTheme="majorHAnsi" w:hAnsiTheme="majorHAnsi"/>
          <w:sz w:val="20"/>
          <w:szCs w:val="20"/>
        </w:rPr>
        <w:t>y</w:t>
      </w:r>
      <w:r w:rsidR="00A75646" w:rsidRPr="00A51861">
        <w:rPr>
          <w:rFonts w:asciiTheme="majorHAnsi" w:hAnsiTheme="majorHAnsi"/>
          <w:sz w:val="20"/>
          <w:szCs w:val="20"/>
        </w:rPr>
        <w:t>stem</w:t>
      </w:r>
      <w:r w:rsidR="008E351F" w:rsidRPr="00A51861">
        <w:rPr>
          <w:rFonts w:asciiTheme="majorHAnsi" w:hAnsiTheme="majorHAnsi"/>
          <w:sz w:val="20"/>
          <w:szCs w:val="20"/>
        </w:rPr>
        <w:t>”</w:t>
      </w:r>
      <w:r w:rsidR="008E351F" w:rsidRPr="00A51861">
        <w:rPr>
          <w:rStyle w:val="FootnoteReference"/>
          <w:rFonts w:asciiTheme="majorHAnsi" w:hAnsiTheme="majorHAnsi"/>
          <w:sz w:val="20"/>
          <w:szCs w:val="20"/>
        </w:rPr>
        <w:footnoteReference w:id="67"/>
      </w:r>
      <w:r w:rsidR="008E351F" w:rsidRPr="00A51861">
        <w:rPr>
          <w:rFonts w:asciiTheme="majorHAnsi" w:hAnsiTheme="majorHAnsi"/>
          <w:sz w:val="20"/>
          <w:szCs w:val="20"/>
        </w:rPr>
        <w:t xml:space="preserve">. </w:t>
      </w:r>
    </w:p>
    <w:p w14:paraId="60D1D125" w14:textId="77777777" w:rsidR="008E351F" w:rsidRPr="00A51861" w:rsidRDefault="008E351F" w:rsidP="008E4D36">
      <w:pPr>
        <w:pStyle w:val="ListParagraph"/>
        <w:rPr>
          <w:rFonts w:asciiTheme="majorHAnsi" w:hAnsiTheme="majorHAnsi"/>
          <w:sz w:val="20"/>
          <w:szCs w:val="20"/>
        </w:rPr>
      </w:pPr>
    </w:p>
    <w:p w14:paraId="6C516D2D" w14:textId="6E745162" w:rsidR="008E351F" w:rsidRPr="00A51861" w:rsidRDefault="00B90CEF"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 xml:space="preserve">Likewise, </w:t>
      </w:r>
      <w:r w:rsidR="00A75646">
        <w:rPr>
          <w:rFonts w:asciiTheme="majorHAnsi" w:hAnsiTheme="majorHAnsi"/>
          <w:sz w:val="20"/>
          <w:szCs w:val="20"/>
        </w:rPr>
        <w:t>as for whether the circumstance of living</w:t>
      </w:r>
      <w:r w:rsidR="008E351F" w:rsidRPr="00A51861">
        <w:rPr>
          <w:rFonts w:asciiTheme="majorHAnsi" w:hAnsiTheme="majorHAnsi"/>
          <w:sz w:val="20"/>
          <w:szCs w:val="20"/>
        </w:rPr>
        <w:t xml:space="preserve"> </w:t>
      </w:r>
      <w:r w:rsidR="00A75646">
        <w:rPr>
          <w:rFonts w:asciiTheme="majorHAnsi" w:hAnsiTheme="majorHAnsi"/>
          <w:sz w:val="20"/>
          <w:szCs w:val="20"/>
        </w:rPr>
        <w:t>in</w:t>
      </w:r>
      <w:r w:rsidR="008E351F" w:rsidRPr="00A51861">
        <w:rPr>
          <w:rFonts w:asciiTheme="majorHAnsi" w:hAnsiTheme="majorHAnsi"/>
          <w:sz w:val="20"/>
          <w:szCs w:val="20"/>
        </w:rPr>
        <w:t xml:space="preserve"> clandestini</w:t>
      </w:r>
      <w:r w:rsidR="00A75646">
        <w:rPr>
          <w:rFonts w:asciiTheme="majorHAnsi" w:hAnsiTheme="majorHAnsi"/>
          <w:sz w:val="20"/>
          <w:szCs w:val="20"/>
        </w:rPr>
        <w:t>ty</w:t>
      </w:r>
      <w:r w:rsidR="00E92985">
        <w:rPr>
          <w:rFonts w:asciiTheme="majorHAnsi" w:hAnsiTheme="majorHAnsi"/>
          <w:sz w:val="20"/>
          <w:szCs w:val="20"/>
        </w:rPr>
        <w:t xml:space="preserve"> and </w:t>
      </w:r>
      <w:r w:rsidR="00A75646">
        <w:rPr>
          <w:rFonts w:asciiTheme="majorHAnsi" w:hAnsiTheme="majorHAnsi"/>
          <w:sz w:val="20"/>
          <w:szCs w:val="20"/>
        </w:rPr>
        <w:t>then in</w:t>
      </w:r>
      <w:r w:rsidR="008E351F" w:rsidRPr="00A51861">
        <w:rPr>
          <w:rFonts w:asciiTheme="majorHAnsi" w:hAnsiTheme="majorHAnsi"/>
          <w:sz w:val="20"/>
          <w:szCs w:val="20"/>
        </w:rPr>
        <w:t xml:space="preserve"> </w:t>
      </w:r>
      <w:r w:rsidR="005B42FA">
        <w:rPr>
          <w:rFonts w:asciiTheme="majorHAnsi" w:hAnsiTheme="majorHAnsi"/>
          <w:sz w:val="20"/>
          <w:szCs w:val="20"/>
        </w:rPr>
        <w:t>exile</w:t>
      </w:r>
      <w:r w:rsidR="008E351F" w:rsidRPr="00A51861">
        <w:rPr>
          <w:rFonts w:asciiTheme="majorHAnsi" w:hAnsiTheme="majorHAnsi"/>
          <w:sz w:val="20"/>
          <w:szCs w:val="20"/>
        </w:rPr>
        <w:t xml:space="preserve"> </w:t>
      </w:r>
      <w:r w:rsidR="00A75646">
        <w:rPr>
          <w:rFonts w:asciiTheme="majorHAnsi" w:hAnsiTheme="majorHAnsi"/>
          <w:sz w:val="20"/>
          <w:szCs w:val="20"/>
        </w:rPr>
        <w:t>is understood in</w:t>
      </w:r>
      <w:r w:rsidR="008E351F" w:rsidRPr="00A51861">
        <w:rPr>
          <w:rFonts w:asciiTheme="majorHAnsi" w:hAnsiTheme="majorHAnsi"/>
          <w:sz w:val="20"/>
          <w:szCs w:val="20"/>
        </w:rPr>
        <w:t xml:space="preserve"> </w:t>
      </w:r>
      <w:r w:rsidR="00E64C43">
        <w:rPr>
          <w:rFonts w:asciiTheme="majorHAnsi" w:hAnsiTheme="majorHAnsi"/>
          <w:sz w:val="20"/>
          <w:szCs w:val="20"/>
        </w:rPr>
        <w:t>l</w:t>
      </w:r>
      <w:r w:rsidR="002835FC" w:rsidRPr="00A51861">
        <w:rPr>
          <w:rFonts w:asciiTheme="majorHAnsi" w:hAnsiTheme="majorHAnsi"/>
          <w:sz w:val="20"/>
          <w:szCs w:val="20"/>
        </w:rPr>
        <w:t xml:space="preserve">aw </w:t>
      </w:r>
      <w:r w:rsidR="00A75646">
        <w:rPr>
          <w:rFonts w:asciiTheme="majorHAnsi" w:hAnsiTheme="majorHAnsi"/>
          <w:sz w:val="20"/>
          <w:szCs w:val="20"/>
        </w:rPr>
        <w:t xml:space="preserve"> as compensable</w:t>
      </w:r>
      <w:r w:rsidR="008E351F" w:rsidRPr="00A51861">
        <w:rPr>
          <w:rFonts w:asciiTheme="majorHAnsi" w:hAnsiTheme="majorHAnsi"/>
          <w:sz w:val="20"/>
          <w:szCs w:val="20"/>
        </w:rPr>
        <w:t xml:space="preserve">, </w:t>
      </w:r>
      <w:r w:rsidR="00A75646">
        <w:rPr>
          <w:rFonts w:asciiTheme="majorHAnsi" w:hAnsiTheme="majorHAnsi"/>
          <w:sz w:val="20"/>
          <w:szCs w:val="20"/>
        </w:rPr>
        <w:t>the</w:t>
      </w:r>
      <w:r w:rsidR="008E351F" w:rsidRPr="00A51861">
        <w:rPr>
          <w:rFonts w:asciiTheme="majorHAnsi" w:hAnsiTheme="majorHAnsi"/>
          <w:sz w:val="20"/>
          <w:szCs w:val="20"/>
        </w:rPr>
        <w:t xml:space="preserve"> </w:t>
      </w:r>
      <w:r w:rsidR="00817647">
        <w:rPr>
          <w:rFonts w:asciiTheme="majorHAnsi" w:hAnsiTheme="majorHAnsi"/>
          <w:sz w:val="20"/>
          <w:szCs w:val="20"/>
        </w:rPr>
        <w:t>Attorney General</w:t>
      </w:r>
      <w:r w:rsidR="008E351F" w:rsidRPr="00A51861">
        <w:rPr>
          <w:rFonts w:asciiTheme="majorHAnsi" w:hAnsiTheme="majorHAnsi"/>
          <w:sz w:val="20"/>
          <w:szCs w:val="20"/>
        </w:rPr>
        <w:t xml:space="preserve"> </w:t>
      </w:r>
      <w:r w:rsidR="00A75646">
        <w:rPr>
          <w:rFonts w:asciiTheme="majorHAnsi" w:hAnsiTheme="majorHAnsi"/>
          <w:sz w:val="20"/>
          <w:szCs w:val="20"/>
        </w:rPr>
        <w:t xml:space="preserve">affirmed first </w:t>
      </w:r>
      <w:r w:rsidR="00E64C43">
        <w:rPr>
          <w:rFonts w:asciiTheme="majorHAnsi" w:hAnsiTheme="majorHAnsi"/>
          <w:sz w:val="20"/>
          <w:szCs w:val="20"/>
        </w:rPr>
        <w:t>of all</w:t>
      </w:r>
      <w:r w:rsidR="008E351F" w:rsidRPr="00A51861">
        <w:rPr>
          <w:rFonts w:asciiTheme="majorHAnsi" w:hAnsiTheme="majorHAnsi"/>
          <w:sz w:val="20"/>
          <w:szCs w:val="20"/>
        </w:rPr>
        <w:t xml:space="preserve"> </w:t>
      </w:r>
      <w:r w:rsidR="00A75646">
        <w:rPr>
          <w:rFonts w:asciiTheme="majorHAnsi" w:hAnsiTheme="majorHAnsi"/>
          <w:sz w:val="20"/>
          <w:szCs w:val="20"/>
        </w:rPr>
        <w:t>that</w:t>
      </w:r>
      <w:r w:rsidR="00A03833" w:rsidRPr="00A51861">
        <w:rPr>
          <w:rFonts w:asciiTheme="majorHAnsi" w:hAnsiTheme="majorHAnsi"/>
          <w:sz w:val="20"/>
          <w:szCs w:val="20"/>
        </w:rPr>
        <w:t xml:space="preserve"> </w:t>
      </w:r>
      <w:r w:rsidR="00A75646">
        <w:rPr>
          <w:rFonts w:asciiTheme="majorHAnsi" w:hAnsiTheme="majorHAnsi"/>
          <w:sz w:val="20"/>
          <w:szCs w:val="20"/>
        </w:rPr>
        <w:t xml:space="preserve">the </w:t>
      </w:r>
      <w:r w:rsidR="00A03833" w:rsidRPr="00A51861">
        <w:rPr>
          <w:rFonts w:asciiTheme="majorHAnsi" w:hAnsiTheme="majorHAnsi"/>
          <w:sz w:val="20"/>
          <w:szCs w:val="20"/>
        </w:rPr>
        <w:t>preced</w:t>
      </w:r>
      <w:r w:rsidR="00A75646">
        <w:rPr>
          <w:rFonts w:asciiTheme="majorHAnsi" w:hAnsiTheme="majorHAnsi"/>
          <w:sz w:val="20"/>
          <w:szCs w:val="20"/>
        </w:rPr>
        <w:t>ing jurisprudential</w:t>
      </w:r>
      <w:r w:rsidR="00A75646" w:rsidRPr="00A51861">
        <w:rPr>
          <w:rFonts w:ascii="Cambria" w:hAnsi="Cambria"/>
          <w:color w:val="000000" w:themeColor="text1"/>
          <w:sz w:val="20"/>
          <w:szCs w:val="20"/>
        </w:rPr>
        <w:t xml:space="preserve"> </w:t>
      </w:r>
      <w:r w:rsidR="00A75646">
        <w:rPr>
          <w:rFonts w:asciiTheme="majorHAnsi" w:hAnsiTheme="majorHAnsi"/>
          <w:sz w:val="20"/>
          <w:szCs w:val="20"/>
        </w:rPr>
        <w:t>cases</w:t>
      </w:r>
      <w:r w:rsidR="00A03833" w:rsidRPr="00A51861">
        <w:rPr>
          <w:rFonts w:asciiTheme="majorHAnsi" w:hAnsiTheme="majorHAnsi"/>
          <w:sz w:val="20"/>
          <w:szCs w:val="20"/>
        </w:rPr>
        <w:t xml:space="preserve"> </w:t>
      </w:r>
      <w:r w:rsidR="00E64C43">
        <w:rPr>
          <w:rFonts w:asciiTheme="majorHAnsi" w:hAnsiTheme="majorHAnsi"/>
          <w:sz w:val="20"/>
          <w:szCs w:val="20"/>
        </w:rPr>
        <w:t>referred in</w:t>
      </w:r>
      <w:r w:rsidR="00A03833" w:rsidRPr="00A51861">
        <w:rPr>
          <w:rFonts w:asciiTheme="majorHAnsi" w:hAnsiTheme="majorHAnsi"/>
          <w:sz w:val="20"/>
          <w:szCs w:val="20"/>
        </w:rPr>
        <w:t xml:space="preserve"> </w:t>
      </w:r>
      <w:r w:rsidR="00E64C43">
        <w:rPr>
          <w:rFonts w:asciiTheme="majorHAnsi" w:hAnsiTheme="majorHAnsi"/>
          <w:sz w:val="20"/>
          <w:szCs w:val="20"/>
        </w:rPr>
        <w:t xml:space="preserve">the remedy as a </w:t>
      </w:r>
      <w:r w:rsidR="00A03833" w:rsidRPr="00A51861">
        <w:rPr>
          <w:rFonts w:asciiTheme="majorHAnsi" w:hAnsiTheme="majorHAnsi"/>
          <w:sz w:val="20"/>
          <w:szCs w:val="20"/>
        </w:rPr>
        <w:t>ap</w:t>
      </w:r>
      <w:r w:rsidR="00E64C43">
        <w:rPr>
          <w:rFonts w:asciiTheme="majorHAnsi" w:hAnsiTheme="majorHAnsi"/>
          <w:sz w:val="20"/>
          <w:szCs w:val="20"/>
        </w:rPr>
        <w:t>p</w:t>
      </w:r>
      <w:r w:rsidR="00A03833" w:rsidRPr="00A51861">
        <w:rPr>
          <w:rFonts w:asciiTheme="majorHAnsi" w:hAnsiTheme="majorHAnsi"/>
          <w:sz w:val="20"/>
          <w:szCs w:val="20"/>
        </w:rPr>
        <w:t xml:space="preserve">licable, </w:t>
      </w:r>
      <w:r w:rsidR="00E64C43">
        <w:rPr>
          <w:rFonts w:asciiTheme="majorHAnsi" w:hAnsiTheme="majorHAnsi"/>
          <w:sz w:val="20"/>
          <w:szCs w:val="20"/>
        </w:rPr>
        <w:t>have in common that</w:t>
      </w:r>
      <w:r w:rsidR="00E92985">
        <w:rPr>
          <w:rFonts w:asciiTheme="majorHAnsi" w:hAnsiTheme="majorHAnsi"/>
          <w:sz w:val="20"/>
          <w:szCs w:val="20"/>
        </w:rPr>
        <w:t xml:space="preserve"> the </w:t>
      </w:r>
      <w:r w:rsidR="006E255A">
        <w:rPr>
          <w:rFonts w:asciiTheme="majorHAnsi" w:hAnsiTheme="majorHAnsi"/>
          <w:sz w:val="20"/>
          <w:szCs w:val="20"/>
        </w:rPr>
        <w:t>detention</w:t>
      </w:r>
      <w:r w:rsidR="00A03833" w:rsidRPr="00A51861">
        <w:rPr>
          <w:rFonts w:asciiTheme="majorHAnsi" w:hAnsiTheme="majorHAnsi"/>
          <w:sz w:val="20"/>
          <w:szCs w:val="20"/>
        </w:rPr>
        <w:t xml:space="preserve"> </w:t>
      </w:r>
      <w:r w:rsidR="00E64C43">
        <w:rPr>
          <w:rFonts w:asciiTheme="majorHAnsi" w:hAnsiTheme="majorHAnsi"/>
          <w:sz w:val="20"/>
          <w:szCs w:val="20"/>
        </w:rPr>
        <w:t>was</w:t>
      </w:r>
      <w:r w:rsidR="00A03833" w:rsidRPr="00A51861">
        <w:rPr>
          <w:rFonts w:asciiTheme="majorHAnsi" w:hAnsiTheme="majorHAnsi"/>
          <w:sz w:val="20"/>
          <w:szCs w:val="20"/>
        </w:rPr>
        <w:t xml:space="preserve"> </w:t>
      </w:r>
      <w:r w:rsidR="00E64C43">
        <w:rPr>
          <w:rFonts w:asciiTheme="majorHAnsi" w:hAnsiTheme="majorHAnsi"/>
          <w:sz w:val="20"/>
          <w:szCs w:val="20"/>
        </w:rPr>
        <w:t>illegitimate</w:t>
      </w:r>
      <w:r w:rsidR="00E92985">
        <w:rPr>
          <w:rFonts w:asciiTheme="majorHAnsi" w:hAnsiTheme="majorHAnsi"/>
          <w:sz w:val="20"/>
          <w:szCs w:val="20"/>
        </w:rPr>
        <w:t xml:space="preserve"> and </w:t>
      </w:r>
      <w:r w:rsidR="00E64C43">
        <w:rPr>
          <w:rFonts w:asciiTheme="majorHAnsi" w:hAnsiTheme="majorHAnsi"/>
          <w:sz w:val="20"/>
          <w:szCs w:val="20"/>
        </w:rPr>
        <w:t>effective</w:t>
      </w:r>
      <w:r w:rsidR="00A03833" w:rsidRPr="00A51861">
        <w:rPr>
          <w:rFonts w:asciiTheme="majorHAnsi" w:hAnsiTheme="majorHAnsi"/>
          <w:sz w:val="20"/>
          <w:szCs w:val="20"/>
        </w:rPr>
        <w:t xml:space="preserve">, </w:t>
      </w:r>
      <w:r w:rsidR="00E64C43">
        <w:rPr>
          <w:rFonts w:asciiTheme="majorHAnsi" w:hAnsiTheme="majorHAnsi"/>
          <w:sz w:val="20"/>
          <w:szCs w:val="20"/>
        </w:rPr>
        <w:t>which sets a</w:t>
      </w:r>
      <w:r w:rsidR="00A03833" w:rsidRPr="00A51861">
        <w:rPr>
          <w:rFonts w:asciiTheme="majorHAnsi" w:hAnsiTheme="majorHAnsi"/>
          <w:sz w:val="20"/>
          <w:szCs w:val="20"/>
        </w:rPr>
        <w:t xml:space="preserve"> </w:t>
      </w:r>
      <w:r w:rsidR="00E64C43">
        <w:rPr>
          <w:rFonts w:asciiTheme="majorHAnsi" w:hAnsiTheme="majorHAnsi"/>
          <w:sz w:val="20"/>
          <w:szCs w:val="20"/>
        </w:rPr>
        <w:t>difference</w:t>
      </w:r>
      <w:r w:rsidR="00E92985">
        <w:rPr>
          <w:rFonts w:asciiTheme="majorHAnsi" w:hAnsiTheme="majorHAnsi"/>
          <w:sz w:val="20"/>
          <w:szCs w:val="20"/>
        </w:rPr>
        <w:t xml:space="preserve"> </w:t>
      </w:r>
      <w:r w:rsidR="00E64C43">
        <w:rPr>
          <w:rFonts w:asciiTheme="majorHAnsi" w:hAnsiTheme="majorHAnsi"/>
          <w:sz w:val="20"/>
          <w:szCs w:val="20"/>
        </w:rPr>
        <w:t>with</w:t>
      </w:r>
      <w:r w:rsidR="00E92985">
        <w:rPr>
          <w:rFonts w:asciiTheme="majorHAnsi" w:hAnsiTheme="majorHAnsi"/>
          <w:sz w:val="20"/>
          <w:szCs w:val="20"/>
        </w:rPr>
        <w:t xml:space="preserve"> </w:t>
      </w:r>
      <w:r w:rsidR="00E64C43">
        <w:rPr>
          <w:rFonts w:asciiTheme="majorHAnsi" w:hAnsiTheme="majorHAnsi"/>
          <w:sz w:val="20"/>
          <w:szCs w:val="20"/>
        </w:rPr>
        <w:t>this case</w:t>
      </w:r>
      <w:r w:rsidR="00A03833" w:rsidRPr="00A51861">
        <w:rPr>
          <w:rFonts w:asciiTheme="majorHAnsi" w:hAnsiTheme="majorHAnsi"/>
          <w:sz w:val="20"/>
          <w:szCs w:val="20"/>
        </w:rPr>
        <w:t xml:space="preserve">, </w:t>
      </w:r>
      <w:r w:rsidR="00E64C43">
        <w:rPr>
          <w:rFonts w:asciiTheme="majorHAnsi" w:hAnsiTheme="majorHAnsi"/>
          <w:sz w:val="20"/>
          <w:szCs w:val="20"/>
        </w:rPr>
        <w:t>in which</w:t>
      </w:r>
      <w:r w:rsidR="00E92985">
        <w:rPr>
          <w:rFonts w:asciiTheme="majorHAnsi" w:hAnsiTheme="majorHAnsi"/>
          <w:sz w:val="20"/>
          <w:szCs w:val="20"/>
        </w:rPr>
        <w:t xml:space="preserve"> the </w:t>
      </w:r>
      <w:r w:rsidR="00E64C43">
        <w:rPr>
          <w:rFonts w:asciiTheme="majorHAnsi" w:hAnsiTheme="majorHAnsi"/>
          <w:sz w:val="20"/>
          <w:szCs w:val="20"/>
        </w:rPr>
        <w:t>temporary residency of</w:t>
      </w:r>
      <w:r w:rsidR="00B73F84" w:rsidRPr="00A51861">
        <w:rPr>
          <w:rFonts w:asciiTheme="majorHAnsi" w:hAnsiTheme="majorHAnsi"/>
          <w:sz w:val="20"/>
          <w:szCs w:val="20"/>
        </w:rPr>
        <w:t xml:space="preserve"> </w:t>
      </w:r>
      <w:r w:rsidR="00BD093F">
        <w:rPr>
          <w:rFonts w:asciiTheme="majorHAnsi" w:hAnsiTheme="majorHAnsi"/>
          <w:sz w:val="20"/>
          <w:szCs w:val="20"/>
        </w:rPr>
        <w:t xml:space="preserve">Mr. </w:t>
      </w:r>
      <w:r w:rsidR="00A03833" w:rsidRPr="00A51861">
        <w:rPr>
          <w:rFonts w:asciiTheme="majorHAnsi" w:hAnsiTheme="majorHAnsi"/>
          <w:sz w:val="20"/>
          <w:szCs w:val="20"/>
        </w:rPr>
        <w:t xml:space="preserve">Rito </w:t>
      </w:r>
      <w:r w:rsidR="00E64C43">
        <w:rPr>
          <w:rFonts w:asciiTheme="majorHAnsi" w:hAnsiTheme="majorHAnsi"/>
          <w:sz w:val="20"/>
          <w:szCs w:val="20"/>
        </w:rPr>
        <w:t xml:space="preserve">was revoked for breaching a </w:t>
      </w:r>
      <w:r w:rsidR="00E64C43" w:rsidRPr="00A51861">
        <w:rPr>
          <w:rFonts w:asciiTheme="majorHAnsi" w:hAnsiTheme="majorHAnsi"/>
          <w:sz w:val="20"/>
          <w:szCs w:val="20"/>
        </w:rPr>
        <w:t>polic</w:t>
      </w:r>
      <w:r w:rsidR="00E64C43">
        <w:rPr>
          <w:rFonts w:asciiTheme="majorHAnsi" w:hAnsiTheme="majorHAnsi"/>
          <w:sz w:val="20"/>
          <w:szCs w:val="20"/>
        </w:rPr>
        <w:t xml:space="preserve">e </w:t>
      </w:r>
      <w:r w:rsidR="00280367">
        <w:rPr>
          <w:rFonts w:asciiTheme="majorHAnsi" w:hAnsiTheme="majorHAnsi"/>
          <w:sz w:val="20"/>
          <w:szCs w:val="20"/>
        </w:rPr>
        <w:t>decree</w:t>
      </w:r>
      <w:r w:rsidR="00B73F84" w:rsidRPr="00A51861">
        <w:rPr>
          <w:rFonts w:asciiTheme="majorHAnsi" w:hAnsiTheme="majorHAnsi"/>
          <w:sz w:val="20"/>
          <w:szCs w:val="20"/>
        </w:rPr>
        <w:t xml:space="preserve">, </w:t>
      </w:r>
      <w:r w:rsidR="00E64C43">
        <w:rPr>
          <w:rFonts w:asciiTheme="majorHAnsi" w:hAnsiTheme="majorHAnsi"/>
          <w:sz w:val="20"/>
          <w:szCs w:val="20"/>
        </w:rPr>
        <w:t>whose</w:t>
      </w:r>
      <w:r w:rsidR="00B73F84" w:rsidRPr="00A51861">
        <w:rPr>
          <w:rFonts w:asciiTheme="majorHAnsi" w:hAnsiTheme="majorHAnsi"/>
          <w:sz w:val="20"/>
          <w:szCs w:val="20"/>
        </w:rPr>
        <w:t xml:space="preserve"> </w:t>
      </w:r>
      <w:r w:rsidR="00E64C43">
        <w:rPr>
          <w:rFonts w:asciiTheme="majorHAnsi" w:hAnsiTheme="majorHAnsi"/>
          <w:sz w:val="20"/>
          <w:szCs w:val="20"/>
        </w:rPr>
        <w:t>constitutionality</w:t>
      </w:r>
      <w:r w:rsidR="00B73F84" w:rsidRPr="00A51861">
        <w:rPr>
          <w:rFonts w:asciiTheme="majorHAnsi" w:hAnsiTheme="majorHAnsi"/>
          <w:sz w:val="20"/>
          <w:szCs w:val="20"/>
        </w:rPr>
        <w:t xml:space="preserve"> </w:t>
      </w:r>
      <w:r w:rsidR="00E64C43">
        <w:rPr>
          <w:rFonts w:asciiTheme="majorHAnsi" w:hAnsiTheme="majorHAnsi"/>
          <w:sz w:val="20"/>
          <w:szCs w:val="20"/>
        </w:rPr>
        <w:t xml:space="preserve">was not duly questioned which led to the order of his </w:t>
      </w:r>
      <w:r w:rsidR="00E64C43" w:rsidRPr="00A51861">
        <w:rPr>
          <w:rFonts w:asciiTheme="majorHAnsi" w:hAnsiTheme="majorHAnsi"/>
          <w:sz w:val="20"/>
          <w:szCs w:val="20"/>
        </w:rPr>
        <w:t>expulsion</w:t>
      </w:r>
      <w:r w:rsidR="00730B2A" w:rsidRPr="00A51861">
        <w:rPr>
          <w:rFonts w:asciiTheme="majorHAnsi" w:hAnsiTheme="majorHAnsi"/>
          <w:sz w:val="20"/>
          <w:szCs w:val="20"/>
        </w:rPr>
        <w:t xml:space="preserve"> </w:t>
      </w:r>
      <w:r w:rsidR="00E64C43">
        <w:rPr>
          <w:rFonts w:asciiTheme="majorHAnsi" w:hAnsiTheme="majorHAnsi"/>
          <w:sz w:val="20"/>
          <w:szCs w:val="20"/>
        </w:rPr>
        <w:t>to his country of origin</w:t>
      </w:r>
      <w:r w:rsidR="00E92985">
        <w:rPr>
          <w:rFonts w:asciiTheme="majorHAnsi" w:hAnsiTheme="majorHAnsi"/>
          <w:sz w:val="20"/>
          <w:szCs w:val="20"/>
        </w:rPr>
        <w:t xml:space="preserve"> or </w:t>
      </w:r>
      <w:r w:rsidR="00C869B4" w:rsidRPr="00A51861">
        <w:rPr>
          <w:rFonts w:asciiTheme="majorHAnsi" w:hAnsiTheme="majorHAnsi"/>
          <w:sz w:val="20"/>
          <w:szCs w:val="20"/>
        </w:rPr>
        <w:t>“</w:t>
      </w:r>
      <w:r w:rsidR="00E64C43">
        <w:rPr>
          <w:rFonts w:asciiTheme="majorHAnsi" w:hAnsiTheme="majorHAnsi"/>
          <w:sz w:val="20"/>
          <w:szCs w:val="20"/>
        </w:rPr>
        <w:t>to which accepts them</w:t>
      </w:r>
      <w:r w:rsidR="00C869B4" w:rsidRPr="00A51861">
        <w:rPr>
          <w:rFonts w:asciiTheme="majorHAnsi" w:hAnsiTheme="majorHAnsi"/>
          <w:sz w:val="20"/>
          <w:szCs w:val="20"/>
        </w:rPr>
        <w:t>”</w:t>
      </w:r>
      <w:r w:rsidR="00B73F84" w:rsidRPr="00A51861">
        <w:rPr>
          <w:rFonts w:asciiTheme="majorHAnsi" w:hAnsiTheme="majorHAnsi"/>
          <w:sz w:val="20"/>
          <w:szCs w:val="20"/>
        </w:rPr>
        <w:t>,</w:t>
      </w:r>
      <w:r w:rsidR="00E92985">
        <w:rPr>
          <w:rFonts w:asciiTheme="majorHAnsi" w:hAnsiTheme="majorHAnsi"/>
          <w:sz w:val="20"/>
          <w:szCs w:val="20"/>
        </w:rPr>
        <w:t xml:space="preserve"> and that the </w:t>
      </w:r>
      <w:r w:rsidR="00E64C43" w:rsidRPr="00A51861">
        <w:rPr>
          <w:rFonts w:asciiTheme="majorHAnsi" w:hAnsiTheme="majorHAnsi"/>
          <w:sz w:val="20"/>
          <w:szCs w:val="20"/>
        </w:rPr>
        <w:t>circumstance</w:t>
      </w:r>
      <w:r w:rsidR="00E92985">
        <w:rPr>
          <w:rFonts w:asciiTheme="majorHAnsi" w:hAnsiTheme="majorHAnsi"/>
          <w:sz w:val="20"/>
          <w:szCs w:val="20"/>
        </w:rPr>
        <w:t xml:space="preserve"> that the </w:t>
      </w:r>
      <w:r w:rsidR="00E64C43">
        <w:rPr>
          <w:rFonts w:asciiTheme="majorHAnsi" w:hAnsiTheme="majorHAnsi"/>
          <w:sz w:val="20"/>
          <w:szCs w:val="20"/>
        </w:rPr>
        <w:t>fear</w:t>
      </w:r>
      <w:r w:rsidR="008E351F" w:rsidRPr="00A51861">
        <w:rPr>
          <w:rFonts w:asciiTheme="majorHAnsi" w:hAnsiTheme="majorHAnsi"/>
          <w:sz w:val="20"/>
          <w:szCs w:val="20"/>
        </w:rPr>
        <w:t xml:space="preserve"> </w:t>
      </w:r>
      <w:r w:rsidR="00E64C43">
        <w:rPr>
          <w:rFonts w:asciiTheme="majorHAnsi" w:hAnsiTheme="majorHAnsi"/>
          <w:sz w:val="20"/>
          <w:szCs w:val="20"/>
        </w:rPr>
        <w:t>of being sent back to</w:t>
      </w:r>
      <w:r w:rsidR="008E351F" w:rsidRPr="00A51861">
        <w:rPr>
          <w:rFonts w:asciiTheme="majorHAnsi" w:hAnsiTheme="majorHAnsi"/>
          <w:sz w:val="20"/>
          <w:szCs w:val="20"/>
        </w:rPr>
        <w:t xml:space="preserve"> Uruguay </w:t>
      </w:r>
      <w:r w:rsidR="00E64C43">
        <w:rPr>
          <w:rFonts w:asciiTheme="majorHAnsi" w:hAnsiTheme="majorHAnsi"/>
          <w:sz w:val="20"/>
          <w:szCs w:val="20"/>
        </w:rPr>
        <w:t>led him to live in clandestinity or</w:t>
      </w:r>
      <w:r w:rsidR="008E351F" w:rsidRPr="00A51861">
        <w:rPr>
          <w:rFonts w:asciiTheme="majorHAnsi" w:hAnsiTheme="majorHAnsi"/>
          <w:sz w:val="20"/>
          <w:szCs w:val="20"/>
        </w:rPr>
        <w:t xml:space="preserve">, </w:t>
      </w:r>
      <w:r w:rsidR="00E64C43">
        <w:rPr>
          <w:rFonts w:asciiTheme="majorHAnsi" w:hAnsiTheme="majorHAnsi"/>
          <w:sz w:val="20"/>
          <w:szCs w:val="20"/>
        </w:rPr>
        <w:t>afterward</w:t>
      </w:r>
      <w:r w:rsidR="008E351F" w:rsidRPr="00A51861">
        <w:rPr>
          <w:rFonts w:asciiTheme="majorHAnsi" w:hAnsiTheme="majorHAnsi"/>
          <w:sz w:val="20"/>
          <w:szCs w:val="20"/>
        </w:rPr>
        <w:t xml:space="preserve">, </w:t>
      </w:r>
      <w:r w:rsidR="000F5CE1">
        <w:rPr>
          <w:rFonts w:asciiTheme="majorHAnsi" w:hAnsiTheme="majorHAnsi"/>
          <w:sz w:val="20"/>
          <w:szCs w:val="20"/>
        </w:rPr>
        <w:t xml:space="preserve">to voluntarily continue with his </w:t>
      </w:r>
      <w:r w:rsidR="005B42FA">
        <w:rPr>
          <w:rFonts w:asciiTheme="majorHAnsi" w:hAnsiTheme="majorHAnsi"/>
          <w:sz w:val="20"/>
          <w:szCs w:val="20"/>
        </w:rPr>
        <w:t>exile</w:t>
      </w:r>
      <w:r w:rsidR="00B73F84" w:rsidRPr="00A51861">
        <w:rPr>
          <w:rFonts w:asciiTheme="majorHAnsi" w:hAnsiTheme="majorHAnsi"/>
          <w:sz w:val="20"/>
          <w:szCs w:val="20"/>
        </w:rPr>
        <w:t xml:space="preserve"> </w:t>
      </w:r>
      <w:r w:rsidR="000F5CE1">
        <w:rPr>
          <w:rFonts w:asciiTheme="majorHAnsi" w:hAnsiTheme="majorHAnsi"/>
          <w:sz w:val="20"/>
          <w:szCs w:val="20"/>
        </w:rPr>
        <w:t>i</w:t>
      </w:r>
      <w:r w:rsidR="00B73F84" w:rsidRPr="00A51861">
        <w:rPr>
          <w:rFonts w:asciiTheme="majorHAnsi" w:hAnsiTheme="majorHAnsi"/>
          <w:sz w:val="20"/>
          <w:szCs w:val="20"/>
        </w:rPr>
        <w:t xml:space="preserve">n </w:t>
      </w:r>
      <w:r w:rsidR="00BD6923">
        <w:rPr>
          <w:rFonts w:asciiTheme="majorHAnsi" w:hAnsiTheme="majorHAnsi"/>
          <w:sz w:val="20"/>
          <w:szCs w:val="20"/>
        </w:rPr>
        <w:t>Sweden</w:t>
      </w:r>
      <w:r w:rsidR="00B73F84" w:rsidRPr="00A51861">
        <w:rPr>
          <w:rFonts w:asciiTheme="majorHAnsi" w:hAnsiTheme="majorHAnsi"/>
          <w:sz w:val="20"/>
          <w:szCs w:val="20"/>
        </w:rPr>
        <w:t xml:space="preserve">, </w:t>
      </w:r>
      <w:r w:rsidR="000F5CE1">
        <w:rPr>
          <w:rFonts w:asciiTheme="majorHAnsi" w:hAnsiTheme="majorHAnsi"/>
          <w:sz w:val="20"/>
          <w:szCs w:val="20"/>
        </w:rPr>
        <w:t>is not fit so as to</w:t>
      </w:r>
      <w:r w:rsidR="008E351F" w:rsidRPr="00A51861">
        <w:rPr>
          <w:rFonts w:asciiTheme="majorHAnsi" w:hAnsiTheme="majorHAnsi"/>
          <w:sz w:val="20"/>
          <w:szCs w:val="20"/>
        </w:rPr>
        <w:t xml:space="preserve"> extend</w:t>
      </w:r>
      <w:r w:rsidR="000F5CE1">
        <w:rPr>
          <w:rFonts w:asciiTheme="majorHAnsi" w:hAnsiTheme="majorHAnsi"/>
          <w:sz w:val="20"/>
          <w:szCs w:val="20"/>
        </w:rPr>
        <w:t xml:space="preserve"> to it the</w:t>
      </w:r>
      <w:r w:rsidR="008E351F" w:rsidRPr="00A51861">
        <w:rPr>
          <w:rFonts w:asciiTheme="majorHAnsi" w:hAnsiTheme="majorHAnsi"/>
          <w:sz w:val="20"/>
          <w:szCs w:val="20"/>
        </w:rPr>
        <w:t xml:space="preserve"> </w:t>
      </w:r>
      <w:r w:rsidR="000F5CE1" w:rsidRPr="00A51861">
        <w:rPr>
          <w:rFonts w:asciiTheme="majorHAnsi" w:hAnsiTheme="majorHAnsi"/>
          <w:sz w:val="20"/>
          <w:szCs w:val="20"/>
        </w:rPr>
        <w:t>monetar</w:t>
      </w:r>
      <w:r w:rsidR="000F5CE1">
        <w:rPr>
          <w:rFonts w:asciiTheme="majorHAnsi" w:hAnsiTheme="majorHAnsi"/>
          <w:sz w:val="20"/>
          <w:szCs w:val="20"/>
        </w:rPr>
        <w:t>y</w:t>
      </w:r>
      <w:r w:rsidR="000F5CE1" w:rsidRPr="00A51861">
        <w:rPr>
          <w:rFonts w:asciiTheme="majorHAnsi" w:hAnsiTheme="majorHAnsi"/>
          <w:sz w:val="20"/>
          <w:szCs w:val="20"/>
        </w:rPr>
        <w:t xml:space="preserve"> </w:t>
      </w:r>
      <w:r w:rsidR="008E351F" w:rsidRPr="00A51861">
        <w:rPr>
          <w:rFonts w:asciiTheme="majorHAnsi" w:hAnsiTheme="majorHAnsi"/>
          <w:sz w:val="20"/>
          <w:szCs w:val="20"/>
        </w:rPr>
        <w:t>compensa</w:t>
      </w:r>
      <w:r w:rsidR="000F5CE1">
        <w:rPr>
          <w:rFonts w:asciiTheme="majorHAnsi" w:hAnsiTheme="majorHAnsi"/>
          <w:sz w:val="20"/>
          <w:szCs w:val="20"/>
        </w:rPr>
        <w:t>tio</w:t>
      </w:r>
      <w:r w:rsidR="008E351F" w:rsidRPr="00A51861">
        <w:rPr>
          <w:rFonts w:asciiTheme="majorHAnsi" w:hAnsiTheme="majorHAnsi"/>
          <w:sz w:val="20"/>
          <w:szCs w:val="20"/>
        </w:rPr>
        <w:t>n</w:t>
      </w:r>
      <w:r w:rsidR="00C869B4" w:rsidRPr="00A51861">
        <w:rPr>
          <w:rFonts w:asciiTheme="majorHAnsi" w:hAnsiTheme="majorHAnsi"/>
          <w:sz w:val="20"/>
          <w:szCs w:val="20"/>
        </w:rPr>
        <w:t xml:space="preserve"> </w:t>
      </w:r>
      <w:r w:rsidR="000F5CE1">
        <w:rPr>
          <w:rFonts w:asciiTheme="majorHAnsi" w:hAnsiTheme="majorHAnsi"/>
          <w:sz w:val="20"/>
          <w:szCs w:val="20"/>
        </w:rPr>
        <w:t>foreseen in the</w:t>
      </w:r>
      <w:r w:rsidR="00C869B4" w:rsidRPr="00A51861">
        <w:rPr>
          <w:rFonts w:asciiTheme="majorHAnsi" w:hAnsiTheme="majorHAnsi"/>
          <w:sz w:val="20"/>
          <w:szCs w:val="20"/>
        </w:rPr>
        <w:t xml:space="preserve"> norm, </w:t>
      </w:r>
      <w:r w:rsidR="000F5CE1">
        <w:rPr>
          <w:rFonts w:asciiTheme="majorHAnsi" w:hAnsiTheme="majorHAnsi"/>
          <w:sz w:val="20"/>
          <w:szCs w:val="20"/>
        </w:rPr>
        <w:t>the purpose of which is</w:t>
      </w:r>
      <w:r w:rsidR="00C869B4" w:rsidRPr="00A51861">
        <w:rPr>
          <w:rFonts w:asciiTheme="majorHAnsi" w:hAnsiTheme="majorHAnsi"/>
          <w:sz w:val="20"/>
          <w:szCs w:val="20"/>
        </w:rPr>
        <w:t xml:space="preserve">, </w:t>
      </w:r>
      <w:r w:rsidR="000F5CE1">
        <w:rPr>
          <w:rFonts w:asciiTheme="majorHAnsi" w:hAnsiTheme="majorHAnsi"/>
          <w:sz w:val="20"/>
          <w:szCs w:val="20"/>
        </w:rPr>
        <w:t>the</w:t>
      </w:r>
      <w:r w:rsidR="00C869B4" w:rsidRPr="00A51861">
        <w:rPr>
          <w:rFonts w:asciiTheme="majorHAnsi" w:hAnsiTheme="majorHAnsi"/>
          <w:sz w:val="20"/>
          <w:szCs w:val="20"/>
        </w:rPr>
        <w:t xml:space="preserve"> repara</w:t>
      </w:r>
      <w:r w:rsidR="000F5CE1">
        <w:rPr>
          <w:rFonts w:asciiTheme="majorHAnsi" w:hAnsiTheme="majorHAnsi"/>
          <w:sz w:val="20"/>
          <w:szCs w:val="20"/>
        </w:rPr>
        <w:t>tio</w:t>
      </w:r>
      <w:r w:rsidR="00C869B4" w:rsidRPr="00A51861">
        <w:rPr>
          <w:rFonts w:asciiTheme="majorHAnsi" w:hAnsiTheme="majorHAnsi"/>
          <w:sz w:val="20"/>
          <w:szCs w:val="20"/>
        </w:rPr>
        <w:t xml:space="preserve">n </w:t>
      </w:r>
      <w:r w:rsidR="000F5CE1">
        <w:rPr>
          <w:rFonts w:asciiTheme="majorHAnsi" w:hAnsiTheme="majorHAnsi"/>
          <w:sz w:val="20"/>
          <w:szCs w:val="20"/>
        </w:rPr>
        <w:t>for those</w:t>
      </w:r>
      <w:r w:rsidR="00C869B4" w:rsidRPr="00A51861">
        <w:rPr>
          <w:rFonts w:asciiTheme="majorHAnsi" w:hAnsiTheme="majorHAnsi"/>
          <w:sz w:val="20"/>
          <w:szCs w:val="20"/>
        </w:rPr>
        <w:t xml:space="preserve"> </w:t>
      </w:r>
      <w:r w:rsidR="00EC7A58">
        <w:rPr>
          <w:rFonts w:asciiTheme="majorHAnsi" w:hAnsiTheme="majorHAnsi"/>
          <w:sz w:val="20"/>
          <w:szCs w:val="20"/>
        </w:rPr>
        <w:t>persons</w:t>
      </w:r>
      <w:r w:rsidR="00C869B4" w:rsidRPr="00A51861">
        <w:rPr>
          <w:rFonts w:asciiTheme="majorHAnsi" w:hAnsiTheme="majorHAnsi"/>
          <w:sz w:val="20"/>
          <w:szCs w:val="20"/>
        </w:rPr>
        <w:t xml:space="preserve"> </w:t>
      </w:r>
      <w:r w:rsidR="00E64C43">
        <w:rPr>
          <w:rFonts w:asciiTheme="majorHAnsi" w:hAnsiTheme="majorHAnsi"/>
          <w:sz w:val="20"/>
          <w:szCs w:val="20"/>
        </w:rPr>
        <w:t>effective</w:t>
      </w:r>
      <w:r w:rsidR="0029564F">
        <w:rPr>
          <w:rFonts w:asciiTheme="majorHAnsi" w:hAnsiTheme="majorHAnsi"/>
          <w:sz w:val="20"/>
          <w:szCs w:val="20"/>
        </w:rPr>
        <w:t xml:space="preserve">ly </w:t>
      </w:r>
      <w:r w:rsidR="000F5CE1">
        <w:rPr>
          <w:rFonts w:asciiTheme="majorHAnsi" w:hAnsiTheme="majorHAnsi"/>
          <w:sz w:val="20"/>
          <w:szCs w:val="20"/>
        </w:rPr>
        <w:t>detained and placed at the disposal of the</w:t>
      </w:r>
      <w:r w:rsidR="00323EBA">
        <w:rPr>
          <w:rFonts w:asciiTheme="majorHAnsi" w:hAnsiTheme="majorHAnsi"/>
          <w:sz w:val="20"/>
          <w:szCs w:val="20"/>
        </w:rPr>
        <w:t xml:space="preserve"> NEP</w:t>
      </w:r>
      <w:r w:rsidR="00E92985">
        <w:rPr>
          <w:rFonts w:asciiTheme="majorHAnsi" w:hAnsiTheme="majorHAnsi"/>
          <w:sz w:val="20"/>
          <w:szCs w:val="20"/>
        </w:rPr>
        <w:t xml:space="preserve"> or </w:t>
      </w:r>
      <w:r w:rsidR="000F5CE1">
        <w:rPr>
          <w:rFonts w:asciiTheme="majorHAnsi" w:hAnsiTheme="majorHAnsi"/>
          <w:sz w:val="20"/>
          <w:szCs w:val="20"/>
        </w:rPr>
        <w:t>who had to suffer</w:t>
      </w:r>
      <w:r w:rsidR="00C869B4" w:rsidRPr="00A51861">
        <w:rPr>
          <w:rFonts w:asciiTheme="majorHAnsi" w:hAnsiTheme="majorHAnsi"/>
          <w:sz w:val="20"/>
          <w:szCs w:val="20"/>
        </w:rPr>
        <w:t xml:space="preserve"> </w:t>
      </w:r>
      <w:r w:rsidR="000F5CE1">
        <w:rPr>
          <w:rFonts w:asciiTheme="majorHAnsi" w:hAnsiTheme="majorHAnsi"/>
          <w:sz w:val="20"/>
          <w:szCs w:val="20"/>
        </w:rPr>
        <w:t xml:space="preserve">such exceptional </w:t>
      </w:r>
      <w:r w:rsidR="000F5CE1" w:rsidRPr="00A51861">
        <w:rPr>
          <w:rFonts w:asciiTheme="majorHAnsi" w:hAnsiTheme="majorHAnsi"/>
          <w:sz w:val="20"/>
          <w:szCs w:val="20"/>
        </w:rPr>
        <w:t>circumstances</w:t>
      </w:r>
      <w:r w:rsidR="00C869B4" w:rsidRPr="00A51861">
        <w:rPr>
          <w:rFonts w:asciiTheme="majorHAnsi" w:hAnsiTheme="majorHAnsi"/>
          <w:sz w:val="20"/>
          <w:szCs w:val="20"/>
        </w:rPr>
        <w:t xml:space="preserve"> </w:t>
      </w:r>
      <w:r w:rsidR="000F5CE1">
        <w:rPr>
          <w:rFonts w:asciiTheme="majorHAnsi" w:hAnsiTheme="majorHAnsi"/>
          <w:sz w:val="20"/>
          <w:szCs w:val="20"/>
        </w:rPr>
        <w:t>as those</w:t>
      </w:r>
      <w:r w:rsidR="008E351F" w:rsidRPr="00A51861">
        <w:rPr>
          <w:rStyle w:val="FootnoteReference"/>
          <w:rFonts w:asciiTheme="majorHAnsi" w:hAnsiTheme="majorHAnsi"/>
          <w:sz w:val="20"/>
          <w:szCs w:val="20"/>
        </w:rPr>
        <w:footnoteReference w:id="68"/>
      </w:r>
      <w:r w:rsidR="008E351F" w:rsidRPr="00A51861">
        <w:rPr>
          <w:rFonts w:asciiTheme="majorHAnsi" w:hAnsiTheme="majorHAnsi"/>
          <w:sz w:val="20"/>
          <w:szCs w:val="20"/>
        </w:rPr>
        <w:t>.</w:t>
      </w:r>
    </w:p>
    <w:p w14:paraId="0AD65767" w14:textId="77777777" w:rsidR="00BD59D0" w:rsidRPr="00A51861" w:rsidRDefault="00BD59D0" w:rsidP="008E4D36">
      <w:pPr>
        <w:jc w:val="both"/>
        <w:rPr>
          <w:rFonts w:asciiTheme="majorHAnsi" w:hAnsiTheme="majorHAnsi"/>
          <w:sz w:val="20"/>
          <w:szCs w:val="20"/>
        </w:rPr>
      </w:pPr>
    </w:p>
    <w:p w14:paraId="5BE3CE3A" w14:textId="5493E8C2" w:rsidR="008E351F" w:rsidRPr="00A51861" w:rsidRDefault="00E92985"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The Commission</w:t>
      </w:r>
      <w:r w:rsidR="008E351F" w:rsidRPr="00A51861">
        <w:rPr>
          <w:rFonts w:asciiTheme="majorHAnsi" w:hAnsiTheme="majorHAnsi"/>
          <w:sz w:val="20"/>
          <w:szCs w:val="20"/>
        </w:rPr>
        <w:t xml:space="preserve"> </w:t>
      </w:r>
      <w:r w:rsidR="00A274B7">
        <w:rPr>
          <w:rFonts w:asciiTheme="majorHAnsi" w:hAnsiTheme="majorHAnsi"/>
          <w:sz w:val="20"/>
          <w:szCs w:val="20"/>
        </w:rPr>
        <w:t>takes note</w:t>
      </w:r>
      <w:r>
        <w:rPr>
          <w:rFonts w:asciiTheme="majorHAnsi" w:hAnsiTheme="majorHAnsi"/>
          <w:sz w:val="20"/>
          <w:szCs w:val="20"/>
        </w:rPr>
        <w:t xml:space="preserve"> that the </w:t>
      </w:r>
      <w:r w:rsidR="00A274B7">
        <w:rPr>
          <w:rFonts w:asciiTheme="majorHAnsi" w:hAnsiTheme="majorHAnsi"/>
          <w:sz w:val="20"/>
          <w:szCs w:val="20"/>
        </w:rPr>
        <w:t>petitioner held that</w:t>
      </w:r>
      <w:r w:rsidR="008E351F" w:rsidRPr="00A51861">
        <w:rPr>
          <w:rFonts w:asciiTheme="majorHAnsi" w:hAnsiTheme="majorHAnsi"/>
          <w:sz w:val="20"/>
          <w:szCs w:val="20"/>
        </w:rPr>
        <w:t xml:space="preserve">, </w:t>
      </w:r>
      <w:r w:rsidR="00A274B7">
        <w:rPr>
          <w:rFonts w:asciiTheme="majorHAnsi" w:hAnsiTheme="majorHAnsi"/>
          <w:sz w:val="20"/>
          <w:szCs w:val="20"/>
        </w:rPr>
        <w:t>in regard to administrative and</w:t>
      </w:r>
      <w:r>
        <w:rPr>
          <w:rFonts w:asciiTheme="majorHAnsi" w:hAnsiTheme="majorHAnsi"/>
          <w:sz w:val="20"/>
          <w:szCs w:val="20"/>
        </w:rPr>
        <w:t xml:space="preserve"> </w:t>
      </w:r>
      <w:r w:rsidR="008E351F" w:rsidRPr="00A51861">
        <w:rPr>
          <w:rFonts w:asciiTheme="majorHAnsi" w:hAnsiTheme="majorHAnsi"/>
          <w:sz w:val="20"/>
          <w:szCs w:val="20"/>
        </w:rPr>
        <w:t>judicial</w:t>
      </w:r>
      <w:r w:rsidR="00A274B7">
        <w:rPr>
          <w:rFonts w:asciiTheme="majorHAnsi" w:hAnsiTheme="majorHAnsi"/>
          <w:sz w:val="20"/>
          <w:szCs w:val="20"/>
        </w:rPr>
        <w:t xml:space="preserve"> proceedings</w:t>
      </w:r>
      <w:r w:rsidR="008E351F" w:rsidRPr="00A51861">
        <w:rPr>
          <w:rFonts w:asciiTheme="majorHAnsi" w:hAnsiTheme="majorHAnsi"/>
          <w:sz w:val="20"/>
          <w:szCs w:val="20"/>
        </w:rPr>
        <w:t xml:space="preserve">, </w:t>
      </w:r>
      <w:r w:rsidR="00A274B7">
        <w:rPr>
          <w:rFonts w:asciiTheme="majorHAnsi" w:hAnsiTheme="majorHAnsi"/>
          <w:sz w:val="20"/>
          <w:szCs w:val="20"/>
        </w:rPr>
        <w:t>the</w:t>
      </w:r>
      <w:r w:rsidR="007F3E8C">
        <w:rPr>
          <w:rFonts w:asciiTheme="majorHAnsi" w:hAnsiTheme="majorHAnsi"/>
          <w:sz w:val="20"/>
          <w:szCs w:val="20"/>
        </w:rPr>
        <w:t xml:space="preserve"> attorney of Mr. Rito </w:t>
      </w:r>
      <w:r w:rsidR="00BD093F">
        <w:rPr>
          <w:rFonts w:asciiTheme="majorHAnsi" w:hAnsiTheme="majorHAnsi"/>
          <w:sz w:val="20"/>
          <w:szCs w:val="20"/>
        </w:rPr>
        <w:t xml:space="preserve">de los </w:t>
      </w:r>
      <w:r w:rsidR="008E351F" w:rsidRPr="00A51861">
        <w:rPr>
          <w:rFonts w:asciiTheme="majorHAnsi" w:hAnsiTheme="majorHAnsi"/>
          <w:sz w:val="20"/>
          <w:szCs w:val="20"/>
        </w:rPr>
        <w:t>Santos</w:t>
      </w:r>
      <w:r w:rsidR="00A274B7">
        <w:rPr>
          <w:rFonts w:asciiTheme="majorHAnsi" w:hAnsiTheme="majorHAnsi"/>
          <w:sz w:val="20"/>
          <w:szCs w:val="20"/>
        </w:rPr>
        <w:t xml:space="preserve"> requested</w:t>
      </w:r>
      <w:r w:rsidR="008E351F" w:rsidRPr="00A51861">
        <w:rPr>
          <w:rFonts w:asciiTheme="majorHAnsi" w:hAnsiTheme="majorHAnsi"/>
          <w:sz w:val="20"/>
          <w:szCs w:val="20"/>
        </w:rPr>
        <w:t xml:space="preserve"> multipl</w:t>
      </w:r>
      <w:r w:rsidR="00A274B7">
        <w:rPr>
          <w:rFonts w:asciiTheme="majorHAnsi" w:hAnsiTheme="majorHAnsi"/>
          <w:sz w:val="20"/>
          <w:szCs w:val="20"/>
        </w:rPr>
        <w:t>e</w:t>
      </w:r>
      <w:r w:rsidR="008E351F" w:rsidRPr="00A51861">
        <w:rPr>
          <w:rFonts w:asciiTheme="majorHAnsi" w:hAnsiTheme="majorHAnsi"/>
          <w:sz w:val="20"/>
          <w:szCs w:val="20"/>
        </w:rPr>
        <w:t xml:space="preserve"> </w:t>
      </w:r>
      <w:r w:rsidR="00A274B7">
        <w:rPr>
          <w:rFonts w:asciiTheme="majorHAnsi" w:hAnsiTheme="majorHAnsi"/>
          <w:sz w:val="20"/>
          <w:szCs w:val="20"/>
        </w:rPr>
        <w:t>pieces of evidence in order for them to be included into the casefile</w:t>
      </w:r>
      <w:r w:rsidR="008E351F" w:rsidRPr="00A51861">
        <w:rPr>
          <w:rStyle w:val="FootnoteReference"/>
          <w:rFonts w:asciiTheme="majorHAnsi" w:hAnsiTheme="majorHAnsi"/>
          <w:sz w:val="20"/>
          <w:szCs w:val="20"/>
        </w:rPr>
        <w:footnoteReference w:id="69"/>
      </w:r>
      <w:r w:rsidR="008E351F" w:rsidRPr="00A51861">
        <w:rPr>
          <w:rFonts w:asciiTheme="majorHAnsi" w:hAnsiTheme="majorHAnsi"/>
          <w:sz w:val="20"/>
          <w:szCs w:val="20"/>
        </w:rPr>
        <w:t xml:space="preserve">. </w:t>
      </w:r>
      <w:r w:rsidR="00A274B7">
        <w:rPr>
          <w:rFonts w:asciiTheme="majorHAnsi" w:hAnsiTheme="majorHAnsi"/>
          <w:sz w:val="20"/>
          <w:szCs w:val="20"/>
        </w:rPr>
        <w:t>Inter alia</w:t>
      </w:r>
      <w:r w:rsidR="008E351F" w:rsidRPr="00A51861">
        <w:rPr>
          <w:rFonts w:asciiTheme="majorHAnsi" w:hAnsiTheme="majorHAnsi"/>
          <w:sz w:val="20"/>
          <w:szCs w:val="20"/>
        </w:rPr>
        <w:t xml:space="preserve">, </w:t>
      </w:r>
      <w:r w:rsidR="00A274B7">
        <w:rPr>
          <w:rFonts w:asciiTheme="majorHAnsi" w:hAnsiTheme="majorHAnsi"/>
          <w:sz w:val="20"/>
          <w:szCs w:val="20"/>
        </w:rPr>
        <w:t>it was requested that</w:t>
      </w:r>
      <w:r w:rsidR="008E351F" w:rsidRPr="00A51861">
        <w:rPr>
          <w:rFonts w:asciiTheme="majorHAnsi" w:hAnsiTheme="majorHAnsi"/>
          <w:sz w:val="20"/>
          <w:szCs w:val="20"/>
        </w:rPr>
        <w:t xml:space="preserve"> </w:t>
      </w:r>
      <w:r w:rsidR="00A274B7">
        <w:rPr>
          <w:rFonts w:asciiTheme="majorHAnsi" w:hAnsiTheme="majorHAnsi"/>
          <w:sz w:val="20"/>
          <w:szCs w:val="20"/>
        </w:rPr>
        <w:t>the name</w:t>
      </w:r>
      <w:r>
        <w:rPr>
          <w:rFonts w:asciiTheme="majorHAnsi" w:hAnsiTheme="majorHAnsi"/>
          <w:sz w:val="20"/>
          <w:szCs w:val="20"/>
        </w:rPr>
        <w:t xml:space="preserve"> of </w:t>
      </w:r>
      <w:r w:rsidR="00A51861" w:rsidRPr="00A51861">
        <w:rPr>
          <w:rFonts w:asciiTheme="majorHAnsi" w:hAnsiTheme="majorHAnsi"/>
          <w:sz w:val="20"/>
          <w:szCs w:val="20"/>
        </w:rPr>
        <w:t>the alleged victim</w:t>
      </w:r>
      <w:r w:rsidR="008E351F" w:rsidRPr="00A51861">
        <w:rPr>
          <w:rFonts w:asciiTheme="majorHAnsi" w:hAnsiTheme="majorHAnsi"/>
          <w:sz w:val="20"/>
          <w:szCs w:val="20"/>
        </w:rPr>
        <w:t xml:space="preserve"> </w:t>
      </w:r>
      <w:r w:rsidR="00A274B7">
        <w:rPr>
          <w:rFonts w:asciiTheme="majorHAnsi" w:hAnsiTheme="majorHAnsi"/>
          <w:sz w:val="20"/>
          <w:szCs w:val="20"/>
        </w:rPr>
        <w:t>present in the</w:t>
      </w:r>
      <w:r w:rsidR="008E351F" w:rsidRPr="00A51861">
        <w:rPr>
          <w:rFonts w:asciiTheme="majorHAnsi" w:hAnsiTheme="majorHAnsi"/>
          <w:sz w:val="20"/>
          <w:szCs w:val="20"/>
        </w:rPr>
        <w:t xml:space="preserve"> </w:t>
      </w:r>
      <w:r w:rsidR="00B90CEF">
        <w:rPr>
          <w:rFonts w:asciiTheme="majorHAnsi" w:hAnsiTheme="majorHAnsi"/>
          <w:sz w:val="20"/>
          <w:szCs w:val="20"/>
        </w:rPr>
        <w:t xml:space="preserve">National Directorate of Migrations </w:t>
      </w:r>
      <w:r>
        <w:rPr>
          <w:rFonts w:asciiTheme="majorHAnsi" w:hAnsiTheme="majorHAnsi"/>
          <w:sz w:val="20"/>
          <w:szCs w:val="20"/>
        </w:rPr>
        <w:t xml:space="preserve">of </w:t>
      </w:r>
      <w:r w:rsidR="008E351F" w:rsidRPr="00A51861">
        <w:rPr>
          <w:rFonts w:asciiTheme="majorHAnsi" w:hAnsiTheme="majorHAnsi"/>
          <w:sz w:val="20"/>
          <w:szCs w:val="20"/>
        </w:rPr>
        <w:t>Argentina</w:t>
      </w:r>
      <w:r w:rsidR="00A274B7">
        <w:rPr>
          <w:rFonts w:asciiTheme="majorHAnsi" w:hAnsiTheme="majorHAnsi"/>
          <w:sz w:val="20"/>
          <w:szCs w:val="20"/>
        </w:rPr>
        <w:t xml:space="preserve"> were included in the casefile</w:t>
      </w:r>
      <w:r w:rsidR="008E351F" w:rsidRPr="00A51861">
        <w:rPr>
          <w:rFonts w:asciiTheme="majorHAnsi" w:hAnsiTheme="majorHAnsi"/>
          <w:sz w:val="20"/>
          <w:szCs w:val="20"/>
        </w:rPr>
        <w:t xml:space="preserve">; </w:t>
      </w:r>
      <w:r w:rsidR="00A274B7">
        <w:rPr>
          <w:rFonts w:asciiTheme="majorHAnsi" w:hAnsiTheme="majorHAnsi"/>
          <w:sz w:val="20"/>
          <w:szCs w:val="20"/>
        </w:rPr>
        <w:t>other</w:t>
      </w:r>
      <w:r w:rsidR="008E351F" w:rsidRPr="00A51861">
        <w:rPr>
          <w:rFonts w:asciiTheme="majorHAnsi" w:hAnsiTheme="majorHAnsi"/>
          <w:sz w:val="20"/>
          <w:szCs w:val="20"/>
        </w:rPr>
        <w:t xml:space="preserve"> </w:t>
      </w:r>
      <w:r w:rsidR="00A274B7">
        <w:rPr>
          <w:rFonts w:asciiTheme="majorHAnsi" w:hAnsiTheme="majorHAnsi"/>
          <w:sz w:val="20"/>
          <w:szCs w:val="20"/>
        </w:rPr>
        <w:t>casefile</w:t>
      </w:r>
      <w:r w:rsidR="008E351F" w:rsidRPr="00A51861">
        <w:rPr>
          <w:rFonts w:asciiTheme="majorHAnsi" w:hAnsiTheme="majorHAnsi"/>
          <w:sz w:val="20"/>
          <w:szCs w:val="20"/>
        </w:rPr>
        <w:t xml:space="preserve">s </w:t>
      </w:r>
      <w:r w:rsidR="00A274B7">
        <w:rPr>
          <w:rFonts w:asciiTheme="majorHAnsi" w:hAnsiTheme="majorHAnsi"/>
          <w:sz w:val="20"/>
          <w:szCs w:val="20"/>
        </w:rPr>
        <w:t>filed before the</w:t>
      </w:r>
      <w:r w:rsidR="008E351F" w:rsidRPr="00A51861">
        <w:rPr>
          <w:rFonts w:asciiTheme="majorHAnsi" w:hAnsiTheme="majorHAnsi"/>
          <w:sz w:val="20"/>
          <w:szCs w:val="20"/>
        </w:rPr>
        <w:t xml:space="preserve"> </w:t>
      </w:r>
      <w:r w:rsidR="004078DB">
        <w:rPr>
          <w:rFonts w:asciiTheme="majorHAnsi" w:hAnsiTheme="majorHAnsi"/>
          <w:sz w:val="20"/>
          <w:szCs w:val="20"/>
        </w:rPr>
        <w:t>Ministry of Justice</w:t>
      </w:r>
      <w:r w:rsidR="004B400F">
        <w:rPr>
          <w:rFonts w:asciiTheme="majorHAnsi" w:hAnsiTheme="majorHAnsi"/>
          <w:sz w:val="20"/>
          <w:szCs w:val="20"/>
        </w:rPr>
        <w:t xml:space="preserve"> and Human Rights </w:t>
      </w:r>
      <w:r w:rsidR="00B47E06">
        <w:rPr>
          <w:rFonts w:asciiTheme="majorHAnsi" w:hAnsiTheme="majorHAnsi"/>
          <w:sz w:val="20"/>
          <w:szCs w:val="20"/>
        </w:rPr>
        <w:t>benefit</w:t>
      </w:r>
      <w:r w:rsidR="008E351F" w:rsidRPr="00A51861">
        <w:rPr>
          <w:rFonts w:asciiTheme="majorHAnsi" w:hAnsiTheme="majorHAnsi"/>
          <w:sz w:val="20"/>
          <w:szCs w:val="20"/>
        </w:rPr>
        <w:t>s</w:t>
      </w:r>
      <w:r>
        <w:rPr>
          <w:rFonts w:asciiTheme="majorHAnsi" w:hAnsiTheme="majorHAnsi"/>
          <w:sz w:val="20"/>
          <w:szCs w:val="20"/>
        </w:rPr>
        <w:t xml:space="preserve"> of </w:t>
      </w:r>
      <w:r w:rsidR="002835FC" w:rsidRPr="00A51861">
        <w:rPr>
          <w:rFonts w:asciiTheme="majorHAnsi" w:hAnsiTheme="majorHAnsi"/>
          <w:sz w:val="20"/>
          <w:szCs w:val="20"/>
        </w:rPr>
        <w:t xml:space="preserve">Law </w:t>
      </w:r>
      <w:r w:rsidR="008E351F" w:rsidRPr="00A51861">
        <w:rPr>
          <w:rFonts w:asciiTheme="majorHAnsi" w:hAnsiTheme="majorHAnsi"/>
          <w:sz w:val="20"/>
          <w:szCs w:val="20"/>
        </w:rPr>
        <w:t xml:space="preserve">24.043 </w:t>
      </w:r>
      <w:r w:rsidR="00A274B7">
        <w:rPr>
          <w:rFonts w:asciiTheme="majorHAnsi" w:hAnsiTheme="majorHAnsi"/>
          <w:sz w:val="20"/>
          <w:szCs w:val="20"/>
        </w:rPr>
        <w:t>were claimed in facts connected to those suffered by</w:t>
      </w:r>
      <w:r w:rsidR="008E351F" w:rsidRPr="00A51861">
        <w:rPr>
          <w:rFonts w:asciiTheme="majorHAnsi" w:hAnsiTheme="majorHAnsi"/>
          <w:sz w:val="20"/>
          <w:szCs w:val="20"/>
        </w:rPr>
        <w:t xml:space="preserve"> </w:t>
      </w:r>
      <w:r w:rsidR="00A51861" w:rsidRPr="00A51861">
        <w:rPr>
          <w:rFonts w:asciiTheme="majorHAnsi" w:hAnsiTheme="majorHAnsi"/>
          <w:sz w:val="20"/>
          <w:szCs w:val="20"/>
        </w:rPr>
        <w:t xml:space="preserve">Mr. </w:t>
      </w:r>
      <w:r w:rsidR="00BD093F">
        <w:rPr>
          <w:rFonts w:asciiTheme="majorHAnsi" w:hAnsiTheme="majorHAnsi"/>
          <w:sz w:val="20"/>
          <w:szCs w:val="20"/>
        </w:rPr>
        <w:t xml:space="preserve">Rito de los </w:t>
      </w:r>
      <w:r w:rsidR="008E351F" w:rsidRPr="00A51861">
        <w:rPr>
          <w:rFonts w:asciiTheme="majorHAnsi" w:hAnsiTheme="majorHAnsi"/>
          <w:sz w:val="20"/>
          <w:szCs w:val="20"/>
        </w:rPr>
        <w:t xml:space="preserve">Santos; </w:t>
      </w:r>
      <w:r w:rsidR="008F52B5">
        <w:rPr>
          <w:rFonts w:asciiTheme="majorHAnsi" w:hAnsiTheme="majorHAnsi"/>
          <w:sz w:val="20"/>
          <w:szCs w:val="20"/>
        </w:rPr>
        <w:t>that the statements from</w:t>
      </w:r>
      <w:r>
        <w:rPr>
          <w:rFonts w:asciiTheme="majorHAnsi" w:hAnsiTheme="majorHAnsi"/>
          <w:sz w:val="20"/>
          <w:szCs w:val="20"/>
        </w:rPr>
        <w:t xml:space="preserve"> </w:t>
      </w:r>
      <w:r w:rsidR="003A78FE">
        <w:rPr>
          <w:rFonts w:asciiTheme="majorHAnsi" w:hAnsiTheme="majorHAnsi"/>
          <w:sz w:val="20"/>
          <w:szCs w:val="20"/>
        </w:rPr>
        <w:t>several</w:t>
      </w:r>
      <w:r w:rsidR="008E351F" w:rsidRPr="00A51861">
        <w:rPr>
          <w:rFonts w:asciiTheme="majorHAnsi" w:hAnsiTheme="majorHAnsi"/>
          <w:sz w:val="20"/>
          <w:szCs w:val="20"/>
        </w:rPr>
        <w:t xml:space="preserve"> </w:t>
      </w:r>
      <w:r w:rsidR="008F52B5">
        <w:rPr>
          <w:rFonts w:asciiTheme="majorHAnsi" w:hAnsiTheme="majorHAnsi"/>
          <w:sz w:val="20"/>
          <w:szCs w:val="20"/>
        </w:rPr>
        <w:t>witnesses were heard</w:t>
      </w:r>
      <w:r w:rsidR="008E351F" w:rsidRPr="00A51861">
        <w:rPr>
          <w:rFonts w:asciiTheme="majorHAnsi" w:hAnsiTheme="majorHAnsi"/>
          <w:sz w:val="20"/>
          <w:szCs w:val="20"/>
        </w:rPr>
        <w:t>;</w:t>
      </w:r>
      <w:r>
        <w:rPr>
          <w:rFonts w:asciiTheme="majorHAnsi" w:hAnsiTheme="majorHAnsi"/>
          <w:sz w:val="20"/>
          <w:szCs w:val="20"/>
        </w:rPr>
        <w:t xml:space="preserve"> and </w:t>
      </w:r>
      <w:r w:rsidR="008F52B5">
        <w:rPr>
          <w:rFonts w:asciiTheme="majorHAnsi" w:hAnsiTheme="majorHAnsi"/>
          <w:sz w:val="20"/>
          <w:szCs w:val="20"/>
        </w:rPr>
        <w:t>that different</w:t>
      </w:r>
      <w:r w:rsidR="008E351F" w:rsidRPr="00A51861">
        <w:rPr>
          <w:rFonts w:asciiTheme="majorHAnsi" w:hAnsiTheme="majorHAnsi"/>
          <w:sz w:val="20"/>
          <w:szCs w:val="20"/>
        </w:rPr>
        <w:t xml:space="preserve"> </w:t>
      </w:r>
      <w:r w:rsidR="008E2F10">
        <w:rPr>
          <w:rFonts w:asciiTheme="majorHAnsi" w:hAnsiTheme="majorHAnsi"/>
          <w:sz w:val="20"/>
          <w:szCs w:val="20"/>
        </w:rPr>
        <w:t>bodies</w:t>
      </w:r>
      <w:r w:rsidR="008E351F" w:rsidRPr="00A51861">
        <w:rPr>
          <w:rFonts w:asciiTheme="majorHAnsi" w:hAnsiTheme="majorHAnsi"/>
          <w:sz w:val="20"/>
          <w:szCs w:val="20"/>
        </w:rPr>
        <w:t xml:space="preserve"> </w:t>
      </w:r>
      <w:r w:rsidR="00F92BA8">
        <w:rPr>
          <w:rFonts w:asciiTheme="majorHAnsi" w:hAnsiTheme="majorHAnsi"/>
          <w:sz w:val="20"/>
          <w:szCs w:val="20"/>
        </w:rPr>
        <w:t>of the State</w:t>
      </w:r>
      <w:r w:rsidR="008F52B5">
        <w:rPr>
          <w:rFonts w:asciiTheme="majorHAnsi" w:hAnsiTheme="majorHAnsi"/>
          <w:sz w:val="20"/>
          <w:szCs w:val="20"/>
        </w:rPr>
        <w:t xml:space="preserve"> were officiated</w:t>
      </w:r>
      <w:r w:rsidR="008E351F" w:rsidRPr="00A51861">
        <w:rPr>
          <w:rFonts w:asciiTheme="majorHAnsi" w:hAnsiTheme="majorHAnsi"/>
          <w:sz w:val="20"/>
          <w:szCs w:val="20"/>
        </w:rPr>
        <w:t xml:space="preserve">, </w:t>
      </w:r>
      <w:r w:rsidR="008F52B5">
        <w:rPr>
          <w:rFonts w:asciiTheme="majorHAnsi" w:hAnsiTheme="majorHAnsi"/>
          <w:sz w:val="20"/>
          <w:szCs w:val="20"/>
        </w:rPr>
        <w:t>in order to obtain</w:t>
      </w:r>
      <w:r w:rsidR="008E351F" w:rsidRPr="00A51861">
        <w:rPr>
          <w:rFonts w:asciiTheme="majorHAnsi" w:hAnsiTheme="majorHAnsi"/>
          <w:sz w:val="20"/>
          <w:szCs w:val="20"/>
        </w:rPr>
        <w:t xml:space="preserve"> </w:t>
      </w:r>
      <w:r w:rsidR="008F52B5" w:rsidRPr="00A51861">
        <w:rPr>
          <w:rFonts w:asciiTheme="majorHAnsi" w:hAnsiTheme="majorHAnsi"/>
          <w:sz w:val="20"/>
          <w:szCs w:val="20"/>
        </w:rPr>
        <w:t xml:space="preserve">relevant </w:t>
      </w:r>
      <w:r w:rsidR="00A51861" w:rsidRPr="00A51861">
        <w:rPr>
          <w:rFonts w:asciiTheme="majorHAnsi" w:hAnsiTheme="majorHAnsi"/>
          <w:sz w:val="20"/>
          <w:szCs w:val="20"/>
        </w:rPr>
        <w:t>information</w:t>
      </w:r>
      <w:r w:rsidR="008E351F" w:rsidRPr="00A51861">
        <w:rPr>
          <w:rFonts w:asciiTheme="majorHAnsi" w:hAnsiTheme="majorHAnsi"/>
          <w:sz w:val="20"/>
          <w:szCs w:val="20"/>
        </w:rPr>
        <w:t xml:space="preserve"> </w:t>
      </w:r>
      <w:r w:rsidR="008F52B5">
        <w:rPr>
          <w:rFonts w:asciiTheme="majorHAnsi" w:hAnsiTheme="majorHAnsi"/>
          <w:sz w:val="20"/>
          <w:szCs w:val="20"/>
        </w:rPr>
        <w:t xml:space="preserve">concerning the case </w:t>
      </w:r>
      <w:r>
        <w:rPr>
          <w:rFonts w:asciiTheme="majorHAnsi" w:hAnsiTheme="majorHAnsi"/>
          <w:sz w:val="20"/>
          <w:szCs w:val="20"/>
        </w:rPr>
        <w:t xml:space="preserve">of </w:t>
      </w:r>
      <w:r w:rsidR="00A51861" w:rsidRPr="00A51861">
        <w:rPr>
          <w:rFonts w:asciiTheme="majorHAnsi" w:hAnsiTheme="majorHAnsi"/>
          <w:sz w:val="20"/>
          <w:szCs w:val="20"/>
        </w:rPr>
        <w:t>the alleged victim</w:t>
      </w:r>
      <w:r w:rsidR="008E351F" w:rsidRPr="00A51861">
        <w:rPr>
          <w:rStyle w:val="FootnoteReference"/>
          <w:rFonts w:asciiTheme="majorHAnsi" w:hAnsiTheme="majorHAnsi"/>
          <w:sz w:val="20"/>
          <w:szCs w:val="20"/>
        </w:rPr>
        <w:footnoteReference w:id="70"/>
      </w:r>
      <w:r w:rsidR="001D1D61">
        <w:rPr>
          <w:rFonts w:asciiTheme="majorHAnsi" w:hAnsiTheme="majorHAnsi"/>
          <w:sz w:val="20"/>
          <w:szCs w:val="20"/>
        </w:rPr>
        <w:t>. Th</w:t>
      </w:r>
      <w:r>
        <w:rPr>
          <w:rFonts w:asciiTheme="majorHAnsi" w:hAnsiTheme="majorHAnsi"/>
          <w:sz w:val="20"/>
          <w:szCs w:val="20"/>
        </w:rPr>
        <w:t>e petitioner</w:t>
      </w:r>
      <w:r w:rsidR="008E351F" w:rsidRPr="00A51861">
        <w:rPr>
          <w:rFonts w:asciiTheme="majorHAnsi" w:hAnsiTheme="majorHAnsi"/>
          <w:sz w:val="20"/>
          <w:szCs w:val="20"/>
        </w:rPr>
        <w:t xml:space="preserve"> </w:t>
      </w:r>
      <w:r w:rsidR="008F52B5">
        <w:rPr>
          <w:rFonts w:asciiTheme="majorHAnsi" w:hAnsiTheme="majorHAnsi"/>
          <w:sz w:val="20"/>
          <w:szCs w:val="20"/>
        </w:rPr>
        <w:t>held that</w:t>
      </w:r>
      <w:r w:rsidR="008E351F" w:rsidRPr="00A51861">
        <w:rPr>
          <w:rFonts w:asciiTheme="majorHAnsi" w:hAnsiTheme="majorHAnsi"/>
          <w:sz w:val="20"/>
          <w:szCs w:val="20"/>
        </w:rPr>
        <w:t xml:space="preserve"> “</w:t>
      </w:r>
      <w:r w:rsidR="008F52B5">
        <w:rPr>
          <w:rFonts w:asciiTheme="majorHAnsi" w:hAnsiTheme="majorHAnsi"/>
          <w:sz w:val="20"/>
          <w:szCs w:val="20"/>
        </w:rPr>
        <w:t>both in the</w:t>
      </w:r>
      <w:r w:rsidR="008E351F" w:rsidRPr="00A51861">
        <w:rPr>
          <w:rFonts w:asciiTheme="majorHAnsi" w:hAnsiTheme="majorHAnsi"/>
          <w:sz w:val="20"/>
          <w:szCs w:val="20"/>
        </w:rPr>
        <w:t xml:space="preserve"> administrativ</w:t>
      </w:r>
      <w:r w:rsidR="008F52B5">
        <w:rPr>
          <w:rFonts w:asciiTheme="majorHAnsi" w:hAnsiTheme="majorHAnsi"/>
          <w:sz w:val="20"/>
          <w:szCs w:val="20"/>
        </w:rPr>
        <w:t>e</w:t>
      </w:r>
      <w:r w:rsidR="008E351F" w:rsidRPr="00A51861">
        <w:rPr>
          <w:rFonts w:asciiTheme="majorHAnsi" w:hAnsiTheme="majorHAnsi"/>
          <w:sz w:val="20"/>
          <w:szCs w:val="20"/>
        </w:rPr>
        <w:t xml:space="preserve"> </w:t>
      </w:r>
      <w:r w:rsidR="008F52B5">
        <w:rPr>
          <w:rFonts w:asciiTheme="majorHAnsi" w:hAnsiTheme="majorHAnsi"/>
          <w:sz w:val="20"/>
          <w:szCs w:val="20"/>
        </w:rPr>
        <w:t>and in the</w:t>
      </w:r>
      <w:r w:rsidR="008E351F" w:rsidRPr="00A51861">
        <w:rPr>
          <w:rFonts w:asciiTheme="majorHAnsi" w:hAnsiTheme="majorHAnsi"/>
          <w:sz w:val="20"/>
          <w:szCs w:val="20"/>
        </w:rPr>
        <w:t xml:space="preserve"> judicial</w:t>
      </w:r>
      <w:r w:rsidR="008F52B5">
        <w:rPr>
          <w:rFonts w:asciiTheme="majorHAnsi" w:hAnsiTheme="majorHAnsi"/>
          <w:sz w:val="20"/>
          <w:szCs w:val="20"/>
        </w:rPr>
        <w:t xml:space="preserve"> channel</w:t>
      </w:r>
      <w:r w:rsidR="008E351F" w:rsidRPr="00A51861">
        <w:rPr>
          <w:rFonts w:asciiTheme="majorHAnsi" w:hAnsiTheme="majorHAnsi"/>
          <w:sz w:val="20"/>
          <w:szCs w:val="20"/>
        </w:rPr>
        <w:t xml:space="preserve">, </w:t>
      </w:r>
      <w:r w:rsidR="00F92BA8">
        <w:rPr>
          <w:rFonts w:asciiTheme="majorHAnsi" w:hAnsiTheme="majorHAnsi"/>
          <w:sz w:val="20"/>
          <w:szCs w:val="20"/>
        </w:rPr>
        <w:t>the Argentine State</w:t>
      </w:r>
      <w:r w:rsidR="008E351F" w:rsidRPr="00A51861">
        <w:rPr>
          <w:rFonts w:asciiTheme="majorHAnsi" w:hAnsiTheme="majorHAnsi"/>
          <w:sz w:val="20"/>
          <w:szCs w:val="20"/>
        </w:rPr>
        <w:t xml:space="preserve"> </w:t>
      </w:r>
      <w:r w:rsidR="008F52B5">
        <w:rPr>
          <w:rFonts w:asciiTheme="majorHAnsi" w:hAnsiTheme="majorHAnsi"/>
          <w:sz w:val="20"/>
          <w:szCs w:val="20"/>
        </w:rPr>
        <w:t>limited to add documentary evidence</w:t>
      </w:r>
      <w:r>
        <w:rPr>
          <w:rFonts w:asciiTheme="majorHAnsi" w:hAnsiTheme="majorHAnsi"/>
          <w:sz w:val="20"/>
          <w:szCs w:val="20"/>
        </w:rPr>
        <w:t xml:space="preserve"> </w:t>
      </w:r>
      <w:r w:rsidR="008F52B5">
        <w:rPr>
          <w:rFonts w:asciiTheme="majorHAnsi" w:hAnsiTheme="majorHAnsi"/>
          <w:sz w:val="20"/>
          <w:szCs w:val="20"/>
        </w:rPr>
        <w:t>and both the documentary evidence added afterward and the informative and testimonial evidence did not earn a formal denial,</w:t>
      </w:r>
      <w:r w:rsidR="00521E91">
        <w:rPr>
          <w:rFonts w:asciiTheme="majorHAnsi" w:hAnsiTheme="majorHAnsi"/>
          <w:sz w:val="20"/>
          <w:szCs w:val="20"/>
        </w:rPr>
        <w:t xml:space="preserve"> to the extent that it wasn’t even mentioned</w:t>
      </w:r>
      <w:r w:rsidR="008E351F" w:rsidRPr="00A51861">
        <w:rPr>
          <w:rFonts w:asciiTheme="majorHAnsi" w:hAnsiTheme="majorHAnsi"/>
          <w:sz w:val="20"/>
          <w:szCs w:val="20"/>
        </w:rPr>
        <w:t xml:space="preserve"> </w:t>
      </w:r>
      <w:r w:rsidR="00521E91">
        <w:rPr>
          <w:rFonts w:asciiTheme="majorHAnsi" w:hAnsiTheme="majorHAnsi"/>
          <w:sz w:val="20"/>
          <w:szCs w:val="20"/>
        </w:rPr>
        <w:t>by the Chamber of Appeals</w:t>
      </w:r>
      <w:r w:rsidR="008E351F" w:rsidRPr="00A51861">
        <w:rPr>
          <w:rFonts w:asciiTheme="majorHAnsi" w:hAnsiTheme="majorHAnsi"/>
          <w:sz w:val="20"/>
          <w:szCs w:val="20"/>
        </w:rPr>
        <w:t xml:space="preserve"> </w:t>
      </w:r>
      <w:r w:rsidR="00521E91">
        <w:rPr>
          <w:rFonts w:asciiTheme="majorHAnsi" w:hAnsiTheme="majorHAnsi"/>
          <w:sz w:val="20"/>
          <w:szCs w:val="20"/>
        </w:rPr>
        <w:t>nor by the</w:t>
      </w:r>
      <w:r w:rsidR="008E351F" w:rsidRPr="00A51861">
        <w:rPr>
          <w:rFonts w:asciiTheme="majorHAnsi" w:hAnsiTheme="majorHAnsi"/>
          <w:sz w:val="20"/>
          <w:szCs w:val="20"/>
        </w:rPr>
        <w:t xml:space="preserve"> </w:t>
      </w:r>
      <w:r w:rsidR="005D0AC1">
        <w:rPr>
          <w:rFonts w:asciiTheme="majorHAnsi" w:hAnsiTheme="majorHAnsi"/>
          <w:sz w:val="20"/>
          <w:szCs w:val="20"/>
        </w:rPr>
        <w:t>Supreme Court of Justice of the Nation</w:t>
      </w:r>
      <w:r w:rsidR="008E351F" w:rsidRPr="00A51861">
        <w:rPr>
          <w:rFonts w:asciiTheme="majorHAnsi" w:hAnsiTheme="majorHAnsi"/>
          <w:sz w:val="20"/>
          <w:szCs w:val="20"/>
        </w:rPr>
        <w:t>”</w:t>
      </w:r>
      <w:r w:rsidR="008E351F" w:rsidRPr="00A51861">
        <w:rPr>
          <w:rStyle w:val="FootnoteReference"/>
          <w:rFonts w:asciiTheme="majorHAnsi" w:hAnsiTheme="majorHAnsi"/>
          <w:sz w:val="20"/>
          <w:szCs w:val="20"/>
        </w:rPr>
        <w:footnoteReference w:id="71"/>
      </w:r>
      <w:r w:rsidR="008E351F" w:rsidRPr="00A51861">
        <w:rPr>
          <w:rFonts w:asciiTheme="majorHAnsi" w:hAnsiTheme="majorHAnsi"/>
          <w:sz w:val="20"/>
          <w:szCs w:val="20"/>
        </w:rPr>
        <w:t xml:space="preserve">. </w:t>
      </w:r>
    </w:p>
    <w:p w14:paraId="4D6B6FAB" w14:textId="77777777" w:rsidR="00BD59D0" w:rsidRPr="00A51861" w:rsidRDefault="00BD59D0" w:rsidP="008E4D3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rPr>
      </w:pPr>
    </w:p>
    <w:p w14:paraId="2DA7E2D7" w14:textId="0021BCC1" w:rsidR="008E351F" w:rsidRPr="00A51861" w:rsidRDefault="00521E91"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Concerning the</w:t>
      </w:r>
      <w:r w:rsidR="008E351F" w:rsidRPr="00A51861">
        <w:rPr>
          <w:rFonts w:asciiTheme="majorHAnsi" w:hAnsiTheme="majorHAnsi"/>
          <w:sz w:val="20"/>
          <w:szCs w:val="20"/>
        </w:rPr>
        <w:t xml:space="preserve"> </w:t>
      </w:r>
      <w:r w:rsidR="00A274B7">
        <w:rPr>
          <w:rFonts w:asciiTheme="majorHAnsi" w:hAnsiTheme="majorHAnsi"/>
          <w:sz w:val="20"/>
          <w:szCs w:val="20"/>
        </w:rPr>
        <w:t>casefile</w:t>
      </w:r>
      <w:r w:rsidR="008E351F" w:rsidRPr="00A51861">
        <w:rPr>
          <w:rFonts w:asciiTheme="majorHAnsi" w:hAnsiTheme="majorHAnsi"/>
          <w:sz w:val="20"/>
          <w:szCs w:val="20"/>
        </w:rPr>
        <w:t xml:space="preserve"> </w:t>
      </w:r>
      <w:r>
        <w:rPr>
          <w:rFonts w:asciiTheme="majorHAnsi" w:hAnsiTheme="majorHAnsi"/>
          <w:sz w:val="20"/>
          <w:szCs w:val="20"/>
        </w:rPr>
        <w:t>at</w:t>
      </w:r>
      <w:r w:rsidR="008E351F" w:rsidRPr="00A51861">
        <w:rPr>
          <w:rFonts w:asciiTheme="majorHAnsi" w:hAnsiTheme="majorHAnsi"/>
          <w:sz w:val="20"/>
          <w:szCs w:val="20"/>
        </w:rPr>
        <w:t xml:space="preserve"> </w:t>
      </w:r>
      <w:r w:rsidR="0026043F">
        <w:rPr>
          <w:rFonts w:asciiTheme="majorHAnsi" w:hAnsiTheme="majorHAnsi"/>
          <w:sz w:val="20"/>
          <w:szCs w:val="20"/>
        </w:rPr>
        <w:t>the</w:t>
      </w:r>
      <w:r w:rsidR="00185E46">
        <w:rPr>
          <w:rFonts w:asciiTheme="majorHAnsi" w:hAnsiTheme="majorHAnsi"/>
          <w:sz w:val="20"/>
          <w:szCs w:val="20"/>
        </w:rPr>
        <w:t xml:space="preserve"> NDM </w:t>
      </w:r>
      <w:r w:rsidR="008E351F" w:rsidRPr="00A51861">
        <w:rPr>
          <w:rFonts w:asciiTheme="majorHAnsi" w:hAnsiTheme="majorHAnsi"/>
          <w:sz w:val="20"/>
          <w:szCs w:val="20"/>
        </w:rPr>
        <w:t xml:space="preserve">No. 72225/74 </w:t>
      </w:r>
      <w:r>
        <w:rPr>
          <w:rFonts w:asciiTheme="majorHAnsi" w:hAnsiTheme="majorHAnsi"/>
          <w:sz w:val="20"/>
          <w:szCs w:val="20"/>
        </w:rPr>
        <w:t>under the name of</w:t>
      </w:r>
      <w:r w:rsidR="008E351F" w:rsidRPr="00A51861">
        <w:rPr>
          <w:rFonts w:asciiTheme="majorHAnsi" w:hAnsiTheme="majorHAnsi"/>
          <w:sz w:val="20"/>
          <w:szCs w:val="20"/>
        </w:rPr>
        <w:t xml:space="preserve"> </w:t>
      </w:r>
      <w:r w:rsidR="00BD093F">
        <w:rPr>
          <w:rFonts w:asciiTheme="majorHAnsi" w:hAnsiTheme="majorHAnsi"/>
          <w:sz w:val="20"/>
          <w:szCs w:val="20"/>
        </w:rPr>
        <w:t xml:space="preserve">Mr. </w:t>
      </w:r>
      <w:r w:rsidR="008E351F" w:rsidRPr="00A51861">
        <w:rPr>
          <w:rFonts w:asciiTheme="majorHAnsi" w:hAnsiTheme="majorHAnsi"/>
          <w:sz w:val="20"/>
          <w:szCs w:val="20"/>
        </w:rPr>
        <w:t xml:space="preserve">Julio César </w:t>
      </w:r>
      <w:r w:rsidR="00BD093F">
        <w:rPr>
          <w:rFonts w:asciiTheme="majorHAnsi" w:hAnsiTheme="majorHAnsi"/>
          <w:sz w:val="20"/>
          <w:szCs w:val="20"/>
        </w:rPr>
        <w:t xml:space="preserve">Rito de los </w:t>
      </w:r>
      <w:r w:rsidR="008E351F" w:rsidRPr="00A51861">
        <w:rPr>
          <w:rFonts w:asciiTheme="majorHAnsi" w:hAnsiTheme="majorHAnsi"/>
          <w:sz w:val="20"/>
          <w:szCs w:val="20"/>
        </w:rPr>
        <w:t xml:space="preserve">Santos, </w:t>
      </w:r>
      <w:r>
        <w:rPr>
          <w:rFonts w:asciiTheme="majorHAnsi" w:hAnsiTheme="majorHAnsi"/>
          <w:sz w:val="20"/>
          <w:szCs w:val="20"/>
        </w:rPr>
        <w:t>it is noted that by means of a brief of September 16,</w:t>
      </w:r>
      <w:r w:rsidR="00E92985">
        <w:rPr>
          <w:rFonts w:asciiTheme="majorHAnsi" w:hAnsiTheme="majorHAnsi"/>
          <w:sz w:val="20"/>
          <w:szCs w:val="20"/>
        </w:rPr>
        <w:t xml:space="preserve"> </w:t>
      </w:r>
      <w:r w:rsidR="008E351F" w:rsidRPr="00A51861">
        <w:rPr>
          <w:rFonts w:asciiTheme="majorHAnsi" w:hAnsiTheme="majorHAnsi"/>
          <w:sz w:val="20"/>
          <w:szCs w:val="20"/>
        </w:rPr>
        <w:t>2003,</w:t>
      </w:r>
      <w:r w:rsidR="00E92985">
        <w:rPr>
          <w:rFonts w:asciiTheme="majorHAnsi" w:hAnsiTheme="majorHAnsi"/>
          <w:sz w:val="20"/>
          <w:szCs w:val="20"/>
        </w:rPr>
        <w:t xml:space="preserve"> and </w:t>
      </w:r>
      <w:r>
        <w:rPr>
          <w:rFonts w:asciiTheme="majorHAnsi" w:hAnsiTheme="majorHAnsi"/>
          <w:sz w:val="20"/>
          <w:szCs w:val="20"/>
        </w:rPr>
        <w:t>thanks to the efforts</w:t>
      </w:r>
      <w:r w:rsidR="00E92985">
        <w:rPr>
          <w:rFonts w:asciiTheme="majorHAnsi" w:hAnsiTheme="majorHAnsi"/>
          <w:sz w:val="20"/>
          <w:szCs w:val="20"/>
        </w:rPr>
        <w:t xml:space="preserve"> of the </w:t>
      </w:r>
      <w:r>
        <w:rPr>
          <w:rFonts w:asciiTheme="majorHAnsi" w:hAnsiTheme="majorHAnsi"/>
          <w:sz w:val="20"/>
          <w:szCs w:val="20"/>
        </w:rPr>
        <w:t>counselor</w:t>
      </w:r>
      <w:r w:rsidR="00E92985">
        <w:rPr>
          <w:rFonts w:asciiTheme="majorHAnsi" w:hAnsiTheme="majorHAnsi"/>
          <w:sz w:val="20"/>
          <w:szCs w:val="20"/>
        </w:rPr>
        <w:t xml:space="preserve"> of </w:t>
      </w:r>
      <w:r w:rsidR="00A51861" w:rsidRPr="00A51861">
        <w:rPr>
          <w:rFonts w:asciiTheme="majorHAnsi" w:hAnsiTheme="majorHAnsi"/>
          <w:sz w:val="20"/>
          <w:szCs w:val="20"/>
        </w:rPr>
        <w:t>the alleged victim</w:t>
      </w:r>
      <w:r>
        <w:rPr>
          <w:rFonts w:asciiTheme="majorHAnsi" w:hAnsiTheme="majorHAnsi"/>
          <w:sz w:val="20"/>
          <w:szCs w:val="20"/>
        </w:rPr>
        <w:t xml:space="preserve"> himself</w:t>
      </w:r>
      <w:r w:rsidR="008E351F" w:rsidRPr="00A51861">
        <w:rPr>
          <w:rFonts w:asciiTheme="majorHAnsi" w:hAnsiTheme="majorHAnsi"/>
          <w:sz w:val="20"/>
          <w:szCs w:val="20"/>
        </w:rPr>
        <w:t xml:space="preserve">, </w:t>
      </w:r>
      <w:r>
        <w:rPr>
          <w:rFonts w:asciiTheme="majorHAnsi" w:hAnsiTheme="majorHAnsi"/>
          <w:sz w:val="20"/>
          <w:szCs w:val="20"/>
        </w:rPr>
        <w:t>it was included into the casefile that same day</w:t>
      </w:r>
      <w:r w:rsidR="008E351F" w:rsidRPr="00A51861">
        <w:rPr>
          <w:rStyle w:val="FootnoteReference"/>
          <w:rFonts w:asciiTheme="majorHAnsi" w:hAnsiTheme="majorHAnsi"/>
          <w:sz w:val="20"/>
          <w:szCs w:val="20"/>
        </w:rPr>
        <w:footnoteReference w:id="72"/>
      </w:r>
      <w:r w:rsidR="008E351F" w:rsidRPr="00A51861">
        <w:rPr>
          <w:rFonts w:asciiTheme="majorHAnsi" w:hAnsiTheme="majorHAnsi"/>
          <w:sz w:val="20"/>
          <w:szCs w:val="20"/>
        </w:rPr>
        <w:t xml:space="preserve">, </w:t>
      </w:r>
      <w:r>
        <w:rPr>
          <w:rFonts w:asciiTheme="majorHAnsi" w:hAnsiTheme="majorHAnsi"/>
          <w:sz w:val="20"/>
          <w:szCs w:val="20"/>
        </w:rPr>
        <w:t>but only to the extent of the extraordinary instance</w:t>
      </w:r>
      <w:r w:rsidR="008E351F" w:rsidRPr="00A51861">
        <w:rPr>
          <w:rFonts w:asciiTheme="majorHAnsi" w:hAnsiTheme="majorHAnsi"/>
          <w:sz w:val="20"/>
          <w:szCs w:val="20"/>
        </w:rPr>
        <w:t xml:space="preserve"> </w:t>
      </w:r>
      <w:r>
        <w:rPr>
          <w:rFonts w:asciiTheme="majorHAnsi" w:hAnsiTheme="majorHAnsi"/>
          <w:sz w:val="20"/>
          <w:szCs w:val="20"/>
        </w:rPr>
        <w:t>before the</w:t>
      </w:r>
      <w:r w:rsidR="008E351F" w:rsidRPr="00A51861">
        <w:rPr>
          <w:rFonts w:asciiTheme="majorHAnsi" w:hAnsiTheme="majorHAnsi"/>
          <w:sz w:val="20"/>
          <w:szCs w:val="20"/>
        </w:rPr>
        <w:t xml:space="preserve"> </w:t>
      </w:r>
      <w:r w:rsidR="00A63761">
        <w:rPr>
          <w:rFonts w:asciiTheme="majorHAnsi" w:hAnsiTheme="majorHAnsi"/>
          <w:sz w:val="20"/>
          <w:szCs w:val="20"/>
        </w:rPr>
        <w:t>Supreme Court</w:t>
      </w:r>
      <w:r w:rsidR="008E351F" w:rsidRPr="00A51861">
        <w:rPr>
          <w:rFonts w:asciiTheme="majorHAnsi" w:hAnsiTheme="majorHAnsi"/>
          <w:sz w:val="20"/>
          <w:szCs w:val="20"/>
        </w:rPr>
        <w:t xml:space="preserve">, </w:t>
      </w:r>
      <w:r>
        <w:rPr>
          <w:rFonts w:asciiTheme="majorHAnsi" w:hAnsiTheme="majorHAnsi"/>
          <w:sz w:val="20"/>
          <w:szCs w:val="20"/>
        </w:rPr>
        <w:t>the latter understanding that it was not</w:t>
      </w:r>
      <w:r w:rsidR="008E351F" w:rsidRPr="00A51861">
        <w:rPr>
          <w:rFonts w:asciiTheme="majorHAnsi" w:hAnsiTheme="majorHAnsi"/>
          <w:sz w:val="20"/>
          <w:szCs w:val="20"/>
        </w:rPr>
        <w:t xml:space="preserve"> po</w:t>
      </w:r>
      <w:r>
        <w:rPr>
          <w:rFonts w:asciiTheme="majorHAnsi" w:hAnsiTheme="majorHAnsi"/>
          <w:sz w:val="20"/>
          <w:szCs w:val="20"/>
        </w:rPr>
        <w:t>s</w:t>
      </w:r>
      <w:r w:rsidR="008E351F" w:rsidRPr="00A51861">
        <w:rPr>
          <w:rFonts w:asciiTheme="majorHAnsi" w:hAnsiTheme="majorHAnsi"/>
          <w:sz w:val="20"/>
          <w:szCs w:val="20"/>
        </w:rPr>
        <w:t xml:space="preserve">sible </w:t>
      </w:r>
      <w:r>
        <w:rPr>
          <w:rFonts w:asciiTheme="majorHAnsi" w:hAnsiTheme="majorHAnsi"/>
          <w:sz w:val="20"/>
          <w:szCs w:val="20"/>
        </w:rPr>
        <w:t>to add further evidence or</w:t>
      </w:r>
      <w:r w:rsidR="008E351F" w:rsidRPr="00A51861">
        <w:rPr>
          <w:rFonts w:asciiTheme="majorHAnsi" w:hAnsiTheme="majorHAnsi"/>
          <w:sz w:val="20"/>
          <w:szCs w:val="20"/>
        </w:rPr>
        <w:t xml:space="preserve"> </w:t>
      </w:r>
      <w:r>
        <w:rPr>
          <w:rFonts w:asciiTheme="majorHAnsi" w:hAnsiTheme="majorHAnsi"/>
          <w:sz w:val="20"/>
          <w:szCs w:val="20"/>
        </w:rPr>
        <w:t>discussion</w:t>
      </w:r>
      <w:r w:rsidR="00E92985">
        <w:rPr>
          <w:rFonts w:asciiTheme="majorHAnsi" w:hAnsiTheme="majorHAnsi"/>
          <w:sz w:val="20"/>
          <w:szCs w:val="20"/>
        </w:rPr>
        <w:t xml:space="preserve"> of</w:t>
      </w:r>
      <w:r w:rsidR="006A3C04">
        <w:rPr>
          <w:rFonts w:asciiTheme="majorHAnsi" w:hAnsiTheme="majorHAnsi"/>
          <w:sz w:val="20"/>
          <w:szCs w:val="20"/>
        </w:rPr>
        <w:t xml:space="preserve"> the facts</w:t>
      </w:r>
      <w:r w:rsidR="008E351F" w:rsidRPr="00A51861">
        <w:rPr>
          <w:rStyle w:val="FootnoteReference"/>
          <w:rFonts w:asciiTheme="majorHAnsi" w:hAnsiTheme="majorHAnsi"/>
          <w:sz w:val="20"/>
          <w:szCs w:val="20"/>
        </w:rPr>
        <w:footnoteReference w:id="73"/>
      </w:r>
      <w:r w:rsidR="008E351F" w:rsidRPr="00A51861">
        <w:rPr>
          <w:rFonts w:asciiTheme="majorHAnsi" w:hAnsiTheme="majorHAnsi"/>
          <w:sz w:val="20"/>
          <w:szCs w:val="20"/>
        </w:rPr>
        <w:t xml:space="preserve">. </w:t>
      </w:r>
    </w:p>
    <w:p w14:paraId="1CB62547" w14:textId="77777777" w:rsidR="009B439C" w:rsidRPr="00A51861" w:rsidRDefault="009B439C" w:rsidP="008E4D36">
      <w:pPr>
        <w:pStyle w:val="ListParagraph"/>
        <w:rPr>
          <w:rFonts w:asciiTheme="majorHAnsi" w:hAnsiTheme="majorHAnsi"/>
          <w:sz w:val="20"/>
          <w:szCs w:val="20"/>
        </w:rPr>
      </w:pPr>
    </w:p>
    <w:p w14:paraId="12C0E019" w14:textId="6319EA0A" w:rsidR="009B439C" w:rsidRPr="00A51861" w:rsidRDefault="00E92985"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The Commission</w:t>
      </w:r>
      <w:r w:rsidR="009B439C" w:rsidRPr="00A51861">
        <w:rPr>
          <w:rFonts w:asciiTheme="majorHAnsi" w:hAnsiTheme="majorHAnsi"/>
          <w:sz w:val="20"/>
          <w:szCs w:val="20"/>
        </w:rPr>
        <w:t xml:space="preserve"> </w:t>
      </w:r>
      <w:r w:rsidR="00A51861" w:rsidRPr="00A51861">
        <w:rPr>
          <w:rFonts w:asciiTheme="majorHAnsi" w:hAnsiTheme="majorHAnsi"/>
          <w:sz w:val="20"/>
          <w:szCs w:val="20"/>
        </w:rPr>
        <w:t>observes that</w:t>
      </w:r>
      <w:r w:rsidR="009B439C" w:rsidRPr="00A51861">
        <w:rPr>
          <w:rFonts w:asciiTheme="majorHAnsi" w:hAnsiTheme="majorHAnsi"/>
          <w:sz w:val="20"/>
          <w:szCs w:val="20"/>
        </w:rPr>
        <w:t xml:space="preserve"> </w:t>
      </w:r>
      <w:r w:rsidR="00521E91">
        <w:rPr>
          <w:rFonts w:ascii="Cambria" w:hAnsi="Cambria"/>
          <w:color w:val="000000" w:themeColor="text1"/>
          <w:sz w:val="20"/>
          <w:szCs w:val="20"/>
        </w:rPr>
        <w:t>in</w:t>
      </w:r>
      <w:r w:rsidR="009B439C" w:rsidRPr="00A51861">
        <w:rPr>
          <w:rFonts w:asciiTheme="majorHAnsi" w:hAnsiTheme="majorHAnsi"/>
          <w:sz w:val="20"/>
          <w:szCs w:val="20"/>
        </w:rPr>
        <w:t xml:space="preserve"> 2011, </w:t>
      </w:r>
      <w:r w:rsidR="00521E91">
        <w:rPr>
          <w:rFonts w:asciiTheme="majorHAnsi" w:hAnsiTheme="majorHAnsi"/>
          <w:sz w:val="20"/>
          <w:szCs w:val="20"/>
        </w:rPr>
        <w:t>via</w:t>
      </w:r>
      <w:r w:rsidR="009B439C" w:rsidRPr="00A51861">
        <w:rPr>
          <w:rFonts w:asciiTheme="majorHAnsi" w:hAnsiTheme="majorHAnsi"/>
          <w:sz w:val="20"/>
          <w:szCs w:val="20"/>
        </w:rPr>
        <w:t xml:space="preserve"> </w:t>
      </w:r>
      <w:r w:rsidR="0029564F">
        <w:rPr>
          <w:rFonts w:asciiTheme="majorHAnsi" w:hAnsiTheme="majorHAnsi"/>
          <w:sz w:val="20"/>
          <w:szCs w:val="20"/>
        </w:rPr>
        <w:t>Resolution</w:t>
      </w:r>
      <w:r w:rsidR="009B439C" w:rsidRPr="00A51861">
        <w:rPr>
          <w:rFonts w:asciiTheme="majorHAnsi" w:hAnsiTheme="majorHAnsi"/>
          <w:sz w:val="20"/>
          <w:szCs w:val="20"/>
        </w:rPr>
        <w:t xml:space="preserve"> No. </w:t>
      </w:r>
      <w:r w:rsidR="00AB4649" w:rsidRPr="00A51861">
        <w:rPr>
          <w:rFonts w:asciiTheme="majorHAnsi" w:hAnsiTheme="majorHAnsi"/>
          <w:sz w:val="20"/>
          <w:szCs w:val="20"/>
        </w:rPr>
        <w:t>1</w:t>
      </w:r>
      <w:r w:rsidR="009B439C" w:rsidRPr="00A51861">
        <w:rPr>
          <w:rFonts w:asciiTheme="majorHAnsi" w:hAnsiTheme="majorHAnsi"/>
          <w:sz w:val="20"/>
          <w:szCs w:val="20"/>
        </w:rPr>
        <w:t xml:space="preserve">184 </w:t>
      </w:r>
      <w:r w:rsidR="00A51861" w:rsidRPr="00A51861">
        <w:rPr>
          <w:rFonts w:asciiTheme="majorHAnsi" w:hAnsiTheme="majorHAnsi"/>
          <w:sz w:val="20"/>
          <w:szCs w:val="20"/>
        </w:rPr>
        <w:t xml:space="preserve">of the </w:t>
      </w:r>
      <w:r w:rsidR="004078DB">
        <w:rPr>
          <w:rFonts w:asciiTheme="majorHAnsi" w:hAnsiTheme="majorHAnsi"/>
          <w:sz w:val="20"/>
          <w:szCs w:val="20"/>
        </w:rPr>
        <w:t>Ministry of Justice</w:t>
      </w:r>
      <w:r w:rsidR="004B400F">
        <w:rPr>
          <w:rFonts w:asciiTheme="majorHAnsi" w:hAnsiTheme="majorHAnsi"/>
          <w:sz w:val="20"/>
          <w:szCs w:val="20"/>
        </w:rPr>
        <w:t xml:space="preserve"> and Human Rights</w:t>
      </w:r>
      <w:r w:rsidR="00334557" w:rsidRPr="00A51861">
        <w:rPr>
          <w:rStyle w:val="FootnoteReference"/>
          <w:rFonts w:asciiTheme="majorHAnsi" w:hAnsiTheme="majorHAnsi"/>
          <w:sz w:val="20"/>
          <w:szCs w:val="20"/>
        </w:rPr>
        <w:footnoteReference w:id="74"/>
      </w:r>
      <w:r w:rsidR="00E85547" w:rsidRPr="00A51861">
        <w:rPr>
          <w:rFonts w:asciiTheme="majorHAnsi" w:hAnsiTheme="majorHAnsi"/>
          <w:sz w:val="20"/>
          <w:szCs w:val="20"/>
        </w:rPr>
        <w:t xml:space="preserve">, </w:t>
      </w:r>
      <w:r w:rsidR="00521E91">
        <w:rPr>
          <w:rFonts w:asciiTheme="majorHAnsi" w:hAnsiTheme="majorHAnsi"/>
          <w:sz w:val="20"/>
          <w:szCs w:val="20"/>
        </w:rPr>
        <w:t>pursuant to the stipulated by the</w:t>
      </w:r>
      <w:r w:rsidR="009B439C" w:rsidRPr="00A51861">
        <w:rPr>
          <w:rFonts w:asciiTheme="majorHAnsi" w:hAnsiTheme="majorHAnsi"/>
          <w:sz w:val="20"/>
          <w:szCs w:val="20"/>
        </w:rPr>
        <w:t xml:space="preserve"> </w:t>
      </w:r>
      <w:r w:rsidR="00026BBF">
        <w:rPr>
          <w:rFonts w:asciiTheme="majorHAnsi" w:hAnsiTheme="majorHAnsi"/>
          <w:sz w:val="20"/>
          <w:szCs w:val="20"/>
        </w:rPr>
        <w:t>National Chamber of Federal Contentious Administrative Appeals</w:t>
      </w:r>
      <w:r w:rsidR="00334557" w:rsidRPr="00A51861">
        <w:rPr>
          <w:rStyle w:val="FootnoteReference"/>
          <w:rFonts w:asciiTheme="majorHAnsi" w:hAnsiTheme="majorHAnsi"/>
          <w:sz w:val="20"/>
          <w:szCs w:val="20"/>
        </w:rPr>
        <w:footnoteReference w:id="75"/>
      </w:r>
      <w:r w:rsidR="009B439C" w:rsidRPr="00A51861">
        <w:rPr>
          <w:rFonts w:asciiTheme="majorHAnsi" w:hAnsiTheme="majorHAnsi"/>
          <w:sz w:val="20"/>
          <w:szCs w:val="20"/>
        </w:rPr>
        <w:t xml:space="preserve">, </w:t>
      </w:r>
      <w:r w:rsidR="00026BBF">
        <w:rPr>
          <w:rFonts w:asciiTheme="majorHAnsi" w:hAnsiTheme="majorHAnsi"/>
          <w:sz w:val="20"/>
          <w:szCs w:val="20"/>
        </w:rPr>
        <w:t xml:space="preserve">it was ordered to grant the </w:t>
      </w:r>
      <w:r w:rsidR="00B47E06">
        <w:rPr>
          <w:rFonts w:asciiTheme="majorHAnsi" w:hAnsiTheme="majorHAnsi"/>
          <w:sz w:val="20"/>
          <w:szCs w:val="20"/>
        </w:rPr>
        <w:t>benefit</w:t>
      </w:r>
      <w:r>
        <w:rPr>
          <w:rFonts w:asciiTheme="majorHAnsi" w:hAnsiTheme="majorHAnsi"/>
          <w:sz w:val="20"/>
          <w:szCs w:val="20"/>
        </w:rPr>
        <w:t xml:space="preserve"> of </w:t>
      </w:r>
      <w:r w:rsidR="002835FC" w:rsidRPr="00A51861">
        <w:rPr>
          <w:rFonts w:asciiTheme="majorHAnsi" w:hAnsiTheme="majorHAnsi"/>
          <w:sz w:val="20"/>
          <w:szCs w:val="20"/>
        </w:rPr>
        <w:t xml:space="preserve">Law </w:t>
      </w:r>
      <w:r w:rsidR="009B439C" w:rsidRPr="00A51861">
        <w:rPr>
          <w:rFonts w:asciiTheme="majorHAnsi" w:hAnsiTheme="majorHAnsi"/>
          <w:sz w:val="20"/>
          <w:szCs w:val="20"/>
        </w:rPr>
        <w:t xml:space="preserve">24.043 </w:t>
      </w:r>
      <w:r w:rsidR="00026BBF">
        <w:rPr>
          <w:rFonts w:asciiTheme="majorHAnsi" w:hAnsiTheme="majorHAnsi"/>
          <w:sz w:val="20"/>
          <w:szCs w:val="20"/>
        </w:rPr>
        <w:t>to the wife of</w:t>
      </w:r>
      <w:r w:rsidR="009B439C" w:rsidRPr="00A51861">
        <w:rPr>
          <w:rFonts w:asciiTheme="majorHAnsi" w:hAnsiTheme="majorHAnsi"/>
          <w:sz w:val="20"/>
          <w:szCs w:val="20"/>
        </w:rPr>
        <w:t xml:space="preserve"> </w:t>
      </w:r>
      <w:r w:rsidR="00BD093F">
        <w:rPr>
          <w:rFonts w:asciiTheme="majorHAnsi" w:hAnsiTheme="majorHAnsi"/>
          <w:sz w:val="20"/>
          <w:szCs w:val="20"/>
        </w:rPr>
        <w:t xml:space="preserve">Mr. Rito de los </w:t>
      </w:r>
      <w:r w:rsidR="00E85547" w:rsidRPr="00A51861">
        <w:rPr>
          <w:rFonts w:asciiTheme="majorHAnsi" w:hAnsiTheme="majorHAnsi"/>
          <w:sz w:val="20"/>
          <w:szCs w:val="20"/>
        </w:rPr>
        <w:t xml:space="preserve">Santos, Delma Alicia Pi, </w:t>
      </w:r>
      <w:r w:rsidR="00026BBF">
        <w:rPr>
          <w:rFonts w:asciiTheme="majorHAnsi" w:hAnsiTheme="majorHAnsi"/>
          <w:sz w:val="20"/>
          <w:szCs w:val="20"/>
        </w:rPr>
        <w:t>for the same facts transpired between</w:t>
      </w:r>
      <w:r w:rsidR="002D3781" w:rsidRPr="00A51861">
        <w:rPr>
          <w:rFonts w:asciiTheme="majorHAnsi" w:hAnsiTheme="majorHAnsi"/>
          <w:sz w:val="20"/>
          <w:szCs w:val="20"/>
        </w:rPr>
        <w:t xml:space="preserve"> </w:t>
      </w:r>
      <w:r w:rsidR="00E85547" w:rsidRPr="00A51861">
        <w:rPr>
          <w:rFonts w:asciiTheme="majorHAnsi" w:hAnsiTheme="majorHAnsi"/>
          <w:sz w:val="20"/>
          <w:szCs w:val="20"/>
        </w:rPr>
        <w:t>1975</w:t>
      </w:r>
      <w:r>
        <w:rPr>
          <w:rFonts w:asciiTheme="majorHAnsi" w:hAnsiTheme="majorHAnsi"/>
          <w:sz w:val="20"/>
          <w:szCs w:val="20"/>
        </w:rPr>
        <w:t xml:space="preserve"> and </w:t>
      </w:r>
      <w:r w:rsidR="00026BBF">
        <w:rPr>
          <w:rFonts w:asciiTheme="majorHAnsi" w:hAnsiTheme="majorHAnsi"/>
          <w:sz w:val="20"/>
          <w:szCs w:val="20"/>
        </w:rPr>
        <w:t>December</w:t>
      </w:r>
      <w:r>
        <w:rPr>
          <w:rFonts w:asciiTheme="majorHAnsi" w:hAnsiTheme="majorHAnsi"/>
          <w:sz w:val="20"/>
          <w:szCs w:val="20"/>
        </w:rPr>
        <w:t xml:space="preserve"> </w:t>
      </w:r>
      <w:r w:rsidR="00E85547" w:rsidRPr="00A51861">
        <w:rPr>
          <w:rFonts w:asciiTheme="majorHAnsi" w:hAnsiTheme="majorHAnsi"/>
          <w:sz w:val="20"/>
          <w:szCs w:val="20"/>
        </w:rPr>
        <w:t>1983</w:t>
      </w:r>
      <w:r w:rsidR="00E85547" w:rsidRPr="00A51861">
        <w:rPr>
          <w:rStyle w:val="FootnoteReference"/>
          <w:rFonts w:asciiTheme="majorHAnsi" w:hAnsiTheme="majorHAnsi"/>
          <w:sz w:val="20"/>
          <w:szCs w:val="20"/>
        </w:rPr>
        <w:footnoteReference w:id="76"/>
      </w:r>
      <w:r w:rsidR="00E85547" w:rsidRPr="00A51861">
        <w:rPr>
          <w:rFonts w:asciiTheme="majorHAnsi" w:hAnsiTheme="majorHAnsi"/>
          <w:sz w:val="20"/>
          <w:szCs w:val="20"/>
        </w:rPr>
        <w:t>.</w:t>
      </w:r>
    </w:p>
    <w:p w14:paraId="0C61E79E" w14:textId="77777777" w:rsidR="008E351F" w:rsidRPr="00A51861" w:rsidRDefault="008E351F" w:rsidP="008E4D36">
      <w:pPr>
        <w:jc w:val="both"/>
        <w:rPr>
          <w:rFonts w:asciiTheme="majorHAnsi" w:hAnsiTheme="majorHAnsi"/>
          <w:b/>
          <w:sz w:val="20"/>
          <w:szCs w:val="20"/>
        </w:rPr>
      </w:pPr>
    </w:p>
    <w:p w14:paraId="22FF4548" w14:textId="77777777" w:rsidR="00591189" w:rsidRPr="00A51861" w:rsidRDefault="00591189" w:rsidP="00DA471F">
      <w:pPr>
        <w:pStyle w:val="Heading3"/>
        <w:keepNext/>
        <w:numPr>
          <w:ilvl w:val="0"/>
          <w:numId w:val="72"/>
        </w:numPr>
        <w:spacing w:line="240" w:lineRule="auto"/>
        <w:jc w:val="left"/>
        <w:rPr>
          <w:rFonts w:asciiTheme="majorHAnsi" w:hAnsiTheme="majorHAnsi"/>
          <w:b w:val="0"/>
        </w:rPr>
      </w:pPr>
      <w:bookmarkStart w:id="17" w:name="_Toc196383481"/>
      <w:r w:rsidRPr="00A51861">
        <w:rPr>
          <w:rFonts w:asciiTheme="majorHAnsi" w:hAnsiTheme="majorHAnsi"/>
        </w:rPr>
        <w:t>Hugo Daniel Ferreira</w:t>
      </w:r>
      <w:bookmarkEnd w:id="17"/>
    </w:p>
    <w:p w14:paraId="3611AD6E" w14:textId="77777777" w:rsidR="00574915" w:rsidRPr="00A51861" w:rsidRDefault="00574915" w:rsidP="008E4D36">
      <w:pPr>
        <w:jc w:val="both"/>
        <w:rPr>
          <w:rFonts w:asciiTheme="majorHAnsi" w:hAnsiTheme="majorHAnsi"/>
          <w:b/>
          <w:sz w:val="20"/>
          <w:szCs w:val="20"/>
        </w:rPr>
      </w:pPr>
    </w:p>
    <w:p w14:paraId="5F37195E" w14:textId="4DD8BAF6" w:rsidR="00574915" w:rsidRPr="00A51861" w:rsidRDefault="00CB67C7"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On June 2,</w:t>
      </w:r>
      <w:r w:rsidR="00E92985">
        <w:rPr>
          <w:rFonts w:asciiTheme="majorHAnsi" w:hAnsiTheme="majorHAnsi"/>
          <w:sz w:val="20"/>
          <w:szCs w:val="20"/>
        </w:rPr>
        <w:t xml:space="preserve"> </w:t>
      </w:r>
      <w:r w:rsidR="00574915" w:rsidRPr="00A51861">
        <w:rPr>
          <w:rFonts w:asciiTheme="majorHAnsi" w:hAnsiTheme="majorHAnsi"/>
          <w:sz w:val="20"/>
          <w:szCs w:val="20"/>
        </w:rPr>
        <w:t>1974</w:t>
      </w:r>
      <w:r w:rsidR="007E4AFF">
        <w:rPr>
          <w:rFonts w:asciiTheme="majorHAnsi" w:hAnsiTheme="majorHAnsi"/>
          <w:sz w:val="20"/>
          <w:szCs w:val="20"/>
        </w:rPr>
        <w:t>,</w:t>
      </w:r>
      <w:r w:rsidR="00574915" w:rsidRPr="00A51861">
        <w:rPr>
          <w:rFonts w:asciiTheme="majorHAnsi" w:hAnsiTheme="majorHAnsi"/>
          <w:sz w:val="20"/>
          <w:szCs w:val="20"/>
        </w:rPr>
        <w:t xml:space="preserve"> </w:t>
      </w:r>
      <w:r w:rsidR="00A51861" w:rsidRPr="00A51861">
        <w:rPr>
          <w:rFonts w:asciiTheme="majorHAnsi" w:hAnsiTheme="majorHAnsi"/>
          <w:sz w:val="20"/>
          <w:szCs w:val="20"/>
        </w:rPr>
        <w:t xml:space="preserve">Mr. </w:t>
      </w:r>
      <w:r w:rsidR="00574915" w:rsidRPr="00A51861">
        <w:rPr>
          <w:rFonts w:asciiTheme="majorHAnsi" w:hAnsiTheme="majorHAnsi"/>
          <w:sz w:val="20"/>
          <w:szCs w:val="20"/>
        </w:rPr>
        <w:t xml:space="preserve">Hugo Daniel Ferreira </w:t>
      </w:r>
      <w:r>
        <w:rPr>
          <w:rFonts w:asciiTheme="majorHAnsi" w:hAnsiTheme="majorHAnsi"/>
          <w:sz w:val="20"/>
          <w:szCs w:val="20"/>
        </w:rPr>
        <w:t>was</w:t>
      </w:r>
      <w:r w:rsidR="00574915" w:rsidRPr="00A51861">
        <w:rPr>
          <w:rFonts w:asciiTheme="majorHAnsi" w:hAnsiTheme="majorHAnsi"/>
          <w:sz w:val="20"/>
          <w:szCs w:val="20"/>
        </w:rPr>
        <w:t xml:space="preserve"> </w:t>
      </w:r>
      <w:r>
        <w:rPr>
          <w:rFonts w:asciiTheme="majorHAnsi" w:hAnsiTheme="majorHAnsi"/>
          <w:sz w:val="20"/>
          <w:szCs w:val="20"/>
        </w:rPr>
        <w:t>detained</w:t>
      </w:r>
      <w:r w:rsidR="00574915" w:rsidRPr="00A51861">
        <w:rPr>
          <w:rFonts w:asciiTheme="majorHAnsi" w:hAnsiTheme="majorHAnsi"/>
          <w:sz w:val="20"/>
          <w:szCs w:val="20"/>
        </w:rPr>
        <w:t xml:space="preserve"> </w:t>
      </w:r>
      <w:r w:rsidR="00103579">
        <w:rPr>
          <w:rFonts w:asciiTheme="majorHAnsi" w:hAnsiTheme="majorHAnsi"/>
          <w:sz w:val="20"/>
          <w:szCs w:val="20"/>
        </w:rPr>
        <w:t>by Argentine security forces while he was</w:t>
      </w:r>
      <w:r w:rsidR="00574915" w:rsidRPr="00A51861">
        <w:rPr>
          <w:rFonts w:asciiTheme="majorHAnsi" w:hAnsiTheme="majorHAnsi"/>
          <w:sz w:val="20"/>
          <w:szCs w:val="20"/>
        </w:rPr>
        <w:t xml:space="preserve"> participa</w:t>
      </w:r>
      <w:r w:rsidR="00103579">
        <w:rPr>
          <w:rFonts w:asciiTheme="majorHAnsi" w:hAnsiTheme="majorHAnsi"/>
          <w:sz w:val="20"/>
          <w:szCs w:val="20"/>
        </w:rPr>
        <w:t>ting in a political</w:t>
      </w:r>
      <w:r w:rsidR="00C91385">
        <w:rPr>
          <w:rFonts w:asciiTheme="majorHAnsi" w:hAnsiTheme="majorHAnsi"/>
          <w:sz w:val="20"/>
          <w:szCs w:val="20"/>
        </w:rPr>
        <w:t xml:space="preserve"> assembly</w:t>
      </w:r>
      <w:r w:rsidR="00574915" w:rsidRPr="00A51861">
        <w:rPr>
          <w:rFonts w:asciiTheme="majorHAnsi" w:hAnsiTheme="majorHAnsi"/>
          <w:sz w:val="20"/>
          <w:szCs w:val="20"/>
        </w:rPr>
        <w:t xml:space="preserve">, </w:t>
      </w:r>
      <w:r w:rsidR="00103579">
        <w:rPr>
          <w:rFonts w:asciiTheme="majorHAnsi" w:hAnsiTheme="majorHAnsi"/>
          <w:sz w:val="20"/>
          <w:szCs w:val="20"/>
        </w:rPr>
        <w:t>in the same operation where</w:t>
      </w:r>
      <w:r w:rsidR="00574915" w:rsidRPr="00A51861">
        <w:rPr>
          <w:rFonts w:asciiTheme="majorHAnsi" w:hAnsiTheme="majorHAnsi"/>
          <w:sz w:val="20"/>
          <w:szCs w:val="20"/>
        </w:rPr>
        <w:t xml:space="preserve"> </w:t>
      </w:r>
      <w:r w:rsidR="00A51861" w:rsidRPr="00A51861">
        <w:rPr>
          <w:rFonts w:asciiTheme="majorHAnsi" w:hAnsiTheme="majorHAnsi"/>
          <w:sz w:val="20"/>
          <w:szCs w:val="20"/>
        </w:rPr>
        <w:t xml:space="preserve">Mr. </w:t>
      </w:r>
      <w:r w:rsidR="00BD093F">
        <w:rPr>
          <w:rFonts w:asciiTheme="majorHAnsi" w:hAnsiTheme="majorHAnsi"/>
          <w:sz w:val="20"/>
          <w:szCs w:val="20"/>
        </w:rPr>
        <w:t xml:space="preserve">Rito de los </w:t>
      </w:r>
      <w:r w:rsidR="00574915" w:rsidRPr="00A51861">
        <w:rPr>
          <w:rFonts w:asciiTheme="majorHAnsi" w:hAnsiTheme="majorHAnsi"/>
          <w:sz w:val="20"/>
          <w:szCs w:val="20"/>
        </w:rPr>
        <w:t>Santos</w:t>
      </w:r>
      <w:r w:rsidR="00574915" w:rsidRPr="00A51861">
        <w:rPr>
          <w:rFonts w:asciiTheme="majorHAnsi" w:hAnsiTheme="majorHAnsi"/>
          <w:sz w:val="20"/>
          <w:szCs w:val="20"/>
          <w:vertAlign w:val="superscript"/>
        </w:rPr>
        <w:footnoteReference w:id="77"/>
      </w:r>
      <w:r w:rsidR="00103579">
        <w:rPr>
          <w:rFonts w:asciiTheme="majorHAnsi" w:hAnsiTheme="majorHAnsi"/>
          <w:sz w:val="20"/>
          <w:szCs w:val="20"/>
        </w:rPr>
        <w:t xml:space="preserve"> was arrested.</w:t>
      </w:r>
      <w:r w:rsidR="00103579" w:rsidRPr="00A51861">
        <w:rPr>
          <w:rFonts w:asciiTheme="majorHAnsi" w:hAnsiTheme="majorHAnsi"/>
          <w:sz w:val="20"/>
          <w:szCs w:val="20"/>
        </w:rPr>
        <w:t xml:space="preserve"> </w:t>
      </w:r>
      <w:r w:rsidR="00103579">
        <w:rPr>
          <w:rFonts w:asciiTheme="majorHAnsi" w:hAnsiTheme="majorHAnsi"/>
          <w:sz w:val="20"/>
          <w:szCs w:val="20"/>
        </w:rPr>
        <w:t>After his</w:t>
      </w:r>
      <w:r w:rsidR="00574915" w:rsidRPr="00A51861">
        <w:rPr>
          <w:rFonts w:asciiTheme="majorHAnsi" w:hAnsiTheme="majorHAnsi"/>
          <w:sz w:val="20"/>
          <w:szCs w:val="20"/>
        </w:rPr>
        <w:t xml:space="preserve"> </w:t>
      </w:r>
      <w:r w:rsidR="006E255A">
        <w:rPr>
          <w:rFonts w:asciiTheme="majorHAnsi" w:hAnsiTheme="majorHAnsi"/>
          <w:sz w:val="20"/>
          <w:szCs w:val="20"/>
        </w:rPr>
        <w:t>detention</w:t>
      </w:r>
      <w:r w:rsidR="00574915" w:rsidRPr="00A51861">
        <w:rPr>
          <w:rFonts w:asciiTheme="majorHAnsi" w:hAnsiTheme="majorHAnsi"/>
          <w:sz w:val="20"/>
          <w:szCs w:val="20"/>
        </w:rPr>
        <w:t xml:space="preserve">, </w:t>
      </w:r>
      <w:r w:rsidR="00103579">
        <w:rPr>
          <w:rFonts w:asciiTheme="majorHAnsi" w:hAnsiTheme="majorHAnsi"/>
          <w:sz w:val="20"/>
          <w:szCs w:val="20"/>
        </w:rPr>
        <w:t xml:space="preserve">Mr. </w:t>
      </w:r>
      <w:r w:rsidR="00574915" w:rsidRPr="00A51861">
        <w:rPr>
          <w:rFonts w:asciiTheme="majorHAnsi" w:hAnsiTheme="majorHAnsi"/>
          <w:sz w:val="20"/>
          <w:szCs w:val="20"/>
        </w:rPr>
        <w:t xml:space="preserve">Ferreira </w:t>
      </w:r>
      <w:r w:rsidR="00103579">
        <w:rPr>
          <w:rFonts w:asciiTheme="majorHAnsi" w:hAnsiTheme="majorHAnsi"/>
          <w:sz w:val="20"/>
          <w:szCs w:val="20"/>
        </w:rPr>
        <w:t>was transferred to the premises of the Superintendence of Federal Security</w:t>
      </w:r>
      <w:r w:rsidR="00103579" w:rsidRPr="00A51861">
        <w:rPr>
          <w:rFonts w:asciiTheme="majorHAnsi" w:hAnsiTheme="majorHAnsi"/>
          <w:sz w:val="20"/>
          <w:szCs w:val="20"/>
        </w:rPr>
        <w:t xml:space="preserve">, </w:t>
      </w:r>
      <w:r w:rsidR="00103579">
        <w:rPr>
          <w:rFonts w:asciiTheme="majorHAnsi" w:hAnsiTheme="majorHAnsi"/>
          <w:sz w:val="20"/>
          <w:szCs w:val="20"/>
        </w:rPr>
        <w:t>where he was</w:t>
      </w:r>
      <w:r w:rsidR="00103579" w:rsidRPr="00A51861">
        <w:rPr>
          <w:rFonts w:asciiTheme="majorHAnsi" w:hAnsiTheme="majorHAnsi"/>
          <w:sz w:val="20"/>
          <w:szCs w:val="20"/>
        </w:rPr>
        <w:t xml:space="preserve"> interroga</w:t>
      </w:r>
      <w:r w:rsidR="00103579">
        <w:rPr>
          <w:rFonts w:asciiTheme="majorHAnsi" w:hAnsiTheme="majorHAnsi"/>
          <w:sz w:val="20"/>
          <w:szCs w:val="20"/>
        </w:rPr>
        <w:t>te</w:t>
      </w:r>
      <w:r w:rsidR="00103579" w:rsidRPr="00A51861">
        <w:rPr>
          <w:rFonts w:asciiTheme="majorHAnsi" w:hAnsiTheme="majorHAnsi"/>
          <w:sz w:val="20"/>
          <w:szCs w:val="20"/>
        </w:rPr>
        <w:t xml:space="preserve">d </w:t>
      </w:r>
      <w:r w:rsidR="00103579">
        <w:rPr>
          <w:rFonts w:asciiTheme="majorHAnsi" w:hAnsiTheme="majorHAnsi"/>
          <w:sz w:val="20"/>
          <w:szCs w:val="20"/>
        </w:rPr>
        <w:t>on several occasions</w:t>
      </w:r>
      <w:r w:rsidR="00103579" w:rsidRPr="00A51861">
        <w:rPr>
          <w:rFonts w:asciiTheme="majorHAnsi" w:hAnsiTheme="majorHAnsi"/>
          <w:sz w:val="20"/>
          <w:szCs w:val="20"/>
        </w:rPr>
        <w:t xml:space="preserve"> </w:t>
      </w:r>
      <w:r w:rsidR="00103579">
        <w:rPr>
          <w:rFonts w:asciiTheme="majorHAnsi" w:hAnsiTheme="majorHAnsi"/>
          <w:sz w:val="20"/>
          <w:szCs w:val="20"/>
        </w:rPr>
        <w:t>and was forced to sign under pressure</w:t>
      </w:r>
      <w:r w:rsidR="00103579" w:rsidRPr="00A51861">
        <w:rPr>
          <w:rFonts w:asciiTheme="majorHAnsi" w:hAnsiTheme="majorHAnsi"/>
          <w:sz w:val="20"/>
          <w:szCs w:val="20"/>
        </w:rPr>
        <w:t xml:space="preserve">, documents </w:t>
      </w:r>
      <w:r w:rsidR="00103579">
        <w:rPr>
          <w:rFonts w:asciiTheme="majorHAnsi" w:hAnsiTheme="majorHAnsi"/>
          <w:sz w:val="20"/>
          <w:szCs w:val="20"/>
        </w:rPr>
        <w:t xml:space="preserve">that would afterward be used in his proceedings of </w:t>
      </w:r>
      <w:r w:rsidR="00103579" w:rsidRPr="00A51861">
        <w:rPr>
          <w:rFonts w:asciiTheme="majorHAnsi" w:hAnsiTheme="majorHAnsi"/>
          <w:sz w:val="20"/>
          <w:szCs w:val="20"/>
        </w:rPr>
        <w:t>expulsion</w:t>
      </w:r>
      <w:r w:rsidR="00574915" w:rsidRPr="00A51861">
        <w:rPr>
          <w:rFonts w:asciiTheme="majorHAnsi" w:hAnsiTheme="majorHAnsi"/>
          <w:sz w:val="20"/>
          <w:szCs w:val="20"/>
          <w:vertAlign w:val="superscript"/>
        </w:rPr>
        <w:footnoteReference w:id="78"/>
      </w:r>
      <w:r w:rsidR="001D1D61">
        <w:rPr>
          <w:rFonts w:asciiTheme="majorHAnsi" w:hAnsiTheme="majorHAnsi"/>
          <w:sz w:val="20"/>
          <w:szCs w:val="20"/>
        </w:rPr>
        <w:t>. Th</w:t>
      </w:r>
      <w:r w:rsidR="00A51861" w:rsidRPr="00A51861">
        <w:rPr>
          <w:rFonts w:asciiTheme="majorHAnsi" w:hAnsiTheme="majorHAnsi"/>
          <w:sz w:val="20"/>
          <w:szCs w:val="20"/>
        </w:rPr>
        <w:t>e IACHR</w:t>
      </w:r>
      <w:r w:rsidR="00574915" w:rsidRPr="00A51861">
        <w:rPr>
          <w:rFonts w:asciiTheme="majorHAnsi" w:hAnsiTheme="majorHAnsi"/>
          <w:sz w:val="20"/>
          <w:szCs w:val="20"/>
        </w:rPr>
        <w:t xml:space="preserve"> </w:t>
      </w:r>
      <w:r w:rsidR="00A51861" w:rsidRPr="00A51861">
        <w:rPr>
          <w:rFonts w:asciiTheme="majorHAnsi" w:hAnsiTheme="majorHAnsi"/>
          <w:sz w:val="20"/>
          <w:szCs w:val="20"/>
        </w:rPr>
        <w:t>observes that</w:t>
      </w:r>
      <w:r w:rsidR="00574915" w:rsidRPr="00A51861">
        <w:rPr>
          <w:rFonts w:asciiTheme="majorHAnsi" w:hAnsiTheme="majorHAnsi"/>
          <w:sz w:val="20"/>
          <w:szCs w:val="20"/>
        </w:rPr>
        <w:t xml:space="preserve"> </w:t>
      </w:r>
      <w:r w:rsidR="00103579">
        <w:rPr>
          <w:rFonts w:asciiTheme="majorHAnsi" w:hAnsiTheme="majorHAnsi"/>
          <w:sz w:val="20"/>
          <w:szCs w:val="20"/>
        </w:rPr>
        <w:t>the</w:t>
      </w:r>
      <w:r w:rsidR="00574915" w:rsidRPr="00A51861">
        <w:rPr>
          <w:rFonts w:asciiTheme="majorHAnsi" w:hAnsiTheme="majorHAnsi"/>
          <w:sz w:val="20"/>
          <w:szCs w:val="20"/>
        </w:rPr>
        <w:t xml:space="preserve"> </w:t>
      </w:r>
      <w:r w:rsidR="00AA5556">
        <w:rPr>
          <w:rFonts w:asciiTheme="majorHAnsi" w:hAnsiTheme="majorHAnsi"/>
          <w:sz w:val="20"/>
          <w:szCs w:val="20"/>
        </w:rPr>
        <w:t>petition</w:t>
      </w:r>
      <w:r w:rsidR="00574915" w:rsidRPr="00A51861">
        <w:rPr>
          <w:rFonts w:asciiTheme="majorHAnsi" w:hAnsiTheme="majorHAnsi"/>
          <w:sz w:val="20"/>
          <w:szCs w:val="20"/>
        </w:rPr>
        <w:t xml:space="preserve"> </w:t>
      </w:r>
      <w:r w:rsidR="00103579">
        <w:rPr>
          <w:rFonts w:asciiTheme="majorHAnsi" w:hAnsiTheme="majorHAnsi"/>
          <w:sz w:val="20"/>
          <w:szCs w:val="20"/>
        </w:rPr>
        <w:t>did not specify nor did its annexes</w:t>
      </w:r>
      <w:r w:rsidR="00574915" w:rsidRPr="00A51861">
        <w:rPr>
          <w:rFonts w:asciiTheme="majorHAnsi" w:hAnsiTheme="majorHAnsi"/>
          <w:sz w:val="20"/>
          <w:szCs w:val="20"/>
        </w:rPr>
        <w:t xml:space="preserve">, </w:t>
      </w:r>
      <w:r w:rsidR="00103579">
        <w:rPr>
          <w:rFonts w:asciiTheme="majorHAnsi" w:hAnsiTheme="majorHAnsi"/>
          <w:sz w:val="20"/>
          <w:szCs w:val="20"/>
        </w:rPr>
        <w:t>what kind</w:t>
      </w:r>
      <w:r w:rsidR="00E92985">
        <w:rPr>
          <w:rFonts w:asciiTheme="majorHAnsi" w:hAnsiTheme="majorHAnsi"/>
          <w:sz w:val="20"/>
          <w:szCs w:val="20"/>
        </w:rPr>
        <w:t xml:space="preserve"> of </w:t>
      </w:r>
      <w:r w:rsidR="002D7CF5">
        <w:rPr>
          <w:rFonts w:asciiTheme="majorHAnsi" w:hAnsiTheme="majorHAnsi"/>
          <w:sz w:val="20"/>
          <w:szCs w:val="20"/>
        </w:rPr>
        <w:t>documents</w:t>
      </w:r>
      <w:r w:rsidR="00574915" w:rsidRPr="00A51861">
        <w:rPr>
          <w:rFonts w:asciiTheme="majorHAnsi" w:hAnsiTheme="majorHAnsi"/>
          <w:sz w:val="20"/>
          <w:szCs w:val="20"/>
        </w:rPr>
        <w:t xml:space="preserve"> </w:t>
      </w:r>
      <w:r w:rsidR="00103579">
        <w:rPr>
          <w:rFonts w:asciiTheme="majorHAnsi" w:hAnsiTheme="majorHAnsi"/>
          <w:sz w:val="20"/>
          <w:szCs w:val="20"/>
        </w:rPr>
        <w:t>were those which</w:t>
      </w:r>
      <w:r w:rsidR="002D7CF5">
        <w:rPr>
          <w:rFonts w:asciiTheme="majorHAnsi" w:hAnsiTheme="majorHAnsi"/>
          <w:sz w:val="20"/>
          <w:szCs w:val="20"/>
        </w:rPr>
        <w:t xml:space="preserve"> Mr. </w:t>
      </w:r>
      <w:r w:rsidR="00574915" w:rsidRPr="00A51861">
        <w:rPr>
          <w:rFonts w:asciiTheme="majorHAnsi" w:hAnsiTheme="majorHAnsi"/>
          <w:sz w:val="20"/>
          <w:szCs w:val="20"/>
        </w:rPr>
        <w:t>Hugo Daniel</w:t>
      </w:r>
      <w:r w:rsidR="00103579">
        <w:rPr>
          <w:rFonts w:asciiTheme="majorHAnsi" w:hAnsiTheme="majorHAnsi"/>
          <w:sz w:val="20"/>
          <w:szCs w:val="20"/>
        </w:rPr>
        <w:t xml:space="preserve"> was forced to sign</w:t>
      </w:r>
      <w:r w:rsidR="00574915" w:rsidRPr="00A51861">
        <w:rPr>
          <w:rFonts w:asciiTheme="majorHAnsi" w:hAnsiTheme="majorHAnsi"/>
          <w:sz w:val="20"/>
          <w:szCs w:val="20"/>
        </w:rPr>
        <w:t xml:space="preserve">. </w:t>
      </w:r>
    </w:p>
    <w:p w14:paraId="5FD52521" w14:textId="77777777" w:rsidR="00574915" w:rsidRPr="00A51861" w:rsidRDefault="00574915" w:rsidP="008E4D36">
      <w:pPr>
        <w:pStyle w:val="ListParagraph"/>
        <w:rPr>
          <w:rFonts w:asciiTheme="majorHAnsi" w:hAnsiTheme="majorHAnsi"/>
          <w:sz w:val="20"/>
          <w:szCs w:val="20"/>
        </w:rPr>
      </w:pPr>
    </w:p>
    <w:p w14:paraId="0EFE581B" w14:textId="24BDFCCC" w:rsidR="00574915" w:rsidRPr="00A51861" w:rsidRDefault="00103579"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 xml:space="preserve">He was imposed a sentence of </w:t>
      </w:r>
      <w:r w:rsidRPr="00A51861">
        <w:rPr>
          <w:rFonts w:asciiTheme="majorHAnsi" w:hAnsiTheme="majorHAnsi"/>
          <w:sz w:val="20"/>
          <w:szCs w:val="20"/>
        </w:rPr>
        <w:t xml:space="preserve">30 </w:t>
      </w:r>
      <w:r>
        <w:rPr>
          <w:rFonts w:asciiTheme="majorHAnsi" w:hAnsiTheme="majorHAnsi"/>
          <w:sz w:val="20"/>
          <w:szCs w:val="20"/>
        </w:rPr>
        <w:t xml:space="preserve">-day </w:t>
      </w:r>
      <w:r w:rsidRPr="00A51861">
        <w:rPr>
          <w:rFonts w:asciiTheme="majorHAnsi" w:hAnsiTheme="majorHAnsi"/>
          <w:sz w:val="20"/>
          <w:szCs w:val="20"/>
        </w:rPr>
        <w:t>arrest</w:t>
      </w:r>
      <w:r>
        <w:rPr>
          <w:rFonts w:asciiTheme="majorHAnsi" w:hAnsiTheme="majorHAnsi"/>
          <w:sz w:val="20"/>
          <w:szCs w:val="20"/>
        </w:rPr>
        <w:t xml:space="preserve"> f</w:t>
      </w:r>
      <w:r w:rsidRPr="00A51861">
        <w:rPr>
          <w:rFonts w:asciiTheme="majorHAnsi" w:hAnsiTheme="majorHAnsi"/>
          <w:sz w:val="20"/>
          <w:szCs w:val="20"/>
        </w:rPr>
        <w:t xml:space="preserve">or </w:t>
      </w:r>
      <w:r>
        <w:rPr>
          <w:rFonts w:asciiTheme="majorHAnsi" w:hAnsiTheme="majorHAnsi"/>
          <w:sz w:val="20"/>
          <w:szCs w:val="20"/>
        </w:rPr>
        <w:t>violation</w:t>
      </w:r>
      <w:r w:rsidRPr="00A51861">
        <w:rPr>
          <w:rFonts w:asciiTheme="majorHAnsi" w:hAnsiTheme="majorHAnsi"/>
          <w:sz w:val="20"/>
          <w:szCs w:val="20"/>
        </w:rPr>
        <w:t xml:space="preserve"> </w:t>
      </w:r>
      <w:r>
        <w:rPr>
          <w:rFonts w:asciiTheme="majorHAnsi" w:hAnsiTheme="majorHAnsi"/>
          <w:sz w:val="20"/>
          <w:szCs w:val="20"/>
        </w:rPr>
        <w:t>of the</w:t>
      </w:r>
      <w:r w:rsidRPr="00A51861">
        <w:rPr>
          <w:rFonts w:asciiTheme="majorHAnsi" w:hAnsiTheme="majorHAnsi"/>
          <w:sz w:val="20"/>
          <w:szCs w:val="20"/>
        </w:rPr>
        <w:t xml:space="preserve"> </w:t>
      </w:r>
      <w:r>
        <w:rPr>
          <w:rFonts w:asciiTheme="majorHAnsi" w:hAnsiTheme="majorHAnsi"/>
          <w:sz w:val="20"/>
          <w:szCs w:val="20"/>
        </w:rPr>
        <w:t>decree</w:t>
      </w:r>
      <w:r w:rsidRPr="00A51861">
        <w:rPr>
          <w:rFonts w:asciiTheme="majorHAnsi" w:hAnsiTheme="majorHAnsi"/>
          <w:sz w:val="20"/>
          <w:szCs w:val="20"/>
        </w:rPr>
        <w:t xml:space="preserve"> </w:t>
      </w:r>
      <w:r>
        <w:rPr>
          <w:rFonts w:asciiTheme="majorHAnsi" w:hAnsiTheme="majorHAnsi"/>
          <w:sz w:val="20"/>
          <w:szCs w:val="20"/>
        </w:rPr>
        <w:t xml:space="preserve">which prohibited </w:t>
      </w:r>
      <w:r w:rsidR="00160A67">
        <w:rPr>
          <w:rFonts w:asciiTheme="majorHAnsi" w:hAnsiTheme="majorHAnsi"/>
          <w:sz w:val="20"/>
          <w:szCs w:val="20"/>
        </w:rPr>
        <w:t>public assemblies</w:t>
      </w:r>
      <w:r w:rsidRPr="00A51861">
        <w:rPr>
          <w:rFonts w:asciiTheme="majorHAnsi" w:hAnsiTheme="majorHAnsi"/>
          <w:sz w:val="20"/>
          <w:szCs w:val="20"/>
        </w:rPr>
        <w:t xml:space="preserve">, </w:t>
      </w:r>
      <w:r>
        <w:rPr>
          <w:rFonts w:asciiTheme="majorHAnsi" w:hAnsiTheme="majorHAnsi"/>
          <w:sz w:val="20"/>
          <w:szCs w:val="20"/>
        </w:rPr>
        <w:t xml:space="preserve">he was transferred in a prisoner status to the incarceration facility of </w:t>
      </w:r>
      <w:r w:rsidRPr="00A51861">
        <w:rPr>
          <w:rFonts w:asciiTheme="majorHAnsi" w:hAnsiTheme="majorHAnsi"/>
          <w:sz w:val="20"/>
          <w:szCs w:val="20"/>
        </w:rPr>
        <w:t>Villa Devoto,</w:t>
      </w:r>
      <w:r>
        <w:rPr>
          <w:rFonts w:asciiTheme="majorHAnsi" w:hAnsiTheme="majorHAnsi"/>
          <w:sz w:val="20"/>
          <w:szCs w:val="20"/>
        </w:rPr>
        <w:t xml:space="preserve"> and set free after </w:t>
      </w:r>
      <w:r w:rsidRPr="00A51861">
        <w:rPr>
          <w:rFonts w:asciiTheme="majorHAnsi" w:hAnsiTheme="majorHAnsi"/>
          <w:sz w:val="20"/>
          <w:szCs w:val="20"/>
        </w:rPr>
        <w:t xml:space="preserve">15 </w:t>
      </w:r>
      <w:r>
        <w:rPr>
          <w:rFonts w:asciiTheme="majorHAnsi" w:hAnsiTheme="majorHAnsi"/>
          <w:sz w:val="20"/>
          <w:szCs w:val="20"/>
        </w:rPr>
        <w:t>day</w:t>
      </w:r>
      <w:r w:rsidR="00FE4608" w:rsidRPr="00A51861">
        <w:rPr>
          <w:rFonts w:asciiTheme="majorHAnsi" w:hAnsiTheme="majorHAnsi"/>
          <w:sz w:val="20"/>
          <w:szCs w:val="20"/>
        </w:rPr>
        <w:t>s</w:t>
      </w:r>
      <w:r w:rsidR="00574915" w:rsidRPr="00A51861">
        <w:rPr>
          <w:rFonts w:asciiTheme="majorHAnsi" w:hAnsiTheme="majorHAnsi"/>
          <w:sz w:val="20"/>
          <w:szCs w:val="20"/>
          <w:vertAlign w:val="superscript"/>
        </w:rPr>
        <w:footnoteReference w:id="79"/>
      </w:r>
      <w:r w:rsidR="00574915" w:rsidRPr="00A51861">
        <w:rPr>
          <w:rFonts w:asciiTheme="majorHAnsi" w:hAnsiTheme="majorHAnsi"/>
          <w:sz w:val="20"/>
          <w:szCs w:val="20"/>
        </w:rPr>
        <w:t xml:space="preserve">.  </w:t>
      </w:r>
    </w:p>
    <w:p w14:paraId="4E86B39D" w14:textId="77777777" w:rsidR="00574915" w:rsidRPr="00A51861" w:rsidRDefault="00574915" w:rsidP="008E4D36">
      <w:pPr>
        <w:pStyle w:val="ListParagraph"/>
        <w:rPr>
          <w:rFonts w:asciiTheme="majorHAnsi" w:hAnsiTheme="majorHAnsi"/>
          <w:sz w:val="20"/>
          <w:szCs w:val="20"/>
        </w:rPr>
      </w:pPr>
    </w:p>
    <w:p w14:paraId="20A56388" w14:textId="1D1AB1BF" w:rsidR="00574915" w:rsidRPr="00A51861" w:rsidRDefault="00103579"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After his release</w:t>
      </w:r>
      <w:r w:rsidR="00FE4608" w:rsidRPr="00A51861">
        <w:rPr>
          <w:rFonts w:asciiTheme="majorHAnsi" w:hAnsiTheme="majorHAnsi"/>
          <w:sz w:val="20"/>
          <w:szCs w:val="20"/>
        </w:rPr>
        <w:t xml:space="preserve">, </w:t>
      </w:r>
      <w:r w:rsidR="00A51861" w:rsidRPr="00A51861">
        <w:rPr>
          <w:rFonts w:asciiTheme="majorHAnsi" w:hAnsiTheme="majorHAnsi"/>
          <w:sz w:val="20"/>
          <w:szCs w:val="20"/>
        </w:rPr>
        <w:t xml:space="preserve">Mr. </w:t>
      </w:r>
      <w:r w:rsidR="00574915" w:rsidRPr="00A51861">
        <w:rPr>
          <w:rFonts w:asciiTheme="majorHAnsi" w:hAnsiTheme="majorHAnsi"/>
          <w:sz w:val="20"/>
          <w:szCs w:val="20"/>
        </w:rPr>
        <w:t>Ferreira</w:t>
      </w:r>
      <w:r w:rsidR="00E92985">
        <w:rPr>
          <w:rFonts w:asciiTheme="majorHAnsi" w:hAnsiTheme="majorHAnsi"/>
          <w:sz w:val="20"/>
          <w:szCs w:val="20"/>
        </w:rPr>
        <w:t xml:space="preserve"> and </w:t>
      </w:r>
      <w:r>
        <w:rPr>
          <w:rFonts w:asciiTheme="majorHAnsi" w:hAnsiTheme="majorHAnsi"/>
          <w:sz w:val="20"/>
          <w:szCs w:val="20"/>
        </w:rPr>
        <w:t>his family</w:t>
      </w:r>
      <w:r w:rsidR="00574915" w:rsidRPr="00A51861">
        <w:rPr>
          <w:rFonts w:asciiTheme="majorHAnsi" w:hAnsiTheme="majorHAnsi"/>
          <w:sz w:val="20"/>
          <w:szCs w:val="20"/>
        </w:rPr>
        <w:t xml:space="preserve"> </w:t>
      </w:r>
      <w:r>
        <w:rPr>
          <w:rFonts w:asciiTheme="majorHAnsi" w:hAnsiTheme="majorHAnsi"/>
          <w:sz w:val="20"/>
          <w:szCs w:val="20"/>
        </w:rPr>
        <w:t xml:space="preserve">had to change their </w:t>
      </w:r>
      <w:r w:rsidRPr="00A51861">
        <w:rPr>
          <w:rFonts w:asciiTheme="majorHAnsi" w:hAnsiTheme="majorHAnsi"/>
          <w:sz w:val="20"/>
          <w:szCs w:val="20"/>
        </w:rPr>
        <w:t>domicil</w:t>
      </w:r>
      <w:r>
        <w:rPr>
          <w:rFonts w:asciiTheme="majorHAnsi" w:hAnsiTheme="majorHAnsi"/>
          <w:sz w:val="20"/>
          <w:szCs w:val="20"/>
        </w:rPr>
        <w:t>e</w:t>
      </w:r>
      <w:r w:rsidRPr="00A51861">
        <w:rPr>
          <w:rFonts w:asciiTheme="majorHAnsi" w:hAnsiTheme="majorHAnsi"/>
          <w:sz w:val="20"/>
          <w:szCs w:val="20"/>
        </w:rPr>
        <w:t xml:space="preserve"> </w:t>
      </w:r>
      <w:r>
        <w:rPr>
          <w:rFonts w:asciiTheme="majorHAnsi" w:hAnsiTheme="majorHAnsi"/>
          <w:sz w:val="20"/>
          <w:szCs w:val="20"/>
        </w:rPr>
        <w:t>several times</w:t>
      </w:r>
      <w:r w:rsidRPr="00A51861">
        <w:rPr>
          <w:rFonts w:asciiTheme="majorHAnsi" w:hAnsiTheme="majorHAnsi"/>
          <w:sz w:val="20"/>
          <w:szCs w:val="20"/>
        </w:rPr>
        <w:t xml:space="preserve">, </w:t>
      </w:r>
      <w:r>
        <w:rPr>
          <w:rFonts w:asciiTheme="majorHAnsi" w:hAnsiTheme="majorHAnsi"/>
          <w:sz w:val="20"/>
          <w:szCs w:val="20"/>
        </w:rPr>
        <w:t>since on repeated</w:t>
      </w:r>
      <w:r w:rsidRPr="00A51861">
        <w:rPr>
          <w:rFonts w:asciiTheme="majorHAnsi" w:hAnsiTheme="majorHAnsi"/>
          <w:sz w:val="20"/>
          <w:szCs w:val="20"/>
        </w:rPr>
        <w:t xml:space="preserve"> op</w:t>
      </w:r>
      <w:r>
        <w:rPr>
          <w:rFonts w:asciiTheme="majorHAnsi" w:hAnsiTheme="majorHAnsi"/>
          <w:sz w:val="20"/>
          <w:szCs w:val="20"/>
        </w:rPr>
        <w:t>p</w:t>
      </w:r>
      <w:r w:rsidRPr="00A51861">
        <w:rPr>
          <w:rFonts w:asciiTheme="majorHAnsi" w:hAnsiTheme="majorHAnsi"/>
          <w:sz w:val="20"/>
          <w:szCs w:val="20"/>
        </w:rPr>
        <w:t>ortuni</w:t>
      </w:r>
      <w:r>
        <w:rPr>
          <w:rFonts w:asciiTheme="majorHAnsi" w:hAnsiTheme="majorHAnsi"/>
          <w:sz w:val="20"/>
          <w:szCs w:val="20"/>
        </w:rPr>
        <w:t>ti</w:t>
      </w:r>
      <w:r w:rsidRPr="00A51861">
        <w:rPr>
          <w:rFonts w:asciiTheme="majorHAnsi" w:hAnsiTheme="majorHAnsi"/>
          <w:sz w:val="20"/>
          <w:szCs w:val="20"/>
        </w:rPr>
        <w:t xml:space="preserve">es </w:t>
      </w:r>
      <w:r>
        <w:rPr>
          <w:rFonts w:asciiTheme="majorHAnsi" w:hAnsiTheme="majorHAnsi"/>
          <w:sz w:val="20"/>
          <w:szCs w:val="20"/>
        </w:rPr>
        <w:t>persons</w:t>
      </w:r>
      <w:r w:rsidRPr="00A51861">
        <w:rPr>
          <w:rFonts w:asciiTheme="majorHAnsi" w:hAnsiTheme="majorHAnsi"/>
          <w:sz w:val="20"/>
          <w:szCs w:val="20"/>
        </w:rPr>
        <w:t xml:space="preserve"> </w:t>
      </w:r>
      <w:r>
        <w:rPr>
          <w:rFonts w:asciiTheme="majorHAnsi" w:hAnsiTheme="majorHAnsi"/>
          <w:sz w:val="20"/>
          <w:szCs w:val="20"/>
        </w:rPr>
        <w:t xml:space="preserve">dressed in </w:t>
      </w:r>
      <w:r w:rsidRPr="00A51861">
        <w:rPr>
          <w:rFonts w:asciiTheme="majorHAnsi" w:hAnsiTheme="majorHAnsi"/>
          <w:sz w:val="20"/>
          <w:szCs w:val="20"/>
        </w:rPr>
        <w:t>civil</w:t>
      </w:r>
      <w:r>
        <w:rPr>
          <w:rFonts w:asciiTheme="majorHAnsi" w:hAnsiTheme="majorHAnsi"/>
          <w:sz w:val="20"/>
          <w:szCs w:val="20"/>
        </w:rPr>
        <w:t>ian clothes</w:t>
      </w:r>
      <w:r w:rsidRPr="00A51861">
        <w:rPr>
          <w:rFonts w:asciiTheme="majorHAnsi" w:hAnsiTheme="majorHAnsi"/>
          <w:sz w:val="20"/>
          <w:szCs w:val="20"/>
        </w:rPr>
        <w:t xml:space="preserve"> </w:t>
      </w:r>
      <w:r>
        <w:rPr>
          <w:rFonts w:asciiTheme="majorHAnsi" w:hAnsiTheme="majorHAnsi"/>
          <w:sz w:val="20"/>
          <w:szCs w:val="20"/>
        </w:rPr>
        <w:t>appeared to ask for his whereabouts</w:t>
      </w:r>
      <w:r w:rsidR="00574915" w:rsidRPr="00A51861">
        <w:rPr>
          <w:rStyle w:val="FootnoteReference"/>
          <w:rFonts w:asciiTheme="majorHAnsi" w:hAnsiTheme="majorHAnsi"/>
          <w:sz w:val="20"/>
          <w:szCs w:val="20"/>
        </w:rPr>
        <w:footnoteReference w:id="80"/>
      </w:r>
      <w:r w:rsidR="00574915" w:rsidRPr="00A51861">
        <w:rPr>
          <w:rFonts w:asciiTheme="majorHAnsi" w:hAnsiTheme="majorHAnsi"/>
          <w:sz w:val="20"/>
          <w:szCs w:val="20"/>
        </w:rPr>
        <w:t xml:space="preserve">. </w:t>
      </w:r>
      <w:r w:rsidR="003A78FE">
        <w:rPr>
          <w:rFonts w:ascii="Cambria" w:hAnsi="Cambria"/>
          <w:color w:val="000000" w:themeColor="text1"/>
          <w:sz w:val="20"/>
          <w:szCs w:val="20"/>
        </w:rPr>
        <w:t>Several</w:t>
      </w:r>
      <w:r w:rsidR="00E92985">
        <w:rPr>
          <w:rFonts w:asciiTheme="majorHAnsi" w:hAnsiTheme="majorHAnsi"/>
          <w:sz w:val="20"/>
          <w:szCs w:val="20"/>
        </w:rPr>
        <w:t xml:space="preserve"> </w:t>
      </w:r>
      <w:r>
        <w:rPr>
          <w:rFonts w:asciiTheme="majorHAnsi" w:hAnsiTheme="majorHAnsi"/>
          <w:sz w:val="20"/>
          <w:szCs w:val="20"/>
        </w:rPr>
        <w:t>of the homes where they lived</w:t>
      </w:r>
      <w:r w:rsidR="00574915" w:rsidRPr="00A51861">
        <w:rPr>
          <w:rFonts w:asciiTheme="majorHAnsi" w:hAnsiTheme="majorHAnsi"/>
          <w:sz w:val="20"/>
          <w:szCs w:val="20"/>
        </w:rPr>
        <w:t>,</w:t>
      </w:r>
      <w:r w:rsidR="00E92985">
        <w:rPr>
          <w:rFonts w:asciiTheme="majorHAnsi" w:hAnsiTheme="majorHAnsi"/>
          <w:sz w:val="20"/>
          <w:szCs w:val="20"/>
        </w:rPr>
        <w:t xml:space="preserve"> and </w:t>
      </w:r>
      <w:r>
        <w:rPr>
          <w:rFonts w:asciiTheme="majorHAnsi" w:hAnsiTheme="majorHAnsi"/>
          <w:sz w:val="20"/>
          <w:szCs w:val="20"/>
        </w:rPr>
        <w:t>which they had to</w:t>
      </w:r>
      <w:r w:rsidR="00574915" w:rsidRPr="00A51861">
        <w:rPr>
          <w:rFonts w:asciiTheme="majorHAnsi" w:hAnsiTheme="majorHAnsi"/>
          <w:sz w:val="20"/>
          <w:szCs w:val="20"/>
        </w:rPr>
        <w:t xml:space="preserve"> abandon</w:t>
      </w:r>
      <w:r>
        <w:rPr>
          <w:rFonts w:asciiTheme="majorHAnsi" w:hAnsiTheme="majorHAnsi"/>
          <w:sz w:val="20"/>
          <w:szCs w:val="20"/>
        </w:rPr>
        <w:t xml:space="preserve"> due to the</w:t>
      </w:r>
      <w:r w:rsidR="00574915" w:rsidRPr="00A51861">
        <w:rPr>
          <w:rFonts w:asciiTheme="majorHAnsi" w:hAnsiTheme="majorHAnsi"/>
          <w:sz w:val="20"/>
          <w:szCs w:val="20"/>
        </w:rPr>
        <w:t xml:space="preserve"> constant </w:t>
      </w:r>
      <w:r>
        <w:rPr>
          <w:rFonts w:asciiTheme="majorHAnsi" w:hAnsiTheme="majorHAnsi"/>
          <w:sz w:val="20"/>
          <w:szCs w:val="20"/>
        </w:rPr>
        <w:t>surveillance</w:t>
      </w:r>
      <w:r w:rsidR="00E92985">
        <w:rPr>
          <w:rFonts w:asciiTheme="majorHAnsi" w:hAnsiTheme="majorHAnsi"/>
          <w:sz w:val="20"/>
          <w:szCs w:val="20"/>
        </w:rPr>
        <w:t xml:space="preserve"> of </w:t>
      </w:r>
      <w:r w:rsidRPr="00A51861">
        <w:rPr>
          <w:rFonts w:asciiTheme="majorHAnsi" w:hAnsiTheme="majorHAnsi"/>
          <w:sz w:val="20"/>
          <w:szCs w:val="20"/>
        </w:rPr>
        <w:t>polic</w:t>
      </w:r>
      <w:r>
        <w:rPr>
          <w:rFonts w:asciiTheme="majorHAnsi" w:hAnsiTheme="majorHAnsi"/>
          <w:sz w:val="20"/>
          <w:szCs w:val="20"/>
        </w:rPr>
        <w:t>e</w:t>
      </w:r>
      <w:r w:rsidRPr="00A51861">
        <w:rPr>
          <w:rFonts w:asciiTheme="majorHAnsi" w:hAnsiTheme="majorHAnsi"/>
          <w:sz w:val="20"/>
          <w:szCs w:val="20"/>
        </w:rPr>
        <w:t xml:space="preserve"> </w:t>
      </w:r>
      <w:r>
        <w:rPr>
          <w:rFonts w:asciiTheme="majorHAnsi" w:hAnsiTheme="majorHAnsi"/>
          <w:sz w:val="20"/>
          <w:szCs w:val="20"/>
        </w:rPr>
        <w:t>staff</w:t>
      </w:r>
      <w:r w:rsidR="00574915" w:rsidRPr="00A51861">
        <w:rPr>
          <w:rFonts w:asciiTheme="majorHAnsi" w:hAnsiTheme="majorHAnsi"/>
          <w:sz w:val="20"/>
          <w:szCs w:val="20"/>
        </w:rPr>
        <w:t xml:space="preserve">, </w:t>
      </w:r>
      <w:r>
        <w:rPr>
          <w:rFonts w:asciiTheme="majorHAnsi" w:hAnsiTheme="majorHAnsi"/>
          <w:sz w:val="20"/>
          <w:szCs w:val="20"/>
        </w:rPr>
        <w:t>were raided in search of</w:t>
      </w:r>
      <w:r w:rsidR="00574915" w:rsidRPr="00A51861">
        <w:rPr>
          <w:rFonts w:asciiTheme="majorHAnsi" w:hAnsiTheme="majorHAnsi"/>
          <w:sz w:val="20"/>
          <w:szCs w:val="20"/>
        </w:rPr>
        <w:t xml:space="preserve"> </w:t>
      </w:r>
      <w:r w:rsidR="00BD093F">
        <w:rPr>
          <w:rFonts w:asciiTheme="majorHAnsi" w:hAnsiTheme="majorHAnsi"/>
          <w:sz w:val="20"/>
          <w:szCs w:val="20"/>
        </w:rPr>
        <w:t xml:space="preserve">Mr. </w:t>
      </w:r>
      <w:r w:rsidR="00574915" w:rsidRPr="00A51861">
        <w:rPr>
          <w:rFonts w:asciiTheme="majorHAnsi" w:hAnsiTheme="majorHAnsi"/>
          <w:sz w:val="20"/>
          <w:szCs w:val="20"/>
        </w:rPr>
        <w:t xml:space="preserve">Ferreira </w:t>
      </w:r>
      <w:r>
        <w:rPr>
          <w:rFonts w:asciiTheme="majorHAnsi" w:hAnsiTheme="majorHAnsi"/>
          <w:sz w:val="20"/>
          <w:szCs w:val="20"/>
        </w:rPr>
        <w:t>right after they had left</w:t>
      </w:r>
      <w:r w:rsidR="00574915" w:rsidRPr="00A51861">
        <w:rPr>
          <w:rStyle w:val="FootnoteReference"/>
          <w:rFonts w:asciiTheme="majorHAnsi" w:hAnsiTheme="majorHAnsi"/>
          <w:sz w:val="20"/>
          <w:szCs w:val="20"/>
        </w:rPr>
        <w:footnoteReference w:id="81"/>
      </w:r>
      <w:r w:rsidR="00574915" w:rsidRPr="00A51861">
        <w:rPr>
          <w:rFonts w:asciiTheme="majorHAnsi" w:hAnsiTheme="majorHAnsi"/>
          <w:sz w:val="20"/>
          <w:szCs w:val="20"/>
        </w:rPr>
        <w:t xml:space="preserve">. </w:t>
      </w:r>
      <w:r>
        <w:rPr>
          <w:rFonts w:asciiTheme="majorHAnsi" w:hAnsiTheme="majorHAnsi"/>
          <w:sz w:val="20"/>
          <w:szCs w:val="20"/>
        </w:rPr>
        <w:t>I</w:t>
      </w:r>
      <w:r w:rsidR="00574915" w:rsidRPr="00A51861">
        <w:rPr>
          <w:rFonts w:asciiTheme="majorHAnsi" w:hAnsiTheme="majorHAnsi"/>
          <w:sz w:val="20"/>
          <w:szCs w:val="20"/>
        </w:rPr>
        <w:t>n</w:t>
      </w:r>
      <w:r w:rsidR="00E64C43">
        <w:rPr>
          <w:rFonts w:asciiTheme="majorHAnsi" w:hAnsiTheme="majorHAnsi"/>
          <w:sz w:val="20"/>
          <w:szCs w:val="20"/>
        </w:rPr>
        <w:t xml:space="preserve"> this </w:t>
      </w:r>
      <w:r w:rsidR="00940530">
        <w:rPr>
          <w:rFonts w:asciiTheme="majorHAnsi" w:hAnsiTheme="majorHAnsi"/>
          <w:sz w:val="20"/>
          <w:szCs w:val="20"/>
        </w:rPr>
        <w:t>context</w:t>
      </w:r>
      <w:r w:rsidR="00574915" w:rsidRPr="00A51861">
        <w:rPr>
          <w:rFonts w:asciiTheme="majorHAnsi" w:hAnsiTheme="majorHAnsi"/>
          <w:sz w:val="20"/>
          <w:szCs w:val="20"/>
        </w:rPr>
        <w:t xml:space="preserve"> </w:t>
      </w:r>
      <w:r>
        <w:rPr>
          <w:rFonts w:asciiTheme="majorHAnsi" w:hAnsiTheme="majorHAnsi"/>
          <w:sz w:val="20"/>
          <w:szCs w:val="20"/>
        </w:rPr>
        <w:t>he learned</w:t>
      </w:r>
      <w:r w:rsidR="00E92985">
        <w:rPr>
          <w:rFonts w:asciiTheme="majorHAnsi" w:hAnsiTheme="majorHAnsi"/>
          <w:sz w:val="20"/>
          <w:szCs w:val="20"/>
        </w:rPr>
        <w:t xml:space="preserve"> that the </w:t>
      </w:r>
      <w:r w:rsidR="00B90CEF">
        <w:rPr>
          <w:rFonts w:asciiTheme="majorHAnsi" w:hAnsiTheme="majorHAnsi"/>
          <w:sz w:val="20"/>
          <w:szCs w:val="20"/>
        </w:rPr>
        <w:t xml:space="preserve">National Directorate of Migrations </w:t>
      </w:r>
      <w:r>
        <w:rPr>
          <w:rFonts w:asciiTheme="majorHAnsi" w:hAnsiTheme="majorHAnsi"/>
          <w:sz w:val="20"/>
          <w:szCs w:val="20"/>
        </w:rPr>
        <w:t>had ordered his</w:t>
      </w:r>
      <w:r w:rsidR="00574915" w:rsidRPr="00A51861">
        <w:rPr>
          <w:rFonts w:asciiTheme="majorHAnsi" w:hAnsiTheme="majorHAnsi"/>
          <w:sz w:val="20"/>
          <w:szCs w:val="20"/>
        </w:rPr>
        <w:t xml:space="preserve"> </w:t>
      </w:r>
      <w:r>
        <w:rPr>
          <w:rFonts w:asciiTheme="majorHAnsi" w:hAnsiTheme="majorHAnsi"/>
          <w:sz w:val="20"/>
          <w:szCs w:val="20"/>
        </w:rPr>
        <w:t>expulsion from</w:t>
      </w:r>
      <w:r w:rsidR="00E92985">
        <w:rPr>
          <w:rFonts w:asciiTheme="majorHAnsi" w:hAnsiTheme="majorHAnsi"/>
          <w:sz w:val="20"/>
          <w:szCs w:val="20"/>
        </w:rPr>
        <w:t xml:space="preserve"> </w:t>
      </w:r>
      <w:r w:rsidR="00574915" w:rsidRPr="00A51861">
        <w:rPr>
          <w:rFonts w:asciiTheme="majorHAnsi" w:hAnsiTheme="majorHAnsi"/>
          <w:sz w:val="20"/>
          <w:szCs w:val="20"/>
        </w:rPr>
        <w:t xml:space="preserve">Argentina, </w:t>
      </w:r>
      <w:r>
        <w:rPr>
          <w:rFonts w:asciiTheme="majorHAnsi" w:hAnsiTheme="majorHAnsi"/>
          <w:sz w:val="20"/>
          <w:szCs w:val="20"/>
        </w:rPr>
        <w:t>which forced him to</w:t>
      </w:r>
      <w:r w:rsidR="00E42B99">
        <w:rPr>
          <w:rFonts w:asciiTheme="majorHAnsi" w:hAnsiTheme="majorHAnsi"/>
          <w:sz w:val="20"/>
          <w:szCs w:val="20"/>
        </w:rPr>
        <w:t xml:space="preserve"> live in complete</w:t>
      </w:r>
      <w:r w:rsidR="00574915" w:rsidRPr="00A51861">
        <w:rPr>
          <w:rFonts w:asciiTheme="majorHAnsi" w:hAnsiTheme="majorHAnsi"/>
          <w:sz w:val="20"/>
          <w:szCs w:val="20"/>
        </w:rPr>
        <w:t xml:space="preserve"> clandestini</w:t>
      </w:r>
      <w:r w:rsidR="00E42B99">
        <w:rPr>
          <w:rFonts w:asciiTheme="majorHAnsi" w:hAnsiTheme="majorHAnsi"/>
          <w:sz w:val="20"/>
          <w:szCs w:val="20"/>
        </w:rPr>
        <w:t>ty</w:t>
      </w:r>
      <w:r w:rsidR="00574915" w:rsidRPr="00A51861">
        <w:rPr>
          <w:rStyle w:val="FootnoteReference"/>
          <w:rFonts w:asciiTheme="majorHAnsi" w:hAnsiTheme="majorHAnsi"/>
          <w:sz w:val="20"/>
          <w:szCs w:val="20"/>
        </w:rPr>
        <w:footnoteReference w:id="82"/>
      </w:r>
      <w:r w:rsidR="00574915" w:rsidRPr="00A51861">
        <w:rPr>
          <w:rFonts w:asciiTheme="majorHAnsi" w:hAnsiTheme="majorHAnsi"/>
          <w:sz w:val="20"/>
          <w:szCs w:val="20"/>
        </w:rPr>
        <w:t xml:space="preserve">. </w:t>
      </w:r>
    </w:p>
    <w:p w14:paraId="03E8158D" w14:textId="77777777" w:rsidR="00574915" w:rsidRPr="00A51861" w:rsidRDefault="00574915" w:rsidP="008E4D36">
      <w:pPr>
        <w:pStyle w:val="ListParagraph"/>
        <w:rPr>
          <w:rFonts w:asciiTheme="majorHAnsi" w:hAnsiTheme="majorHAnsi"/>
          <w:sz w:val="20"/>
          <w:szCs w:val="20"/>
        </w:rPr>
      </w:pPr>
    </w:p>
    <w:p w14:paraId="798F7E16" w14:textId="1B5CFDDE" w:rsidR="004A476E" w:rsidRPr="00A51861" w:rsidRDefault="00E42B99"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Upon said</w:t>
      </w:r>
      <w:r w:rsidR="00574915" w:rsidRPr="00A51861">
        <w:rPr>
          <w:rFonts w:asciiTheme="majorHAnsi" w:hAnsiTheme="majorHAnsi"/>
          <w:sz w:val="20"/>
          <w:szCs w:val="20"/>
        </w:rPr>
        <w:t xml:space="preserve"> </w:t>
      </w:r>
      <w:r w:rsidR="00E92985">
        <w:rPr>
          <w:rFonts w:asciiTheme="majorHAnsi" w:hAnsiTheme="majorHAnsi"/>
          <w:sz w:val="20"/>
          <w:szCs w:val="20"/>
        </w:rPr>
        <w:t>situation</w:t>
      </w:r>
      <w:r w:rsidR="00574915" w:rsidRPr="00A51861">
        <w:rPr>
          <w:rFonts w:asciiTheme="majorHAnsi" w:hAnsiTheme="majorHAnsi"/>
          <w:sz w:val="20"/>
          <w:szCs w:val="20"/>
        </w:rPr>
        <w:t xml:space="preserve">, </w:t>
      </w:r>
      <w:r w:rsidR="008E2F10">
        <w:rPr>
          <w:rFonts w:asciiTheme="majorHAnsi" w:hAnsiTheme="majorHAnsi"/>
          <w:sz w:val="20"/>
          <w:szCs w:val="20"/>
        </w:rPr>
        <w:t xml:space="preserve">the HCUNR </w:t>
      </w:r>
      <w:r>
        <w:rPr>
          <w:rFonts w:asciiTheme="majorHAnsi" w:hAnsiTheme="majorHAnsi"/>
          <w:sz w:val="20"/>
          <w:szCs w:val="20"/>
        </w:rPr>
        <w:t xml:space="preserve">office </w:t>
      </w:r>
      <w:r w:rsidR="00574915" w:rsidRPr="00A51861">
        <w:rPr>
          <w:rFonts w:asciiTheme="majorHAnsi" w:hAnsiTheme="majorHAnsi"/>
          <w:sz w:val="20"/>
          <w:szCs w:val="20"/>
        </w:rPr>
        <w:t>decid</w:t>
      </w:r>
      <w:r>
        <w:rPr>
          <w:rFonts w:asciiTheme="majorHAnsi" w:hAnsiTheme="majorHAnsi"/>
          <w:sz w:val="20"/>
          <w:szCs w:val="20"/>
        </w:rPr>
        <w:t>ed</w:t>
      </w:r>
      <w:r w:rsidR="00574915" w:rsidRPr="00A51861">
        <w:rPr>
          <w:rFonts w:asciiTheme="majorHAnsi" w:hAnsiTheme="majorHAnsi"/>
          <w:sz w:val="20"/>
          <w:szCs w:val="20"/>
        </w:rPr>
        <w:t xml:space="preserve"> </w:t>
      </w:r>
      <w:r>
        <w:rPr>
          <w:rFonts w:asciiTheme="majorHAnsi" w:hAnsiTheme="majorHAnsi"/>
          <w:sz w:val="20"/>
          <w:szCs w:val="20"/>
        </w:rPr>
        <w:t>to aid the</w:t>
      </w:r>
      <w:r w:rsidR="00574915" w:rsidRPr="00A51861">
        <w:rPr>
          <w:rFonts w:asciiTheme="majorHAnsi" w:hAnsiTheme="majorHAnsi"/>
          <w:sz w:val="20"/>
          <w:szCs w:val="20"/>
        </w:rPr>
        <w:t xml:space="preserve"> Ferreira</w:t>
      </w:r>
      <w:r>
        <w:rPr>
          <w:rFonts w:asciiTheme="majorHAnsi" w:hAnsiTheme="majorHAnsi"/>
          <w:sz w:val="20"/>
          <w:szCs w:val="20"/>
        </w:rPr>
        <w:t xml:space="preserve"> family</w:t>
      </w:r>
      <w:r w:rsidR="00574915" w:rsidRPr="00A51861">
        <w:rPr>
          <w:rFonts w:asciiTheme="majorHAnsi" w:hAnsiTheme="majorHAnsi"/>
          <w:sz w:val="20"/>
          <w:szCs w:val="20"/>
        </w:rPr>
        <w:t xml:space="preserve">, </w:t>
      </w:r>
      <w:r>
        <w:rPr>
          <w:rFonts w:asciiTheme="majorHAnsi" w:hAnsiTheme="majorHAnsi"/>
          <w:sz w:val="20"/>
          <w:szCs w:val="20"/>
        </w:rPr>
        <w:t>whom it hosted in one of its shelters</w:t>
      </w:r>
      <w:r w:rsidR="00574915" w:rsidRPr="00A51861">
        <w:rPr>
          <w:rFonts w:asciiTheme="majorHAnsi" w:hAnsiTheme="majorHAnsi"/>
          <w:sz w:val="20"/>
          <w:szCs w:val="20"/>
        </w:rPr>
        <w:t xml:space="preserve"> </w:t>
      </w:r>
      <w:r>
        <w:rPr>
          <w:rFonts w:asciiTheme="majorHAnsi" w:hAnsiTheme="majorHAnsi"/>
          <w:sz w:val="20"/>
          <w:szCs w:val="20"/>
        </w:rPr>
        <w:t>to ensure their security</w:t>
      </w:r>
      <w:r w:rsidR="00574915" w:rsidRPr="00A51861">
        <w:rPr>
          <w:rStyle w:val="FootnoteReference"/>
          <w:rFonts w:asciiTheme="majorHAnsi" w:hAnsiTheme="majorHAnsi"/>
          <w:sz w:val="20"/>
          <w:szCs w:val="20"/>
        </w:rPr>
        <w:footnoteReference w:id="83"/>
      </w:r>
      <w:r w:rsidR="00574915" w:rsidRPr="00A51861">
        <w:rPr>
          <w:rFonts w:asciiTheme="majorHAnsi" w:hAnsiTheme="majorHAnsi"/>
          <w:sz w:val="20"/>
          <w:szCs w:val="20"/>
        </w:rPr>
        <w:t xml:space="preserve">. </w:t>
      </w:r>
      <w:r>
        <w:rPr>
          <w:rFonts w:asciiTheme="majorHAnsi" w:hAnsiTheme="majorHAnsi"/>
          <w:sz w:val="20"/>
          <w:szCs w:val="20"/>
        </w:rPr>
        <w:t>In parallel</w:t>
      </w:r>
      <w:r w:rsidRPr="00A51861">
        <w:rPr>
          <w:rFonts w:asciiTheme="majorHAnsi" w:hAnsiTheme="majorHAnsi"/>
          <w:sz w:val="20"/>
          <w:szCs w:val="20"/>
        </w:rPr>
        <w:t xml:space="preserve">, </w:t>
      </w:r>
      <w:r>
        <w:rPr>
          <w:rFonts w:asciiTheme="majorHAnsi" w:hAnsiTheme="majorHAnsi"/>
          <w:sz w:val="20"/>
          <w:szCs w:val="20"/>
        </w:rPr>
        <w:t>the alleged victim tried by every means possible to avoid being expelled from the country</w:t>
      </w:r>
      <w:r w:rsidRPr="00A51861">
        <w:rPr>
          <w:rFonts w:asciiTheme="majorHAnsi" w:hAnsiTheme="majorHAnsi"/>
          <w:sz w:val="20"/>
          <w:szCs w:val="20"/>
        </w:rPr>
        <w:t xml:space="preserve">, </w:t>
      </w:r>
      <w:r>
        <w:rPr>
          <w:rFonts w:asciiTheme="majorHAnsi" w:hAnsiTheme="majorHAnsi"/>
          <w:sz w:val="20"/>
          <w:szCs w:val="20"/>
        </w:rPr>
        <w:t xml:space="preserve">upon the risks on his life </w:t>
      </w:r>
      <w:r w:rsidR="008E2F10">
        <w:rPr>
          <w:rFonts w:asciiTheme="majorHAnsi" w:hAnsiTheme="majorHAnsi"/>
          <w:sz w:val="20"/>
          <w:szCs w:val="20"/>
        </w:rPr>
        <w:t>if being</w:t>
      </w:r>
      <w:r>
        <w:rPr>
          <w:rFonts w:asciiTheme="majorHAnsi" w:hAnsiTheme="majorHAnsi"/>
          <w:sz w:val="20"/>
          <w:szCs w:val="20"/>
        </w:rPr>
        <w:t xml:space="preserve"> sent back to</w:t>
      </w:r>
      <w:r w:rsidRPr="00A51861">
        <w:rPr>
          <w:rFonts w:asciiTheme="majorHAnsi" w:hAnsiTheme="majorHAnsi"/>
          <w:sz w:val="20"/>
          <w:szCs w:val="20"/>
        </w:rPr>
        <w:t xml:space="preserve"> </w:t>
      </w:r>
      <w:r w:rsidR="00574915" w:rsidRPr="00A51861">
        <w:rPr>
          <w:rFonts w:asciiTheme="majorHAnsi" w:hAnsiTheme="majorHAnsi"/>
          <w:sz w:val="20"/>
          <w:szCs w:val="20"/>
        </w:rPr>
        <w:t>Uruguay</w:t>
      </w:r>
      <w:r w:rsidR="00574915" w:rsidRPr="00A51861">
        <w:rPr>
          <w:rFonts w:asciiTheme="majorHAnsi" w:hAnsiTheme="majorHAnsi"/>
          <w:sz w:val="20"/>
          <w:szCs w:val="20"/>
          <w:vertAlign w:val="superscript"/>
        </w:rPr>
        <w:footnoteReference w:id="84"/>
      </w:r>
      <w:r w:rsidR="00574915" w:rsidRPr="00A51861">
        <w:rPr>
          <w:rFonts w:asciiTheme="majorHAnsi" w:hAnsiTheme="majorHAnsi"/>
          <w:sz w:val="20"/>
          <w:szCs w:val="20"/>
        </w:rPr>
        <w:t>.</w:t>
      </w:r>
    </w:p>
    <w:p w14:paraId="10E51738" w14:textId="77777777" w:rsidR="004A476E" w:rsidRPr="00A51861" w:rsidRDefault="004A476E" w:rsidP="008E4D36">
      <w:pPr>
        <w:pStyle w:val="ListParagraph"/>
        <w:rPr>
          <w:rFonts w:asciiTheme="majorHAnsi" w:hAnsiTheme="majorHAnsi"/>
          <w:sz w:val="20"/>
          <w:szCs w:val="20"/>
        </w:rPr>
      </w:pPr>
    </w:p>
    <w:p w14:paraId="3FB87152" w14:textId="7EEA8E5C" w:rsidR="004A476E" w:rsidRPr="00A51861" w:rsidRDefault="00E92985"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The Commission</w:t>
      </w:r>
      <w:r w:rsidR="00574915" w:rsidRPr="00A51861">
        <w:rPr>
          <w:rFonts w:asciiTheme="majorHAnsi" w:hAnsiTheme="majorHAnsi"/>
          <w:sz w:val="20"/>
          <w:szCs w:val="20"/>
        </w:rPr>
        <w:t xml:space="preserve"> </w:t>
      </w:r>
      <w:r w:rsidR="00574915" w:rsidRPr="00A51861">
        <w:rPr>
          <w:rFonts w:ascii="Cambria" w:hAnsi="Cambria"/>
          <w:color w:val="000000" w:themeColor="text1"/>
          <w:sz w:val="20"/>
          <w:szCs w:val="20"/>
        </w:rPr>
        <w:t>proce</w:t>
      </w:r>
      <w:r w:rsidR="00E42B99">
        <w:rPr>
          <w:rFonts w:ascii="Cambria" w:hAnsi="Cambria"/>
          <w:color w:val="000000" w:themeColor="text1"/>
          <w:sz w:val="20"/>
          <w:szCs w:val="20"/>
        </w:rPr>
        <w:t>eds</w:t>
      </w:r>
      <w:r w:rsidR="00574915" w:rsidRPr="00A51861">
        <w:rPr>
          <w:rFonts w:asciiTheme="majorHAnsi" w:hAnsiTheme="majorHAnsi"/>
          <w:sz w:val="20"/>
          <w:szCs w:val="20"/>
        </w:rPr>
        <w:t xml:space="preserve"> </w:t>
      </w:r>
      <w:r w:rsidR="00E42B99">
        <w:rPr>
          <w:rFonts w:asciiTheme="majorHAnsi" w:hAnsiTheme="majorHAnsi"/>
          <w:sz w:val="20"/>
          <w:szCs w:val="20"/>
        </w:rPr>
        <w:t>to expose next</w:t>
      </w:r>
      <w:r w:rsidR="00574915" w:rsidRPr="00A51861">
        <w:rPr>
          <w:rFonts w:asciiTheme="majorHAnsi" w:hAnsiTheme="majorHAnsi"/>
          <w:sz w:val="20"/>
          <w:szCs w:val="20"/>
        </w:rPr>
        <w:t xml:space="preserve"> </w:t>
      </w:r>
      <w:r w:rsidR="00E42B99">
        <w:rPr>
          <w:rFonts w:asciiTheme="majorHAnsi" w:hAnsiTheme="majorHAnsi"/>
          <w:sz w:val="20"/>
          <w:szCs w:val="20"/>
        </w:rPr>
        <w:t>the</w:t>
      </w:r>
      <w:r w:rsidR="00574915" w:rsidRPr="00A51861">
        <w:rPr>
          <w:rFonts w:asciiTheme="majorHAnsi" w:hAnsiTheme="majorHAnsi"/>
          <w:sz w:val="20"/>
          <w:szCs w:val="20"/>
        </w:rPr>
        <w:t xml:space="preserve"> act</w:t>
      </w:r>
      <w:r w:rsidR="00E42B99">
        <w:rPr>
          <w:rFonts w:asciiTheme="majorHAnsi" w:hAnsiTheme="majorHAnsi"/>
          <w:sz w:val="20"/>
          <w:szCs w:val="20"/>
        </w:rPr>
        <w:t>s</w:t>
      </w:r>
      <w:r w:rsidR="00574915" w:rsidRPr="00A51861">
        <w:rPr>
          <w:rFonts w:asciiTheme="majorHAnsi" w:hAnsiTheme="majorHAnsi"/>
          <w:sz w:val="20"/>
          <w:szCs w:val="20"/>
        </w:rPr>
        <w:t xml:space="preserve"> </w:t>
      </w:r>
      <w:r w:rsidR="00E42B99">
        <w:rPr>
          <w:rFonts w:asciiTheme="majorHAnsi" w:hAnsiTheme="majorHAnsi"/>
          <w:sz w:val="20"/>
          <w:szCs w:val="20"/>
        </w:rPr>
        <w:t xml:space="preserve">recorded </w:t>
      </w:r>
      <w:r w:rsidR="0029564F">
        <w:rPr>
          <w:rFonts w:asciiTheme="majorHAnsi" w:hAnsiTheme="majorHAnsi"/>
          <w:sz w:val="20"/>
          <w:szCs w:val="20"/>
        </w:rPr>
        <w:t>in the casefile</w:t>
      </w:r>
      <w:r>
        <w:rPr>
          <w:rFonts w:asciiTheme="majorHAnsi" w:hAnsiTheme="majorHAnsi"/>
          <w:sz w:val="20"/>
          <w:szCs w:val="20"/>
        </w:rPr>
        <w:t xml:space="preserve"> of the </w:t>
      </w:r>
      <w:r w:rsidR="008E2F10">
        <w:rPr>
          <w:rFonts w:asciiTheme="majorHAnsi" w:hAnsiTheme="majorHAnsi"/>
          <w:sz w:val="20"/>
          <w:szCs w:val="20"/>
        </w:rPr>
        <w:t>NDM</w:t>
      </w:r>
      <w:r w:rsidR="00574915" w:rsidRPr="00A51861">
        <w:rPr>
          <w:rFonts w:asciiTheme="majorHAnsi" w:hAnsiTheme="majorHAnsi"/>
          <w:sz w:val="20"/>
          <w:szCs w:val="20"/>
        </w:rPr>
        <w:t>,</w:t>
      </w:r>
      <w:r>
        <w:rPr>
          <w:rFonts w:asciiTheme="majorHAnsi" w:hAnsiTheme="majorHAnsi"/>
          <w:sz w:val="20"/>
          <w:szCs w:val="20"/>
        </w:rPr>
        <w:t xml:space="preserve"> and </w:t>
      </w:r>
      <w:r w:rsidR="00E42B99">
        <w:rPr>
          <w:rFonts w:asciiTheme="majorHAnsi" w:hAnsiTheme="majorHAnsi"/>
          <w:sz w:val="20"/>
          <w:szCs w:val="20"/>
        </w:rPr>
        <w:t>the proceedings followed since the</w:t>
      </w:r>
      <w:r w:rsidR="00574915" w:rsidRPr="00A51861">
        <w:rPr>
          <w:rFonts w:asciiTheme="majorHAnsi" w:hAnsiTheme="majorHAnsi"/>
          <w:sz w:val="20"/>
          <w:szCs w:val="20"/>
        </w:rPr>
        <w:t xml:space="preserve"> </w:t>
      </w:r>
      <w:r w:rsidR="006E255A">
        <w:rPr>
          <w:rFonts w:asciiTheme="majorHAnsi" w:hAnsiTheme="majorHAnsi"/>
          <w:sz w:val="20"/>
          <w:szCs w:val="20"/>
        </w:rPr>
        <w:t>detention</w:t>
      </w:r>
      <w:r w:rsidR="00574915" w:rsidRPr="00A51861">
        <w:rPr>
          <w:rFonts w:asciiTheme="majorHAnsi" w:hAnsiTheme="majorHAnsi"/>
          <w:sz w:val="20"/>
          <w:szCs w:val="20"/>
        </w:rPr>
        <w:t xml:space="preserve"> </w:t>
      </w:r>
      <w:r w:rsidR="00E42B99">
        <w:rPr>
          <w:rFonts w:asciiTheme="majorHAnsi" w:hAnsiTheme="majorHAnsi"/>
          <w:sz w:val="20"/>
          <w:szCs w:val="20"/>
        </w:rPr>
        <w:t xml:space="preserve">of </w:t>
      </w:r>
      <w:r w:rsidR="00BD093F">
        <w:rPr>
          <w:rFonts w:asciiTheme="majorHAnsi" w:hAnsiTheme="majorHAnsi"/>
          <w:sz w:val="20"/>
          <w:szCs w:val="20"/>
        </w:rPr>
        <w:t xml:space="preserve">Mr. </w:t>
      </w:r>
      <w:r w:rsidR="00574915" w:rsidRPr="00A51861">
        <w:rPr>
          <w:rFonts w:asciiTheme="majorHAnsi" w:hAnsiTheme="majorHAnsi"/>
          <w:sz w:val="20"/>
          <w:szCs w:val="20"/>
        </w:rPr>
        <w:t xml:space="preserve">Ferreira. </w:t>
      </w:r>
    </w:p>
    <w:p w14:paraId="21E0368D" w14:textId="77777777" w:rsidR="004A476E" w:rsidRPr="00A51861" w:rsidRDefault="004A476E" w:rsidP="008E4D36">
      <w:pPr>
        <w:pStyle w:val="ListParagraph"/>
        <w:rPr>
          <w:rFonts w:asciiTheme="majorHAnsi" w:hAnsiTheme="majorHAnsi"/>
          <w:sz w:val="20"/>
          <w:szCs w:val="20"/>
        </w:rPr>
      </w:pPr>
    </w:p>
    <w:p w14:paraId="319977F2" w14:textId="68183904" w:rsidR="004A476E" w:rsidRPr="00A51861" w:rsidRDefault="008B64AD"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On June 11,</w:t>
      </w:r>
      <w:r w:rsidR="00E92985">
        <w:rPr>
          <w:rFonts w:asciiTheme="majorHAnsi" w:hAnsiTheme="majorHAnsi"/>
          <w:sz w:val="20"/>
          <w:szCs w:val="20"/>
        </w:rPr>
        <w:t xml:space="preserve"> </w:t>
      </w:r>
      <w:r w:rsidR="00574915" w:rsidRPr="00A51861">
        <w:rPr>
          <w:rFonts w:ascii="Cambria" w:hAnsi="Cambria"/>
          <w:color w:val="000000" w:themeColor="text1"/>
          <w:sz w:val="20"/>
          <w:szCs w:val="20"/>
        </w:rPr>
        <w:t>1974</w:t>
      </w:r>
      <w:r w:rsidR="00574915" w:rsidRPr="00A51861">
        <w:rPr>
          <w:rFonts w:asciiTheme="majorHAnsi" w:hAnsiTheme="majorHAnsi"/>
          <w:sz w:val="20"/>
          <w:szCs w:val="20"/>
        </w:rPr>
        <w:t xml:space="preserve"> </w:t>
      </w:r>
      <w:r w:rsidR="002D7CF5">
        <w:rPr>
          <w:rFonts w:asciiTheme="majorHAnsi" w:hAnsiTheme="majorHAnsi"/>
          <w:sz w:val="20"/>
          <w:szCs w:val="20"/>
        </w:rPr>
        <w:t xml:space="preserve">Mr. </w:t>
      </w:r>
      <w:r w:rsidR="00574915" w:rsidRPr="00A51861">
        <w:rPr>
          <w:rFonts w:asciiTheme="majorHAnsi" w:hAnsiTheme="majorHAnsi"/>
          <w:sz w:val="20"/>
          <w:szCs w:val="20"/>
        </w:rPr>
        <w:t xml:space="preserve">Hugo Daniel Ferreira </w:t>
      </w:r>
      <w:r>
        <w:rPr>
          <w:rFonts w:asciiTheme="majorHAnsi" w:hAnsiTheme="majorHAnsi"/>
          <w:sz w:val="20"/>
          <w:szCs w:val="20"/>
        </w:rPr>
        <w:t>was granted the</w:t>
      </w:r>
      <w:r w:rsidR="00574915" w:rsidRPr="00A51861">
        <w:rPr>
          <w:rFonts w:asciiTheme="majorHAnsi" w:hAnsiTheme="majorHAnsi"/>
          <w:sz w:val="20"/>
          <w:szCs w:val="20"/>
        </w:rPr>
        <w:t xml:space="preserve"> </w:t>
      </w:r>
      <w:r w:rsidR="008333FF">
        <w:rPr>
          <w:rFonts w:asciiTheme="majorHAnsi" w:hAnsiTheme="majorHAnsi"/>
          <w:sz w:val="20"/>
          <w:szCs w:val="20"/>
        </w:rPr>
        <w:t>temporary residency</w:t>
      </w:r>
      <w:r w:rsidR="00574915" w:rsidRPr="00A51861">
        <w:rPr>
          <w:rFonts w:asciiTheme="majorHAnsi" w:hAnsiTheme="majorHAnsi"/>
          <w:sz w:val="20"/>
          <w:szCs w:val="20"/>
        </w:rPr>
        <w:t xml:space="preserve"> </w:t>
      </w:r>
      <w:r>
        <w:rPr>
          <w:rFonts w:asciiTheme="majorHAnsi" w:hAnsiTheme="majorHAnsi"/>
          <w:sz w:val="20"/>
          <w:szCs w:val="20"/>
        </w:rPr>
        <w:t>in Argentina</w:t>
      </w:r>
      <w:r w:rsidR="00574915" w:rsidRPr="00A51861">
        <w:rPr>
          <w:rFonts w:asciiTheme="majorHAnsi" w:hAnsiTheme="majorHAnsi"/>
          <w:sz w:val="20"/>
          <w:szCs w:val="20"/>
        </w:rPr>
        <w:t xml:space="preserve">, </w:t>
      </w:r>
      <w:r>
        <w:rPr>
          <w:rFonts w:asciiTheme="majorHAnsi" w:hAnsiTheme="majorHAnsi"/>
          <w:sz w:val="20"/>
          <w:szCs w:val="20"/>
        </w:rPr>
        <w:t>considering his</w:t>
      </w:r>
      <w:r w:rsidR="00574915" w:rsidRPr="00A51861">
        <w:rPr>
          <w:rFonts w:asciiTheme="majorHAnsi" w:hAnsiTheme="majorHAnsi"/>
          <w:sz w:val="20"/>
          <w:szCs w:val="20"/>
        </w:rPr>
        <w:t xml:space="preserve"> “</w:t>
      </w:r>
      <w:r>
        <w:rPr>
          <w:rFonts w:asciiTheme="majorHAnsi" w:hAnsiTheme="majorHAnsi"/>
          <w:sz w:val="20"/>
          <w:szCs w:val="20"/>
        </w:rPr>
        <w:t>age</w:t>
      </w:r>
      <w:r w:rsidR="00E92985">
        <w:rPr>
          <w:rFonts w:asciiTheme="majorHAnsi" w:hAnsiTheme="majorHAnsi"/>
          <w:sz w:val="20"/>
          <w:szCs w:val="20"/>
        </w:rPr>
        <w:t xml:space="preserve"> and </w:t>
      </w:r>
      <w:r>
        <w:rPr>
          <w:rFonts w:asciiTheme="majorHAnsi" w:hAnsiTheme="majorHAnsi"/>
          <w:sz w:val="20"/>
          <w:szCs w:val="20"/>
        </w:rPr>
        <w:t>possibility to work</w:t>
      </w:r>
      <w:r w:rsidR="00574915" w:rsidRPr="00A51861">
        <w:rPr>
          <w:rFonts w:asciiTheme="majorHAnsi" w:hAnsiTheme="majorHAnsi"/>
          <w:sz w:val="20"/>
          <w:szCs w:val="20"/>
        </w:rPr>
        <w:t>”</w:t>
      </w:r>
      <w:r w:rsidR="00574915" w:rsidRPr="00A51861">
        <w:rPr>
          <w:rStyle w:val="FootnoteReference"/>
          <w:rFonts w:asciiTheme="majorHAnsi" w:hAnsiTheme="majorHAnsi"/>
          <w:sz w:val="20"/>
          <w:szCs w:val="20"/>
        </w:rPr>
        <w:footnoteReference w:id="85"/>
      </w:r>
      <w:r w:rsidR="00574915" w:rsidRPr="00A51861">
        <w:rPr>
          <w:rFonts w:asciiTheme="majorHAnsi" w:hAnsiTheme="majorHAnsi"/>
          <w:sz w:val="20"/>
          <w:szCs w:val="20"/>
        </w:rPr>
        <w:t xml:space="preserve">. </w:t>
      </w:r>
    </w:p>
    <w:p w14:paraId="679B45A5" w14:textId="77777777" w:rsidR="004A476E" w:rsidRPr="00A51861" w:rsidRDefault="004A476E" w:rsidP="008E4D36">
      <w:pPr>
        <w:pStyle w:val="ListParagraph"/>
        <w:rPr>
          <w:rFonts w:asciiTheme="majorHAnsi" w:hAnsiTheme="majorHAnsi"/>
          <w:sz w:val="20"/>
          <w:szCs w:val="20"/>
        </w:rPr>
      </w:pPr>
    </w:p>
    <w:p w14:paraId="4ACBB6C3" w14:textId="318165C4" w:rsidR="00574915" w:rsidRPr="00A51861" w:rsidRDefault="00A40660"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On June 14,</w:t>
      </w:r>
      <w:r w:rsidR="00E92985">
        <w:rPr>
          <w:rFonts w:asciiTheme="majorHAnsi" w:hAnsiTheme="majorHAnsi"/>
          <w:sz w:val="20"/>
          <w:szCs w:val="20"/>
        </w:rPr>
        <w:t xml:space="preserve"> </w:t>
      </w:r>
      <w:r w:rsidR="00574915" w:rsidRPr="00A51861">
        <w:rPr>
          <w:rFonts w:asciiTheme="majorHAnsi" w:hAnsiTheme="majorHAnsi"/>
          <w:sz w:val="20"/>
          <w:szCs w:val="20"/>
        </w:rPr>
        <w:t xml:space="preserve">1974, </w:t>
      </w:r>
      <w:r>
        <w:rPr>
          <w:rFonts w:asciiTheme="majorHAnsi" w:hAnsiTheme="majorHAnsi"/>
          <w:sz w:val="20"/>
          <w:szCs w:val="20"/>
        </w:rPr>
        <w:t>an official document from</w:t>
      </w:r>
      <w:r w:rsidR="00E92985">
        <w:rPr>
          <w:rFonts w:asciiTheme="majorHAnsi" w:hAnsiTheme="majorHAnsi"/>
          <w:sz w:val="20"/>
          <w:szCs w:val="20"/>
        </w:rPr>
        <w:t xml:space="preserve"> </w:t>
      </w:r>
      <w:r w:rsidR="003A78FE">
        <w:rPr>
          <w:rFonts w:asciiTheme="majorHAnsi" w:hAnsiTheme="majorHAnsi"/>
          <w:sz w:val="20"/>
          <w:szCs w:val="20"/>
        </w:rPr>
        <w:t xml:space="preserve">Federal Police </w:t>
      </w:r>
      <w:r>
        <w:rPr>
          <w:rFonts w:asciiTheme="majorHAnsi" w:hAnsiTheme="majorHAnsi"/>
          <w:sz w:val="20"/>
          <w:szCs w:val="20"/>
        </w:rPr>
        <w:t>addressed to the</w:t>
      </w:r>
      <w:r w:rsidR="00574915" w:rsidRPr="00A51861">
        <w:rPr>
          <w:rFonts w:asciiTheme="majorHAnsi" w:hAnsiTheme="majorHAnsi"/>
          <w:sz w:val="20"/>
          <w:szCs w:val="20"/>
        </w:rPr>
        <w:t xml:space="preserve"> </w:t>
      </w:r>
      <w:r w:rsidR="008E2F10">
        <w:rPr>
          <w:rFonts w:asciiTheme="majorHAnsi" w:hAnsiTheme="majorHAnsi"/>
          <w:sz w:val="20"/>
          <w:szCs w:val="20"/>
        </w:rPr>
        <w:t>NDM</w:t>
      </w:r>
      <w:r w:rsidR="00574915" w:rsidRPr="00A51861">
        <w:rPr>
          <w:rFonts w:asciiTheme="majorHAnsi" w:hAnsiTheme="majorHAnsi"/>
          <w:sz w:val="20"/>
          <w:szCs w:val="20"/>
        </w:rPr>
        <w:t xml:space="preserve">, </w:t>
      </w:r>
      <w:r>
        <w:rPr>
          <w:rFonts w:asciiTheme="majorHAnsi" w:hAnsiTheme="majorHAnsi"/>
          <w:sz w:val="20"/>
          <w:szCs w:val="20"/>
        </w:rPr>
        <w:t>informed</w:t>
      </w:r>
      <w:r w:rsidR="00E92985">
        <w:rPr>
          <w:rFonts w:asciiTheme="majorHAnsi" w:hAnsiTheme="majorHAnsi"/>
          <w:sz w:val="20"/>
          <w:szCs w:val="20"/>
        </w:rPr>
        <w:t xml:space="preserve"> of the </w:t>
      </w:r>
      <w:r w:rsidR="006E255A">
        <w:rPr>
          <w:rFonts w:asciiTheme="majorHAnsi" w:hAnsiTheme="majorHAnsi"/>
          <w:sz w:val="20"/>
          <w:szCs w:val="20"/>
        </w:rPr>
        <w:t>detention</w:t>
      </w:r>
      <w:r w:rsidR="00574915" w:rsidRPr="00A51861">
        <w:rPr>
          <w:rFonts w:asciiTheme="majorHAnsi" w:hAnsiTheme="majorHAnsi"/>
          <w:sz w:val="20"/>
          <w:szCs w:val="20"/>
        </w:rPr>
        <w:t xml:space="preserve"> </w:t>
      </w:r>
      <w:r w:rsidR="00BD093F">
        <w:rPr>
          <w:rFonts w:asciiTheme="majorHAnsi" w:hAnsiTheme="majorHAnsi"/>
          <w:sz w:val="20"/>
          <w:szCs w:val="20"/>
        </w:rPr>
        <w:t xml:space="preserve">Mr. </w:t>
      </w:r>
      <w:r w:rsidR="00574915" w:rsidRPr="00A51861">
        <w:rPr>
          <w:rFonts w:asciiTheme="majorHAnsi" w:hAnsiTheme="majorHAnsi"/>
          <w:sz w:val="20"/>
          <w:szCs w:val="20"/>
        </w:rPr>
        <w:t>Ferreira</w:t>
      </w:r>
      <w:r w:rsidR="00E92985">
        <w:rPr>
          <w:rFonts w:asciiTheme="majorHAnsi" w:hAnsiTheme="majorHAnsi"/>
          <w:sz w:val="20"/>
          <w:szCs w:val="20"/>
        </w:rPr>
        <w:t xml:space="preserve"> and </w:t>
      </w:r>
      <w:r>
        <w:rPr>
          <w:rFonts w:asciiTheme="majorHAnsi" w:hAnsiTheme="majorHAnsi"/>
          <w:sz w:val="20"/>
          <w:szCs w:val="20"/>
        </w:rPr>
        <w:t>his arrest for</w:t>
      </w:r>
      <w:r w:rsidR="00574915" w:rsidRPr="00A51861">
        <w:rPr>
          <w:rFonts w:asciiTheme="majorHAnsi" w:hAnsiTheme="majorHAnsi"/>
          <w:sz w:val="20"/>
          <w:szCs w:val="20"/>
        </w:rPr>
        <w:t xml:space="preserve"> 30 d</w:t>
      </w:r>
      <w:r>
        <w:rPr>
          <w:rFonts w:asciiTheme="majorHAnsi" w:hAnsiTheme="majorHAnsi"/>
          <w:sz w:val="20"/>
          <w:szCs w:val="20"/>
        </w:rPr>
        <w:t>ay</w:t>
      </w:r>
      <w:r w:rsidR="00574915" w:rsidRPr="00A51861">
        <w:rPr>
          <w:rFonts w:asciiTheme="majorHAnsi" w:hAnsiTheme="majorHAnsi"/>
          <w:sz w:val="20"/>
          <w:szCs w:val="20"/>
        </w:rPr>
        <w:t xml:space="preserve">s, </w:t>
      </w:r>
      <w:r>
        <w:rPr>
          <w:rFonts w:asciiTheme="majorHAnsi" w:hAnsiTheme="majorHAnsi"/>
          <w:sz w:val="20"/>
          <w:szCs w:val="20"/>
        </w:rPr>
        <w:t>as a result from his infringement</w:t>
      </w:r>
      <w:r w:rsidR="00574915" w:rsidRPr="00A51861">
        <w:rPr>
          <w:rFonts w:asciiTheme="majorHAnsi" w:hAnsiTheme="majorHAnsi"/>
          <w:sz w:val="20"/>
          <w:szCs w:val="20"/>
        </w:rPr>
        <w:t>,</w:t>
      </w:r>
      <w:r w:rsidR="00E92985">
        <w:rPr>
          <w:rFonts w:asciiTheme="majorHAnsi" w:hAnsiTheme="majorHAnsi"/>
          <w:sz w:val="20"/>
          <w:szCs w:val="20"/>
        </w:rPr>
        <w:t xml:space="preserve"> of</w:t>
      </w:r>
      <w:r w:rsidR="00C91385">
        <w:rPr>
          <w:rFonts w:asciiTheme="majorHAnsi" w:hAnsiTheme="majorHAnsi"/>
          <w:sz w:val="20"/>
          <w:szCs w:val="20"/>
        </w:rPr>
        <w:t xml:space="preserve"> the</w:t>
      </w:r>
      <w:r w:rsidR="00574915" w:rsidRPr="00A51861">
        <w:rPr>
          <w:rFonts w:asciiTheme="majorHAnsi" w:hAnsiTheme="majorHAnsi"/>
          <w:sz w:val="20"/>
          <w:szCs w:val="20"/>
        </w:rPr>
        <w:t xml:space="preserve"> </w:t>
      </w:r>
      <w:r>
        <w:rPr>
          <w:rFonts w:asciiTheme="majorHAnsi" w:hAnsiTheme="majorHAnsi"/>
          <w:sz w:val="20"/>
          <w:szCs w:val="20"/>
        </w:rPr>
        <w:t xml:space="preserve">police decrees </w:t>
      </w:r>
      <w:r w:rsidR="00E92985">
        <w:rPr>
          <w:rFonts w:asciiTheme="majorHAnsi" w:hAnsiTheme="majorHAnsi"/>
          <w:sz w:val="20"/>
          <w:szCs w:val="20"/>
        </w:rPr>
        <w:t xml:space="preserve">of </w:t>
      </w:r>
      <w:r w:rsidR="00574915" w:rsidRPr="00A51861">
        <w:rPr>
          <w:rFonts w:asciiTheme="majorHAnsi" w:hAnsiTheme="majorHAnsi"/>
          <w:sz w:val="20"/>
          <w:szCs w:val="20"/>
        </w:rPr>
        <w:t>“</w:t>
      </w:r>
      <w:r w:rsidR="00160A67">
        <w:rPr>
          <w:rFonts w:asciiTheme="majorHAnsi" w:hAnsiTheme="majorHAnsi"/>
          <w:sz w:val="20"/>
          <w:szCs w:val="20"/>
        </w:rPr>
        <w:t>public assemblies</w:t>
      </w:r>
      <w:r w:rsidR="00574915" w:rsidRPr="00A51861">
        <w:rPr>
          <w:rFonts w:asciiTheme="majorHAnsi" w:hAnsiTheme="majorHAnsi"/>
          <w:sz w:val="20"/>
          <w:szCs w:val="20"/>
        </w:rPr>
        <w:t>”</w:t>
      </w:r>
      <w:r w:rsidR="00E92985">
        <w:rPr>
          <w:rFonts w:asciiTheme="majorHAnsi" w:hAnsiTheme="majorHAnsi"/>
          <w:sz w:val="20"/>
          <w:szCs w:val="20"/>
        </w:rPr>
        <w:t xml:space="preserve"> and </w:t>
      </w:r>
      <w:r w:rsidR="00574915" w:rsidRPr="00A51861">
        <w:rPr>
          <w:rFonts w:asciiTheme="majorHAnsi" w:hAnsiTheme="majorHAnsi"/>
          <w:sz w:val="20"/>
          <w:szCs w:val="20"/>
        </w:rPr>
        <w:t>“</w:t>
      </w:r>
      <w:r w:rsidR="00BE5683">
        <w:rPr>
          <w:rFonts w:asciiTheme="majorHAnsi" w:hAnsiTheme="majorHAnsi"/>
          <w:sz w:val="20"/>
          <w:szCs w:val="20"/>
        </w:rPr>
        <w:t>public security</w:t>
      </w:r>
      <w:r w:rsidR="00FE76A9" w:rsidRPr="00A51861">
        <w:rPr>
          <w:rFonts w:asciiTheme="majorHAnsi" w:hAnsiTheme="majorHAnsi"/>
          <w:sz w:val="20"/>
          <w:szCs w:val="20"/>
        </w:rPr>
        <w:t>”</w:t>
      </w:r>
      <w:r w:rsidR="00574915" w:rsidRPr="00A51861">
        <w:rPr>
          <w:rStyle w:val="FootnoteReference"/>
          <w:rFonts w:asciiTheme="majorHAnsi" w:hAnsiTheme="majorHAnsi"/>
          <w:sz w:val="20"/>
          <w:szCs w:val="20"/>
        </w:rPr>
        <w:footnoteReference w:id="86"/>
      </w:r>
      <w:r w:rsidR="00574915" w:rsidRPr="00A51861">
        <w:rPr>
          <w:rFonts w:asciiTheme="majorHAnsi" w:hAnsiTheme="majorHAnsi"/>
          <w:sz w:val="20"/>
          <w:szCs w:val="20"/>
        </w:rPr>
        <w:t xml:space="preserve">. </w:t>
      </w:r>
      <w:r>
        <w:rPr>
          <w:rFonts w:asciiTheme="majorHAnsi" w:hAnsiTheme="majorHAnsi"/>
          <w:sz w:val="20"/>
          <w:szCs w:val="20"/>
        </w:rPr>
        <w:t xml:space="preserve">Said document specified that Mr. </w:t>
      </w:r>
      <w:r w:rsidR="00574915" w:rsidRPr="00A51861">
        <w:rPr>
          <w:rFonts w:asciiTheme="majorHAnsi" w:hAnsiTheme="majorHAnsi"/>
          <w:sz w:val="20"/>
          <w:szCs w:val="20"/>
        </w:rPr>
        <w:t>Ferre</w:t>
      </w:r>
      <w:r w:rsidR="00FE76A9" w:rsidRPr="00A51861">
        <w:rPr>
          <w:rFonts w:asciiTheme="majorHAnsi" w:hAnsiTheme="majorHAnsi"/>
          <w:sz w:val="20"/>
          <w:szCs w:val="20"/>
        </w:rPr>
        <w:t xml:space="preserve">ira </w:t>
      </w:r>
      <w:r w:rsidR="00E40E0D">
        <w:rPr>
          <w:rFonts w:asciiTheme="majorHAnsi" w:hAnsiTheme="majorHAnsi"/>
          <w:sz w:val="20"/>
          <w:szCs w:val="20"/>
        </w:rPr>
        <w:t xml:space="preserve">was </w:t>
      </w:r>
      <w:r w:rsidR="00FE76A9" w:rsidRPr="00A51861">
        <w:rPr>
          <w:rFonts w:asciiTheme="majorHAnsi" w:hAnsiTheme="majorHAnsi"/>
          <w:sz w:val="20"/>
          <w:szCs w:val="20"/>
        </w:rPr>
        <w:t>participa</w:t>
      </w:r>
      <w:r w:rsidR="00E40E0D">
        <w:rPr>
          <w:rFonts w:asciiTheme="majorHAnsi" w:hAnsiTheme="majorHAnsi"/>
          <w:sz w:val="20"/>
          <w:szCs w:val="20"/>
        </w:rPr>
        <w:t>ting in an unauthorized</w:t>
      </w:r>
      <w:r w:rsidR="00C91385">
        <w:rPr>
          <w:rFonts w:asciiTheme="majorHAnsi" w:hAnsiTheme="majorHAnsi"/>
          <w:sz w:val="20"/>
          <w:szCs w:val="20"/>
        </w:rPr>
        <w:t xml:space="preserve"> </w:t>
      </w:r>
      <w:r w:rsidR="00BE3E87">
        <w:rPr>
          <w:rFonts w:asciiTheme="majorHAnsi" w:hAnsiTheme="majorHAnsi"/>
          <w:sz w:val="20"/>
          <w:szCs w:val="20"/>
        </w:rPr>
        <w:t>asse</w:t>
      </w:r>
      <w:r w:rsidR="00C91385">
        <w:rPr>
          <w:rFonts w:asciiTheme="majorHAnsi" w:hAnsiTheme="majorHAnsi"/>
          <w:sz w:val="20"/>
          <w:szCs w:val="20"/>
        </w:rPr>
        <w:t>m</w:t>
      </w:r>
      <w:r w:rsidR="00BE3E87">
        <w:rPr>
          <w:rFonts w:asciiTheme="majorHAnsi" w:hAnsiTheme="majorHAnsi"/>
          <w:sz w:val="20"/>
          <w:szCs w:val="20"/>
        </w:rPr>
        <w:t>bly</w:t>
      </w:r>
      <w:r w:rsidR="00E40E0D">
        <w:rPr>
          <w:rFonts w:asciiTheme="majorHAnsi" w:hAnsiTheme="majorHAnsi"/>
          <w:sz w:val="20"/>
          <w:szCs w:val="20"/>
        </w:rPr>
        <w:t xml:space="preserve"> in which</w:t>
      </w:r>
      <w:r w:rsidR="00E40E0D" w:rsidRPr="00A51861">
        <w:rPr>
          <w:rFonts w:asciiTheme="majorHAnsi" w:hAnsiTheme="majorHAnsi"/>
          <w:sz w:val="20"/>
          <w:szCs w:val="20"/>
        </w:rPr>
        <w:t xml:space="preserve"> </w:t>
      </w:r>
      <w:r w:rsidR="00E40E0D">
        <w:rPr>
          <w:rFonts w:asciiTheme="majorHAnsi" w:hAnsiTheme="majorHAnsi"/>
          <w:sz w:val="20"/>
          <w:szCs w:val="20"/>
        </w:rPr>
        <w:t xml:space="preserve">political issues of </w:t>
      </w:r>
      <w:r w:rsidR="00E40E0D" w:rsidRPr="00A51861">
        <w:rPr>
          <w:rFonts w:asciiTheme="majorHAnsi" w:hAnsiTheme="majorHAnsi"/>
          <w:sz w:val="20"/>
          <w:szCs w:val="20"/>
        </w:rPr>
        <w:t>Uruguay</w:t>
      </w:r>
      <w:r w:rsidR="00E40E0D">
        <w:rPr>
          <w:rFonts w:asciiTheme="majorHAnsi" w:hAnsiTheme="majorHAnsi"/>
          <w:sz w:val="20"/>
          <w:szCs w:val="20"/>
        </w:rPr>
        <w:t xml:space="preserve"> were being discussed</w:t>
      </w:r>
      <w:r w:rsidR="00FE76A9" w:rsidRPr="00A51861">
        <w:rPr>
          <w:rFonts w:asciiTheme="majorHAnsi" w:hAnsiTheme="majorHAnsi"/>
          <w:sz w:val="20"/>
          <w:szCs w:val="20"/>
        </w:rPr>
        <w:t>,</w:t>
      </w:r>
      <w:r w:rsidR="00E92985">
        <w:rPr>
          <w:rFonts w:asciiTheme="majorHAnsi" w:hAnsiTheme="majorHAnsi"/>
          <w:sz w:val="20"/>
          <w:szCs w:val="20"/>
        </w:rPr>
        <w:t xml:space="preserve"> and </w:t>
      </w:r>
      <w:r w:rsidR="00FE76A9" w:rsidRPr="00A51861">
        <w:rPr>
          <w:rFonts w:asciiTheme="majorHAnsi" w:hAnsiTheme="majorHAnsi"/>
          <w:sz w:val="20"/>
          <w:szCs w:val="20"/>
        </w:rPr>
        <w:t>inform</w:t>
      </w:r>
      <w:r w:rsidR="00E40E0D">
        <w:rPr>
          <w:rFonts w:asciiTheme="majorHAnsi" w:hAnsiTheme="majorHAnsi"/>
          <w:sz w:val="20"/>
          <w:szCs w:val="20"/>
        </w:rPr>
        <w:t>ed</w:t>
      </w:r>
      <w:r w:rsidR="00FE76A9" w:rsidRPr="00A51861">
        <w:rPr>
          <w:rFonts w:asciiTheme="majorHAnsi" w:hAnsiTheme="majorHAnsi"/>
          <w:sz w:val="20"/>
          <w:szCs w:val="20"/>
        </w:rPr>
        <w:t xml:space="preserve"> </w:t>
      </w:r>
      <w:r w:rsidR="00E40E0D">
        <w:rPr>
          <w:rFonts w:asciiTheme="majorHAnsi" w:hAnsiTheme="majorHAnsi"/>
          <w:sz w:val="20"/>
          <w:szCs w:val="20"/>
        </w:rPr>
        <w:t>that</w:t>
      </w:r>
      <w:r w:rsidR="00FE76A9" w:rsidRPr="00A51861">
        <w:rPr>
          <w:rFonts w:asciiTheme="majorHAnsi" w:hAnsiTheme="majorHAnsi"/>
          <w:sz w:val="20"/>
          <w:szCs w:val="20"/>
        </w:rPr>
        <w:t xml:space="preserve"> “</w:t>
      </w:r>
      <w:r w:rsidR="00E40E0D">
        <w:rPr>
          <w:rFonts w:asciiTheme="majorHAnsi" w:hAnsiTheme="majorHAnsi"/>
          <w:sz w:val="20"/>
          <w:szCs w:val="20"/>
        </w:rPr>
        <w:t>the claimant</w:t>
      </w:r>
      <w:r w:rsidR="00574915" w:rsidRPr="00A51861">
        <w:rPr>
          <w:rFonts w:asciiTheme="majorHAnsi" w:hAnsiTheme="majorHAnsi"/>
          <w:sz w:val="20"/>
          <w:szCs w:val="20"/>
        </w:rPr>
        <w:t xml:space="preserve">, </w:t>
      </w:r>
      <w:r w:rsidR="00E40E0D">
        <w:rPr>
          <w:rFonts w:asciiTheme="majorHAnsi" w:hAnsiTheme="majorHAnsi"/>
          <w:sz w:val="20"/>
          <w:szCs w:val="20"/>
        </w:rPr>
        <w:t>is registered in his country as an</w:t>
      </w:r>
      <w:r w:rsidR="00574915" w:rsidRPr="00A51861">
        <w:rPr>
          <w:rFonts w:asciiTheme="majorHAnsi" w:hAnsiTheme="majorHAnsi"/>
          <w:sz w:val="20"/>
          <w:szCs w:val="20"/>
        </w:rPr>
        <w:t xml:space="preserve"> element </w:t>
      </w:r>
      <w:r w:rsidR="00E40E0D">
        <w:rPr>
          <w:rFonts w:asciiTheme="majorHAnsi" w:hAnsiTheme="majorHAnsi"/>
          <w:sz w:val="20"/>
          <w:szCs w:val="20"/>
        </w:rPr>
        <w:t>of the</w:t>
      </w:r>
      <w:r w:rsidR="00574915" w:rsidRPr="00A51861">
        <w:rPr>
          <w:rFonts w:asciiTheme="majorHAnsi" w:hAnsiTheme="majorHAnsi"/>
          <w:sz w:val="20"/>
          <w:szCs w:val="20"/>
        </w:rPr>
        <w:t xml:space="preserve"> “Tupamaros</w:t>
      </w:r>
      <w:r w:rsidR="00E40E0D" w:rsidRPr="00E40E0D">
        <w:rPr>
          <w:rFonts w:asciiTheme="majorHAnsi" w:hAnsiTheme="majorHAnsi"/>
          <w:sz w:val="20"/>
          <w:szCs w:val="20"/>
        </w:rPr>
        <w:t xml:space="preserve"> </w:t>
      </w:r>
      <w:r w:rsidR="00E40E0D">
        <w:rPr>
          <w:rFonts w:asciiTheme="majorHAnsi" w:hAnsiTheme="majorHAnsi"/>
          <w:sz w:val="20"/>
          <w:szCs w:val="20"/>
        </w:rPr>
        <w:t>Movement</w:t>
      </w:r>
      <w:r w:rsidR="00574915" w:rsidRPr="00A51861">
        <w:rPr>
          <w:rFonts w:asciiTheme="majorHAnsi" w:hAnsiTheme="majorHAnsi"/>
          <w:sz w:val="20"/>
          <w:szCs w:val="20"/>
        </w:rPr>
        <w:t xml:space="preserve">”, </w:t>
      </w:r>
      <w:r w:rsidR="00E40E0D">
        <w:rPr>
          <w:rFonts w:asciiTheme="majorHAnsi" w:hAnsiTheme="majorHAnsi"/>
          <w:sz w:val="20"/>
          <w:szCs w:val="20"/>
        </w:rPr>
        <w:t>developing in</w:t>
      </w:r>
      <w:r w:rsidR="00574915" w:rsidRPr="00A51861">
        <w:rPr>
          <w:rFonts w:asciiTheme="majorHAnsi" w:hAnsiTheme="majorHAnsi"/>
          <w:sz w:val="20"/>
          <w:szCs w:val="20"/>
        </w:rPr>
        <w:t xml:space="preserve"> </w:t>
      </w:r>
      <w:r w:rsidR="00E40E0D">
        <w:rPr>
          <w:rFonts w:asciiTheme="majorHAnsi" w:hAnsiTheme="majorHAnsi"/>
          <w:sz w:val="20"/>
          <w:szCs w:val="20"/>
        </w:rPr>
        <w:t>our habitat the same subversive activities</w:t>
      </w:r>
      <w:r w:rsidR="00574915" w:rsidRPr="00A51861">
        <w:rPr>
          <w:rFonts w:asciiTheme="majorHAnsi" w:hAnsiTheme="majorHAnsi"/>
          <w:sz w:val="20"/>
          <w:szCs w:val="20"/>
        </w:rPr>
        <w:t>”. Final</w:t>
      </w:r>
      <w:r w:rsidR="00F92BA8">
        <w:rPr>
          <w:rFonts w:asciiTheme="majorHAnsi" w:hAnsiTheme="majorHAnsi"/>
          <w:sz w:val="20"/>
          <w:szCs w:val="20"/>
        </w:rPr>
        <w:t>ly</w:t>
      </w:r>
      <w:r w:rsidR="00574915" w:rsidRPr="00A51861">
        <w:rPr>
          <w:rFonts w:asciiTheme="majorHAnsi" w:hAnsiTheme="majorHAnsi"/>
          <w:sz w:val="20"/>
          <w:szCs w:val="20"/>
        </w:rPr>
        <w:t xml:space="preserve">, </w:t>
      </w:r>
      <w:r w:rsidR="00E40E0D">
        <w:rPr>
          <w:rFonts w:asciiTheme="majorHAnsi" w:hAnsiTheme="majorHAnsi"/>
          <w:sz w:val="20"/>
          <w:szCs w:val="20"/>
        </w:rPr>
        <w:t>it was requested to the</w:t>
      </w:r>
      <w:r w:rsidR="00574915" w:rsidRPr="00A51861">
        <w:rPr>
          <w:rFonts w:asciiTheme="majorHAnsi" w:hAnsiTheme="majorHAnsi"/>
          <w:sz w:val="20"/>
          <w:szCs w:val="20"/>
        </w:rPr>
        <w:t xml:space="preserve"> Direc</w:t>
      </w:r>
      <w:r w:rsidR="00E40E0D">
        <w:rPr>
          <w:rFonts w:asciiTheme="majorHAnsi" w:hAnsiTheme="majorHAnsi"/>
          <w:sz w:val="20"/>
          <w:szCs w:val="20"/>
        </w:rPr>
        <w:t>torate</w:t>
      </w:r>
      <w:r w:rsidR="00574915" w:rsidRPr="00A51861">
        <w:rPr>
          <w:rFonts w:asciiTheme="majorHAnsi" w:hAnsiTheme="majorHAnsi"/>
          <w:sz w:val="20"/>
          <w:szCs w:val="20"/>
        </w:rPr>
        <w:t xml:space="preserve"> </w:t>
      </w:r>
      <w:r w:rsidR="00E40E0D">
        <w:rPr>
          <w:rFonts w:asciiTheme="majorHAnsi" w:hAnsiTheme="majorHAnsi"/>
          <w:sz w:val="20"/>
          <w:szCs w:val="20"/>
        </w:rPr>
        <w:t>to</w:t>
      </w:r>
      <w:r w:rsidR="00574915" w:rsidRPr="00A51861">
        <w:rPr>
          <w:rFonts w:asciiTheme="majorHAnsi" w:hAnsiTheme="majorHAnsi"/>
          <w:sz w:val="20"/>
          <w:szCs w:val="20"/>
        </w:rPr>
        <w:t xml:space="preserve"> “</w:t>
      </w:r>
      <w:r w:rsidR="00E40E0D">
        <w:rPr>
          <w:rFonts w:asciiTheme="majorHAnsi" w:hAnsiTheme="majorHAnsi"/>
          <w:sz w:val="20"/>
          <w:szCs w:val="20"/>
        </w:rPr>
        <w:t>mediate the necessary means</w:t>
      </w:r>
      <w:r w:rsidR="00574915" w:rsidRPr="00A51861">
        <w:rPr>
          <w:rFonts w:asciiTheme="majorHAnsi" w:hAnsiTheme="majorHAnsi"/>
          <w:sz w:val="20"/>
          <w:szCs w:val="20"/>
        </w:rPr>
        <w:t xml:space="preserve"> </w:t>
      </w:r>
      <w:r w:rsidR="00E40E0D">
        <w:rPr>
          <w:rFonts w:asciiTheme="majorHAnsi" w:hAnsiTheme="majorHAnsi"/>
          <w:sz w:val="20"/>
          <w:szCs w:val="20"/>
        </w:rPr>
        <w:t>to prevent the settlement of the</w:t>
      </w:r>
      <w:r w:rsidR="00574915" w:rsidRPr="00A51861">
        <w:rPr>
          <w:rFonts w:asciiTheme="majorHAnsi" w:hAnsiTheme="majorHAnsi"/>
          <w:sz w:val="20"/>
          <w:szCs w:val="20"/>
        </w:rPr>
        <w:t xml:space="preserve"> </w:t>
      </w:r>
      <w:r w:rsidR="00E40E0D">
        <w:rPr>
          <w:rFonts w:asciiTheme="majorHAnsi" w:hAnsiTheme="majorHAnsi"/>
          <w:sz w:val="20"/>
          <w:szCs w:val="20"/>
        </w:rPr>
        <w:t>reported in</w:t>
      </w:r>
      <w:r w:rsidR="00574915" w:rsidRPr="00A51861">
        <w:rPr>
          <w:rFonts w:asciiTheme="majorHAnsi" w:hAnsiTheme="majorHAnsi"/>
          <w:sz w:val="20"/>
          <w:szCs w:val="20"/>
        </w:rPr>
        <w:t xml:space="preserve"> </w:t>
      </w:r>
      <w:r w:rsidR="00E40E0D">
        <w:rPr>
          <w:rFonts w:asciiTheme="majorHAnsi" w:hAnsiTheme="majorHAnsi"/>
          <w:sz w:val="20"/>
          <w:szCs w:val="20"/>
        </w:rPr>
        <w:t>our country</w:t>
      </w:r>
      <w:r w:rsidR="00574915" w:rsidRPr="00A51861">
        <w:rPr>
          <w:rFonts w:asciiTheme="majorHAnsi" w:hAnsiTheme="majorHAnsi"/>
          <w:sz w:val="20"/>
          <w:szCs w:val="20"/>
        </w:rPr>
        <w:t xml:space="preserve">, </w:t>
      </w:r>
      <w:r w:rsidR="00E40E0D">
        <w:rPr>
          <w:rFonts w:asciiTheme="majorHAnsi" w:hAnsiTheme="majorHAnsi"/>
          <w:sz w:val="20"/>
          <w:szCs w:val="20"/>
        </w:rPr>
        <w:t>in considering</w:t>
      </w:r>
      <w:r w:rsidR="00574915" w:rsidRPr="00A51861">
        <w:rPr>
          <w:rFonts w:asciiTheme="majorHAnsi" w:hAnsiTheme="majorHAnsi"/>
          <w:sz w:val="20"/>
          <w:szCs w:val="20"/>
        </w:rPr>
        <w:t xml:space="preserve"> </w:t>
      </w:r>
      <w:r w:rsidR="00E40E0D">
        <w:rPr>
          <w:rFonts w:asciiTheme="majorHAnsi" w:hAnsiTheme="majorHAnsi"/>
          <w:sz w:val="20"/>
          <w:szCs w:val="20"/>
        </w:rPr>
        <w:t>incurred in provisions of</w:t>
      </w:r>
      <w:r w:rsidR="00574915" w:rsidRPr="00A51861">
        <w:rPr>
          <w:rFonts w:asciiTheme="majorHAnsi" w:hAnsiTheme="majorHAnsi"/>
          <w:sz w:val="20"/>
          <w:szCs w:val="20"/>
        </w:rPr>
        <w:t xml:space="preserve"> art. 25 </w:t>
      </w:r>
      <w:r w:rsidR="00E40E0D">
        <w:rPr>
          <w:rFonts w:asciiTheme="majorHAnsi" w:hAnsiTheme="majorHAnsi"/>
          <w:sz w:val="20"/>
          <w:szCs w:val="20"/>
        </w:rPr>
        <w:t>subsection</w:t>
      </w:r>
      <w:r w:rsidR="00574915" w:rsidRPr="00A51861">
        <w:rPr>
          <w:rFonts w:asciiTheme="majorHAnsi" w:hAnsiTheme="majorHAnsi"/>
          <w:sz w:val="20"/>
          <w:szCs w:val="20"/>
        </w:rPr>
        <w:t xml:space="preserve"> g) </w:t>
      </w:r>
      <w:r w:rsidR="00E40E0D">
        <w:rPr>
          <w:rFonts w:asciiTheme="majorHAnsi" w:hAnsiTheme="majorHAnsi"/>
          <w:sz w:val="20"/>
          <w:szCs w:val="20"/>
        </w:rPr>
        <w:t>of the</w:t>
      </w:r>
      <w:r w:rsidR="00574915" w:rsidRPr="00A51861">
        <w:rPr>
          <w:rFonts w:asciiTheme="majorHAnsi" w:hAnsiTheme="majorHAnsi"/>
          <w:sz w:val="20"/>
          <w:szCs w:val="20"/>
        </w:rPr>
        <w:t xml:space="preserve"> Migra</w:t>
      </w:r>
      <w:r w:rsidR="00E40E0D">
        <w:rPr>
          <w:rFonts w:asciiTheme="majorHAnsi" w:hAnsiTheme="majorHAnsi"/>
          <w:sz w:val="20"/>
          <w:szCs w:val="20"/>
        </w:rPr>
        <w:t>tion Regulations</w:t>
      </w:r>
      <w:r w:rsidR="00574915" w:rsidRPr="00A51861">
        <w:rPr>
          <w:rFonts w:asciiTheme="majorHAnsi" w:hAnsiTheme="majorHAnsi"/>
          <w:sz w:val="20"/>
          <w:szCs w:val="20"/>
        </w:rPr>
        <w:t>”</w:t>
      </w:r>
      <w:r w:rsidR="00574915" w:rsidRPr="00A51861">
        <w:rPr>
          <w:rStyle w:val="FootnoteReference"/>
          <w:rFonts w:asciiTheme="majorHAnsi" w:hAnsiTheme="majorHAnsi"/>
          <w:sz w:val="20"/>
          <w:szCs w:val="20"/>
        </w:rPr>
        <w:footnoteReference w:id="87"/>
      </w:r>
      <w:r w:rsidR="00574915" w:rsidRPr="00A51861">
        <w:rPr>
          <w:rFonts w:asciiTheme="majorHAnsi" w:hAnsiTheme="majorHAnsi"/>
          <w:sz w:val="20"/>
          <w:szCs w:val="20"/>
        </w:rPr>
        <w:t xml:space="preserve">. </w:t>
      </w:r>
    </w:p>
    <w:p w14:paraId="042F3F4B" w14:textId="77777777" w:rsidR="004A476E" w:rsidRPr="00A51861" w:rsidRDefault="004A476E" w:rsidP="008E4D36">
      <w:pPr>
        <w:pStyle w:val="ListParagraph"/>
        <w:rPr>
          <w:rFonts w:asciiTheme="majorHAnsi" w:hAnsiTheme="majorHAnsi"/>
          <w:sz w:val="20"/>
          <w:szCs w:val="20"/>
        </w:rPr>
      </w:pPr>
    </w:p>
    <w:p w14:paraId="239BDBAB" w14:textId="4A683928" w:rsidR="004A476E" w:rsidRPr="00A51861" w:rsidRDefault="00CD32AF"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 xml:space="preserve">It is noted in </w:t>
      </w:r>
      <w:r w:rsidR="0029564F">
        <w:rPr>
          <w:rFonts w:asciiTheme="majorHAnsi" w:hAnsiTheme="majorHAnsi"/>
          <w:sz w:val="20"/>
          <w:szCs w:val="20"/>
        </w:rPr>
        <w:t>the casefile</w:t>
      </w:r>
      <w:r w:rsidR="00A40660">
        <w:rPr>
          <w:rFonts w:asciiTheme="majorHAnsi" w:hAnsiTheme="majorHAnsi"/>
          <w:sz w:val="20"/>
          <w:szCs w:val="20"/>
        </w:rPr>
        <w:t xml:space="preserve"> that Mr. </w:t>
      </w:r>
      <w:r w:rsidR="00574915" w:rsidRPr="00A51861">
        <w:rPr>
          <w:rFonts w:asciiTheme="majorHAnsi" w:hAnsiTheme="majorHAnsi"/>
          <w:sz w:val="20"/>
          <w:szCs w:val="20"/>
        </w:rPr>
        <w:t xml:space="preserve">Hugo Daniel Ferreira </w:t>
      </w:r>
      <w:r>
        <w:rPr>
          <w:rFonts w:asciiTheme="majorHAnsi" w:hAnsiTheme="majorHAnsi"/>
          <w:sz w:val="20"/>
          <w:szCs w:val="20"/>
        </w:rPr>
        <w:t xml:space="preserve">was acquitted </w:t>
      </w:r>
      <w:r w:rsidR="00E92985">
        <w:rPr>
          <w:rFonts w:asciiTheme="majorHAnsi" w:hAnsiTheme="majorHAnsi"/>
          <w:sz w:val="20"/>
          <w:szCs w:val="20"/>
        </w:rPr>
        <w:t xml:space="preserve">of the </w:t>
      </w:r>
      <w:r w:rsidR="00574915" w:rsidRPr="00A51861">
        <w:rPr>
          <w:rFonts w:asciiTheme="majorHAnsi" w:hAnsiTheme="majorHAnsi"/>
          <w:sz w:val="20"/>
          <w:szCs w:val="20"/>
        </w:rPr>
        <w:t>ca</w:t>
      </w:r>
      <w:r>
        <w:rPr>
          <w:rFonts w:asciiTheme="majorHAnsi" w:hAnsiTheme="majorHAnsi"/>
          <w:sz w:val="20"/>
          <w:szCs w:val="20"/>
        </w:rPr>
        <w:t>se</w:t>
      </w:r>
      <w:r w:rsidR="00574915" w:rsidRPr="00A51861">
        <w:rPr>
          <w:rFonts w:asciiTheme="majorHAnsi" w:hAnsiTheme="majorHAnsi"/>
          <w:sz w:val="20"/>
          <w:szCs w:val="20"/>
        </w:rPr>
        <w:t xml:space="preserve"> </w:t>
      </w:r>
      <w:r>
        <w:rPr>
          <w:rFonts w:asciiTheme="majorHAnsi" w:hAnsiTheme="majorHAnsi"/>
          <w:sz w:val="20"/>
          <w:szCs w:val="20"/>
        </w:rPr>
        <w:t>for</w:t>
      </w:r>
      <w:r w:rsidR="00574915" w:rsidRPr="00A51861">
        <w:rPr>
          <w:rFonts w:asciiTheme="majorHAnsi" w:hAnsiTheme="majorHAnsi"/>
          <w:sz w:val="20"/>
          <w:szCs w:val="20"/>
        </w:rPr>
        <w:t xml:space="preserve"> </w:t>
      </w:r>
      <w:r w:rsidRPr="00A51861">
        <w:rPr>
          <w:rFonts w:asciiTheme="majorHAnsi" w:hAnsiTheme="majorHAnsi"/>
          <w:sz w:val="20"/>
          <w:szCs w:val="20"/>
        </w:rPr>
        <w:t>contravention</w:t>
      </w:r>
      <w:r w:rsidR="00574915" w:rsidRPr="00A51861">
        <w:rPr>
          <w:rFonts w:asciiTheme="majorHAnsi" w:hAnsiTheme="majorHAnsi"/>
          <w:sz w:val="20"/>
          <w:szCs w:val="20"/>
        </w:rPr>
        <w:t xml:space="preserve"> </w:t>
      </w:r>
      <w:r>
        <w:rPr>
          <w:rFonts w:asciiTheme="majorHAnsi" w:hAnsiTheme="majorHAnsi"/>
          <w:sz w:val="20"/>
          <w:szCs w:val="20"/>
        </w:rPr>
        <w:t>for which he had been</w:t>
      </w:r>
      <w:r w:rsidR="00574915" w:rsidRPr="00A51861">
        <w:rPr>
          <w:rFonts w:asciiTheme="majorHAnsi" w:hAnsiTheme="majorHAnsi"/>
          <w:sz w:val="20"/>
          <w:szCs w:val="20"/>
        </w:rPr>
        <w:t xml:space="preserve"> </w:t>
      </w:r>
      <w:r w:rsidR="00CB67C7">
        <w:rPr>
          <w:rFonts w:asciiTheme="majorHAnsi" w:hAnsiTheme="majorHAnsi"/>
          <w:sz w:val="20"/>
          <w:szCs w:val="20"/>
        </w:rPr>
        <w:t>detained</w:t>
      </w:r>
      <w:r w:rsidR="00574915" w:rsidRPr="00A51861">
        <w:rPr>
          <w:rFonts w:asciiTheme="majorHAnsi" w:hAnsiTheme="majorHAnsi"/>
          <w:sz w:val="20"/>
          <w:szCs w:val="20"/>
        </w:rPr>
        <w:t>,</w:t>
      </w:r>
      <w:r w:rsidR="00E92985">
        <w:rPr>
          <w:rFonts w:asciiTheme="majorHAnsi" w:hAnsiTheme="majorHAnsi"/>
          <w:sz w:val="20"/>
          <w:szCs w:val="20"/>
        </w:rPr>
        <w:t xml:space="preserve"> and </w:t>
      </w:r>
      <w:r>
        <w:rPr>
          <w:rFonts w:asciiTheme="majorHAnsi" w:hAnsiTheme="majorHAnsi"/>
          <w:sz w:val="20"/>
          <w:szCs w:val="20"/>
        </w:rPr>
        <w:t>he was set free</w:t>
      </w:r>
      <w:r w:rsidR="00574915" w:rsidRPr="00A51861">
        <w:rPr>
          <w:rFonts w:asciiTheme="majorHAnsi" w:hAnsiTheme="majorHAnsi"/>
          <w:sz w:val="20"/>
          <w:szCs w:val="20"/>
          <w:vertAlign w:val="superscript"/>
        </w:rPr>
        <w:footnoteReference w:id="88"/>
      </w:r>
      <w:r w:rsidR="00574915" w:rsidRPr="00A51861">
        <w:rPr>
          <w:rFonts w:asciiTheme="majorHAnsi" w:hAnsiTheme="majorHAnsi"/>
          <w:sz w:val="20"/>
          <w:szCs w:val="20"/>
        </w:rPr>
        <w:t xml:space="preserve">. </w:t>
      </w:r>
    </w:p>
    <w:p w14:paraId="2D46E42C" w14:textId="77777777" w:rsidR="004A476E" w:rsidRPr="00A51861" w:rsidRDefault="004A476E" w:rsidP="008E4D36">
      <w:pPr>
        <w:pStyle w:val="ListParagraph"/>
        <w:rPr>
          <w:rFonts w:asciiTheme="majorHAnsi" w:hAnsiTheme="majorHAnsi"/>
          <w:sz w:val="20"/>
          <w:szCs w:val="20"/>
        </w:rPr>
      </w:pPr>
    </w:p>
    <w:p w14:paraId="13AC368B" w14:textId="067F489B" w:rsidR="004A476E" w:rsidRPr="00A51861" w:rsidRDefault="00AE3768"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 xml:space="preserve">On June 19 that same </w:t>
      </w:r>
      <w:r w:rsidR="007749C7">
        <w:rPr>
          <w:rFonts w:asciiTheme="majorHAnsi" w:hAnsiTheme="majorHAnsi"/>
          <w:sz w:val="20"/>
          <w:szCs w:val="20"/>
        </w:rPr>
        <w:t>year</w:t>
      </w:r>
      <w:r w:rsidR="00574915" w:rsidRPr="00A51861">
        <w:rPr>
          <w:rFonts w:asciiTheme="majorHAnsi" w:hAnsiTheme="majorHAnsi"/>
          <w:sz w:val="20"/>
          <w:szCs w:val="20"/>
        </w:rPr>
        <w:t xml:space="preserve">, </w:t>
      </w:r>
      <w:r w:rsidR="007749C7">
        <w:rPr>
          <w:rFonts w:asciiTheme="majorHAnsi" w:hAnsiTheme="majorHAnsi"/>
          <w:sz w:val="20"/>
          <w:szCs w:val="20"/>
        </w:rPr>
        <w:t>in a judgment of the</w:t>
      </w:r>
      <w:r w:rsidR="00574915" w:rsidRPr="00A51861">
        <w:rPr>
          <w:rFonts w:asciiTheme="majorHAnsi" w:hAnsiTheme="majorHAnsi"/>
          <w:sz w:val="20"/>
          <w:szCs w:val="20"/>
        </w:rPr>
        <w:t xml:space="preserve"> </w:t>
      </w:r>
      <w:r w:rsidR="005D2B55">
        <w:rPr>
          <w:rFonts w:asciiTheme="majorHAnsi" w:hAnsiTheme="majorHAnsi"/>
          <w:sz w:val="20"/>
          <w:szCs w:val="20"/>
        </w:rPr>
        <w:t xml:space="preserve">Juridical Affairs Department </w:t>
      </w:r>
      <w:r w:rsidR="00E92985">
        <w:rPr>
          <w:rFonts w:asciiTheme="majorHAnsi" w:hAnsiTheme="majorHAnsi"/>
          <w:sz w:val="20"/>
          <w:szCs w:val="20"/>
        </w:rPr>
        <w:t xml:space="preserve">of the </w:t>
      </w:r>
      <w:r w:rsidR="008E2F10">
        <w:rPr>
          <w:rFonts w:asciiTheme="majorHAnsi" w:hAnsiTheme="majorHAnsi"/>
          <w:sz w:val="20"/>
          <w:szCs w:val="20"/>
        </w:rPr>
        <w:t>NDM</w:t>
      </w:r>
      <w:r w:rsidR="00574915" w:rsidRPr="00A51861">
        <w:rPr>
          <w:rFonts w:asciiTheme="majorHAnsi" w:hAnsiTheme="majorHAnsi"/>
          <w:sz w:val="20"/>
          <w:szCs w:val="20"/>
        </w:rPr>
        <w:t xml:space="preserve">, </w:t>
      </w:r>
      <w:r w:rsidR="007749C7">
        <w:rPr>
          <w:rFonts w:asciiTheme="majorHAnsi" w:hAnsiTheme="majorHAnsi"/>
          <w:sz w:val="20"/>
          <w:szCs w:val="20"/>
        </w:rPr>
        <w:t>it was held that</w:t>
      </w:r>
      <w:r w:rsidR="00574915" w:rsidRPr="00A51861">
        <w:rPr>
          <w:rFonts w:asciiTheme="majorHAnsi" w:hAnsiTheme="majorHAnsi"/>
          <w:sz w:val="20"/>
          <w:szCs w:val="20"/>
        </w:rPr>
        <w:t xml:space="preserve"> </w:t>
      </w:r>
      <w:r w:rsidR="007749C7">
        <w:rPr>
          <w:rFonts w:asciiTheme="majorHAnsi" w:hAnsiTheme="majorHAnsi"/>
          <w:sz w:val="20"/>
          <w:szCs w:val="20"/>
        </w:rPr>
        <w:t>in attention to the official document</w:t>
      </w:r>
      <w:r w:rsidR="00E92985">
        <w:rPr>
          <w:rFonts w:asciiTheme="majorHAnsi" w:hAnsiTheme="majorHAnsi"/>
          <w:sz w:val="20"/>
          <w:szCs w:val="20"/>
        </w:rPr>
        <w:t xml:space="preserve"> of the </w:t>
      </w:r>
      <w:r w:rsidR="007749C7">
        <w:rPr>
          <w:rFonts w:asciiTheme="majorHAnsi" w:hAnsiTheme="majorHAnsi"/>
          <w:sz w:val="20"/>
          <w:szCs w:val="20"/>
        </w:rPr>
        <w:t>Federal Police</w:t>
      </w:r>
      <w:r w:rsidR="007C758D" w:rsidRPr="00A51861">
        <w:rPr>
          <w:rFonts w:asciiTheme="majorHAnsi" w:hAnsiTheme="majorHAnsi"/>
          <w:sz w:val="20"/>
          <w:szCs w:val="20"/>
        </w:rPr>
        <w:t xml:space="preserve">, </w:t>
      </w:r>
      <w:r w:rsidR="007749C7">
        <w:rPr>
          <w:rFonts w:asciiTheme="majorHAnsi" w:hAnsiTheme="majorHAnsi"/>
          <w:sz w:val="20"/>
          <w:szCs w:val="20"/>
        </w:rPr>
        <w:t>the permanence of the claimant in the country was to be declared illegal</w:t>
      </w:r>
      <w:r w:rsidR="00574915" w:rsidRPr="00A51861">
        <w:rPr>
          <w:rFonts w:asciiTheme="majorHAnsi" w:hAnsiTheme="majorHAnsi"/>
          <w:sz w:val="20"/>
          <w:szCs w:val="20"/>
        </w:rPr>
        <w:t xml:space="preserve">, </w:t>
      </w:r>
      <w:r w:rsidR="007749C7">
        <w:rPr>
          <w:rFonts w:asciiTheme="majorHAnsi" w:hAnsiTheme="majorHAnsi"/>
          <w:sz w:val="20"/>
          <w:szCs w:val="20"/>
        </w:rPr>
        <w:t>for not</w:t>
      </w:r>
      <w:r w:rsidR="008E2F10">
        <w:rPr>
          <w:rFonts w:asciiTheme="majorHAnsi" w:hAnsiTheme="majorHAnsi"/>
          <w:sz w:val="20"/>
          <w:szCs w:val="20"/>
        </w:rPr>
        <w:t xml:space="preserve"> meeting </w:t>
      </w:r>
      <w:r w:rsidR="007749C7">
        <w:rPr>
          <w:rFonts w:asciiTheme="majorHAnsi" w:hAnsiTheme="majorHAnsi"/>
          <w:sz w:val="20"/>
          <w:szCs w:val="20"/>
        </w:rPr>
        <w:t>the</w:t>
      </w:r>
      <w:r w:rsidR="00574915" w:rsidRPr="00A51861">
        <w:rPr>
          <w:rFonts w:asciiTheme="majorHAnsi" w:hAnsiTheme="majorHAnsi"/>
          <w:sz w:val="20"/>
          <w:szCs w:val="20"/>
        </w:rPr>
        <w:t xml:space="preserve"> </w:t>
      </w:r>
      <w:r w:rsidR="007749C7" w:rsidRPr="00A51861">
        <w:rPr>
          <w:rFonts w:asciiTheme="majorHAnsi" w:hAnsiTheme="majorHAnsi"/>
          <w:sz w:val="20"/>
          <w:szCs w:val="20"/>
        </w:rPr>
        <w:t xml:space="preserve">legal </w:t>
      </w:r>
      <w:r w:rsidR="00EC7A58">
        <w:rPr>
          <w:rFonts w:asciiTheme="majorHAnsi" w:hAnsiTheme="majorHAnsi"/>
          <w:sz w:val="20"/>
          <w:szCs w:val="20"/>
        </w:rPr>
        <w:t>requirement</w:t>
      </w:r>
      <w:r w:rsidR="00574915" w:rsidRPr="00A51861">
        <w:rPr>
          <w:rFonts w:asciiTheme="majorHAnsi" w:hAnsiTheme="majorHAnsi"/>
          <w:sz w:val="20"/>
          <w:szCs w:val="20"/>
        </w:rPr>
        <w:t xml:space="preserve">s </w:t>
      </w:r>
      <w:r w:rsidR="007749C7">
        <w:rPr>
          <w:rFonts w:asciiTheme="majorHAnsi" w:hAnsiTheme="majorHAnsi"/>
          <w:sz w:val="20"/>
          <w:szCs w:val="20"/>
        </w:rPr>
        <w:t>which condition his</w:t>
      </w:r>
      <w:r w:rsidR="00574915" w:rsidRPr="00A51861">
        <w:rPr>
          <w:rFonts w:asciiTheme="majorHAnsi" w:hAnsiTheme="majorHAnsi"/>
          <w:sz w:val="20"/>
          <w:szCs w:val="20"/>
        </w:rPr>
        <w:t xml:space="preserve"> </w:t>
      </w:r>
      <w:r w:rsidR="008333FF">
        <w:rPr>
          <w:rFonts w:asciiTheme="majorHAnsi" w:hAnsiTheme="majorHAnsi"/>
          <w:sz w:val="20"/>
          <w:szCs w:val="20"/>
        </w:rPr>
        <w:t>residency</w:t>
      </w:r>
      <w:r w:rsidR="00574915" w:rsidRPr="00A51861">
        <w:rPr>
          <w:rFonts w:asciiTheme="majorHAnsi" w:hAnsiTheme="majorHAnsi"/>
          <w:sz w:val="20"/>
          <w:szCs w:val="20"/>
        </w:rPr>
        <w:t xml:space="preserve"> </w:t>
      </w:r>
      <w:r w:rsidR="007749C7">
        <w:rPr>
          <w:rFonts w:asciiTheme="majorHAnsi" w:hAnsiTheme="majorHAnsi"/>
          <w:sz w:val="20"/>
          <w:szCs w:val="20"/>
        </w:rPr>
        <w:t>as a tourist</w:t>
      </w:r>
      <w:r w:rsidR="00574915" w:rsidRPr="00A51861">
        <w:rPr>
          <w:rFonts w:asciiTheme="majorHAnsi" w:hAnsiTheme="majorHAnsi"/>
          <w:sz w:val="20"/>
          <w:szCs w:val="20"/>
        </w:rPr>
        <w:t xml:space="preserve"> (</w:t>
      </w:r>
      <w:r w:rsidR="007749C7">
        <w:rPr>
          <w:rFonts w:asciiTheme="majorHAnsi" w:hAnsiTheme="majorHAnsi"/>
          <w:sz w:val="20"/>
          <w:szCs w:val="20"/>
        </w:rPr>
        <w:t>he performed wage-earning tasks</w:t>
      </w:r>
      <w:r w:rsidR="00574915" w:rsidRPr="00A51861">
        <w:rPr>
          <w:rFonts w:asciiTheme="majorHAnsi" w:hAnsiTheme="majorHAnsi"/>
          <w:sz w:val="20"/>
          <w:szCs w:val="20"/>
        </w:rPr>
        <w:t xml:space="preserve">, </w:t>
      </w:r>
      <w:r w:rsidR="007749C7">
        <w:rPr>
          <w:rFonts w:asciiTheme="majorHAnsi" w:hAnsiTheme="majorHAnsi"/>
          <w:sz w:val="20"/>
          <w:szCs w:val="20"/>
        </w:rPr>
        <w:t>as manifested by himself</w:t>
      </w:r>
      <w:r w:rsidR="00574915" w:rsidRPr="00A51861">
        <w:rPr>
          <w:rFonts w:asciiTheme="majorHAnsi" w:hAnsiTheme="majorHAnsi"/>
          <w:sz w:val="20"/>
          <w:szCs w:val="20"/>
        </w:rPr>
        <w:t>),</w:t>
      </w:r>
      <w:r w:rsidR="00E92985">
        <w:rPr>
          <w:rFonts w:asciiTheme="majorHAnsi" w:hAnsiTheme="majorHAnsi"/>
          <w:sz w:val="20"/>
          <w:szCs w:val="20"/>
        </w:rPr>
        <w:t xml:space="preserve"> and </w:t>
      </w:r>
      <w:r w:rsidR="007749C7" w:rsidRPr="00A51861">
        <w:rPr>
          <w:rFonts w:asciiTheme="majorHAnsi" w:hAnsiTheme="majorHAnsi"/>
          <w:sz w:val="20"/>
          <w:szCs w:val="20"/>
        </w:rPr>
        <w:t>direct</w:t>
      </w:r>
      <w:r w:rsidR="007749C7">
        <w:rPr>
          <w:rFonts w:asciiTheme="majorHAnsi" w:hAnsiTheme="majorHAnsi"/>
          <w:sz w:val="20"/>
          <w:szCs w:val="20"/>
        </w:rPr>
        <w:t xml:space="preserve">ly </w:t>
      </w:r>
      <w:r w:rsidR="00574915" w:rsidRPr="00A51861">
        <w:rPr>
          <w:rFonts w:asciiTheme="majorHAnsi" w:hAnsiTheme="majorHAnsi"/>
          <w:sz w:val="20"/>
          <w:szCs w:val="20"/>
        </w:rPr>
        <w:t>decre</w:t>
      </w:r>
      <w:r w:rsidR="007749C7">
        <w:rPr>
          <w:rFonts w:asciiTheme="majorHAnsi" w:hAnsiTheme="majorHAnsi"/>
          <w:sz w:val="20"/>
          <w:szCs w:val="20"/>
        </w:rPr>
        <w:t>eing</w:t>
      </w:r>
      <w:r w:rsidR="00574915" w:rsidRPr="00A51861">
        <w:rPr>
          <w:rFonts w:asciiTheme="majorHAnsi" w:hAnsiTheme="majorHAnsi"/>
          <w:sz w:val="20"/>
          <w:szCs w:val="20"/>
        </w:rPr>
        <w:t xml:space="preserve"> </w:t>
      </w:r>
      <w:r w:rsidR="007749C7">
        <w:rPr>
          <w:rFonts w:asciiTheme="majorHAnsi" w:hAnsiTheme="majorHAnsi"/>
          <w:sz w:val="20"/>
          <w:szCs w:val="20"/>
        </w:rPr>
        <w:t>his</w:t>
      </w:r>
      <w:r w:rsidR="00574915" w:rsidRPr="00A51861">
        <w:rPr>
          <w:rFonts w:asciiTheme="majorHAnsi" w:hAnsiTheme="majorHAnsi"/>
          <w:sz w:val="20"/>
          <w:szCs w:val="20"/>
        </w:rPr>
        <w:t xml:space="preserve"> </w:t>
      </w:r>
      <w:r w:rsidR="00103579">
        <w:rPr>
          <w:rFonts w:asciiTheme="majorHAnsi" w:hAnsiTheme="majorHAnsi"/>
          <w:sz w:val="20"/>
          <w:szCs w:val="20"/>
        </w:rPr>
        <w:t>expulsion</w:t>
      </w:r>
      <w:r w:rsidR="00574915" w:rsidRPr="00A51861">
        <w:rPr>
          <w:rFonts w:asciiTheme="majorHAnsi" w:hAnsiTheme="majorHAnsi"/>
          <w:sz w:val="20"/>
          <w:szCs w:val="20"/>
        </w:rPr>
        <w:t>”</w:t>
      </w:r>
      <w:r w:rsidR="00574915" w:rsidRPr="00A51861">
        <w:rPr>
          <w:rStyle w:val="FootnoteReference"/>
          <w:rFonts w:asciiTheme="majorHAnsi" w:hAnsiTheme="majorHAnsi"/>
          <w:sz w:val="20"/>
          <w:szCs w:val="20"/>
        </w:rPr>
        <w:footnoteReference w:id="89"/>
      </w:r>
      <w:r w:rsidR="001D1D61">
        <w:rPr>
          <w:rFonts w:asciiTheme="majorHAnsi" w:hAnsiTheme="majorHAnsi"/>
          <w:sz w:val="20"/>
          <w:szCs w:val="20"/>
        </w:rPr>
        <w:t>. Th</w:t>
      </w:r>
      <w:r w:rsidR="007749C7">
        <w:rPr>
          <w:rFonts w:asciiTheme="majorHAnsi" w:hAnsiTheme="majorHAnsi"/>
          <w:sz w:val="20"/>
          <w:szCs w:val="20"/>
        </w:rPr>
        <w:t>us</w:t>
      </w:r>
      <w:r w:rsidR="00BF36CF" w:rsidRPr="00A51861">
        <w:rPr>
          <w:rFonts w:asciiTheme="majorHAnsi" w:hAnsiTheme="majorHAnsi"/>
          <w:sz w:val="20"/>
          <w:szCs w:val="20"/>
        </w:rPr>
        <w:t xml:space="preserve">, </w:t>
      </w:r>
      <w:r w:rsidR="007749C7">
        <w:rPr>
          <w:rFonts w:asciiTheme="majorHAnsi" w:hAnsiTheme="majorHAnsi"/>
          <w:sz w:val="20"/>
          <w:szCs w:val="20"/>
        </w:rPr>
        <w:t xml:space="preserve">on June 24, </w:t>
      </w:r>
      <w:r w:rsidR="00574915" w:rsidRPr="00A51861">
        <w:rPr>
          <w:rFonts w:asciiTheme="majorHAnsi" w:hAnsiTheme="majorHAnsi"/>
          <w:sz w:val="20"/>
          <w:szCs w:val="20"/>
        </w:rPr>
        <w:t xml:space="preserve">1974 </w:t>
      </w:r>
      <w:r w:rsidR="0029564F">
        <w:rPr>
          <w:rFonts w:asciiTheme="majorHAnsi" w:hAnsiTheme="majorHAnsi"/>
          <w:sz w:val="20"/>
          <w:szCs w:val="20"/>
        </w:rPr>
        <w:t>Resolution</w:t>
      </w:r>
      <w:r w:rsidR="00574915" w:rsidRPr="00A51861">
        <w:rPr>
          <w:rFonts w:asciiTheme="majorHAnsi" w:hAnsiTheme="majorHAnsi"/>
          <w:sz w:val="20"/>
          <w:szCs w:val="20"/>
        </w:rPr>
        <w:t xml:space="preserve"> No. 4058</w:t>
      </w:r>
      <w:r w:rsidR="007749C7">
        <w:rPr>
          <w:rFonts w:asciiTheme="majorHAnsi" w:hAnsiTheme="majorHAnsi"/>
          <w:sz w:val="20"/>
          <w:szCs w:val="20"/>
        </w:rPr>
        <w:t xml:space="preserve"> was issued by means of which</w:t>
      </w:r>
      <w:r w:rsidR="00574915" w:rsidRPr="00A51861">
        <w:rPr>
          <w:rFonts w:asciiTheme="majorHAnsi" w:hAnsiTheme="majorHAnsi"/>
          <w:sz w:val="20"/>
          <w:szCs w:val="20"/>
        </w:rPr>
        <w:t xml:space="preserve">, </w:t>
      </w:r>
      <w:r w:rsidR="007749C7">
        <w:rPr>
          <w:rFonts w:asciiTheme="majorHAnsi" w:hAnsiTheme="majorHAnsi"/>
          <w:sz w:val="20"/>
          <w:szCs w:val="20"/>
        </w:rPr>
        <w:t>given the informed in the official document o</w:t>
      </w:r>
      <w:r w:rsidR="00E92985">
        <w:rPr>
          <w:rFonts w:asciiTheme="majorHAnsi" w:hAnsiTheme="majorHAnsi"/>
          <w:sz w:val="20"/>
          <w:szCs w:val="20"/>
        </w:rPr>
        <w:t xml:space="preserve">f the </w:t>
      </w:r>
      <w:r w:rsidR="007749C7">
        <w:rPr>
          <w:rFonts w:asciiTheme="majorHAnsi" w:hAnsiTheme="majorHAnsi"/>
          <w:sz w:val="20"/>
          <w:szCs w:val="20"/>
        </w:rPr>
        <w:t>Federal Police</w:t>
      </w:r>
      <w:r w:rsidR="00574915" w:rsidRPr="00A51861">
        <w:rPr>
          <w:rFonts w:asciiTheme="majorHAnsi" w:hAnsiTheme="majorHAnsi"/>
          <w:sz w:val="20"/>
          <w:szCs w:val="20"/>
        </w:rPr>
        <w:t xml:space="preserve">, </w:t>
      </w:r>
      <w:r w:rsidR="00BD093F">
        <w:rPr>
          <w:rFonts w:asciiTheme="majorHAnsi" w:hAnsiTheme="majorHAnsi"/>
          <w:sz w:val="20"/>
          <w:szCs w:val="20"/>
        </w:rPr>
        <w:t xml:space="preserve">Mr. </w:t>
      </w:r>
      <w:r w:rsidR="00574915" w:rsidRPr="00A51861">
        <w:rPr>
          <w:rFonts w:asciiTheme="majorHAnsi" w:hAnsiTheme="majorHAnsi"/>
          <w:sz w:val="20"/>
          <w:szCs w:val="20"/>
        </w:rPr>
        <w:t>Ferreira</w:t>
      </w:r>
      <w:r w:rsidR="007749C7">
        <w:rPr>
          <w:rFonts w:asciiTheme="majorHAnsi" w:hAnsiTheme="majorHAnsi"/>
          <w:sz w:val="20"/>
          <w:szCs w:val="20"/>
        </w:rPr>
        <w:t>’s permanence permit as a tourist was canceled</w:t>
      </w:r>
      <w:r w:rsidR="00574915" w:rsidRPr="00A51861">
        <w:rPr>
          <w:rFonts w:asciiTheme="majorHAnsi" w:hAnsiTheme="majorHAnsi"/>
          <w:sz w:val="20"/>
          <w:szCs w:val="20"/>
        </w:rPr>
        <w:t xml:space="preserve">, </w:t>
      </w:r>
      <w:r w:rsidR="007749C7">
        <w:rPr>
          <w:rFonts w:asciiTheme="majorHAnsi" w:hAnsiTheme="majorHAnsi"/>
          <w:sz w:val="20"/>
          <w:szCs w:val="20"/>
        </w:rPr>
        <w:t xml:space="preserve">his permanence was declared illegal </w:t>
      </w:r>
      <w:r w:rsidR="00E92985">
        <w:rPr>
          <w:rFonts w:asciiTheme="majorHAnsi" w:hAnsiTheme="majorHAnsi"/>
          <w:sz w:val="20"/>
          <w:szCs w:val="20"/>
        </w:rPr>
        <w:t xml:space="preserve">and </w:t>
      </w:r>
      <w:r w:rsidR="004969F4">
        <w:rPr>
          <w:rFonts w:asciiTheme="majorHAnsi" w:hAnsiTheme="majorHAnsi"/>
          <w:sz w:val="20"/>
          <w:szCs w:val="20"/>
        </w:rPr>
        <w:t>his</w:t>
      </w:r>
      <w:r w:rsidR="00574915" w:rsidRPr="00A51861">
        <w:rPr>
          <w:rFonts w:asciiTheme="majorHAnsi" w:hAnsiTheme="majorHAnsi"/>
          <w:sz w:val="20"/>
          <w:szCs w:val="20"/>
        </w:rPr>
        <w:t xml:space="preserve"> </w:t>
      </w:r>
      <w:r w:rsidR="00103579">
        <w:rPr>
          <w:rFonts w:asciiTheme="majorHAnsi" w:hAnsiTheme="majorHAnsi"/>
          <w:sz w:val="20"/>
          <w:szCs w:val="20"/>
        </w:rPr>
        <w:t>expulsion</w:t>
      </w:r>
      <w:r w:rsidR="004969F4">
        <w:rPr>
          <w:rFonts w:asciiTheme="majorHAnsi" w:hAnsiTheme="majorHAnsi"/>
          <w:sz w:val="20"/>
          <w:szCs w:val="20"/>
        </w:rPr>
        <w:t xml:space="preserve"> from the national territory was ordered as well</w:t>
      </w:r>
      <w:r w:rsidR="00574915" w:rsidRPr="00A51861">
        <w:rPr>
          <w:rStyle w:val="FootnoteReference"/>
          <w:rFonts w:asciiTheme="majorHAnsi" w:hAnsiTheme="majorHAnsi"/>
          <w:sz w:val="20"/>
          <w:szCs w:val="20"/>
        </w:rPr>
        <w:footnoteReference w:id="90"/>
      </w:r>
      <w:r w:rsidR="00574915" w:rsidRPr="00A51861">
        <w:rPr>
          <w:rFonts w:asciiTheme="majorHAnsi" w:hAnsiTheme="majorHAnsi"/>
          <w:sz w:val="20"/>
          <w:szCs w:val="20"/>
        </w:rPr>
        <w:t>.</w:t>
      </w:r>
    </w:p>
    <w:p w14:paraId="50B51BB5" w14:textId="77777777" w:rsidR="004A476E" w:rsidRPr="00A51861" w:rsidRDefault="004A476E" w:rsidP="008E4D36">
      <w:pPr>
        <w:pStyle w:val="ListParagraph"/>
        <w:rPr>
          <w:rFonts w:asciiTheme="majorHAnsi" w:hAnsiTheme="majorHAnsi"/>
          <w:sz w:val="20"/>
          <w:szCs w:val="20"/>
        </w:rPr>
      </w:pPr>
    </w:p>
    <w:p w14:paraId="4EF4C4D9" w14:textId="720837A3" w:rsidR="004A476E" w:rsidRPr="00A51861" w:rsidRDefault="00574915"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A51861">
        <w:rPr>
          <w:rFonts w:asciiTheme="majorHAnsi" w:hAnsiTheme="majorHAnsi"/>
          <w:sz w:val="20"/>
          <w:szCs w:val="20"/>
        </w:rPr>
        <w:t xml:space="preserve">Hugo Daniel Ferreira </w:t>
      </w:r>
      <w:r w:rsidR="004969F4">
        <w:rPr>
          <w:rFonts w:asciiTheme="majorHAnsi" w:hAnsiTheme="majorHAnsi"/>
          <w:sz w:val="20"/>
          <w:szCs w:val="20"/>
        </w:rPr>
        <w:t>appealed the</w:t>
      </w:r>
      <w:r w:rsidRPr="00A51861">
        <w:rPr>
          <w:rFonts w:asciiTheme="majorHAnsi" w:hAnsiTheme="majorHAnsi"/>
          <w:sz w:val="20"/>
          <w:szCs w:val="20"/>
        </w:rPr>
        <w:t xml:space="preserve"> </w:t>
      </w:r>
      <w:r w:rsidR="0029564F">
        <w:rPr>
          <w:rFonts w:asciiTheme="majorHAnsi" w:hAnsiTheme="majorHAnsi"/>
          <w:sz w:val="20"/>
          <w:szCs w:val="20"/>
        </w:rPr>
        <w:t>resolution</w:t>
      </w:r>
      <w:r w:rsidRPr="00A51861">
        <w:rPr>
          <w:rFonts w:asciiTheme="majorHAnsi" w:hAnsiTheme="majorHAnsi"/>
          <w:sz w:val="20"/>
          <w:szCs w:val="20"/>
        </w:rPr>
        <w:t xml:space="preserve"> </w:t>
      </w:r>
      <w:r w:rsidR="004969F4">
        <w:rPr>
          <w:rFonts w:asciiTheme="majorHAnsi" w:hAnsiTheme="majorHAnsi"/>
          <w:sz w:val="20"/>
          <w:szCs w:val="20"/>
        </w:rPr>
        <w:t xml:space="preserve">before the Ministry of </w:t>
      </w:r>
      <w:r w:rsidRPr="00A51861">
        <w:rPr>
          <w:rFonts w:asciiTheme="majorHAnsi" w:hAnsiTheme="majorHAnsi"/>
          <w:sz w:val="20"/>
          <w:szCs w:val="20"/>
        </w:rPr>
        <w:t>Interior</w:t>
      </w:r>
      <w:r w:rsidR="00E26995" w:rsidRPr="00A51861">
        <w:rPr>
          <w:rFonts w:asciiTheme="majorHAnsi" w:hAnsiTheme="majorHAnsi"/>
          <w:sz w:val="20"/>
          <w:szCs w:val="20"/>
        </w:rPr>
        <w:t xml:space="preserve"> </w:t>
      </w:r>
      <w:r w:rsidR="004969F4">
        <w:rPr>
          <w:rFonts w:asciiTheme="majorHAnsi" w:hAnsiTheme="majorHAnsi"/>
          <w:sz w:val="20"/>
          <w:szCs w:val="20"/>
        </w:rPr>
        <w:t>referring that he had been acquitted</w:t>
      </w:r>
      <w:r w:rsidR="00E92985">
        <w:rPr>
          <w:rFonts w:asciiTheme="majorHAnsi" w:hAnsiTheme="majorHAnsi"/>
          <w:sz w:val="20"/>
          <w:szCs w:val="20"/>
        </w:rPr>
        <w:t xml:space="preserve"> of the </w:t>
      </w:r>
      <w:r w:rsidR="00E26995" w:rsidRPr="00A51861">
        <w:rPr>
          <w:rFonts w:asciiTheme="majorHAnsi" w:hAnsiTheme="majorHAnsi"/>
          <w:sz w:val="20"/>
          <w:szCs w:val="20"/>
        </w:rPr>
        <w:t>ca</w:t>
      </w:r>
      <w:r w:rsidR="004969F4">
        <w:rPr>
          <w:rFonts w:asciiTheme="majorHAnsi" w:hAnsiTheme="majorHAnsi"/>
          <w:sz w:val="20"/>
          <w:szCs w:val="20"/>
        </w:rPr>
        <w:t>se</w:t>
      </w:r>
      <w:r w:rsidR="00E26995" w:rsidRPr="00A51861">
        <w:rPr>
          <w:rFonts w:asciiTheme="majorHAnsi" w:hAnsiTheme="majorHAnsi"/>
          <w:sz w:val="20"/>
          <w:szCs w:val="20"/>
        </w:rPr>
        <w:t xml:space="preserve"> </w:t>
      </w:r>
      <w:r w:rsidR="004969F4">
        <w:rPr>
          <w:rFonts w:asciiTheme="majorHAnsi" w:hAnsiTheme="majorHAnsi"/>
          <w:sz w:val="20"/>
          <w:szCs w:val="20"/>
        </w:rPr>
        <w:t>followed against him</w:t>
      </w:r>
      <w:r w:rsidR="001D432B" w:rsidRPr="00A51861">
        <w:rPr>
          <w:rFonts w:asciiTheme="majorHAnsi" w:hAnsiTheme="majorHAnsi"/>
          <w:sz w:val="20"/>
          <w:szCs w:val="20"/>
        </w:rPr>
        <w:t>,</w:t>
      </w:r>
      <w:r w:rsidR="00E92985">
        <w:rPr>
          <w:rFonts w:asciiTheme="majorHAnsi" w:hAnsiTheme="majorHAnsi"/>
          <w:sz w:val="20"/>
          <w:szCs w:val="20"/>
        </w:rPr>
        <w:t xml:space="preserve"> and </w:t>
      </w:r>
      <w:r w:rsidR="001D432B" w:rsidRPr="00A51861">
        <w:rPr>
          <w:rFonts w:asciiTheme="majorHAnsi" w:hAnsiTheme="majorHAnsi"/>
          <w:sz w:val="20"/>
          <w:szCs w:val="20"/>
        </w:rPr>
        <w:t>inform</w:t>
      </w:r>
      <w:r w:rsidR="004969F4">
        <w:rPr>
          <w:rFonts w:asciiTheme="majorHAnsi" w:hAnsiTheme="majorHAnsi"/>
          <w:sz w:val="20"/>
          <w:szCs w:val="20"/>
        </w:rPr>
        <w:t>ing</w:t>
      </w:r>
      <w:r w:rsidR="001D432B" w:rsidRPr="00A51861">
        <w:rPr>
          <w:rFonts w:asciiTheme="majorHAnsi" w:hAnsiTheme="majorHAnsi"/>
          <w:sz w:val="20"/>
          <w:szCs w:val="20"/>
        </w:rPr>
        <w:t xml:space="preserve"> </w:t>
      </w:r>
      <w:r w:rsidR="004969F4">
        <w:rPr>
          <w:rFonts w:asciiTheme="majorHAnsi" w:hAnsiTheme="majorHAnsi"/>
          <w:sz w:val="20"/>
          <w:szCs w:val="20"/>
        </w:rPr>
        <w:t>he was under the</w:t>
      </w:r>
      <w:r w:rsidR="001D432B" w:rsidRPr="00A51861">
        <w:rPr>
          <w:rFonts w:asciiTheme="majorHAnsi" w:hAnsiTheme="majorHAnsi"/>
          <w:sz w:val="20"/>
          <w:szCs w:val="20"/>
        </w:rPr>
        <w:t xml:space="preserve"> </w:t>
      </w:r>
      <w:r w:rsidR="00EF4ED2">
        <w:rPr>
          <w:rFonts w:asciiTheme="majorHAnsi" w:hAnsiTheme="majorHAnsi"/>
          <w:sz w:val="20"/>
          <w:szCs w:val="20"/>
        </w:rPr>
        <w:t>protection</w:t>
      </w:r>
      <w:r w:rsidR="001D432B" w:rsidRPr="00A51861">
        <w:rPr>
          <w:rFonts w:asciiTheme="majorHAnsi" w:hAnsiTheme="majorHAnsi"/>
          <w:sz w:val="20"/>
          <w:szCs w:val="20"/>
        </w:rPr>
        <w:t xml:space="preserve"> </w:t>
      </w:r>
      <w:r w:rsidR="004969F4">
        <w:rPr>
          <w:rFonts w:asciiTheme="majorHAnsi" w:hAnsiTheme="majorHAnsi"/>
          <w:sz w:val="20"/>
          <w:szCs w:val="20"/>
        </w:rPr>
        <w:t>of</w:t>
      </w:r>
      <w:r w:rsidR="008E2F10">
        <w:rPr>
          <w:rFonts w:asciiTheme="majorHAnsi" w:hAnsiTheme="majorHAnsi"/>
          <w:sz w:val="20"/>
          <w:szCs w:val="20"/>
        </w:rPr>
        <w:t xml:space="preserve"> the HCUNR</w:t>
      </w:r>
      <w:r w:rsidRPr="00A51861">
        <w:rPr>
          <w:rStyle w:val="FootnoteReference"/>
          <w:rFonts w:asciiTheme="majorHAnsi" w:hAnsiTheme="majorHAnsi"/>
          <w:sz w:val="20"/>
          <w:szCs w:val="20"/>
        </w:rPr>
        <w:footnoteReference w:id="91"/>
      </w:r>
      <w:r w:rsidRPr="00A51861">
        <w:rPr>
          <w:rFonts w:asciiTheme="majorHAnsi" w:hAnsiTheme="majorHAnsi"/>
          <w:sz w:val="20"/>
          <w:szCs w:val="20"/>
        </w:rPr>
        <w:t xml:space="preserve">.  </w:t>
      </w:r>
      <w:r w:rsidR="004969F4">
        <w:rPr>
          <w:rFonts w:asciiTheme="majorHAnsi" w:hAnsiTheme="majorHAnsi"/>
          <w:sz w:val="20"/>
          <w:szCs w:val="20"/>
        </w:rPr>
        <w:t>On September 16,</w:t>
      </w:r>
      <w:r w:rsidR="00E92985">
        <w:rPr>
          <w:rFonts w:asciiTheme="majorHAnsi" w:hAnsiTheme="majorHAnsi"/>
          <w:sz w:val="20"/>
          <w:szCs w:val="20"/>
        </w:rPr>
        <w:t xml:space="preserve"> </w:t>
      </w:r>
      <w:r w:rsidRPr="00A51861">
        <w:rPr>
          <w:rFonts w:asciiTheme="majorHAnsi" w:hAnsiTheme="majorHAnsi"/>
          <w:sz w:val="20"/>
          <w:szCs w:val="20"/>
        </w:rPr>
        <w:t xml:space="preserve">1974, </w:t>
      </w:r>
      <w:r w:rsidR="004969F4">
        <w:rPr>
          <w:rFonts w:asciiTheme="majorHAnsi" w:hAnsiTheme="majorHAnsi"/>
          <w:sz w:val="20"/>
          <w:szCs w:val="20"/>
        </w:rPr>
        <w:t>via</w:t>
      </w:r>
      <w:r w:rsidRPr="00A51861">
        <w:rPr>
          <w:rFonts w:asciiTheme="majorHAnsi" w:hAnsiTheme="majorHAnsi"/>
          <w:sz w:val="20"/>
          <w:szCs w:val="20"/>
        </w:rPr>
        <w:t xml:space="preserve"> </w:t>
      </w:r>
      <w:r w:rsidR="0029564F">
        <w:rPr>
          <w:rFonts w:ascii="Cambria" w:hAnsi="Cambria"/>
          <w:color w:val="000000" w:themeColor="text1"/>
          <w:sz w:val="20"/>
          <w:szCs w:val="20"/>
        </w:rPr>
        <w:t>Resolution</w:t>
      </w:r>
      <w:r w:rsidRPr="00A51861">
        <w:rPr>
          <w:rFonts w:asciiTheme="majorHAnsi" w:hAnsiTheme="majorHAnsi"/>
          <w:sz w:val="20"/>
          <w:szCs w:val="20"/>
        </w:rPr>
        <w:t xml:space="preserve"> No. 6028, </w:t>
      </w:r>
      <w:r w:rsidR="0026043F">
        <w:rPr>
          <w:rFonts w:asciiTheme="majorHAnsi" w:hAnsiTheme="majorHAnsi"/>
          <w:sz w:val="20"/>
          <w:szCs w:val="20"/>
        </w:rPr>
        <w:t>the</w:t>
      </w:r>
      <w:r w:rsidR="00185E46">
        <w:rPr>
          <w:rFonts w:asciiTheme="majorHAnsi" w:hAnsiTheme="majorHAnsi"/>
          <w:sz w:val="20"/>
          <w:szCs w:val="20"/>
        </w:rPr>
        <w:t xml:space="preserve"> NDM </w:t>
      </w:r>
      <w:r w:rsidRPr="00A51861">
        <w:rPr>
          <w:rFonts w:asciiTheme="majorHAnsi" w:hAnsiTheme="majorHAnsi"/>
          <w:sz w:val="20"/>
          <w:szCs w:val="20"/>
        </w:rPr>
        <w:t>o</w:t>
      </w:r>
      <w:r w:rsidR="004969F4">
        <w:rPr>
          <w:rFonts w:asciiTheme="majorHAnsi" w:hAnsiTheme="majorHAnsi"/>
          <w:sz w:val="20"/>
          <w:szCs w:val="20"/>
        </w:rPr>
        <w:t>rdered to</w:t>
      </w:r>
      <w:r w:rsidRPr="00A51861">
        <w:rPr>
          <w:rFonts w:asciiTheme="majorHAnsi" w:hAnsiTheme="majorHAnsi"/>
          <w:sz w:val="20"/>
          <w:szCs w:val="20"/>
        </w:rPr>
        <w:t xml:space="preserve"> suspend</w:t>
      </w:r>
      <w:r w:rsidR="004969F4">
        <w:rPr>
          <w:rFonts w:asciiTheme="majorHAnsi" w:hAnsiTheme="majorHAnsi"/>
          <w:sz w:val="20"/>
          <w:szCs w:val="20"/>
        </w:rPr>
        <w:t xml:space="preserve"> the enforcement of the measure</w:t>
      </w:r>
      <w:r w:rsidR="00E92985">
        <w:rPr>
          <w:rFonts w:asciiTheme="majorHAnsi" w:hAnsiTheme="majorHAnsi"/>
          <w:sz w:val="20"/>
          <w:szCs w:val="20"/>
        </w:rPr>
        <w:t xml:space="preserve"> of </w:t>
      </w:r>
      <w:r w:rsidR="00103579">
        <w:rPr>
          <w:rFonts w:asciiTheme="majorHAnsi" w:hAnsiTheme="majorHAnsi"/>
          <w:sz w:val="20"/>
          <w:szCs w:val="20"/>
        </w:rPr>
        <w:t>expulsion</w:t>
      </w:r>
      <w:r w:rsidR="00E92985">
        <w:rPr>
          <w:rFonts w:asciiTheme="majorHAnsi" w:hAnsiTheme="majorHAnsi"/>
          <w:sz w:val="20"/>
          <w:szCs w:val="20"/>
        </w:rPr>
        <w:t xml:space="preserve"> and </w:t>
      </w:r>
      <w:r w:rsidR="004969F4">
        <w:rPr>
          <w:rFonts w:asciiTheme="majorHAnsi" w:hAnsiTheme="majorHAnsi"/>
          <w:sz w:val="20"/>
          <w:szCs w:val="20"/>
        </w:rPr>
        <w:t>forwarded the acts to</w:t>
      </w:r>
      <w:r w:rsidR="00FF2069" w:rsidRPr="00A51861">
        <w:rPr>
          <w:rFonts w:asciiTheme="majorHAnsi" w:hAnsiTheme="majorHAnsi"/>
          <w:sz w:val="20"/>
          <w:szCs w:val="20"/>
        </w:rPr>
        <w:t xml:space="preserve"> </w:t>
      </w:r>
      <w:r w:rsidR="008333FF">
        <w:rPr>
          <w:rFonts w:asciiTheme="majorHAnsi" w:hAnsiTheme="majorHAnsi"/>
          <w:sz w:val="20"/>
          <w:szCs w:val="20"/>
        </w:rPr>
        <w:t xml:space="preserve">the S.I.D.E. </w:t>
      </w:r>
      <w:r w:rsidR="004969F4">
        <w:rPr>
          <w:rFonts w:asciiTheme="majorHAnsi" w:hAnsiTheme="majorHAnsi"/>
          <w:sz w:val="20"/>
          <w:szCs w:val="20"/>
        </w:rPr>
        <w:t>in order to</w:t>
      </w:r>
      <w:r w:rsidR="00FF2069" w:rsidRPr="00A51861">
        <w:rPr>
          <w:rFonts w:asciiTheme="majorHAnsi" w:hAnsiTheme="majorHAnsi"/>
          <w:sz w:val="20"/>
          <w:szCs w:val="20"/>
        </w:rPr>
        <w:t xml:space="preserve"> inform</w:t>
      </w:r>
      <w:r w:rsidR="004969F4">
        <w:rPr>
          <w:rFonts w:asciiTheme="majorHAnsi" w:hAnsiTheme="majorHAnsi"/>
          <w:sz w:val="20"/>
          <w:szCs w:val="20"/>
        </w:rPr>
        <w:t xml:space="preserve"> whether</w:t>
      </w:r>
      <w:r w:rsidR="00FF2069" w:rsidRPr="00A51861">
        <w:rPr>
          <w:rFonts w:asciiTheme="majorHAnsi" w:hAnsiTheme="majorHAnsi"/>
          <w:sz w:val="20"/>
          <w:szCs w:val="20"/>
        </w:rPr>
        <w:t xml:space="preserve"> Ferreira </w:t>
      </w:r>
      <w:r w:rsidR="004969F4">
        <w:rPr>
          <w:rFonts w:asciiTheme="majorHAnsi" w:hAnsiTheme="majorHAnsi"/>
          <w:sz w:val="20"/>
          <w:szCs w:val="20"/>
        </w:rPr>
        <w:t>held a record which would lead to assume he would compromise national security</w:t>
      </w:r>
      <w:r w:rsidR="00E92985">
        <w:rPr>
          <w:rFonts w:asciiTheme="majorHAnsi" w:hAnsiTheme="majorHAnsi"/>
          <w:sz w:val="20"/>
          <w:szCs w:val="20"/>
        </w:rPr>
        <w:t xml:space="preserve"> or </w:t>
      </w:r>
      <w:r w:rsidR="00166E8A">
        <w:rPr>
          <w:rFonts w:asciiTheme="majorHAnsi" w:hAnsiTheme="majorHAnsi"/>
          <w:sz w:val="20"/>
          <w:szCs w:val="20"/>
        </w:rPr>
        <w:t>public order</w:t>
      </w:r>
      <w:r w:rsidRPr="00A51861">
        <w:rPr>
          <w:rStyle w:val="FootnoteReference"/>
          <w:rFonts w:asciiTheme="majorHAnsi" w:hAnsiTheme="majorHAnsi"/>
          <w:sz w:val="20"/>
          <w:szCs w:val="20"/>
        </w:rPr>
        <w:footnoteReference w:id="92"/>
      </w:r>
      <w:r w:rsidR="001D1D61">
        <w:rPr>
          <w:rFonts w:asciiTheme="majorHAnsi" w:hAnsiTheme="majorHAnsi"/>
          <w:sz w:val="20"/>
          <w:szCs w:val="20"/>
        </w:rPr>
        <w:t>. Th</w:t>
      </w:r>
      <w:r w:rsidR="008333FF">
        <w:rPr>
          <w:rFonts w:asciiTheme="majorHAnsi" w:hAnsiTheme="majorHAnsi"/>
          <w:sz w:val="20"/>
          <w:szCs w:val="20"/>
        </w:rPr>
        <w:t xml:space="preserve">e S.I.D.E. </w:t>
      </w:r>
      <w:r w:rsidRPr="00A51861">
        <w:rPr>
          <w:rFonts w:asciiTheme="majorHAnsi" w:hAnsiTheme="majorHAnsi"/>
          <w:sz w:val="20"/>
          <w:szCs w:val="20"/>
        </w:rPr>
        <w:t>inform</w:t>
      </w:r>
      <w:r w:rsidR="004969F4">
        <w:rPr>
          <w:rFonts w:asciiTheme="majorHAnsi" w:hAnsiTheme="majorHAnsi"/>
          <w:sz w:val="20"/>
          <w:szCs w:val="20"/>
        </w:rPr>
        <w:t>ed</w:t>
      </w:r>
      <w:r w:rsidRPr="00A51861">
        <w:rPr>
          <w:rFonts w:asciiTheme="majorHAnsi" w:hAnsiTheme="majorHAnsi"/>
          <w:sz w:val="20"/>
          <w:szCs w:val="20"/>
        </w:rPr>
        <w:t xml:space="preserve"> </w:t>
      </w:r>
      <w:r w:rsidR="004969F4">
        <w:rPr>
          <w:rFonts w:asciiTheme="majorHAnsi" w:hAnsiTheme="majorHAnsi"/>
          <w:sz w:val="20"/>
          <w:szCs w:val="20"/>
        </w:rPr>
        <w:t>that</w:t>
      </w:r>
      <w:r w:rsidRPr="00A51861">
        <w:rPr>
          <w:rFonts w:asciiTheme="majorHAnsi" w:hAnsiTheme="majorHAnsi"/>
          <w:sz w:val="20"/>
          <w:szCs w:val="20"/>
        </w:rPr>
        <w:t xml:space="preserve"> </w:t>
      </w:r>
      <w:r w:rsidR="00A51861" w:rsidRPr="00A51861">
        <w:rPr>
          <w:rFonts w:asciiTheme="majorHAnsi" w:hAnsiTheme="majorHAnsi"/>
          <w:sz w:val="20"/>
          <w:szCs w:val="20"/>
        </w:rPr>
        <w:t>the alleged victim</w:t>
      </w:r>
      <w:r w:rsidRPr="00A51861">
        <w:rPr>
          <w:rFonts w:asciiTheme="majorHAnsi" w:hAnsiTheme="majorHAnsi"/>
          <w:sz w:val="20"/>
          <w:szCs w:val="20"/>
        </w:rPr>
        <w:t xml:space="preserve"> </w:t>
      </w:r>
      <w:r w:rsidR="004969F4">
        <w:rPr>
          <w:rFonts w:asciiTheme="majorHAnsi" w:hAnsiTheme="majorHAnsi"/>
          <w:sz w:val="20"/>
          <w:szCs w:val="20"/>
        </w:rPr>
        <w:t>had an unfavorable record</w:t>
      </w:r>
      <w:r w:rsidRPr="00A51861">
        <w:rPr>
          <w:rFonts w:asciiTheme="majorHAnsi" w:hAnsiTheme="majorHAnsi"/>
          <w:sz w:val="20"/>
          <w:szCs w:val="20"/>
        </w:rPr>
        <w:t xml:space="preserve"> </w:t>
      </w:r>
      <w:r w:rsidR="004969F4">
        <w:rPr>
          <w:rFonts w:asciiTheme="majorHAnsi" w:hAnsiTheme="majorHAnsi"/>
          <w:sz w:val="20"/>
          <w:szCs w:val="20"/>
        </w:rPr>
        <w:t xml:space="preserve">which qualified him among the ineligibilities of </w:t>
      </w:r>
      <w:r w:rsidR="0029564F">
        <w:rPr>
          <w:rFonts w:asciiTheme="majorHAnsi" w:hAnsiTheme="majorHAnsi"/>
          <w:sz w:val="20"/>
          <w:szCs w:val="20"/>
        </w:rPr>
        <w:t>article</w:t>
      </w:r>
      <w:r w:rsidRPr="00A51861">
        <w:rPr>
          <w:rFonts w:asciiTheme="majorHAnsi" w:hAnsiTheme="majorHAnsi"/>
          <w:sz w:val="20"/>
          <w:szCs w:val="20"/>
        </w:rPr>
        <w:t xml:space="preserve"> 25 </w:t>
      </w:r>
      <w:r w:rsidR="004969F4">
        <w:rPr>
          <w:rFonts w:asciiTheme="majorHAnsi" w:hAnsiTheme="majorHAnsi"/>
          <w:sz w:val="20"/>
          <w:szCs w:val="20"/>
        </w:rPr>
        <w:t>subsection</w:t>
      </w:r>
      <w:r w:rsidRPr="00A51861">
        <w:rPr>
          <w:rFonts w:asciiTheme="majorHAnsi" w:hAnsiTheme="majorHAnsi"/>
          <w:sz w:val="20"/>
          <w:szCs w:val="20"/>
        </w:rPr>
        <w:t xml:space="preserve"> g) </w:t>
      </w:r>
      <w:r w:rsidR="004969F4">
        <w:rPr>
          <w:rFonts w:asciiTheme="majorHAnsi" w:hAnsiTheme="majorHAnsi"/>
          <w:sz w:val="20"/>
          <w:szCs w:val="20"/>
        </w:rPr>
        <w:t>of the</w:t>
      </w:r>
      <w:r w:rsidRPr="00A51861">
        <w:rPr>
          <w:rFonts w:asciiTheme="majorHAnsi" w:hAnsiTheme="majorHAnsi"/>
          <w:sz w:val="20"/>
          <w:szCs w:val="20"/>
        </w:rPr>
        <w:t xml:space="preserve"> </w:t>
      </w:r>
      <w:r w:rsidR="004969F4" w:rsidRPr="00A51861">
        <w:rPr>
          <w:rFonts w:asciiTheme="majorHAnsi" w:hAnsiTheme="majorHAnsi"/>
          <w:sz w:val="20"/>
          <w:szCs w:val="20"/>
        </w:rPr>
        <w:t>Migration</w:t>
      </w:r>
      <w:r w:rsidR="004969F4">
        <w:rPr>
          <w:rFonts w:asciiTheme="majorHAnsi" w:hAnsiTheme="majorHAnsi"/>
          <w:sz w:val="20"/>
          <w:szCs w:val="20"/>
        </w:rPr>
        <w:t xml:space="preserve"> Regulations</w:t>
      </w:r>
      <w:r w:rsidRPr="00A51861">
        <w:rPr>
          <w:rStyle w:val="FootnoteReference"/>
          <w:rFonts w:asciiTheme="majorHAnsi" w:hAnsiTheme="majorHAnsi"/>
          <w:sz w:val="20"/>
          <w:szCs w:val="20"/>
        </w:rPr>
        <w:footnoteReference w:id="93"/>
      </w:r>
      <w:r w:rsidRPr="00A51861">
        <w:rPr>
          <w:rFonts w:asciiTheme="majorHAnsi" w:hAnsiTheme="majorHAnsi"/>
          <w:sz w:val="20"/>
          <w:szCs w:val="20"/>
        </w:rPr>
        <w:t>.</w:t>
      </w:r>
    </w:p>
    <w:p w14:paraId="1F30875C" w14:textId="77777777" w:rsidR="004A476E" w:rsidRPr="00A51861" w:rsidRDefault="004A476E" w:rsidP="008E4D36">
      <w:pPr>
        <w:pStyle w:val="ListParagraph"/>
        <w:rPr>
          <w:rFonts w:asciiTheme="majorHAnsi" w:hAnsiTheme="majorHAnsi"/>
          <w:sz w:val="20"/>
          <w:szCs w:val="20"/>
        </w:rPr>
      </w:pPr>
    </w:p>
    <w:p w14:paraId="23C595B0" w14:textId="0E895DAB" w:rsidR="004A476E" w:rsidRPr="00A51861" w:rsidRDefault="004969F4"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On December 16,</w:t>
      </w:r>
      <w:r w:rsidR="00574915" w:rsidRPr="00A51861">
        <w:rPr>
          <w:rFonts w:asciiTheme="majorHAnsi" w:hAnsiTheme="majorHAnsi"/>
          <w:sz w:val="20"/>
          <w:szCs w:val="20"/>
        </w:rPr>
        <w:t xml:space="preserve">1974 </w:t>
      </w:r>
      <w:r>
        <w:rPr>
          <w:rFonts w:asciiTheme="majorHAnsi" w:hAnsiTheme="majorHAnsi"/>
          <w:sz w:val="20"/>
          <w:szCs w:val="20"/>
        </w:rPr>
        <w:t>i</w:t>
      </w:r>
      <w:r w:rsidR="00574915" w:rsidRPr="00A51861">
        <w:rPr>
          <w:rFonts w:asciiTheme="majorHAnsi" w:hAnsiTheme="majorHAnsi"/>
          <w:sz w:val="20"/>
          <w:szCs w:val="20"/>
        </w:rPr>
        <w:t xml:space="preserve">n </w:t>
      </w:r>
      <w:r w:rsidR="0029564F">
        <w:rPr>
          <w:rFonts w:asciiTheme="majorHAnsi" w:hAnsiTheme="majorHAnsi"/>
          <w:sz w:val="20"/>
          <w:szCs w:val="20"/>
        </w:rPr>
        <w:t>Resolution</w:t>
      </w:r>
      <w:r w:rsidR="00574915" w:rsidRPr="00A51861">
        <w:rPr>
          <w:rFonts w:asciiTheme="majorHAnsi" w:hAnsiTheme="majorHAnsi"/>
          <w:sz w:val="20"/>
          <w:szCs w:val="20"/>
        </w:rPr>
        <w:t xml:space="preserve"> No. 8207, </w:t>
      </w:r>
      <w:r w:rsidR="0026043F">
        <w:rPr>
          <w:rFonts w:asciiTheme="majorHAnsi" w:hAnsiTheme="majorHAnsi"/>
          <w:sz w:val="20"/>
          <w:szCs w:val="20"/>
        </w:rPr>
        <w:t>the</w:t>
      </w:r>
      <w:r w:rsidR="00185E46">
        <w:rPr>
          <w:rFonts w:asciiTheme="majorHAnsi" w:hAnsiTheme="majorHAnsi"/>
          <w:sz w:val="20"/>
          <w:szCs w:val="20"/>
        </w:rPr>
        <w:t xml:space="preserve"> NDM </w:t>
      </w:r>
      <w:r w:rsidR="00574915" w:rsidRPr="00A51861">
        <w:rPr>
          <w:rFonts w:asciiTheme="majorHAnsi" w:hAnsiTheme="majorHAnsi"/>
          <w:sz w:val="20"/>
          <w:szCs w:val="20"/>
        </w:rPr>
        <w:t>cancel</w:t>
      </w:r>
      <w:r>
        <w:rPr>
          <w:rFonts w:asciiTheme="majorHAnsi" w:hAnsiTheme="majorHAnsi"/>
          <w:sz w:val="20"/>
          <w:szCs w:val="20"/>
        </w:rPr>
        <w:t>ed</w:t>
      </w:r>
      <w:r w:rsidR="00574915" w:rsidRPr="00A51861">
        <w:rPr>
          <w:rFonts w:asciiTheme="majorHAnsi" w:hAnsiTheme="majorHAnsi"/>
          <w:sz w:val="20"/>
          <w:szCs w:val="20"/>
        </w:rPr>
        <w:t xml:space="preserve"> </w:t>
      </w:r>
      <w:r>
        <w:rPr>
          <w:rFonts w:asciiTheme="majorHAnsi" w:hAnsiTheme="majorHAnsi"/>
          <w:sz w:val="20"/>
          <w:szCs w:val="20"/>
        </w:rPr>
        <w:t>the</w:t>
      </w:r>
      <w:r w:rsidR="00574915" w:rsidRPr="00A51861">
        <w:rPr>
          <w:rFonts w:asciiTheme="majorHAnsi" w:hAnsiTheme="majorHAnsi"/>
          <w:sz w:val="20"/>
          <w:szCs w:val="20"/>
        </w:rPr>
        <w:t xml:space="preserve"> </w:t>
      </w:r>
      <w:r>
        <w:rPr>
          <w:rFonts w:asciiTheme="majorHAnsi" w:hAnsiTheme="majorHAnsi"/>
          <w:sz w:val="20"/>
          <w:szCs w:val="20"/>
        </w:rPr>
        <w:t>temporary permanence granted</w:t>
      </w:r>
      <w:r w:rsidR="00574915" w:rsidRPr="00A51861">
        <w:rPr>
          <w:rFonts w:asciiTheme="majorHAnsi" w:hAnsiTheme="majorHAnsi"/>
          <w:sz w:val="20"/>
          <w:szCs w:val="20"/>
        </w:rPr>
        <w:t xml:space="preserve"> </w:t>
      </w:r>
      <w:r w:rsidR="002D7CF5">
        <w:rPr>
          <w:rFonts w:asciiTheme="majorHAnsi" w:hAnsiTheme="majorHAnsi"/>
          <w:sz w:val="20"/>
          <w:szCs w:val="20"/>
        </w:rPr>
        <w:t xml:space="preserve">to Mr. </w:t>
      </w:r>
      <w:r w:rsidR="00574915" w:rsidRPr="00A51861">
        <w:rPr>
          <w:rFonts w:asciiTheme="majorHAnsi" w:hAnsiTheme="majorHAnsi"/>
          <w:sz w:val="20"/>
          <w:szCs w:val="20"/>
        </w:rPr>
        <w:t xml:space="preserve">Ferreira </w:t>
      </w:r>
      <w:r>
        <w:rPr>
          <w:rFonts w:asciiTheme="majorHAnsi" w:hAnsiTheme="majorHAnsi"/>
          <w:sz w:val="20"/>
          <w:szCs w:val="20"/>
        </w:rPr>
        <w:t>in</w:t>
      </w:r>
      <w:r w:rsidR="00574915" w:rsidRPr="00A51861">
        <w:rPr>
          <w:rFonts w:asciiTheme="majorHAnsi" w:hAnsiTheme="majorHAnsi"/>
          <w:sz w:val="20"/>
          <w:szCs w:val="20"/>
        </w:rPr>
        <w:t xml:space="preserve"> consider</w:t>
      </w:r>
      <w:r w:rsidR="008A4EF9">
        <w:rPr>
          <w:rFonts w:asciiTheme="majorHAnsi" w:hAnsiTheme="majorHAnsi"/>
          <w:sz w:val="20"/>
          <w:szCs w:val="20"/>
        </w:rPr>
        <w:t>ing the occurred</w:t>
      </w:r>
      <w:r w:rsidR="00574915" w:rsidRPr="00A51861">
        <w:rPr>
          <w:rFonts w:asciiTheme="majorHAnsi" w:hAnsiTheme="majorHAnsi"/>
          <w:sz w:val="20"/>
          <w:szCs w:val="20"/>
        </w:rPr>
        <w:t xml:space="preserve"> </w:t>
      </w:r>
      <w:r w:rsidR="008A4EF9">
        <w:rPr>
          <w:rFonts w:asciiTheme="majorHAnsi" w:hAnsiTheme="majorHAnsi"/>
          <w:sz w:val="20"/>
          <w:szCs w:val="20"/>
        </w:rPr>
        <w:t>as absolute ineligibility</w:t>
      </w:r>
      <w:r w:rsidR="00E92985">
        <w:rPr>
          <w:rFonts w:asciiTheme="majorHAnsi" w:hAnsiTheme="majorHAnsi"/>
          <w:sz w:val="20"/>
          <w:szCs w:val="20"/>
        </w:rPr>
        <w:t xml:space="preserve"> and </w:t>
      </w:r>
      <w:r w:rsidR="008A4EF9">
        <w:rPr>
          <w:rFonts w:asciiTheme="majorHAnsi" w:hAnsiTheme="majorHAnsi"/>
          <w:sz w:val="20"/>
          <w:szCs w:val="20"/>
        </w:rPr>
        <w:t>forwarded the case to the discretion of</w:t>
      </w:r>
      <w:r>
        <w:rPr>
          <w:rFonts w:asciiTheme="majorHAnsi" w:hAnsiTheme="majorHAnsi"/>
          <w:sz w:val="20"/>
          <w:szCs w:val="20"/>
        </w:rPr>
        <w:t xml:space="preserve"> the Ministry of </w:t>
      </w:r>
      <w:r w:rsidR="00574915" w:rsidRPr="00A51861">
        <w:rPr>
          <w:rFonts w:asciiTheme="majorHAnsi" w:hAnsiTheme="majorHAnsi"/>
          <w:sz w:val="20"/>
          <w:szCs w:val="20"/>
        </w:rPr>
        <w:t>Interior</w:t>
      </w:r>
      <w:r w:rsidR="00574915" w:rsidRPr="00A51861">
        <w:rPr>
          <w:rStyle w:val="FootnoteReference"/>
          <w:rFonts w:asciiTheme="majorHAnsi" w:hAnsiTheme="majorHAnsi"/>
          <w:sz w:val="20"/>
          <w:szCs w:val="20"/>
        </w:rPr>
        <w:footnoteReference w:id="94"/>
      </w:r>
      <w:r w:rsidR="00574915" w:rsidRPr="00A51861">
        <w:rPr>
          <w:rFonts w:asciiTheme="majorHAnsi" w:hAnsiTheme="majorHAnsi"/>
          <w:sz w:val="20"/>
          <w:szCs w:val="20"/>
        </w:rPr>
        <w:t xml:space="preserve">. </w:t>
      </w:r>
      <w:r w:rsidR="008A4EF9">
        <w:rPr>
          <w:rFonts w:asciiTheme="majorHAnsi" w:hAnsiTheme="majorHAnsi"/>
          <w:sz w:val="20"/>
          <w:szCs w:val="20"/>
        </w:rPr>
        <w:t>In February</w:t>
      </w:r>
      <w:r w:rsidR="00E92985">
        <w:rPr>
          <w:rFonts w:asciiTheme="majorHAnsi" w:hAnsiTheme="majorHAnsi"/>
          <w:sz w:val="20"/>
          <w:szCs w:val="20"/>
        </w:rPr>
        <w:t xml:space="preserve"> </w:t>
      </w:r>
      <w:r w:rsidR="00574915" w:rsidRPr="00A51861">
        <w:rPr>
          <w:rFonts w:asciiTheme="majorHAnsi" w:hAnsiTheme="majorHAnsi"/>
          <w:sz w:val="20"/>
          <w:szCs w:val="20"/>
        </w:rPr>
        <w:t xml:space="preserve">1975 </w:t>
      </w:r>
      <w:r w:rsidR="008A4EF9">
        <w:rPr>
          <w:rFonts w:asciiTheme="majorHAnsi" w:hAnsiTheme="majorHAnsi"/>
          <w:sz w:val="20"/>
          <w:szCs w:val="20"/>
        </w:rPr>
        <w:t>the</w:t>
      </w:r>
      <w:r w:rsidR="00574915" w:rsidRPr="00A51861">
        <w:rPr>
          <w:rFonts w:asciiTheme="majorHAnsi" w:hAnsiTheme="majorHAnsi"/>
          <w:sz w:val="20"/>
          <w:szCs w:val="20"/>
        </w:rPr>
        <w:t xml:space="preserve"> </w:t>
      </w:r>
      <w:r w:rsidR="008A4EF9">
        <w:rPr>
          <w:rFonts w:asciiTheme="majorHAnsi" w:hAnsiTheme="majorHAnsi"/>
          <w:sz w:val="20"/>
          <w:szCs w:val="20"/>
        </w:rPr>
        <w:t>Ministry</w:t>
      </w:r>
      <w:r w:rsidR="00574915" w:rsidRPr="00A51861">
        <w:rPr>
          <w:rFonts w:asciiTheme="majorHAnsi" w:hAnsiTheme="majorHAnsi"/>
          <w:sz w:val="20"/>
          <w:szCs w:val="20"/>
        </w:rPr>
        <w:t xml:space="preserve"> </w:t>
      </w:r>
      <w:r w:rsidR="008A4EF9">
        <w:rPr>
          <w:rFonts w:asciiTheme="majorHAnsi" w:hAnsiTheme="majorHAnsi"/>
          <w:sz w:val="20"/>
          <w:szCs w:val="20"/>
        </w:rPr>
        <w:t>requested</w:t>
      </w:r>
      <w:r w:rsidR="002D7CF5">
        <w:rPr>
          <w:rFonts w:asciiTheme="majorHAnsi" w:hAnsiTheme="majorHAnsi"/>
          <w:sz w:val="20"/>
          <w:szCs w:val="20"/>
        </w:rPr>
        <w:t xml:space="preserve"> Mr. </w:t>
      </w:r>
      <w:r w:rsidR="00574915" w:rsidRPr="00A51861">
        <w:rPr>
          <w:rFonts w:asciiTheme="majorHAnsi" w:hAnsiTheme="majorHAnsi"/>
          <w:sz w:val="20"/>
          <w:szCs w:val="20"/>
        </w:rPr>
        <w:t xml:space="preserve">Ferreira </w:t>
      </w:r>
      <w:r w:rsidR="008A4EF9">
        <w:rPr>
          <w:rFonts w:asciiTheme="majorHAnsi" w:hAnsiTheme="majorHAnsi"/>
          <w:sz w:val="20"/>
          <w:szCs w:val="20"/>
        </w:rPr>
        <w:t>to submit the</w:t>
      </w:r>
      <w:r w:rsidR="00574915" w:rsidRPr="00A51861">
        <w:rPr>
          <w:rFonts w:asciiTheme="majorHAnsi" w:hAnsiTheme="majorHAnsi"/>
          <w:sz w:val="20"/>
          <w:szCs w:val="20"/>
        </w:rPr>
        <w:t xml:space="preserve"> </w:t>
      </w:r>
      <w:r w:rsidR="008A4EF9" w:rsidRPr="00A51861">
        <w:rPr>
          <w:rFonts w:asciiTheme="majorHAnsi" w:hAnsiTheme="majorHAnsi"/>
          <w:sz w:val="20"/>
          <w:szCs w:val="20"/>
        </w:rPr>
        <w:t>original</w:t>
      </w:r>
      <w:r w:rsidR="008A4EF9">
        <w:rPr>
          <w:rFonts w:asciiTheme="majorHAnsi" w:hAnsiTheme="majorHAnsi"/>
          <w:sz w:val="20"/>
          <w:szCs w:val="20"/>
        </w:rPr>
        <w:t xml:space="preserve"> </w:t>
      </w:r>
      <w:r w:rsidR="002D7CF5">
        <w:rPr>
          <w:rFonts w:asciiTheme="majorHAnsi" w:hAnsiTheme="majorHAnsi"/>
          <w:sz w:val="20"/>
          <w:szCs w:val="20"/>
        </w:rPr>
        <w:t>document</w:t>
      </w:r>
      <w:r w:rsidR="00574915" w:rsidRPr="00A51861">
        <w:rPr>
          <w:rFonts w:asciiTheme="majorHAnsi" w:hAnsiTheme="majorHAnsi"/>
          <w:sz w:val="20"/>
          <w:szCs w:val="20"/>
        </w:rPr>
        <w:t xml:space="preserve"> </w:t>
      </w:r>
      <w:r>
        <w:rPr>
          <w:rFonts w:asciiTheme="majorHAnsi" w:hAnsiTheme="majorHAnsi"/>
          <w:sz w:val="20"/>
          <w:szCs w:val="20"/>
        </w:rPr>
        <w:t xml:space="preserve">of the </w:t>
      </w:r>
      <w:r w:rsidR="00574915" w:rsidRPr="00A51861">
        <w:rPr>
          <w:rFonts w:asciiTheme="majorHAnsi" w:hAnsiTheme="majorHAnsi"/>
          <w:sz w:val="20"/>
          <w:szCs w:val="20"/>
        </w:rPr>
        <w:t>certifica</w:t>
      </w:r>
      <w:r w:rsidR="008A4EF9">
        <w:rPr>
          <w:rFonts w:asciiTheme="majorHAnsi" w:hAnsiTheme="majorHAnsi"/>
          <w:sz w:val="20"/>
          <w:szCs w:val="20"/>
        </w:rPr>
        <w:t>te</w:t>
      </w:r>
      <w:r w:rsidR="00E92985">
        <w:rPr>
          <w:rFonts w:asciiTheme="majorHAnsi" w:hAnsiTheme="majorHAnsi"/>
          <w:sz w:val="20"/>
          <w:szCs w:val="20"/>
        </w:rPr>
        <w:t xml:space="preserve"> of </w:t>
      </w:r>
      <w:r w:rsidR="008A4EF9">
        <w:rPr>
          <w:rFonts w:asciiTheme="majorHAnsi" w:hAnsiTheme="majorHAnsi"/>
          <w:sz w:val="20"/>
          <w:szCs w:val="20"/>
        </w:rPr>
        <w:t>acquittal</w:t>
      </w:r>
      <w:r w:rsidR="00574915" w:rsidRPr="00A51861">
        <w:rPr>
          <w:rFonts w:asciiTheme="majorHAnsi" w:hAnsiTheme="majorHAnsi"/>
          <w:sz w:val="20"/>
          <w:szCs w:val="20"/>
        </w:rPr>
        <w:t xml:space="preserve"> </w:t>
      </w:r>
      <w:r w:rsidR="008A4EF9">
        <w:rPr>
          <w:rFonts w:asciiTheme="majorHAnsi" w:hAnsiTheme="majorHAnsi"/>
          <w:sz w:val="20"/>
          <w:szCs w:val="20"/>
        </w:rPr>
        <w:t>for the charges held against him</w:t>
      </w:r>
      <w:r w:rsidR="00574915" w:rsidRPr="00A51861">
        <w:rPr>
          <w:rFonts w:asciiTheme="majorHAnsi" w:hAnsiTheme="majorHAnsi"/>
          <w:sz w:val="20"/>
          <w:szCs w:val="20"/>
        </w:rPr>
        <w:t>,</w:t>
      </w:r>
      <w:r w:rsidR="00E92985">
        <w:rPr>
          <w:rFonts w:asciiTheme="majorHAnsi" w:hAnsiTheme="majorHAnsi"/>
          <w:sz w:val="20"/>
          <w:szCs w:val="20"/>
        </w:rPr>
        <w:t xml:space="preserve"> and </w:t>
      </w:r>
      <w:r w:rsidR="008A4EF9">
        <w:rPr>
          <w:rFonts w:asciiTheme="majorHAnsi" w:hAnsiTheme="majorHAnsi"/>
          <w:sz w:val="20"/>
          <w:szCs w:val="20"/>
        </w:rPr>
        <w:t>his</w:t>
      </w:r>
      <w:r w:rsidR="00574915" w:rsidRPr="00A51861">
        <w:rPr>
          <w:rFonts w:asciiTheme="majorHAnsi" w:hAnsiTheme="majorHAnsi"/>
          <w:sz w:val="20"/>
          <w:szCs w:val="20"/>
        </w:rPr>
        <w:t xml:space="preserve"> </w:t>
      </w:r>
      <w:r w:rsidR="008A4EF9">
        <w:rPr>
          <w:rFonts w:asciiTheme="majorHAnsi" w:hAnsiTheme="majorHAnsi"/>
          <w:sz w:val="20"/>
          <w:szCs w:val="20"/>
        </w:rPr>
        <w:t>marriage certificate</w:t>
      </w:r>
      <w:r w:rsidR="00574915" w:rsidRPr="00A51861">
        <w:rPr>
          <w:rStyle w:val="FootnoteReference"/>
          <w:rFonts w:asciiTheme="majorHAnsi" w:hAnsiTheme="majorHAnsi"/>
          <w:sz w:val="20"/>
          <w:szCs w:val="20"/>
        </w:rPr>
        <w:footnoteReference w:id="95"/>
      </w:r>
      <w:r w:rsidR="00574915" w:rsidRPr="00A51861">
        <w:rPr>
          <w:rFonts w:asciiTheme="majorHAnsi" w:hAnsiTheme="majorHAnsi"/>
          <w:sz w:val="20"/>
          <w:szCs w:val="20"/>
        </w:rPr>
        <w:t xml:space="preserve">. </w:t>
      </w:r>
      <w:r w:rsidR="008A4EF9">
        <w:rPr>
          <w:rFonts w:asciiTheme="majorHAnsi" w:hAnsiTheme="majorHAnsi"/>
          <w:sz w:val="20"/>
          <w:szCs w:val="20"/>
        </w:rPr>
        <w:t>Upon the lack of response from</w:t>
      </w:r>
      <w:r w:rsidR="00574915" w:rsidRPr="00A51861">
        <w:rPr>
          <w:rFonts w:asciiTheme="majorHAnsi" w:hAnsiTheme="majorHAnsi"/>
          <w:sz w:val="20"/>
          <w:szCs w:val="20"/>
        </w:rPr>
        <w:t xml:space="preserve"> </w:t>
      </w:r>
      <w:r w:rsidR="00BD093F">
        <w:rPr>
          <w:rFonts w:asciiTheme="majorHAnsi" w:hAnsiTheme="majorHAnsi"/>
          <w:sz w:val="20"/>
          <w:szCs w:val="20"/>
        </w:rPr>
        <w:t xml:space="preserve">Mr. </w:t>
      </w:r>
      <w:r w:rsidR="00574915" w:rsidRPr="00A51861">
        <w:rPr>
          <w:rFonts w:asciiTheme="majorHAnsi" w:hAnsiTheme="majorHAnsi"/>
          <w:sz w:val="20"/>
          <w:szCs w:val="20"/>
        </w:rPr>
        <w:t>Ferreira,</w:t>
      </w:r>
      <w:r w:rsidR="00E92985">
        <w:rPr>
          <w:rFonts w:asciiTheme="majorHAnsi" w:hAnsiTheme="majorHAnsi"/>
          <w:sz w:val="20"/>
          <w:szCs w:val="20"/>
        </w:rPr>
        <w:t xml:space="preserve"> and </w:t>
      </w:r>
      <w:r w:rsidR="00574915" w:rsidRPr="00A51861">
        <w:rPr>
          <w:rFonts w:asciiTheme="majorHAnsi" w:hAnsiTheme="majorHAnsi"/>
          <w:sz w:val="20"/>
          <w:szCs w:val="20"/>
        </w:rPr>
        <w:t>argu</w:t>
      </w:r>
      <w:r w:rsidR="008A4EF9">
        <w:rPr>
          <w:rFonts w:asciiTheme="majorHAnsi" w:hAnsiTheme="majorHAnsi"/>
          <w:sz w:val="20"/>
          <w:szCs w:val="20"/>
        </w:rPr>
        <w:t>ing</w:t>
      </w:r>
      <w:r w:rsidR="00574915" w:rsidRPr="00A51861">
        <w:rPr>
          <w:rFonts w:asciiTheme="majorHAnsi" w:hAnsiTheme="majorHAnsi"/>
          <w:sz w:val="20"/>
          <w:szCs w:val="20"/>
        </w:rPr>
        <w:t xml:space="preserve"> </w:t>
      </w:r>
      <w:r w:rsidR="008A4EF9">
        <w:rPr>
          <w:rFonts w:asciiTheme="majorHAnsi" w:hAnsiTheme="majorHAnsi"/>
          <w:sz w:val="20"/>
          <w:szCs w:val="20"/>
        </w:rPr>
        <w:t>incompliance of the required evidential burden</w:t>
      </w:r>
      <w:r w:rsidR="00574915" w:rsidRPr="00A51861">
        <w:rPr>
          <w:rFonts w:asciiTheme="majorHAnsi" w:hAnsiTheme="majorHAnsi"/>
          <w:sz w:val="20"/>
          <w:szCs w:val="20"/>
        </w:rPr>
        <w:t xml:space="preserve">, </w:t>
      </w:r>
      <w:r w:rsidR="008A4EF9">
        <w:rPr>
          <w:rFonts w:asciiTheme="majorHAnsi" w:hAnsiTheme="majorHAnsi"/>
          <w:sz w:val="20"/>
          <w:szCs w:val="20"/>
        </w:rPr>
        <w:t>th</w:t>
      </w:r>
      <w:r w:rsidR="00574915" w:rsidRPr="00A51861">
        <w:rPr>
          <w:rFonts w:asciiTheme="majorHAnsi" w:hAnsiTheme="majorHAnsi"/>
          <w:sz w:val="20"/>
          <w:szCs w:val="20"/>
        </w:rPr>
        <w:t xml:space="preserve">e </w:t>
      </w:r>
      <w:r>
        <w:rPr>
          <w:rFonts w:asciiTheme="majorHAnsi" w:hAnsiTheme="majorHAnsi"/>
          <w:sz w:val="20"/>
          <w:szCs w:val="20"/>
        </w:rPr>
        <w:t xml:space="preserve">Ministry of </w:t>
      </w:r>
      <w:r w:rsidR="00574915" w:rsidRPr="00A51861">
        <w:rPr>
          <w:rFonts w:asciiTheme="majorHAnsi" w:hAnsiTheme="majorHAnsi"/>
          <w:sz w:val="20"/>
          <w:szCs w:val="20"/>
        </w:rPr>
        <w:t>Interior declar</w:t>
      </w:r>
      <w:r w:rsidR="008A4EF9">
        <w:rPr>
          <w:rFonts w:asciiTheme="majorHAnsi" w:hAnsiTheme="majorHAnsi"/>
          <w:sz w:val="20"/>
          <w:szCs w:val="20"/>
        </w:rPr>
        <w:t>ed</w:t>
      </w:r>
      <w:r w:rsidR="00574915" w:rsidRPr="00A51861">
        <w:rPr>
          <w:rFonts w:asciiTheme="majorHAnsi" w:hAnsiTheme="majorHAnsi"/>
          <w:sz w:val="20"/>
          <w:szCs w:val="20"/>
        </w:rPr>
        <w:t xml:space="preserve"> </w:t>
      </w:r>
      <w:r w:rsidR="008A4EF9">
        <w:rPr>
          <w:rFonts w:asciiTheme="majorHAnsi" w:hAnsiTheme="majorHAnsi"/>
          <w:sz w:val="20"/>
          <w:szCs w:val="20"/>
        </w:rPr>
        <w:t>the appeal</w:t>
      </w:r>
      <w:r w:rsidR="00CB0928">
        <w:rPr>
          <w:rFonts w:asciiTheme="majorHAnsi" w:hAnsiTheme="majorHAnsi"/>
          <w:sz w:val="20"/>
          <w:szCs w:val="20"/>
        </w:rPr>
        <w:t xml:space="preserve"> against </w:t>
      </w:r>
      <w:r w:rsidR="008A4EF9">
        <w:rPr>
          <w:rFonts w:asciiTheme="majorHAnsi" w:hAnsiTheme="majorHAnsi"/>
          <w:sz w:val="20"/>
          <w:szCs w:val="20"/>
        </w:rPr>
        <w:t>the</w:t>
      </w:r>
      <w:r w:rsidR="00574915" w:rsidRPr="00A51861">
        <w:rPr>
          <w:rFonts w:asciiTheme="majorHAnsi" w:hAnsiTheme="majorHAnsi"/>
          <w:sz w:val="20"/>
          <w:szCs w:val="20"/>
        </w:rPr>
        <w:t xml:space="preserve"> </w:t>
      </w:r>
      <w:r w:rsidR="0029564F">
        <w:rPr>
          <w:rFonts w:asciiTheme="majorHAnsi" w:hAnsiTheme="majorHAnsi"/>
          <w:sz w:val="20"/>
          <w:szCs w:val="20"/>
        </w:rPr>
        <w:t>resolution</w:t>
      </w:r>
      <w:r w:rsidR="00E92985">
        <w:rPr>
          <w:rFonts w:asciiTheme="majorHAnsi" w:hAnsiTheme="majorHAnsi"/>
          <w:sz w:val="20"/>
          <w:szCs w:val="20"/>
        </w:rPr>
        <w:t xml:space="preserve"> of </w:t>
      </w:r>
      <w:r w:rsidR="00103579">
        <w:rPr>
          <w:rFonts w:asciiTheme="majorHAnsi" w:hAnsiTheme="majorHAnsi"/>
          <w:sz w:val="20"/>
          <w:szCs w:val="20"/>
        </w:rPr>
        <w:t>expulsion</w:t>
      </w:r>
      <w:r w:rsidR="008A4EF9">
        <w:rPr>
          <w:rFonts w:asciiTheme="majorHAnsi" w:hAnsiTheme="majorHAnsi"/>
          <w:sz w:val="20"/>
          <w:szCs w:val="20"/>
        </w:rPr>
        <w:t xml:space="preserve"> as void</w:t>
      </w:r>
      <w:r w:rsidR="00574915" w:rsidRPr="00A51861">
        <w:rPr>
          <w:rFonts w:asciiTheme="majorHAnsi" w:hAnsiTheme="majorHAnsi"/>
          <w:sz w:val="20"/>
          <w:szCs w:val="20"/>
        </w:rPr>
        <w:t xml:space="preserve">, </w:t>
      </w:r>
      <w:r w:rsidR="008A4EF9">
        <w:rPr>
          <w:rFonts w:asciiTheme="majorHAnsi" w:hAnsiTheme="majorHAnsi"/>
          <w:sz w:val="20"/>
          <w:szCs w:val="20"/>
        </w:rPr>
        <w:t xml:space="preserve">for </w:t>
      </w:r>
      <w:r w:rsidR="005C6A92">
        <w:rPr>
          <w:rFonts w:asciiTheme="majorHAnsi" w:hAnsiTheme="majorHAnsi"/>
          <w:sz w:val="20"/>
          <w:szCs w:val="20"/>
        </w:rPr>
        <w:t>not meeting</w:t>
      </w:r>
      <w:r w:rsidR="008A4EF9">
        <w:rPr>
          <w:rFonts w:asciiTheme="majorHAnsi" w:hAnsiTheme="majorHAnsi"/>
          <w:sz w:val="20"/>
          <w:szCs w:val="20"/>
        </w:rPr>
        <w:t xml:space="preserve"> the</w:t>
      </w:r>
      <w:r w:rsidR="00574915" w:rsidRPr="00A51861">
        <w:rPr>
          <w:rFonts w:asciiTheme="majorHAnsi" w:hAnsiTheme="majorHAnsi"/>
          <w:sz w:val="20"/>
          <w:szCs w:val="20"/>
        </w:rPr>
        <w:t xml:space="preserve"> </w:t>
      </w:r>
      <w:r w:rsidR="00EC7A58">
        <w:rPr>
          <w:rFonts w:asciiTheme="majorHAnsi" w:hAnsiTheme="majorHAnsi"/>
          <w:sz w:val="20"/>
          <w:szCs w:val="20"/>
        </w:rPr>
        <w:t>requirement</w:t>
      </w:r>
      <w:r w:rsidR="00574915" w:rsidRPr="00A51861">
        <w:rPr>
          <w:rFonts w:asciiTheme="majorHAnsi" w:hAnsiTheme="majorHAnsi"/>
          <w:sz w:val="20"/>
          <w:szCs w:val="20"/>
        </w:rPr>
        <w:t xml:space="preserve">s </w:t>
      </w:r>
      <w:r w:rsidR="008A4EF9">
        <w:rPr>
          <w:rFonts w:asciiTheme="majorHAnsi" w:hAnsiTheme="majorHAnsi"/>
          <w:sz w:val="20"/>
          <w:szCs w:val="20"/>
        </w:rPr>
        <w:t>which founded it</w:t>
      </w:r>
      <w:r w:rsidR="00574915" w:rsidRPr="00A51861">
        <w:rPr>
          <w:rStyle w:val="FootnoteReference"/>
          <w:rFonts w:asciiTheme="majorHAnsi" w:hAnsiTheme="majorHAnsi"/>
          <w:sz w:val="20"/>
          <w:szCs w:val="20"/>
        </w:rPr>
        <w:footnoteReference w:id="96"/>
      </w:r>
      <w:r w:rsidR="00574915" w:rsidRPr="00A51861">
        <w:rPr>
          <w:rFonts w:asciiTheme="majorHAnsi" w:hAnsiTheme="majorHAnsi"/>
          <w:sz w:val="20"/>
          <w:szCs w:val="20"/>
        </w:rPr>
        <w:t>.</w:t>
      </w:r>
    </w:p>
    <w:p w14:paraId="6E0C3C6E" w14:textId="77777777" w:rsidR="004A476E" w:rsidRPr="00A51861" w:rsidRDefault="004A476E" w:rsidP="008E4D36">
      <w:pPr>
        <w:rPr>
          <w:rFonts w:asciiTheme="majorHAnsi" w:hAnsiTheme="majorHAnsi"/>
          <w:sz w:val="20"/>
          <w:szCs w:val="20"/>
        </w:rPr>
      </w:pPr>
    </w:p>
    <w:p w14:paraId="66772A57" w14:textId="18160875" w:rsidR="004A476E" w:rsidRPr="00A51861" w:rsidRDefault="008A4EF9"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As part of all these</w:t>
      </w:r>
      <w:r w:rsidR="00E64C43">
        <w:rPr>
          <w:rFonts w:asciiTheme="majorHAnsi" w:hAnsiTheme="majorHAnsi"/>
          <w:sz w:val="20"/>
          <w:szCs w:val="20"/>
        </w:rPr>
        <w:t xml:space="preserve"> </w:t>
      </w:r>
      <w:r w:rsidR="00574915" w:rsidRPr="00A51861">
        <w:rPr>
          <w:rFonts w:asciiTheme="majorHAnsi" w:hAnsiTheme="majorHAnsi"/>
          <w:sz w:val="20"/>
          <w:szCs w:val="20"/>
        </w:rPr>
        <w:t xml:space="preserve">acts, </w:t>
      </w:r>
      <w:r w:rsidR="00A51861" w:rsidRPr="00A51861">
        <w:rPr>
          <w:rFonts w:asciiTheme="majorHAnsi" w:hAnsiTheme="majorHAnsi"/>
          <w:sz w:val="20"/>
          <w:szCs w:val="20"/>
        </w:rPr>
        <w:t xml:space="preserve">Mr. </w:t>
      </w:r>
      <w:r w:rsidR="00574915" w:rsidRPr="00A51861">
        <w:rPr>
          <w:rFonts w:asciiTheme="majorHAnsi" w:hAnsiTheme="majorHAnsi"/>
          <w:sz w:val="20"/>
          <w:szCs w:val="20"/>
        </w:rPr>
        <w:t>Ferreira</w:t>
      </w:r>
      <w:r w:rsidR="00E92985">
        <w:rPr>
          <w:rFonts w:asciiTheme="majorHAnsi" w:hAnsiTheme="majorHAnsi"/>
          <w:sz w:val="20"/>
          <w:szCs w:val="20"/>
        </w:rPr>
        <w:t xml:space="preserve"> and </w:t>
      </w:r>
      <w:r>
        <w:rPr>
          <w:rFonts w:asciiTheme="majorHAnsi" w:hAnsiTheme="majorHAnsi"/>
          <w:sz w:val="20"/>
          <w:szCs w:val="20"/>
        </w:rPr>
        <w:t>his family</w:t>
      </w:r>
      <w:r w:rsidR="00574915" w:rsidRPr="00A51861">
        <w:rPr>
          <w:rFonts w:asciiTheme="majorHAnsi" w:hAnsiTheme="majorHAnsi"/>
          <w:sz w:val="20"/>
          <w:szCs w:val="20"/>
        </w:rPr>
        <w:t xml:space="preserve"> </w:t>
      </w:r>
      <w:r>
        <w:rPr>
          <w:rFonts w:asciiTheme="majorHAnsi" w:hAnsiTheme="majorHAnsi"/>
          <w:sz w:val="20"/>
          <w:szCs w:val="20"/>
        </w:rPr>
        <w:t>remained under the</w:t>
      </w:r>
      <w:r w:rsidR="00F51A34" w:rsidRPr="00A51861">
        <w:rPr>
          <w:rFonts w:asciiTheme="majorHAnsi" w:hAnsiTheme="majorHAnsi"/>
          <w:sz w:val="20"/>
          <w:szCs w:val="20"/>
        </w:rPr>
        <w:t xml:space="preserve"> </w:t>
      </w:r>
      <w:r w:rsidR="00EF4ED2">
        <w:rPr>
          <w:rFonts w:asciiTheme="majorHAnsi" w:hAnsiTheme="majorHAnsi"/>
          <w:sz w:val="20"/>
          <w:szCs w:val="20"/>
        </w:rPr>
        <w:t>protection</w:t>
      </w:r>
      <w:r w:rsidR="004969F4">
        <w:rPr>
          <w:rFonts w:asciiTheme="majorHAnsi" w:hAnsiTheme="majorHAnsi"/>
          <w:sz w:val="20"/>
          <w:szCs w:val="20"/>
        </w:rPr>
        <w:t xml:space="preserve"> of </w:t>
      </w:r>
      <w:r w:rsidR="008E2F10">
        <w:rPr>
          <w:rFonts w:asciiTheme="majorHAnsi" w:hAnsiTheme="majorHAnsi"/>
          <w:sz w:val="20"/>
          <w:szCs w:val="20"/>
        </w:rPr>
        <w:t xml:space="preserve">the HCUNR </w:t>
      </w:r>
      <w:r w:rsidR="00E92985">
        <w:rPr>
          <w:rFonts w:asciiTheme="majorHAnsi" w:hAnsiTheme="majorHAnsi"/>
          <w:sz w:val="20"/>
          <w:szCs w:val="20"/>
        </w:rPr>
        <w:t>and</w:t>
      </w:r>
      <w:r w:rsidR="00E64C43">
        <w:rPr>
          <w:rFonts w:asciiTheme="majorHAnsi" w:hAnsiTheme="majorHAnsi"/>
          <w:sz w:val="20"/>
          <w:szCs w:val="20"/>
        </w:rPr>
        <w:t xml:space="preserve"> this </w:t>
      </w:r>
      <w:r>
        <w:rPr>
          <w:rFonts w:ascii="Cambria" w:hAnsi="Cambria"/>
          <w:color w:val="000000" w:themeColor="text1"/>
          <w:sz w:val="20"/>
          <w:szCs w:val="20"/>
        </w:rPr>
        <w:t>body</w:t>
      </w:r>
      <w:r w:rsidR="00574915" w:rsidRPr="00A51861">
        <w:rPr>
          <w:rFonts w:asciiTheme="majorHAnsi" w:hAnsiTheme="majorHAnsi"/>
          <w:sz w:val="20"/>
          <w:szCs w:val="20"/>
        </w:rPr>
        <w:t xml:space="preserve"> pu</w:t>
      </w:r>
      <w:r>
        <w:rPr>
          <w:rFonts w:asciiTheme="majorHAnsi" w:hAnsiTheme="majorHAnsi"/>
          <w:sz w:val="20"/>
          <w:szCs w:val="20"/>
        </w:rPr>
        <w:t>t</w:t>
      </w:r>
      <w:r w:rsidR="00574915" w:rsidRPr="00A51861">
        <w:rPr>
          <w:rFonts w:asciiTheme="majorHAnsi" w:hAnsiTheme="majorHAnsi"/>
          <w:sz w:val="20"/>
          <w:szCs w:val="20"/>
        </w:rPr>
        <w:t xml:space="preserve"> </w:t>
      </w:r>
      <w:r w:rsidR="00A51861" w:rsidRPr="00A51861">
        <w:rPr>
          <w:rFonts w:asciiTheme="majorHAnsi" w:hAnsiTheme="majorHAnsi"/>
          <w:sz w:val="20"/>
          <w:szCs w:val="20"/>
        </w:rPr>
        <w:t>the alleged victim</w:t>
      </w:r>
      <w:r w:rsidR="00E92985">
        <w:rPr>
          <w:rFonts w:asciiTheme="majorHAnsi" w:hAnsiTheme="majorHAnsi"/>
          <w:sz w:val="20"/>
          <w:szCs w:val="20"/>
        </w:rPr>
        <w:t xml:space="preserve"> and </w:t>
      </w:r>
      <w:r>
        <w:rPr>
          <w:rFonts w:asciiTheme="majorHAnsi" w:hAnsiTheme="majorHAnsi"/>
          <w:sz w:val="20"/>
          <w:szCs w:val="20"/>
        </w:rPr>
        <w:t>his family on a priority listing</w:t>
      </w:r>
      <w:r w:rsidR="00574915" w:rsidRPr="00A51861">
        <w:rPr>
          <w:rFonts w:asciiTheme="majorHAnsi" w:hAnsiTheme="majorHAnsi"/>
          <w:sz w:val="20"/>
          <w:szCs w:val="20"/>
        </w:rPr>
        <w:t xml:space="preserve"> </w:t>
      </w:r>
      <w:r>
        <w:rPr>
          <w:rFonts w:asciiTheme="majorHAnsi" w:hAnsiTheme="majorHAnsi"/>
          <w:sz w:val="20"/>
          <w:szCs w:val="20"/>
        </w:rPr>
        <w:t>in order to</w:t>
      </w:r>
      <w:r w:rsidR="00574915" w:rsidRPr="00A51861">
        <w:rPr>
          <w:rFonts w:asciiTheme="majorHAnsi" w:hAnsiTheme="majorHAnsi"/>
          <w:sz w:val="20"/>
          <w:szCs w:val="20"/>
        </w:rPr>
        <w:t xml:space="preserve"> extra</w:t>
      </w:r>
      <w:r>
        <w:rPr>
          <w:rFonts w:asciiTheme="majorHAnsi" w:hAnsiTheme="majorHAnsi"/>
          <w:sz w:val="20"/>
          <w:szCs w:val="20"/>
        </w:rPr>
        <w:t>ct them from</w:t>
      </w:r>
      <w:r w:rsidR="004969F4">
        <w:rPr>
          <w:rFonts w:asciiTheme="majorHAnsi" w:hAnsiTheme="majorHAnsi"/>
          <w:sz w:val="20"/>
          <w:szCs w:val="20"/>
        </w:rPr>
        <w:t xml:space="preserve"> </w:t>
      </w:r>
      <w:r>
        <w:rPr>
          <w:rFonts w:asciiTheme="majorHAnsi" w:hAnsiTheme="majorHAnsi"/>
          <w:sz w:val="20"/>
          <w:szCs w:val="20"/>
        </w:rPr>
        <w:t>the country urgently</w:t>
      </w:r>
      <w:r w:rsidR="00574915" w:rsidRPr="00A51861">
        <w:rPr>
          <w:rFonts w:asciiTheme="majorHAnsi" w:hAnsiTheme="majorHAnsi"/>
          <w:sz w:val="20"/>
          <w:szCs w:val="20"/>
        </w:rPr>
        <w:t xml:space="preserve">, </w:t>
      </w:r>
      <w:r>
        <w:rPr>
          <w:rFonts w:asciiTheme="majorHAnsi" w:hAnsiTheme="majorHAnsi"/>
          <w:sz w:val="20"/>
          <w:szCs w:val="20"/>
        </w:rPr>
        <w:t>in a maximum time of one month</w:t>
      </w:r>
      <w:r w:rsidR="00574915" w:rsidRPr="00A51861">
        <w:rPr>
          <w:rStyle w:val="FootnoteReference"/>
          <w:rFonts w:asciiTheme="majorHAnsi" w:hAnsiTheme="majorHAnsi"/>
          <w:sz w:val="20"/>
          <w:szCs w:val="20"/>
        </w:rPr>
        <w:footnoteReference w:id="97"/>
      </w:r>
      <w:r w:rsidR="00574915" w:rsidRPr="00A51861">
        <w:rPr>
          <w:rFonts w:asciiTheme="majorHAnsi" w:hAnsiTheme="majorHAnsi"/>
          <w:sz w:val="20"/>
          <w:szCs w:val="20"/>
        </w:rPr>
        <w:t xml:space="preserve">. </w:t>
      </w:r>
    </w:p>
    <w:p w14:paraId="04A0387B" w14:textId="77777777" w:rsidR="004A476E" w:rsidRPr="00A51861" w:rsidRDefault="004A476E" w:rsidP="008E4D36">
      <w:pPr>
        <w:rPr>
          <w:rFonts w:asciiTheme="majorHAnsi" w:hAnsiTheme="majorHAnsi"/>
          <w:sz w:val="20"/>
          <w:szCs w:val="20"/>
        </w:rPr>
      </w:pPr>
    </w:p>
    <w:p w14:paraId="11A3773E" w14:textId="46DB1302" w:rsidR="00574915" w:rsidRPr="00A51861" w:rsidRDefault="0090681C"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 xml:space="preserve">Upon confirmation of </w:t>
      </w:r>
      <w:r w:rsidR="00CF6368">
        <w:rPr>
          <w:rFonts w:asciiTheme="majorHAnsi" w:hAnsiTheme="majorHAnsi"/>
          <w:sz w:val="20"/>
          <w:szCs w:val="20"/>
        </w:rPr>
        <w:t>the order</w:t>
      </w:r>
      <w:r w:rsidR="00E92985">
        <w:rPr>
          <w:rFonts w:asciiTheme="majorHAnsi" w:hAnsiTheme="majorHAnsi"/>
          <w:sz w:val="20"/>
          <w:szCs w:val="20"/>
        </w:rPr>
        <w:t xml:space="preserve"> of </w:t>
      </w:r>
      <w:r w:rsidR="00103579">
        <w:rPr>
          <w:rFonts w:asciiTheme="majorHAnsi" w:hAnsiTheme="majorHAnsi"/>
          <w:sz w:val="20"/>
          <w:szCs w:val="20"/>
        </w:rPr>
        <w:t>expulsion</w:t>
      </w:r>
      <w:r w:rsidR="00AD4C55" w:rsidRPr="00A51861">
        <w:rPr>
          <w:rFonts w:asciiTheme="majorHAnsi" w:hAnsiTheme="majorHAnsi"/>
          <w:sz w:val="20"/>
          <w:szCs w:val="20"/>
        </w:rPr>
        <w:t xml:space="preserve">, </w:t>
      </w:r>
      <w:r w:rsidR="00CF6368">
        <w:rPr>
          <w:rFonts w:asciiTheme="majorHAnsi" w:hAnsiTheme="majorHAnsi"/>
          <w:sz w:val="20"/>
          <w:szCs w:val="20"/>
        </w:rPr>
        <w:t>on July 19,</w:t>
      </w:r>
      <w:r w:rsidR="00E92985">
        <w:rPr>
          <w:rFonts w:asciiTheme="majorHAnsi" w:hAnsiTheme="majorHAnsi"/>
          <w:sz w:val="20"/>
          <w:szCs w:val="20"/>
        </w:rPr>
        <w:t xml:space="preserve"> </w:t>
      </w:r>
      <w:r w:rsidR="00574915" w:rsidRPr="00A51861">
        <w:rPr>
          <w:rFonts w:asciiTheme="majorHAnsi" w:hAnsiTheme="majorHAnsi"/>
          <w:sz w:val="20"/>
          <w:szCs w:val="20"/>
        </w:rPr>
        <w:t>1975</w:t>
      </w:r>
      <w:r w:rsidR="007E4AFF">
        <w:rPr>
          <w:rFonts w:asciiTheme="majorHAnsi" w:hAnsiTheme="majorHAnsi"/>
          <w:sz w:val="20"/>
          <w:szCs w:val="20"/>
        </w:rPr>
        <w:t>,</w:t>
      </w:r>
      <w:r w:rsidR="00574915" w:rsidRPr="00A51861">
        <w:rPr>
          <w:rFonts w:asciiTheme="majorHAnsi" w:hAnsiTheme="majorHAnsi"/>
          <w:sz w:val="20"/>
          <w:szCs w:val="20"/>
        </w:rPr>
        <w:t xml:space="preserve"> Hugo Daniel Ferreira</w:t>
      </w:r>
      <w:r w:rsidR="00E92985">
        <w:rPr>
          <w:rFonts w:asciiTheme="majorHAnsi" w:hAnsiTheme="majorHAnsi"/>
          <w:sz w:val="20"/>
          <w:szCs w:val="20"/>
        </w:rPr>
        <w:t xml:space="preserve"> and </w:t>
      </w:r>
      <w:r w:rsidR="00CF6368">
        <w:rPr>
          <w:rFonts w:asciiTheme="majorHAnsi" w:hAnsiTheme="majorHAnsi"/>
          <w:sz w:val="20"/>
          <w:szCs w:val="20"/>
        </w:rPr>
        <w:t>his family left</w:t>
      </w:r>
      <w:r w:rsidR="00E92985">
        <w:rPr>
          <w:rFonts w:asciiTheme="majorHAnsi" w:hAnsiTheme="majorHAnsi"/>
          <w:sz w:val="20"/>
          <w:szCs w:val="20"/>
        </w:rPr>
        <w:t xml:space="preserve"> </w:t>
      </w:r>
      <w:r w:rsidR="00574915" w:rsidRPr="00A51861">
        <w:rPr>
          <w:rFonts w:asciiTheme="majorHAnsi" w:hAnsiTheme="majorHAnsi"/>
          <w:sz w:val="20"/>
          <w:szCs w:val="20"/>
        </w:rPr>
        <w:t xml:space="preserve">Argentina </w:t>
      </w:r>
      <w:r w:rsidR="00CF6368">
        <w:rPr>
          <w:rFonts w:asciiTheme="majorHAnsi" w:hAnsiTheme="majorHAnsi"/>
          <w:sz w:val="20"/>
          <w:szCs w:val="20"/>
        </w:rPr>
        <w:t>toward</w:t>
      </w:r>
      <w:r w:rsidR="00574915" w:rsidRPr="00A51861">
        <w:rPr>
          <w:rFonts w:asciiTheme="majorHAnsi" w:hAnsiTheme="majorHAnsi"/>
          <w:sz w:val="20"/>
          <w:szCs w:val="20"/>
        </w:rPr>
        <w:t xml:space="preserve"> </w:t>
      </w:r>
      <w:r w:rsidR="00BD6923">
        <w:rPr>
          <w:rFonts w:asciiTheme="majorHAnsi" w:hAnsiTheme="majorHAnsi"/>
          <w:sz w:val="20"/>
          <w:szCs w:val="20"/>
        </w:rPr>
        <w:t>Sweden</w:t>
      </w:r>
      <w:r w:rsidR="00574915" w:rsidRPr="00A51861">
        <w:rPr>
          <w:rFonts w:asciiTheme="majorHAnsi" w:hAnsiTheme="majorHAnsi"/>
          <w:sz w:val="20"/>
          <w:szCs w:val="20"/>
        </w:rPr>
        <w:t xml:space="preserve"> esco</w:t>
      </w:r>
      <w:r w:rsidR="00CF6368">
        <w:rPr>
          <w:rFonts w:asciiTheme="majorHAnsi" w:hAnsiTheme="majorHAnsi"/>
          <w:sz w:val="20"/>
          <w:szCs w:val="20"/>
        </w:rPr>
        <w:t>rted</w:t>
      </w:r>
      <w:r w:rsidR="00574915" w:rsidRPr="00A51861">
        <w:rPr>
          <w:rFonts w:asciiTheme="majorHAnsi" w:hAnsiTheme="majorHAnsi"/>
          <w:sz w:val="20"/>
          <w:szCs w:val="20"/>
        </w:rPr>
        <w:t xml:space="preserve"> </w:t>
      </w:r>
      <w:r w:rsidR="00CF6368">
        <w:rPr>
          <w:rFonts w:asciiTheme="majorHAnsi" w:hAnsiTheme="majorHAnsi"/>
          <w:sz w:val="20"/>
          <w:szCs w:val="20"/>
        </w:rPr>
        <w:t>by</w:t>
      </w:r>
      <w:r w:rsidR="00574915" w:rsidRPr="00A51861">
        <w:rPr>
          <w:rFonts w:asciiTheme="majorHAnsi" w:hAnsiTheme="majorHAnsi"/>
          <w:sz w:val="20"/>
          <w:szCs w:val="20"/>
        </w:rPr>
        <w:t xml:space="preserve"> </w:t>
      </w:r>
      <w:r w:rsidR="00940530">
        <w:rPr>
          <w:rFonts w:asciiTheme="majorHAnsi" w:hAnsiTheme="majorHAnsi"/>
          <w:sz w:val="20"/>
          <w:szCs w:val="20"/>
        </w:rPr>
        <w:t>authorities</w:t>
      </w:r>
      <w:r w:rsidR="004969F4">
        <w:rPr>
          <w:rFonts w:asciiTheme="majorHAnsi" w:hAnsiTheme="majorHAnsi"/>
          <w:sz w:val="20"/>
          <w:szCs w:val="20"/>
        </w:rPr>
        <w:t xml:space="preserve"> of </w:t>
      </w:r>
      <w:r w:rsidR="008E2F10">
        <w:rPr>
          <w:rFonts w:asciiTheme="majorHAnsi" w:hAnsiTheme="majorHAnsi"/>
          <w:sz w:val="20"/>
          <w:szCs w:val="20"/>
        </w:rPr>
        <w:t xml:space="preserve">the HCUNR </w:t>
      </w:r>
      <w:r w:rsidR="00E92985">
        <w:rPr>
          <w:rFonts w:asciiTheme="majorHAnsi" w:hAnsiTheme="majorHAnsi"/>
          <w:sz w:val="20"/>
          <w:szCs w:val="20"/>
        </w:rPr>
        <w:t xml:space="preserve">and of the </w:t>
      </w:r>
      <w:r w:rsidR="0065567C">
        <w:rPr>
          <w:rFonts w:asciiTheme="majorHAnsi" w:hAnsiTheme="majorHAnsi"/>
          <w:sz w:val="20"/>
          <w:szCs w:val="20"/>
        </w:rPr>
        <w:t>Swedish embassy</w:t>
      </w:r>
      <w:r w:rsidR="00574915" w:rsidRPr="00A51861">
        <w:rPr>
          <w:rFonts w:asciiTheme="majorHAnsi" w:hAnsiTheme="majorHAnsi"/>
          <w:sz w:val="20"/>
          <w:szCs w:val="20"/>
        </w:rPr>
        <w:t xml:space="preserve">, </w:t>
      </w:r>
      <w:r w:rsidR="0065567C">
        <w:rPr>
          <w:rFonts w:asciiTheme="majorHAnsi" w:hAnsiTheme="majorHAnsi"/>
          <w:sz w:val="20"/>
          <w:szCs w:val="20"/>
        </w:rPr>
        <w:t>as political</w:t>
      </w:r>
      <w:r w:rsidR="00E92985">
        <w:rPr>
          <w:rFonts w:asciiTheme="majorHAnsi" w:hAnsiTheme="majorHAnsi"/>
          <w:sz w:val="20"/>
          <w:szCs w:val="20"/>
        </w:rPr>
        <w:t xml:space="preserve"> </w:t>
      </w:r>
      <w:r w:rsidR="00574915" w:rsidRPr="00A51861">
        <w:rPr>
          <w:rFonts w:asciiTheme="majorHAnsi" w:hAnsiTheme="majorHAnsi"/>
          <w:sz w:val="20"/>
          <w:szCs w:val="20"/>
        </w:rPr>
        <w:t>refug</w:t>
      </w:r>
      <w:r w:rsidR="0065567C">
        <w:rPr>
          <w:rFonts w:asciiTheme="majorHAnsi" w:hAnsiTheme="majorHAnsi"/>
          <w:sz w:val="20"/>
          <w:szCs w:val="20"/>
        </w:rPr>
        <w:t>ees</w:t>
      </w:r>
      <w:r w:rsidR="00574915" w:rsidRPr="00A51861">
        <w:rPr>
          <w:rStyle w:val="FootnoteReference"/>
          <w:rFonts w:asciiTheme="majorHAnsi" w:hAnsiTheme="majorHAnsi"/>
          <w:sz w:val="20"/>
          <w:szCs w:val="20"/>
        </w:rPr>
        <w:footnoteReference w:id="98"/>
      </w:r>
      <w:r w:rsidR="00574915" w:rsidRPr="00A51861">
        <w:rPr>
          <w:rFonts w:asciiTheme="majorHAnsi" w:hAnsiTheme="majorHAnsi"/>
          <w:sz w:val="20"/>
          <w:szCs w:val="20"/>
        </w:rPr>
        <w:t>.</w:t>
      </w:r>
      <w:r w:rsidR="0083716D" w:rsidRPr="00A51861">
        <w:rPr>
          <w:rFonts w:asciiTheme="majorHAnsi" w:hAnsiTheme="majorHAnsi"/>
          <w:sz w:val="20"/>
          <w:szCs w:val="20"/>
        </w:rPr>
        <w:t xml:space="preserve"> </w:t>
      </w:r>
      <w:r w:rsidR="0065567C">
        <w:rPr>
          <w:rFonts w:asciiTheme="majorHAnsi" w:hAnsiTheme="majorHAnsi"/>
          <w:sz w:val="20"/>
          <w:szCs w:val="20"/>
        </w:rPr>
        <w:t xml:space="preserve">In </w:t>
      </w:r>
      <w:r w:rsidR="00E64C43">
        <w:rPr>
          <w:rFonts w:asciiTheme="majorHAnsi" w:hAnsiTheme="majorHAnsi"/>
          <w:sz w:val="20"/>
          <w:szCs w:val="20"/>
        </w:rPr>
        <w:t>this case</w:t>
      </w:r>
      <w:r w:rsidR="0083716D" w:rsidRPr="00A51861">
        <w:rPr>
          <w:rFonts w:asciiTheme="majorHAnsi" w:hAnsiTheme="majorHAnsi"/>
          <w:sz w:val="20"/>
          <w:szCs w:val="20"/>
        </w:rPr>
        <w:t xml:space="preserve">, </w:t>
      </w:r>
      <w:r w:rsidR="0065567C">
        <w:rPr>
          <w:rFonts w:asciiTheme="majorHAnsi" w:hAnsiTheme="majorHAnsi"/>
          <w:sz w:val="20"/>
          <w:szCs w:val="20"/>
        </w:rPr>
        <w:t>it was also necessary to obtain a safe-guard pass via</w:t>
      </w:r>
      <w:r w:rsidR="004969F4">
        <w:rPr>
          <w:rFonts w:asciiTheme="majorHAnsi" w:hAnsiTheme="majorHAnsi"/>
          <w:sz w:val="20"/>
          <w:szCs w:val="20"/>
        </w:rPr>
        <w:t xml:space="preserve"> </w:t>
      </w:r>
      <w:r w:rsidR="008E2F10">
        <w:rPr>
          <w:rFonts w:asciiTheme="majorHAnsi" w:hAnsiTheme="majorHAnsi"/>
          <w:sz w:val="20"/>
          <w:szCs w:val="20"/>
        </w:rPr>
        <w:t xml:space="preserve">the HCUNR </w:t>
      </w:r>
      <w:r w:rsidR="0065567C">
        <w:rPr>
          <w:rFonts w:asciiTheme="majorHAnsi" w:hAnsiTheme="majorHAnsi"/>
          <w:sz w:val="20"/>
          <w:szCs w:val="20"/>
        </w:rPr>
        <w:t xml:space="preserve">so </w:t>
      </w:r>
      <w:r w:rsidR="00E92985">
        <w:rPr>
          <w:rFonts w:asciiTheme="majorHAnsi" w:hAnsiTheme="majorHAnsi"/>
          <w:sz w:val="20"/>
          <w:szCs w:val="20"/>
        </w:rPr>
        <w:t xml:space="preserve">that the </w:t>
      </w:r>
      <w:r w:rsidR="0083716D" w:rsidRPr="00A51861">
        <w:rPr>
          <w:rFonts w:asciiTheme="majorHAnsi" w:hAnsiTheme="majorHAnsi"/>
          <w:sz w:val="20"/>
          <w:szCs w:val="20"/>
        </w:rPr>
        <w:t>famil</w:t>
      </w:r>
      <w:r w:rsidR="0065567C">
        <w:rPr>
          <w:rFonts w:asciiTheme="majorHAnsi" w:hAnsiTheme="majorHAnsi"/>
          <w:sz w:val="20"/>
          <w:szCs w:val="20"/>
        </w:rPr>
        <w:t>y</w:t>
      </w:r>
      <w:r w:rsidR="0083716D" w:rsidRPr="00A51861">
        <w:rPr>
          <w:rFonts w:asciiTheme="majorHAnsi" w:hAnsiTheme="majorHAnsi"/>
          <w:sz w:val="20"/>
          <w:szCs w:val="20"/>
        </w:rPr>
        <w:t xml:space="preserve"> </w:t>
      </w:r>
      <w:r w:rsidR="0065567C">
        <w:rPr>
          <w:rFonts w:asciiTheme="majorHAnsi" w:hAnsiTheme="majorHAnsi"/>
          <w:sz w:val="20"/>
          <w:szCs w:val="20"/>
        </w:rPr>
        <w:t>would have time to leave the country</w:t>
      </w:r>
      <w:r w:rsidR="00E92985">
        <w:rPr>
          <w:rFonts w:asciiTheme="majorHAnsi" w:hAnsiTheme="majorHAnsi"/>
          <w:sz w:val="20"/>
          <w:szCs w:val="20"/>
        </w:rPr>
        <w:t xml:space="preserve"> </w:t>
      </w:r>
      <w:r w:rsidR="0065567C">
        <w:rPr>
          <w:rFonts w:asciiTheme="majorHAnsi" w:hAnsiTheme="majorHAnsi"/>
          <w:sz w:val="20"/>
          <w:szCs w:val="20"/>
        </w:rPr>
        <w:t>before the expiration of the time set forth by</w:t>
      </w:r>
      <w:r w:rsidR="0083716D" w:rsidRPr="00A51861">
        <w:rPr>
          <w:rFonts w:asciiTheme="majorHAnsi" w:hAnsiTheme="majorHAnsi"/>
          <w:sz w:val="20"/>
          <w:szCs w:val="20"/>
        </w:rPr>
        <w:t xml:space="preserve"> </w:t>
      </w:r>
      <w:r w:rsidR="00940530">
        <w:rPr>
          <w:rFonts w:asciiTheme="majorHAnsi" w:hAnsiTheme="majorHAnsi"/>
          <w:sz w:val="20"/>
          <w:szCs w:val="20"/>
        </w:rPr>
        <w:t>authorities</w:t>
      </w:r>
      <w:r w:rsidR="00BD6923">
        <w:rPr>
          <w:rFonts w:asciiTheme="majorHAnsi" w:hAnsiTheme="majorHAnsi"/>
          <w:sz w:val="20"/>
          <w:szCs w:val="20"/>
        </w:rPr>
        <w:t xml:space="preserve">. According to </w:t>
      </w:r>
      <w:r w:rsidR="0065567C">
        <w:rPr>
          <w:rFonts w:asciiTheme="majorHAnsi" w:hAnsiTheme="majorHAnsi"/>
          <w:sz w:val="20"/>
          <w:szCs w:val="20"/>
        </w:rPr>
        <w:t>the i</w:t>
      </w:r>
      <w:r w:rsidR="00574915" w:rsidRPr="00A51861">
        <w:rPr>
          <w:rFonts w:asciiTheme="majorHAnsi" w:hAnsiTheme="majorHAnsi"/>
          <w:sz w:val="20"/>
          <w:szCs w:val="20"/>
        </w:rPr>
        <w:t>nform</w:t>
      </w:r>
      <w:r w:rsidR="0065567C">
        <w:rPr>
          <w:rFonts w:asciiTheme="majorHAnsi" w:hAnsiTheme="majorHAnsi"/>
          <w:sz w:val="20"/>
          <w:szCs w:val="20"/>
        </w:rPr>
        <w:t>ed</w:t>
      </w:r>
      <w:r w:rsidR="00574915" w:rsidRPr="00A51861">
        <w:rPr>
          <w:rFonts w:asciiTheme="majorHAnsi" w:hAnsiTheme="majorHAnsi"/>
          <w:sz w:val="20"/>
          <w:szCs w:val="20"/>
        </w:rPr>
        <w:t xml:space="preserve"> </w:t>
      </w:r>
      <w:r w:rsidR="0065567C">
        <w:rPr>
          <w:rFonts w:asciiTheme="majorHAnsi" w:hAnsiTheme="majorHAnsi"/>
          <w:sz w:val="20"/>
          <w:szCs w:val="20"/>
        </w:rPr>
        <w:t>in the</w:t>
      </w:r>
      <w:r w:rsidR="00574915" w:rsidRPr="00A51861">
        <w:rPr>
          <w:rFonts w:asciiTheme="majorHAnsi" w:hAnsiTheme="majorHAnsi"/>
          <w:sz w:val="20"/>
          <w:szCs w:val="20"/>
        </w:rPr>
        <w:t xml:space="preserve"> </w:t>
      </w:r>
      <w:r w:rsidR="00BD6923">
        <w:rPr>
          <w:rFonts w:asciiTheme="majorHAnsi" w:hAnsiTheme="majorHAnsi"/>
          <w:sz w:val="20"/>
          <w:szCs w:val="20"/>
        </w:rPr>
        <w:t>initial petition</w:t>
      </w:r>
      <w:r w:rsidR="00574915" w:rsidRPr="00A51861">
        <w:rPr>
          <w:rFonts w:asciiTheme="majorHAnsi" w:hAnsiTheme="majorHAnsi"/>
          <w:sz w:val="20"/>
          <w:szCs w:val="20"/>
        </w:rPr>
        <w:t xml:space="preserve">, </w:t>
      </w:r>
      <w:r w:rsidR="00A51861" w:rsidRPr="00A51861">
        <w:rPr>
          <w:rFonts w:asciiTheme="majorHAnsi" w:hAnsiTheme="majorHAnsi"/>
          <w:sz w:val="20"/>
          <w:szCs w:val="20"/>
        </w:rPr>
        <w:t xml:space="preserve">Mr. </w:t>
      </w:r>
      <w:r w:rsidR="00574915" w:rsidRPr="00A51861">
        <w:rPr>
          <w:rFonts w:asciiTheme="majorHAnsi" w:hAnsiTheme="majorHAnsi"/>
          <w:sz w:val="20"/>
          <w:szCs w:val="20"/>
        </w:rPr>
        <w:t xml:space="preserve">Ferreira </w:t>
      </w:r>
      <w:r w:rsidR="0065567C">
        <w:rPr>
          <w:rFonts w:asciiTheme="majorHAnsi" w:hAnsiTheme="majorHAnsi"/>
          <w:sz w:val="20"/>
          <w:szCs w:val="20"/>
        </w:rPr>
        <w:t>could not return to</w:t>
      </w:r>
      <w:r w:rsidR="00574915" w:rsidRPr="00A51861">
        <w:rPr>
          <w:rFonts w:asciiTheme="majorHAnsi" w:hAnsiTheme="majorHAnsi"/>
          <w:sz w:val="20"/>
          <w:szCs w:val="20"/>
        </w:rPr>
        <w:t xml:space="preserve"> Argentina </w:t>
      </w:r>
      <w:r w:rsidR="0065567C">
        <w:rPr>
          <w:rFonts w:asciiTheme="majorHAnsi" w:hAnsiTheme="majorHAnsi"/>
          <w:sz w:val="20"/>
          <w:szCs w:val="20"/>
        </w:rPr>
        <w:t xml:space="preserve">until the reinstatement of </w:t>
      </w:r>
      <w:r w:rsidR="00574915" w:rsidRPr="00A51861">
        <w:rPr>
          <w:rFonts w:asciiTheme="majorHAnsi" w:hAnsiTheme="majorHAnsi"/>
          <w:sz w:val="20"/>
          <w:szCs w:val="20"/>
        </w:rPr>
        <w:t>democrac</w:t>
      </w:r>
      <w:r w:rsidR="0065567C">
        <w:rPr>
          <w:rFonts w:asciiTheme="majorHAnsi" w:hAnsiTheme="majorHAnsi"/>
          <w:sz w:val="20"/>
          <w:szCs w:val="20"/>
        </w:rPr>
        <w:t>y</w:t>
      </w:r>
      <w:r w:rsidR="00574915" w:rsidRPr="00A51861">
        <w:rPr>
          <w:rFonts w:asciiTheme="majorHAnsi" w:hAnsiTheme="majorHAnsi"/>
          <w:sz w:val="20"/>
          <w:szCs w:val="20"/>
        </w:rPr>
        <w:t xml:space="preserve"> </w:t>
      </w:r>
      <w:r w:rsidR="0065567C">
        <w:rPr>
          <w:rFonts w:asciiTheme="majorHAnsi" w:hAnsiTheme="majorHAnsi"/>
          <w:sz w:val="20"/>
          <w:szCs w:val="20"/>
        </w:rPr>
        <w:t>on December 10,</w:t>
      </w:r>
      <w:r w:rsidR="00E92985">
        <w:rPr>
          <w:rFonts w:asciiTheme="majorHAnsi" w:hAnsiTheme="majorHAnsi"/>
          <w:sz w:val="20"/>
          <w:szCs w:val="20"/>
        </w:rPr>
        <w:t xml:space="preserve"> </w:t>
      </w:r>
      <w:r w:rsidR="00574915" w:rsidRPr="00A51861">
        <w:rPr>
          <w:rFonts w:asciiTheme="majorHAnsi" w:hAnsiTheme="majorHAnsi"/>
          <w:sz w:val="20"/>
          <w:szCs w:val="20"/>
        </w:rPr>
        <w:t>1983</w:t>
      </w:r>
      <w:r w:rsidR="00574915" w:rsidRPr="00A51861">
        <w:rPr>
          <w:rStyle w:val="FootnoteReference"/>
          <w:rFonts w:asciiTheme="majorHAnsi" w:hAnsiTheme="majorHAnsi"/>
          <w:sz w:val="20"/>
          <w:szCs w:val="20"/>
        </w:rPr>
        <w:footnoteReference w:id="99"/>
      </w:r>
      <w:r w:rsidR="00574915" w:rsidRPr="00A51861">
        <w:rPr>
          <w:rFonts w:asciiTheme="majorHAnsi" w:hAnsiTheme="majorHAnsi"/>
          <w:sz w:val="20"/>
          <w:szCs w:val="20"/>
        </w:rPr>
        <w:t xml:space="preserve">. </w:t>
      </w:r>
    </w:p>
    <w:p w14:paraId="47222D9C" w14:textId="77777777" w:rsidR="00574915" w:rsidRPr="00A51861" w:rsidRDefault="00574915" w:rsidP="008E4D36">
      <w:pPr>
        <w:pStyle w:val="ListParagraph"/>
        <w:ind w:left="1440"/>
        <w:jc w:val="both"/>
        <w:rPr>
          <w:rFonts w:asciiTheme="majorHAnsi" w:hAnsiTheme="majorHAnsi"/>
          <w:b/>
          <w:sz w:val="20"/>
          <w:szCs w:val="20"/>
        </w:rPr>
      </w:pPr>
    </w:p>
    <w:p w14:paraId="053C9A55" w14:textId="17FBF13F" w:rsidR="00574915" w:rsidRPr="00273F34" w:rsidRDefault="00273F34" w:rsidP="00273F34">
      <w:pPr>
        <w:pStyle w:val="Heading4"/>
        <w:ind w:firstLine="720"/>
        <w:rPr>
          <w:b/>
          <w:i w:val="0"/>
          <w:iCs w:val="0"/>
          <w:color w:val="auto"/>
          <w:sz w:val="20"/>
          <w:szCs w:val="20"/>
        </w:rPr>
      </w:pPr>
      <w:bookmarkStart w:id="18" w:name="_Toc196383482"/>
      <w:r w:rsidRPr="00273F34">
        <w:rPr>
          <w:b/>
          <w:i w:val="0"/>
          <w:iCs w:val="0"/>
          <w:color w:val="auto"/>
          <w:sz w:val="20"/>
          <w:szCs w:val="20"/>
        </w:rPr>
        <w:t>2.1</w:t>
      </w:r>
      <w:r w:rsidRPr="00273F34">
        <w:rPr>
          <w:b/>
          <w:i w:val="0"/>
          <w:iCs w:val="0"/>
          <w:color w:val="auto"/>
          <w:sz w:val="20"/>
          <w:szCs w:val="20"/>
        </w:rPr>
        <w:tab/>
      </w:r>
      <w:r w:rsidR="005F6157" w:rsidRPr="00273F34">
        <w:rPr>
          <w:b/>
          <w:i w:val="0"/>
          <w:iCs w:val="0"/>
          <w:color w:val="auto"/>
          <w:sz w:val="20"/>
          <w:szCs w:val="20"/>
        </w:rPr>
        <w:t>Regarding the proceedings of reparation initiated by</w:t>
      </w:r>
      <w:r w:rsidR="00574915" w:rsidRPr="00273F34">
        <w:rPr>
          <w:b/>
          <w:i w:val="0"/>
          <w:iCs w:val="0"/>
          <w:color w:val="auto"/>
          <w:sz w:val="20"/>
          <w:szCs w:val="20"/>
        </w:rPr>
        <w:t xml:space="preserve"> </w:t>
      </w:r>
      <w:r w:rsidR="00A51861" w:rsidRPr="00273F34">
        <w:rPr>
          <w:b/>
          <w:i w:val="0"/>
          <w:iCs w:val="0"/>
          <w:color w:val="auto"/>
          <w:sz w:val="20"/>
          <w:szCs w:val="20"/>
        </w:rPr>
        <w:t xml:space="preserve">Mr. </w:t>
      </w:r>
      <w:r w:rsidR="00574915" w:rsidRPr="00273F34">
        <w:rPr>
          <w:b/>
          <w:i w:val="0"/>
          <w:iCs w:val="0"/>
          <w:color w:val="auto"/>
          <w:sz w:val="20"/>
          <w:szCs w:val="20"/>
        </w:rPr>
        <w:t>Ferreira</w:t>
      </w:r>
      <w:bookmarkEnd w:id="18"/>
    </w:p>
    <w:p w14:paraId="00F96E7F" w14:textId="77777777" w:rsidR="00574915" w:rsidRPr="00A51861" w:rsidRDefault="00574915" w:rsidP="008E4D36">
      <w:pPr>
        <w:jc w:val="both"/>
        <w:rPr>
          <w:rFonts w:asciiTheme="majorHAnsi" w:hAnsiTheme="majorHAnsi"/>
          <w:b/>
          <w:sz w:val="20"/>
          <w:szCs w:val="20"/>
        </w:rPr>
      </w:pPr>
    </w:p>
    <w:p w14:paraId="7C10B9C7" w14:textId="05ACC4D1" w:rsidR="004A476E" w:rsidRPr="00A51861" w:rsidRDefault="005F6157"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lastRenderedPageBreak/>
        <w:t>On August 7,</w:t>
      </w:r>
      <w:r w:rsidR="00E92985">
        <w:rPr>
          <w:rFonts w:asciiTheme="majorHAnsi" w:hAnsiTheme="majorHAnsi"/>
          <w:sz w:val="20"/>
          <w:szCs w:val="20"/>
        </w:rPr>
        <w:t xml:space="preserve"> </w:t>
      </w:r>
      <w:r w:rsidR="00574915" w:rsidRPr="00A51861">
        <w:rPr>
          <w:rFonts w:asciiTheme="majorHAnsi" w:hAnsiTheme="majorHAnsi"/>
          <w:sz w:val="20"/>
          <w:szCs w:val="20"/>
        </w:rPr>
        <w:t xml:space="preserve">1998 </w:t>
      </w:r>
      <w:r w:rsidR="00A51861" w:rsidRPr="00A51861">
        <w:rPr>
          <w:rFonts w:asciiTheme="majorHAnsi" w:hAnsiTheme="majorHAnsi"/>
          <w:sz w:val="20"/>
          <w:szCs w:val="20"/>
        </w:rPr>
        <w:t xml:space="preserve">Mr. </w:t>
      </w:r>
      <w:r w:rsidR="00574915" w:rsidRPr="00A51861">
        <w:rPr>
          <w:rFonts w:asciiTheme="majorHAnsi" w:hAnsiTheme="majorHAnsi"/>
          <w:sz w:val="20"/>
          <w:szCs w:val="20"/>
        </w:rPr>
        <w:t xml:space="preserve">Ferreira </w:t>
      </w:r>
      <w:r>
        <w:rPr>
          <w:rFonts w:asciiTheme="majorHAnsi" w:hAnsiTheme="majorHAnsi"/>
          <w:sz w:val="20"/>
          <w:szCs w:val="20"/>
        </w:rPr>
        <w:t>initiated before the</w:t>
      </w:r>
      <w:r w:rsidRPr="00A51861">
        <w:rPr>
          <w:rFonts w:asciiTheme="majorHAnsi" w:hAnsiTheme="majorHAnsi"/>
          <w:sz w:val="20"/>
          <w:szCs w:val="20"/>
        </w:rPr>
        <w:t xml:space="preserve"> </w:t>
      </w:r>
      <w:r>
        <w:rPr>
          <w:rFonts w:asciiTheme="majorHAnsi" w:hAnsiTheme="majorHAnsi"/>
          <w:sz w:val="20"/>
          <w:szCs w:val="20"/>
        </w:rPr>
        <w:t xml:space="preserve">Undersecretariat of </w:t>
      </w:r>
      <w:r w:rsidRPr="00A51861">
        <w:rPr>
          <w:rFonts w:asciiTheme="majorHAnsi" w:hAnsiTheme="majorHAnsi"/>
          <w:sz w:val="20"/>
          <w:szCs w:val="20"/>
        </w:rPr>
        <w:t>Social</w:t>
      </w:r>
      <w:r>
        <w:rPr>
          <w:rFonts w:asciiTheme="majorHAnsi" w:hAnsiTheme="majorHAnsi"/>
          <w:sz w:val="20"/>
          <w:szCs w:val="20"/>
        </w:rPr>
        <w:t xml:space="preserve"> and</w:t>
      </w:r>
      <w:r w:rsidRPr="00A51861">
        <w:rPr>
          <w:rFonts w:asciiTheme="majorHAnsi" w:hAnsiTheme="majorHAnsi"/>
          <w:sz w:val="20"/>
          <w:szCs w:val="20"/>
        </w:rPr>
        <w:t xml:space="preserve"> </w:t>
      </w:r>
      <w:r w:rsidR="00664D70">
        <w:rPr>
          <w:rFonts w:asciiTheme="majorHAnsi" w:hAnsiTheme="majorHAnsi"/>
          <w:sz w:val="20"/>
          <w:szCs w:val="20"/>
        </w:rPr>
        <w:t>Human rights</w:t>
      </w:r>
      <w:r>
        <w:rPr>
          <w:rFonts w:asciiTheme="majorHAnsi" w:hAnsiTheme="majorHAnsi"/>
          <w:sz w:val="20"/>
          <w:szCs w:val="20"/>
        </w:rPr>
        <w:t xml:space="preserve"> of the Ministry of</w:t>
      </w:r>
      <w:r w:rsidRPr="00A51861">
        <w:rPr>
          <w:rFonts w:asciiTheme="majorHAnsi" w:hAnsiTheme="majorHAnsi"/>
          <w:sz w:val="20"/>
          <w:szCs w:val="20"/>
        </w:rPr>
        <w:t xml:space="preserve"> Interior, </w:t>
      </w:r>
      <w:r>
        <w:rPr>
          <w:rFonts w:asciiTheme="majorHAnsi" w:hAnsiTheme="majorHAnsi"/>
          <w:sz w:val="20"/>
          <w:szCs w:val="20"/>
        </w:rPr>
        <w:t>the proceedings to attain the compensation</w:t>
      </w:r>
      <w:r w:rsidRPr="00A51861">
        <w:rPr>
          <w:rFonts w:asciiTheme="majorHAnsi" w:hAnsiTheme="majorHAnsi"/>
          <w:sz w:val="20"/>
          <w:szCs w:val="20"/>
        </w:rPr>
        <w:t xml:space="preserve"> </w:t>
      </w:r>
      <w:r>
        <w:rPr>
          <w:rFonts w:asciiTheme="majorHAnsi" w:hAnsiTheme="majorHAnsi"/>
          <w:sz w:val="20"/>
          <w:szCs w:val="20"/>
        </w:rPr>
        <w:t>for his</w:t>
      </w:r>
      <w:r w:rsidRPr="00A51861">
        <w:rPr>
          <w:rFonts w:asciiTheme="majorHAnsi" w:hAnsiTheme="majorHAnsi"/>
          <w:sz w:val="20"/>
          <w:szCs w:val="20"/>
        </w:rPr>
        <w:t xml:space="preserve"> </w:t>
      </w:r>
      <w:r>
        <w:rPr>
          <w:rFonts w:asciiTheme="majorHAnsi" w:hAnsiTheme="majorHAnsi"/>
          <w:sz w:val="20"/>
          <w:szCs w:val="20"/>
        </w:rPr>
        <w:t>detention</w:t>
      </w:r>
      <w:r w:rsidRPr="00A51861">
        <w:rPr>
          <w:rFonts w:asciiTheme="majorHAnsi" w:hAnsiTheme="majorHAnsi"/>
          <w:sz w:val="20"/>
          <w:szCs w:val="20"/>
        </w:rPr>
        <w:t xml:space="preserve">, </w:t>
      </w:r>
      <w:r>
        <w:rPr>
          <w:rFonts w:asciiTheme="majorHAnsi" w:hAnsiTheme="majorHAnsi"/>
          <w:sz w:val="20"/>
          <w:szCs w:val="20"/>
        </w:rPr>
        <w:t>persecution</w:t>
      </w:r>
      <w:r w:rsidRPr="00A51861">
        <w:rPr>
          <w:rFonts w:asciiTheme="majorHAnsi" w:hAnsiTheme="majorHAnsi"/>
          <w:sz w:val="20"/>
          <w:szCs w:val="20"/>
        </w:rPr>
        <w:t xml:space="preserve"> (“</w:t>
      </w:r>
      <w:r>
        <w:rPr>
          <w:rFonts w:asciiTheme="majorHAnsi" w:hAnsiTheme="majorHAnsi"/>
          <w:sz w:val="20"/>
          <w:szCs w:val="20"/>
        </w:rPr>
        <w:t>internal exile</w:t>
      </w:r>
      <w:r w:rsidRPr="00A51861">
        <w:rPr>
          <w:rFonts w:asciiTheme="majorHAnsi" w:hAnsiTheme="majorHAnsi"/>
          <w:sz w:val="20"/>
          <w:szCs w:val="20"/>
        </w:rPr>
        <w:t>”)</w:t>
      </w:r>
      <w:r>
        <w:rPr>
          <w:rFonts w:asciiTheme="majorHAnsi" w:hAnsiTheme="majorHAnsi"/>
          <w:sz w:val="20"/>
          <w:szCs w:val="20"/>
        </w:rPr>
        <w:t xml:space="preserve"> and </w:t>
      </w:r>
      <w:r w:rsidRPr="00A51861">
        <w:rPr>
          <w:rFonts w:asciiTheme="majorHAnsi" w:hAnsiTheme="majorHAnsi"/>
          <w:sz w:val="20"/>
          <w:szCs w:val="20"/>
        </w:rPr>
        <w:t>extern</w:t>
      </w:r>
      <w:r>
        <w:rPr>
          <w:rFonts w:asciiTheme="majorHAnsi" w:hAnsiTheme="majorHAnsi"/>
          <w:sz w:val="20"/>
          <w:szCs w:val="20"/>
        </w:rPr>
        <w:t>al exile</w:t>
      </w:r>
      <w:r w:rsidRPr="00A51861">
        <w:rPr>
          <w:rFonts w:asciiTheme="majorHAnsi" w:hAnsiTheme="majorHAnsi"/>
          <w:sz w:val="20"/>
          <w:szCs w:val="20"/>
        </w:rPr>
        <w:t xml:space="preserve">, </w:t>
      </w:r>
      <w:r>
        <w:rPr>
          <w:rFonts w:asciiTheme="majorHAnsi" w:hAnsiTheme="majorHAnsi"/>
          <w:sz w:val="20"/>
          <w:szCs w:val="20"/>
        </w:rPr>
        <w:t>based on</w:t>
      </w:r>
      <w:r w:rsidRPr="00A51861">
        <w:rPr>
          <w:rFonts w:asciiTheme="majorHAnsi" w:hAnsiTheme="majorHAnsi"/>
          <w:sz w:val="20"/>
          <w:szCs w:val="20"/>
        </w:rPr>
        <w:t xml:space="preserve"> Law 24.043</w:t>
      </w:r>
      <w:r>
        <w:rPr>
          <w:rFonts w:asciiTheme="majorHAnsi" w:hAnsiTheme="majorHAnsi"/>
          <w:sz w:val="20"/>
          <w:szCs w:val="20"/>
        </w:rPr>
        <w:t xml:space="preserve"> and its amplifier</w:t>
      </w:r>
      <w:r w:rsidRPr="00A51861">
        <w:rPr>
          <w:rFonts w:asciiTheme="majorHAnsi" w:hAnsiTheme="majorHAnsi"/>
          <w:sz w:val="20"/>
          <w:szCs w:val="20"/>
        </w:rPr>
        <w:t xml:space="preserve"> </w:t>
      </w:r>
      <w:r w:rsidR="00574915" w:rsidRPr="00A51861">
        <w:rPr>
          <w:rFonts w:asciiTheme="majorHAnsi" w:hAnsiTheme="majorHAnsi"/>
          <w:sz w:val="20"/>
          <w:szCs w:val="20"/>
        </w:rPr>
        <w:t>24.906</w:t>
      </w:r>
      <w:r w:rsidR="00574915" w:rsidRPr="00A51861">
        <w:rPr>
          <w:rFonts w:asciiTheme="majorHAnsi" w:hAnsiTheme="majorHAnsi"/>
          <w:sz w:val="20"/>
          <w:szCs w:val="20"/>
          <w:vertAlign w:val="superscript"/>
        </w:rPr>
        <w:footnoteReference w:id="100"/>
      </w:r>
      <w:r w:rsidR="00574915" w:rsidRPr="00A51861">
        <w:rPr>
          <w:rFonts w:asciiTheme="majorHAnsi" w:hAnsiTheme="majorHAnsi"/>
          <w:sz w:val="20"/>
          <w:szCs w:val="20"/>
        </w:rPr>
        <w:t xml:space="preserve">. </w:t>
      </w:r>
      <w:r>
        <w:rPr>
          <w:rFonts w:asciiTheme="majorHAnsi" w:hAnsiTheme="majorHAnsi"/>
          <w:sz w:val="20"/>
          <w:szCs w:val="20"/>
        </w:rPr>
        <w:t>In subsidy</w:t>
      </w:r>
      <w:r w:rsidRPr="00A51861">
        <w:rPr>
          <w:rFonts w:asciiTheme="majorHAnsi" w:hAnsiTheme="majorHAnsi"/>
          <w:sz w:val="20"/>
          <w:szCs w:val="20"/>
        </w:rPr>
        <w:t xml:space="preserve">, </w:t>
      </w:r>
      <w:r>
        <w:rPr>
          <w:rFonts w:asciiTheme="majorHAnsi" w:hAnsiTheme="majorHAnsi"/>
          <w:sz w:val="20"/>
          <w:szCs w:val="20"/>
        </w:rPr>
        <w:t>a compensation for damages was claimed for the same fact</w:t>
      </w:r>
      <w:r w:rsidR="00574915" w:rsidRPr="00A51861">
        <w:rPr>
          <w:rFonts w:asciiTheme="majorHAnsi" w:hAnsiTheme="majorHAnsi"/>
          <w:sz w:val="20"/>
          <w:szCs w:val="20"/>
        </w:rPr>
        <w:t>s</w:t>
      </w:r>
      <w:r w:rsidR="00574915" w:rsidRPr="00A51861">
        <w:rPr>
          <w:rFonts w:asciiTheme="majorHAnsi" w:hAnsiTheme="majorHAnsi"/>
          <w:sz w:val="20"/>
          <w:szCs w:val="20"/>
          <w:vertAlign w:val="superscript"/>
        </w:rPr>
        <w:footnoteReference w:id="101"/>
      </w:r>
      <w:r w:rsidR="00574915" w:rsidRPr="00A51861">
        <w:rPr>
          <w:rFonts w:asciiTheme="majorHAnsi" w:hAnsiTheme="majorHAnsi"/>
          <w:sz w:val="20"/>
          <w:szCs w:val="20"/>
        </w:rPr>
        <w:t xml:space="preserve">. </w:t>
      </w:r>
    </w:p>
    <w:p w14:paraId="28B3F79D" w14:textId="77777777" w:rsidR="00EB23F3" w:rsidRPr="00A51861" w:rsidRDefault="00EB23F3" w:rsidP="008E4D36">
      <w:pPr>
        <w:rPr>
          <w:rFonts w:asciiTheme="majorHAnsi" w:hAnsiTheme="majorHAnsi"/>
          <w:sz w:val="20"/>
          <w:szCs w:val="20"/>
        </w:rPr>
      </w:pPr>
    </w:p>
    <w:p w14:paraId="1B2F0BD8" w14:textId="19AB6B5A" w:rsidR="004A476E" w:rsidRPr="00A51861" w:rsidRDefault="005F6157"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On February 23,</w:t>
      </w:r>
      <w:r w:rsidR="00E92985">
        <w:rPr>
          <w:rFonts w:asciiTheme="majorHAnsi" w:hAnsiTheme="majorHAnsi"/>
          <w:sz w:val="20"/>
          <w:szCs w:val="20"/>
        </w:rPr>
        <w:t xml:space="preserve"> </w:t>
      </w:r>
      <w:r w:rsidR="00574915" w:rsidRPr="00A51861">
        <w:rPr>
          <w:rFonts w:asciiTheme="majorHAnsi" w:hAnsiTheme="majorHAnsi"/>
          <w:sz w:val="20"/>
          <w:szCs w:val="20"/>
        </w:rPr>
        <w:t xml:space="preserve">2001 </w:t>
      </w:r>
      <w:r>
        <w:rPr>
          <w:rFonts w:asciiTheme="majorHAnsi" w:hAnsiTheme="majorHAnsi"/>
          <w:sz w:val="20"/>
          <w:szCs w:val="20"/>
        </w:rPr>
        <w:t>the</w:t>
      </w:r>
      <w:r w:rsidR="00574915" w:rsidRPr="00A51861">
        <w:rPr>
          <w:rFonts w:asciiTheme="majorHAnsi" w:hAnsiTheme="majorHAnsi"/>
          <w:sz w:val="20"/>
          <w:szCs w:val="20"/>
        </w:rPr>
        <w:t xml:space="preserve"> </w:t>
      </w:r>
      <w:r w:rsidR="004078DB">
        <w:rPr>
          <w:rFonts w:asciiTheme="majorHAnsi" w:hAnsiTheme="majorHAnsi"/>
          <w:sz w:val="20"/>
          <w:szCs w:val="20"/>
        </w:rPr>
        <w:t>Ministry of Justice</w:t>
      </w:r>
      <w:r w:rsidR="004B400F">
        <w:rPr>
          <w:rFonts w:asciiTheme="majorHAnsi" w:hAnsiTheme="majorHAnsi"/>
          <w:sz w:val="20"/>
          <w:szCs w:val="20"/>
        </w:rPr>
        <w:t xml:space="preserve"> and Human Rights </w:t>
      </w:r>
      <w:r>
        <w:rPr>
          <w:rFonts w:asciiTheme="majorHAnsi" w:hAnsiTheme="majorHAnsi"/>
          <w:sz w:val="20"/>
          <w:szCs w:val="20"/>
        </w:rPr>
        <w:t>issued</w:t>
      </w:r>
      <w:r w:rsidR="00574915" w:rsidRPr="00A51861">
        <w:rPr>
          <w:rFonts w:asciiTheme="majorHAnsi" w:hAnsiTheme="majorHAnsi"/>
          <w:sz w:val="20"/>
          <w:szCs w:val="20"/>
        </w:rPr>
        <w:t xml:space="preserve"> </w:t>
      </w:r>
      <w:r w:rsidR="0029564F">
        <w:rPr>
          <w:rFonts w:asciiTheme="majorHAnsi" w:hAnsiTheme="majorHAnsi"/>
          <w:sz w:val="20"/>
          <w:szCs w:val="20"/>
        </w:rPr>
        <w:t>Resolution</w:t>
      </w:r>
      <w:r w:rsidR="00574915" w:rsidRPr="00A51861">
        <w:rPr>
          <w:rFonts w:asciiTheme="majorHAnsi" w:hAnsiTheme="majorHAnsi"/>
          <w:sz w:val="20"/>
          <w:szCs w:val="20"/>
        </w:rPr>
        <w:t xml:space="preserve"> No. 212 </w:t>
      </w:r>
      <w:r w:rsidR="005D0AC1">
        <w:rPr>
          <w:rFonts w:asciiTheme="majorHAnsi" w:hAnsiTheme="majorHAnsi"/>
          <w:sz w:val="20"/>
          <w:szCs w:val="20"/>
        </w:rPr>
        <w:t>dismissing the</w:t>
      </w:r>
      <w:r w:rsidR="00574915" w:rsidRPr="00A51861">
        <w:rPr>
          <w:rFonts w:asciiTheme="majorHAnsi" w:hAnsiTheme="majorHAnsi"/>
          <w:sz w:val="20"/>
          <w:szCs w:val="20"/>
        </w:rPr>
        <w:t xml:space="preserve"> </w:t>
      </w:r>
      <w:r w:rsidR="00B47E06">
        <w:rPr>
          <w:rFonts w:asciiTheme="majorHAnsi" w:hAnsiTheme="majorHAnsi"/>
          <w:sz w:val="20"/>
          <w:szCs w:val="20"/>
        </w:rPr>
        <w:t>benefit</w:t>
      </w:r>
      <w:r w:rsidR="00574915" w:rsidRPr="00A51861">
        <w:rPr>
          <w:rFonts w:asciiTheme="majorHAnsi" w:hAnsiTheme="majorHAnsi"/>
          <w:sz w:val="20"/>
          <w:szCs w:val="20"/>
        </w:rPr>
        <w:t xml:space="preserve"> </w:t>
      </w:r>
      <w:r w:rsidR="005D0AC1">
        <w:rPr>
          <w:rFonts w:asciiTheme="majorHAnsi" w:hAnsiTheme="majorHAnsi"/>
          <w:sz w:val="20"/>
          <w:szCs w:val="20"/>
        </w:rPr>
        <w:t xml:space="preserve">foreseen in </w:t>
      </w:r>
      <w:r w:rsidR="002835FC" w:rsidRPr="00A51861">
        <w:rPr>
          <w:rFonts w:asciiTheme="majorHAnsi" w:hAnsiTheme="majorHAnsi"/>
          <w:sz w:val="20"/>
          <w:szCs w:val="20"/>
        </w:rPr>
        <w:t xml:space="preserve">Law </w:t>
      </w:r>
      <w:r w:rsidR="00B5211C" w:rsidRPr="00A51861">
        <w:rPr>
          <w:rFonts w:asciiTheme="majorHAnsi" w:hAnsiTheme="majorHAnsi"/>
          <w:sz w:val="20"/>
          <w:szCs w:val="20"/>
        </w:rPr>
        <w:t xml:space="preserve">24.043, </w:t>
      </w:r>
      <w:r w:rsidR="005D0AC1">
        <w:rPr>
          <w:rFonts w:asciiTheme="majorHAnsi" w:hAnsiTheme="majorHAnsi"/>
          <w:sz w:val="20"/>
          <w:szCs w:val="20"/>
        </w:rPr>
        <w:t xml:space="preserve">arguing that </w:t>
      </w:r>
      <w:r w:rsidR="00A51861" w:rsidRPr="00A51861">
        <w:rPr>
          <w:rFonts w:asciiTheme="majorHAnsi" w:hAnsiTheme="majorHAnsi"/>
          <w:sz w:val="20"/>
          <w:szCs w:val="20"/>
        </w:rPr>
        <w:t>the alleged victim</w:t>
      </w:r>
      <w:r w:rsidR="00B5211C" w:rsidRPr="00A51861">
        <w:rPr>
          <w:rFonts w:asciiTheme="majorHAnsi" w:hAnsiTheme="majorHAnsi"/>
          <w:sz w:val="20"/>
          <w:szCs w:val="20"/>
        </w:rPr>
        <w:t xml:space="preserve"> </w:t>
      </w:r>
      <w:r w:rsidR="005D0AC1">
        <w:rPr>
          <w:rFonts w:asciiTheme="majorHAnsi" w:hAnsiTheme="majorHAnsi"/>
          <w:sz w:val="20"/>
          <w:szCs w:val="20"/>
        </w:rPr>
        <w:t xml:space="preserve">did not appear on the listings of </w:t>
      </w:r>
      <w:r w:rsidR="00CB67C7">
        <w:rPr>
          <w:rFonts w:asciiTheme="majorHAnsi" w:hAnsiTheme="majorHAnsi"/>
          <w:sz w:val="20"/>
          <w:szCs w:val="20"/>
        </w:rPr>
        <w:t>detained</w:t>
      </w:r>
      <w:r w:rsidR="00B5211C" w:rsidRPr="00A51861">
        <w:rPr>
          <w:rFonts w:asciiTheme="majorHAnsi" w:hAnsiTheme="majorHAnsi"/>
          <w:sz w:val="20"/>
          <w:szCs w:val="20"/>
        </w:rPr>
        <w:t xml:space="preserve"> </w:t>
      </w:r>
      <w:r w:rsidR="005D0AC1">
        <w:rPr>
          <w:rFonts w:asciiTheme="majorHAnsi" w:hAnsiTheme="majorHAnsi"/>
          <w:sz w:val="20"/>
          <w:szCs w:val="20"/>
        </w:rPr>
        <w:t xml:space="preserve">placed at the disposal </w:t>
      </w:r>
      <w:r w:rsidR="004969F4">
        <w:rPr>
          <w:rFonts w:asciiTheme="majorHAnsi" w:hAnsiTheme="majorHAnsi"/>
          <w:sz w:val="20"/>
          <w:szCs w:val="20"/>
        </w:rPr>
        <w:t xml:space="preserve">of the </w:t>
      </w:r>
      <w:r w:rsidR="00B5211C" w:rsidRPr="00A51861">
        <w:rPr>
          <w:rFonts w:asciiTheme="majorHAnsi" w:hAnsiTheme="majorHAnsi"/>
          <w:sz w:val="20"/>
          <w:szCs w:val="20"/>
        </w:rPr>
        <w:t>P.E.N.</w:t>
      </w:r>
      <w:r w:rsidR="00E92985">
        <w:rPr>
          <w:rFonts w:asciiTheme="majorHAnsi" w:hAnsiTheme="majorHAnsi"/>
          <w:sz w:val="20"/>
          <w:szCs w:val="20"/>
        </w:rPr>
        <w:t xml:space="preserve"> and that the </w:t>
      </w:r>
      <w:r w:rsidR="00285F64" w:rsidRPr="00A51861">
        <w:rPr>
          <w:rFonts w:asciiTheme="majorHAnsi" w:hAnsiTheme="majorHAnsi"/>
          <w:sz w:val="20"/>
          <w:szCs w:val="20"/>
        </w:rPr>
        <w:t>period</w:t>
      </w:r>
      <w:r w:rsidR="00E92985">
        <w:rPr>
          <w:rFonts w:asciiTheme="majorHAnsi" w:hAnsiTheme="majorHAnsi"/>
          <w:sz w:val="20"/>
          <w:szCs w:val="20"/>
        </w:rPr>
        <w:t xml:space="preserve"> of </w:t>
      </w:r>
      <w:r w:rsidR="006E255A">
        <w:rPr>
          <w:rFonts w:asciiTheme="majorHAnsi" w:hAnsiTheme="majorHAnsi"/>
          <w:sz w:val="20"/>
          <w:szCs w:val="20"/>
        </w:rPr>
        <w:t>detention</w:t>
      </w:r>
      <w:r w:rsidR="00285F64" w:rsidRPr="00A51861">
        <w:rPr>
          <w:rFonts w:asciiTheme="majorHAnsi" w:hAnsiTheme="majorHAnsi"/>
          <w:sz w:val="20"/>
          <w:szCs w:val="20"/>
        </w:rPr>
        <w:t xml:space="preserve"> i</w:t>
      </w:r>
      <w:r w:rsidR="005D0AC1">
        <w:rPr>
          <w:rFonts w:asciiTheme="majorHAnsi" w:hAnsiTheme="majorHAnsi"/>
          <w:sz w:val="20"/>
          <w:szCs w:val="20"/>
        </w:rPr>
        <w:t>nvoked</w:t>
      </w:r>
      <w:r w:rsidR="00285F64" w:rsidRPr="00A51861">
        <w:rPr>
          <w:rFonts w:asciiTheme="majorHAnsi" w:hAnsiTheme="majorHAnsi"/>
          <w:sz w:val="20"/>
          <w:szCs w:val="20"/>
        </w:rPr>
        <w:t xml:space="preserve"> </w:t>
      </w:r>
      <w:r w:rsidR="005D0AC1">
        <w:rPr>
          <w:rFonts w:asciiTheme="majorHAnsi" w:hAnsiTheme="majorHAnsi"/>
          <w:sz w:val="20"/>
          <w:szCs w:val="20"/>
        </w:rPr>
        <w:t>did not fit within the timeframe set forth by</w:t>
      </w:r>
      <w:r w:rsidR="00574915" w:rsidRPr="00A51861">
        <w:rPr>
          <w:rFonts w:asciiTheme="majorHAnsi" w:hAnsiTheme="majorHAnsi"/>
          <w:sz w:val="20"/>
          <w:szCs w:val="20"/>
        </w:rPr>
        <w:t xml:space="preserve"> </w:t>
      </w:r>
      <w:r w:rsidR="00200AC7">
        <w:rPr>
          <w:rFonts w:asciiTheme="majorHAnsi" w:hAnsiTheme="majorHAnsi"/>
          <w:sz w:val="20"/>
          <w:szCs w:val="20"/>
        </w:rPr>
        <w:t xml:space="preserve">Decree </w:t>
      </w:r>
      <w:r w:rsidR="00574915" w:rsidRPr="00A51861">
        <w:rPr>
          <w:rFonts w:asciiTheme="majorHAnsi" w:hAnsiTheme="majorHAnsi"/>
          <w:sz w:val="20"/>
          <w:szCs w:val="20"/>
        </w:rPr>
        <w:t>N° 1023</w:t>
      </w:r>
      <w:r w:rsidR="00574915" w:rsidRPr="00A51861">
        <w:rPr>
          <w:rStyle w:val="FootnoteReference"/>
          <w:rFonts w:asciiTheme="majorHAnsi" w:hAnsiTheme="majorHAnsi"/>
          <w:sz w:val="20"/>
          <w:szCs w:val="20"/>
        </w:rPr>
        <w:footnoteReference w:id="102"/>
      </w:r>
      <w:r w:rsidR="00574915" w:rsidRPr="00A51861">
        <w:rPr>
          <w:rFonts w:asciiTheme="majorHAnsi" w:hAnsiTheme="majorHAnsi"/>
          <w:sz w:val="20"/>
          <w:szCs w:val="20"/>
        </w:rPr>
        <w:t>.</w:t>
      </w:r>
      <w:r w:rsidR="00FC257E">
        <w:rPr>
          <w:rFonts w:asciiTheme="majorHAnsi" w:hAnsiTheme="majorHAnsi"/>
          <w:sz w:val="20"/>
          <w:szCs w:val="20"/>
        </w:rPr>
        <w:t xml:space="preserve"> Likewise, </w:t>
      </w:r>
      <w:r w:rsidR="00574915" w:rsidRPr="00A51861">
        <w:rPr>
          <w:rFonts w:asciiTheme="majorHAnsi" w:hAnsiTheme="majorHAnsi"/>
          <w:sz w:val="20"/>
          <w:szCs w:val="20"/>
        </w:rPr>
        <w:t>conclu</w:t>
      </w:r>
      <w:r w:rsidR="005D0AC1">
        <w:rPr>
          <w:rFonts w:asciiTheme="majorHAnsi" w:hAnsiTheme="majorHAnsi"/>
          <w:sz w:val="20"/>
          <w:szCs w:val="20"/>
        </w:rPr>
        <w:t>ded</w:t>
      </w:r>
      <w:r w:rsidR="00574915" w:rsidRPr="00A51861">
        <w:rPr>
          <w:rFonts w:asciiTheme="majorHAnsi" w:hAnsiTheme="majorHAnsi"/>
          <w:sz w:val="20"/>
          <w:szCs w:val="20"/>
        </w:rPr>
        <w:t xml:space="preserve"> </w:t>
      </w:r>
      <w:r w:rsidR="005D0AC1">
        <w:rPr>
          <w:rFonts w:asciiTheme="majorHAnsi" w:hAnsiTheme="majorHAnsi"/>
          <w:sz w:val="20"/>
          <w:szCs w:val="20"/>
        </w:rPr>
        <w:t>in regard to the claim for his status of exiled</w:t>
      </w:r>
      <w:r w:rsidR="00574915" w:rsidRPr="00A51861">
        <w:rPr>
          <w:rFonts w:asciiTheme="majorHAnsi" w:hAnsiTheme="majorHAnsi"/>
          <w:sz w:val="20"/>
          <w:szCs w:val="20"/>
        </w:rPr>
        <w:t xml:space="preserve">, </w:t>
      </w:r>
      <w:r w:rsidR="005D0AC1">
        <w:rPr>
          <w:rFonts w:asciiTheme="majorHAnsi" w:hAnsiTheme="majorHAnsi"/>
          <w:sz w:val="20"/>
          <w:szCs w:val="20"/>
        </w:rPr>
        <w:t>the</w:t>
      </w:r>
      <w:r w:rsidR="00574915" w:rsidRPr="00A51861">
        <w:rPr>
          <w:rFonts w:asciiTheme="majorHAnsi" w:hAnsiTheme="majorHAnsi"/>
          <w:sz w:val="20"/>
          <w:szCs w:val="20"/>
        </w:rPr>
        <w:t xml:space="preserve"> </w:t>
      </w:r>
      <w:r w:rsidR="00E92985">
        <w:rPr>
          <w:rFonts w:asciiTheme="majorHAnsi" w:hAnsiTheme="majorHAnsi"/>
          <w:sz w:val="20"/>
          <w:szCs w:val="20"/>
        </w:rPr>
        <w:t>situation</w:t>
      </w:r>
      <w:r w:rsidR="00574915" w:rsidRPr="00A51861">
        <w:rPr>
          <w:rFonts w:asciiTheme="majorHAnsi" w:hAnsiTheme="majorHAnsi"/>
          <w:sz w:val="20"/>
          <w:szCs w:val="20"/>
        </w:rPr>
        <w:t xml:space="preserve"> </w:t>
      </w:r>
      <w:r w:rsidR="005D0AC1">
        <w:rPr>
          <w:rFonts w:asciiTheme="majorHAnsi" w:hAnsiTheme="majorHAnsi"/>
          <w:sz w:val="20"/>
          <w:szCs w:val="20"/>
        </w:rPr>
        <w:t>raised</w:t>
      </w:r>
      <w:r w:rsidR="00574915" w:rsidRPr="00A51861">
        <w:rPr>
          <w:rFonts w:asciiTheme="majorHAnsi" w:hAnsiTheme="majorHAnsi"/>
          <w:sz w:val="20"/>
          <w:szCs w:val="20"/>
        </w:rPr>
        <w:t xml:space="preserve"> </w:t>
      </w:r>
      <w:r w:rsidR="005D0AC1">
        <w:rPr>
          <w:rFonts w:asciiTheme="majorHAnsi" w:hAnsiTheme="majorHAnsi"/>
          <w:sz w:val="20"/>
          <w:szCs w:val="20"/>
        </w:rPr>
        <w:t>was not contemplated in the</w:t>
      </w:r>
      <w:r w:rsidR="00574915" w:rsidRPr="00A51861">
        <w:rPr>
          <w:rFonts w:asciiTheme="majorHAnsi" w:hAnsiTheme="majorHAnsi"/>
          <w:sz w:val="20"/>
          <w:szCs w:val="20"/>
        </w:rPr>
        <w:t xml:space="preserve"> </w:t>
      </w:r>
      <w:r w:rsidR="00EC7A58">
        <w:rPr>
          <w:rFonts w:asciiTheme="majorHAnsi" w:hAnsiTheme="majorHAnsi"/>
          <w:sz w:val="20"/>
          <w:szCs w:val="20"/>
        </w:rPr>
        <w:t>laws</w:t>
      </w:r>
      <w:r w:rsidR="00574915" w:rsidRPr="00A51861">
        <w:rPr>
          <w:rFonts w:asciiTheme="majorHAnsi" w:hAnsiTheme="majorHAnsi"/>
          <w:sz w:val="20"/>
          <w:szCs w:val="20"/>
        </w:rPr>
        <w:t xml:space="preserve"> </w:t>
      </w:r>
      <w:r w:rsidR="005D0AC1">
        <w:rPr>
          <w:rFonts w:asciiTheme="majorHAnsi" w:hAnsiTheme="majorHAnsi"/>
          <w:sz w:val="20"/>
          <w:szCs w:val="20"/>
        </w:rPr>
        <w:t>under study</w:t>
      </w:r>
      <w:r w:rsidR="00F97F9B" w:rsidRPr="00A51861">
        <w:rPr>
          <w:rFonts w:asciiTheme="majorHAnsi" w:hAnsiTheme="majorHAnsi"/>
          <w:sz w:val="20"/>
          <w:szCs w:val="20"/>
        </w:rPr>
        <w:t xml:space="preserve">.  </w:t>
      </w:r>
      <w:r w:rsidR="005D0AC1">
        <w:rPr>
          <w:rFonts w:asciiTheme="majorHAnsi" w:hAnsiTheme="majorHAnsi"/>
          <w:sz w:val="20"/>
          <w:szCs w:val="20"/>
        </w:rPr>
        <w:t>Neither was the subsidiary claim admitted</w:t>
      </w:r>
      <w:r w:rsidR="00574915" w:rsidRPr="00A51861">
        <w:rPr>
          <w:rStyle w:val="FootnoteReference"/>
          <w:rFonts w:asciiTheme="majorHAnsi" w:hAnsiTheme="majorHAnsi"/>
          <w:sz w:val="20"/>
          <w:szCs w:val="20"/>
        </w:rPr>
        <w:footnoteReference w:id="103"/>
      </w:r>
      <w:r w:rsidR="00574915" w:rsidRPr="00A51861">
        <w:rPr>
          <w:rFonts w:asciiTheme="majorHAnsi" w:hAnsiTheme="majorHAnsi"/>
          <w:sz w:val="20"/>
          <w:szCs w:val="20"/>
        </w:rPr>
        <w:t xml:space="preserve">. </w:t>
      </w:r>
    </w:p>
    <w:p w14:paraId="76E60DB8" w14:textId="77777777" w:rsidR="004A476E" w:rsidRPr="00A51861" w:rsidRDefault="004A476E" w:rsidP="008E4D36">
      <w:pPr>
        <w:jc w:val="both"/>
        <w:rPr>
          <w:rFonts w:asciiTheme="majorHAnsi" w:hAnsiTheme="majorHAnsi"/>
          <w:sz w:val="20"/>
          <w:szCs w:val="20"/>
        </w:rPr>
      </w:pPr>
    </w:p>
    <w:p w14:paraId="72A94B25" w14:textId="374C0BF6" w:rsidR="004A476E" w:rsidRPr="00A51861" w:rsidRDefault="005D0AC1"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 xml:space="preserve">The counselor of Mr. </w:t>
      </w:r>
      <w:r w:rsidR="00574915" w:rsidRPr="00A51861">
        <w:rPr>
          <w:rFonts w:asciiTheme="majorHAnsi" w:hAnsiTheme="majorHAnsi"/>
          <w:sz w:val="20"/>
          <w:szCs w:val="20"/>
        </w:rPr>
        <w:t xml:space="preserve">Ferreira </w:t>
      </w:r>
      <w:r>
        <w:rPr>
          <w:rFonts w:asciiTheme="majorHAnsi" w:hAnsiTheme="majorHAnsi"/>
          <w:sz w:val="20"/>
          <w:szCs w:val="20"/>
        </w:rPr>
        <w:t xml:space="preserve">filed a direct appeal remedy before the </w:t>
      </w:r>
      <w:r w:rsidR="00026BBF">
        <w:rPr>
          <w:rFonts w:asciiTheme="majorHAnsi" w:hAnsiTheme="majorHAnsi"/>
          <w:sz w:val="20"/>
          <w:szCs w:val="20"/>
        </w:rPr>
        <w:t>National Chamber of Federal Contentious Administrative Appeals</w:t>
      </w:r>
      <w:r w:rsidR="00574915" w:rsidRPr="00A51861">
        <w:rPr>
          <w:rStyle w:val="FootnoteReference"/>
          <w:rFonts w:asciiTheme="majorHAnsi" w:hAnsiTheme="majorHAnsi"/>
          <w:sz w:val="20"/>
          <w:szCs w:val="20"/>
        </w:rPr>
        <w:footnoteReference w:id="104"/>
      </w:r>
      <w:r w:rsidR="00574915" w:rsidRPr="00A51861">
        <w:rPr>
          <w:rFonts w:asciiTheme="majorHAnsi" w:hAnsiTheme="majorHAnsi"/>
          <w:sz w:val="20"/>
          <w:szCs w:val="20"/>
        </w:rPr>
        <w:t xml:space="preserve">. </w:t>
      </w:r>
      <w:r>
        <w:rPr>
          <w:rFonts w:asciiTheme="majorHAnsi" w:hAnsiTheme="majorHAnsi"/>
          <w:sz w:val="20"/>
          <w:szCs w:val="20"/>
        </w:rPr>
        <w:t>On December 11,</w:t>
      </w:r>
      <w:r w:rsidR="00E92985">
        <w:rPr>
          <w:rFonts w:asciiTheme="majorHAnsi" w:hAnsiTheme="majorHAnsi"/>
          <w:sz w:val="20"/>
          <w:szCs w:val="20"/>
        </w:rPr>
        <w:t xml:space="preserve"> </w:t>
      </w:r>
      <w:r w:rsidR="00574915" w:rsidRPr="00A51861">
        <w:rPr>
          <w:rFonts w:asciiTheme="majorHAnsi" w:hAnsiTheme="majorHAnsi"/>
          <w:sz w:val="20"/>
          <w:szCs w:val="20"/>
        </w:rPr>
        <w:t xml:space="preserve">2001 </w:t>
      </w:r>
      <w:r>
        <w:rPr>
          <w:rFonts w:asciiTheme="majorHAnsi" w:hAnsiTheme="majorHAnsi"/>
          <w:sz w:val="20"/>
          <w:szCs w:val="20"/>
        </w:rPr>
        <w:t>the</w:t>
      </w:r>
      <w:r w:rsidR="00574915" w:rsidRPr="00A51861">
        <w:rPr>
          <w:rFonts w:asciiTheme="majorHAnsi" w:hAnsiTheme="majorHAnsi"/>
          <w:sz w:val="20"/>
          <w:szCs w:val="20"/>
        </w:rPr>
        <w:t xml:space="preserve"> </w:t>
      </w:r>
      <w:r>
        <w:rPr>
          <w:rFonts w:asciiTheme="majorHAnsi" w:hAnsiTheme="majorHAnsi"/>
          <w:sz w:val="20"/>
          <w:szCs w:val="20"/>
        </w:rPr>
        <w:t>National Chamber of Appeals dismissed the demands of compensation</w:t>
      </w:r>
      <w:r w:rsidR="00E92985">
        <w:rPr>
          <w:rFonts w:asciiTheme="majorHAnsi" w:hAnsiTheme="majorHAnsi"/>
          <w:sz w:val="20"/>
          <w:szCs w:val="20"/>
        </w:rPr>
        <w:t xml:space="preserve"> and </w:t>
      </w:r>
      <w:r>
        <w:rPr>
          <w:rFonts w:asciiTheme="majorHAnsi" w:hAnsiTheme="majorHAnsi"/>
          <w:sz w:val="20"/>
          <w:szCs w:val="20"/>
        </w:rPr>
        <w:t>confirmed the appealed resolution</w:t>
      </w:r>
      <w:r w:rsidR="00C5040C" w:rsidRPr="00A51861">
        <w:rPr>
          <w:rFonts w:asciiTheme="majorHAnsi" w:hAnsiTheme="majorHAnsi"/>
          <w:sz w:val="20"/>
          <w:szCs w:val="20"/>
        </w:rPr>
        <w:t xml:space="preserve">, </w:t>
      </w:r>
      <w:r>
        <w:rPr>
          <w:rFonts w:asciiTheme="majorHAnsi" w:hAnsiTheme="majorHAnsi"/>
          <w:sz w:val="20"/>
          <w:szCs w:val="20"/>
        </w:rPr>
        <w:t>arguing that in accordance with</w:t>
      </w:r>
      <w:r w:rsidR="00C5040C" w:rsidRPr="00A51861">
        <w:rPr>
          <w:rFonts w:asciiTheme="majorHAnsi" w:hAnsiTheme="majorHAnsi"/>
          <w:sz w:val="20"/>
          <w:szCs w:val="20"/>
        </w:rPr>
        <w:t xml:space="preserve"> </w:t>
      </w:r>
      <w:r w:rsidR="002835FC" w:rsidRPr="00A51861">
        <w:rPr>
          <w:rFonts w:asciiTheme="majorHAnsi" w:hAnsiTheme="majorHAnsi"/>
          <w:sz w:val="20"/>
          <w:szCs w:val="20"/>
        </w:rPr>
        <w:t xml:space="preserve">Law </w:t>
      </w:r>
      <w:r w:rsidR="00574915" w:rsidRPr="00A51861">
        <w:rPr>
          <w:rFonts w:asciiTheme="majorHAnsi" w:hAnsiTheme="majorHAnsi"/>
          <w:sz w:val="20"/>
          <w:szCs w:val="20"/>
        </w:rPr>
        <w:t>24.906</w:t>
      </w:r>
      <w:r w:rsidR="00C5040C" w:rsidRPr="00A51861">
        <w:rPr>
          <w:rFonts w:asciiTheme="majorHAnsi" w:hAnsiTheme="majorHAnsi"/>
          <w:sz w:val="20"/>
          <w:szCs w:val="20"/>
        </w:rPr>
        <w:t>,</w:t>
      </w:r>
      <w:r w:rsidR="00574915" w:rsidRPr="00A51861">
        <w:rPr>
          <w:rFonts w:asciiTheme="majorHAnsi" w:hAnsiTheme="majorHAnsi"/>
          <w:sz w:val="20"/>
          <w:szCs w:val="20"/>
        </w:rPr>
        <w:t xml:space="preserve"> </w:t>
      </w:r>
      <w:r>
        <w:rPr>
          <w:rFonts w:asciiTheme="majorHAnsi" w:hAnsiTheme="majorHAnsi"/>
          <w:sz w:val="20"/>
          <w:szCs w:val="20"/>
        </w:rPr>
        <w:t>which set the period reached by the</w:t>
      </w:r>
      <w:r w:rsidR="00574915" w:rsidRPr="00A51861">
        <w:rPr>
          <w:rFonts w:asciiTheme="majorHAnsi" w:hAnsiTheme="majorHAnsi"/>
          <w:sz w:val="20"/>
          <w:szCs w:val="20"/>
        </w:rPr>
        <w:t xml:space="preserve"> </w:t>
      </w:r>
      <w:r w:rsidR="00B47E06">
        <w:rPr>
          <w:rFonts w:asciiTheme="majorHAnsi" w:hAnsiTheme="majorHAnsi"/>
          <w:sz w:val="20"/>
          <w:szCs w:val="20"/>
        </w:rPr>
        <w:t>benefit</w:t>
      </w:r>
      <w:r w:rsidR="00574915" w:rsidRPr="00A51861">
        <w:rPr>
          <w:rFonts w:asciiTheme="majorHAnsi" w:hAnsiTheme="majorHAnsi"/>
          <w:sz w:val="20"/>
          <w:szCs w:val="20"/>
        </w:rPr>
        <w:t xml:space="preserve"> </w:t>
      </w:r>
      <w:r>
        <w:rPr>
          <w:rFonts w:asciiTheme="majorHAnsi" w:hAnsiTheme="majorHAnsi"/>
          <w:sz w:val="20"/>
          <w:szCs w:val="20"/>
        </w:rPr>
        <w:t xml:space="preserve">between November 6, </w:t>
      </w:r>
      <w:r w:rsidR="00574915" w:rsidRPr="00A51861">
        <w:rPr>
          <w:rFonts w:asciiTheme="majorHAnsi" w:hAnsiTheme="majorHAnsi"/>
          <w:sz w:val="20"/>
          <w:szCs w:val="20"/>
        </w:rPr>
        <w:t>1974</w:t>
      </w:r>
      <w:r w:rsidR="00E92985">
        <w:rPr>
          <w:rFonts w:asciiTheme="majorHAnsi" w:hAnsiTheme="majorHAnsi"/>
          <w:sz w:val="20"/>
          <w:szCs w:val="20"/>
        </w:rPr>
        <w:t xml:space="preserve"> and </w:t>
      </w:r>
      <w:r>
        <w:rPr>
          <w:rFonts w:asciiTheme="majorHAnsi" w:hAnsiTheme="majorHAnsi"/>
          <w:sz w:val="20"/>
          <w:szCs w:val="20"/>
        </w:rPr>
        <w:t>December 10,</w:t>
      </w:r>
      <w:r w:rsidR="00E92985">
        <w:rPr>
          <w:rFonts w:asciiTheme="majorHAnsi" w:hAnsiTheme="majorHAnsi"/>
          <w:sz w:val="20"/>
          <w:szCs w:val="20"/>
        </w:rPr>
        <w:t xml:space="preserve"> </w:t>
      </w:r>
      <w:r w:rsidR="00574915" w:rsidRPr="00A51861">
        <w:rPr>
          <w:rFonts w:asciiTheme="majorHAnsi" w:hAnsiTheme="majorHAnsi"/>
          <w:sz w:val="20"/>
          <w:szCs w:val="20"/>
        </w:rPr>
        <w:t xml:space="preserve">1983, </w:t>
      </w:r>
      <w:r>
        <w:rPr>
          <w:rFonts w:asciiTheme="majorHAnsi" w:hAnsiTheme="majorHAnsi"/>
          <w:sz w:val="20"/>
          <w:szCs w:val="20"/>
        </w:rPr>
        <w:t>the</w:t>
      </w:r>
      <w:r w:rsidR="00574915" w:rsidRPr="00A51861">
        <w:rPr>
          <w:rFonts w:asciiTheme="majorHAnsi" w:hAnsiTheme="majorHAnsi"/>
          <w:sz w:val="20"/>
          <w:szCs w:val="20"/>
        </w:rPr>
        <w:t xml:space="preserve"> </w:t>
      </w:r>
      <w:r>
        <w:rPr>
          <w:rFonts w:asciiTheme="majorHAnsi" w:hAnsiTheme="majorHAnsi"/>
          <w:sz w:val="20"/>
          <w:szCs w:val="20"/>
        </w:rPr>
        <w:t>applicability</w:t>
      </w:r>
      <w:r w:rsidR="004969F4">
        <w:rPr>
          <w:rFonts w:asciiTheme="majorHAnsi" w:hAnsiTheme="majorHAnsi"/>
          <w:sz w:val="20"/>
          <w:szCs w:val="20"/>
        </w:rPr>
        <w:t xml:space="preserve"> of the </w:t>
      </w:r>
      <w:r w:rsidR="00C13038" w:rsidRPr="00A51861">
        <w:rPr>
          <w:rFonts w:asciiTheme="majorHAnsi" w:hAnsiTheme="majorHAnsi"/>
          <w:sz w:val="20"/>
          <w:szCs w:val="20"/>
        </w:rPr>
        <w:t>regime</w:t>
      </w:r>
      <w:r w:rsidR="00E92985">
        <w:rPr>
          <w:rFonts w:asciiTheme="majorHAnsi" w:hAnsiTheme="majorHAnsi"/>
          <w:sz w:val="20"/>
          <w:szCs w:val="20"/>
        </w:rPr>
        <w:t xml:space="preserve"> of </w:t>
      </w:r>
      <w:r w:rsidR="00C13038">
        <w:rPr>
          <w:rFonts w:asciiTheme="majorHAnsi" w:hAnsiTheme="majorHAnsi"/>
          <w:sz w:val="20"/>
          <w:szCs w:val="20"/>
        </w:rPr>
        <w:t>compensations was dismissed for</w:t>
      </w:r>
      <w:r w:rsidR="00574915" w:rsidRPr="00A51861">
        <w:rPr>
          <w:rFonts w:asciiTheme="majorHAnsi" w:hAnsiTheme="majorHAnsi"/>
          <w:sz w:val="20"/>
          <w:szCs w:val="20"/>
        </w:rPr>
        <w:t xml:space="preserve"> </w:t>
      </w:r>
      <w:r w:rsidR="00E92985">
        <w:rPr>
          <w:rFonts w:asciiTheme="majorHAnsi" w:hAnsiTheme="majorHAnsi"/>
          <w:sz w:val="20"/>
          <w:szCs w:val="20"/>
        </w:rPr>
        <w:t>situations</w:t>
      </w:r>
      <w:r w:rsidR="00574915" w:rsidRPr="00A51861">
        <w:rPr>
          <w:rFonts w:asciiTheme="majorHAnsi" w:hAnsiTheme="majorHAnsi"/>
          <w:sz w:val="20"/>
          <w:szCs w:val="20"/>
        </w:rPr>
        <w:t xml:space="preserve"> </w:t>
      </w:r>
      <w:r w:rsidR="00C13038" w:rsidRPr="00A51861">
        <w:rPr>
          <w:rFonts w:asciiTheme="majorHAnsi" w:hAnsiTheme="majorHAnsi"/>
          <w:sz w:val="20"/>
          <w:szCs w:val="20"/>
        </w:rPr>
        <w:t>o</w:t>
      </w:r>
      <w:r w:rsidR="00C13038">
        <w:rPr>
          <w:rFonts w:asciiTheme="majorHAnsi" w:hAnsiTheme="majorHAnsi"/>
          <w:sz w:val="20"/>
          <w:szCs w:val="20"/>
        </w:rPr>
        <w:t>c</w:t>
      </w:r>
      <w:r w:rsidR="00C13038" w:rsidRPr="00A51861">
        <w:rPr>
          <w:rFonts w:asciiTheme="majorHAnsi" w:hAnsiTheme="majorHAnsi"/>
          <w:sz w:val="20"/>
          <w:szCs w:val="20"/>
        </w:rPr>
        <w:t>curr</w:t>
      </w:r>
      <w:r w:rsidR="00C13038">
        <w:rPr>
          <w:rFonts w:asciiTheme="majorHAnsi" w:hAnsiTheme="majorHAnsi"/>
          <w:sz w:val="20"/>
          <w:szCs w:val="20"/>
        </w:rPr>
        <w:t>ed</w:t>
      </w:r>
      <w:r w:rsidR="00C13038" w:rsidRPr="00A51861">
        <w:rPr>
          <w:rFonts w:asciiTheme="majorHAnsi" w:hAnsiTheme="majorHAnsi"/>
          <w:sz w:val="20"/>
          <w:szCs w:val="20"/>
        </w:rPr>
        <w:t xml:space="preserve"> </w:t>
      </w:r>
      <w:r w:rsidR="00C13038">
        <w:rPr>
          <w:rFonts w:asciiTheme="majorHAnsi" w:hAnsiTheme="majorHAnsi"/>
          <w:sz w:val="20"/>
          <w:szCs w:val="20"/>
        </w:rPr>
        <w:t>prior to the date expressly set forth in the no</w:t>
      </w:r>
      <w:r w:rsidR="00C13038" w:rsidRPr="00A51861">
        <w:rPr>
          <w:rFonts w:asciiTheme="majorHAnsi" w:hAnsiTheme="majorHAnsi"/>
          <w:sz w:val="20"/>
          <w:szCs w:val="20"/>
        </w:rPr>
        <w:t>rm</w:t>
      </w:r>
      <w:r w:rsidR="00C13038">
        <w:rPr>
          <w:rFonts w:asciiTheme="majorHAnsi" w:hAnsiTheme="majorHAnsi"/>
          <w:sz w:val="20"/>
          <w:szCs w:val="20"/>
        </w:rPr>
        <w:t xml:space="preserve"> as in</w:t>
      </w:r>
      <w:r w:rsidR="00574915" w:rsidRPr="00A51861">
        <w:rPr>
          <w:rFonts w:asciiTheme="majorHAnsi" w:hAnsiTheme="majorHAnsi"/>
          <w:sz w:val="20"/>
          <w:szCs w:val="20"/>
        </w:rPr>
        <w:t xml:space="preserve"> </w:t>
      </w:r>
      <w:r w:rsidR="00BD093F">
        <w:rPr>
          <w:rFonts w:asciiTheme="majorHAnsi" w:hAnsiTheme="majorHAnsi"/>
          <w:sz w:val="20"/>
          <w:szCs w:val="20"/>
        </w:rPr>
        <w:t xml:space="preserve">Mr. </w:t>
      </w:r>
      <w:r w:rsidR="00574915" w:rsidRPr="00A51861">
        <w:rPr>
          <w:rFonts w:asciiTheme="majorHAnsi" w:hAnsiTheme="majorHAnsi"/>
          <w:sz w:val="20"/>
          <w:szCs w:val="20"/>
        </w:rPr>
        <w:t>Ferreira</w:t>
      </w:r>
      <w:r w:rsidR="00C13038">
        <w:rPr>
          <w:rFonts w:asciiTheme="majorHAnsi" w:hAnsiTheme="majorHAnsi"/>
          <w:sz w:val="20"/>
          <w:szCs w:val="20"/>
        </w:rPr>
        <w:t>’s case</w:t>
      </w:r>
      <w:r w:rsidR="00574915" w:rsidRPr="00A51861">
        <w:rPr>
          <w:rStyle w:val="FootnoteReference"/>
          <w:rFonts w:asciiTheme="majorHAnsi" w:hAnsiTheme="majorHAnsi"/>
          <w:sz w:val="20"/>
          <w:szCs w:val="20"/>
        </w:rPr>
        <w:footnoteReference w:id="105"/>
      </w:r>
      <w:r w:rsidR="00574915" w:rsidRPr="00A51861">
        <w:rPr>
          <w:rFonts w:asciiTheme="majorHAnsi" w:hAnsiTheme="majorHAnsi"/>
          <w:sz w:val="20"/>
          <w:szCs w:val="20"/>
        </w:rPr>
        <w:t>.</w:t>
      </w:r>
      <w:r w:rsidR="00FC257E">
        <w:rPr>
          <w:rFonts w:asciiTheme="majorHAnsi" w:hAnsiTheme="majorHAnsi"/>
          <w:sz w:val="20"/>
          <w:szCs w:val="20"/>
        </w:rPr>
        <w:t xml:space="preserve"> Likewise, </w:t>
      </w:r>
      <w:r w:rsidR="00C13038">
        <w:rPr>
          <w:rFonts w:asciiTheme="majorHAnsi" w:hAnsiTheme="majorHAnsi"/>
          <w:sz w:val="20"/>
          <w:szCs w:val="20"/>
        </w:rPr>
        <w:t>concerning the allegation of</w:t>
      </w:r>
      <w:r w:rsidR="00F34BCA" w:rsidRPr="00A51861">
        <w:rPr>
          <w:rFonts w:asciiTheme="majorHAnsi" w:hAnsiTheme="majorHAnsi"/>
          <w:sz w:val="20"/>
          <w:szCs w:val="20"/>
        </w:rPr>
        <w:t xml:space="preserve"> </w:t>
      </w:r>
      <w:r w:rsidR="005B42FA">
        <w:rPr>
          <w:rFonts w:asciiTheme="majorHAnsi" w:hAnsiTheme="majorHAnsi"/>
          <w:sz w:val="20"/>
          <w:szCs w:val="20"/>
        </w:rPr>
        <w:t>exile</w:t>
      </w:r>
      <w:r w:rsidR="00F34BCA" w:rsidRPr="00A51861">
        <w:rPr>
          <w:rFonts w:asciiTheme="majorHAnsi" w:hAnsiTheme="majorHAnsi"/>
          <w:sz w:val="20"/>
          <w:szCs w:val="20"/>
        </w:rPr>
        <w:t xml:space="preserve"> </w:t>
      </w:r>
      <w:r w:rsidR="00C13038">
        <w:rPr>
          <w:rFonts w:asciiTheme="majorHAnsi" w:hAnsiTheme="majorHAnsi"/>
          <w:sz w:val="20"/>
          <w:szCs w:val="20"/>
        </w:rPr>
        <w:t xml:space="preserve">of </w:t>
      </w:r>
      <w:r w:rsidR="00BD093F">
        <w:rPr>
          <w:rFonts w:asciiTheme="majorHAnsi" w:hAnsiTheme="majorHAnsi"/>
          <w:sz w:val="20"/>
          <w:szCs w:val="20"/>
        </w:rPr>
        <w:t xml:space="preserve">Mr. </w:t>
      </w:r>
      <w:r w:rsidR="00F34BCA" w:rsidRPr="00A51861">
        <w:rPr>
          <w:rFonts w:asciiTheme="majorHAnsi" w:hAnsiTheme="majorHAnsi"/>
          <w:sz w:val="20"/>
          <w:szCs w:val="20"/>
        </w:rPr>
        <w:t>Ferreira</w:t>
      </w:r>
      <w:r w:rsidR="00E92985">
        <w:rPr>
          <w:rFonts w:asciiTheme="majorHAnsi" w:hAnsiTheme="majorHAnsi"/>
          <w:sz w:val="20"/>
          <w:szCs w:val="20"/>
        </w:rPr>
        <w:t xml:space="preserve"> and </w:t>
      </w:r>
      <w:r w:rsidR="00C13038">
        <w:rPr>
          <w:rFonts w:asciiTheme="majorHAnsi" w:hAnsiTheme="majorHAnsi"/>
          <w:sz w:val="20"/>
          <w:szCs w:val="20"/>
        </w:rPr>
        <w:t>the</w:t>
      </w:r>
      <w:r w:rsidR="00F34BCA" w:rsidRPr="00A51861">
        <w:rPr>
          <w:rFonts w:asciiTheme="majorHAnsi" w:hAnsiTheme="majorHAnsi"/>
          <w:sz w:val="20"/>
          <w:szCs w:val="20"/>
        </w:rPr>
        <w:t xml:space="preserve"> </w:t>
      </w:r>
      <w:r w:rsidR="00C13038" w:rsidRPr="00A51861">
        <w:rPr>
          <w:rFonts w:asciiTheme="majorHAnsi" w:hAnsiTheme="majorHAnsi"/>
          <w:sz w:val="20"/>
          <w:szCs w:val="20"/>
        </w:rPr>
        <w:t>application</w:t>
      </w:r>
      <w:r w:rsidR="00E92985">
        <w:rPr>
          <w:rFonts w:asciiTheme="majorHAnsi" w:hAnsiTheme="majorHAnsi"/>
          <w:sz w:val="20"/>
          <w:szCs w:val="20"/>
        </w:rPr>
        <w:t xml:space="preserve"> of </w:t>
      </w:r>
      <w:r w:rsidR="00F34BCA" w:rsidRPr="00A51861">
        <w:rPr>
          <w:rFonts w:asciiTheme="majorHAnsi" w:hAnsiTheme="majorHAnsi"/>
          <w:sz w:val="20"/>
          <w:szCs w:val="20"/>
        </w:rPr>
        <w:t>precedents</w:t>
      </w:r>
      <w:r w:rsidR="00E92985">
        <w:rPr>
          <w:rFonts w:asciiTheme="majorHAnsi" w:hAnsiTheme="majorHAnsi"/>
          <w:sz w:val="20"/>
          <w:szCs w:val="20"/>
        </w:rPr>
        <w:t xml:space="preserve"> of </w:t>
      </w:r>
      <w:r w:rsidR="00C13038" w:rsidRPr="00A51861">
        <w:rPr>
          <w:rFonts w:asciiTheme="majorHAnsi" w:hAnsiTheme="majorHAnsi"/>
          <w:sz w:val="20"/>
          <w:szCs w:val="20"/>
        </w:rPr>
        <w:t xml:space="preserve">similar </w:t>
      </w:r>
      <w:r w:rsidR="00F34BCA" w:rsidRPr="00A51861">
        <w:rPr>
          <w:rFonts w:asciiTheme="majorHAnsi" w:hAnsiTheme="majorHAnsi"/>
          <w:sz w:val="20"/>
          <w:szCs w:val="20"/>
        </w:rPr>
        <w:t>cas</w:t>
      </w:r>
      <w:r w:rsidR="00C13038">
        <w:rPr>
          <w:rFonts w:asciiTheme="majorHAnsi" w:hAnsiTheme="majorHAnsi"/>
          <w:sz w:val="20"/>
          <w:szCs w:val="20"/>
        </w:rPr>
        <w:t>e</w:t>
      </w:r>
      <w:r w:rsidR="00F34BCA" w:rsidRPr="00A51861">
        <w:rPr>
          <w:rFonts w:asciiTheme="majorHAnsi" w:hAnsiTheme="majorHAnsi"/>
          <w:sz w:val="20"/>
          <w:szCs w:val="20"/>
        </w:rPr>
        <w:t xml:space="preserve">s </w:t>
      </w:r>
      <w:r w:rsidR="00C13038">
        <w:rPr>
          <w:rFonts w:asciiTheme="majorHAnsi" w:hAnsiTheme="majorHAnsi"/>
          <w:sz w:val="20"/>
          <w:szCs w:val="20"/>
        </w:rPr>
        <w:t>before the</w:t>
      </w:r>
      <w:r w:rsidR="00F34BCA" w:rsidRPr="00A51861">
        <w:rPr>
          <w:rFonts w:asciiTheme="majorHAnsi" w:hAnsiTheme="majorHAnsi"/>
          <w:sz w:val="20"/>
          <w:szCs w:val="20"/>
        </w:rPr>
        <w:t xml:space="preserve"> </w:t>
      </w:r>
      <w:r w:rsidR="00A63761">
        <w:rPr>
          <w:rFonts w:asciiTheme="majorHAnsi" w:hAnsiTheme="majorHAnsi"/>
          <w:sz w:val="20"/>
          <w:szCs w:val="20"/>
        </w:rPr>
        <w:t>Supreme Court</w:t>
      </w:r>
      <w:r w:rsidR="00F34BCA" w:rsidRPr="00A51861">
        <w:rPr>
          <w:rFonts w:asciiTheme="majorHAnsi" w:hAnsiTheme="majorHAnsi"/>
          <w:sz w:val="20"/>
          <w:szCs w:val="20"/>
        </w:rPr>
        <w:t xml:space="preserve">, </w:t>
      </w:r>
      <w:r w:rsidR="00C13038">
        <w:rPr>
          <w:rFonts w:asciiTheme="majorHAnsi" w:hAnsiTheme="majorHAnsi"/>
          <w:sz w:val="20"/>
          <w:szCs w:val="20"/>
        </w:rPr>
        <w:t xml:space="preserve">it </w:t>
      </w:r>
      <w:r w:rsidR="00A274B7">
        <w:rPr>
          <w:rFonts w:asciiTheme="majorHAnsi" w:hAnsiTheme="majorHAnsi"/>
          <w:sz w:val="20"/>
          <w:szCs w:val="20"/>
        </w:rPr>
        <w:t>held that</w:t>
      </w:r>
      <w:r w:rsidR="00697544" w:rsidRPr="00A51861">
        <w:rPr>
          <w:rFonts w:asciiTheme="majorHAnsi" w:hAnsiTheme="majorHAnsi"/>
          <w:sz w:val="20"/>
          <w:szCs w:val="20"/>
        </w:rPr>
        <w:t xml:space="preserve"> “</w:t>
      </w:r>
      <w:r w:rsidR="00C13038">
        <w:rPr>
          <w:rFonts w:asciiTheme="majorHAnsi" w:hAnsiTheme="majorHAnsi"/>
          <w:sz w:val="20"/>
          <w:szCs w:val="20"/>
        </w:rPr>
        <w:t>the</w:t>
      </w:r>
      <w:r w:rsidR="00574915" w:rsidRPr="00A51861">
        <w:rPr>
          <w:rFonts w:asciiTheme="majorHAnsi" w:hAnsiTheme="majorHAnsi"/>
          <w:sz w:val="20"/>
          <w:szCs w:val="20"/>
        </w:rPr>
        <w:t xml:space="preserve"> </w:t>
      </w:r>
      <w:r w:rsidR="00E92985">
        <w:rPr>
          <w:rFonts w:asciiTheme="majorHAnsi" w:hAnsiTheme="majorHAnsi"/>
          <w:sz w:val="20"/>
          <w:szCs w:val="20"/>
        </w:rPr>
        <w:t xml:space="preserve">situation of </w:t>
      </w:r>
      <w:r w:rsidR="00C13038">
        <w:rPr>
          <w:rFonts w:asciiTheme="majorHAnsi" w:hAnsiTheme="majorHAnsi"/>
          <w:sz w:val="20"/>
          <w:szCs w:val="20"/>
        </w:rPr>
        <w:t>those forced to self-exile</w:t>
      </w:r>
      <w:r w:rsidR="00574915" w:rsidRPr="00A51861">
        <w:rPr>
          <w:rFonts w:asciiTheme="majorHAnsi" w:hAnsiTheme="majorHAnsi"/>
          <w:sz w:val="20"/>
          <w:szCs w:val="20"/>
        </w:rPr>
        <w:t xml:space="preserve"> </w:t>
      </w:r>
      <w:r w:rsidR="00C13038">
        <w:rPr>
          <w:rFonts w:asciiTheme="majorHAnsi" w:hAnsiTheme="majorHAnsi"/>
          <w:sz w:val="20"/>
          <w:szCs w:val="20"/>
        </w:rPr>
        <w:t>prior to the</w:t>
      </w:r>
      <w:r w:rsidR="00574915" w:rsidRPr="00A51861">
        <w:rPr>
          <w:rFonts w:asciiTheme="majorHAnsi" w:hAnsiTheme="majorHAnsi"/>
          <w:sz w:val="20"/>
          <w:szCs w:val="20"/>
        </w:rPr>
        <w:t xml:space="preserve"> </w:t>
      </w:r>
      <w:r w:rsidR="00C13038" w:rsidRPr="00A51861">
        <w:rPr>
          <w:rFonts w:asciiTheme="majorHAnsi" w:hAnsiTheme="majorHAnsi"/>
          <w:sz w:val="20"/>
          <w:szCs w:val="20"/>
        </w:rPr>
        <w:t>illegal</w:t>
      </w:r>
      <w:r w:rsidR="00C13038" w:rsidRPr="00C13038">
        <w:rPr>
          <w:rFonts w:asciiTheme="majorHAnsi" w:hAnsiTheme="majorHAnsi"/>
          <w:sz w:val="20"/>
          <w:szCs w:val="20"/>
        </w:rPr>
        <w:t xml:space="preserve"> </w:t>
      </w:r>
      <w:r w:rsidR="006E255A">
        <w:rPr>
          <w:rFonts w:asciiTheme="majorHAnsi" w:hAnsiTheme="majorHAnsi"/>
          <w:sz w:val="20"/>
          <w:szCs w:val="20"/>
        </w:rPr>
        <w:t>detention</w:t>
      </w:r>
      <w:r w:rsidR="00574915" w:rsidRPr="00A51861">
        <w:rPr>
          <w:rFonts w:asciiTheme="majorHAnsi" w:hAnsiTheme="majorHAnsi"/>
          <w:sz w:val="20"/>
          <w:szCs w:val="20"/>
        </w:rPr>
        <w:t xml:space="preserve"> </w:t>
      </w:r>
      <w:r w:rsidR="00C13038">
        <w:rPr>
          <w:rFonts w:asciiTheme="majorHAnsi" w:hAnsiTheme="majorHAnsi"/>
          <w:sz w:val="20"/>
          <w:szCs w:val="20"/>
        </w:rPr>
        <w:t>cannot be held equivalent</w:t>
      </w:r>
      <w:r w:rsidR="00574915" w:rsidRPr="00A51861">
        <w:rPr>
          <w:rFonts w:asciiTheme="majorHAnsi" w:hAnsiTheme="majorHAnsi"/>
          <w:sz w:val="20"/>
          <w:szCs w:val="20"/>
        </w:rPr>
        <w:t>, constitu</w:t>
      </w:r>
      <w:r w:rsidR="00C13038">
        <w:rPr>
          <w:rFonts w:asciiTheme="majorHAnsi" w:hAnsiTheme="majorHAnsi"/>
          <w:sz w:val="20"/>
          <w:szCs w:val="20"/>
        </w:rPr>
        <w:t>ting</w:t>
      </w:r>
      <w:r w:rsidR="00574915" w:rsidRPr="00A51861">
        <w:rPr>
          <w:rFonts w:asciiTheme="majorHAnsi" w:hAnsiTheme="majorHAnsi"/>
          <w:sz w:val="20"/>
          <w:szCs w:val="20"/>
        </w:rPr>
        <w:t xml:space="preserve"> </w:t>
      </w:r>
      <w:r w:rsidR="005B42FA">
        <w:rPr>
          <w:rFonts w:asciiTheme="majorHAnsi" w:hAnsiTheme="majorHAnsi"/>
          <w:sz w:val="20"/>
          <w:szCs w:val="20"/>
        </w:rPr>
        <w:t>exile</w:t>
      </w:r>
      <w:r w:rsidR="00574915" w:rsidRPr="00A51861">
        <w:rPr>
          <w:rFonts w:asciiTheme="majorHAnsi" w:hAnsiTheme="majorHAnsi"/>
          <w:sz w:val="20"/>
          <w:szCs w:val="20"/>
        </w:rPr>
        <w:t xml:space="preserve"> </w:t>
      </w:r>
      <w:r w:rsidR="00C13038">
        <w:rPr>
          <w:rFonts w:asciiTheme="majorHAnsi" w:hAnsiTheme="majorHAnsi"/>
          <w:sz w:val="20"/>
          <w:szCs w:val="20"/>
        </w:rPr>
        <w:t>a</w:t>
      </w:r>
      <w:r w:rsidR="00574915" w:rsidRPr="00A51861">
        <w:rPr>
          <w:rFonts w:asciiTheme="majorHAnsi" w:hAnsiTheme="majorHAnsi"/>
          <w:sz w:val="20"/>
          <w:szCs w:val="20"/>
        </w:rPr>
        <w:t xml:space="preserve"> continui</w:t>
      </w:r>
      <w:r w:rsidR="00C13038">
        <w:rPr>
          <w:rFonts w:asciiTheme="majorHAnsi" w:hAnsiTheme="majorHAnsi"/>
          <w:sz w:val="20"/>
          <w:szCs w:val="20"/>
        </w:rPr>
        <w:t>ty</w:t>
      </w:r>
      <w:r w:rsidR="00E92985">
        <w:rPr>
          <w:rFonts w:asciiTheme="majorHAnsi" w:hAnsiTheme="majorHAnsi"/>
          <w:sz w:val="20"/>
          <w:szCs w:val="20"/>
        </w:rPr>
        <w:t xml:space="preserve"> of </w:t>
      </w:r>
      <w:r w:rsidR="00C13038">
        <w:rPr>
          <w:rFonts w:asciiTheme="majorHAnsi" w:hAnsiTheme="majorHAnsi"/>
          <w:sz w:val="20"/>
          <w:szCs w:val="20"/>
        </w:rPr>
        <w:t>said</w:t>
      </w:r>
      <w:r w:rsidR="00574915" w:rsidRPr="00A51861">
        <w:rPr>
          <w:rFonts w:asciiTheme="majorHAnsi" w:hAnsiTheme="majorHAnsi"/>
          <w:sz w:val="20"/>
          <w:szCs w:val="20"/>
        </w:rPr>
        <w:t xml:space="preserve"> restric</w:t>
      </w:r>
      <w:r w:rsidR="00C13038">
        <w:rPr>
          <w:rFonts w:asciiTheme="majorHAnsi" w:hAnsiTheme="majorHAnsi"/>
          <w:sz w:val="20"/>
          <w:szCs w:val="20"/>
        </w:rPr>
        <w:t>tion</w:t>
      </w:r>
      <w:r w:rsidR="00574915" w:rsidRPr="00A51861">
        <w:rPr>
          <w:rFonts w:asciiTheme="majorHAnsi" w:hAnsiTheme="majorHAnsi"/>
          <w:sz w:val="20"/>
          <w:szCs w:val="20"/>
        </w:rPr>
        <w:t xml:space="preserve"> </w:t>
      </w:r>
      <w:r w:rsidR="00C13038">
        <w:rPr>
          <w:rFonts w:asciiTheme="majorHAnsi" w:hAnsiTheme="majorHAnsi"/>
          <w:sz w:val="20"/>
          <w:szCs w:val="20"/>
        </w:rPr>
        <w:t>upon liberty</w:t>
      </w:r>
      <w:r w:rsidR="00574915" w:rsidRPr="00A51861">
        <w:rPr>
          <w:rFonts w:asciiTheme="majorHAnsi" w:hAnsiTheme="majorHAnsi"/>
          <w:sz w:val="20"/>
          <w:szCs w:val="20"/>
        </w:rPr>
        <w:t xml:space="preserve">, </w:t>
      </w:r>
      <w:r w:rsidR="00C13038">
        <w:rPr>
          <w:rFonts w:asciiTheme="majorHAnsi" w:hAnsiTheme="majorHAnsi"/>
          <w:sz w:val="20"/>
          <w:szCs w:val="20"/>
        </w:rPr>
        <w:t>with that of those who had to leave the country</w:t>
      </w:r>
      <w:r w:rsidR="00574915" w:rsidRPr="00A51861">
        <w:rPr>
          <w:rFonts w:asciiTheme="majorHAnsi" w:hAnsiTheme="majorHAnsi"/>
          <w:sz w:val="20"/>
          <w:szCs w:val="20"/>
        </w:rPr>
        <w:t xml:space="preserve"> </w:t>
      </w:r>
      <w:r w:rsidR="00C13038">
        <w:rPr>
          <w:rFonts w:asciiTheme="majorHAnsi" w:hAnsiTheme="majorHAnsi"/>
          <w:sz w:val="20"/>
          <w:szCs w:val="20"/>
        </w:rPr>
        <w:t>for circumstances other than those</w:t>
      </w:r>
      <w:r w:rsidR="00574915" w:rsidRPr="00A51861">
        <w:rPr>
          <w:rFonts w:asciiTheme="majorHAnsi" w:hAnsiTheme="majorHAnsi"/>
          <w:sz w:val="20"/>
          <w:szCs w:val="20"/>
        </w:rPr>
        <w:t xml:space="preserve"> contempla</w:t>
      </w:r>
      <w:r w:rsidR="00C13038">
        <w:rPr>
          <w:rFonts w:asciiTheme="majorHAnsi" w:hAnsiTheme="majorHAnsi"/>
          <w:sz w:val="20"/>
          <w:szCs w:val="20"/>
        </w:rPr>
        <w:t>ted</w:t>
      </w:r>
      <w:r w:rsidR="00574915" w:rsidRPr="00A51861">
        <w:rPr>
          <w:rFonts w:asciiTheme="majorHAnsi" w:hAnsiTheme="majorHAnsi"/>
          <w:sz w:val="20"/>
          <w:szCs w:val="20"/>
        </w:rPr>
        <w:t xml:space="preserve"> </w:t>
      </w:r>
      <w:r w:rsidR="00C13038">
        <w:rPr>
          <w:rFonts w:asciiTheme="majorHAnsi" w:hAnsiTheme="majorHAnsi"/>
          <w:sz w:val="20"/>
          <w:szCs w:val="20"/>
        </w:rPr>
        <w:t xml:space="preserve">in the regime of laws </w:t>
      </w:r>
      <w:r w:rsidR="00574915" w:rsidRPr="00A51861">
        <w:rPr>
          <w:rFonts w:asciiTheme="majorHAnsi" w:hAnsiTheme="majorHAnsi"/>
          <w:sz w:val="20"/>
          <w:szCs w:val="20"/>
        </w:rPr>
        <w:t>24.043</w:t>
      </w:r>
      <w:r w:rsidR="00E92985">
        <w:rPr>
          <w:rFonts w:asciiTheme="majorHAnsi" w:hAnsiTheme="majorHAnsi"/>
          <w:sz w:val="20"/>
          <w:szCs w:val="20"/>
        </w:rPr>
        <w:t xml:space="preserve"> and </w:t>
      </w:r>
      <w:r w:rsidR="00574915" w:rsidRPr="00A51861">
        <w:rPr>
          <w:rFonts w:asciiTheme="majorHAnsi" w:hAnsiTheme="majorHAnsi"/>
          <w:sz w:val="20"/>
          <w:szCs w:val="20"/>
        </w:rPr>
        <w:t>24.906”</w:t>
      </w:r>
      <w:r w:rsidR="00574915" w:rsidRPr="00A51861">
        <w:rPr>
          <w:rStyle w:val="FootnoteReference"/>
          <w:rFonts w:asciiTheme="majorHAnsi" w:hAnsiTheme="majorHAnsi"/>
          <w:sz w:val="20"/>
          <w:szCs w:val="20"/>
        </w:rPr>
        <w:footnoteReference w:id="106"/>
      </w:r>
      <w:r w:rsidR="00574915" w:rsidRPr="00A51861">
        <w:rPr>
          <w:rFonts w:asciiTheme="majorHAnsi" w:hAnsiTheme="majorHAnsi"/>
          <w:sz w:val="20"/>
          <w:szCs w:val="20"/>
        </w:rPr>
        <w:t>. Final</w:t>
      </w:r>
      <w:r w:rsidR="00F92BA8">
        <w:rPr>
          <w:rFonts w:asciiTheme="majorHAnsi" w:hAnsiTheme="majorHAnsi"/>
          <w:sz w:val="20"/>
          <w:szCs w:val="20"/>
        </w:rPr>
        <w:t>ly</w:t>
      </w:r>
      <w:r w:rsidR="00574915" w:rsidRPr="00A51861">
        <w:rPr>
          <w:rFonts w:asciiTheme="majorHAnsi" w:hAnsiTheme="majorHAnsi"/>
          <w:sz w:val="20"/>
          <w:szCs w:val="20"/>
        </w:rPr>
        <w:t xml:space="preserve">, </w:t>
      </w:r>
      <w:r w:rsidR="00C13038">
        <w:rPr>
          <w:rFonts w:asciiTheme="majorHAnsi" w:hAnsiTheme="majorHAnsi"/>
          <w:sz w:val="20"/>
          <w:szCs w:val="20"/>
        </w:rPr>
        <w:t>in regard to the claim in</w:t>
      </w:r>
      <w:r w:rsidR="00574915" w:rsidRPr="00A51861">
        <w:rPr>
          <w:rFonts w:asciiTheme="majorHAnsi" w:hAnsiTheme="majorHAnsi"/>
          <w:sz w:val="20"/>
          <w:szCs w:val="20"/>
        </w:rPr>
        <w:t xml:space="preserve"> subsid</w:t>
      </w:r>
      <w:r w:rsidR="00C13038">
        <w:rPr>
          <w:rFonts w:asciiTheme="majorHAnsi" w:hAnsiTheme="majorHAnsi"/>
          <w:sz w:val="20"/>
          <w:szCs w:val="20"/>
        </w:rPr>
        <w:t>y</w:t>
      </w:r>
      <w:r w:rsidR="00574915" w:rsidRPr="00A51861">
        <w:rPr>
          <w:rFonts w:asciiTheme="majorHAnsi" w:hAnsiTheme="majorHAnsi"/>
          <w:sz w:val="20"/>
          <w:szCs w:val="20"/>
        </w:rPr>
        <w:t xml:space="preserve"> inten</w:t>
      </w:r>
      <w:r w:rsidR="00C13038">
        <w:rPr>
          <w:rFonts w:asciiTheme="majorHAnsi" w:hAnsiTheme="majorHAnsi"/>
          <w:sz w:val="20"/>
          <w:szCs w:val="20"/>
        </w:rPr>
        <w:t>ded by</w:t>
      </w:r>
      <w:r w:rsidR="00574915" w:rsidRPr="00A51861">
        <w:rPr>
          <w:rFonts w:asciiTheme="majorHAnsi" w:hAnsiTheme="majorHAnsi"/>
          <w:sz w:val="20"/>
          <w:szCs w:val="20"/>
        </w:rPr>
        <w:t xml:space="preserve"> </w:t>
      </w:r>
      <w:r w:rsidR="00A51861" w:rsidRPr="00A51861">
        <w:rPr>
          <w:rFonts w:asciiTheme="majorHAnsi" w:hAnsiTheme="majorHAnsi"/>
          <w:sz w:val="20"/>
          <w:szCs w:val="20"/>
        </w:rPr>
        <w:t xml:space="preserve">Mr. </w:t>
      </w:r>
      <w:r w:rsidR="00574915" w:rsidRPr="00A51861">
        <w:rPr>
          <w:rFonts w:asciiTheme="majorHAnsi" w:hAnsiTheme="majorHAnsi"/>
          <w:sz w:val="20"/>
          <w:szCs w:val="20"/>
        </w:rPr>
        <w:t xml:space="preserve">Ferreira, </w:t>
      </w:r>
      <w:r w:rsidR="00C13038">
        <w:rPr>
          <w:rFonts w:asciiTheme="majorHAnsi" w:hAnsiTheme="majorHAnsi"/>
          <w:sz w:val="20"/>
          <w:szCs w:val="20"/>
        </w:rPr>
        <w:t>the Chamber decided it exceeded the scope of its</w:t>
      </w:r>
      <w:r w:rsidR="00574915" w:rsidRPr="00A51861">
        <w:rPr>
          <w:rFonts w:asciiTheme="majorHAnsi" w:hAnsiTheme="majorHAnsi"/>
          <w:sz w:val="20"/>
          <w:szCs w:val="20"/>
        </w:rPr>
        <w:t xml:space="preserve"> competenc</w:t>
      </w:r>
      <w:r w:rsidR="00C13038">
        <w:rPr>
          <w:rFonts w:asciiTheme="majorHAnsi" w:hAnsiTheme="majorHAnsi"/>
          <w:sz w:val="20"/>
          <w:szCs w:val="20"/>
        </w:rPr>
        <w:t>e</w:t>
      </w:r>
      <w:r w:rsidR="00F34BCA" w:rsidRPr="00A51861">
        <w:rPr>
          <w:rFonts w:asciiTheme="majorHAnsi" w:hAnsiTheme="majorHAnsi"/>
          <w:sz w:val="20"/>
          <w:szCs w:val="20"/>
        </w:rPr>
        <w:t xml:space="preserve">, </w:t>
      </w:r>
      <w:r w:rsidR="00076366">
        <w:rPr>
          <w:rFonts w:asciiTheme="majorHAnsi" w:hAnsiTheme="majorHAnsi"/>
          <w:sz w:val="20"/>
          <w:szCs w:val="20"/>
        </w:rPr>
        <w:t>for which reason the claimant had to resort to</w:t>
      </w:r>
      <w:r w:rsidR="00F34BCA" w:rsidRPr="00A51861">
        <w:rPr>
          <w:rFonts w:asciiTheme="majorHAnsi" w:hAnsiTheme="majorHAnsi"/>
          <w:sz w:val="20"/>
          <w:szCs w:val="20"/>
        </w:rPr>
        <w:t xml:space="preserve"> </w:t>
      </w:r>
      <w:r w:rsidR="00076366">
        <w:rPr>
          <w:rFonts w:asciiTheme="majorHAnsi" w:hAnsiTheme="majorHAnsi"/>
          <w:sz w:val="20"/>
          <w:szCs w:val="20"/>
        </w:rPr>
        <w:t xml:space="preserve">first </w:t>
      </w:r>
      <w:r w:rsidR="00F34BCA" w:rsidRPr="00A51861">
        <w:rPr>
          <w:rFonts w:asciiTheme="majorHAnsi" w:hAnsiTheme="majorHAnsi"/>
          <w:sz w:val="20"/>
          <w:szCs w:val="20"/>
        </w:rPr>
        <w:t>instanc</w:t>
      </w:r>
      <w:r w:rsidR="00076366">
        <w:rPr>
          <w:rFonts w:asciiTheme="majorHAnsi" w:hAnsiTheme="majorHAnsi"/>
          <w:sz w:val="20"/>
          <w:szCs w:val="20"/>
        </w:rPr>
        <w:t>e</w:t>
      </w:r>
      <w:r w:rsidR="00F34BCA" w:rsidRPr="00A51861">
        <w:rPr>
          <w:rFonts w:asciiTheme="majorHAnsi" w:hAnsiTheme="majorHAnsi"/>
          <w:sz w:val="20"/>
          <w:szCs w:val="20"/>
        </w:rPr>
        <w:t xml:space="preserve"> </w:t>
      </w:r>
      <w:r w:rsidR="00076366">
        <w:rPr>
          <w:rFonts w:asciiTheme="majorHAnsi" w:hAnsiTheme="majorHAnsi"/>
          <w:sz w:val="20"/>
          <w:szCs w:val="20"/>
        </w:rPr>
        <w:t>by means of an ordinary remedy</w:t>
      </w:r>
      <w:r w:rsidR="00574915" w:rsidRPr="00A51861">
        <w:rPr>
          <w:rStyle w:val="FootnoteReference"/>
          <w:rFonts w:asciiTheme="majorHAnsi" w:hAnsiTheme="majorHAnsi"/>
          <w:sz w:val="20"/>
          <w:szCs w:val="20"/>
        </w:rPr>
        <w:footnoteReference w:id="107"/>
      </w:r>
      <w:r w:rsidR="00574915" w:rsidRPr="00A51861">
        <w:rPr>
          <w:rFonts w:asciiTheme="majorHAnsi" w:hAnsiTheme="majorHAnsi"/>
          <w:sz w:val="20"/>
          <w:szCs w:val="20"/>
        </w:rPr>
        <w:t xml:space="preserve">. </w:t>
      </w:r>
    </w:p>
    <w:p w14:paraId="63B4BBA8" w14:textId="77777777" w:rsidR="004A476E" w:rsidRPr="00A51861" w:rsidRDefault="004A476E" w:rsidP="008E4D36">
      <w:pPr>
        <w:pStyle w:val="ListParagraph"/>
        <w:rPr>
          <w:rFonts w:asciiTheme="majorHAnsi" w:hAnsiTheme="majorHAnsi"/>
          <w:sz w:val="20"/>
          <w:szCs w:val="20"/>
        </w:rPr>
      </w:pPr>
    </w:p>
    <w:p w14:paraId="2790078E" w14:textId="6F6F7BC3" w:rsidR="004A476E" w:rsidRPr="00A51861" w:rsidRDefault="00076366"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The counselor</w:t>
      </w:r>
      <w:r w:rsidR="00E92985">
        <w:rPr>
          <w:rFonts w:asciiTheme="majorHAnsi" w:hAnsiTheme="majorHAnsi"/>
          <w:sz w:val="20"/>
          <w:szCs w:val="20"/>
        </w:rPr>
        <w:t xml:space="preserve"> of </w:t>
      </w:r>
      <w:r w:rsidR="00A51861" w:rsidRPr="00A51861">
        <w:rPr>
          <w:rFonts w:asciiTheme="majorHAnsi" w:hAnsiTheme="majorHAnsi"/>
          <w:sz w:val="20"/>
          <w:szCs w:val="20"/>
        </w:rPr>
        <w:t>the alleged victim</w:t>
      </w:r>
      <w:r w:rsidR="00574915" w:rsidRPr="00A51861">
        <w:rPr>
          <w:rFonts w:asciiTheme="majorHAnsi" w:hAnsiTheme="majorHAnsi"/>
          <w:sz w:val="20"/>
          <w:szCs w:val="20"/>
        </w:rPr>
        <w:t xml:space="preserve"> </w:t>
      </w:r>
      <w:r>
        <w:rPr>
          <w:rFonts w:asciiTheme="majorHAnsi" w:hAnsiTheme="majorHAnsi"/>
          <w:sz w:val="20"/>
          <w:szCs w:val="20"/>
        </w:rPr>
        <w:t>filed an</w:t>
      </w:r>
      <w:r w:rsidR="00574915" w:rsidRPr="00A51861">
        <w:rPr>
          <w:rFonts w:asciiTheme="majorHAnsi" w:hAnsiTheme="majorHAnsi"/>
          <w:sz w:val="20"/>
          <w:szCs w:val="20"/>
        </w:rPr>
        <w:t xml:space="preserve"> </w:t>
      </w:r>
      <w:r w:rsidR="006925E3">
        <w:rPr>
          <w:rFonts w:asciiTheme="majorHAnsi" w:hAnsiTheme="majorHAnsi"/>
          <w:sz w:val="20"/>
          <w:szCs w:val="20"/>
        </w:rPr>
        <w:t xml:space="preserve">extraordinary federal remedy </w:t>
      </w:r>
      <w:r>
        <w:rPr>
          <w:rFonts w:asciiTheme="majorHAnsi" w:hAnsiTheme="majorHAnsi"/>
          <w:sz w:val="20"/>
          <w:szCs w:val="20"/>
        </w:rPr>
        <w:t xml:space="preserve">before the Supreme </w:t>
      </w:r>
      <w:r w:rsidR="005D0AC1" w:rsidRPr="005D0AC1">
        <w:rPr>
          <w:rFonts w:asciiTheme="majorHAnsi" w:hAnsiTheme="majorHAnsi"/>
          <w:sz w:val="20"/>
          <w:szCs w:val="20"/>
        </w:rPr>
        <w:t>Court of Justice of the Nation</w:t>
      </w:r>
      <w:r w:rsidR="00CB0928">
        <w:rPr>
          <w:rFonts w:asciiTheme="majorHAnsi" w:hAnsiTheme="majorHAnsi"/>
          <w:sz w:val="20"/>
          <w:szCs w:val="20"/>
        </w:rPr>
        <w:t xml:space="preserve"> against </w:t>
      </w:r>
      <w:r w:rsidR="00376318">
        <w:rPr>
          <w:rFonts w:asciiTheme="majorHAnsi" w:hAnsiTheme="majorHAnsi"/>
          <w:sz w:val="20"/>
          <w:szCs w:val="20"/>
        </w:rPr>
        <w:t xml:space="preserve">the decision </w:t>
      </w:r>
      <w:r w:rsidR="00E92985">
        <w:rPr>
          <w:rFonts w:asciiTheme="majorHAnsi" w:hAnsiTheme="majorHAnsi"/>
          <w:sz w:val="20"/>
          <w:szCs w:val="20"/>
        </w:rPr>
        <w:t xml:space="preserve">of the </w:t>
      </w:r>
      <w:r>
        <w:rPr>
          <w:rFonts w:asciiTheme="majorHAnsi" w:hAnsiTheme="majorHAnsi"/>
          <w:sz w:val="20"/>
          <w:szCs w:val="20"/>
        </w:rPr>
        <w:t>Chamber</w:t>
      </w:r>
      <w:r w:rsidR="00574915" w:rsidRPr="00A51861">
        <w:rPr>
          <w:rStyle w:val="FootnoteReference"/>
          <w:rFonts w:asciiTheme="majorHAnsi" w:hAnsiTheme="majorHAnsi"/>
          <w:sz w:val="20"/>
          <w:szCs w:val="20"/>
        </w:rPr>
        <w:footnoteReference w:id="108"/>
      </w:r>
      <w:r w:rsidR="00574915" w:rsidRPr="00A51861">
        <w:rPr>
          <w:rFonts w:asciiTheme="majorHAnsi" w:hAnsiTheme="majorHAnsi"/>
          <w:sz w:val="20"/>
          <w:szCs w:val="20"/>
        </w:rPr>
        <w:t xml:space="preserve">. </w:t>
      </w:r>
      <w:r>
        <w:rPr>
          <w:rFonts w:asciiTheme="majorHAnsi" w:hAnsiTheme="majorHAnsi"/>
          <w:sz w:val="20"/>
          <w:szCs w:val="20"/>
        </w:rPr>
        <w:t>In general terms, the remedy re</w:t>
      </w:r>
      <w:r w:rsidR="00574915" w:rsidRPr="00A51861">
        <w:rPr>
          <w:rFonts w:asciiTheme="majorHAnsi" w:hAnsiTheme="majorHAnsi"/>
          <w:sz w:val="20"/>
          <w:szCs w:val="20"/>
        </w:rPr>
        <w:t>produce</w:t>
      </w:r>
      <w:r>
        <w:rPr>
          <w:rFonts w:asciiTheme="majorHAnsi" w:hAnsiTheme="majorHAnsi"/>
          <w:sz w:val="20"/>
          <w:szCs w:val="20"/>
        </w:rPr>
        <w:t>s</w:t>
      </w:r>
      <w:r w:rsidR="00574915" w:rsidRPr="00A51861">
        <w:rPr>
          <w:rFonts w:asciiTheme="majorHAnsi" w:hAnsiTheme="majorHAnsi"/>
          <w:sz w:val="20"/>
          <w:szCs w:val="20"/>
        </w:rPr>
        <w:t xml:space="preserve"> </w:t>
      </w:r>
      <w:r>
        <w:rPr>
          <w:rFonts w:asciiTheme="majorHAnsi" w:hAnsiTheme="majorHAnsi"/>
          <w:sz w:val="20"/>
          <w:szCs w:val="20"/>
        </w:rPr>
        <w:t xml:space="preserve">the held by the same counselor in the filing of the </w:t>
      </w:r>
      <w:r w:rsidR="006925E3">
        <w:rPr>
          <w:rFonts w:asciiTheme="majorHAnsi" w:hAnsiTheme="majorHAnsi"/>
          <w:sz w:val="20"/>
          <w:szCs w:val="20"/>
        </w:rPr>
        <w:t xml:space="preserve">extraordinary federal remedy </w:t>
      </w:r>
      <w:r>
        <w:rPr>
          <w:rFonts w:asciiTheme="majorHAnsi" w:hAnsiTheme="majorHAnsi"/>
          <w:sz w:val="20"/>
          <w:szCs w:val="20"/>
        </w:rPr>
        <w:t>in the case of</w:t>
      </w:r>
      <w:r w:rsidR="00574915" w:rsidRPr="00A51861">
        <w:rPr>
          <w:rFonts w:asciiTheme="majorHAnsi" w:hAnsiTheme="majorHAnsi"/>
          <w:sz w:val="20"/>
          <w:szCs w:val="20"/>
        </w:rPr>
        <w:t xml:space="preserve"> </w:t>
      </w:r>
      <w:r w:rsidR="00BD093F">
        <w:rPr>
          <w:rFonts w:asciiTheme="majorHAnsi" w:hAnsiTheme="majorHAnsi"/>
          <w:sz w:val="20"/>
          <w:szCs w:val="20"/>
        </w:rPr>
        <w:t xml:space="preserve">Mr. Rito de los </w:t>
      </w:r>
      <w:r w:rsidR="00574915" w:rsidRPr="00A51861">
        <w:rPr>
          <w:rFonts w:asciiTheme="majorHAnsi" w:hAnsiTheme="majorHAnsi"/>
          <w:sz w:val="20"/>
          <w:szCs w:val="20"/>
        </w:rPr>
        <w:t xml:space="preserve">Santos. </w:t>
      </w:r>
    </w:p>
    <w:p w14:paraId="5B7E9F29" w14:textId="77777777" w:rsidR="004A476E" w:rsidRPr="00A51861" w:rsidRDefault="004A476E" w:rsidP="008E4D36">
      <w:pPr>
        <w:pStyle w:val="ListParagraph"/>
        <w:rPr>
          <w:rFonts w:asciiTheme="majorHAnsi" w:hAnsiTheme="majorHAnsi"/>
          <w:sz w:val="20"/>
          <w:szCs w:val="20"/>
        </w:rPr>
      </w:pPr>
    </w:p>
    <w:p w14:paraId="23ACDA2A" w14:textId="3AE0318F" w:rsidR="00574440" w:rsidRPr="00A51861" w:rsidRDefault="00076366"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 xml:space="preserve">On October 31, </w:t>
      </w:r>
      <w:r w:rsidR="00574915" w:rsidRPr="00A51861">
        <w:rPr>
          <w:rFonts w:asciiTheme="majorHAnsi" w:hAnsiTheme="majorHAnsi"/>
          <w:sz w:val="20"/>
          <w:szCs w:val="20"/>
        </w:rPr>
        <w:t xml:space="preserve">2006 </w:t>
      </w:r>
      <w:r>
        <w:rPr>
          <w:rFonts w:asciiTheme="majorHAnsi" w:hAnsiTheme="majorHAnsi"/>
          <w:sz w:val="20"/>
          <w:szCs w:val="20"/>
        </w:rPr>
        <w:t xml:space="preserve">the Supreme </w:t>
      </w:r>
      <w:r w:rsidR="00A63761">
        <w:rPr>
          <w:rFonts w:asciiTheme="majorHAnsi" w:hAnsiTheme="majorHAnsi"/>
          <w:sz w:val="20"/>
          <w:szCs w:val="20"/>
        </w:rPr>
        <w:t>Court</w:t>
      </w:r>
      <w:r w:rsidR="00574915" w:rsidRPr="00A51861">
        <w:rPr>
          <w:rFonts w:asciiTheme="majorHAnsi" w:hAnsiTheme="majorHAnsi"/>
          <w:sz w:val="20"/>
          <w:szCs w:val="20"/>
        </w:rPr>
        <w:t xml:space="preserve"> </w:t>
      </w:r>
      <w:r>
        <w:rPr>
          <w:rFonts w:asciiTheme="majorHAnsi" w:hAnsiTheme="majorHAnsi"/>
          <w:sz w:val="20"/>
          <w:szCs w:val="20"/>
        </w:rPr>
        <w:t>confirmed the appealed judgment</w:t>
      </w:r>
      <w:r w:rsidR="00574915" w:rsidRPr="00A51861">
        <w:rPr>
          <w:rFonts w:asciiTheme="majorHAnsi" w:hAnsiTheme="majorHAnsi"/>
          <w:sz w:val="20"/>
          <w:szCs w:val="20"/>
        </w:rPr>
        <w:t xml:space="preserve">, </w:t>
      </w:r>
      <w:r>
        <w:rPr>
          <w:rFonts w:asciiTheme="majorHAnsi" w:hAnsiTheme="majorHAnsi"/>
          <w:sz w:val="20"/>
          <w:szCs w:val="20"/>
        </w:rPr>
        <w:t xml:space="preserve">taking ownership of and </w:t>
      </w:r>
      <w:r w:rsidRPr="00A51861">
        <w:rPr>
          <w:rFonts w:asciiTheme="majorHAnsi" w:hAnsiTheme="majorHAnsi"/>
          <w:sz w:val="20"/>
          <w:szCs w:val="20"/>
        </w:rPr>
        <w:t>reproduc</w:t>
      </w:r>
      <w:r>
        <w:rPr>
          <w:rFonts w:asciiTheme="majorHAnsi" w:hAnsiTheme="majorHAnsi"/>
          <w:sz w:val="20"/>
          <w:szCs w:val="20"/>
        </w:rPr>
        <w:t>ing a judgment for the</w:t>
      </w:r>
      <w:r w:rsidRPr="00A51861">
        <w:rPr>
          <w:rFonts w:asciiTheme="majorHAnsi" w:hAnsiTheme="majorHAnsi"/>
          <w:sz w:val="20"/>
          <w:szCs w:val="20"/>
        </w:rPr>
        <w:t xml:space="preserve"> </w:t>
      </w:r>
      <w:r>
        <w:rPr>
          <w:rFonts w:asciiTheme="majorHAnsi" w:hAnsiTheme="majorHAnsi"/>
          <w:sz w:val="20"/>
          <w:szCs w:val="20"/>
        </w:rPr>
        <w:t xml:space="preserve">Attorney </w:t>
      </w:r>
      <w:r w:rsidR="00817647">
        <w:rPr>
          <w:rFonts w:asciiTheme="majorHAnsi" w:hAnsiTheme="majorHAnsi"/>
          <w:sz w:val="20"/>
          <w:szCs w:val="20"/>
        </w:rPr>
        <w:t>General</w:t>
      </w:r>
      <w:r w:rsidR="00574915" w:rsidRPr="00A51861">
        <w:rPr>
          <w:rStyle w:val="FootnoteReference"/>
          <w:rFonts w:asciiTheme="majorHAnsi" w:hAnsiTheme="majorHAnsi"/>
          <w:sz w:val="20"/>
          <w:szCs w:val="20"/>
        </w:rPr>
        <w:footnoteReference w:id="109"/>
      </w:r>
      <w:r w:rsidR="00574915" w:rsidRPr="00A51861">
        <w:rPr>
          <w:rFonts w:asciiTheme="majorHAnsi" w:hAnsiTheme="majorHAnsi"/>
          <w:sz w:val="20"/>
          <w:szCs w:val="20"/>
        </w:rPr>
        <w:t xml:space="preserve">. </w:t>
      </w:r>
      <w:r>
        <w:rPr>
          <w:rFonts w:asciiTheme="majorHAnsi" w:hAnsiTheme="majorHAnsi"/>
          <w:sz w:val="20"/>
          <w:szCs w:val="20"/>
        </w:rPr>
        <w:t>On his resolution</w:t>
      </w:r>
      <w:r w:rsidR="00554D48" w:rsidRPr="00A51861">
        <w:rPr>
          <w:rFonts w:asciiTheme="majorHAnsi" w:hAnsiTheme="majorHAnsi"/>
          <w:sz w:val="20"/>
          <w:szCs w:val="20"/>
        </w:rPr>
        <w:t xml:space="preserve">, </w:t>
      </w:r>
      <w:r>
        <w:rPr>
          <w:rFonts w:asciiTheme="majorHAnsi" w:hAnsiTheme="majorHAnsi"/>
          <w:sz w:val="20"/>
          <w:szCs w:val="20"/>
        </w:rPr>
        <w:t>the Prosecutor</w:t>
      </w:r>
      <w:r w:rsidR="00554D48" w:rsidRPr="00A51861">
        <w:rPr>
          <w:rFonts w:asciiTheme="majorHAnsi" w:hAnsiTheme="majorHAnsi"/>
          <w:sz w:val="20"/>
          <w:szCs w:val="20"/>
        </w:rPr>
        <w:t xml:space="preserve"> argu</w:t>
      </w:r>
      <w:r>
        <w:rPr>
          <w:rFonts w:asciiTheme="majorHAnsi" w:hAnsiTheme="majorHAnsi"/>
          <w:sz w:val="20"/>
          <w:szCs w:val="20"/>
        </w:rPr>
        <w:t>ed</w:t>
      </w:r>
      <w:r w:rsidR="00E92985">
        <w:rPr>
          <w:rFonts w:asciiTheme="majorHAnsi" w:hAnsiTheme="majorHAnsi"/>
          <w:sz w:val="20"/>
          <w:szCs w:val="20"/>
        </w:rPr>
        <w:t xml:space="preserve"> that the </w:t>
      </w:r>
      <w:r w:rsidR="006E255A">
        <w:rPr>
          <w:rFonts w:asciiTheme="majorHAnsi" w:hAnsiTheme="majorHAnsi"/>
          <w:sz w:val="20"/>
          <w:szCs w:val="20"/>
        </w:rPr>
        <w:t>detention</w:t>
      </w:r>
      <w:r w:rsidR="00E92985">
        <w:rPr>
          <w:rFonts w:asciiTheme="majorHAnsi" w:hAnsiTheme="majorHAnsi"/>
          <w:sz w:val="20"/>
          <w:szCs w:val="20"/>
        </w:rPr>
        <w:t xml:space="preserve"> of </w:t>
      </w:r>
      <w:r w:rsidR="00554D48" w:rsidRPr="00A51861">
        <w:rPr>
          <w:rFonts w:asciiTheme="majorHAnsi" w:hAnsiTheme="majorHAnsi"/>
          <w:sz w:val="20"/>
          <w:szCs w:val="20"/>
        </w:rPr>
        <w:t>Ferrei</w:t>
      </w:r>
      <w:r w:rsidR="00465E78" w:rsidRPr="00A51861">
        <w:rPr>
          <w:rFonts w:asciiTheme="majorHAnsi" w:hAnsiTheme="majorHAnsi"/>
          <w:sz w:val="20"/>
          <w:szCs w:val="20"/>
        </w:rPr>
        <w:t xml:space="preserve">ra </w:t>
      </w:r>
      <w:r>
        <w:rPr>
          <w:rFonts w:asciiTheme="majorHAnsi" w:hAnsiTheme="majorHAnsi"/>
          <w:sz w:val="20"/>
          <w:szCs w:val="20"/>
        </w:rPr>
        <w:t>took place out of the timeframe set forth for the application</w:t>
      </w:r>
      <w:r w:rsidR="00E92985">
        <w:rPr>
          <w:rFonts w:asciiTheme="majorHAnsi" w:hAnsiTheme="majorHAnsi"/>
          <w:sz w:val="20"/>
          <w:szCs w:val="20"/>
        </w:rPr>
        <w:t xml:space="preserve"> of </w:t>
      </w:r>
      <w:r w:rsidR="002835FC" w:rsidRPr="00A51861">
        <w:rPr>
          <w:rFonts w:asciiTheme="majorHAnsi" w:hAnsiTheme="majorHAnsi"/>
          <w:sz w:val="20"/>
          <w:szCs w:val="20"/>
        </w:rPr>
        <w:t xml:space="preserve">Law </w:t>
      </w:r>
      <w:r w:rsidR="00554D48" w:rsidRPr="00A51861">
        <w:rPr>
          <w:rFonts w:asciiTheme="majorHAnsi" w:hAnsiTheme="majorHAnsi"/>
          <w:sz w:val="20"/>
          <w:szCs w:val="20"/>
        </w:rPr>
        <w:t>24.043</w:t>
      </w:r>
      <w:r w:rsidR="00574915" w:rsidRPr="00A51861">
        <w:rPr>
          <w:rStyle w:val="FootnoteReference"/>
          <w:rFonts w:asciiTheme="majorHAnsi" w:hAnsiTheme="majorHAnsi"/>
          <w:sz w:val="20"/>
          <w:szCs w:val="20"/>
        </w:rPr>
        <w:footnoteReference w:id="110"/>
      </w:r>
      <w:r w:rsidR="00574915" w:rsidRPr="00A51861">
        <w:rPr>
          <w:rFonts w:asciiTheme="majorHAnsi" w:hAnsiTheme="majorHAnsi"/>
          <w:sz w:val="20"/>
          <w:szCs w:val="20"/>
        </w:rPr>
        <w:t>.</w:t>
      </w:r>
      <w:r w:rsidR="00554D48" w:rsidRPr="00A51861">
        <w:rPr>
          <w:rFonts w:asciiTheme="majorHAnsi" w:hAnsiTheme="majorHAnsi"/>
          <w:sz w:val="20"/>
          <w:szCs w:val="20"/>
        </w:rPr>
        <w:t xml:space="preserve"> </w:t>
      </w:r>
      <w:r w:rsidR="00DE5A3D">
        <w:rPr>
          <w:rFonts w:asciiTheme="majorHAnsi" w:hAnsiTheme="majorHAnsi"/>
          <w:sz w:val="20"/>
          <w:szCs w:val="20"/>
        </w:rPr>
        <w:t>He</w:t>
      </w:r>
      <w:r>
        <w:rPr>
          <w:rFonts w:asciiTheme="majorHAnsi" w:hAnsiTheme="majorHAnsi"/>
          <w:sz w:val="20"/>
          <w:szCs w:val="20"/>
        </w:rPr>
        <w:t xml:space="preserve"> equally held that</w:t>
      </w:r>
      <w:r w:rsidR="003C1D95" w:rsidRPr="00A51861">
        <w:rPr>
          <w:rFonts w:asciiTheme="majorHAnsi" w:hAnsiTheme="majorHAnsi"/>
          <w:sz w:val="20"/>
          <w:szCs w:val="20"/>
        </w:rPr>
        <w:t>:</w:t>
      </w:r>
    </w:p>
    <w:p w14:paraId="393A30CF" w14:textId="77777777" w:rsidR="00574440" w:rsidRPr="00A51861" w:rsidRDefault="00574440" w:rsidP="008E4D36">
      <w:pPr>
        <w:pStyle w:val="ListParagraph"/>
        <w:rPr>
          <w:rFonts w:asciiTheme="majorHAnsi" w:hAnsiTheme="majorHAnsi"/>
          <w:sz w:val="20"/>
          <w:szCs w:val="20"/>
        </w:rPr>
      </w:pPr>
    </w:p>
    <w:p w14:paraId="086F4DD8" w14:textId="3DD94615" w:rsidR="004A476E" w:rsidRPr="00A51861" w:rsidRDefault="00C44C48" w:rsidP="008E4D3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20"/>
        </w:rPr>
      </w:pPr>
      <w:r>
        <w:rPr>
          <w:rFonts w:asciiTheme="majorHAnsi" w:hAnsiTheme="majorHAnsi"/>
          <w:sz w:val="18"/>
          <w:szCs w:val="20"/>
        </w:rPr>
        <w:t>I do not forget that</w:t>
      </w:r>
      <w:r w:rsidR="00574915" w:rsidRPr="00A51861">
        <w:rPr>
          <w:rFonts w:asciiTheme="majorHAnsi" w:hAnsiTheme="majorHAnsi"/>
          <w:sz w:val="18"/>
          <w:szCs w:val="20"/>
        </w:rPr>
        <w:t xml:space="preserve"> </w:t>
      </w:r>
      <w:r w:rsidR="002835FC" w:rsidRPr="00A51861">
        <w:rPr>
          <w:rFonts w:asciiTheme="majorHAnsi" w:hAnsiTheme="majorHAnsi"/>
          <w:sz w:val="18"/>
          <w:szCs w:val="20"/>
        </w:rPr>
        <w:t xml:space="preserve">Law </w:t>
      </w:r>
      <w:r w:rsidR="00574915" w:rsidRPr="00A51861">
        <w:rPr>
          <w:rFonts w:asciiTheme="majorHAnsi" w:hAnsiTheme="majorHAnsi"/>
          <w:sz w:val="18"/>
          <w:szCs w:val="20"/>
        </w:rPr>
        <w:t xml:space="preserve">24.043 </w:t>
      </w:r>
      <w:r>
        <w:rPr>
          <w:rFonts w:asciiTheme="majorHAnsi" w:hAnsiTheme="majorHAnsi"/>
          <w:sz w:val="18"/>
          <w:szCs w:val="20"/>
        </w:rPr>
        <w:t>is intended to repair</w:t>
      </w:r>
      <w:r w:rsidR="00E92985">
        <w:rPr>
          <w:rFonts w:asciiTheme="majorHAnsi" w:hAnsiTheme="majorHAnsi"/>
          <w:sz w:val="18"/>
          <w:szCs w:val="20"/>
        </w:rPr>
        <w:t xml:space="preserve"> </w:t>
      </w:r>
      <w:r>
        <w:rPr>
          <w:rFonts w:asciiTheme="majorHAnsi" w:hAnsiTheme="majorHAnsi"/>
          <w:sz w:val="18"/>
          <w:szCs w:val="20"/>
        </w:rPr>
        <w:t xml:space="preserve">unfair </w:t>
      </w:r>
      <w:r w:rsidR="00E92985">
        <w:rPr>
          <w:rFonts w:asciiTheme="majorHAnsi" w:hAnsiTheme="majorHAnsi"/>
          <w:sz w:val="18"/>
          <w:szCs w:val="20"/>
        </w:rPr>
        <w:t>situations</w:t>
      </w:r>
      <w:r w:rsidR="00574915" w:rsidRPr="00A51861">
        <w:rPr>
          <w:rFonts w:asciiTheme="majorHAnsi" w:hAnsiTheme="majorHAnsi"/>
          <w:sz w:val="18"/>
          <w:szCs w:val="20"/>
        </w:rPr>
        <w:t xml:space="preserve"> </w:t>
      </w:r>
      <w:r>
        <w:rPr>
          <w:rFonts w:asciiTheme="majorHAnsi" w:hAnsiTheme="majorHAnsi"/>
          <w:sz w:val="18"/>
          <w:szCs w:val="20"/>
        </w:rPr>
        <w:t>lived during a historical national time</w:t>
      </w:r>
      <w:r w:rsidR="00574915" w:rsidRPr="00A51861">
        <w:rPr>
          <w:rFonts w:asciiTheme="majorHAnsi" w:hAnsiTheme="majorHAnsi"/>
          <w:sz w:val="18"/>
          <w:szCs w:val="20"/>
        </w:rPr>
        <w:t>,</w:t>
      </w:r>
      <w:r w:rsidR="00E92985">
        <w:rPr>
          <w:rFonts w:asciiTheme="majorHAnsi" w:hAnsiTheme="majorHAnsi"/>
          <w:sz w:val="18"/>
          <w:szCs w:val="20"/>
        </w:rPr>
        <w:t xml:space="preserve"> </w:t>
      </w:r>
      <w:r>
        <w:rPr>
          <w:rFonts w:asciiTheme="majorHAnsi" w:hAnsiTheme="majorHAnsi"/>
          <w:sz w:val="18"/>
          <w:szCs w:val="20"/>
        </w:rPr>
        <w:t xml:space="preserve">from where derives the necessity </w:t>
      </w:r>
      <w:r w:rsidR="00E92985">
        <w:rPr>
          <w:rFonts w:asciiTheme="majorHAnsi" w:hAnsiTheme="majorHAnsi"/>
          <w:sz w:val="18"/>
          <w:szCs w:val="20"/>
        </w:rPr>
        <w:t xml:space="preserve">of </w:t>
      </w:r>
      <w:r w:rsidR="00574915" w:rsidRPr="00A51861">
        <w:rPr>
          <w:rFonts w:asciiTheme="majorHAnsi" w:hAnsiTheme="majorHAnsi"/>
          <w:sz w:val="18"/>
          <w:szCs w:val="20"/>
        </w:rPr>
        <w:t>interpret</w:t>
      </w:r>
      <w:r>
        <w:rPr>
          <w:rFonts w:asciiTheme="majorHAnsi" w:hAnsiTheme="majorHAnsi"/>
          <w:sz w:val="18"/>
          <w:szCs w:val="20"/>
        </w:rPr>
        <w:t>ing it</w:t>
      </w:r>
      <w:r w:rsidR="00574915" w:rsidRPr="00A51861">
        <w:rPr>
          <w:rFonts w:asciiTheme="majorHAnsi" w:hAnsiTheme="majorHAnsi"/>
          <w:sz w:val="18"/>
          <w:szCs w:val="20"/>
        </w:rPr>
        <w:t xml:space="preserve">s </w:t>
      </w:r>
      <w:r>
        <w:rPr>
          <w:rFonts w:asciiTheme="majorHAnsi" w:hAnsiTheme="majorHAnsi"/>
          <w:sz w:val="18"/>
          <w:szCs w:val="20"/>
        </w:rPr>
        <w:t>provision</w:t>
      </w:r>
      <w:r w:rsidR="00574915" w:rsidRPr="00A51861">
        <w:rPr>
          <w:rFonts w:asciiTheme="majorHAnsi" w:hAnsiTheme="majorHAnsi"/>
          <w:sz w:val="18"/>
          <w:szCs w:val="20"/>
        </w:rPr>
        <w:t xml:space="preserve"> </w:t>
      </w:r>
      <w:r>
        <w:rPr>
          <w:rFonts w:asciiTheme="majorHAnsi" w:hAnsiTheme="majorHAnsi"/>
          <w:sz w:val="18"/>
          <w:szCs w:val="20"/>
        </w:rPr>
        <w:t>with broad criterion</w:t>
      </w:r>
      <w:r w:rsidR="00574915" w:rsidRPr="00A51861">
        <w:rPr>
          <w:rFonts w:asciiTheme="majorHAnsi" w:hAnsiTheme="majorHAnsi"/>
          <w:sz w:val="18"/>
          <w:szCs w:val="20"/>
        </w:rPr>
        <w:t xml:space="preserve">, </w:t>
      </w:r>
      <w:r>
        <w:rPr>
          <w:rFonts w:asciiTheme="majorHAnsi" w:hAnsiTheme="majorHAnsi"/>
          <w:sz w:val="18"/>
          <w:szCs w:val="20"/>
        </w:rPr>
        <w:t>yet not neglecting that it is the legislator</w:t>
      </w:r>
      <w:r w:rsidR="00574915" w:rsidRPr="00A51861">
        <w:rPr>
          <w:rFonts w:asciiTheme="majorHAnsi" w:hAnsiTheme="majorHAnsi"/>
          <w:sz w:val="18"/>
          <w:szCs w:val="20"/>
        </w:rPr>
        <w:t xml:space="preserve"> </w:t>
      </w:r>
      <w:r>
        <w:rPr>
          <w:rFonts w:asciiTheme="majorHAnsi" w:hAnsiTheme="majorHAnsi"/>
          <w:sz w:val="18"/>
          <w:szCs w:val="20"/>
        </w:rPr>
        <w:t>who</w:t>
      </w:r>
      <w:r w:rsidR="00574915" w:rsidRPr="00A51861">
        <w:rPr>
          <w:rFonts w:asciiTheme="majorHAnsi" w:hAnsiTheme="majorHAnsi"/>
          <w:sz w:val="18"/>
          <w:szCs w:val="20"/>
        </w:rPr>
        <w:t xml:space="preserve"> define</w:t>
      </w:r>
      <w:r>
        <w:rPr>
          <w:rFonts w:asciiTheme="majorHAnsi" w:hAnsiTheme="majorHAnsi"/>
          <w:sz w:val="18"/>
          <w:szCs w:val="20"/>
        </w:rPr>
        <w:t>s</w:t>
      </w:r>
      <w:r w:rsidR="00574915" w:rsidRPr="00A51861">
        <w:rPr>
          <w:rFonts w:asciiTheme="majorHAnsi" w:hAnsiTheme="majorHAnsi"/>
          <w:sz w:val="18"/>
          <w:szCs w:val="20"/>
        </w:rPr>
        <w:t xml:space="preserve"> </w:t>
      </w:r>
      <w:r>
        <w:rPr>
          <w:rFonts w:asciiTheme="majorHAnsi" w:hAnsiTheme="majorHAnsi"/>
          <w:sz w:val="18"/>
          <w:szCs w:val="20"/>
        </w:rPr>
        <w:t>the</w:t>
      </w:r>
      <w:r w:rsidR="00574915" w:rsidRPr="00A51861">
        <w:rPr>
          <w:rFonts w:asciiTheme="majorHAnsi" w:hAnsiTheme="majorHAnsi"/>
          <w:sz w:val="18"/>
          <w:szCs w:val="20"/>
        </w:rPr>
        <w:t xml:space="preserve"> par</w:t>
      </w:r>
      <w:r>
        <w:rPr>
          <w:rFonts w:asciiTheme="majorHAnsi" w:hAnsiTheme="majorHAnsi"/>
          <w:sz w:val="18"/>
          <w:szCs w:val="20"/>
        </w:rPr>
        <w:t>a</w:t>
      </w:r>
      <w:r w:rsidR="00574915" w:rsidRPr="00A51861">
        <w:rPr>
          <w:rFonts w:asciiTheme="majorHAnsi" w:hAnsiTheme="majorHAnsi"/>
          <w:sz w:val="18"/>
          <w:szCs w:val="20"/>
        </w:rPr>
        <w:t>met</w:t>
      </w:r>
      <w:r>
        <w:rPr>
          <w:rFonts w:asciiTheme="majorHAnsi" w:hAnsiTheme="majorHAnsi"/>
          <w:sz w:val="18"/>
          <w:szCs w:val="20"/>
        </w:rPr>
        <w:t>er</w:t>
      </w:r>
      <w:r w:rsidR="00574915" w:rsidRPr="00A51861">
        <w:rPr>
          <w:rFonts w:asciiTheme="majorHAnsi" w:hAnsiTheme="majorHAnsi"/>
          <w:sz w:val="18"/>
          <w:szCs w:val="20"/>
        </w:rPr>
        <w:t>s</w:t>
      </w:r>
      <w:r w:rsidR="004969F4">
        <w:rPr>
          <w:rFonts w:asciiTheme="majorHAnsi" w:hAnsiTheme="majorHAnsi"/>
          <w:sz w:val="18"/>
          <w:szCs w:val="20"/>
        </w:rPr>
        <w:t xml:space="preserve"> of the </w:t>
      </w:r>
      <w:r w:rsidR="005E4AF8">
        <w:rPr>
          <w:rFonts w:asciiTheme="majorHAnsi" w:hAnsiTheme="majorHAnsi"/>
          <w:sz w:val="18"/>
          <w:szCs w:val="20"/>
        </w:rPr>
        <w:t>redressing i</w:t>
      </w:r>
      <w:r w:rsidR="005C6A92">
        <w:rPr>
          <w:rFonts w:asciiTheme="majorHAnsi" w:hAnsiTheme="majorHAnsi"/>
          <w:sz w:val="18"/>
          <w:szCs w:val="20"/>
        </w:rPr>
        <w:t>n</w:t>
      </w:r>
      <w:r w:rsidR="005E4AF8">
        <w:rPr>
          <w:rFonts w:asciiTheme="majorHAnsi" w:hAnsiTheme="majorHAnsi"/>
          <w:sz w:val="18"/>
          <w:szCs w:val="20"/>
        </w:rPr>
        <w:t xml:space="preserve"> cases of alleged</w:t>
      </w:r>
      <w:r w:rsidR="00E92985">
        <w:rPr>
          <w:rFonts w:asciiTheme="majorHAnsi" w:hAnsiTheme="majorHAnsi"/>
          <w:sz w:val="18"/>
          <w:szCs w:val="20"/>
        </w:rPr>
        <w:t xml:space="preserve"> of responsibility</w:t>
      </w:r>
      <w:r w:rsidR="00574915" w:rsidRPr="00A51861">
        <w:rPr>
          <w:rFonts w:asciiTheme="majorHAnsi" w:hAnsiTheme="majorHAnsi"/>
          <w:sz w:val="18"/>
          <w:szCs w:val="20"/>
        </w:rPr>
        <w:t xml:space="preserve"> </w:t>
      </w:r>
      <w:r w:rsidR="005E4AF8">
        <w:rPr>
          <w:rFonts w:asciiTheme="majorHAnsi" w:hAnsiTheme="majorHAnsi"/>
          <w:sz w:val="18"/>
          <w:szCs w:val="20"/>
        </w:rPr>
        <w:t>of the State fared</w:t>
      </w:r>
      <w:r w:rsidR="00E92985">
        <w:rPr>
          <w:rFonts w:asciiTheme="majorHAnsi" w:hAnsiTheme="majorHAnsi"/>
          <w:sz w:val="18"/>
          <w:szCs w:val="20"/>
        </w:rPr>
        <w:t xml:space="preserve"> or </w:t>
      </w:r>
      <w:r w:rsidR="005E4AF8">
        <w:rPr>
          <w:rFonts w:asciiTheme="majorHAnsi" w:hAnsiTheme="majorHAnsi"/>
          <w:sz w:val="18"/>
          <w:szCs w:val="20"/>
        </w:rPr>
        <w:t>quoted</w:t>
      </w:r>
      <w:r w:rsidR="00574915" w:rsidRPr="00A51861">
        <w:rPr>
          <w:rFonts w:asciiTheme="majorHAnsi" w:hAnsiTheme="majorHAnsi"/>
          <w:sz w:val="18"/>
          <w:szCs w:val="20"/>
        </w:rPr>
        <w:t xml:space="preserve">, </w:t>
      </w:r>
      <w:r w:rsidR="005E4AF8">
        <w:rPr>
          <w:rFonts w:asciiTheme="majorHAnsi" w:hAnsiTheme="majorHAnsi"/>
          <w:sz w:val="18"/>
          <w:szCs w:val="20"/>
        </w:rPr>
        <w:t>without pertaining the</w:t>
      </w:r>
      <w:r w:rsidR="00574915" w:rsidRPr="00A51861">
        <w:rPr>
          <w:rFonts w:asciiTheme="majorHAnsi" w:hAnsiTheme="majorHAnsi"/>
          <w:sz w:val="18"/>
          <w:szCs w:val="20"/>
        </w:rPr>
        <w:t xml:space="preserve"> </w:t>
      </w:r>
      <w:r w:rsidR="005E4AF8">
        <w:rPr>
          <w:rFonts w:asciiTheme="majorHAnsi" w:hAnsiTheme="majorHAnsi"/>
          <w:sz w:val="18"/>
          <w:szCs w:val="20"/>
        </w:rPr>
        <w:t>Judicial Power</w:t>
      </w:r>
      <w:r w:rsidR="00574915" w:rsidRPr="00A51861">
        <w:rPr>
          <w:rFonts w:asciiTheme="majorHAnsi" w:hAnsiTheme="majorHAnsi"/>
          <w:sz w:val="18"/>
          <w:szCs w:val="20"/>
        </w:rPr>
        <w:t xml:space="preserve"> </w:t>
      </w:r>
      <w:r w:rsidR="005E4AF8">
        <w:rPr>
          <w:rFonts w:asciiTheme="majorHAnsi" w:hAnsiTheme="majorHAnsi"/>
          <w:sz w:val="18"/>
          <w:szCs w:val="20"/>
        </w:rPr>
        <w:t>to broaden its scope of application</w:t>
      </w:r>
      <w:r w:rsidR="00574915" w:rsidRPr="00A51861">
        <w:rPr>
          <w:rFonts w:asciiTheme="majorHAnsi" w:hAnsiTheme="majorHAnsi"/>
          <w:sz w:val="18"/>
          <w:szCs w:val="20"/>
        </w:rPr>
        <w:t xml:space="preserve">, </w:t>
      </w:r>
      <w:r w:rsidR="005E4AF8">
        <w:rPr>
          <w:rFonts w:asciiTheme="majorHAnsi" w:hAnsiTheme="majorHAnsi"/>
          <w:sz w:val="18"/>
          <w:szCs w:val="20"/>
        </w:rPr>
        <w:t>such as when they involve</w:t>
      </w:r>
      <w:r w:rsidR="00574915" w:rsidRPr="00A51861">
        <w:rPr>
          <w:rFonts w:asciiTheme="majorHAnsi" w:hAnsiTheme="majorHAnsi"/>
          <w:sz w:val="18"/>
          <w:szCs w:val="20"/>
        </w:rPr>
        <w:t xml:space="preserve"> </w:t>
      </w:r>
      <w:r w:rsidR="005E4AF8">
        <w:rPr>
          <w:rFonts w:asciiTheme="majorHAnsi" w:hAnsiTheme="majorHAnsi"/>
          <w:sz w:val="18"/>
          <w:szCs w:val="20"/>
        </w:rPr>
        <w:t>determined periods</w:t>
      </w:r>
      <w:r w:rsidR="00574915" w:rsidRPr="00A51861">
        <w:rPr>
          <w:rFonts w:asciiTheme="majorHAnsi" w:hAnsiTheme="majorHAnsi"/>
          <w:sz w:val="18"/>
          <w:szCs w:val="20"/>
        </w:rPr>
        <w:t xml:space="preserve"> </w:t>
      </w:r>
      <w:r w:rsidR="005E4AF8">
        <w:rPr>
          <w:rFonts w:asciiTheme="majorHAnsi" w:hAnsiTheme="majorHAnsi"/>
          <w:sz w:val="18"/>
          <w:szCs w:val="20"/>
        </w:rPr>
        <w:t>there will always be cases in which</w:t>
      </w:r>
      <w:r w:rsidR="00574915" w:rsidRPr="00A51861">
        <w:rPr>
          <w:rFonts w:asciiTheme="majorHAnsi" w:hAnsiTheme="majorHAnsi"/>
          <w:sz w:val="18"/>
          <w:szCs w:val="20"/>
        </w:rPr>
        <w:t xml:space="preserve">, </w:t>
      </w:r>
      <w:r w:rsidR="005E4AF8">
        <w:rPr>
          <w:rFonts w:asciiTheme="majorHAnsi" w:hAnsiTheme="majorHAnsi"/>
          <w:sz w:val="18"/>
          <w:szCs w:val="20"/>
        </w:rPr>
        <w:t>although deserving a reparation</w:t>
      </w:r>
      <w:r w:rsidR="00574915" w:rsidRPr="00A51861">
        <w:rPr>
          <w:rFonts w:asciiTheme="majorHAnsi" w:hAnsiTheme="majorHAnsi"/>
          <w:sz w:val="18"/>
          <w:szCs w:val="20"/>
        </w:rPr>
        <w:t xml:space="preserve">, </w:t>
      </w:r>
      <w:r w:rsidR="005E4AF8">
        <w:rPr>
          <w:rFonts w:asciiTheme="majorHAnsi" w:hAnsiTheme="majorHAnsi"/>
          <w:sz w:val="18"/>
          <w:szCs w:val="20"/>
        </w:rPr>
        <w:t>they shall be left out of that timeframe</w:t>
      </w:r>
      <w:r w:rsidR="001D1D61">
        <w:rPr>
          <w:rFonts w:asciiTheme="majorHAnsi" w:hAnsiTheme="majorHAnsi"/>
          <w:sz w:val="18"/>
          <w:szCs w:val="20"/>
        </w:rPr>
        <w:t>. Th</w:t>
      </w:r>
      <w:r w:rsidR="005E4AF8">
        <w:rPr>
          <w:rFonts w:asciiTheme="majorHAnsi" w:hAnsiTheme="majorHAnsi"/>
          <w:sz w:val="18"/>
          <w:szCs w:val="20"/>
        </w:rPr>
        <w:t>erefore</w:t>
      </w:r>
      <w:r w:rsidR="009D5940" w:rsidRPr="00A51861">
        <w:rPr>
          <w:rFonts w:asciiTheme="majorHAnsi" w:hAnsiTheme="majorHAnsi"/>
          <w:sz w:val="18"/>
          <w:szCs w:val="20"/>
        </w:rPr>
        <w:t xml:space="preserve">, </w:t>
      </w:r>
      <w:r w:rsidR="005E4AF8">
        <w:rPr>
          <w:rFonts w:asciiTheme="majorHAnsi" w:hAnsiTheme="majorHAnsi"/>
          <w:sz w:val="18"/>
          <w:szCs w:val="20"/>
        </w:rPr>
        <w:t>the intended compensation in the</w:t>
      </w:r>
      <w:r w:rsidR="009D5940" w:rsidRPr="00A51861">
        <w:rPr>
          <w:rFonts w:asciiTheme="majorHAnsi" w:hAnsiTheme="majorHAnsi"/>
          <w:sz w:val="18"/>
          <w:szCs w:val="20"/>
        </w:rPr>
        <w:t xml:space="preserve"> </w:t>
      </w:r>
      <w:r w:rsidR="009D5940" w:rsidRPr="00A51861">
        <w:rPr>
          <w:rFonts w:asciiTheme="majorHAnsi" w:hAnsiTheme="majorHAnsi"/>
          <w:i/>
          <w:sz w:val="18"/>
          <w:szCs w:val="20"/>
        </w:rPr>
        <w:t>sub</w:t>
      </w:r>
      <w:r w:rsidR="009C3C80" w:rsidRPr="00A51861">
        <w:rPr>
          <w:rFonts w:asciiTheme="majorHAnsi" w:hAnsiTheme="majorHAnsi"/>
          <w:i/>
          <w:sz w:val="18"/>
          <w:szCs w:val="20"/>
        </w:rPr>
        <w:t xml:space="preserve"> </w:t>
      </w:r>
      <w:r w:rsidR="009D5940" w:rsidRPr="00A51861">
        <w:rPr>
          <w:rFonts w:asciiTheme="majorHAnsi" w:hAnsiTheme="majorHAnsi"/>
          <w:i/>
          <w:sz w:val="18"/>
          <w:szCs w:val="20"/>
        </w:rPr>
        <w:t>lite</w:t>
      </w:r>
      <w:r w:rsidR="009D5940" w:rsidRPr="00A51861">
        <w:rPr>
          <w:rFonts w:asciiTheme="majorHAnsi" w:hAnsiTheme="majorHAnsi"/>
          <w:sz w:val="18"/>
          <w:szCs w:val="20"/>
        </w:rPr>
        <w:t xml:space="preserve"> </w:t>
      </w:r>
      <w:r w:rsidR="005E4AF8">
        <w:rPr>
          <w:rFonts w:asciiTheme="majorHAnsi" w:hAnsiTheme="majorHAnsi"/>
          <w:sz w:val="18"/>
          <w:szCs w:val="20"/>
        </w:rPr>
        <w:t>may only be agreed by the</w:t>
      </w:r>
      <w:r w:rsidR="009D5940" w:rsidRPr="00A51861">
        <w:rPr>
          <w:rFonts w:asciiTheme="majorHAnsi" w:hAnsiTheme="majorHAnsi"/>
          <w:sz w:val="18"/>
          <w:szCs w:val="20"/>
        </w:rPr>
        <w:t xml:space="preserve"> </w:t>
      </w:r>
      <w:r w:rsidR="005E4AF8">
        <w:rPr>
          <w:rFonts w:asciiTheme="majorHAnsi" w:hAnsiTheme="majorHAnsi"/>
          <w:sz w:val="18"/>
          <w:szCs w:val="20"/>
        </w:rPr>
        <w:t xml:space="preserve">National Congress </w:t>
      </w:r>
      <w:r w:rsidR="005E4AF8">
        <w:rPr>
          <w:rFonts w:asciiTheme="majorHAnsi" w:hAnsiTheme="majorHAnsi"/>
          <w:sz w:val="18"/>
          <w:szCs w:val="20"/>
        </w:rPr>
        <w:lastRenderedPageBreak/>
        <w:t>by the sanction of a new amplifier</w:t>
      </w:r>
      <w:r w:rsidR="009D5940" w:rsidRPr="00A51861">
        <w:rPr>
          <w:rFonts w:asciiTheme="majorHAnsi" w:hAnsiTheme="majorHAnsi"/>
          <w:sz w:val="18"/>
          <w:szCs w:val="20"/>
        </w:rPr>
        <w:t xml:space="preserve"> </w:t>
      </w:r>
      <w:r w:rsidR="0029564F">
        <w:rPr>
          <w:rFonts w:asciiTheme="majorHAnsi" w:hAnsiTheme="majorHAnsi"/>
          <w:sz w:val="18"/>
          <w:szCs w:val="20"/>
        </w:rPr>
        <w:t>law</w:t>
      </w:r>
      <w:r w:rsidR="009D5940" w:rsidRPr="00A51861">
        <w:rPr>
          <w:rFonts w:asciiTheme="majorHAnsi" w:hAnsiTheme="majorHAnsi"/>
          <w:sz w:val="18"/>
          <w:szCs w:val="20"/>
        </w:rPr>
        <w:t xml:space="preserve"> </w:t>
      </w:r>
      <w:r w:rsidR="003B62DD">
        <w:rPr>
          <w:rFonts w:asciiTheme="majorHAnsi" w:hAnsiTheme="majorHAnsi"/>
          <w:sz w:val="18"/>
          <w:szCs w:val="20"/>
        </w:rPr>
        <w:t>of the requirements</w:t>
      </w:r>
      <w:r w:rsidR="00E92985">
        <w:rPr>
          <w:rFonts w:asciiTheme="majorHAnsi" w:hAnsiTheme="majorHAnsi"/>
          <w:sz w:val="18"/>
          <w:szCs w:val="20"/>
        </w:rPr>
        <w:t xml:space="preserve"> </w:t>
      </w:r>
      <w:r w:rsidR="003B62DD">
        <w:rPr>
          <w:rFonts w:asciiTheme="majorHAnsi" w:hAnsiTheme="majorHAnsi"/>
          <w:sz w:val="18"/>
          <w:szCs w:val="20"/>
        </w:rPr>
        <w:t>which turn them</w:t>
      </w:r>
      <w:r w:rsidR="009D5940" w:rsidRPr="00A51861">
        <w:rPr>
          <w:rFonts w:asciiTheme="majorHAnsi" w:hAnsiTheme="majorHAnsi"/>
          <w:sz w:val="18"/>
          <w:szCs w:val="20"/>
        </w:rPr>
        <w:t xml:space="preserve"> </w:t>
      </w:r>
      <w:r w:rsidR="003B62DD">
        <w:rPr>
          <w:rFonts w:asciiTheme="majorHAnsi" w:hAnsiTheme="majorHAnsi"/>
          <w:sz w:val="18"/>
          <w:szCs w:val="20"/>
        </w:rPr>
        <w:t>applicable</w:t>
      </w:r>
      <w:r w:rsidR="009D5940" w:rsidRPr="00A51861">
        <w:rPr>
          <w:rFonts w:asciiTheme="majorHAnsi" w:hAnsiTheme="majorHAnsi"/>
          <w:sz w:val="18"/>
          <w:szCs w:val="20"/>
        </w:rPr>
        <w:t xml:space="preserve"> </w:t>
      </w:r>
      <w:r w:rsidR="003B62DD">
        <w:rPr>
          <w:rFonts w:asciiTheme="majorHAnsi" w:hAnsiTheme="majorHAnsi"/>
          <w:sz w:val="18"/>
          <w:szCs w:val="20"/>
        </w:rPr>
        <w:t>in the terms of</w:t>
      </w:r>
      <w:r w:rsidR="00E92985">
        <w:rPr>
          <w:rFonts w:asciiTheme="majorHAnsi" w:hAnsiTheme="majorHAnsi"/>
          <w:sz w:val="18"/>
          <w:szCs w:val="20"/>
        </w:rPr>
        <w:t xml:space="preserve"> </w:t>
      </w:r>
      <w:r w:rsidR="002835FC" w:rsidRPr="00A51861">
        <w:rPr>
          <w:rFonts w:asciiTheme="majorHAnsi" w:hAnsiTheme="majorHAnsi"/>
          <w:sz w:val="18"/>
          <w:szCs w:val="20"/>
        </w:rPr>
        <w:t xml:space="preserve">Law </w:t>
      </w:r>
      <w:r w:rsidR="009D5940" w:rsidRPr="00A51861">
        <w:rPr>
          <w:rFonts w:asciiTheme="majorHAnsi" w:hAnsiTheme="majorHAnsi"/>
          <w:sz w:val="18"/>
          <w:szCs w:val="20"/>
        </w:rPr>
        <w:t>24.043</w:t>
      </w:r>
      <w:r w:rsidR="00574915" w:rsidRPr="00A51861">
        <w:rPr>
          <w:rFonts w:asciiTheme="majorHAnsi" w:hAnsiTheme="majorHAnsi"/>
          <w:sz w:val="18"/>
          <w:szCs w:val="20"/>
        </w:rPr>
        <w:t>”</w:t>
      </w:r>
      <w:r w:rsidR="00574915" w:rsidRPr="00A51861">
        <w:rPr>
          <w:rStyle w:val="FootnoteReference"/>
          <w:rFonts w:asciiTheme="majorHAnsi" w:hAnsiTheme="majorHAnsi"/>
          <w:sz w:val="18"/>
          <w:szCs w:val="20"/>
        </w:rPr>
        <w:footnoteReference w:id="111"/>
      </w:r>
      <w:r w:rsidR="00574915" w:rsidRPr="00A51861">
        <w:rPr>
          <w:rFonts w:asciiTheme="majorHAnsi" w:hAnsiTheme="majorHAnsi"/>
          <w:sz w:val="18"/>
          <w:szCs w:val="20"/>
        </w:rPr>
        <w:t xml:space="preserve">. </w:t>
      </w:r>
    </w:p>
    <w:p w14:paraId="310A0660" w14:textId="77777777" w:rsidR="004A476E" w:rsidRPr="00A51861" w:rsidRDefault="004A476E" w:rsidP="008E4D36">
      <w:pPr>
        <w:pStyle w:val="ListParagraph"/>
        <w:rPr>
          <w:rFonts w:asciiTheme="majorHAnsi" w:hAnsiTheme="majorHAnsi"/>
          <w:sz w:val="20"/>
          <w:szCs w:val="20"/>
        </w:rPr>
      </w:pPr>
    </w:p>
    <w:p w14:paraId="68A35F79" w14:textId="6EDB0F01" w:rsidR="004A476E" w:rsidRPr="00A51861" w:rsidRDefault="00E92985"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The Commission</w:t>
      </w:r>
      <w:r w:rsidR="00574915" w:rsidRPr="00A51861">
        <w:rPr>
          <w:rFonts w:asciiTheme="majorHAnsi" w:hAnsiTheme="majorHAnsi"/>
          <w:sz w:val="20"/>
          <w:szCs w:val="20"/>
        </w:rPr>
        <w:t xml:space="preserve"> </w:t>
      </w:r>
      <w:r w:rsidR="003B62DD">
        <w:rPr>
          <w:rFonts w:asciiTheme="majorHAnsi" w:hAnsiTheme="majorHAnsi"/>
          <w:sz w:val="20"/>
          <w:szCs w:val="20"/>
        </w:rPr>
        <w:t xml:space="preserve">takes note that </w:t>
      </w:r>
      <w:r>
        <w:rPr>
          <w:rFonts w:asciiTheme="majorHAnsi" w:hAnsiTheme="majorHAnsi"/>
          <w:sz w:val="20"/>
          <w:szCs w:val="20"/>
        </w:rPr>
        <w:t xml:space="preserve">the </w:t>
      </w:r>
      <w:r w:rsidR="00A274B7">
        <w:rPr>
          <w:rFonts w:asciiTheme="majorHAnsi" w:hAnsiTheme="majorHAnsi"/>
          <w:sz w:val="20"/>
          <w:szCs w:val="20"/>
        </w:rPr>
        <w:t>petitioner held that</w:t>
      </w:r>
      <w:r w:rsidR="00574915" w:rsidRPr="00A51861">
        <w:rPr>
          <w:rFonts w:asciiTheme="majorHAnsi" w:hAnsiTheme="majorHAnsi"/>
          <w:sz w:val="20"/>
          <w:szCs w:val="20"/>
        </w:rPr>
        <w:t xml:space="preserve">, </w:t>
      </w:r>
      <w:r w:rsidR="003B62DD">
        <w:rPr>
          <w:rFonts w:asciiTheme="majorHAnsi" w:hAnsiTheme="majorHAnsi"/>
          <w:sz w:val="20"/>
          <w:szCs w:val="20"/>
        </w:rPr>
        <w:t>as in the case of</w:t>
      </w:r>
      <w:r w:rsidR="00574915" w:rsidRPr="00A51861">
        <w:rPr>
          <w:rFonts w:asciiTheme="majorHAnsi" w:hAnsiTheme="majorHAnsi"/>
          <w:sz w:val="20"/>
          <w:szCs w:val="20"/>
        </w:rPr>
        <w:t xml:space="preserve"> </w:t>
      </w:r>
      <w:r w:rsidR="00BD093F">
        <w:rPr>
          <w:rFonts w:asciiTheme="majorHAnsi" w:hAnsiTheme="majorHAnsi"/>
          <w:sz w:val="20"/>
          <w:szCs w:val="20"/>
        </w:rPr>
        <w:t xml:space="preserve">Mr. Rito de los </w:t>
      </w:r>
      <w:r w:rsidR="00574915" w:rsidRPr="00A51861">
        <w:rPr>
          <w:rFonts w:asciiTheme="majorHAnsi" w:hAnsiTheme="majorHAnsi"/>
          <w:sz w:val="20"/>
          <w:szCs w:val="20"/>
        </w:rPr>
        <w:t xml:space="preserve">Santos, </w:t>
      </w:r>
      <w:r w:rsidR="003B62DD">
        <w:rPr>
          <w:rFonts w:asciiTheme="majorHAnsi" w:hAnsiTheme="majorHAnsi"/>
          <w:sz w:val="20"/>
          <w:szCs w:val="20"/>
        </w:rPr>
        <w:t>in regard to the administrative and</w:t>
      </w:r>
      <w:r>
        <w:rPr>
          <w:rFonts w:asciiTheme="majorHAnsi" w:hAnsiTheme="majorHAnsi"/>
          <w:sz w:val="20"/>
          <w:szCs w:val="20"/>
        </w:rPr>
        <w:t xml:space="preserve"> </w:t>
      </w:r>
      <w:r w:rsidR="00574915" w:rsidRPr="00A51861">
        <w:rPr>
          <w:rFonts w:asciiTheme="majorHAnsi" w:hAnsiTheme="majorHAnsi"/>
          <w:sz w:val="20"/>
          <w:szCs w:val="20"/>
        </w:rPr>
        <w:t>judicial</w:t>
      </w:r>
      <w:r w:rsidR="003B62DD">
        <w:rPr>
          <w:rFonts w:asciiTheme="majorHAnsi" w:hAnsiTheme="majorHAnsi"/>
          <w:sz w:val="20"/>
          <w:szCs w:val="20"/>
        </w:rPr>
        <w:t xml:space="preserve"> proceedings</w:t>
      </w:r>
      <w:r w:rsidR="00574915" w:rsidRPr="00A51861">
        <w:rPr>
          <w:rFonts w:asciiTheme="majorHAnsi" w:hAnsiTheme="majorHAnsi"/>
          <w:sz w:val="20"/>
          <w:szCs w:val="20"/>
        </w:rPr>
        <w:t xml:space="preserve">, </w:t>
      </w:r>
      <w:r w:rsidR="003B62DD">
        <w:rPr>
          <w:rFonts w:asciiTheme="majorHAnsi" w:hAnsiTheme="majorHAnsi"/>
          <w:sz w:val="20"/>
          <w:szCs w:val="20"/>
        </w:rPr>
        <w:t>the counselor of</w:t>
      </w:r>
      <w:r w:rsidR="00574915" w:rsidRPr="00A51861">
        <w:rPr>
          <w:rFonts w:asciiTheme="majorHAnsi" w:hAnsiTheme="majorHAnsi"/>
          <w:sz w:val="20"/>
          <w:szCs w:val="20"/>
        </w:rPr>
        <w:t xml:space="preserve"> </w:t>
      </w:r>
      <w:r w:rsidR="00BD093F">
        <w:rPr>
          <w:rFonts w:asciiTheme="majorHAnsi" w:hAnsiTheme="majorHAnsi"/>
          <w:sz w:val="20"/>
          <w:szCs w:val="20"/>
        </w:rPr>
        <w:t xml:space="preserve">Mr. </w:t>
      </w:r>
      <w:r w:rsidR="00574915" w:rsidRPr="00A51861">
        <w:rPr>
          <w:rFonts w:asciiTheme="majorHAnsi" w:hAnsiTheme="majorHAnsi"/>
          <w:sz w:val="20"/>
          <w:szCs w:val="20"/>
        </w:rPr>
        <w:t>Ferreira</w:t>
      </w:r>
      <w:r w:rsidR="003B62DD" w:rsidRPr="003B62DD">
        <w:rPr>
          <w:rFonts w:asciiTheme="majorHAnsi" w:hAnsiTheme="majorHAnsi"/>
          <w:sz w:val="20"/>
          <w:szCs w:val="20"/>
        </w:rPr>
        <w:t xml:space="preserve"> </w:t>
      </w:r>
      <w:r w:rsidR="003B62DD">
        <w:rPr>
          <w:rFonts w:asciiTheme="majorHAnsi" w:hAnsiTheme="majorHAnsi"/>
          <w:sz w:val="20"/>
          <w:szCs w:val="20"/>
        </w:rPr>
        <w:t>requested</w:t>
      </w:r>
      <w:r w:rsidR="003B62DD" w:rsidRPr="00A51861">
        <w:rPr>
          <w:rFonts w:asciiTheme="majorHAnsi" w:hAnsiTheme="majorHAnsi"/>
          <w:sz w:val="20"/>
          <w:szCs w:val="20"/>
        </w:rPr>
        <w:t xml:space="preserve"> multipl</w:t>
      </w:r>
      <w:r w:rsidR="003B62DD">
        <w:rPr>
          <w:rFonts w:asciiTheme="majorHAnsi" w:hAnsiTheme="majorHAnsi"/>
          <w:sz w:val="20"/>
          <w:szCs w:val="20"/>
        </w:rPr>
        <w:t>e</w:t>
      </w:r>
      <w:r w:rsidR="003B62DD" w:rsidRPr="00A51861">
        <w:rPr>
          <w:rFonts w:asciiTheme="majorHAnsi" w:hAnsiTheme="majorHAnsi"/>
          <w:sz w:val="20"/>
          <w:szCs w:val="20"/>
        </w:rPr>
        <w:t xml:space="preserve"> </w:t>
      </w:r>
      <w:r w:rsidR="003B62DD">
        <w:rPr>
          <w:rFonts w:asciiTheme="majorHAnsi" w:hAnsiTheme="majorHAnsi"/>
          <w:sz w:val="20"/>
          <w:szCs w:val="20"/>
        </w:rPr>
        <w:t xml:space="preserve">pieces of evidence in order for them to be included into the </w:t>
      </w:r>
      <w:r w:rsidR="00A274B7">
        <w:rPr>
          <w:rFonts w:asciiTheme="majorHAnsi" w:hAnsiTheme="majorHAnsi"/>
          <w:sz w:val="20"/>
          <w:szCs w:val="20"/>
        </w:rPr>
        <w:t>casefile</w:t>
      </w:r>
      <w:r w:rsidR="00574915" w:rsidRPr="00A51861">
        <w:rPr>
          <w:rFonts w:asciiTheme="majorHAnsi" w:hAnsiTheme="majorHAnsi"/>
          <w:sz w:val="20"/>
          <w:szCs w:val="20"/>
          <w:vertAlign w:val="superscript"/>
        </w:rPr>
        <w:footnoteReference w:id="112"/>
      </w:r>
      <w:r w:rsidR="00574915" w:rsidRPr="00A51861">
        <w:rPr>
          <w:rFonts w:asciiTheme="majorHAnsi" w:hAnsiTheme="majorHAnsi"/>
          <w:sz w:val="20"/>
          <w:szCs w:val="20"/>
        </w:rPr>
        <w:t xml:space="preserve">. </w:t>
      </w:r>
      <w:r w:rsidR="003B62DD">
        <w:rPr>
          <w:rFonts w:asciiTheme="majorHAnsi" w:hAnsiTheme="majorHAnsi"/>
          <w:sz w:val="20"/>
          <w:szCs w:val="20"/>
        </w:rPr>
        <w:t>Inter alia</w:t>
      </w:r>
      <w:r w:rsidR="003B62DD" w:rsidRPr="00A51861">
        <w:rPr>
          <w:rFonts w:asciiTheme="majorHAnsi" w:hAnsiTheme="majorHAnsi"/>
          <w:sz w:val="20"/>
          <w:szCs w:val="20"/>
        </w:rPr>
        <w:t xml:space="preserve">, </w:t>
      </w:r>
      <w:r w:rsidR="003B62DD">
        <w:rPr>
          <w:rFonts w:asciiTheme="majorHAnsi" w:hAnsiTheme="majorHAnsi"/>
          <w:sz w:val="20"/>
          <w:szCs w:val="20"/>
        </w:rPr>
        <w:t>it was requested that</w:t>
      </w:r>
      <w:r w:rsidR="003B62DD" w:rsidRPr="00A51861">
        <w:rPr>
          <w:rFonts w:asciiTheme="majorHAnsi" w:hAnsiTheme="majorHAnsi"/>
          <w:sz w:val="20"/>
          <w:szCs w:val="20"/>
        </w:rPr>
        <w:t xml:space="preserve"> </w:t>
      </w:r>
      <w:r w:rsidR="003B62DD">
        <w:rPr>
          <w:rFonts w:asciiTheme="majorHAnsi" w:hAnsiTheme="majorHAnsi"/>
          <w:sz w:val="20"/>
          <w:szCs w:val="20"/>
        </w:rPr>
        <w:t xml:space="preserve">the name of </w:t>
      </w:r>
      <w:r w:rsidR="003B62DD" w:rsidRPr="00A51861">
        <w:rPr>
          <w:rFonts w:asciiTheme="majorHAnsi" w:hAnsiTheme="majorHAnsi"/>
          <w:sz w:val="20"/>
          <w:szCs w:val="20"/>
        </w:rPr>
        <w:t xml:space="preserve">the alleged victim </w:t>
      </w:r>
      <w:r w:rsidR="003B62DD">
        <w:rPr>
          <w:rFonts w:asciiTheme="majorHAnsi" w:hAnsiTheme="majorHAnsi"/>
          <w:sz w:val="20"/>
          <w:szCs w:val="20"/>
        </w:rPr>
        <w:t>present in the</w:t>
      </w:r>
      <w:r w:rsidR="00185E46">
        <w:rPr>
          <w:rFonts w:asciiTheme="majorHAnsi" w:hAnsiTheme="majorHAnsi"/>
          <w:sz w:val="20"/>
          <w:szCs w:val="20"/>
        </w:rPr>
        <w:t xml:space="preserve"> NDM </w:t>
      </w:r>
      <w:r>
        <w:rPr>
          <w:rFonts w:asciiTheme="majorHAnsi" w:hAnsiTheme="majorHAnsi"/>
          <w:sz w:val="20"/>
          <w:szCs w:val="20"/>
        </w:rPr>
        <w:t xml:space="preserve">of </w:t>
      </w:r>
      <w:r w:rsidR="00574915" w:rsidRPr="00A51861">
        <w:rPr>
          <w:rFonts w:asciiTheme="majorHAnsi" w:hAnsiTheme="majorHAnsi"/>
          <w:sz w:val="20"/>
          <w:szCs w:val="20"/>
        </w:rPr>
        <w:t>Argentina</w:t>
      </w:r>
      <w:r>
        <w:rPr>
          <w:rFonts w:asciiTheme="majorHAnsi" w:hAnsiTheme="majorHAnsi"/>
          <w:sz w:val="20"/>
          <w:szCs w:val="20"/>
        </w:rPr>
        <w:t xml:space="preserve"> and </w:t>
      </w:r>
      <w:r w:rsidR="003B62DD">
        <w:rPr>
          <w:rFonts w:asciiTheme="majorHAnsi" w:hAnsiTheme="majorHAnsi"/>
          <w:sz w:val="20"/>
          <w:szCs w:val="20"/>
        </w:rPr>
        <w:t>other means of proof</w:t>
      </w:r>
      <w:r w:rsidR="00574915" w:rsidRPr="00A51861">
        <w:rPr>
          <w:rFonts w:asciiTheme="majorHAnsi" w:hAnsiTheme="majorHAnsi"/>
          <w:sz w:val="20"/>
          <w:szCs w:val="20"/>
        </w:rPr>
        <w:t xml:space="preserve">, </w:t>
      </w:r>
      <w:r w:rsidR="003B62DD">
        <w:rPr>
          <w:rFonts w:asciiTheme="majorHAnsi" w:hAnsiTheme="majorHAnsi"/>
          <w:sz w:val="20"/>
          <w:szCs w:val="20"/>
        </w:rPr>
        <w:t>to obtain</w:t>
      </w:r>
      <w:r w:rsidR="00574915" w:rsidRPr="00A51861">
        <w:rPr>
          <w:rFonts w:asciiTheme="majorHAnsi" w:hAnsiTheme="majorHAnsi"/>
          <w:sz w:val="20"/>
          <w:szCs w:val="20"/>
        </w:rPr>
        <w:t xml:space="preserve"> </w:t>
      </w:r>
      <w:r w:rsidR="003B62DD" w:rsidRPr="00A51861">
        <w:rPr>
          <w:rFonts w:asciiTheme="majorHAnsi" w:hAnsiTheme="majorHAnsi"/>
          <w:sz w:val="20"/>
          <w:szCs w:val="20"/>
        </w:rPr>
        <w:t xml:space="preserve">relevant </w:t>
      </w:r>
      <w:r w:rsidR="00A51861" w:rsidRPr="00A51861">
        <w:rPr>
          <w:rFonts w:asciiTheme="majorHAnsi" w:hAnsiTheme="majorHAnsi"/>
          <w:sz w:val="20"/>
          <w:szCs w:val="20"/>
        </w:rPr>
        <w:t>information</w:t>
      </w:r>
      <w:r w:rsidR="00574915" w:rsidRPr="00A51861">
        <w:rPr>
          <w:rFonts w:asciiTheme="majorHAnsi" w:hAnsiTheme="majorHAnsi"/>
          <w:sz w:val="20"/>
          <w:szCs w:val="20"/>
        </w:rPr>
        <w:t xml:space="preserve"> </w:t>
      </w:r>
      <w:r w:rsidR="003B62DD">
        <w:rPr>
          <w:rFonts w:asciiTheme="majorHAnsi" w:hAnsiTheme="majorHAnsi"/>
          <w:sz w:val="20"/>
          <w:szCs w:val="20"/>
        </w:rPr>
        <w:t>to prove the</w:t>
      </w:r>
      <w:r w:rsidR="00574915" w:rsidRPr="00A51861">
        <w:rPr>
          <w:rFonts w:asciiTheme="majorHAnsi" w:hAnsiTheme="majorHAnsi"/>
          <w:sz w:val="20"/>
          <w:szCs w:val="20"/>
        </w:rPr>
        <w:t xml:space="preserve"> </w:t>
      </w:r>
      <w:r w:rsidR="005F46B6">
        <w:rPr>
          <w:rFonts w:asciiTheme="majorHAnsi" w:hAnsiTheme="majorHAnsi"/>
          <w:sz w:val="20"/>
          <w:szCs w:val="20"/>
        </w:rPr>
        <w:t xml:space="preserve">political persecution </w:t>
      </w:r>
      <w:r w:rsidR="003B62DD">
        <w:rPr>
          <w:rFonts w:asciiTheme="majorHAnsi" w:hAnsiTheme="majorHAnsi"/>
          <w:sz w:val="20"/>
          <w:szCs w:val="20"/>
        </w:rPr>
        <w:t>suffered</w:t>
      </w:r>
      <w:r w:rsidR="00574915" w:rsidRPr="00A51861">
        <w:rPr>
          <w:rFonts w:asciiTheme="majorHAnsi" w:hAnsiTheme="majorHAnsi"/>
          <w:sz w:val="20"/>
          <w:szCs w:val="20"/>
          <w:vertAlign w:val="superscript"/>
        </w:rPr>
        <w:footnoteReference w:id="113"/>
      </w:r>
      <w:r w:rsidR="00574915" w:rsidRPr="00A51861">
        <w:rPr>
          <w:rFonts w:asciiTheme="majorHAnsi" w:hAnsiTheme="majorHAnsi"/>
          <w:sz w:val="20"/>
          <w:szCs w:val="20"/>
        </w:rPr>
        <w:t xml:space="preserve">. </w:t>
      </w:r>
      <w:r w:rsidR="003B62DD">
        <w:rPr>
          <w:rFonts w:asciiTheme="majorHAnsi" w:hAnsiTheme="majorHAnsi"/>
          <w:sz w:val="20"/>
          <w:szCs w:val="20"/>
        </w:rPr>
        <w:t>However</w:t>
      </w:r>
      <w:r w:rsidR="00574915" w:rsidRPr="00A51861">
        <w:rPr>
          <w:rFonts w:asciiTheme="majorHAnsi" w:hAnsiTheme="majorHAnsi"/>
          <w:sz w:val="20"/>
          <w:szCs w:val="20"/>
        </w:rPr>
        <w:t xml:space="preserve">, </w:t>
      </w:r>
      <w:r>
        <w:rPr>
          <w:rFonts w:asciiTheme="majorHAnsi" w:hAnsiTheme="majorHAnsi"/>
          <w:sz w:val="20"/>
          <w:szCs w:val="20"/>
        </w:rPr>
        <w:t xml:space="preserve">petitioner </w:t>
      </w:r>
      <w:r w:rsidR="003B62DD">
        <w:rPr>
          <w:rFonts w:asciiTheme="majorHAnsi" w:hAnsiTheme="majorHAnsi"/>
          <w:sz w:val="20"/>
          <w:szCs w:val="20"/>
        </w:rPr>
        <w:t xml:space="preserve">held </w:t>
      </w:r>
      <w:r>
        <w:rPr>
          <w:rFonts w:asciiTheme="majorHAnsi" w:hAnsiTheme="majorHAnsi"/>
          <w:sz w:val="20"/>
          <w:szCs w:val="20"/>
        </w:rPr>
        <w:t xml:space="preserve">that the </w:t>
      </w:r>
      <w:r w:rsidR="003B62DD">
        <w:rPr>
          <w:rFonts w:asciiTheme="majorHAnsi" w:hAnsiTheme="majorHAnsi"/>
          <w:sz w:val="20"/>
          <w:szCs w:val="20"/>
        </w:rPr>
        <w:t>evidence was not provided by</w:t>
      </w:r>
      <w:r w:rsidR="00574915" w:rsidRPr="00A51861">
        <w:rPr>
          <w:rFonts w:asciiTheme="majorHAnsi" w:hAnsiTheme="majorHAnsi"/>
          <w:sz w:val="20"/>
          <w:szCs w:val="20"/>
        </w:rPr>
        <w:t xml:space="preserve"> </w:t>
      </w:r>
      <w:r w:rsidR="00940530">
        <w:rPr>
          <w:rFonts w:asciiTheme="majorHAnsi" w:hAnsiTheme="majorHAnsi"/>
          <w:sz w:val="20"/>
          <w:szCs w:val="20"/>
        </w:rPr>
        <w:t>authorities</w:t>
      </w:r>
      <w:r w:rsidR="00574915" w:rsidRPr="00A51861">
        <w:rPr>
          <w:rFonts w:asciiTheme="majorHAnsi" w:hAnsiTheme="majorHAnsi"/>
          <w:sz w:val="20"/>
          <w:szCs w:val="20"/>
        </w:rPr>
        <w:t xml:space="preserve">, </w:t>
      </w:r>
      <w:r w:rsidR="003B62DD">
        <w:rPr>
          <w:rFonts w:asciiTheme="majorHAnsi" w:hAnsiTheme="majorHAnsi"/>
          <w:sz w:val="20"/>
          <w:szCs w:val="20"/>
        </w:rPr>
        <w:t>nor was his request reviewed</w:t>
      </w:r>
      <w:r w:rsidR="00574915" w:rsidRPr="00A51861">
        <w:rPr>
          <w:rFonts w:asciiTheme="majorHAnsi" w:hAnsiTheme="majorHAnsi"/>
          <w:sz w:val="20"/>
          <w:szCs w:val="20"/>
        </w:rPr>
        <w:t xml:space="preserve"> </w:t>
      </w:r>
      <w:r w:rsidR="003B62DD">
        <w:rPr>
          <w:rFonts w:asciiTheme="majorHAnsi" w:hAnsiTheme="majorHAnsi"/>
          <w:sz w:val="20"/>
          <w:szCs w:val="20"/>
        </w:rPr>
        <w:t>at</w:t>
      </w:r>
      <w:r w:rsidR="00574915" w:rsidRPr="00A51861">
        <w:rPr>
          <w:rFonts w:asciiTheme="majorHAnsi" w:hAnsiTheme="majorHAnsi"/>
          <w:sz w:val="20"/>
          <w:szCs w:val="20"/>
        </w:rPr>
        <w:t xml:space="preserve"> administrativ</w:t>
      </w:r>
      <w:r w:rsidR="003B62DD">
        <w:rPr>
          <w:rFonts w:asciiTheme="majorHAnsi" w:hAnsiTheme="majorHAnsi"/>
          <w:sz w:val="20"/>
          <w:szCs w:val="20"/>
        </w:rPr>
        <w:t>e</w:t>
      </w:r>
      <w:r>
        <w:rPr>
          <w:rFonts w:asciiTheme="majorHAnsi" w:hAnsiTheme="majorHAnsi"/>
          <w:sz w:val="20"/>
          <w:szCs w:val="20"/>
        </w:rPr>
        <w:t xml:space="preserve"> and </w:t>
      </w:r>
      <w:r w:rsidR="00574915" w:rsidRPr="00A51861">
        <w:rPr>
          <w:rFonts w:asciiTheme="majorHAnsi" w:hAnsiTheme="majorHAnsi"/>
          <w:sz w:val="20"/>
          <w:szCs w:val="20"/>
        </w:rPr>
        <w:t>judicial</w:t>
      </w:r>
      <w:r w:rsidR="003B62DD" w:rsidRPr="003B62DD">
        <w:rPr>
          <w:rFonts w:asciiTheme="majorHAnsi" w:hAnsiTheme="majorHAnsi"/>
          <w:sz w:val="20"/>
          <w:szCs w:val="20"/>
        </w:rPr>
        <w:t xml:space="preserve"> </w:t>
      </w:r>
      <w:r w:rsidR="003B62DD" w:rsidRPr="00A51861">
        <w:rPr>
          <w:rFonts w:asciiTheme="majorHAnsi" w:hAnsiTheme="majorHAnsi"/>
          <w:sz w:val="20"/>
          <w:szCs w:val="20"/>
        </w:rPr>
        <w:t>instanc</w:t>
      </w:r>
      <w:r w:rsidR="003B62DD">
        <w:rPr>
          <w:rFonts w:asciiTheme="majorHAnsi" w:hAnsiTheme="majorHAnsi"/>
          <w:sz w:val="20"/>
          <w:szCs w:val="20"/>
        </w:rPr>
        <w:t>e</w:t>
      </w:r>
      <w:r w:rsidR="003B62DD" w:rsidRPr="00A51861">
        <w:rPr>
          <w:rFonts w:asciiTheme="majorHAnsi" w:hAnsiTheme="majorHAnsi"/>
          <w:sz w:val="20"/>
          <w:szCs w:val="20"/>
        </w:rPr>
        <w:t xml:space="preserve">s </w:t>
      </w:r>
      <w:r w:rsidR="00574915" w:rsidRPr="00A51861">
        <w:rPr>
          <w:rStyle w:val="FootnoteReference"/>
          <w:rFonts w:asciiTheme="majorHAnsi" w:hAnsiTheme="majorHAnsi"/>
          <w:sz w:val="20"/>
          <w:szCs w:val="20"/>
        </w:rPr>
        <w:footnoteReference w:id="114"/>
      </w:r>
      <w:r w:rsidR="00574915" w:rsidRPr="00A51861">
        <w:rPr>
          <w:rFonts w:asciiTheme="majorHAnsi" w:hAnsiTheme="majorHAnsi"/>
          <w:sz w:val="20"/>
          <w:szCs w:val="20"/>
        </w:rPr>
        <w:t>.</w:t>
      </w:r>
    </w:p>
    <w:p w14:paraId="5E92938D" w14:textId="77777777" w:rsidR="004A476E" w:rsidRPr="00A51861" w:rsidRDefault="004A476E" w:rsidP="008E4D36">
      <w:pPr>
        <w:pStyle w:val="ListParagraph"/>
        <w:rPr>
          <w:rFonts w:asciiTheme="majorHAnsi" w:hAnsiTheme="majorHAnsi"/>
          <w:sz w:val="20"/>
          <w:szCs w:val="20"/>
        </w:rPr>
      </w:pPr>
    </w:p>
    <w:p w14:paraId="383365F5" w14:textId="547485E4" w:rsidR="00574915" w:rsidRPr="00A51861" w:rsidRDefault="003B62DD"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 xml:space="preserve">Concerning </w:t>
      </w:r>
      <w:r w:rsidR="00A274B7">
        <w:rPr>
          <w:rFonts w:asciiTheme="majorHAnsi" w:hAnsiTheme="majorHAnsi"/>
          <w:sz w:val="20"/>
          <w:szCs w:val="20"/>
        </w:rPr>
        <w:t>casefile</w:t>
      </w:r>
      <w:r w:rsidR="00574915" w:rsidRPr="00A51861">
        <w:rPr>
          <w:rFonts w:asciiTheme="majorHAnsi" w:hAnsiTheme="majorHAnsi"/>
          <w:sz w:val="20"/>
          <w:szCs w:val="20"/>
        </w:rPr>
        <w:t xml:space="preserve"> No. 80658/74 </w:t>
      </w:r>
      <w:r w:rsidR="00F50003">
        <w:rPr>
          <w:rFonts w:asciiTheme="majorHAnsi" w:hAnsiTheme="majorHAnsi"/>
          <w:sz w:val="20"/>
          <w:szCs w:val="20"/>
        </w:rPr>
        <w:t>present at the</w:t>
      </w:r>
      <w:r w:rsidR="00185E46">
        <w:rPr>
          <w:rFonts w:asciiTheme="majorHAnsi" w:hAnsiTheme="majorHAnsi"/>
          <w:sz w:val="20"/>
          <w:szCs w:val="20"/>
        </w:rPr>
        <w:t xml:space="preserve"> NDM </w:t>
      </w:r>
      <w:r w:rsidR="00F50003">
        <w:rPr>
          <w:rFonts w:asciiTheme="majorHAnsi" w:hAnsiTheme="majorHAnsi"/>
          <w:sz w:val="20"/>
          <w:szCs w:val="20"/>
        </w:rPr>
        <w:t>under the name of</w:t>
      </w:r>
      <w:r w:rsidR="00574915" w:rsidRPr="00A51861">
        <w:rPr>
          <w:rFonts w:asciiTheme="majorHAnsi" w:hAnsiTheme="majorHAnsi"/>
          <w:sz w:val="20"/>
          <w:szCs w:val="20"/>
        </w:rPr>
        <w:t xml:space="preserve"> </w:t>
      </w:r>
      <w:r w:rsidR="00BD093F">
        <w:rPr>
          <w:rFonts w:asciiTheme="majorHAnsi" w:hAnsiTheme="majorHAnsi"/>
          <w:sz w:val="20"/>
          <w:szCs w:val="20"/>
        </w:rPr>
        <w:t xml:space="preserve">Mr. </w:t>
      </w:r>
      <w:r w:rsidR="00574915" w:rsidRPr="00A51861">
        <w:rPr>
          <w:rFonts w:asciiTheme="majorHAnsi" w:hAnsiTheme="majorHAnsi"/>
          <w:sz w:val="20"/>
          <w:szCs w:val="20"/>
        </w:rPr>
        <w:t xml:space="preserve">Hugo Daniel Ferreira, </w:t>
      </w:r>
      <w:r w:rsidR="00F50003">
        <w:rPr>
          <w:rFonts w:asciiTheme="majorHAnsi" w:hAnsiTheme="majorHAnsi"/>
          <w:sz w:val="20"/>
          <w:szCs w:val="20"/>
        </w:rPr>
        <w:t>it is noted that he repeatedly requested</w:t>
      </w:r>
      <w:r w:rsidR="00574915" w:rsidRPr="00A51861">
        <w:rPr>
          <w:rFonts w:asciiTheme="majorHAnsi" w:hAnsiTheme="majorHAnsi"/>
          <w:sz w:val="20"/>
          <w:szCs w:val="20"/>
        </w:rPr>
        <w:t xml:space="preserve"> </w:t>
      </w:r>
      <w:r w:rsidR="00F50003">
        <w:rPr>
          <w:rFonts w:asciiTheme="majorHAnsi" w:hAnsiTheme="majorHAnsi"/>
          <w:sz w:val="20"/>
          <w:szCs w:val="20"/>
        </w:rPr>
        <w:t>that it be annexed to the proceedings</w:t>
      </w:r>
      <w:r w:rsidR="00574915" w:rsidRPr="00A51861">
        <w:rPr>
          <w:rFonts w:asciiTheme="majorHAnsi" w:hAnsiTheme="majorHAnsi"/>
          <w:sz w:val="20"/>
          <w:szCs w:val="20"/>
        </w:rPr>
        <w:t xml:space="preserve"> </w:t>
      </w:r>
      <w:r w:rsidR="00F50003">
        <w:rPr>
          <w:rFonts w:asciiTheme="majorHAnsi" w:hAnsiTheme="majorHAnsi"/>
          <w:sz w:val="20"/>
          <w:szCs w:val="20"/>
        </w:rPr>
        <w:t>before</w:t>
      </w:r>
      <w:r w:rsidR="00574915" w:rsidRPr="00A51861">
        <w:rPr>
          <w:rFonts w:asciiTheme="majorHAnsi" w:hAnsiTheme="majorHAnsi"/>
          <w:sz w:val="20"/>
          <w:szCs w:val="20"/>
        </w:rPr>
        <w:t xml:space="preserve"> </w:t>
      </w:r>
      <w:r w:rsidR="00E92985">
        <w:rPr>
          <w:rFonts w:asciiTheme="majorHAnsi" w:hAnsiTheme="majorHAnsi"/>
          <w:sz w:val="20"/>
          <w:szCs w:val="20"/>
        </w:rPr>
        <w:t xml:space="preserve">decisions </w:t>
      </w:r>
      <w:r w:rsidR="00F50003">
        <w:rPr>
          <w:rFonts w:asciiTheme="majorHAnsi" w:hAnsiTheme="majorHAnsi"/>
          <w:sz w:val="20"/>
          <w:szCs w:val="20"/>
        </w:rPr>
        <w:t>on merits were made on the matter</w:t>
      </w:r>
      <w:r w:rsidR="00574915" w:rsidRPr="00A51861">
        <w:rPr>
          <w:rStyle w:val="FootnoteReference"/>
          <w:rFonts w:asciiTheme="majorHAnsi" w:hAnsiTheme="majorHAnsi"/>
          <w:sz w:val="20"/>
          <w:szCs w:val="20"/>
        </w:rPr>
        <w:footnoteReference w:id="115"/>
      </w:r>
      <w:r w:rsidR="00574915" w:rsidRPr="00A51861">
        <w:rPr>
          <w:rFonts w:asciiTheme="majorHAnsi" w:hAnsiTheme="majorHAnsi"/>
          <w:sz w:val="20"/>
          <w:szCs w:val="20"/>
        </w:rPr>
        <w:t xml:space="preserve">, </w:t>
      </w:r>
      <w:r w:rsidR="00F50003">
        <w:rPr>
          <w:rFonts w:asciiTheme="majorHAnsi" w:hAnsiTheme="majorHAnsi"/>
          <w:sz w:val="20"/>
          <w:szCs w:val="20"/>
        </w:rPr>
        <w:t>yet in spite of said requests</w:t>
      </w:r>
      <w:r w:rsidR="00574915" w:rsidRPr="00A51861">
        <w:rPr>
          <w:rFonts w:asciiTheme="majorHAnsi" w:hAnsiTheme="majorHAnsi"/>
          <w:sz w:val="20"/>
          <w:szCs w:val="20"/>
        </w:rPr>
        <w:t xml:space="preserve">, </w:t>
      </w:r>
      <w:r w:rsidR="00F50003">
        <w:rPr>
          <w:rFonts w:asciiTheme="majorHAnsi" w:hAnsiTheme="majorHAnsi"/>
          <w:sz w:val="20"/>
          <w:szCs w:val="20"/>
        </w:rPr>
        <w:t>it was not but until the stage</w:t>
      </w:r>
      <w:r w:rsidR="00574915" w:rsidRPr="00A51861">
        <w:rPr>
          <w:rFonts w:asciiTheme="majorHAnsi" w:hAnsiTheme="majorHAnsi"/>
          <w:sz w:val="20"/>
          <w:szCs w:val="20"/>
        </w:rPr>
        <w:t xml:space="preserve"> </w:t>
      </w:r>
      <w:r w:rsidR="00076366">
        <w:rPr>
          <w:rFonts w:asciiTheme="majorHAnsi" w:hAnsiTheme="majorHAnsi"/>
          <w:sz w:val="20"/>
          <w:szCs w:val="20"/>
        </w:rPr>
        <w:t xml:space="preserve">before the </w:t>
      </w:r>
      <w:r w:rsidR="00DE5A3D">
        <w:rPr>
          <w:rFonts w:asciiTheme="majorHAnsi" w:hAnsiTheme="majorHAnsi"/>
          <w:sz w:val="20"/>
          <w:szCs w:val="20"/>
        </w:rPr>
        <w:t>Supreme Court of Justice of the Nation</w:t>
      </w:r>
      <w:r w:rsidR="005F46B6">
        <w:rPr>
          <w:rFonts w:asciiTheme="majorHAnsi" w:hAnsiTheme="majorHAnsi"/>
          <w:sz w:val="20"/>
          <w:szCs w:val="20"/>
        </w:rPr>
        <w:t xml:space="preserve"> </w:t>
      </w:r>
      <w:r w:rsidR="00F50003">
        <w:rPr>
          <w:rFonts w:asciiTheme="majorHAnsi" w:hAnsiTheme="majorHAnsi"/>
          <w:sz w:val="20"/>
          <w:szCs w:val="20"/>
        </w:rPr>
        <w:t>that it was added into the case</w:t>
      </w:r>
      <w:r w:rsidR="00574915" w:rsidRPr="00A51861">
        <w:rPr>
          <w:rFonts w:asciiTheme="majorHAnsi" w:hAnsiTheme="majorHAnsi"/>
          <w:sz w:val="20"/>
          <w:szCs w:val="20"/>
        </w:rPr>
        <w:t xml:space="preserve">, </w:t>
      </w:r>
      <w:r w:rsidR="00F50003">
        <w:rPr>
          <w:rFonts w:asciiTheme="majorHAnsi" w:hAnsiTheme="majorHAnsi"/>
          <w:sz w:val="20"/>
          <w:szCs w:val="20"/>
        </w:rPr>
        <w:t>thanks to the efforts of the representatives of</w:t>
      </w:r>
      <w:r w:rsidR="00574915" w:rsidRPr="00A51861">
        <w:rPr>
          <w:rFonts w:asciiTheme="majorHAnsi" w:hAnsiTheme="majorHAnsi"/>
          <w:sz w:val="20"/>
          <w:szCs w:val="20"/>
        </w:rPr>
        <w:t xml:space="preserve"> </w:t>
      </w:r>
      <w:r w:rsidR="00BD093F">
        <w:rPr>
          <w:rFonts w:asciiTheme="majorHAnsi" w:hAnsiTheme="majorHAnsi"/>
          <w:sz w:val="20"/>
          <w:szCs w:val="20"/>
        </w:rPr>
        <w:t xml:space="preserve">Mr. </w:t>
      </w:r>
      <w:r w:rsidR="00574915" w:rsidRPr="00A51861">
        <w:rPr>
          <w:rFonts w:asciiTheme="majorHAnsi" w:hAnsiTheme="majorHAnsi"/>
          <w:sz w:val="20"/>
          <w:szCs w:val="20"/>
        </w:rPr>
        <w:t>Ferreira</w:t>
      </w:r>
      <w:r w:rsidR="00574915" w:rsidRPr="00A51861">
        <w:rPr>
          <w:rFonts w:asciiTheme="majorHAnsi" w:hAnsiTheme="majorHAnsi"/>
          <w:sz w:val="20"/>
          <w:szCs w:val="20"/>
          <w:vertAlign w:val="superscript"/>
        </w:rPr>
        <w:footnoteReference w:id="116"/>
      </w:r>
      <w:r w:rsidR="00574915" w:rsidRPr="00A51861">
        <w:rPr>
          <w:rFonts w:asciiTheme="majorHAnsi" w:hAnsiTheme="majorHAnsi"/>
          <w:sz w:val="20"/>
          <w:szCs w:val="20"/>
        </w:rPr>
        <w:t xml:space="preserve">. </w:t>
      </w:r>
      <w:r w:rsidR="00F50003">
        <w:rPr>
          <w:rFonts w:asciiTheme="majorHAnsi" w:hAnsiTheme="majorHAnsi"/>
          <w:sz w:val="20"/>
          <w:szCs w:val="20"/>
        </w:rPr>
        <w:t>However</w:t>
      </w:r>
      <w:r w:rsidR="00574915" w:rsidRPr="00A51861">
        <w:rPr>
          <w:rFonts w:asciiTheme="majorHAnsi" w:hAnsiTheme="majorHAnsi"/>
          <w:sz w:val="20"/>
          <w:szCs w:val="20"/>
        </w:rPr>
        <w:t xml:space="preserve">, </w:t>
      </w:r>
      <w:r w:rsidR="00076366">
        <w:rPr>
          <w:rFonts w:asciiTheme="majorHAnsi" w:hAnsiTheme="majorHAnsi"/>
          <w:sz w:val="20"/>
          <w:szCs w:val="20"/>
        </w:rPr>
        <w:t xml:space="preserve">the Supreme </w:t>
      </w:r>
      <w:r w:rsidR="00A63761">
        <w:rPr>
          <w:rFonts w:asciiTheme="majorHAnsi" w:hAnsiTheme="majorHAnsi"/>
          <w:sz w:val="20"/>
          <w:szCs w:val="20"/>
        </w:rPr>
        <w:t>Court</w:t>
      </w:r>
      <w:r w:rsidR="00574915" w:rsidRPr="00A51861">
        <w:rPr>
          <w:rFonts w:asciiTheme="majorHAnsi" w:hAnsiTheme="majorHAnsi"/>
          <w:sz w:val="20"/>
          <w:szCs w:val="20"/>
        </w:rPr>
        <w:t xml:space="preserve"> </w:t>
      </w:r>
      <w:r w:rsidR="00F50003">
        <w:rPr>
          <w:rFonts w:asciiTheme="majorHAnsi" w:hAnsiTheme="majorHAnsi"/>
          <w:sz w:val="20"/>
          <w:szCs w:val="20"/>
        </w:rPr>
        <w:t>did not judge on the matter</w:t>
      </w:r>
      <w:r w:rsidR="00574915" w:rsidRPr="00A51861">
        <w:rPr>
          <w:rStyle w:val="FootnoteReference"/>
          <w:rFonts w:asciiTheme="majorHAnsi" w:hAnsiTheme="majorHAnsi"/>
          <w:sz w:val="20"/>
          <w:szCs w:val="20"/>
        </w:rPr>
        <w:footnoteReference w:id="117"/>
      </w:r>
      <w:r w:rsidR="00574915" w:rsidRPr="00A51861">
        <w:rPr>
          <w:rFonts w:asciiTheme="majorHAnsi" w:hAnsiTheme="majorHAnsi"/>
          <w:sz w:val="20"/>
          <w:szCs w:val="20"/>
        </w:rPr>
        <w:t xml:space="preserve">. </w:t>
      </w:r>
    </w:p>
    <w:p w14:paraId="26DB4AC3" w14:textId="77777777" w:rsidR="00574915" w:rsidRPr="00A51861" w:rsidRDefault="00574915" w:rsidP="008E4D36">
      <w:pPr>
        <w:jc w:val="both"/>
        <w:rPr>
          <w:rFonts w:asciiTheme="majorHAnsi" w:hAnsiTheme="majorHAnsi"/>
          <w:b/>
          <w:sz w:val="20"/>
          <w:szCs w:val="20"/>
        </w:rPr>
      </w:pPr>
    </w:p>
    <w:p w14:paraId="45CFDDC0" w14:textId="77777777" w:rsidR="004D195F" w:rsidRPr="00A51861" w:rsidRDefault="00591189" w:rsidP="00273F34">
      <w:pPr>
        <w:pStyle w:val="Heading3"/>
        <w:keepNext/>
        <w:numPr>
          <w:ilvl w:val="0"/>
          <w:numId w:val="72"/>
        </w:numPr>
        <w:spacing w:line="240" w:lineRule="auto"/>
        <w:jc w:val="left"/>
        <w:rPr>
          <w:rFonts w:asciiTheme="majorHAnsi" w:hAnsiTheme="majorHAnsi"/>
          <w:b w:val="0"/>
        </w:rPr>
      </w:pPr>
      <w:bookmarkStart w:id="19" w:name="_Toc196383483"/>
      <w:r w:rsidRPr="00A51861">
        <w:rPr>
          <w:rFonts w:asciiTheme="majorHAnsi" w:hAnsiTheme="majorHAnsi"/>
        </w:rPr>
        <w:t>Nicasio Washington Romero Ubal</w:t>
      </w:r>
      <w:bookmarkEnd w:id="19"/>
    </w:p>
    <w:p w14:paraId="527AF075" w14:textId="77777777" w:rsidR="007D6638" w:rsidRPr="00A51861" w:rsidRDefault="007D6638" w:rsidP="008E4D36">
      <w:pPr>
        <w:pStyle w:val="ListParagraph"/>
        <w:ind w:left="1440" w:hanging="1080"/>
        <w:jc w:val="both"/>
        <w:rPr>
          <w:rFonts w:asciiTheme="majorHAnsi" w:hAnsiTheme="majorHAnsi"/>
          <w:b/>
          <w:sz w:val="20"/>
          <w:szCs w:val="20"/>
        </w:rPr>
      </w:pPr>
    </w:p>
    <w:p w14:paraId="51678CF3" w14:textId="15B82180" w:rsidR="007D6638" w:rsidRPr="00A51861" w:rsidRDefault="008109F6"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On September 14,</w:t>
      </w:r>
      <w:r w:rsidR="00E92985">
        <w:rPr>
          <w:rFonts w:asciiTheme="majorHAnsi" w:hAnsiTheme="majorHAnsi"/>
          <w:sz w:val="20"/>
          <w:szCs w:val="20"/>
        </w:rPr>
        <w:t xml:space="preserve"> </w:t>
      </w:r>
      <w:r w:rsidR="007D6638" w:rsidRPr="00A51861">
        <w:rPr>
          <w:rFonts w:asciiTheme="majorHAnsi" w:hAnsiTheme="majorHAnsi"/>
          <w:sz w:val="20"/>
          <w:szCs w:val="20"/>
        </w:rPr>
        <w:t>1974</w:t>
      </w:r>
      <w:r w:rsidR="004A4752" w:rsidRPr="00A51861">
        <w:rPr>
          <w:rFonts w:asciiTheme="majorHAnsi" w:hAnsiTheme="majorHAnsi"/>
          <w:sz w:val="20"/>
          <w:szCs w:val="20"/>
        </w:rPr>
        <w:t xml:space="preserve"> </w:t>
      </w:r>
      <w:r w:rsidR="00A51861" w:rsidRPr="00A51861">
        <w:rPr>
          <w:rFonts w:asciiTheme="majorHAnsi" w:hAnsiTheme="majorHAnsi"/>
          <w:sz w:val="20"/>
          <w:szCs w:val="20"/>
        </w:rPr>
        <w:t xml:space="preserve">Mr. </w:t>
      </w:r>
      <w:r w:rsidR="004A4752" w:rsidRPr="00A51861">
        <w:rPr>
          <w:rFonts w:asciiTheme="majorHAnsi" w:hAnsiTheme="majorHAnsi"/>
          <w:sz w:val="20"/>
          <w:szCs w:val="20"/>
        </w:rPr>
        <w:t xml:space="preserve">Nicasio Washington Romero Ubal </w:t>
      </w:r>
      <w:r>
        <w:rPr>
          <w:rFonts w:asciiTheme="majorHAnsi" w:hAnsiTheme="majorHAnsi"/>
          <w:sz w:val="20"/>
          <w:szCs w:val="20"/>
        </w:rPr>
        <w:t>was</w:t>
      </w:r>
      <w:r w:rsidR="004A4752" w:rsidRPr="00A51861">
        <w:rPr>
          <w:rFonts w:asciiTheme="majorHAnsi" w:hAnsiTheme="majorHAnsi"/>
          <w:sz w:val="20"/>
          <w:szCs w:val="20"/>
        </w:rPr>
        <w:t xml:space="preserve"> intercept</w:t>
      </w:r>
      <w:r>
        <w:rPr>
          <w:rFonts w:asciiTheme="majorHAnsi" w:hAnsiTheme="majorHAnsi"/>
          <w:sz w:val="20"/>
          <w:szCs w:val="20"/>
        </w:rPr>
        <w:t>ed</w:t>
      </w:r>
      <w:r w:rsidR="004A4752" w:rsidRPr="00A51861">
        <w:rPr>
          <w:rFonts w:asciiTheme="majorHAnsi" w:hAnsiTheme="majorHAnsi"/>
          <w:sz w:val="20"/>
          <w:szCs w:val="20"/>
        </w:rPr>
        <w:t xml:space="preserve"> </w:t>
      </w:r>
      <w:r>
        <w:rPr>
          <w:rFonts w:asciiTheme="majorHAnsi" w:hAnsiTheme="majorHAnsi"/>
          <w:sz w:val="20"/>
          <w:szCs w:val="20"/>
        </w:rPr>
        <w:t>when leaving work in a record store</w:t>
      </w:r>
      <w:r w:rsidR="00B31FB5" w:rsidRPr="00A51861">
        <w:rPr>
          <w:rFonts w:asciiTheme="majorHAnsi" w:hAnsiTheme="majorHAnsi"/>
          <w:sz w:val="20"/>
          <w:szCs w:val="20"/>
        </w:rPr>
        <w:t xml:space="preserve"> </w:t>
      </w:r>
      <w:r>
        <w:rPr>
          <w:rFonts w:asciiTheme="majorHAnsi" w:hAnsiTheme="majorHAnsi"/>
          <w:sz w:val="20"/>
          <w:szCs w:val="20"/>
        </w:rPr>
        <w:t>in the</w:t>
      </w:r>
      <w:r w:rsidR="004A4752" w:rsidRPr="00A51861">
        <w:rPr>
          <w:rFonts w:asciiTheme="majorHAnsi" w:hAnsiTheme="majorHAnsi"/>
          <w:sz w:val="20"/>
          <w:szCs w:val="20"/>
        </w:rPr>
        <w:t xml:space="preserve"> Once</w:t>
      </w:r>
      <w:r w:rsidR="00E92985">
        <w:rPr>
          <w:rFonts w:asciiTheme="majorHAnsi" w:hAnsiTheme="majorHAnsi"/>
          <w:sz w:val="20"/>
          <w:szCs w:val="20"/>
        </w:rPr>
        <w:t xml:space="preserve"> </w:t>
      </w:r>
      <w:r>
        <w:rPr>
          <w:rFonts w:asciiTheme="majorHAnsi" w:hAnsiTheme="majorHAnsi"/>
          <w:sz w:val="20"/>
          <w:szCs w:val="20"/>
        </w:rPr>
        <w:t xml:space="preserve">neighborhood </w:t>
      </w:r>
      <w:r w:rsidR="00E92985">
        <w:rPr>
          <w:rFonts w:asciiTheme="majorHAnsi" w:hAnsiTheme="majorHAnsi"/>
          <w:sz w:val="20"/>
          <w:szCs w:val="20"/>
        </w:rPr>
        <w:t xml:space="preserve">of </w:t>
      </w:r>
      <w:r w:rsidR="004A4752" w:rsidRPr="00A51861">
        <w:rPr>
          <w:rFonts w:asciiTheme="majorHAnsi" w:hAnsiTheme="majorHAnsi"/>
          <w:sz w:val="20"/>
          <w:szCs w:val="20"/>
        </w:rPr>
        <w:t xml:space="preserve">Buenos Aires, </w:t>
      </w:r>
      <w:r>
        <w:rPr>
          <w:rFonts w:asciiTheme="majorHAnsi" w:hAnsiTheme="majorHAnsi"/>
          <w:sz w:val="20"/>
          <w:szCs w:val="20"/>
        </w:rPr>
        <w:t>by an undefined number</w:t>
      </w:r>
      <w:r w:rsidR="00E92985">
        <w:rPr>
          <w:rFonts w:asciiTheme="majorHAnsi" w:hAnsiTheme="majorHAnsi"/>
          <w:sz w:val="20"/>
          <w:szCs w:val="20"/>
        </w:rPr>
        <w:t xml:space="preserve"> of </w:t>
      </w:r>
      <w:r w:rsidR="00EC7A58">
        <w:rPr>
          <w:rFonts w:asciiTheme="majorHAnsi" w:hAnsiTheme="majorHAnsi"/>
          <w:sz w:val="20"/>
          <w:szCs w:val="20"/>
        </w:rPr>
        <w:t>persons</w:t>
      </w:r>
      <w:r w:rsidR="007D6638" w:rsidRPr="00A51861">
        <w:rPr>
          <w:rFonts w:asciiTheme="majorHAnsi" w:hAnsiTheme="majorHAnsi"/>
          <w:sz w:val="20"/>
          <w:szCs w:val="20"/>
        </w:rPr>
        <w:t xml:space="preserve">, </w:t>
      </w:r>
      <w:r>
        <w:rPr>
          <w:rFonts w:asciiTheme="majorHAnsi" w:hAnsiTheme="majorHAnsi"/>
          <w:sz w:val="20"/>
          <w:szCs w:val="20"/>
        </w:rPr>
        <w:t xml:space="preserve">who </w:t>
      </w:r>
      <w:r w:rsidR="00883BE8">
        <w:rPr>
          <w:rFonts w:asciiTheme="majorHAnsi" w:hAnsiTheme="majorHAnsi"/>
          <w:sz w:val="20"/>
          <w:szCs w:val="20"/>
        </w:rPr>
        <w:t>forced him into a car after repeatedly striking him</w:t>
      </w:r>
      <w:r w:rsidR="00680DA3">
        <w:rPr>
          <w:rFonts w:asciiTheme="majorHAnsi" w:hAnsiTheme="majorHAnsi"/>
          <w:sz w:val="20"/>
          <w:szCs w:val="20"/>
        </w:rPr>
        <w:t>.  Th</w:t>
      </w:r>
      <w:r w:rsidR="00883BE8">
        <w:rPr>
          <w:rFonts w:asciiTheme="majorHAnsi" w:hAnsiTheme="majorHAnsi"/>
          <w:sz w:val="20"/>
          <w:szCs w:val="20"/>
        </w:rPr>
        <w:t>e</w:t>
      </w:r>
      <w:r w:rsidR="005F6157">
        <w:rPr>
          <w:rFonts w:asciiTheme="majorHAnsi" w:hAnsiTheme="majorHAnsi"/>
          <w:sz w:val="20"/>
          <w:szCs w:val="20"/>
        </w:rPr>
        <w:t xml:space="preserve"> fact</w:t>
      </w:r>
      <w:r w:rsidR="007D6638" w:rsidRPr="00A51861">
        <w:rPr>
          <w:rFonts w:asciiTheme="majorHAnsi" w:hAnsiTheme="majorHAnsi"/>
          <w:sz w:val="20"/>
          <w:szCs w:val="20"/>
        </w:rPr>
        <w:t xml:space="preserve"> </w:t>
      </w:r>
      <w:r w:rsidR="00883BE8">
        <w:rPr>
          <w:rFonts w:asciiTheme="majorHAnsi" w:hAnsiTheme="majorHAnsi"/>
          <w:sz w:val="20"/>
          <w:szCs w:val="20"/>
        </w:rPr>
        <w:t xml:space="preserve">was witnessed by tens </w:t>
      </w:r>
      <w:r w:rsidR="00E92985">
        <w:rPr>
          <w:rFonts w:asciiTheme="majorHAnsi" w:hAnsiTheme="majorHAnsi"/>
          <w:sz w:val="20"/>
          <w:szCs w:val="20"/>
        </w:rPr>
        <w:t xml:space="preserve">of </w:t>
      </w:r>
      <w:r w:rsidR="00EC7A58">
        <w:rPr>
          <w:rFonts w:asciiTheme="majorHAnsi" w:hAnsiTheme="majorHAnsi"/>
          <w:sz w:val="20"/>
          <w:szCs w:val="20"/>
        </w:rPr>
        <w:t>persons</w:t>
      </w:r>
      <w:r w:rsidR="007D6638" w:rsidRPr="00A51861">
        <w:rPr>
          <w:rStyle w:val="FootnoteReference"/>
          <w:rFonts w:asciiTheme="majorHAnsi" w:hAnsiTheme="majorHAnsi"/>
          <w:sz w:val="20"/>
          <w:szCs w:val="20"/>
        </w:rPr>
        <w:footnoteReference w:id="118"/>
      </w:r>
      <w:r w:rsidR="007D6638" w:rsidRPr="00A51861">
        <w:rPr>
          <w:rFonts w:asciiTheme="majorHAnsi" w:hAnsiTheme="majorHAnsi"/>
          <w:sz w:val="20"/>
          <w:szCs w:val="20"/>
        </w:rPr>
        <w:t xml:space="preserve">. </w:t>
      </w:r>
      <w:r w:rsidR="00883BE8">
        <w:rPr>
          <w:rFonts w:asciiTheme="majorHAnsi" w:hAnsiTheme="majorHAnsi"/>
          <w:sz w:val="20"/>
          <w:szCs w:val="20"/>
        </w:rPr>
        <w:t>He had arrived to that store that day to look for his Uruguayan friend</w:t>
      </w:r>
      <w:r w:rsidR="00B31FB5" w:rsidRPr="00A51861">
        <w:rPr>
          <w:rFonts w:asciiTheme="majorHAnsi" w:hAnsiTheme="majorHAnsi"/>
          <w:sz w:val="20"/>
          <w:szCs w:val="20"/>
        </w:rPr>
        <w:t xml:space="preserve"> Daniel Banfi Baranzano, </w:t>
      </w:r>
      <w:r w:rsidR="00883BE8">
        <w:rPr>
          <w:rFonts w:asciiTheme="majorHAnsi" w:hAnsiTheme="majorHAnsi"/>
          <w:sz w:val="20"/>
          <w:szCs w:val="20"/>
        </w:rPr>
        <w:t>with whom he had lived a certain time after first arriving in the city</w:t>
      </w:r>
      <w:r w:rsidR="001D1D61">
        <w:rPr>
          <w:rFonts w:asciiTheme="majorHAnsi" w:hAnsiTheme="majorHAnsi"/>
          <w:sz w:val="20"/>
          <w:szCs w:val="20"/>
        </w:rPr>
        <w:t>. Th</w:t>
      </w:r>
      <w:r w:rsidR="00883BE8">
        <w:rPr>
          <w:rFonts w:asciiTheme="majorHAnsi" w:hAnsiTheme="majorHAnsi"/>
          <w:sz w:val="20"/>
          <w:szCs w:val="20"/>
        </w:rPr>
        <w:t>e one asking for</w:t>
      </w:r>
      <w:r w:rsidR="00B31FB5" w:rsidRPr="00A51861">
        <w:rPr>
          <w:rFonts w:asciiTheme="majorHAnsi" w:hAnsiTheme="majorHAnsi"/>
          <w:sz w:val="20"/>
          <w:szCs w:val="20"/>
        </w:rPr>
        <w:t xml:space="preserve"> </w:t>
      </w:r>
      <w:r w:rsidR="00A51861" w:rsidRPr="00A51861">
        <w:rPr>
          <w:rFonts w:asciiTheme="majorHAnsi" w:hAnsiTheme="majorHAnsi"/>
          <w:sz w:val="20"/>
          <w:szCs w:val="20"/>
        </w:rPr>
        <w:t xml:space="preserve">Mr. </w:t>
      </w:r>
      <w:r w:rsidR="00B31FB5" w:rsidRPr="00A51861">
        <w:rPr>
          <w:rFonts w:asciiTheme="majorHAnsi" w:hAnsiTheme="majorHAnsi"/>
          <w:sz w:val="20"/>
          <w:szCs w:val="20"/>
        </w:rPr>
        <w:t xml:space="preserve">Banfi </w:t>
      </w:r>
      <w:r w:rsidR="00883BE8">
        <w:rPr>
          <w:rFonts w:asciiTheme="majorHAnsi" w:hAnsiTheme="majorHAnsi"/>
          <w:sz w:val="20"/>
          <w:szCs w:val="20"/>
        </w:rPr>
        <w:t>addressed</w:t>
      </w:r>
      <w:r w:rsidR="00B31FB5" w:rsidRPr="00A51861">
        <w:rPr>
          <w:rFonts w:asciiTheme="majorHAnsi" w:hAnsiTheme="majorHAnsi"/>
          <w:sz w:val="20"/>
          <w:szCs w:val="20"/>
        </w:rPr>
        <w:t xml:space="preserve"> Romero</w:t>
      </w:r>
      <w:r w:rsidR="00E92985">
        <w:rPr>
          <w:rFonts w:asciiTheme="majorHAnsi" w:hAnsiTheme="majorHAnsi"/>
          <w:sz w:val="20"/>
          <w:szCs w:val="20"/>
        </w:rPr>
        <w:t xml:space="preserve"> and </w:t>
      </w:r>
      <w:r w:rsidR="00883BE8">
        <w:rPr>
          <w:rFonts w:asciiTheme="majorHAnsi" w:hAnsiTheme="majorHAnsi"/>
          <w:sz w:val="20"/>
          <w:szCs w:val="20"/>
        </w:rPr>
        <w:t>identified himself as a partner in the</w:t>
      </w:r>
      <w:r w:rsidR="004969F4">
        <w:rPr>
          <w:rFonts w:asciiTheme="majorHAnsi" w:hAnsiTheme="majorHAnsi"/>
          <w:sz w:val="20"/>
          <w:szCs w:val="20"/>
        </w:rPr>
        <w:t xml:space="preserve"> </w:t>
      </w:r>
      <w:r w:rsidR="00B31FB5" w:rsidRPr="00A51861">
        <w:rPr>
          <w:rFonts w:asciiTheme="majorHAnsi" w:hAnsiTheme="majorHAnsi"/>
          <w:sz w:val="20"/>
          <w:szCs w:val="20"/>
        </w:rPr>
        <w:t>26 (26</w:t>
      </w:r>
      <w:r w:rsidR="00E92985">
        <w:rPr>
          <w:rFonts w:asciiTheme="majorHAnsi" w:hAnsiTheme="majorHAnsi"/>
          <w:sz w:val="20"/>
          <w:szCs w:val="20"/>
        </w:rPr>
        <w:t xml:space="preserve"> of </w:t>
      </w:r>
      <w:r w:rsidR="00883BE8">
        <w:rPr>
          <w:rFonts w:asciiTheme="majorHAnsi" w:hAnsiTheme="majorHAnsi"/>
          <w:sz w:val="20"/>
          <w:szCs w:val="20"/>
        </w:rPr>
        <w:t>March</w:t>
      </w:r>
      <w:r w:rsidR="00883BE8" w:rsidRPr="00883BE8">
        <w:rPr>
          <w:rFonts w:asciiTheme="majorHAnsi" w:hAnsiTheme="majorHAnsi"/>
          <w:sz w:val="20"/>
          <w:szCs w:val="20"/>
        </w:rPr>
        <w:t xml:space="preserve"> </w:t>
      </w:r>
      <w:r w:rsidR="00883BE8" w:rsidRPr="00A51861">
        <w:rPr>
          <w:rFonts w:asciiTheme="majorHAnsi" w:hAnsiTheme="majorHAnsi"/>
          <w:sz w:val="20"/>
          <w:szCs w:val="20"/>
        </w:rPr>
        <w:t>Mov</w:t>
      </w:r>
      <w:r w:rsidR="00883BE8">
        <w:rPr>
          <w:rFonts w:asciiTheme="majorHAnsi" w:hAnsiTheme="majorHAnsi"/>
          <w:sz w:val="20"/>
          <w:szCs w:val="20"/>
        </w:rPr>
        <w:t>ement</w:t>
      </w:r>
      <w:r w:rsidR="00883BE8" w:rsidRPr="00A51861">
        <w:rPr>
          <w:rFonts w:asciiTheme="majorHAnsi" w:hAnsiTheme="majorHAnsi"/>
          <w:sz w:val="20"/>
          <w:szCs w:val="20"/>
        </w:rPr>
        <w:t xml:space="preserve"> </w:t>
      </w:r>
      <w:r w:rsidR="00883BE8">
        <w:rPr>
          <w:rFonts w:asciiTheme="majorHAnsi" w:hAnsiTheme="majorHAnsi"/>
          <w:sz w:val="20"/>
          <w:szCs w:val="20"/>
        </w:rPr>
        <w:t>–</w:t>
      </w:r>
      <w:r w:rsidR="00B31FB5" w:rsidRPr="00A51861">
        <w:rPr>
          <w:rFonts w:asciiTheme="majorHAnsi" w:hAnsiTheme="majorHAnsi"/>
          <w:sz w:val="20"/>
          <w:szCs w:val="20"/>
        </w:rPr>
        <w:t xml:space="preserve"> </w:t>
      </w:r>
      <w:r w:rsidR="00883BE8">
        <w:rPr>
          <w:rFonts w:asciiTheme="majorHAnsi" w:hAnsiTheme="majorHAnsi"/>
          <w:sz w:val="20"/>
          <w:szCs w:val="20"/>
        </w:rPr>
        <w:t>Broad Front</w:t>
      </w:r>
      <w:r w:rsidR="00B31FB5" w:rsidRPr="00A51861">
        <w:rPr>
          <w:rFonts w:asciiTheme="majorHAnsi" w:hAnsiTheme="majorHAnsi"/>
          <w:sz w:val="20"/>
          <w:szCs w:val="20"/>
        </w:rPr>
        <w:t>)</w:t>
      </w:r>
      <w:r w:rsidR="00E92985">
        <w:rPr>
          <w:rFonts w:asciiTheme="majorHAnsi" w:hAnsiTheme="majorHAnsi"/>
          <w:sz w:val="20"/>
          <w:szCs w:val="20"/>
        </w:rPr>
        <w:t xml:space="preserve"> and </w:t>
      </w:r>
      <w:r w:rsidR="00883BE8">
        <w:rPr>
          <w:rFonts w:asciiTheme="majorHAnsi" w:hAnsiTheme="majorHAnsi"/>
          <w:sz w:val="20"/>
          <w:szCs w:val="20"/>
        </w:rPr>
        <w:t>asked where he could find him</w:t>
      </w:r>
      <w:r w:rsidR="00B31FB5" w:rsidRPr="00A51861">
        <w:rPr>
          <w:rStyle w:val="FootnoteReference"/>
          <w:rFonts w:asciiTheme="majorHAnsi" w:hAnsiTheme="majorHAnsi"/>
          <w:sz w:val="20"/>
          <w:szCs w:val="20"/>
        </w:rPr>
        <w:footnoteReference w:id="119"/>
      </w:r>
      <w:r w:rsidR="00B31FB5" w:rsidRPr="00A51861">
        <w:rPr>
          <w:rFonts w:asciiTheme="majorHAnsi" w:hAnsiTheme="majorHAnsi"/>
          <w:sz w:val="20"/>
          <w:szCs w:val="20"/>
        </w:rPr>
        <w:t>.</w:t>
      </w:r>
    </w:p>
    <w:p w14:paraId="0C9714F5" w14:textId="77777777" w:rsidR="007D6638" w:rsidRPr="00A51861" w:rsidRDefault="007D6638" w:rsidP="008E4D36">
      <w:pPr>
        <w:pStyle w:val="ListParagraph"/>
        <w:rPr>
          <w:rFonts w:asciiTheme="majorHAnsi" w:hAnsiTheme="majorHAnsi"/>
          <w:sz w:val="20"/>
          <w:szCs w:val="20"/>
        </w:rPr>
      </w:pPr>
    </w:p>
    <w:p w14:paraId="1B0BA3D8" w14:textId="5FBAF0A8" w:rsidR="007D6638" w:rsidRPr="00A51861" w:rsidRDefault="00883BE8"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After travelling for some time</w:t>
      </w:r>
      <w:r w:rsidR="007D6638" w:rsidRPr="00A51861">
        <w:rPr>
          <w:rFonts w:asciiTheme="majorHAnsi" w:hAnsiTheme="majorHAnsi"/>
          <w:sz w:val="20"/>
          <w:szCs w:val="20"/>
        </w:rPr>
        <w:t xml:space="preserve">, </w:t>
      </w:r>
      <w:r>
        <w:rPr>
          <w:rFonts w:asciiTheme="majorHAnsi" w:hAnsiTheme="majorHAnsi"/>
          <w:sz w:val="20"/>
          <w:szCs w:val="20"/>
        </w:rPr>
        <w:t xml:space="preserve">he was </w:t>
      </w:r>
      <w:r w:rsidR="00554208">
        <w:rPr>
          <w:rFonts w:asciiTheme="majorHAnsi" w:hAnsiTheme="majorHAnsi"/>
          <w:sz w:val="20"/>
          <w:szCs w:val="20"/>
        </w:rPr>
        <w:t>made to get</w:t>
      </w:r>
      <w:r>
        <w:rPr>
          <w:rFonts w:asciiTheme="majorHAnsi" w:hAnsiTheme="majorHAnsi"/>
          <w:sz w:val="20"/>
          <w:szCs w:val="20"/>
        </w:rPr>
        <w:t xml:space="preserve"> off the car and taken to a building</w:t>
      </w:r>
      <w:r w:rsidR="007D6638" w:rsidRPr="00A51861">
        <w:rPr>
          <w:rFonts w:asciiTheme="majorHAnsi" w:hAnsiTheme="majorHAnsi"/>
          <w:sz w:val="20"/>
          <w:szCs w:val="20"/>
        </w:rPr>
        <w:t xml:space="preserve"> </w:t>
      </w:r>
      <w:r>
        <w:rPr>
          <w:rFonts w:asciiTheme="majorHAnsi" w:hAnsiTheme="majorHAnsi"/>
          <w:sz w:val="20"/>
          <w:szCs w:val="20"/>
        </w:rPr>
        <w:t>where he was</w:t>
      </w:r>
      <w:r w:rsidR="007D6638" w:rsidRPr="00A51861">
        <w:rPr>
          <w:rFonts w:asciiTheme="majorHAnsi" w:hAnsiTheme="majorHAnsi"/>
          <w:sz w:val="20"/>
          <w:szCs w:val="20"/>
        </w:rPr>
        <w:t xml:space="preserve"> interroga</w:t>
      </w:r>
      <w:r>
        <w:rPr>
          <w:rFonts w:asciiTheme="majorHAnsi" w:hAnsiTheme="majorHAnsi"/>
          <w:sz w:val="20"/>
          <w:szCs w:val="20"/>
        </w:rPr>
        <w:t>ted about his</w:t>
      </w:r>
      <w:r w:rsidR="007D6638" w:rsidRPr="00A51861">
        <w:rPr>
          <w:rFonts w:asciiTheme="majorHAnsi" w:hAnsiTheme="majorHAnsi"/>
          <w:sz w:val="20"/>
          <w:szCs w:val="20"/>
        </w:rPr>
        <w:t xml:space="preserve"> </w:t>
      </w:r>
      <w:r>
        <w:rPr>
          <w:rFonts w:asciiTheme="majorHAnsi" w:hAnsiTheme="majorHAnsi"/>
          <w:sz w:val="20"/>
          <w:szCs w:val="20"/>
        </w:rPr>
        <w:t xml:space="preserve">Uruguayan friend </w:t>
      </w:r>
      <w:r w:rsidR="007D6638" w:rsidRPr="00A51861">
        <w:rPr>
          <w:rFonts w:asciiTheme="majorHAnsi" w:hAnsiTheme="majorHAnsi"/>
          <w:sz w:val="20"/>
          <w:szCs w:val="20"/>
        </w:rPr>
        <w:t>Banfi Baranzano</w:t>
      </w:r>
      <w:r w:rsidR="007D6638" w:rsidRPr="00A51861">
        <w:rPr>
          <w:rStyle w:val="FootnoteReference"/>
          <w:rFonts w:asciiTheme="majorHAnsi" w:hAnsiTheme="majorHAnsi"/>
          <w:sz w:val="20"/>
          <w:szCs w:val="20"/>
        </w:rPr>
        <w:footnoteReference w:id="120"/>
      </w:r>
      <w:r w:rsidR="0060301B" w:rsidRPr="00A51861">
        <w:rPr>
          <w:rFonts w:asciiTheme="majorHAnsi" w:hAnsiTheme="majorHAnsi"/>
          <w:sz w:val="20"/>
          <w:szCs w:val="20"/>
        </w:rPr>
        <w:t xml:space="preserve">. </w:t>
      </w:r>
      <w:r>
        <w:rPr>
          <w:rFonts w:asciiTheme="majorHAnsi" w:hAnsiTheme="majorHAnsi"/>
          <w:sz w:val="20"/>
          <w:szCs w:val="20"/>
        </w:rPr>
        <w:t>Once again, he was</w:t>
      </w:r>
      <w:r w:rsidR="0029564F">
        <w:rPr>
          <w:rFonts w:asciiTheme="majorHAnsi" w:hAnsiTheme="majorHAnsi"/>
          <w:sz w:val="20"/>
          <w:szCs w:val="20"/>
        </w:rPr>
        <w:t xml:space="preserve"> </w:t>
      </w:r>
      <w:r w:rsidR="00554208">
        <w:rPr>
          <w:rFonts w:asciiTheme="majorHAnsi" w:hAnsiTheme="majorHAnsi"/>
          <w:sz w:val="20"/>
          <w:szCs w:val="20"/>
        </w:rPr>
        <w:t>driven to another place where they made him get off</w:t>
      </w:r>
      <w:r w:rsidR="001D1D61">
        <w:rPr>
          <w:rFonts w:asciiTheme="majorHAnsi" w:hAnsiTheme="majorHAnsi"/>
          <w:sz w:val="20"/>
          <w:szCs w:val="20"/>
        </w:rPr>
        <w:t>. Th</w:t>
      </w:r>
      <w:r w:rsidR="00554208">
        <w:rPr>
          <w:rFonts w:asciiTheme="majorHAnsi" w:hAnsiTheme="majorHAnsi"/>
          <w:sz w:val="20"/>
          <w:szCs w:val="20"/>
        </w:rPr>
        <w:t>ere he recognized the voices of Mr.</w:t>
      </w:r>
      <w:r w:rsidR="007D6638" w:rsidRPr="00A51861">
        <w:rPr>
          <w:rFonts w:asciiTheme="majorHAnsi" w:hAnsiTheme="majorHAnsi"/>
          <w:sz w:val="20"/>
          <w:szCs w:val="20"/>
        </w:rPr>
        <w:t xml:space="preserve"> Daniel Rivera,</w:t>
      </w:r>
      <w:r w:rsidR="0060301B" w:rsidRPr="00A51861">
        <w:rPr>
          <w:rFonts w:asciiTheme="majorHAnsi" w:hAnsiTheme="majorHAnsi"/>
          <w:sz w:val="20"/>
          <w:szCs w:val="20"/>
        </w:rPr>
        <w:t xml:space="preserve"> </w:t>
      </w:r>
      <w:r w:rsidR="00554208">
        <w:rPr>
          <w:rFonts w:asciiTheme="majorHAnsi" w:hAnsiTheme="majorHAnsi"/>
          <w:sz w:val="20"/>
          <w:szCs w:val="20"/>
        </w:rPr>
        <w:t>whom he knew from</w:t>
      </w:r>
      <w:r w:rsidR="004969F4">
        <w:rPr>
          <w:rFonts w:asciiTheme="majorHAnsi" w:hAnsiTheme="majorHAnsi"/>
          <w:sz w:val="20"/>
          <w:szCs w:val="20"/>
        </w:rPr>
        <w:t xml:space="preserve"> the </w:t>
      </w:r>
      <w:r w:rsidR="00554208" w:rsidRPr="00A51861">
        <w:rPr>
          <w:rFonts w:asciiTheme="majorHAnsi" w:hAnsiTheme="majorHAnsi"/>
          <w:sz w:val="20"/>
          <w:szCs w:val="20"/>
        </w:rPr>
        <w:t>Normal</w:t>
      </w:r>
      <w:r w:rsidR="00554208">
        <w:rPr>
          <w:rFonts w:asciiTheme="majorHAnsi" w:hAnsiTheme="majorHAnsi"/>
          <w:sz w:val="20"/>
          <w:szCs w:val="20"/>
        </w:rPr>
        <w:t xml:space="preserve"> </w:t>
      </w:r>
      <w:r w:rsidR="007D6638" w:rsidRPr="00A51861">
        <w:rPr>
          <w:rFonts w:asciiTheme="majorHAnsi" w:hAnsiTheme="majorHAnsi"/>
          <w:sz w:val="20"/>
          <w:szCs w:val="20"/>
        </w:rPr>
        <w:t>Institut</w:t>
      </w:r>
      <w:r w:rsidR="00554208">
        <w:rPr>
          <w:rFonts w:asciiTheme="majorHAnsi" w:hAnsiTheme="majorHAnsi"/>
          <w:sz w:val="20"/>
          <w:szCs w:val="20"/>
        </w:rPr>
        <w:t>e</w:t>
      </w:r>
      <w:r w:rsidR="007D6638" w:rsidRPr="00A51861">
        <w:rPr>
          <w:rFonts w:asciiTheme="majorHAnsi" w:hAnsiTheme="majorHAnsi"/>
          <w:sz w:val="20"/>
          <w:szCs w:val="20"/>
        </w:rPr>
        <w:t xml:space="preserve"> </w:t>
      </w:r>
      <w:r w:rsidR="00E92985">
        <w:rPr>
          <w:rFonts w:asciiTheme="majorHAnsi" w:hAnsiTheme="majorHAnsi"/>
          <w:sz w:val="20"/>
          <w:szCs w:val="20"/>
        </w:rPr>
        <w:t xml:space="preserve">of </w:t>
      </w:r>
      <w:r w:rsidR="007D6638" w:rsidRPr="00A51861">
        <w:rPr>
          <w:rFonts w:asciiTheme="majorHAnsi" w:hAnsiTheme="majorHAnsi"/>
          <w:sz w:val="20"/>
          <w:szCs w:val="20"/>
        </w:rPr>
        <w:t xml:space="preserve">Uruguay, </w:t>
      </w:r>
      <w:r w:rsidR="00554208">
        <w:rPr>
          <w:rFonts w:asciiTheme="majorHAnsi" w:hAnsiTheme="majorHAnsi"/>
          <w:sz w:val="20"/>
          <w:szCs w:val="20"/>
        </w:rPr>
        <w:t xml:space="preserve">Mr. </w:t>
      </w:r>
      <w:r w:rsidR="007D6638" w:rsidRPr="00A51861">
        <w:rPr>
          <w:rFonts w:asciiTheme="majorHAnsi" w:hAnsiTheme="majorHAnsi"/>
          <w:sz w:val="20"/>
          <w:szCs w:val="20"/>
        </w:rPr>
        <w:t>Luis Latrónica</w:t>
      </w:r>
      <w:r w:rsidR="00E92985">
        <w:rPr>
          <w:rFonts w:asciiTheme="majorHAnsi" w:hAnsiTheme="majorHAnsi"/>
          <w:sz w:val="20"/>
          <w:szCs w:val="20"/>
        </w:rPr>
        <w:t xml:space="preserve"> and </w:t>
      </w:r>
      <w:r w:rsidR="00554208">
        <w:rPr>
          <w:rFonts w:asciiTheme="majorHAnsi" w:hAnsiTheme="majorHAnsi"/>
          <w:sz w:val="20"/>
          <w:szCs w:val="20"/>
        </w:rPr>
        <w:t xml:space="preserve">Mr. </w:t>
      </w:r>
      <w:r w:rsidR="007D6638" w:rsidRPr="00A51861">
        <w:rPr>
          <w:rFonts w:asciiTheme="majorHAnsi" w:hAnsiTheme="majorHAnsi"/>
          <w:sz w:val="20"/>
          <w:szCs w:val="20"/>
        </w:rPr>
        <w:t>Guillermo Jabif</w:t>
      </w:r>
      <w:r w:rsidR="007D6638" w:rsidRPr="00A51861">
        <w:rPr>
          <w:rStyle w:val="FootnoteReference"/>
          <w:rFonts w:asciiTheme="majorHAnsi" w:hAnsiTheme="majorHAnsi"/>
          <w:sz w:val="20"/>
          <w:szCs w:val="20"/>
        </w:rPr>
        <w:footnoteReference w:id="121"/>
      </w:r>
      <w:r w:rsidR="007D6638" w:rsidRPr="00A51861">
        <w:rPr>
          <w:rFonts w:asciiTheme="majorHAnsi" w:hAnsiTheme="majorHAnsi"/>
          <w:sz w:val="20"/>
          <w:szCs w:val="20"/>
        </w:rPr>
        <w:t xml:space="preserve">. </w:t>
      </w:r>
    </w:p>
    <w:p w14:paraId="289948B9" w14:textId="77777777" w:rsidR="007D6638" w:rsidRPr="00A51861" w:rsidRDefault="007D6638" w:rsidP="008E4D36">
      <w:pPr>
        <w:pStyle w:val="ListParagraph"/>
        <w:rPr>
          <w:rFonts w:asciiTheme="majorHAnsi" w:hAnsiTheme="majorHAnsi"/>
          <w:sz w:val="20"/>
          <w:szCs w:val="20"/>
        </w:rPr>
      </w:pPr>
    </w:p>
    <w:p w14:paraId="1B879DFA" w14:textId="3EBDF166" w:rsidR="007D6638" w:rsidRPr="00A51861" w:rsidRDefault="00554208"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At said place he was placed in a cell</w:t>
      </w:r>
      <w:r w:rsidR="007D6638" w:rsidRPr="00A51861">
        <w:rPr>
          <w:rFonts w:asciiTheme="majorHAnsi" w:hAnsiTheme="majorHAnsi"/>
          <w:sz w:val="20"/>
          <w:szCs w:val="20"/>
        </w:rPr>
        <w:t xml:space="preserve"> </w:t>
      </w:r>
      <w:r>
        <w:rPr>
          <w:rFonts w:asciiTheme="majorHAnsi" w:hAnsiTheme="majorHAnsi"/>
          <w:sz w:val="20"/>
          <w:szCs w:val="20"/>
        </w:rPr>
        <w:t>and kept</w:t>
      </w:r>
      <w:r w:rsidR="007D6638" w:rsidRPr="00A51861">
        <w:rPr>
          <w:rFonts w:asciiTheme="majorHAnsi" w:hAnsiTheme="majorHAnsi"/>
          <w:sz w:val="20"/>
          <w:szCs w:val="20"/>
        </w:rPr>
        <w:t xml:space="preserve"> in</w:t>
      </w:r>
      <w:r w:rsidR="0060301B" w:rsidRPr="00A51861">
        <w:rPr>
          <w:rFonts w:asciiTheme="majorHAnsi" w:hAnsiTheme="majorHAnsi"/>
          <w:sz w:val="20"/>
          <w:szCs w:val="20"/>
        </w:rPr>
        <w:t>com</w:t>
      </w:r>
      <w:r>
        <w:rPr>
          <w:rFonts w:asciiTheme="majorHAnsi" w:hAnsiTheme="majorHAnsi"/>
          <w:sz w:val="20"/>
          <w:szCs w:val="20"/>
        </w:rPr>
        <w:t>m</w:t>
      </w:r>
      <w:r w:rsidR="0060301B" w:rsidRPr="00A51861">
        <w:rPr>
          <w:rFonts w:asciiTheme="majorHAnsi" w:hAnsiTheme="majorHAnsi"/>
          <w:sz w:val="20"/>
          <w:szCs w:val="20"/>
        </w:rPr>
        <w:t>unicado,</w:t>
      </w:r>
      <w:r w:rsidR="00E92985">
        <w:rPr>
          <w:rFonts w:asciiTheme="majorHAnsi" w:hAnsiTheme="majorHAnsi"/>
          <w:sz w:val="20"/>
          <w:szCs w:val="20"/>
        </w:rPr>
        <w:t xml:space="preserve"> and </w:t>
      </w:r>
      <w:r>
        <w:rPr>
          <w:rFonts w:asciiTheme="majorHAnsi" w:hAnsiTheme="majorHAnsi"/>
          <w:sz w:val="20"/>
          <w:szCs w:val="20"/>
        </w:rPr>
        <w:t>was</w:t>
      </w:r>
      <w:r w:rsidR="0060301B" w:rsidRPr="00A51861">
        <w:rPr>
          <w:rFonts w:asciiTheme="majorHAnsi" w:hAnsiTheme="majorHAnsi"/>
          <w:sz w:val="20"/>
          <w:szCs w:val="20"/>
        </w:rPr>
        <w:t xml:space="preserve"> tortur</w:t>
      </w:r>
      <w:r>
        <w:rPr>
          <w:rFonts w:asciiTheme="majorHAnsi" w:hAnsiTheme="majorHAnsi"/>
          <w:sz w:val="20"/>
          <w:szCs w:val="20"/>
        </w:rPr>
        <w:t>ed</w:t>
      </w:r>
      <w:r w:rsidR="0060301B" w:rsidRPr="00A51861">
        <w:rPr>
          <w:rFonts w:asciiTheme="majorHAnsi" w:hAnsiTheme="majorHAnsi"/>
          <w:sz w:val="20"/>
          <w:szCs w:val="20"/>
        </w:rPr>
        <w:t xml:space="preserve"> </w:t>
      </w:r>
      <w:r>
        <w:rPr>
          <w:rFonts w:asciiTheme="majorHAnsi" w:hAnsiTheme="majorHAnsi"/>
          <w:sz w:val="20"/>
          <w:szCs w:val="20"/>
        </w:rPr>
        <w:t>with a prod and strikes</w:t>
      </w:r>
      <w:r w:rsidR="00E92985">
        <w:rPr>
          <w:rFonts w:asciiTheme="majorHAnsi" w:hAnsiTheme="majorHAnsi"/>
          <w:sz w:val="20"/>
          <w:szCs w:val="20"/>
        </w:rPr>
        <w:t xml:space="preserve"> </w:t>
      </w:r>
      <w:r>
        <w:rPr>
          <w:rFonts w:asciiTheme="majorHAnsi" w:hAnsiTheme="majorHAnsi"/>
          <w:sz w:val="20"/>
          <w:szCs w:val="20"/>
        </w:rPr>
        <w:t>while being</w:t>
      </w:r>
      <w:r w:rsidR="007D6638" w:rsidRPr="00A51861">
        <w:rPr>
          <w:rFonts w:asciiTheme="majorHAnsi" w:hAnsiTheme="majorHAnsi"/>
          <w:sz w:val="20"/>
          <w:szCs w:val="20"/>
        </w:rPr>
        <w:t xml:space="preserve"> constant</w:t>
      </w:r>
      <w:r w:rsidR="00F92BA8">
        <w:rPr>
          <w:rFonts w:asciiTheme="majorHAnsi" w:hAnsiTheme="majorHAnsi"/>
          <w:sz w:val="20"/>
          <w:szCs w:val="20"/>
        </w:rPr>
        <w:t>ly</w:t>
      </w:r>
      <w:r>
        <w:rPr>
          <w:rFonts w:asciiTheme="majorHAnsi" w:hAnsiTheme="majorHAnsi"/>
          <w:sz w:val="20"/>
          <w:szCs w:val="20"/>
        </w:rPr>
        <w:t xml:space="preserve"> interrogated</w:t>
      </w:r>
      <w:r w:rsidR="007D6638" w:rsidRPr="00A51861">
        <w:rPr>
          <w:rStyle w:val="FootnoteReference"/>
          <w:rFonts w:asciiTheme="majorHAnsi" w:hAnsiTheme="majorHAnsi"/>
          <w:sz w:val="20"/>
          <w:szCs w:val="20"/>
        </w:rPr>
        <w:footnoteReference w:id="122"/>
      </w:r>
      <w:r w:rsidR="00BD6923">
        <w:rPr>
          <w:rFonts w:asciiTheme="majorHAnsi" w:hAnsiTheme="majorHAnsi"/>
          <w:sz w:val="20"/>
          <w:szCs w:val="20"/>
        </w:rPr>
        <w:t xml:space="preserve">. According </w:t>
      </w:r>
      <w:r w:rsidR="001F7816">
        <w:rPr>
          <w:rFonts w:asciiTheme="majorHAnsi" w:hAnsiTheme="majorHAnsi"/>
          <w:sz w:val="20"/>
          <w:szCs w:val="20"/>
        </w:rPr>
        <w:t xml:space="preserve">to the information present in the </w:t>
      </w:r>
      <w:r w:rsidR="0029564F">
        <w:rPr>
          <w:rFonts w:asciiTheme="majorHAnsi" w:hAnsiTheme="majorHAnsi"/>
          <w:sz w:val="20"/>
          <w:szCs w:val="20"/>
        </w:rPr>
        <w:t>casefile</w:t>
      </w:r>
      <w:r w:rsidR="007D6638" w:rsidRPr="00A51861">
        <w:rPr>
          <w:rFonts w:asciiTheme="majorHAnsi" w:hAnsiTheme="majorHAnsi"/>
          <w:sz w:val="20"/>
          <w:szCs w:val="20"/>
        </w:rPr>
        <w:t xml:space="preserve">, </w:t>
      </w:r>
      <w:r>
        <w:rPr>
          <w:rFonts w:asciiTheme="majorHAnsi" w:hAnsiTheme="majorHAnsi"/>
          <w:sz w:val="20"/>
          <w:szCs w:val="20"/>
        </w:rPr>
        <w:t>the</w:t>
      </w:r>
      <w:r w:rsidR="007D6638" w:rsidRPr="00A51861">
        <w:rPr>
          <w:rFonts w:asciiTheme="majorHAnsi" w:hAnsiTheme="majorHAnsi"/>
          <w:sz w:val="20"/>
          <w:szCs w:val="20"/>
        </w:rPr>
        <w:t xml:space="preserve"> interrogat</w:t>
      </w:r>
      <w:r>
        <w:rPr>
          <w:rFonts w:asciiTheme="majorHAnsi" w:hAnsiTheme="majorHAnsi"/>
          <w:sz w:val="20"/>
          <w:szCs w:val="20"/>
        </w:rPr>
        <w:t>i</w:t>
      </w:r>
      <w:r w:rsidR="007D6638" w:rsidRPr="00A51861">
        <w:rPr>
          <w:rFonts w:asciiTheme="majorHAnsi" w:hAnsiTheme="majorHAnsi"/>
          <w:sz w:val="20"/>
          <w:szCs w:val="20"/>
        </w:rPr>
        <w:t>o</w:t>
      </w:r>
      <w:r>
        <w:rPr>
          <w:rFonts w:asciiTheme="majorHAnsi" w:hAnsiTheme="majorHAnsi"/>
          <w:sz w:val="20"/>
          <w:szCs w:val="20"/>
        </w:rPr>
        <w:t>n</w:t>
      </w:r>
      <w:r w:rsidR="007D6638" w:rsidRPr="00A51861">
        <w:rPr>
          <w:rFonts w:asciiTheme="majorHAnsi" w:hAnsiTheme="majorHAnsi"/>
          <w:sz w:val="20"/>
          <w:szCs w:val="20"/>
        </w:rPr>
        <w:t xml:space="preserve">s </w:t>
      </w:r>
      <w:r>
        <w:rPr>
          <w:rFonts w:asciiTheme="majorHAnsi" w:hAnsiTheme="majorHAnsi"/>
          <w:sz w:val="20"/>
          <w:szCs w:val="20"/>
        </w:rPr>
        <w:t>versed about</w:t>
      </w:r>
      <w:r w:rsidR="007D6638" w:rsidRPr="00A51861">
        <w:rPr>
          <w:rFonts w:asciiTheme="majorHAnsi" w:hAnsiTheme="majorHAnsi"/>
          <w:sz w:val="20"/>
          <w:szCs w:val="20"/>
        </w:rPr>
        <w:t xml:space="preserve"> </w:t>
      </w:r>
      <w:r w:rsidR="00D64B7E">
        <w:rPr>
          <w:rFonts w:asciiTheme="majorHAnsi" w:hAnsiTheme="majorHAnsi"/>
          <w:sz w:val="20"/>
          <w:szCs w:val="20"/>
        </w:rPr>
        <w:t>Uruguayan</w:t>
      </w:r>
      <w:r>
        <w:rPr>
          <w:rFonts w:asciiTheme="majorHAnsi" w:hAnsiTheme="majorHAnsi"/>
          <w:sz w:val="20"/>
          <w:szCs w:val="20"/>
        </w:rPr>
        <w:t xml:space="preserve"> politics</w:t>
      </w:r>
      <w:r w:rsidR="007D6638" w:rsidRPr="00A51861">
        <w:rPr>
          <w:rFonts w:asciiTheme="majorHAnsi" w:hAnsiTheme="majorHAnsi"/>
          <w:sz w:val="20"/>
          <w:szCs w:val="20"/>
        </w:rPr>
        <w:t>,</w:t>
      </w:r>
      <w:r w:rsidR="00E92985">
        <w:rPr>
          <w:rFonts w:asciiTheme="majorHAnsi" w:hAnsiTheme="majorHAnsi"/>
          <w:sz w:val="20"/>
          <w:szCs w:val="20"/>
        </w:rPr>
        <w:t xml:space="preserve"> and </w:t>
      </w:r>
      <w:r>
        <w:rPr>
          <w:rFonts w:asciiTheme="majorHAnsi" w:hAnsiTheme="majorHAnsi"/>
          <w:sz w:val="20"/>
          <w:szCs w:val="20"/>
        </w:rPr>
        <w:t>the</w:t>
      </w:r>
      <w:r w:rsidR="007D6638" w:rsidRPr="00A51861">
        <w:rPr>
          <w:rFonts w:asciiTheme="majorHAnsi" w:hAnsiTheme="majorHAnsi"/>
          <w:sz w:val="20"/>
          <w:szCs w:val="20"/>
        </w:rPr>
        <w:t xml:space="preserve"> interroga</w:t>
      </w:r>
      <w:r>
        <w:rPr>
          <w:rFonts w:asciiTheme="majorHAnsi" w:hAnsiTheme="majorHAnsi"/>
          <w:sz w:val="20"/>
          <w:szCs w:val="20"/>
        </w:rPr>
        <w:t>t</w:t>
      </w:r>
      <w:r w:rsidR="007D6638" w:rsidRPr="00A51861">
        <w:rPr>
          <w:rFonts w:asciiTheme="majorHAnsi" w:hAnsiTheme="majorHAnsi"/>
          <w:sz w:val="20"/>
          <w:szCs w:val="20"/>
        </w:rPr>
        <w:t xml:space="preserve">ors </w:t>
      </w:r>
      <w:r>
        <w:rPr>
          <w:rFonts w:asciiTheme="majorHAnsi" w:hAnsiTheme="majorHAnsi"/>
          <w:sz w:val="20"/>
          <w:szCs w:val="20"/>
        </w:rPr>
        <w:t>had</w:t>
      </w:r>
      <w:r w:rsidR="007D6638" w:rsidRPr="00A51861">
        <w:rPr>
          <w:rFonts w:asciiTheme="majorHAnsi" w:hAnsiTheme="majorHAnsi"/>
          <w:sz w:val="20"/>
          <w:szCs w:val="20"/>
        </w:rPr>
        <w:t xml:space="preserve"> </w:t>
      </w:r>
      <w:r>
        <w:rPr>
          <w:rFonts w:asciiTheme="majorHAnsi" w:hAnsiTheme="majorHAnsi"/>
          <w:sz w:val="20"/>
          <w:szCs w:val="20"/>
        </w:rPr>
        <w:t>U</w:t>
      </w:r>
      <w:r w:rsidR="007D6638" w:rsidRPr="00A51861">
        <w:rPr>
          <w:rFonts w:asciiTheme="majorHAnsi" w:hAnsiTheme="majorHAnsi"/>
          <w:sz w:val="20"/>
          <w:szCs w:val="20"/>
        </w:rPr>
        <w:t>ruguay</w:t>
      </w:r>
      <w:r>
        <w:rPr>
          <w:rFonts w:asciiTheme="majorHAnsi" w:hAnsiTheme="majorHAnsi"/>
          <w:sz w:val="20"/>
          <w:szCs w:val="20"/>
        </w:rPr>
        <w:t>an accent</w:t>
      </w:r>
      <w:r w:rsidR="007D6638" w:rsidRPr="00A51861">
        <w:rPr>
          <w:rFonts w:asciiTheme="majorHAnsi" w:hAnsiTheme="majorHAnsi"/>
          <w:sz w:val="20"/>
          <w:szCs w:val="20"/>
        </w:rPr>
        <w:t>,</w:t>
      </w:r>
      <w:r w:rsidR="0060301B" w:rsidRPr="00A51861">
        <w:rPr>
          <w:rFonts w:asciiTheme="majorHAnsi" w:hAnsiTheme="majorHAnsi"/>
          <w:sz w:val="20"/>
          <w:szCs w:val="20"/>
        </w:rPr>
        <w:t xml:space="preserve"> </w:t>
      </w:r>
      <w:r>
        <w:rPr>
          <w:rFonts w:asciiTheme="majorHAnsi" w:hAnsiTheme="majorHAnsi"/>
          <w:sz w:val="20"/>
          <w:szCs w:val="20"/>
        </w:rPr>
        <w:t>whereas the custodians</w:t>
      </w:r>
      <w:r w:rsidR="0060301B" w:rsidRPr="00A51861">
        <w:rPr>
          <w:rFonts w:asciiTheme="majorHAnsi" w:hAnsiTheme="majorHAnsi"/>
          <w:sz w:val="20"/>
          <w:szCs w:val="20"/>
        </w:rPr>
        <w:t xml:space="preserve"> </w:t>
      </w:r>
      <w:r>
        <w:rPr>
          <w:rFonts w:asciiTheme="majorHAnsi" w:hAnsiTheme="majorHAnsi"/>
          <w:sz w:val="20"/>
          <w:szCs w:val="20"/>
        </w:rPr>
        <w:t>seemed Argentine</w:t>
      </w:r>
      <w:r w:rsidR="007D6638" w:rsidRPr="00A51861">
        <w:rPr>
          <w:rStyle w:val="FootnoteReference"/>
          <w:rFonts w:asciiTheme="majorHAnsi" w:hAnsiTheme="majorHAnsi"/>
          <w:sz w:val="20"/>
          <w:szCs w:val="20"/>
        </w:rPr>
        <w:footnoteReference w:id="123"/>
      </w:r>
      <w:r w:rsidR="007D6638" w:rsidRPr="00A51861">
        <w:rPr>
          <w:rFonts w:asciiTheme="majorHAnsi" w:hAnsiTheme="majorHAnsi"/>
          <w:sz w:val="20"/>
          <w:szCs w:val="20"/>
        </w:rPr>
        <w:t>.</w:t>
      </w:r>
    </w:p>
    <w:p w14:paraId="3CC43F36" w14:textId="77777777" w:rsidR="007D6638" w:rsidRPr="00A51861" w:rsidRDefault="007D6638" w:rsidP="008E4D36">
      <w:pPr>
        <w:pStyle w:val="ListParagraph"/>
        <w:rPr>
          <w:rFonts w:asciiTheme="majorHAnsi" w:hAnsiTheme="majorHAnsi"/>
          <w:sz w:val="20"/>
          <w:szCs w:val="20"/>
        </w:rPr>
      </w:pPr>
    </w:p>
    <w:p w14:paraId="4FB9C7B8" w14:textId="53627855" w:rsidR="007D6638" w:rsidRPr="00A51861" w:rsidRDefault="00554208"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After</w:t>
      </w:r>
      <w:r w:rsidR="007D6638" w:rsidRPr="00A51861">
        <w:rPr>
          <w:rFonts w:asciiTheme="majorHAnsi" w:hAnsiTheme="majorHAnsi"/>
          <w:sz w:val="20"/>
          <w:szCs w:val="20"/>
        </w:rPr>
        <w:t xml:space="preserve"> </w:t>
      </w:r>
      <w:r w:rsidR="003A78FE">
        <w:rPr>
          <w:rFonts w:asciiTheme="majorHAnsi" w:hAnsiTheme="majorHAnsi"/>
          <w:sz w:val="20"/>
          <w:szCs w:val="20"/>
        </w:rPr>
        <w:t>several</w:t>
      </w:r>
      <w:r>
        <w:rPr>
          <w:rFonts w:asciiTheme="majorHAnsi" w:hAnsiTheme="majorHAnsi"/>
          <w:sz w:val="20"/>
          <w:szCs w:val="20"/>
        </w:rPr>
        <w:t xml:space="preserve"> days</w:t>
      </w:r>
      <w:r w:rsidR="007D6638" w:rsidRPr="00A51861">
        <w:rPr>
          <w:rFonts w:asciiTheme="majorHAnsi" w:hAnsiTheme="majorHAnsi"/>
          <w:sz w:val="20"/>
          <w:szCs w:val="20"/>
        </w:rPr>
        <w:t xml:space="preserve">, </w:t>
      </w:r>
      <w:r>
        <w:rPr>
          <w:rFonts w:asciiTheme="majorHAnsi" w:hAnsiTheme="majorHAnsi"/>
          <w:sz w:val="20"/>
          <w:szCs w:val="20"/>
        </w:rPr>
        <w:t xml:space="preserve">he was </w:t>
      </w:r>
      <w:r w:rsidR="006711E7">
        <w:rPr>
          <w:rFonts w:asciiTheme="majorHAnsi" w:hAnsiTheme="majorHAnsi"/>
          <w:sz w:val="20"/>
          <w:szCs w:val="20"/>
        </w:rPr>
        <w:t>transferred once again along with other</w:t>
      </w:r>
      <w:r w:rsidR="007D6638" w:rsidRPr="00A51861">
        <w:rPr>
          <w:rFonts w:asciiTheme="majorHAnsi" w:hAnsiTheme="majorHAnsi"/>
          <w:sz w:val="20"/>
          <w:szCs w:val="20"/>
        </w:rPr>
        <w:t xml:space="preserve"> </w:t>
      </w:r>
      <w:r w:rsidR="00BE5683">
        <w:rPr>
          <w:rFonts w:asciiTheme="majorHAnsi" w:hAnsiTheme="majorHAnsi"/>
          <w:sz w:val="20"/>
          <w:szCs w:val="20"/>
        </w:rPr>
        <w:t>Uruguayans</w:t>
      </w:r>
      <w:r w:rsidR="007D6638" w:rsidRPr="00A51861">
        <w:rPr>
          <w:rFonts w:asciiTheme="majorHAnsi" w:hAnsiTheme="majorHAnsi"/>
          <w:sz w:val="20"/>
          <w:szCs w:val="20"/>
        </w:rPr>
        <w:t xml:space="preserve"> </w:t>
      </w:r>
      <w:r w:rsidR="006711E7">
        <w:rPr>
          <w:rFonts w:asciiTheme="majorHAnsi" w:hAnsiTheme="majorHAnsi"/>
          <w:sz w:val="20"/>
          <w:szCs w:val="20"/>
        </w:rPr>
        <w:t>to another place</w:t>
      </w:r>
      <w:r w:rsidR="00E92985">
        <w:rPr>
          <w:rFonts w:asciiTheme="majorHAnsi" w:hAnsiTheme="majorHAnsi"/>
          <w:sz w:val="20"/>
          <w:szCs w:val="20"/>
        </w:rPr>
        <w:t xml:space="preserve"> of </w:t>
      </w:r>
      <w:r w:rsidR="006E255A">
        <w:rPr>
          <w:rFonts w:asciiTheme="majorHAnsi" w:hAnsiTheme="majorHAnsi"/>
          <w:sz w:val="20"/>
          <w:szCs w:val="20"/>
        </w:rPr>
        <w:t>detention</w:t>
      </w:r>
      <w:r w:rsidR="007D6638" w:rsidRPr="00A51861">
        <w:rPr>
          <w:rFonts w:asciiTheme="majorHAnsi" w:hAnsiTheme="majorHAnsi"/>
          <w:sz w:val="20"/>
          <w:szCs w:val="20"/>
        </w:rPr>
        <w:t xml:space="preserve">, </w:t>
      </w:r>
      <w:r w:rsidR="006711E7">
        <w:rPr>
          <w:rFonts w:asciiTheme="majorHAnsi" w:hAnsiTheme="majorHAnsi"/>
          <w:sz w:val="20"/>
          <w:szCs w:val="20"/>
        </w:rPr>
        <w:t xml:space="preserve">where </w:t>
      </w:r>
      <w:r w:rsidR="00D84E76">
        <w:rPr>
          <w:rFonts w:asciiTheme="majorHAnsi" w:hAnsiTheme="majorHAnsi"/>
          <w:sz w:val="20"/>
          <w:szCs w:val="20"/>
        </w:rPr>
        <w:t>t</w:t>
      </w:r>
      <w:r w:rsidR="006711E7">
        <w:rPr>
          <w:rFonts w:asciiTheme="majorHAnsi" w:hAnsiTheme="majorHAnsi"/>
          <w:sz w:val="20"/>
          <w:szCs w:val="20"/>
        </w:rPr>
        <w:t>he</w:t>
      </w:r>
      <w:r w:rsidR="00D84E76">
        <w:rPr>
          <w:rFonts w:asciiTheme="majorHAnsi" w:hAnsiTheme="majorHAnsi"/>
          <w:sz w:val="20"/>
          <w:szCs w:val="20"/>
        </w:rPr>
        <w:t>y</w:t>
      </w:r>
      <w:r w:rsidR="006711E7">
        <w:rPr>
          <w:rFonts w:asciiTheme="majorHAnsi" w:hAnsiTheme="majorHAnsi"/>
          <w:sz w:val="20"/>
          <w:szCs w:val="20"/>
        </w:rPr>
        <w:t xml:space="preserve"> w</w:t>
      </w:r>
      <w:r w:rsidR="00D84E76">
        <w:rPr>
          <w:rFonts w:asciiTheme="majorHAnsi" w:hAnsiTheme="majorHAnsi"/>
          <w:sz w:val="20"/>
          <w:szCs w:val="20"/>
        </w:rPr>
        <w:t>ere</w:t>
      </w:r>
      <w:r w:rsidR="006711E7">
        <w:rPr>
          <w:rFonts w:asciiTheme="majorHAnsi" w:hAnsiTheme="majorHAnsi"/>
          <w:sz w:val="20"/>
          <w:szCs w:val="20"/>
        </w:rPr>
        <w:t xml:space="preserve"> savagely struck again</w:t>
      </w:r>
      <w:r w:rsidR="007D6638" w:rsidRPr="00A51861">
        <w:rPr>
          <w:rFonts w:asciiTheme="majorHAnsi" w:hAnsiTheme="majorHAnsi"/>
          <w:sz w:val="20"/>
          <w:szCs w:val="20"/>
        </w:rPr>
        <w:t xml:space="preserve">, </w:t>
      </w:r>
      <w:r w:rsidR="006711E7">
        <w:rPr>
          <w:rFonts w:asciiTheme="majorHAnsi" w:hAnsiTheme="majorHAnsi"/>
          <w:sz w:val="20"/>
          <w:szCs w:val="20"/>
        </w:rPr>
        <w:t xml:space="preserve">due to which </w:t>
      </w:r>
      <w:r w:rsidR="00E92985">
        <w:rPr>
          <w:rFonts w:asciiTheme="majorHAnsi" w:hAnsiTheme="majorHAnsi"/>
          <w:sz w:val="20"/>
          <w:szCs w:val="20"/>
        </w:rPr>
        <w:t>and</w:t>
      </w:r>
      <w:r w:rsidR="004969F4">
        <w:rPr>
          <w:rFonts w:asciiTheme="majorHAnsi" w:hAnsiTheme="majorHAnsi"/>
          <w:sz w:val="20"/>
          <w:szCs w:val="20"/>
        </w:rPr>
        <w:t xml:space="preserve"> </w:t>
      </w:r>
      <w:r w:rsidR="006711E7">
        <w:rPr>
          <w:rFonts w:asciiTheme="majorHAnsi" w:hAnsiTheme="majorHAnsi"/>
          <w:sz w:val="20"/>
          <w:szCs w:val="20"/>
        </w:rPr>
        <w:t>also for hunger</w:t>
      </w:r>
      <w:r w:rsidR="007D6638" w:rsidRPr="00A51861">
        <w:rPr>
          <w:rFonts w:asciiTheme="majorHAnsi" w:hAnsiTheme="majorHAnsi"/>
          <w:sz w:val="20"/>
          <w:szCs w:val="20"/>
        </w:rPr>
        <w:t xml:space="preserve">, </w:t>
      </w:r>
      <w:r w:rsidR="006711E7">
        <w:rPr>
          <w:rFonts w:asciiTheme="majorHAnsi" w:hAnsiTheme="majorHAnsi"/>
          <w:sz w:val="20"/>
          <w:szCs w:val="20"/>
        </w:rPr>
        <w:t>the</w:t>
      </w:r>
      <w:r w:rsidR="00D84E76">
        <w:rPr>
          <w:rFonts w:asciiTheme="majorHAnsi" w:hAnsiTheme="majorHAnsi"/>
          <w:sz w:val="20"/>
          <w:szCs w:val="20"/>
        </w:rPr>
        <w:t>y</w:t>
      </w:r>
      <w:r w:rsidR="006711E7">
        <w:rPr>
          <w:rFonts w:asciiTheme="majorHAnsi" w:hAnsiTheme="majorHAnsi"/>
          <w:sz w:val="20"/>
          <w:szCs w:val="20"/>
        </w:rPr>
        <w:t xml:space="preserve"> were continuously </w:t>
      </w:r>
      <w:r w:rsidR="006711E7">
        <w:rPr>
          <w:rFonts w:asciiTheme="majorHAnsi" w:hAnsiTheme="majorHAnsi"/>
          <w:sz w:val="20"/>
          <w:szCs w:val="20"/>
        </w:rPr>
        <w:lastRenderedPageBreak/>
        <w:t>fainting</w:t>
      </w:r>
      <w:r w:rsidR="007D6638" w:rsidRPr="00A51861">
        <w:rPr>
          <w:rStyle w:val="FootnoteReference"/>
          <w:rFonts w:asciiTheme="majorHAnsi" w:hAnsiTheme="majorHAnsi"/>
          <w:sz w:val="20"/>
          <w:szCs w:val="20"/>
        </w:rPr>
        <w:footnoteReference w:id="124"/>
      </w:r>
      <w:r w:rsidR="001D1D61">
        <w:rPr>
          <w:rFonts w:asciiTheme="majorHAnsi" w:hAnsiTheme="majorHAnsi"/>
          <w:sz w:val="20"/>
          <w:szCs w:val="20"/>
        </w:rPr>
        <w:t>. Th</w:t>
      </w:r>
      <w:r w:rsidR="006711E7">
        <w:rPr>
          <w:rFonts w:asciiTheme="majorHAnsi" w:hAnsiTheme="majorHAnsi"/>
          <w:sz w:val="20"/>
          <w:szCs w:val="20"/>
        </w:rPr>
        <w:t>ey were transferred again to what</w:t>
      </w:r>
      <w:r w:rsidR="00A40660">
        <w:rPr>
          <w:rFonts w:asciiTheme="majorHAnsi" w:hAnsiTheme="majorHAnsi"/>
          <w:sz w:val="20"/>
          <w:szCs w:val="20"/>
        </w:rPr>
        <w:t xml:space="preserve"> Mr. </w:t>
      </w:r>
      <w:r w:rsidR="007D6638" w:rsidRPr="00A51861">
        <w:rPr>
          <w:rFonts w:asciiTheme="majorHAnsi" w:hAnsiTheme="majorHAnsi"/>
          <w:sz w:val="20"/>
          <w:szCs w:val="20"/>
        </w:rPr>
        <w:t xml:space="preserve">Romero </w:t>
      </w:r>
      <w:r w:rsidR="006711E7">
        <w:rPr>
          <w:rFonts w:asciiTheme="majorHAnsi" w:hAnsiTheme="majorHAnsi"/>
          <w:sz w:val="20"/>
          <w:szCs w:val="20"/>
        </w:rPr>
        <w:t>believed to be a private home</w:t>
      </w:r>
      <w:r w:rsidR="007D6638" w:rsidRPr="00A51861">
        <w:rPr>
          <w:rFonts w:asciiTheme="majorHAnsi" w:hAnsiTheme="majorHAnsi"/>
          <w:sz w:val="20"/>
          <w:szCs w:val="20"/>
        </w:rPr>
        <w:t xml:space="preserve"> </w:t>
      </w:r>
      <w:r w:rsidR="00E92985">
        <w:rPr>
          <w:rFonts w:asciiTheme="majorHAnsi" w:hAnsiTheme="majorHAnsi"/>
          <w:sz w:val="20"/>
          <w:szCs w:val="20"/>
        </w:rPr>
        <w:t xml:space="preserve">and </w:t>
      </w:r>
      <w:r w:rsidR="006711E7">
        <w:rPr>
          <w:rFonts w:asciiTheme="majorHAnsi" w:hAnsiTheme="majorHAnsi"/>
          <w:sz w:val="20"/>
          <w:szCs w:val="20"/>
        </w:rPr>
        <w:t>remained there for</w:t>
      </w:r>
      <w:r w:rsidR="007D6638" w:rsidRPr="00A51861">
        <w:rPr>
          <w:rFonts w:asciiTheme="majorHAnsi" w:hAnsiTheme="majorHAnsi"/>
          <w:sz w:val="20"/>
          <w:szCs w:val="20"/>
        </w:rPr>
        <w:t xml:space="preserve"> </w:t>
      </w:r>
      <w:r w:rsidR="00D84E76">
        <w:rPr>
          <w:rFonts w:asciiTheme="majorHAnsi" w:hAnsiTheme="majorHAnsi"/>
          <w:sz w:val="20"/>
          <w:szCs w:val="20"/>
        </w:rPr>
        <w:t>many</w:t>
      </w:r>
      <w:r>
        <w:rPr>
          <w:rFonts w:asciiTheme="majorHAnsi" w:hAnsiTheme="majorHAnsi"/>
          <w:sz w:val="20"/>
          <w:szCs w:val="20"/>
        </w:rPr>
        <w:t xml:space="preserve"> days</w:t>
      </w:r>
      <w:r w:rsidR="007D6638" w:rsidRPr="00A51861">
        <w:rPr>
          <w:rStyle w:val="FootnoteReference"/>
          <w:rFonts w:asciiTheme="majorHAnsi" w:hAnsiTheme="majorHAnsi"/>
          <w:sz w:val="20"/>
          <w:szCs w:val="20"/>
        </w:rPr>
        <w:footnoteReference w:id="125"/>
      </w:r>
      <w:r w:rsidR="007D6638" w:rsidRPr="00A51861">
        <w:rPr>
          <w:rFonts w:asciiTheme="majorHAnsi" w:hAnsiTheme="majorHAnsi"/>
          <w:sz w:val="20"/>
          <w:szCs w:val="20"/>
        </w:rPr>
        <w:t xml:space="preserve">. </w:t>
      </w:r>
    </w:p>
    <w:p w14:paraId="252FB42A" w14:textId="77777777" w:rsidR="007D6638" w:rsidRPr="00A51861" w:rsidRDefault="007D6638" w:rsidP="008E4D36">
      <w:pPr>
        <w:pStyle w:val="ListParagraph"/>
        <w:rPr>
          <w:rFonts w:asciiTheme="majorHAnsi" w:hAnsiTheme="majorHAnsi"/>
          <w:sz w:val="20"/>
          <w:szCs w:val="20"/>
        </w:rPr>
      </w:pPr>
    </w:p>
    <w:p w14:paraId="321F6C53" w14:textId="379FC434" w:rsidR="006760A4" w:rsidRPr="00A51861" w:rsidRDefault="00527CC2"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On October 16,</w:t>
      </w:r>
      <w:r w:rsidR="00E92985">
        <w:rPr>
          <w:rFonts w:asciiTheme="majorHAnsi" w:hAnsiTheme="majorHAnsi"/>
          <w:sz w:val="20"/>
          <w:szCs w:val="20"/>
        </w:rPr>
        <w:t xml:space="preserve"> </w:t>
      </w:r>
      <w:r w:rsidR="007D6638" w:rsidRPr="00A51861">
        <w:rPr>
          <w:rFonts w:asciiTheme="majorHAnsi" w:hAnsiTheme="majorHAnsi"/>
          <w:sz w:val="20"/>
          <w:szCs w:val="20"/>
        </w:rPr>
        <w:t xml:space="preserve">1974, </w:t>
      </w:r>
      <w:r>
        <w:rPr>
          <w:rFonts w:asciiTheme="majorHAnsi" w:hAnsiTheme="majorHAnsi"/>
          <w:sz w:val="20"/>
          <w:szCs w:val="20"/>
        </w:rPr>
        <w:t>Mr.</w:t>
      </w:r>
      <w:r w:rsidR="007D6638" w:rsidRPr="00A51861">
        <w:rPr>
          <w:rFonts w:asciiTheme="majorHAnsi" w:hAnsiTheme="majorHAnsi"/>
          <w:sz w:val="20"/>
          <w:szCs w:val="20"/>
        </w:rPr>
        <w:t xml:space="preserve"> Romero Ubal </w:t>
      </w:r>
      <w:r>
        <w:rPr>
          <w:rFonts w:asciiTheme="majorHAnsi" w:hAnsiTheme="majorHAnsi"/>
          <w:sz w:val="20"/>
          <w:szCs w:val="20"/>
        </w:rPr>
        <w:t>along with some other</w:t>
      </w:r>
      <w:r w:rsidR="007D6638" w:rsidRPr="00A51861">
        <w:rPr>
          <w:rFonts w:asciiTheme="majorHAnsi" w:hAnsiTheme="majorHAnsi"/>
          <w:sz w:val="20"/>
          <w:szCs w:val="20"/>
        </w:rPr>
        <w:t xml:space="preserve"> </w:t>
      </w:r>
      <w:r w:rsidR="00CB67C7">
        <w:rPr>
          <w:rFonts w:asciiTheme="majorHAnsi" w:hAnsiTheme="majorHAnsi"/>
          <w:sz w:val="20"/>
          <w:szCs w:val="20"/>
        </w:rPr>
        <w:t>detained</w:t>
      </w:r>
      <w:r w:rsidR="007D6638" w:rsidRPr="00A51861">
        <w:rPr>
          <w:rFonts w:asciiTheme="majorHAnsi" w:hAnsiTheme="majorHAnsi"/>
          <w:sz w:val="20"/>
          <w:szCs w:val="20"/>
        </w:rPr>
        <w:t xml:space="preserve">, </w:t>
      </w:r>
      <w:r>
        <w:rPr>
          <w:rFonts w:asciiTheme="majorHAnsi" w:hAnsiTheme="majorHAnsi"/>
          <w:sz w:val="20"/>
          <w:szCs w:val="20"/>
        </w:rPr>
        <w:t>were put on a pick-up truck and after circulating for some time</w:t>
      </w:r>
      <w:r w:rsidR="007D6638" w:rsidRPr="00A51861">
        <w:rPr>
          <w:rFonts w:asciiTheme="majorHAnsi" w:hAnsiTheme="majorHAnsi"/>
          <w:sz w:val="20"/>
          <w:szCs w:val="20"/>
        </w:rPr>
        <w:t xml:space="preserve">, </w:t>
      </w:r>
      <w:r>
        <w:rPr>
          <w:rFonts w:ascii="Cambria" w:hAnsi="Cambria"/>
          <w:color w:val="000000" w:themeColor="text1"/>
          <w:sz w:val="20"/>
          <w:szCs w:val="20"/>
        </w:rPr>
        <w:t xml:space="preserve">they were </w:t>
      </w:r>
      <w:r w:rsidR="001A7621">
        <w:rPr>
          <w:rFonts w:ascii="Cambria" w:hAnsi="Cambria"/>
          <w:color w:val="000000" w:themeColor="text1"/>
          <w:sz w:val="20"/>
          <w:szCs w:val="20"/>
        </w:rPr>
        <w:t>forced</w:t>
      </w:r>
      <w:r>
        <w:rPr>
          <w:rFonts w:ascii="Cambria" w:hAnsi="Cambria"/>
          <w:color w:val="000000" w:themeColor="text1"/>
          <w:sz w:val="20"/>
          <w:szCs w:val="20"/>
        </w:rPr>
        <w:t xml:space="preserve"> to get off with the</w:t>
      </w:r>
      <w:r w:rsidR="007D6638" w:rsidRPr="00A51861">
        <w:rPr>
          <w:rFonts w:asciiTheme="majorHAnsi" w:hAnsiTheme="majorHAnsi"/>
          <w:sz w:val="20"/>
          <w:szCs w:val="20"/>
        </w:rPr>
        <w:t xml:space="preserve"> </w:t>
      </w:r>
      <w:r w:rsidRPr="00A51861">
        <w:rPr>
          <w:rFonts w:asciiTheme="majorHAnsi" w:hAnsiTheme="majorHAnsi"/>
          <w:sz w:val="20"/>
          <w:szCs w:val="20"/>
        </w:rPr>
        <w:t>instruction</w:t>
      </w:r>
      <w:r w:rsidR="00E92985">
        <w:rPr>
          <w:rFonts w:asciiTheme="majorHAnsi" w:hAnsiTheme="majorHAnsi"/>
          <w:sz w:val="20"/>
          <w:szCs w:val="20"/>
        </w:rPr>
        <w:t xml:space="preserve"> </w:t>
      </w:r>
      <w:r>
        <w:rPr>
          <w:rFonts w:asciiTheme="majorHAnsi" w:hAnsiTheme="majorHAnsi"/>
          <w:sz w:val="20"/>
          <w:szCs w:val="20"/>
        </w:rPr>
        <w:t>to wait for</w:t>
      </w:r>
      <w:r w:rsidR="007D6638" w:rsidRPr="00A51861">
        <w:rPr>
          <w:rFonts w:asciiTheme="majorHAnsi" w:hAnsiTheme="majorHAnsi"/>
          <w:sz w:val="20"/>
          <w:szCs w:val="20"/>
        </w:rPr>
        <w:t xml:space="preserve"> </w:t>
      </w:r>
      <w:r w:rsidR="003A78FE">
        <w:rPr>
          <w:rFonts w:asciiTheme="majorHAnsi" w:hAnsiTheme="majorHAnsi"/>
          <w:sz w:val="20"/>
          <w:szCs w:val="20"/>
        </w:rPr>
        <w:t>several</w:t>
      </w:r>
      <w:r w:rsidR="007D6638" w:rsidRPr="00A51861">
        <w:rPr>
          <w:rFonts w:asciiTheme="majorHAnsi" w:hAnsiTheme="majorHAnsi"/>
          <w:sz w:val="20"/>
          <w:szCs w:val="20"/>
        </w:rPr>
        <w:t xml:space="preserve"> </w:t>
      </w:r>
      <w:r>
        <w:rPr>
          <w:rFonts w:asciiTheme="majorHAnsi" w:hAnsiTheme="majorHAnsi"/>
          <w:sz w:val="20"/>
          <w:szCs w:val="20"/>
        </w:rPr>
        <w:t>seconds</w:t>
      </w:r>
      <w:r w:rsidR="007D6638" w:rsidRPr="00A51861">
        <w:rPr>
          <w:rFonts w:asciiTheme="majorHAnsi" w:hAnsiTheme="majorHAnsi"/>
          <w:sz w:val="20"/>
          <w:szCs w:val="20"/>
        </w:rPr>
        <w:t xml:space="preserve"> </w:t>
      </w:r>
      <w:r w:rsidR="004921CF">
        <w:rPr>
          <w:rFonts w:asciiTheme="majorHAnsi" w:hAnsiTheme="majorHAnsi"/>
          <w:sz w:val="20"/>
          <w:szCs w:val="20"/>
        </w:rPr>
        <w:t>before removing their blindfolds</w:t>
      </w:r>
      <w:r w:rsidR="00E92985">
        <w:rPr>
          <w:rFonts w:asciiTheme="majorHAnsi" w:hAnsiTheme="majorHAnsi"/>
          <w:sz w:val="20"/>
          <w:szCs w:val="20"/>
        </w:rPr>
        <w:t xml:space="preserve"> and </w:t>
      </w:r>
      <w:r w:rsidR="004921CF">
        <w:rPr>
          <w:rFonts w:asciiTheme="majorHAnsi" w:hAnsiTheme="majorHAnsi"/>
          <w:sz w:val="20"/>
          <w:szCs w:val="20"/>
        </w:rPr>
        <w:t>that they could go home</w:t>
      </w:r>
      <w:r w:rsidR="007D6638" w:rsidRPr="00A51861">
        <w:rPr>
          <w:rFonts w:asciiTheme="majorHAnsi" w:hAnsiTheme="majorHAnsi"/>
          <w:sz w:val="20"/>
          <w:szCs w:val="20"/>
        </w:rPr>
        <w:t xml:space="preserve">, </w:t>
      </w:r>
      <w:r w:rsidR="004921CF">
        <w:rPr>
          <w:rFonts w:asciiTheme="majorHAnsi" w:hAnsiTheme="majorHAnsi"/>
          <w:sz w:val="20"/>
          <w:szCs w:val="20"/>
        </w:rPr>
        <w:t>being advised to</w:t>
      </w:r>
      <w:r w:rsidR="007D6638" w:rsidRPr="00A51861">
        <w:rPr>
          <w:rFonts w:asciiTheme="majorHAnsi" w:hAnsiTheme="majorHAnsi"/>
          <w:sz w:val="20"/>
          <w:szCs w:val="20"/>
        </w:rPr>
        <w:t xml:space="preserve"> “‘</w:t>
      </w:r>
      <w:r w:rsidR="004921CF">
        <w:rPr>
          <w:rFonts w:asciiTheme="majorHAnsi" w:hAnsiTheme="majorHAnsi"/>
          <w:sz w:val="20"/>
          <w:szCs w:val="20"/>
        </w:rPr>
        <w:t>be deleted</w:t>
      </w:r>
      <w:r w:rsidR="007D6638" w:rsidRPr="00A51861">
        <w:rPr>
          <w:rFonts w:asciiTheme="majorHAnsi" w:hAnsiTheme="majorHAnsi"/>
          <w:sz w:val="20"/>
          <w:szCs w:val="20"/>
        </w:rPr>
        <w:t>’</w:t>
      </w:r>
      <w:r w:rsidR="00E92985">
        <w:rPr>
          <w:rFonts w:asciiTheme="majorHAnsi" w:hAnsiTheme="majorHAnsi"/>
          <w:sz w:val="20"/>
          <w:szCs w:val="20"/>
        </w:rPr>
        <w:t xml:space="preserve"> </w:t>
      </w:r>
      <w:r w:rsidR="004921CF">
        <w:rPr>
          <w:rFonts w:asciiTheme="majorHAnsi" w:hAnsiTheme="majorHAnsi"/>
          <w:sz w:val="20"/>
          <w:szCs w:val="20"/>
        </w:rPr>
        <w:t xml:space="preserve">from </w:t>
      </w:r>
      <w:r w:rsidR="007D6638" w:rsidRPr="00A51861">
        <w:rPr>
          <w:rFonts w:asciiTheme="majorHAnsi" w:hAnsiTheme="majorHAnsi"/>
          <w:sz w:val="20"/>
          <w:szCs w:val="20"/>
        </w:rPr>
        <w:t>Argentina</w:t>
      </w:r>
      <w:r w:rsidR="004921CF">
        <w:rPr>
          <w:rFonts w:asciiTheme="majorHAnsi" w:hAnsiTheme="majorHAnsi"/>
          <w:sz w:val="20"/>
          <w:szCs w:val="20"/>
        </w:rPr>
        <w:t xml:space="preserve"> as soon as possible</w:t>
      </w:r>
      <w:r w:rsidR="007D6638" w:rsidRPr="00A51861">
        <w:rPr>
          <w:rFonts w:asciiTheme="majorHAnsi" w:hAnsiTheme="majorHAnsi"/>
          <w:sz w:val="20"/>
          <w:szCs w:val="20"/>
        </w:rPr>
        <w:t>”</w:t>
      </w:r>
      <w:r w:rsidR="007D6638" w:rsidRPr="00A51861">
        <w:rPr>
          <w:rStyle w:val="FootnoteReference"/>
          <w:rFonts w:asciiTheme="majorHAnsi" w:hAnsiTheme="majorHAnsi"/>
          <w:sz w:val="20"/>
          <w:szCs w:val="20"/>
        </w:rPr>
        <w:footnoteReference w:id="126"/>
      </w:r>
      <w:r w:rsidR="007D6638" w:rsidRPr="00A51861">
        <w:rPr>
          <w:rFonts w:asciiTheme="majorHAnsi" w:hAnsiTheme="majorHAnsi"/>
          <w:sz w:val="20"/>
          <w:szCs w:val="20"/>
        </w:rPr>
        <w:t xml:space="preserve">. </w:t>
      </w:r>
      <w:r w:rsidR="004921CF">
        <w:rPr>
          <w:rFonts w:asciiTheme="majorHAnsi" w:hAnsiTheme="majorHAnsi"/>
          <w:sz w:val="20"/>
          <w:szCs w:val="20"/>
        </w:rPr>
        <w:t>In late October</w:t>
      </w:r>
      <w:r w:rsidR="007D6638" w:rsidRPr="00A51861">
        <w:rPr>
          <w:rFonts w:asciiTheme="majorHAnsi" w:hAnsiTheme="majorHAnsi"/>
          <w:sz w:val="20"/>
          <w:szCs w:val="20"/>
        </w:rPr>
        <w:t xml:space="preserve"> </w:t>
      </w:r>
      <w:r w:rsidR="004921CF">
        <w:rPr>
          <w:rFonts w:asciiTheme="majorHAnsi" w:hAnsiTheme="majorHAnsi"/>
          <w:sz w:val="20"/>
          <w:szCs w:val="20"/>
        </w:rPr>
        <w:t>three bodies were found which corresponded to</w:t>
      </w:r>
      <w:r w:rsidR="007D6638" w:rsidRPr="00A51861">
        <w:rPr>
          <w:rFonts w:asciiTheme="majorHAnsi" w:hAnsiTheme="majorHAnsi"/>
          <w:sz w:val="20"/>
          <w:szCs w:val="20"/>
        </w:rPr>
        <w:t xml:space="preserve"> </w:t>
      </w:r>
      <w:r w:rsidR="004921CF">
        <w:rPr>
          <w:rFonts w:asciiTheme="majorHAnsi" w:hAnsiTheme="majorHAnsi"/>
          <w:sz w:val="20"/>
          <w:szCs w:val="20"/>
        </w:rPr>
        <w:t>Mr.</w:t>
      </w:r>
      <w:r w:rsidR="007D6638" w:rsidRPr="00A51861">
        <w:rPr>
          <w:rFonts w:asciiTheme="majorHAnsi" w:hAnsiTheme="majorHAnsi"/>
          <w:sz w:val="20"/>
          <w:szCs w:val="20"/>
        </w:rPr>
        <w:t xml:space="preserve"> Daniel Banfi Baranzano, </w:t>
      </w:r>
      <w:r w:rsidR="004921CF">
        <w:rPr>
          <w:rFonts w:asciiTheme="majorHAnsi" w:hAnsiTheme="majorHAnsi"/>
          <w:sz w:val="20"/>
          <w:szCs w:val="20"/>
        </w:rPr>
        <w:t xml:space="preserve">Mr. </w:t>
      </w:r>
      <w:r w:rsidR="007D6638" w:rsidRPr="00A51861">
        <w:rPr>
          <w:rFonts w:asciiTheme="majorHAnsi" w:hAnsiTheme="majorHAnsi"/>
          <w:sz w:val="20"/>
          <w:szCs w:val="20"/>
        </w:rPr>
        <w:t>Guillermo Jabif</w:t>
      </w:r>
      <w:r w:rsidR="00E92985">
        <w:rPr>
          <w:rFonts w:asciiTheme="majorHAnsi" w:hAnsiTheme="majorHAnsi"/>
          <w:sz w:val="20"/>
          <w:szCs w:val="20"/>
        </w:rPr>
        <w:t xml:space="preserve"> and </w:t>
      </w:r>
      <w:r w:rsidR="004921CF">
        <w:rPr>
          <w:rFonts w:asciiTheme="majorHAnsi" w:hAnsiTheme="majorHAnsi"/>
          <w:sz w:val="20"/>
          <w:szCs w:val="20"/>
        </w:rPr>
        <w:t xml:space="preserve">Mr. </w:t>
      </w:r>
      <w:r w:rsidR="007D6638" w:rsidRPr="00A51861">
        <w:rPr>
          <w:rFonts w:asciiTheme="majorHAnsi" w:hAnsiTheme="majorHAnsi"/>
          <w:sz w:val="20"/>
          <w:szCs w:val="20"/>
        </w:rPr>
        <w:t>Luis Latrónica</w:t>
      </w:r>
      <w:r w:rsidR="007D6638" w:rsidRPr="00A51861">
        <w:rPr>
          <w:rStyle w:val="FootnoteReference"/>
          <w:rFonts w:asciiTheme="majorHAnsi" w:hAnsiTheme="majorHAnsi"/>
          <w:sz w:val="20"/>
          <w:szCs w:val="20"/>
        </w:rPr>
        <w:footnoteReference w:id="127"/>
      </w:r>
      <w:r w:rsidR="007D6638" w:rsidRPr="00A51861">
        <w:rPr>
          <w:rFonts w:asciiTheme="majorHAnsi" w:hAnsiTheme="majorHAnsi"/>
          <w:sz w:val="20"/>
          <w:szCs w:val="20"/>
        </w:rPr>
        <w:t xml:space="preserve">. </w:t>
      </w:r>
    </w:p>
    <w:p w14:paraId="7A8B8769" w14:textId="77777777" w:rsidR="006760A4" w:rsidRPr="00A51861" w:rsidRDefault="006760A4" w:rsidP="008E4D36">
      <w:pPr>
        <w:pStyle w:val="ListParagraph"/>
        <w:rPr>
          <w:rFonts w:asciiTheme="majorHAnsi" w:hAnsiTheme="majorHAnsi"/>
          <w:sz w:val="20"/>
          <w:szCs w:val="20"/>
        </w:rPr>
      </w:pPr>
    </w:p>
    <w:p w14:paraId="55D6D07D" w14:textId="0736C627" w:rsidR="007D6638" w:rsidRPr="00A51861" w:rsidRDefault="00A51861"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A51861">
        <w:rPr>
          <w:rFonts w:asciiTheme="majorHAnsi" w:hAnsiTheme="majorHAnsi"/>
          <w:sz w:val="20"/>
          <w:szCs w:val="20"/>
        </w:rPr>
        <w:t xml:space="preserve">Mr. </w:t>
      </w:r>
      <w:r w:rsidR="007D6638" w:rsidRPr="00A51861">
        <w:rPr>
          <w:rFonts w:asciiTheme="majorHAnsi" w:hAnsiTheme="majorHAnsi"/>
          <w:sz w:val="20"/>
          <w:szCs w:val="20"/>
        </w:rPr>
        <w:t xml:space="preserve">Romero </w:t>
      </w:r>
      <w:r w:rsidR="004921CF">
        <w:rPr>
          <w:rFonts w:asciiTheme="majorHAnsi" w:hAnsiTheme="majorHAnsi"/>
          <w:sz w:val="20"/>
          <w:szCs w:val="20"/>
        </w:rPr>
        <w:t>learned</w:t>
      </w:r>
      <w:r w:rsidR="001A7621">
        <w:rPr>
          <w:rFonts w:asciiTheme="majorHAnsi" w:hAnsiTheme="majorHAnsi"/>
          <w:sz w:val="20"/>
          <w:szCs w:val="20"/>
        </w:rPr>
        <w:t>,</w:t>
      </w:r>
      <w:r w:rsidR="004921CF">
        <w:rPr>
          <w:rFonts w:asciiTheme="majorHAnsi" w:hAnsiTheme="majorHAnsi"/>
          <w:sz w:val="20"/>
          <w:szCs w:val="20"/>
        </w:rPr>
        <w:t xml:space="preserve"> that thanks to the</w:t>
      </w:r>
      <w:r w:rsidR="007D6638" w:rsidRPr="00A51861">
        <w:rPr>
          <w:rFonts w:asciiTheme="majorHAnsi" w:hAnsiTheme="majorHAnsi"/>
          <w:sz w:val="20"/>
          <w:szCs w:val="20"/>
        </w:rPr>
        <w:t xml:space="preserve"> </w:t>
      </w:r>
      <w:r w:rsidR="004921CF" w:rsidRPr="00A51861">
        <w:rPr>
          <w:rFonts w:asciiTheme="majorHAnsi" w:hAnsiTheme="majorHAnsi"/>
          <w:sz w:val="20"/>
          <w:szCs w:val="20"/>
        </w:rPr>
        <w:t>intercession</w:t>
      </w:r>
      <w:r w:rsidR="004969F4">
        <w:rPr>
          <w:rFonts w:asciiTheme="majorHAnsi" w:hAnsiTheme="majorHAnsi"/>
          <w:sz w:val="20"/>
          <w:szCs w:val="20"/>
        </w:rPr>
        <w:t xml:space="preserve"> of the</w:t>
      </w:r>
      <w:r w:rsidR="008E2F10">
        <w:rPr>
          <w:rFonts w:asciiTheme="majorHAnsi" w:hAnsiTheme="majorHAnsi"/>
          <w:sz w:val="20"/>
          <w:szCs w:val="20"/>
        </w:rPr>
        <w:t xml:space="preserve"> HCUNR</w:t>
      </w:r>
      <w:r w:rsidR="007D6638" w:rsidRPr="00A51861">
        <w:rPr>
          <w:rFonts w:asciiTheme="majorHAnsi" w:hAnsiTheme="majorHAnsi"/>
          <w:sz w:val="20"/>
          <w:szCs w:val="20"/>
        </w:rPr>
        <w:t xml:space="preserve">, </w:t>
      </w:r>
      <w:r w:rsidR="004921CF">
        <w:rPr>
          <w:rFonts w:asciiTheme="majorHAnsi" w:hAnsiTheme="majorHAnsi"/>
          <w:sz w:val="20"/>
          <w:szCs w:val="20"/>
        </w:rPr>
        <w:t xml:space="preserve">the government </w:t>
      </w:r>
      <w:r w:rsidR="00E92985">
        <w:rPr>
          <w:rFonts w:asciiTheme="majorHAnsi" w:hAnsiTheme="majorHAnsi"/>
          <w:sz w:val="20"/>
          <w:szCs w:val="20"/>
        </w:rPr>
        <w:t xml:space="preserve">of </w:t>
      </w:r>
      <w:r w:rsidR="00BD6923">
        <w:rPr>
          <w:rFonts w:asciiTheme="majorHAnsi" w:hAnsiTheme="majorHAnsi"/>
          <w:sz w:val="20"/>
          <w:szCs w:val="20"/>
        </w:rPr>
        <w:t>Sweden</w:t>
      </w:r>
      <w:r w:rsidR="007D6638" w:rsidRPr="00A51861">
        <w:rPr>
          <w:rFonts w:asciiTheme="majorHAnsi" w:hAnsiTheme="majorHAnsi"/>
          <w:sz w:val="20"/>
          <w:szCs w:val="20"/>
        </w:rPr>
        <w:t xml:space="preserve"> </w:t>
      </w:r>
      <w:r w:rsidR="004921CF">
        <w:rPr>
          <w:rFonts w:asciiTheme="majorHAnsi" w:hAnsiTheme="majorHAnsi"/>
          <w:sz w:val="20"/>
          <w:szCs w:val="20"/>
        </w:rPr>
        <w:t>had granted him political asylum</w:t>
      </w:r>
      <w:r w:rsidR="007D6638" w:rsidRPr="00A51861">
        <w:rPr>
          <w:rFonts w:asciiTheme="majorHAnsi" w:hAnsiTheme="majorHAnsi"/>
          <w:sz w:val="20"/>
          <w:szCs w:val="20"/>
        </w:rPr>
        <w:t>,</w:t>
      </w:r>
      <w:r w:rsidR="00E92985">
        <w:rPr>
          <w:rFonts w:asciiTheme="majorHAnsi" w:hAnsiTheme="majorHAnsi"/>
          <w:sz w:val="20"/>
          <w:szCs w:val="20"/>
        </w:rPr>
        <w:t xml:space="preserve"> and </w:t>
      </w:r>
      <w:r w:rsidR="004921CF">
        <w:rPr>
          <w:rFonts w:asciiTheme="majorHAnsi" w:hAnsiTheme="majorHAnsi"/>
          <w:sz w:val="20"/>
          <w:szCs w:val="20"/>
        </w:rPr>
        <w:t>that very same October 16,</w:t>
      </w:r>
      <w:r w:rsidR="00354A4F" w:rsidRPr="00A51861">
        <w:rPr>
          <w:rFonts w:asciiTheme="majorHAnsi" w:hAnsiTheme="majorHAnsi"/>
          <w:sz w:val="20"/>
          <w:szCs w:val="20"/>
        </w:rPr>
        <w:t xml:space="preserve"> </w:t>
      </w:r>
      <w:r w:rsidR="004921CF">
        <w:rPr>
          <w:rFonts w:asciiTheme="majorHAnsi" w:hAnsiTheme="majorHAnsi"/>
          <w:sz w:val="20"/>
          <w:szCs w:val="20"/>
        </w:rPr>
        <w:t>he left toward that country</w:t>
      </w:r>
      <w:r w:rsidR="00354A4F" w:rsidRPr="00A51861">
        <w:rPr>
          <w:rFonts w:asciiTheme="majorHAnsi" w:hAnsiTheme="majorHAnsi"/>
          <w:sz w:val="20"/>
          <w:szCs w:val="20"/>
        </w:rPr>
        <w:t xml:space="preserve">, </w:t>
      </w:r>
      <w:r w:rsidR="004921CF">
        <w:rPr>
          <w:rFonts w:asciiTheme="majorHAnsi" w:hAnsiTheme="majorHAnsi"/>
          <w:sz w:val="20"/>
          <w:szCs w:val="20"/>
        </w:rPr>
        <w:t>as a political refugee</w:t>
      </w:r>
      <w:r w:rsidR="0063489A" w:rsidRPr="00A51861">
        <w:rPr>
          <w:rStyle w:val="FootnoteReference"/>
          <w:rFonts w:asciiTheme="majorHAnsi" w:hAnsiTheme="majorHAnsi"/>
          <w:sz w:val="20"/>
          <w:szCs w:val="20"/>
        </w:rPr>
        <w:footnoteReference w:id="128"/>
      </w:r>
      <w:r w:rsidR="001D1D61">
        <w:rPr>
          <w:rFonts w:asciiTheme="majorHAnsi" w:hAnsiTheme="majorHAnsi"/>
          <w:sz w:val="20"/>
          <w:szCs w:val="20"/>
        </w:rPr>
        <w:t>. Th</w:t>
      </w:r>
      <w:r w:rsidR="00E92985">
        <w:rPr>
          <w:rFonts w:asciiTheme="majorHAnsi" w:hAnsiTheme="majorHAnsi"/>
          <w:sz w:val="20"/>
          <w:szCs w:val="20"/>
        </w:rPr>
        <w:t>e Commission</w:t>
      </w:r>
      <w:r w:rsidR="00354A4F" w:rsidRPr="00A51861">
        <w:rPr>
          <w:rFonts w:asciiTheme="majorHAnsi" w:hAnsiTheme="majorHAnsi"/>
          <w:sz w:val="20"/>
          <w:szCs w:val="20"/>
        </w:rPr>
        <w:t xml:space="preserve"> </w:t>
      </w:r>
      <w:r w:rsidR="004921CF">
        <w:rPr>
          <w:rFonts w:asciiTheme="majorHAnsi" w:hAnsiTheme="majorHAnsi"/>
          <w:sz w:val="20"/>
          <w:szCs w:val="20"/>
        </w:rPr>
        <w:t>takes note that according to the held in latter briefs filed by the</w:t>
      </w:r>
      <w:r w:rsidR="00F92BA8">
        <w:rPr>
          <w:rFonts w:asciiTheme="majorHAnsi" w:hAnsiTheme="majorHAnsi"/>
          <w:sz w:val="20"/>
          <w:szCs w:val="20"/>
        </w:rPr>
        <w:t xml:space="preserve"> State</w:t>
      </w:r>
      <w:r w:rsidR="00E92985">
        <w:rPr>
          <w:rFonts w:asciiTheme="majorHAnsi" w:hAnsiTheme="majorHAnsi"/>
          <w:sz w:val="20"/>
          <w:szCs w:val="20"/>
        </w:rPr>
        <w:t xml:space="preserve"> and the petitioner</w:t>
      </w:r>
      <w:r w:rsidR="00354A4F" w:rsidRPr="00A51861">
        <w:rPr>
          <w:rFonts w:asciiTheme="majorHAnsi" w:hAnsiTheme="majorHAnsi"/>
          <w:sz w:val="20"/>
          <w:szCs w:val="20"/>
        </w:rPr>
        <w:t xml:space="preserve">, </w:t>
      </w:r>
      <w:r w:rsidR="004921CF">
        <w:rPr>
          <w:rFonts w:asciiTheme="majorHAnsi" w:hAnsiTheme="majorHAnsi"/>
          <w:sz w:val="20"/>
          <w:szCs w:val="20"/>
        </w:rPr>
        <w:t>the date</w:t>
      </w:r>
      <w:r w:rsidR="00E92985">
        <w:rPr>
          <w:rFonts w:asciiTheme="majorHAnsi" w:hAnsiTheme="majorHAnsi"/>
          <w:sz w:val="20"/>
          <w:szCs w:val="20"/>
        </w:rPr>
        <w:t xml:space="preserve"> of </w:t>
      </w:r>
      <w:r w:rsidR="00BD093F">
        <w:rPr>
          <w:rFonts w:asciiTheme="majorHAnsi" w:hAnsiTheme="majorHAnsi"/>
          <w:sz w:val="20"/>
          <w:szCs w:val="20"/>
        </w:rPr>
        <w:t xml:space="preserve">Mr. </w:t>
      </w:r>
      <w:r w:rsidR="00354A4F" w:rsidRPr="00A51861">
        <w:rPr>
          <w:rFonts w:asciiTheme="majorHAnsi" w:hAnsiTheme="majorHAnsi"/>
          <w:sz w:val="20"/>
          <w:szCs w:val="20"/>
        </w:rPr>
        <w:t>Romero</w:t>
      </w:r>
      <w:r w:rsidR="004921CF">
        <w:rPr>
          <w:rFonts w:asciiTheme="majorHAnsi" w:hAnsiTheme="majorHAnsi"/>
          <w:sz w:val="20"/>
          <w:szCs w:val="20"/>
        </w:rPr>
        <w:t xml:space="preserve">’s departure was November 6, </w:t>
      </w:r>
      <w:r w:rsidR="004921CF" w:rsidRPr="00A51861">
        <w:rPr>
          <w:rFonts w:asciiTheme="majorHAnsi" w:hAnsiTheme="majorHAnsi"/>
          <w:sz w:val="20"/>
          <w:szCs w:val="20"/>
        </w:rPr>
        <w:t>1974</w:t>
      </w:r>
      <w:r w:rsidR="00301BB2" w:rsidRPr="00A51861">
        <w:rPr>
          <w:rStyle w:val="FootnoteReference"/>
          <w:rFonts w:asciiTheme="majorHAnsi" w:hAnsiTheme="majorHAnsi"/>
          <w:sz w:val="20"/>
          <w:szCs w:val="20"/>
        </w:rPr>
        <w:footnoteReference w:id="129"/>
      </w:r>
      <w:r w:rsidR="00301BB2" w:rsidRPr="00A51861">
        <w:rPr>
          <w:rFonts w:asciiTheme="majorHAnsi" w:hAnsiTheme="majorHAnsi"/>
          <w:sz w:val="20"/>
          <w:szCs w:val="20"/>
        </w:rPr>
        <w:t>.</w:t>
      </w:r>
    </w:p>
    <w:p w14:paraId="2D09234D" w14:textId="77777777" w:rsidR="007D6638" w:rsidRPr="00A51861" w:rsidRDefault="007D6638" w:rsidP="008E4D36">
      <w:pPr>
        <w:pStyle w:val="ListParagraph"/>
        <w:rPr>
          <w:rFonts w:asciiTheme="majorHAnsi" w:hAnsiTheme="majorHAnsi"/>
          <w:sz w:val="20"/>
          <w:szCs w:val="20"/>
        </w:rPr>
      </w:pPr>
    </w:p>
    <w:p w14:paraId="529C1D49" w14:textId="79242F5D" w:rsidR="007D6638" w:rsidRPr="007D174A" w:rsidRDefault="00273F34" w:rsidP="00273F34">
      <w:pPr>
        <w:pStyle w:val="Heading4"/>
        <w:ind w:firstLine="720"/>
        <w:rPr>
          <w:b/>
          <w:bCs/>
          <w:i w:val="0"/>
          <w:iCs w:val="0"/>
          <w:color w:val="auto"/>
          <w:sz w:val="20"/>
          <w:szCs w:val="20"/>
        </w:rPr>
      </w:pPr>
      <w:bookmarkStart w:id="20" w:name="_Toc196383484"/>
      <w:r w:rsidRPr="007D174A">
        <w:rPr>
          <w:b/>
          <w:bCs/>
          <w:i w:val="0"/>
          <w:iCs w:val="0"/>
          <w:color w:val="auto"/>
          <w:sz w:val="20"/>
          <w:szCs w:val="20"/>
        </w:rPr>
        <w:t>3.1</w:t>
      </w:r>
      <w:r w:rsidRPr="007D174A">
        <w:rPr>
          <w:b/>
          <w:bCs/>
          <w:i w:val="0"/>
          <w:iCs w:val="0"/>
          <w:color w:val="auto"/>
          <w:sz w:val="20"/>
          <w:szCs w:val="20"/>
        </w:rPr>
        <w:tab/>
      </w:r>
      <w:r w:rsidR="00FE7B99" w:rsidRPr="007D174A">
        <w:rPr>
          <w:b/>
          <w:bCs/>
          <w:i w:val="0"/>
          <w:iCs w:val="0"/>
          <w:color w:val="auto"/>
          <w:sz w:val="20"/>
          <w:szCs w:val="20"/>
        </w:rPr>
        <w:t>About the proceedings of reparation initiated by</w:t>
      </w:r>
      <w:r w:rsidR="007D6638" w:rsidRPr="007D174A">
        <w:rPr>
          <w:b/>
          <w:bCs/>
          <w:i w:val="0"/>
          <w:iCs w:val="0"/>
          <w:color w:val="auto"/>
          <w:sz w:val="20"/>
          <w:szCs w:val="20"/>
        </w:rPr>
        <w:t xml:space="preserve"> </w:t>
      </w:r>
      <w:r w:rsidR="00A51861" w:rsidRPr="007D174A">
        <w:rPr>
          <w:b/>
          <w:bCs/>
          <w:i w:val="0"/>
          <w:iCs w:val="0"/>
          <w:color w:val="auto"/>
          <w:sz w:val="20"/>
          <w:szCs w:val="20"/>
        </w:rPr>
        <w:t xml:space="preserve">Mr. </w:t>
      </w:r>
      <w:r w:rsidR="007D6638" w:rsidRPr="007D174A">
        <w:rPr>
          <w:b/>
          <w:bCs/>
          <w:i w:val="0"/>
          <w:iCs w:val="0"/>
          <w:color w:val="auto"/>
          <w:sz w:val="20"/>
          <w:szCs w:val="20"/>
        </w:rPr>
        <w:t>Romero Ubal</w:t>
      </w:r>
      <w:bookmarkEnd w:id="20"/>
    </w:p>
    <w:p w14:paraId="4A1C4AF7" w14:textId="77777777" w:rsidR="007D6638" w:rsidRPr="00A51861" w:rsidRDefault="007D6638" w:rsidP="008E4D36">
      <w:pPr>
        <w:jc w:val="both"/>
        <w:rPr>
          <w:rFonts w:asciiTheme="majorHAnsi" w:hAnsiTheme="majorHAnsi"/>
          <w:b/>
          <w:sz w:val="20"/>
          <w:szCs w:val="20"/>
        </w:rPr>
      </w:pPr>
    </w:p>
    <w:p w14:paraId="3A74D094" w14:textId="245E716F" w:rsidR="00842DAB" w:rsidRPr="00A51861" w:rsidRDefault="004921CF"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I</w:t>
      </w:r>
      <w:r w:rsidR="00842DAB" w:rsidRPr="00A51861">
        <w:rPr>
          <w:rFonts w:asciiTheme="majorHAnsi" w:hAnsiTheme="majorHAnsi"/>
          <w:sz w:val="20"/>
          <w:szCs w:val="20"/>
        </w:rPr>
        <w:t xml:space="preserve">n 1998 </w:t>
      </w:r>
      <w:r w:rsidR="00A51861" w:rsidRPr="00A51861">
        <w:rPr>
          <w:rFonts w:asciiTheme="majorHAnsi" w:hAnsiTheme="majorHAnsi"/>
          <w:sz w:val="20"/>
          <w:szCs w:val="20"/>
        </w:rPr>
        <w:t xml:space="preserve">Mr. </w:t>
      </w:r>
      <w:r w:rsidR="00842DAB" w:rsidRPr="00A51861">
        <w:rPr>
          <w:rFonts w:asciiTheme="majorHAnsi" w:hAnsiTheme="majorHAnsi"/>
          <w:sz w:val="20"/>
          <w:szCs w:val="20"/>
        </w:rPr>
        <w:t xml:space="preserve">Romero Ubal </w:t>
      </w:r>
      <w:r>
        <w:rPr>
          <w:rFonts w:asciiTheme="majorHAnsi" w:hAnsiTheme="majorHAnsi"/>
          <w:sz w:val="20"/>
          <w:szCs w:val="20"/>
        </w:rPr>
        <w:t>initiated before the</w:t>
      </w:r>
      <w:r w:rsidR="00842DAB" w:rsidRPr="00A51861">
        <w:rPr>
          <w:rFonts w:asciiTheme="majorHAnsi" w:hAnsiTheme="majorHAnsi"/>
          <w:sz w:val="20"/>
          <w:szCs w:val="20"/>
        </w:rPr>
        <w:t xml:space="preserve"> </w:t>
      </w:r>
      <w:r>
        <w:rPr>
          <w:rFonts w:asciiTheme="majorHAnsi" w:hAnsiTheme="majorHAnsi"/>
          <w:sz w:val="20"/>
          <w:szCs w:val="20"/>
        </w:rPr>
        <w:t xml:space="preserve">Undersecretariat of Social and </w:t>
      </w:r>
      <w:r w:rsidR="00664D70">
        <w:rPr>
          <w:rFonts w:asciiTheme="majorHAnsi" w:hAnsiTheme="majorHAnsi"/>
          <w:sz w:val="20"/>
          <w:szCs w:val="20"/>
        </w:rPr>
        <w:t>Human rights</w:t>
      </w:r>
      <w:r>
        <w:rPr>
          <w:rFonts w:asciiTheme="majorHAnsi" w:hAnsiTheme="majorHAnsi"/>
          <w:sz w:val="20"/>
          <w:szCs w:val="20"/>
        </w:rPr>
        <w:t xml:space="preserve"> of </w:t>
      </w:r>
      <w:r w:rsidR="004969F4">
        <w:rPr>
          <w:rFonts w:asciiTheme="majorHAnsi" w:hAnsiTheme="majorHAnsi"/>
          <w:sz w:val="20"/>
          <w:szCs w:val="20"/>
        </w:rPr>
        <w:t xml:space="preserve">the Ministry of </w:t>
      </w:r>
      <w:r w:rsidR="00842DAB" w:rsidRPr="00A51861">
        <w:rPr>
          <w:rFonts w:asciiTheme="majorHAnsi" w:hAnsiTheme="majorHAnsi"/>
          <w:sz w:val="20"/>
          <w:szCs w:val="20"/>
        </w:rPr>
        <w:t xml:space="preserve">Interior, </w:t>
      </w:r>
      <w:r>
        <w:rPr>
          <w:rFonts w:asciiTheme="majorHAnsi" w:hAnsiTheme="majorHAnsi"/>
          <w:sz w:val="20"/>
          <w:szCs w:val="20"/>
        </w:rPr>
        <w:t>the proceedings to obtain a compensation f</w:t>
      </w:r>
      <w:r w:rsidR="00842DAB" w:rsidRPr="00A51861">
        <w:rPr>
          <w:rFonts w:asciiTheme="majorHAnsi" w:hAnsiTheme="majorHAnsi"/>
          <w:sz w:val="20"/>
          <w:szCs w:val="20"/>
        </w:rPr>
        <w:t>or</w:t>
      </w:r>
      <w:r w:rsidR="006A3C04">
        <w:rPr>
          <w:rFonts w:asciiTheme="majorHAnsi" w:hAnsiTheme="majorHAnsi"/>
          <w:sz w:val="20"/>
          <w:szCs w:val="20"/>
        </w:rPr>
        <w:t xml:space="preserve"> the facts</w:t>
      </w:r>
      <w:r w:rsidR="00842DAB" w:rsidRPr="00A51861">
        <w:rPr>
          <w:rFonts w:asciiTheme="majorHAnsi" w:hAnsiTheme="majorHAnsi"/>
          <w:sz w:val="20"/>
          <w:szCs w:val="20"/>
        </w:rPr>
        <w:t xml:space="preserve"> descr</w:t>
      </w:r>
      <w:r>
        <w:rPr>
          <w:rFonts w:asciiTheme="majorHAnsi" w:hAnsiTheme="majorHAnsi"/>
          <w:sz w:val="20"/>
          <w:szCs w:val="20"/>
        </w:rPr>
        <w:t>ibed</w:t>
      </w:r>
      <w:r w:rsidR="00842DAB" w:rsidRPr="00A51861">
        <w:rPr>
          <w:rFonts w:asciiTheme="majorHAnsi" w:hAnsiTheme="majorHAnsi"/>
          <w:sz w:val="20"/>
          <w:szCs w:val="20"/>
        </w:rPr>
        <w:t xml:space="preserve">, </w:t>
      </w:r>
      <w:r>
        <w:rPr>
          <w:rFonts w:asciiTheme="majorHAnsi" w:hAnsiTheme="majorHAnsi"/>
          <w:sz w:val="20"/>
          <w:szCs w:val="20"/>
        </w:rPr>
        <w:t xml:space="preserve">based on </w:t>
      </w:r>
      <w:r w:rsidR="002835FC" w:rsidRPr="00A51861">
        <w:rPr>
          <w:rFonts w:asciiTheme="majorHAnsi" w:hAnsiTheme="majorHAnsi"/>
          <w:sz w:val="20"/>
          <w:szCs w:val="20"/>
        </w:rPr>
        <w:t xml:space="preserve">Law </w:t>
      </w:r>
      <w:r w:rsidR="00842DAB" w:rsidRPr="00A51861">
        <w:rPr>
          <w:rFonts w:asciiTheme="majorHAnsi" w:hAnsiTheme="majorHAnsi"/>
          <w:sz w:val="20"/>
          <w:szCs w:val="20"/>
        </w:rPr>
        <w:t>24.043</w:t>
      </w:r>
      <w:r w:rsidR="00E92985">
        <w:rPr>
          <w:rFonts w:asciiTheme="majorHAnsi" w:hAnsiTheme="majorHAnsi"/>
          <w:sz w:val="20"/>
          <w:szCs w:val="20"/>
        </w:rPr>
        <w:t xml:space="preserve"> and </w:t>
      </w:r>
      <w:r>
        <w:rPr>
          <w:rFonts w:asciiTheme="majorHAnsi" w:hAnsiTheme="majorHAnsi"/>
          <w:sz w:val="20"/>
          <w:szCs w:val="20"/>
        </w:rPr>
        <w:t>its</w:t>
      </w:r>
      <w:r w:rsidR="00842DAB" w:rsidRPr="00A51861">
        <w:rPr>
          <w:rFonts w:asciiTheme="majorHAnsi" w:hAnsiTheme="majorHAnsi"/>
          <w:sz w:val="20"/>
          <w:szCs w:val="20"/>
        </w:rPr>
        <w:t xml:space="preserve"> </w:t>
      </w:r>
      <w:r>
        <w:rPr>
          <w:rFonts w:asciiTheme="majorHAnsi" w:hAnsiTheme="majorHAnsi"/>
          <w:sz w:val="20"/>
          <w:szCs w:val="20"/>
        </w:rPr>
        <w:t xml:space="preserve">amplifier </w:t>
      </w:r>
      <w:r w:rsidR="00842DAB" w:rsidRPr="00A51861">
        <w:rPr>
          <w:rFonts w:asciiTheme="majorHAnsi" w:hAnsiTheme="majorHAnsi"/>
          <w:sz w:val="20"/>
          <w:szCs w:val="20"/>
        </w:rPr>
        <w:t>24.906</w:t>
      </w:r>
      <w:r w:rsidR="00842DAB" w:rsidRPr="00A51861">
        <w:rPr>
          <w:rFonts w:asciiTheme="majorHAnsi" w:hAnsiTheme="majorHAnsi"/>
          <w:sz w:val="20"/>
          <w:szCs w:val="20"/>
          <w:vertAlign w:val="superscript"/>
        </w:rPr>
        <w:footnoteReference w:id="130"/>
      </w:r>
      <w:r w:rsidR="00842DAB" w:rsidRPr="00A51861">
        <w:rPr>
          <w:rFonts w:asciiTheme="majorHAnsi" w:hAnsiTheme="majorHAnsi"/>
          <w:sz w:val="20"/>
          <w:szCs w:val="20"/>
        </w:rPr>
        <w:t xml:space="preserve">. </w:t>
      </w:r>
      <w:r>
        <w:rPr>
          <w:rFonts w:asciiTheme="majorHAnsi" w:hAnsiTheme="majorHAnsi"/>
          <w:sz w:val="20"/>
          <w:szCs w:val="20"/>
        </w:rPr>
        <w:t>In subsidy</w:t>
      </w:r>
      <w:r w:rsidRPr="00A51861">
        <w:rPr>
          <w:rFonts w:asciiTheme="majorHAnsi" w:hAnsiTheme="majorHAnsi"/>
          <w:sz w:val="20"/>
          <w:szCs w:val="20"/>
        </w:rPr>
        <w:t xml:space="preserve">, </w:t>
      </w:r>
      <w:r>
        <w:rPr>
          <w:rFonts w:asciiTheme="majorHAnsi" w:hAnsiTheme="majorHAnsi"/>
          <w:sz w:val="20"/>
          <w:szCs w:val="20"/>
        </w:rPr>
        <w:t xml:space="preserve">a compensation for damages was claimed for the same </w:t>
      </w:r>
      <w:r w:rsidR="005F6157">
        <w:rPr>
          <w:rFonts w:asciiTheme="majorHAnsi" w:hAnsiTheme="majorHAnsi"/>
          <w:sz w:val="20"/>
          <w:szCs w:val="20"/>
        </w:rPr>
        <w:t>fact</w:t>
      </w:r>
      <w:r w:rsidR="00842DAB" w:rsidRPr="00A51861">
        <w:rPr>
          <w:rFonts w:asciiTheme="majorHAnsi" w:hAnsiTheme="majorHAnsi"/>
          <w:sz w:val="20"/>
          <w:szCs w:val="20"/>
        </w:rPr>
        <w:t>s</w:t>
      </w:r>
      <w:r w:rsidR="00842DAB" w:rsidRPr="00A51861">
        <w:rPr>
          <w:rFonts w:asciiTheme="majorHAnsi" w:hAnsiTheme="majorHAnsi"/>
          <w:sz w:val="20"/>
          <w:szCs w:val="20"/>
          <w:vertAlign w:val="superscript"/>
        </w:rPr>
        <w:footnoteReference w:id="131"/>
      </w:r>
      <w:r w:rsidR="00842DAB" w:rsidRPr="00A51861">
        <w:rPr>
          <w:rFonts w:asciiTheme="majorHAnsi" w:hAnsiTheme="majorHAnsi"/>
          <w:sz w:val="20"/>
          <w:szCs w:val="20"/>
        </w:rPr>
        <w:t xml:space="preserve">. </w:t>
      </w:r>
    </w:p>
    <w:p w14:paraId="2E72985B" w14:textId="77777777" w:rsidR="00842DAB" w:rsidRPr="00A51861" w:rsidRDefault="00842DAB" w:rsidP="008E4D36">
      <w:pPr>
        <w:rPr>
          <w:rFonts w:asciiTheme="majorHAnsi" w:hAnsiTheme="majorHAnsi"/>
          <w:sz w:val="20"/>
          <w:szCs w:val="20"/>
        </w:rPr>
      </w:pPr>
    </w:p>
    <w:p w14:paraId="7D4BA5AF" w14:textId="4D2EAD4A" w:rsidR="00842DAB" w:rsidRPr="00A51861" w:rsidRDefault="004921CF"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On September 23,</w:t>
      </w:r>
      <w:r w:rsidR="00E92985">
        <w:rPr>
          <w:rFonts w:asciiTheme="majorHAnsi" w:hAnsiTheme="majorHAnsi"/>
          <w:sz w:val="20"/>
          <w:szCs w:val="20"/>
        </w:rPr>
        <w:t xml:space="preserve"> </w:t>
      </w:r>
      <w:r w:rsidR="00842DAB" w:rsidRPr="00A51861">
        <w:rPr>
          <w:rFonts w:asciiTheme="majorHAnsi" w:hAnsiTheme="majorHAnsi"/>
          <w:sz w:val="20"/>
          <w:szCs w:val="20"/>
        </w:rPr>
        <w:t xml:space="preserve">1999 </w:t>
      </w:r>
      <w:r>
        <w:rPr>
          <w:rFonts w:asciiTheme="majorHAnsi" w:hAnsiTheme="majorHAnsi"/>
          <w:sz w:val="20"/>
          <w:szCs w:val="20"/>
        </w:rPr>
        <w:t>the</w:t>
      </w:r>
      <w:r w:rsidR="00842DAB" w:rsidRPr="00A51861">
        <w:rPr>
          <w:rFonts w:asciiTheme="majorHAnsi" w:hAnsiTheme="majorHAnsi"/>
          <w:sz w:val="20"/>
          <w:szCs w:val="20"/>
        </w:rPr>
        <w:t xml:space="preserve"> </w:t>
      </w:r>
      <w:r w:rsidR="004969F4">
        <w:rPr>
          <w:rFonts w:asciiTheme="majorHAnsi" w:hAnsiTheme="majorHAnsi"/>
          <w:sz w:val="20"/>
          <w:szCs w:val="20"/>
        </w:rPr>
        <w:t xml:space="preserve">Ministry of </w:t>
      </w:r>
      <w:r w:rsidR="00842DAB" w:rsidRPr="00A51861">
        <w:rPr>
          <w:rFonts w:asciiTheme="majorHAnsi" w:hAnsiTheme="majorHAnsi"/>
          <w:sz w:val="20"/>
          <w:szCs w:val="20"/>
        </w:rPr>
        <w:t xml:space="preserve">Interior </w:t>
      </w:r>
      <w:r w:rsidR="00EF1F73">
        <w:rPr>
          <w:rFonts w:asciiTheme="majorHAnsi" w:hAnsiTheme="majorHAnsi"/>
          <w:sz w:val="20"/>
          <w:szCs w:val="20"/>
        </w:rPr>
        <w:t>issued</w:t>
      </w:r>
      <w:r w:rsidR="00842DAB" w:rsidRPr="00A51861">
        <w:rPr>
          <w:rFonts w:asciiTheme="majorHAnsi" w:hAnsiTheme="majorHAnsi"/>
          <w:sz w:val="20"/>
          <w:szCs w:val="20"/>
        </w:rPr>
        <w:t xml:space="preserve"> </w:t>
      </w:r>
      <w:r w:rsidR="0029564F">
        <w:rPr>
          <w:rFonts w:asciiTheme="majorHAnsi" w:hAnsiTheme="majorHAnsi"/>
          <w:sz w:val="20"/>
          <w:szCs w:val="20"/>
        </w:rPr>
        <w:t>Resolution</w:t>
      </w:r>
      <w:r w:rsidR="00842DAB" w:rsidRPr="00A51861">
        <w:rPr>
          <w:rFonts w:asciiTheme="majorHAnsi" w:hAnsiTheme="majorHAnsi"/>
          <w:sz w:val="20"/>
          <w:szCs w:val="20"/>
        </w:rPr>
        <w:t xml:space="preserve"> No. 2068, </w:t>
      </w:r>
      <w:r w:rsidR="00EF1F73">
        <w:rPr>
          <w:rFonts w:asciiTheme="majorHAnsi" w:hAnsiTheme="majorHAnsi"/>
          <w:sz w:val="20"/>
          <w:szCs w:val="20"/>
        </w:rPr>
        <w:t xml:space="preserve">holding that the demands had been rejected </w:t>
      </w:r>
      <w:r w:rsidR="00EF1F73">
        <w:rPr>
          <w:rFonts w:ascii="Cambria" w:hAnsi="Cambria"/>
          <w:color w:val="000000" w:themeColor="text1"/>
          <w:sz w:val="20"/>
          <w:szCs w:val="20"/>
        </w:rPr>
        <w:t>for failure to corroborate the</w:t>
      </w:r>
      <w:r w:rsidR="00842DAB" w:rsidRPr="00A51861">
        <w:rPr>
          <w:rFonts w:asciiTheme="majorHAnsi" w:hAnsiTheme="majorHAnsi"/>
          <w:sz w:val="20"/>
          <w:szCs w:val="20"/>
        </w:rPr>
        <w:t xml:space="preserve"> </w:t>
      </w:r>
      <w:r w:rsidR="00EC7A58">
        <w:rPr>
          <w:rFonts w:asciiTheme="majorHAnsi" w:hAnsiTheme="majorHAnsi"/>
          <w:sz w:val="20"/>
          <w:szCs w:val="20"/>
        </w:rPr>
        <w:t>requirement</w:t>
      </w:r>
      <w:r w:rsidR="00842DAB" w:rsidRPr="00A51861">
        <w:rPr>
          <w:rFonts w:asciiTheme="majorHAnsi" w:hAnsiTheme="majorHAnsi"/>
          <w:sz w:val="20"/>
          <w:szCs w:val="20"/>
        </w:rPr>
        <w:t xml:space="preserve">s </w:t>
      </w:r>
      <w:r w:rsidR="00EF1F73">
        <w:rPr>
          <w:rFonts w:asciiTheme="majorHAnsi" w:hAnsiTheme="majorHAnsi"/>
          <w:sz w:val="20"/>
          <w:szCs w:val="20"/>
        </w:rPr>
        <w:t>set forth by</w:t>
      </w:r>
      <w:r w:rsidR="00842DAB" w:rsidRPr="00A51861">
        <w:rPr>
          <w:rFonts w:asciiTheme="majorHAnsi" w:hAnsiTheme="majorHAnsi"/>
          <w:sz w:val="20"/>
          <w:szCs w:val="20"/>
        </w:rPr>
        <w:t xml:space="preserve"> </w:t>
      </w:r>
      <w:r w:rsidR="002835FC" w:rsidRPr="00A51861">
        <w:rPr>
          <w:rFonts w:asciiTheme="majorHAnsi" w:hAnsiTheme="majorHAnsi"/>
          <w:sz w:val="20"/>
          <w:szCs w:val="20"/>
        </w:rPr>
        <w:t xml:space="preserve">Law </w:t>
      </w:r>
      <w:r w:rsidR="00842DAB" w:rsidRPr="00A51861">
        <w:rPr>
          <w:rFonts w:asciiTheme="majorHAnsi" w:hAnsiTheme="majorHAnsi"/>
          <w:sz w:val="20"/>
          <w:szCs w:val="20"/>
        </w:rPr>
        <w:t>24.043</w:t>
      </w:r>
      <w:r w:rsidR="00842DAB" w:rsidRPr="00A51861">
        <w:rPr>
          <w:rStyle w:val="FootnoteReference"/>
          <w:rFonts w:asciiTheme="majorHAnsi" w:hAnsiTheme="majorHAnsi"/>
          <w:sz w:val="20"/>
          <w:szCs w:val="20"/>
        </w:rPr>
        <w:footnoteReference w:id="132"/>
      </w:r>
      <w:r w:rsidR="00842DAB" w:rsidRPr="00A51861">
        <w:rPr>
          <w:rFonts w:asciiTheme="majorHAnsi" w:hAnsiTheme="majorHAnsi"/>
          <w:sz w:val="20"/>
          <w:szCs w:val="20"/>
        </w:rPr>
        <w:t xml:space="preserve">. </w:t>
      </w:r>
    </w:p>
    <w:p w14:paraId="5A20277A" w14:textId="77777777" w:rsidR="00842DAB" w:rsidRPr="00A51861" w:rsidRDefault="00842DAB" w:rsidP="008E4D36">
      <w:pPr>
        <w:pStyle w:val="ListParagraph"/>
        <w:rPr>
          <w:rFonts w:asciiTheme="majorHAnsi" w:hAnsiTheme="majorHAnsi"/>
          <w:sz w:val="20"/>
          <w:szCs w:val="20"/>
        </w:rPr>
      </w:pPr>
    </w:p>
    <w:p w14:paraId="1E976BBC" w14:textId="4CC2FE03" w:rsidR="00842DAB" w:rsidRPr="00A51861" w:rsidRDefault="00EF1F73"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 xml:space="preserve">On October 19, </w:t>
      </w:r>
      <w:r w:rsidR="00842DAB" w:rsidRPr="00A51861">
        <w:rPr>
          <w:rFonts w:asciiTheme="majorHAnsi" w:hAnsiTheme="majorHAnsi"/>
          <w:sz w:val="20"/>
          <w:szCs w:val="20"/>
        </w:rPr>
        <w:t xml:space="preserve">1999 </w:t>
      </w:r>
      <w:r w:rsidR="005D0AC1">
        <w:rPr>
          <w:rFonts w:asciiTheme="majorHAnsi" w:hAnsiTheme="majorHAnsi"/>
          <w:sz w:val="20"/>
          <w:szCs w:val="20"/>
        </w:rPr>
        <w:t xml:space="preserve">the counselor of Mr. </w:t>
      </w:r>
      <w:r w:rsidR="00842DAB" w:rsidRPr="00A51861">
        <w:rPr>
          <w:rFonts w:asciiTheme="majorHAnsi" w:hAnsiTheme="majorHAnsi"/>
          <w:sz w:val="20"/>
          <w:szCs w:val="20"/>
        </w:rPr>
        <w:t xml:space="preserve">Romero Ubal </w:t>
      </w:r>
      <w:r w:rsidR="005D0AC1">
        <w:rPr>
          <w:rFonts w:asciiTheme="majorHAnsi" w:hAnsiTheme="majorHAnsi"/>
          <w:sz w:val="20"/>
          <w:szCs w:val="20"/>
        </w:rPr>
        <w:t xml:space="preserve">filed a direct appeal remedy before the </w:t>
      </w:r>
      <w:r w:rsidR="00026BBF">
        <w:rPr>
          <w:rFonts w:asciiTheme="majorHAnsi" w:hAnsiTheme="majorHAnsi"/>
          <w:sz w:val="20"/>
          <w:szCs w:val="20"/>
        </w:rPr>
        <w:t>National Chamber of Federal Contentious Administrative Appeals</w:t>
      </w:r>
      <w:r w:rsidR="00842DAB" w:rsidRPr="00A51861">
        <w:rPr>
          <w:rStyle w:val="FootnoteReference"/>
          <w:rFonts w:asciiTheme="majorHAnsi" w:hAnsiTheme="majorHAnsi"/>
          <w:sz w:val="20"/>
          <w:szCs w:val="20"/>
        </w:rPr>
        <w:footnoteReference w:id="133"/>
      </w:r>
      <w:r w:rsidR="00680DA3">
        <w:rPr>
          <w:rFonts w:asciiTheme="majorHAnsi" w:hAnsiTheme="majorHAnsi"/>
          <w:sz w:val="20"/>
          <w:szCs w:val="20"/>
        </w:rPr>
        <w:t>.  Th</w:t>
      </w:r>
      <w:r>
        <w:rPr>
          <w:rFonts w:asciiTheme="majorHAnsi" w:hAnsiTheme="majorHAnsi"/>
          <w:sz w:val="20"/>
          <w:szCs w:val="20"/>
        </w:rPr>
        <w:t>e remedy claimed that none of the evidential measures</w:t>
      </w:r>
      <w:r w:rsidR="00842DAB" w:rsidRPr="00A51861">
        <w:rPr>
          <w:rFonts w:asciiTheme="majorHAnsi" w:hAnsiTheme="majorHAnsi"/>
          <w:sz w:val="20"/>
          <w:szCs w:val="20"/>
        </w:rPr>
        <w:t xml:space="preserve"> </w:t>
      </w:r>
      <w:r>
        <w:rPr>
          <w:rFonts w:asciiTheme="majorHAnsi" w:hAnsiTheme="majorHAnsi"/>
          <w:sz w:val="20"/>
          <w:szCs w:val="20"/>
        </w:rPr>
        <w:t>provided in the request</w:t>
      </w:r>
      <w:r w:rsidR="00842DAB" w:rsidRPr="00A51861">
        <w:rPr>
          <w:rFonts w:asciiTheme="majorHAnsi" w:hAnsiTheme="majorHAnsi"/>
          <w:sz w:val="20"/>
          <w:szCs w:val="20"/>
        </w:rPr>
        <w:t xml:space="preserve">, </w:t>
      </w:r>
      <w:r>
        <w:rPr>
          <w:rFonts w:asciiTheme="majorHAnsi" w:hAnsiTheme="majorHAnsi"/>
          <w:sz w:val="20"/>
          <w:szCs w:val="20"/>
        </w:rPr>
        <w:t>was developed by the</w:t>
      </w:r>
      <w:r w:rsidR="00842DAB" w:rsidRPr="00A51861">
        <w:rPr>
          <w:rFonts w:asciiTheme="majorHAnsi" w:hAnsiTheme="majorHAnsi"/>
          <w:sz w:val="20"/>
          <w:szCs w:val="20"/>
        </w:rPr>
        <w:t xml:space="preserve"> </w:t>
      </w:r>
      <w:r>
        <w:rPr>
          <w:rFonts w:asciiTheme="majorHAnsi" w:hAnsiTheme="majorHAnsi"/>
          <w:sz w:val="20"/>
          <w:szCs w:val="20"/>
        </w:rPr>
        <w:t>administration</w:t>
      </w:r>
      <w:r w:rsidR="00842DAB" w:rsidRPr="00A51861">
        <w:rPr>
          <w:rFonts w:asciiTheme="majorHAnsi" w:hAnsiTheme="majorHAnsi"/>
          <w:sz w:val="20"/>
          <w:szCs w:val="20"/>
        </w:rPr>
        <w:t>,</w:t>
      </w:r>
      <w:r w:rsidR="00E92985">
        <w:rPr>
          <w:rFonts w:asciiTheme="majorHAnsi" w:hAnsiTheme="majorHAnsi"/>
          <w:sz w:val="20"/>
          <w:szCs w:val="20"/>
        </w:rPr>
        <w:t xml:space="preserve"> and </w:t>
      </w:r>
      <w:r>
        <w:rPr>
          <w:rFonts w:asciiTheme="majorHAnsi" w:hAnsiTheme="majorHAnsi"/>
          <w:sz w:val="20"/>
          <w:szCs w:val="20"/>
        </w:rPr>
        <w:t>the argued ends were not examined with due judgments</w:t>
      </w:r>
      <w:r w:rsidR="000F6AB8" w:rsidRPr="00A51861">
        <w:rPr>
          <w:rFonts w:asciiTheme="majorHAnsi" w:hAnsiTheme="majorHAnsi"/>
          <w:sz w:val="20"/>
          <w:szCs w:val="20"/>
        </w:rPr>
        <w:t xml:space="preserve">, </w:t>
      </w:r>
      <w:r>
        <w:rPr>
          <w:rFonts w:asciiTheme="majorHAnsi" w:hAnsiTheme="majorHAnsi"/>
          <w:sz w:val="20"/>
          <w:szCs w:val="20"/>
        </w:rPr>
        <w:t>nor the</w:t>
      </w:r>
      <w:r w:rsidR="000F6AB8" w:rsidRPr="00A51861">
        <w:rPr>
          <w:rFonts w:asciiTheme="majorHAnsi" w:hAnsiTheme="majorHAnsi"/>
          <w:sz w:val="20"/>
          <w:szCs w:val="20"/>
        </w:rPr>
        <w:t xml:space="preserve"> </w:t>
      </w:r>
      <w:r>
        <w:rPr>
          <w:rFonts w:asciiTheme="majorHAnsi" w:hAnsiTheme="majorHAnsi"/>
          <w:sz w:val="20"/>
          <w:szCs w:val="20"/>
        </w:rPr>
        <w:t xml:space="preserve">precedents </w:t>
      </w:r>
      <w:r w:rsidR="00E92985">
        <w:rPr>
          <w:rFonts w:asciiTheme="majorHAnsi" w:hAnsiTheme="majorHAnsi"/>
          <w:sz w:val="20"/>
          <w:szCs w:val="20"/>
        </w:rPr>
        <w:t xml:space="preserve">of the </w:t>
      </w:r>
      <w:r>
        <w:rPr>
          <w:rFonts w:asciiTheme="majorHAnsi" w:hAnsiTheme="majorHAnsi"/>
          <w:sz w:val="20"/>
          <w:szCs w:val="20"/>
        </w:rPr>
        <w:t>Supreme Court of Justice of the Nation</w:t>
      </w:r>
      <w:r w:rsidR="005F46B6">
        <w:rPr>
          <w:rFonts w:asciiTheme="majorHAnsi" w:hAnsiTheme="majorHAnsi"/>
          <w:sz w:val="20"/>
          <w:szCs w:val="20"/>
        </w:rPr>
        <w:t xml:space="preserve"> </w:t>
      </w:r>
      <w:r>
        <w:rPr>
          <w:rFonts w:asciiTheme="majorHAnsi" w:hAnsiTheme="majorHAnsi"/>
          <w:sz w:val="20"/>
          <w:szCs w:val="20"/>
        </w:rPr>
        <w:t>in which</w:t>
      </w:r>
      <w:r w:rsidR="000F6AB8" w:rsidRPr="00A51861">
        <w:rPr>
          <w:rFonts w:asciiTheme="majorHAnsi" w:hAnsiTheme="majorHAnsi"/>
          <w:sz w:val="20"/>
          <w:szCs w:val="20"/>
        </w:rPr>
        <w:t xml:space="preserve">, </w:t>
      </w:r>
      <w:r w:rsidR="00CB0928">
        <w:rPr>
          <w:rFonts w:asciiTheme="majorHAnsi" w:hAnsiTheme="majorHAnsi"/>
          <w:sz w:val="20"/>
          <w:szCs w:val="20"/>
        </w:rPr>
        <w:t>on similar cases</w:t>
      </w:r>
      <w:r w:rsidR="000F6AB8" w:rsidRPr="00A51861">
        <w:rPr>
          <w:rFonts w:asciiTheme="majorHAnsi" w:hAnsiTheme="majorHAnsi"/>
          <w:sz w:val="20"/>
          <w:szCs w:val="20"/>
        </w:rPr>
        <w:t xml:space="preserve">, </w:t>
      </w:r>
      <w:r>
        <w:rPr>
          <w:rFonts w:asciiTheme="majorHAnsi" w:hAnsiTheme="majorHAnsi"/>
          <w:sz w:val="20"/>
          <w:szCs w:val="20"/>
        </w:rPr>
        <w:t xml:space="preserve">the </w:t>
      </w:r>
      <w:r w:rsidR="00B47E06">
        <w:rPr>
          <w:rFonts w:asciiTheme="majorHAnsi" w:hAnsiTheme="majorHAnsi"/>
          <w:sz w:val="20"/>
          <w:szCs w:val="20"/>
        </w:rPr>
        <w:t>benefit</w:t>
      </w:r>
      <w:r w:rsidR="00E92985">
        <w:rPr>
          <w:rFonts w:asciiTheme="majorHAnsi" w:hAnsiTheme="majorHAnsi"/>
          <w:sz w:val="20"/>
          <w:szCs w:val="20"/>
        </w:rPr>
        <w:t xml:space="preserve"> of the </w:t>
      </w:r>
      <w:r>
        <w:rPr>
          <w:rFonts w:asciiTheme="majorHAnsi" w:hAnsiTheme="majorHAnsi"/>
          <w:sz w:val="20"/>
          <w:szCs w:val="20"/>
        </w:rPr>
        <w:t xml:space="preserve">referred law </w:t>
      </w:r>
      <w:r w:rsidR="000F6AB8" w:rsidRPr="00A51861">
        <w:rPr>
          <w:rFonts w:asciiTheme="majorHAnsi" w:hAnsiTheme="majorHAnsi"/>
          <w:sz w:val="20"/>
          <w:szCs w:val="20"/>
        </w:rPr>
        <w:t>(</w:t>
      </w:r>
      <w:r>
        <w:rPr>
          <w:rFonts w:asciiTheme="majorHAnsi" w:hAnsiTheme="majorHAnsi"/>
          <w:sz w:val="20"/>
          <w:szCs w:val="20"/>
        </w:rPr>
        <w:t>for example in the</w:t>
      </w:r>
      <w:r w:rsidR="000F6AB8" w:rsidRPr="00A51861">
        <w:rPr>
          <w:rFonts w:asciiTheme="majorHAnsi" w:hAnsiTheme="majorHAnsi"/>
          <w:sz w:val="20"/>
          <w:szCs w:val="20"/>
        </w:rPr>
        <w:t xml:space="preserve"> Bufano</w:t>
      </w:r>
      <w:r w:rsidRPr="00EF1F73">
        <w:rPr>
          <w:rFonts w:asciiTheme="majorHAnsi" w:hAnsiTheme="majorHAnsi"/>
          <w:sz w:val="20"/>
          <w:szCs w:val="20"/>
        </w:rPr>
        <w:t xml:space="preserve"> </w:t>
      </w:r>
      <w:r w:rsidRPr="00A51861">
        <w:rPr>
          <w:rFonts w:asciiTheme="majorHAnsi" w:hAnsiTheme="majorHAnsi"/>
          <w:sz w:val="20"/>
          <w:szCs w:val="20"/>
        </w:rPr>
        <w:t>cas</w:t>
      </w:r>
      <w:r>
        <w:rPr>
          <w:rFonts w:asciiTheme="majorHAnsi" w:hAnsiTheme="majorHAnsi"/>
          <w:sz w:val="20"/>
          <w:szCs w:val="20"/>
        </w:rPr>
        <w:t>e</w:t>
      </w:r>
      <w:r w:rsidR="000F6AB8" w:rsidRPr="00A51861">
        <w:rPr>
          <w:rFonts w:asciiTheme="majorHAnsi" w:hAnsiTheme="majorHAnsi"/>
          <w:sz w:val="20"/>
          <w:szCs w:val="20"/>
        </w:rPr>
        <w:t>)</w:t>
      </w:r>
      <w:r w:rsidR="00842DAB" w:rsidRPr="00A51861">
        <w:rPr>
          <w:rStyle w:val="FootnoteReference"/>
          <w:rFonts w:asciiTheme="majorHAnsi" w:hAnsiTheme="majorHAnsi"/>
          <w:sz w:val="20"/>
          <w:szCs w:val="20"/>
        </w:rPr>
        <w:footnoteReference w:id="134"/>
      </w:r>
      <w:r>
        <w:rPr>
          <w:rFonts w:asciiTheme="majorHAnsi" w:hAnsiTheme="majorHAnsi"/>
          <w:sz w:val="20"/>
          <w:szCs w:val="20"/>
        </w:rPr>
        <w:t xml:space="preserve"> had been granted.</w:t>
      </w:r>
    </w:p>
    <w:p w14:paraId="320CBACD" w14:textId="77777777" w:rsidR="00842DAB" w:rsidRPr="00A51861" w:rsidRDefault="00842DAB" w:rsidP="008E4D36">
      <w:pPr>
        <w:pStyle w:val="ListParagraph"/>
        <w:rPr>
          <w:rFonts w:asciiTheme="majorHAnsi" w:hAnsiTheme="majorHAnsi"/>
          <w:sz w:val="20"/>
          <w:szCs w:val="20"/>
        </w:rPr>
      </w:pPr>
    </w:p>
    <w:p w14:paraId="2D672A75" w14:textId="5B5C6FAD" w:rsidR="00842DAB" w:rsidRPr="00A51861" w:rsidRDefault="00EF1F73"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On May 9,</w:t>
      </w:r>
      <w:r w:rsidR="004969F4">
        <w:rPr>
          <w:rFonts w:asciiTheme="majorHAnsi" w:hAnsiTheme="majorHAnsi"/>
          <w:sz w:val="20"/>
          <w:szCs w:val="20"/>
        </w:rPr>
        <w:t xml:space="preserve"> </w:t>
      </w:r>
      <w:r w:rsidR="00842DAB" w:rsidRPr="00A51861">
        <w:rPr>
          <w:rFonts w:asciiTheme="majorHAnsi" w:hAnsiTheme="majorHAnsi"/>
          <w:sz w:val="20"/>
          <w:szCs w:val="20"/>
        </w:rPr>
        <w:t xml:space="preserve">2000 </w:t>
      </w:r>
      <w:r>
        <w:rPr>
          <w:rFonts w:asciiTheme="majorHAnsi" w:hAnsiTheme="majorHAnsi"/>
          <w:sz w:val="20"/>
          <w:szCs w:val="20"/>
        </w:rPr>
        <w:t>the Chamber dismissed the remedy</w:t>
      </w:r>
      <w:r w:rsidR="00842DAB" w:rsidRPr="00A51861">
        <w:rPr>
          <w:rFonts w:asciiTheme="majorHAnsi" w:hAnsiTheme="majorHAnsi"/>
          <w:sz w:val="20"/>
          <w:szCs w:val="20"/>
        </w:rPr>
        <w:t xml:space="preserve"> </w:t>
      </w:r>
      <w:r>
        <w:rPr>
          <w:rFonts w:asciiTheme="majorHAnsi" w:hAnsiTheme="majorHAnsi"/>
          <w:sz w:val="20"/>
          <w:szCs w:val="20"/>
        </w:rPr>
        <w:t>filed asserting</w:t>
      </w:r>
      <w:r w:rsidR="00842DAB" w:rsidRPr="00A51861">
        <w:rPr>
          <w:rFonts w:asciiTheme="majorHAnsi" w:hAnsiTheme="majorHAnsi"/>
          <w:sz w:val="20"/>
          <w:szCs w:val="20"/>
        </w:rPr>
        <w:t xml:space="preserve"> </w:t>
      </w:r>
      <w:r>
        <w:rPr>
          <w:rFonts w:asciiTheme="majorHAnsi" w:hAnsiTheme="majorHAnsi"/>
          <w:sz w:val="20"/>
          <w:szCs w:val="20"/>
        </w:rPr>
        <w:t>that the resolved in the</w:t>
      </w:r>
      <w:r w:rsidR="00842DAB" w:rsidRPr="00A51861">
        <w:rPr>
          <w:rFonts w:asciiTheme="majorHAnsi" w:hAnsiTheme="majorHAnsi"/>
          <w:sz w:val="20"/>
          <w:szCs w:val="20"/>
        </w:rPr>
        <w:t xml:space="preserve"> administrativ</w:t>
      </w:r>
      <w:r>
        <w:rPr>
          <w:rFonts w:asciiTheme="majorHAnsi" w:hAnsiTheme="majorHAnsi"/>
          <w:sz w:val="20"/>
          <w:szCs w:val="20"/>
        </w:rPr>
        <w:t>e channel</w:t>
      </w:r>
      <w:r w:rsidR="00842DAB" w:rsidRPr="00A51861">
        <w:rPr>
          <w:rFonts w:asciiTheme="majorHAnsi" w:hAnsiTheme="majorHAnsi"/>
          <w:sz w:val="20"/>
          <w:szCs w:val="20"/>
        </w:rPr>
        <w:t xml:space="preserve"> </w:t>
      </w:r>
      <w:r>
        <w:rPr>
          <w:rFonts w:asciiTheme="majorHAnsi" w:hAnsiTheme="majorHAnsi"/>
          <w:sz w:val="20"/>
          <w:szCs w:val="20"/>
        </w:rPr>
        <w:t>was in accordance with</w:t>
      </w:r>
      <w:r w:rsidR="00842DAB" w:rsidRPr="00A51861">
        <w:rPr>
          <w:rFonts w:asciiTheme="majorHAnsi" w:hAnsiTheme="majorHAnsi"/>
          <w:sz w:val="20"/>
          <w:szCs w:val="20"/>
        </w:rPr>
        <w:t xml:space="preserve"> </w:t>
      </w:r>
      <w:r w:rsidR="002835FC" w:rsidRPr="00A51861">
        <w:rPr>
          <w:rFonts w:asciiTheme="majorHAnsi" w:hAnsiTheme="majorHAnsi"/>
          <w:sz w:val="20"/>
          <w:szCs w:val="20"/>
        </w:rPr>
        <w:t xml:space="preserve">Law </w:t>
      </w:r>
      <w:r w:rsidR="00842DAB" w:rsidRPr="00A51861">
        <w:rPr>
          <w:rFonts w:asciiTheme="majorHAnsi" w:hAnsiTheme="majorHAnsi"/>
          <w:sz w:val="20"/>
          <w:szCs w:val="20"/>
        </w:rPr>
        <w:t>24.043</w:t>
      </w:r>
      <w:r w:rsidR="00030005" w:rsidRPr="00A51861">
        <w:rPr>
          <w:rFonts w:asciiTheme="majorHAnsi" w:hAnsiTheme="majorHAnsi"/>
          <w:sz w:val="20"/>
          <w:szCs w:val="20"/>
        </w:rPr>
        <w:t xml:space="preserve">, </w:t>
      </w:r>
      <w:r>
        <w:rPr>
          <w:rFonts w:asciiTheme="majorHAnsi" w:hAnsiTheme="majorHAnsi"/>
          <w:sz w:val="20"/>
          <w:szCs w:val="20"/>
        </w:rPr>
        <w:t>its regulations</w:t>
      </w:r>
      <w:r w:rsidR="00030005" w:rsidRPr="00A51861">
        <w:rPr>
          <w:rFonts w:asciiTheme="majorHAnsi" w:hAnsiTheme="majorHAnsi"/>
          <w:sz w:val="20"/>
          <w:szCs w:val="20"/>
        </w:rPr>
        <w:t>,</w:t>
      </w:r>
      <w:r w:rsidR="00E92985">
        <w:rPr>
          <w:rFonts w:asciiTheme="majorHAnsi" w:hAnsiTheme="majorHAnsi"/>
          <w:sz w:val="20"/>
          <w:szCs w:val="20"/>
        </w:rPr>
        <w:t xml:space="preserve"> and </w:t>
      </w:r>
      <w:r w:rsidR="002835FC" w:rsidRPr="00A51861">
        <w:rPr>
          <w:rFonts w:asciiTheme="majorHAnsi" w:hAnsiTheme="majorHAnsi"/>
          <w:sz w:val="20"/>
          <w:szCs w:val="20"/>
        </w:rPr>
        <w:t xml:space="preserve">Law </w:t>
      </w:r>
      <w:r w:rsidR="00030005" w:rsidRPr="00A51861">
        <w:rPr>
          <w:rFonts w:asciiTheme="majorHAnsi" w:hAnsiTheme="majorHAnsi"/>
          <w:sz w:val="20"/>
          <w:szCs w:val="20"/>
        </w:rPr>
        <w:t>24</w:t>
      </w:r>
      <w:r w:rsidR="00842DAB" w:rsidRPr="00A51861">
        <w:rPr>
          <w:rFonts w:asciiTheme="majorHAnsi" w:hAnsiTheme="majorHAnsi"/>
          <w:sz w:val="20"/>
          <w:szCs w:val="20"/>
        </w:rPr>
        <w:t xml:space="preserve">.906, </w:t>
      </w:r>
      <w:r>
        <w:rPr>
          <w:rFonts w:asciiTheme="majorHAnsi" w:hAnsiTheme="majorHAnsi"/>
          <w:sz w:val="20"/>
          <w:szCs w:val="20"/>
        </w:rPr>
        <w:t>in regard to the</w:t>
      </w:r>
      <w:r w:rsidR="00842DAB" w:rsidRPr="00A51861">
        <w:rPr>
          <w:rFonts w:asciiTheme="majorHAnsi" w:hAnsiTheme="majorHAnsi"/>
          <w:sz w:val="20"/>
          <w:szCs w:val="20"/>
        </w:rPr>
        <w:t xml:space="preserve"> </w:t>
      </w:r>
      <w:r>
        <w:rPr>
          <w:rFonts w:asciiTheme="majorHAnsi" w:hAnsiTheme="majorHAnsi"/>
          <w:sz w:val="20"/>
          <w:szCs w:val="20"/>
        </w:rPr>
        <w:t xml:space="preserve">timeframe </w:t>
      </w:r>
      <w:r w:rsidR="00842DAB" w:rsidRPr="00A51861">
        <w:rPr>
          <w:rFonts w:asciiTheme="majorHAnsi" w:hAnsiTheme="majorHAnsi"/>
          <w:sz w:val="20"/>
          <w:szCs w:val="20"/>
        </w:rPr>
        <w:t>l</w:t>
      </w:r>
      <w:r>
        <w:rPr>
          <w:rFonts w:asciiTheme="majorHAnsi" w:hAnsiTheme="majorHAnsi"/>
          <w:sz w:val="20"/>
          <w:szCs w:val="20"/>
        </w:rPr>
        <w:t>i</w:t>
      </w:r>
      <w:r w:rsidR="00842DAB" w:rsidRPr="00A51861">
        <w:rPr>
          <w:rFonts w:asciiTheme="majorHAnsi" w:hAnsiTheme="majorHAnsi"/>
          <w:sz w:val="20"/>
          <w:szCs w:val="20"/>
        </w:rPr>
        <w:t xml:space="preserve">mits </w:t>
      </w:r>
      <w:r w:rsidR="00E92985">
        <w:rPr>
          <w:rFonts w:asciiTheme="majorHAnsi" w:hAnsiTheme="majorHAnsi"/>
          <w:sz w:val="20"/>
          <w:szCs w:val="20"/>
        </w:rPr>
        <w:t xml:space="preserve">that the </w:t>
      </w:r>
      <w:r w:rsidRPr="00A51861">
        <w:rPr>
          <w:rFonts w:asciiTheme="majorHAnsi" w:hAnsiTheme="majorHAnsi"/>
          <w:sz w:val="20"/>
          <w:szCs w:val="20"/>
        </w:rPr>
        <w:t>legislator</w:t>
      </w:r>
      <w:r w:rsidR="00842DAB" w:rsidRPr="00A51861">
        <w:rPr>
          <w:rFonts w:asciiTheme="majorHAnsi" w:hAnsiTheme="majorHAnsi"/>
          <w:sz w:val="20"/>
          <w:szCs w:val="20"/>
        </w:rPr>
        <w:t xml:space="preserve"> </w:t>
      </w:r>
      <w:r>
        <w:rPr>
          <w:rFonts w:asciiTheme="majorHAnsi" w:hAnsiTheme="majorHAnsi"/>
          <w:sz w:val="20"/>
          <w:szCs w:val="20"/>
        </w:rPr>
        <w:t>provided to access the</w:t>
      </w:r>
      <w:r w:rsidR="00842DAB" w:rsidRPr="00A51861">
        <w:rPr>
          <w:rFonts w:asciiTheme="majorHAnsi" w:hAnsiTheme="majorHAnsi"/>
          <w:sz w:val="20"/>
          <w:szCs w:val="20"/>
        </w:rPr>
        <w:t xml:space="preserve"> </w:t>
      </w:r>
      <w:r w:rsidR="00B47E06">
        <w:rPr>
          <w:rFonts w:asciiTheme="majorHAnsi" w:hAnsiTheme="majorHAnsi"/>
          <w:sz w:val="20"/>
          <w:szCs w:val="20"/>
        </w:rPr>
        <w:t>benefit</w:t>
      </w:r>
      <w:r w:rsidR="00842DAB" w:rsidRPr="00A51861">
        <w:rPr>
          <w:rFonts w:asciiTheme="majorHAnsi" w:hAnsiTheme="majorHAnsi"/>
          <w:sz w:val="20"/>
          <w:szCs w:val="20"/>
        </w:rPr>
        <w:t xml:space="preserve"> </w:t>
      </w:r>
      <w:r>
        <w:rPr>
          <w:rFonts w:asciiTheme="majorHAnsi" w:hAnsiTheme="majorHAnsi"/>
          <w:sz w:val="20"/>
          <w:szCs w:val="20"/>
        </w:rPr>
        <w:t>under discussion</w:t>
      </w:r>
      <w:r w:rsidR="00842DAB" w:rsidRPr="00A51861">
        <w:rPr>
          <w:rStyle w:val="FootnoteReference"/>
          <w:rFonts w:asciiTheme="majorHAnsi" w:hAnsiTheme="majorHAnsi"/>
          <w:sz w:val="20"/>
          <w:szCs w:val="20"/>
        </w:rPr>
        <w:footnoteReference w:id="135"/>
      </w:r>
      <w:r w:rsidR="001D1D61">
        <w:rPr>
          <w:rFonts w:asciiTheme="majorHAnsi" w:hAnsiTheme="majorHAnsi"/>
          <w:sz w:val="20"/>
          <w:szCs w:val="20"/>
        </w:rPr>
        <w:t>. Th</w:t>
      </w:r>
      <w:r w:rsidR="00A51861" w:rsidRPr="00A51861">
        <w:rPr>
          <w:rFonts w:asciiTheme="majorHAnsi" w:hAnsiTheme="majorHAnsi"/>
          <w:sz w:val="20"/>
          <w:szCs w:val="20"/>
        </w:rPr>
        <w:t>e IACHR</w:t>
      </w:r>
      <w:r w:rsidR="00C47D5F" w:rsidRPr="00A51861">
        <w:rPr>
          <w:rFonts w:asciiTheme="majorHAnsi" w:hAnsiTheme="majorHAnsi"/>
          <w:sz w:val="20"/>
          <w:szCs w:val="20"/>
        </w:rPr>
        <w:t xml:space="preserve"> </w:t>
      </w:r>
      <w:r>
        <w:rPr>
          <w:rFonts w:asciiTheme="majorHAnsi" w:hAnsiTheme="majorHAnsi"/>
          <w:sz w:val="20"/>
          <w:szCs w:val="20"/>
        </w:rPr>
        <w:t>takes note that in the</w:t>
      </w:r>
      <w:r w:rsidR="00C47D5F" w:rsidRPr="00A51861">
        <w:rPr>
          <w:rFonts w:asciiTheme="majorHAnsi" w:hAnsiTheme="majorHAnsi"/>
          <w:sz w:val="20"/>
          <w:szCs w:val="20"/>
        </w:rPr>
        <w:t xml:space="preserve"> </w:t>
      </w:r>
      <w:r w:rsidR="00F92BA8">
        <w:rPr>
          <w:rFonts w:asciiTheme="majorHAnsi" w:hAnsiTheme="majorHAnsi"/>
          <w:sz w:val="20"/>
          <w:szCs w:val="20"/>
        </w:rPr>
        <w:t xml:space="preserve">decision </w:t>
      </w:r>
      <w:r>
        <w:rPr>
          <w:rFonts w:asciiTheme="majorHAnsi" w:hAnsiTheme="majorHAnsi"/>
          <w:sz w:val="20"/>
          <w:szCs w:val="20"/>
        </w:rPr>
        <w:t xml:space="preserve">it was held </w:t>
      </w:r>
      <w:r w:rsidR="00A40660">
        <w:rPr>
          <w:rFonts w:asciiTheme="majorHAnsi" w:hAnsiTheme="majorHAnsi"/>
          <w:sz w:val="20"/>
          <w:szCs w:val="20"/>
        </w:rPr>
        <w:t xml:space="preserve">that Mr. </w:t>
      </w:r>
      <w:r w:rsidR="00C47D5F" w:rsidRPr="00A51861">
        <w:rPr>
          <w:rFonts w:asciiTheme="majorHAnsi" w:hAnsiTheme="majorHAnsi"/>
          <w:sz w:val="20"/>
          <w:szCs w:val="20"/>
        </w:rPr>
        <w:t xml:space="preserve">Romero Ubal </w:t>
      </w:r>
      <w:r>
        <w:rPr>
          <w:rFonts w:asciiTheme="majorHAnsi" w:hAnsiTheme="majorHAnsi"/>
          <w:sz w:val="20"/>
          <w:szCs w:val="20"/>
        </w:rPr>
        <w:t>had departed</w:t>
      </w:r>
      <w:r w:rsidR="00E92985">
        <w:rPr>
          <w:rFonts w:asciiTheme="majorHAnsi" w:hAnsiTheme="majorHAnsi"/>
          <w:sz w:val="20"/>
          <w:szCs w:val="20"/>
        </w:rPr>
        <w:t xml:space="preserve"> </w:t>
      </w:r>
      <w:r w:rsidR="00C47D5F" w:rsidRPr="00A51861">
        <w:rPr>
          <w:rFonts w:asciiTheme="majorHAnsi" w:hAnsiTheme="majorHAnsi"/>
          <w:sz w:val="20"/>
          <w:szCs w:val="20"/>
        </w:rPr>
        <w:t xml:space="preserve">Argentina </w:t>
      </w:r>
      <w:r>
        <w:rPr>
          <w:rFonts w:asciiTheme="majorHAnsi" w:hAnsiTheme="majorHAnsi"/>
          <w:sz w:val="20"/>
          <w:szCs w:val="20"/>
        </w:rPr>
        <w:t xml:space="preserve">toward </w:t>
      </w:r>
      <w:r w:rsidR="00BD6923">
        <w:rPr>
          <w:rFonts w:asciiTheme="majorHAnsi" w:hAnsiTheme="majorHAnsi"/>
          <w:sz w:val="20"/>
          <w:szCs w:val="20"/>
        </w:rPr>
        <w:t>Sweden</w:t>
      </w:r>
      <w:r w:rsidR="00C47D5F" w:rsidRPr="00A51861">
        <w:rPr>
          <w:rFonts w:asciiTheme="majorHAnsi" w:hAnsiTheme="majorHAnsi"/>
          <w:sz w:val="20"/>
          <w:szCs w:val="20"/>
        </w:rPr>
        <w:t xml:space="preserve"> </w:t>
      </w:r>
      <w:r>
        <w:rPr>
          <w:rFonts w:asciiTheme="majorHAnsi" w:hAnsiTheme="majorHAnsi"/>
          <w:sz w:val="20"/>
          <w:szCs w:val="20"/>
        </w:rPr>
        <w:t>on October 16,</w:t>
      </w:r>
      <w:r w:rsidR="00E92985">
        <w:rPr>
          <w:rFonts w:asciiTheme="majorHAnsi" w:hAnsiTheme="majorHAnsi"/>
          <w:sz w:val="20"/>
          <w:szCs w:val="20"/>
        </w:rPr>
        <w:t xml:space="preserve"> </w:t>
      </w:r>
      <w:r w:rsidR="00285D44" w:rsidRPr="00A51861">
        <w:rPr>
          <w:rFonts w:asciiTheme="majorHAnsi" w:hAnsiTheme="majorHAnsi"/>
          <w:sz w:val="20"/>
          <w:szCs w:val="20"/>
        </w:rPr>
        <w:t xml:space="preserve">1974, </w:t>
      </w:r>
      <w:r>
        <w:rPr>
          <w:rFonts w:asciiTheme="majorHAnsi" w:hAnsiTheme="majorHAnsi"/>
          <w:sz w:val="20"/>
          <w:szCs w:val="20"/>
        </w:rPr>
        <w:t>according to what the</w:t>
      </w:r>
      <w:r w:rsidR="00E22665">
        <w:rPr>
          <w:rFonts w:asciiTheme="majorHAnsi" w:hAnsiTheme="majorHAnsi"/>
          <w:sz w:val="20"/>
          <w:szCs w:val="20"/>
        </w:rPr>
        <w:t xml:space="preserve"> counselor</w:t>
      </w:r>
      <w:r w:rsidRPr="00A51861">
        <w:rPr>
          <w:rFonts w:asciiTheme="majorHAnsi" w:hAnsiTheme="majorHAnsi"/>
          <w:sz w:val="20"/>
          <w:szCs w:val="20"/>
        </w:rPr>
        <w:t xml:space="preserve"> </w:t>
      </w:r>
      <w:r w:rsidR="00E22665">
        <w:rPr>
          <w:rFonts w:asciiTheme="majorHAnsi" w:hAnsiTheme="majorHAnsi"/>
          <w:sz w:val="20"/>
          <w:szCs w:val="20"/>
        </w:rPr>
        <w:t xml:space="preserve">of </w:t>
      </w:r>
      <w:r>
        <w:rPr>
          <w:rFonts w:asciiTheme="majorHAnsi" w:hAnsiTheme="majorHAnsi"/>
          <w:sz w:val="20"/>
          <w:szCs w:val="20"/>
        </w:rPr>
        <w:t xml:space="preserve">Mr. </w:t>
      </w:r>
      <w:r w:rsidRPr="00A51861">
        <w:rPr>
          <w:rFonts w:asciiTheme="majorHAnsi" w:hAnsiTheme="majorHAnsi"/>
          <w:sz w:val="20"/>
          <w:szCs w:val="20"/>
        </w:rPr>
        <w:t>Romero Ubal</w:t>
      </w:r>
      <w:r>
        <w:rPr>
          <w:rFonts w:asciiTheme="majorHAnsi" w:hAnsiTheme="majorHAnsi"/>
          <w:sz w:val="20"/>
          <w:szCs w:val="20"/>
        </w:rPr>
        <w:t xml:space="preserve"> </w:t>
      </w:r>
      <w:r w:rsidR="00E22665">
        <w:rPr>
          <w:rFonts w:asciiTheme="majorHAnsi" w:hAnsiTheme="majorHAnsi"/>
          <w:sz w:val="20"/>
          <w:szCs w:val="20"/>
        </w:rPr>
        <w:t xml:space="preserve">himself stated in </w:t>
      </w:r>
      <w:r>
        <w:rPr>
          <w:rFonts w:asciiTheme="majorHAnsi" w:hAnsiTheme="majorHAnsi"/>
          <w:sz w:val="20"/>
          <w:szCs w:val="20"/>
        </w:rPr>
        <w:t>his brief of amplification</w:t>
      </w:r>
      <w:r w:rsidR="00E92985">
        <w:rPr>
          <w:rFonts w:asciiTheme="majorHAnsi" w:hAnsiTheme="majorHAnsi"/>
          <w:sz w:val="20"/>
          <w:szCs w:val="20"/>
        </w:rPr>
        <w:t xml:space="preserve"> of </w:t>
      </w:r>
      <w:r>
        <w:rPr>
          <w:rFonts w:asciiTheme="majorHAnsi" w:hAnsiTheme="majorHAnsi"/>
          <w:sz w:val="20"/>
          <w:szCs w:val="20"/>
        </w:rPr>
        <w:t>demands</w:t>
      </w:r>
      <w:r w:rsidR="00285D44" w:rsidRPr="00A51861">
        <w:rPr>
          <w:rFonts w:asciiTheme="majorHAnsi" w:hAnsiTheme="majorHAnsi"/>
          <w:sz w:val="20"/>
          <w:szCs w:val="20"/>
        </w:rPr>
        <w:t>.</w:t>
      </w:r>
    </w:p>
    <w:p w14:paraId="69D49821" w14:textId="77777777" w:rsidR="00842DAB" w:rsidRPr="00A51861" w:rsidRDefault="00842DAB" w:rsidP="008E4D36">
      <w:pPr>
        <w:pStyle w:val="ListParagraph"/>
        <w:rPr>
          <w:rFonts w:asciiTheme="majorHAnsi" w:hAnsiTheme="majorHAnsi"/>
          <w:sz w:val="20"/>
          <w:szCs w:val="20"/>
        </w:rPr>
      </w:pPr>
    </w:p>
    <w:p w14:paraId="1BDD0AB9" w14:textId="64B2DD42" w:rsidR="00842DAB" w:rsidRPr="00A51861" w:rsidRDefault="00376318"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 xml:space="preserve">An </w:t>
      </w:r>
      <w:r w:rsidR="006925E3">
        <w:rPr>
          <w:rFonts w:asciiTheme="majorHAnsi" w:hAnsiTheme="majorHAnsi"/>
          <w:sz w:val="20"/>
          <w:szCs w:val="20"/>
        </w:rPr>
        <w:t xml:space="preserve">extraordinary federal remedy </w:t>
      </w:r>
      <w:r>
        <w:rPr>
          <w:rFonts w:asciiTheme="majorHAnsi" w:hAnsiTheme="majorHAnsi"/>
          <w:sz w:val="20"/>
          <w:szCs w:val="20"/>
        </w:rPr>
        <w:t>was filed</w:t>
      </w:r>
      <w:r w:rsidRPr="00A51861">
        <w:rPr>
          <w:rFonts w:asciiTheme="majorHAnsi" w:hAnsiTheme="majorHAnsi"/>
          <w:sz w:val="20"/>
          <w:szCs w:val="20"/>
        </w:rPr>
        <w:t xml:space="preserve"> </w:t>
      </w:r>
      <w:r w:rsidR="00CB0928">
        <w:rPr>
          <w:rFonts w:asciiTheme="majorHAnsi" w:hAnsiTheme="majorHAnsi"/>
          <w:sz w:val="20"/>
          <w:szCs w:val="20"/>
        </w:rPr>
        <w:t xml:space="preserve">against </w:t>
      </w:r>
      <w:r>
        <w:rPr>
          <w:rFonts w:asciiTheme="majorHAnsi" w:hAnsiTheme="majorHAnsi"/>
          <w:sz w:val="20"/>
          <w:szCs w:val="20"/>
        </w:rPr>
        <w:t xml:space="preserve">the decision </w:t>
      </w:r>
      <w:r w:rsidR="00E92985">
        <w:rPr>
          <w:rFonts w:asciiTheme="majorHAnsi" w:hAnsiTheme="majorHAnsi"/>
          <w:sz w:val="20"/>
          <w:szCs w:val="20"/>
        </w:rPr>
        <w:t xml:space="preserve">of the </w:t>
      </w:r>
      <w:r>
        <w:rPr>
          <w:rFonts w:asciiTheme="majorHAnsi" w:hAnsiTheme="majorHAnsi"/>
          <w:sz w:val="20"/>
          <w:szCs w:val="20"/>
        </w:rPr>
        <w:t>National Chamber of Appeals</w:t>
      </w:r>
      <w:r w:rsidR="00842DAB" w:rsidRPr="00A51861">
        <w:rPr>
          <w:rStyle w:val="FootnoteReference"/>
          <w:rFonts w:asciiTheme="majorHAnsi" w:hAnsiTheme="majorHAnsi"/>
          <w:sz w:val="20"/>
          <w:szCs w:val="20"/>
        </w:rPr>
        <w:footnoteReference w:id="136"/>
      </w:r>
      <w:r w:rsidR="00842DAB" w:rsidRPr="00A51861">
        <w:rPr>
          <w:rFonts w:asciiTheme="majorHAnsi" w:hAnsiTheme="majorHAnsi"/>
          <w:sz w:val="20"/>
          <w:szCs w:val="20"/>
        </w:rPr>
        <w:t xml:space="preserve">. </w:t>
      </w:r>
      <w:r>
        <w:rPr>
          <w:rFonts w:asciiTheme="majorHAnsi" w:hAnsiTheme="majorHAnsi"/>
          <w:sz w:val="20"/>
          <w:szCs w:val="20"/>
        </w:rPr>
        <w:t>However</w:t>
      </w:r>
      <w:r w:rsidR="00842DAB" w:rsidRPr="00A51861">
        <w:rPr>
          <w:rFonts w:asciiTheme="majorHAnsi" w:hAnsiTheme="majorHAnsi"/>
          <w:sz w:val="20"/>
          <w:szCs w:val="20"/>
        </w:rPr>
        <w:t xml:space="preserve">, </w:t>
      </w:r>
      <w:r>
        <w:rPr>
          <w:rFonts w:asciiTheme="majorHAnsi" w:hAnsiTheme="majorHAnsi"/>
          <w:sz w:val="20"/>
          <w:szCs w:val="20"/>
        </w:rPr>
        <w:t>the</w:t>
      </w:r>
      <w:r w:rsidR="00842DAB" w:rsidRPr="00A51861">
        <w:rPr>
          <w:rFonts w:asciiTheme="majorHAnsi" w:hAnsiTheme="majorHAnsi"/>
          <w:sz w:val="20"/>
          <w:szCs w:val="20"/>
        </w:rPr>
        <w:t xml:space="preserve"> I</w:t>
      </w:r>
      <w:r w:rsidR="00E92985">
        <w:rPr>
          <w:rFonts w:asciiTheme="majorHAnsi" w:hAnsiTheme="majorHAnsi"/>
          <w:sz w:val="20"/>
          <w:szCs w:val="20"/>
        </w:rPr>
        <w:t xml:space="preserve"> </w:t>
      </w:r>
      <w:r>
        <w:rPr>
          <w:rFonts w:asciiTheme="majorHAnsi" w:hAnsiTheme="majorHAnsi"/>
          <w:sz w:val="20"/>
          <w:szCs w:val="20"/>
        </w:rPr>
        <w:t xml:space="preserve">Chamber of </w:t>
      </w:r>
      <w:r w:rsidR="00E92985">
        <w:rPr>
          <w:rFonts w:asciiTheme="majorHAnsi" w:hAnsiTheme="majorHAnsi"/>
          <w:sz w:val="20"/>
          <w:szCs w:val="20"/>
        </w:rPr>
        <w:t xml:space="preserve">the </w:t>
      </w:r>
      <w:r w:rsidR="005D0AC1">
        <w:rPr>
          <w:rFonts w:asciiTheme="majorHAnsi" w:hAnsiTheme="majorHAnsi"/>
          <w:sz w:val="20"/>
          <w:szCs w:val="20"/>
        </w:rPr>
        <w:t xml:space="preserve">National Chamber of Appeals </w:t>
      </w:r>
      <w:r>
        <w:rPr>
          <w:rFonts w:asciiTheme="majorHAnsi" w:hAnsiTheme="majorHAnsi"/>
          <w:sz w:val="20"/>
          <w:szCs w:val="20"/>
        </w:rPr>
        <w:t>did not admit it in understanding</w:t>
      </w:r>
      <w:r w:rsidR="00E92985">
        <w:rPr>
          <w:rFonts w:asciiTheme="majorHAnsi" w:hAnsiTheme="majorHAnsi"/>
          <w:sz w:val="20"/>
          <w:szCs w:val="20"/>
        </w:rPr>
        <w:t xml:space="preserve"> that the </w:t>
      </w:r>
      <w:r>
        <w:rPr>
          <w:rFonts w:asciiTheme="majorHAnsi" w:hAnsiTheme="majorHAnsi"/>
          <w:sz w:val="20"/>
          <w:szCs w:val="20"/>
        </w:rPr>
        <w:t>issue</w:t>
      </w:r>
      <w:r w:rsidR="00842DAB" w:rsidRPr="00A51861">
        <w:rPr>
          <w:rFonts w:asciiTheme="majorHAnsi" w:hAnsiTheme="majorHAnsi"/>
          <w:sz w:val="20"/>
          <w:szCs w:val="20"/>
        </w:rPr>
        <w:t xml:space="preserve"> </w:t>
      </w:r>
      <w:r>
        <w:rPr>
          <w:rFonts w:asciiTheme="majorHAnsi" w:hAnsiTheme="majorHAnsi"/>
          <w:sz w:val="20"/>
          <w:szCs w:val="20"/>
        </w:rPr>
        <w:lastRenderedPageBreak/>
        <w:t>did not fit within the so-called</w:t>
      </w:r>
      <w:r w:rsidR="00842DAB" w:rsidRPr="00A51861">
        <w:rPr>
          <w:rFonts w:asciiTheme="majorHAnsi" w:hAnsiTheme="majorHAnsi"/>
          <w:sz w:val="20"/>
          <w:szCs w:val="20"/>
        </w:rPr>
        <w:t xml:space="preserve"> “</w:t>
      </w:r>
      <w:r>
        <w:rPr>
          <w:rFonts w:asciiTheme="majorHAnsi" w:hAnsiTheme="majorHAnsi"/>
          <w:sz w:val="20"/>
          <w:szCs w:val="20"/>
        </w:rPr>
        <w:t>sufficient</w:t>
      </w:r>
      <w:r w:rsidR="00842DAB" w:rsidRPr="00A51861">
        <w:rPr>
          <w:rFonts w:asciiTheme="majorHAnsi" w:hAnsiTheme="majorHAnsi"/>
          <w:sz w:val="20"/>
          <w:szCs w:val="20"/>
        </w:rPr>
        <w:t xml:space="preserve"> federal </w:t>
      </w:r>
      <w:r>
        <w:rPr>
          <w:rFonts w:asciiTheme="majorHAnsi" w:hAnsiTheme="majorHAnsi"/>
          <w:sz w:val="20"/>
          <w:szCs w:val="20"/>
        </w:rPr>
        <w:t>matter</w:t>
      </w:r>
      <w:r w:rsidR="00842DAB" w:rsidRPr="00A51861">
        <w:rPr>
          <w:rFonts w:asciiTheme="majorHAnsi" w:hAnsiTheme="majorHAnsi"/>
          <w:sz w:val="20"/>
          <w:szCs w:val="20"/>
        </w:rPr>
        <w:t>”</w:t>
      </w:r>
      <w:r w:rsidR="00842DAB" w:rsidRPr="00A51861">
        <w:rPr>
          <w:rStyle w:val="FootnoteReference"/>
          <w:rFonts w:asciiTheme="majorHAnsi" w:hAnsiTheme="majorHAnsi"/>
          <w:sz w:val="20"/>
          <w:szCs w:val="20"/>
        </w:rPr>
        <w:footnoteReference w:id="137"/>
      </w:r>
      <w:r w:rsidR="00842DAB" w:rsidRPr="00A51861">
        <w:rPr>
          <w:rFonts w:asciiTheme="majorHAnsi" w:hAnsiTheme="majorHAnsi"/>
          <w:sz w:val="20"/>
          <w:szCs w:val="20"/>
        </w:rPr>
        <w:t xml:space="preserve">. </w:t>
      </w:r>
      <w:r>
        <w:rPr>
          <w:rFonts w:asciiTheme="majorHAnsi" w:hAnsiTheme="majorHAnsi"/>
          <w:sz w:val="20"/>
          <w:szCs w:val="20"/>
        </w:rPr>
        <w:t>For which reason</w:t>
      </w:r>
      <w:r w:rsidR="00842DAB" w:rsidRPr="00A51861">
        <w:rPr>
          <w:rFonts w:asciiTheme="majorHAnsi" w:hAnsiTheme="majorHAnsi"/>
          <w:sz w:val="20"/>
          <w:szCs w:val="20"/>
        </w:rPr>
        <w:t xml:space="preserve">, </w:t>
      </w:r>
      <w:r>
        <w:rPr>
          <w:rFonts w:asciiTheme="majorHAnsi" w:hAnsiTheme="majorHAnsi"/>
          <w:sz w:val="20"/>
          <w:szCs w:val="20"/>
        </w:rPr>
        <w:t>the counselor filed a complaint</w:t>
      </w:r>
      <w:r w:rsidR="00842DAB" w:rsidRPr="00A51861">
        <w:rPr>
          <w:rFonts w:asciiTheme="majorHAnsi" w:hAnsiTheme="majorHAnsi"/>
          <w:sz w:val="20"/>
          <w:szCs w:val="20"/>
        </w:rPr>
        <w:t xml:space="preserve"> </w:t>
      </w:r>
      <w:r>
        <w:rPr>
          <w:rFonts w:asciiTheme="majorHAnsi" w:hAnsiTheme="majorHAnsi"/>
          <w:sz w:val="20"/>
          <w:szCs w:val="20"/>
        </w:rPr>
        <w:t>for rejected remedy</w:t>
      </w:r>
      <w:r w:rsidR="00842DAB" w:rsidRPr="00A51861">
        <w:rPr>
          <w:rStyle w:val="FootnoteReference"/>
          <w:rFonts w:asciiTheme="majorHAnsi" w:hAnsiTheme="majorHAnsi"/>
          <w:sz w:val="20"/>
          <w:szCs w:val="20"/>
        </w:rPr>
        <w:footnoteReference w:id="138"/>
      </w:r>
      <w:r w:rsidR="00842DAB" w:rsidRPr="00A51861">
        <w:rPr>
          <w:rFonts w:asciiTheme="majorHAnsi" w:hAnsiTheme="majorHAnsi"/>
          <w:sz w:val="20"/>
          <w:szCs w:val="20"/>
        </w:rPr>
        <w:t>.</w:t>
      </w:r>
    </w:p>
    <w:p w14:paraId="09F121CB" w14:textId="77777777" w:rsidR="00842DAB" w:rsidRPr="00A51861" w:rsidRDefault="00842DAB" w:rsidP="008E4D36">
      <w:pPr>
        <w:pStyle w:val="ListParagraph"/>
        <w:rPr>
          <w:rFonts w:asciiTheme="majorHAnsi" w:hAnsiTheme="majorHAnsi"/>
          <w:sz w:val="20"/>
          <w:szCs w:val="20"/>
        </w:rPr>
      </w:pPr>
    </w:p>
    <w:p w14:paraId="02AA2046" w14:textId="265DD8DB" w:rsidR="00842DAB" w:rsidRPr="00A51861" w:rsidRDefault="00806D1B"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On October 31,</w:t>
      </w:r>
      <w:r w:rsidR="00E92985">
        <w:rPr>
          <w:rFonts w:asciiTheme="majorHAnsi" w:hAnsiTheme="majorHAnsi"/>
          <w:sz w:val="20"/>
          <w:szCs w:val="20"/>
        </w:rPr>
        <w:t xml:space="preserve"> </w:t>
      </w:r>
      <w:r w:rsidR="00842DAB" w:rsidRPr="00A51861">
        <w:rPr>
          <w:rFonts w:asciiTheme="majorHAnsi" w:hAnsiTheme="majorHAnsi"/>
          <w:sz w:val="20"/>
          <w:szCs w:val="20"/>
        </w:rPr>
        <w:t xml:space="preserve">2006 </w:t>
      </w:r>
      <w:r w:rsidR="00076366">
        <w:rPr>
          <w:rFonts w:asciiTheme="majorHAnsi" w:hAnsiTheme="majorHAnsi"/>
          <w:sz w:val="20"/>
          <w:szCs w:val="20"/>
        </w:rPr>
        <w:t xml:space="preserve">the Supreme </w:t>
      </w:r>
      <w:r w:rsidR="00A63761">
        <w:rPr>
          <w:rFonts w:asciiTheme="majorHAnsi" w:hAnsiTheme="majorHAnsi"/>
          <w:sz w:val="20"/>
          <w:szCs w:val="20"/>
        </w:rPr>
        <w:t>Court</w:t>
      </w:r>
      <w:r w:rsidR="00842DAB" w:rsidRPr="00A51861">
        <w:rPr>
          <w:rFonts w:asciiTheme="majorHAnsi" w:hAnsiTheme="majorHAnsi"/>
          <w:sz w:val="20"/>
          <w:szCs w:val="20"/>
        </w:rPr>
        <w:t xml:space="preserve"> </w:t>
      </w:r>
      <w:r>
        <w:rPr>
          <w:rFonts w:asciiTheme="majorHAnsi" w:hAnsiTheme="majorHAnsi"/>
          <w:sz w:val="20"/>
          <w:szCs w:val="20"/>
        </w:rPr>
        <w:t>issued a</w:t>
      </w:r>
      <w:r w:rsidR="00842DAB" w:rsidRPr="00A51861">
        <w:rPr>
          <w:rFonts w:asciiTheme="majorHAnsi" w:hAnsiTheme="majorHAnsi"/>
          <w:sz w:val="20"/>
          <w:szCs w:val="20"/>
        </w:rPr>
        <w:t xml:space="preserve"> </w:t>
      </w:r>
      <w:r w:rsidR="00817647">
        <w:rPr>
          <w:rFonts w:asciiTheme="majorHAnsi" w:hAnsiTheme="majorHAnsi"/>
          <w:sz w:val="20"/>
          <w:szCs w:val="20"/>
        </w:rPr>
        <w:t>sentence</w:t>
      </w:r>
      <w:r w:rsidR="00842DAB" w:rsidRPr="00A51861">
        <w:rPr>
          <w:rFonts w:asciiTheme="majorHAnsi" w:hAnsiTheme="majorHAnsi"/>
          <w:sz w:val="20"/>
          <w:szCs w:val="20"/>
        </w:rPr>
        <w:t xml:space="preserve"> </w:t>
      </w:r>
      <w:r>
        <w:rPr>
          <w:rFonts w:asciiTheme="majorHAnsi" w:hAnsiTheme="majorHAnsi"/>
          <w:sz w:val="20"/>
          <w:szCs w:val="20"/>
        </w:rPr>
        <w:t>which took the complaint and admitted the</w:t>
      </w:r>
      <w:r w:rsidR="00676C3F" w:rsidRPr="00A51861">
        <w:rPr>
          <w:rFonts w:asciiTheme="majorHAnsi" w:hAnsiTheme="majorHAnsi"/>
          <w:sz w:val="20"/>
          <w:szCs w:val="20"/>
        </w:rPr>
        <w:t xml:space="preserve"> </w:t>
      </w:r>
      <w:r>
        <w:rPr>
          <w:rFonts w:asciiTheme="majorHAnsi" w:hAnsiTheme="majorHAnsi"/>
          <w:sz w:val="20"/>
          <w:szCs w:val="20"/>
        </w:rPr>
        <w:t>extraordinary remedy</w:t>
      </w:r>
      <w:r w:rsidR="00676C3F" w:rsidRPr="00A51861">
        <w:rPr>
          <w:rFonts w:asciiTheme="majorHAnsi" w:hAnsiTheme="majorHAnsi"/>
          <w:sz w:val="20"/>
          <w:szCs w:val="20"/>
        </w:rPr>
        <w:t xml:space="preserve">, </w:t>
      </w:r>
      <w:r>
        <w:rPr>
          <w:rFonts w:asciiTheme="majorHAnsi" w:hAnsiTheme="majorHAnsi"/>
          <w:sz w:val="20"/>
          <w:szCs w:val="20"/>
        </w:rPr>
        <w:t>but confirmed</w:t>
      </w:r>
      <w:r w:rsidR="00842DAB" w:rsidRPr="00A51861">
        <w:rPr>
          <w:rFonts w:asciiTheme="majorHAnsi" w:hAnsiTheme="majorHAnsi"/>
          <w:sz w:val="20"/>
          <w:szCs w:val="20"/>
        </w:rPr>
        <w:t xml:space="preserve"> </w:t>
      </w:r>
      <w:r w:rsidR="00376318">
        <w:rPr>
          <w:rFonts w:asciiTheme="majorHAnsi" w:hAnsiTheme="majorHAnsi"/>
          <w:sz w:val="20"/>
          <w:szCs w:val="20"/>
        </w:rPr>
        <w:t xml:space="preserve">the </w:t>
      </w:r>
      <w:r>
        <w:rPr>
          <w:rFonts w:asciiTheme="majorHAnsi" w:hAnsiTheme="majorHAnsi"/>
          <w:sz w:val="20"/>
          <w:szCs w:val="20"/>
        </w:rPr>
        <w:t>appealed decision</w:t>
      </w:r>
      <w:r w:rsidR="00842DAB" w:rsidRPr="00A51861">
        <w:rPr>
          <w:rStyle w:val="FootnoteReference"/>
          <w:rFonts w:asciiTheme="majorHAnsi" w:hAnsiTheme="majorHAnsi"/>
          <w:sz w:val="20"/>
          <w:szCs w:val="20"/>
        </w:rPr>
        <w:footnoteReference w:id="139"/>
      </w:r>
      <w:r w:rsidR="00842DAB" w:rsidRPr="00A51861">
        <w:rPr>
          <w:rFonts w:asciiTheme="majorHAnsi" w:hAnsiTheme="majorHAnsi"/>
          <w:sz w:val="20"/>
          <w:szCs w:val="20"/>
        </w:rPr>
        <w:t xml:space="preserve">. </w:t>
      </w:r>
      <w:r>
        <w:rPr>
          <w:rFonts w:asciiTheme="majorHAnsi" w:hAnsiTheme="majorHAnsi"/>
          <w:sz w:val="20"/>
          <w:szCs w:val="20"/>
        </w:rPr>
        <w:t>In</w:t>
      </w:r>
      <w:r w:rsidR="00842DAB" w:rsidRPr="00A51861">
        <w:rPr>
          <w:rFonts w:asciiTheme="majorHAnsi" w:hAnsiTheme="majorHAnsi"/>
          <w:sz w:val="20"/>
          <w:szCs w:val="20"/>
        </w:rPr>
        <w:t xml:space="preserve"> </w:t>
      </w:r>
      <w:r w:rsidR="00376318">
        <w:rPr>
          <w:rFonts w:asciiTheme="majorHAnsi" w:hAnsiTheme="majorHAnsi"/>
          <w:sz w:val="20"/>
          <w:szCs w:val="20"/>
        </w:rPr>
        <w:t xml:space="preserve">the decision </w:t>
      </w:r>
      <w:r w:rsidR="00E92985">
        <w:rPr>
          <w:rFonts w:asciiTheme="majorHAnsi" w:hAnsiTheme="majorHAnsi"/>
          <w:sz w:val="20"/>
          <w:szCs w:val="20"/>
        </w:rPr>
        <w:t xml:space="preserve">of </w:t>
      </w:r>
      <w:r>
        <w:rPr>
          <w:rFonts w:asciiTheme="majorHAnsi" w:hAnsiTheme="majorHAnsi"/>
          <w:sz w:val="20"/>
          <w:szCs w:val="20"/>
        </w:rPr>
        <w:t xml:space="preserve">the </w:t>
      </w:r>
      <w:r w:rsidR="001A7621">
        <w:rPr>
          <w:rFonts w:asciiTheme="majorHAnsi" w:hAnsiTheme="majorHAnsi"/>
          <w:sz w:val="20"/>
          <w:szCs w:val="20"/>
        </w:rPr>
        <w:t>court,</w:t>
      </w:r>
      <w:r>
        <w:rPr>
          <w:rFonts w:asciiTheme="majorHAnsi" w:hAnsiTheme="majorHAnsi"/>
          <w:sz w:val="20"/>
          <w:szCs w:val="20"/>
        </w:rPr>
        <w:t xml:space="preserve"> it was argued</w:t>
      </w:r>
      <w:r w:rsidR="00E92985">
        <w:rPr>
          <w:rFonts w:asciiTheme="majorHAnsi" w:hAnsiTheme="majorHAnsi"/>
          <w:sz w:val="20"/>
          <w:szCs w:val="20"/>
        </w:rPr>
        <w:t xml:space="preserve"> that the </w:t>
      </w:r>
      <w:r>
        <w:rPr>
          <w:rFonts w:asciiTheme="majorHAnsi" w:hAnsiTheme="majorHAnsi"/>
          <w:sz w:val="20"/>
          <w:szCs w:val="20"/>
        </w:rPr>
        <w:t xml:space="preserve">illegitimate detention </w:t>
      </w:r>
      <w:r w:rsidR="00E92985">
        <w:rPr>
          <w:rFonts w:asciiTheme="majorHAnsi" w:hAnsiTheme="majorHAnsi"/>
          <w:sz w:val="20"/>
          <w:szCs w:val="20"/>
        </w:rPr>
        <w:t xml:space="preserve">and </w:t>
      </w:r>
      <w:r>
        <w:rPr>
          <w:rFonts w:asciiTheme="majorHAnsi" w:hAnsiTheme="majorHAnsi"/>
          <w:sz w:val="20"/>
          <w:szCs w:val="20"/>
        </w:rPr>
        <w:t xml:space="preserve">the external exile </w:t>
      </w:r>
      <w:r w:rsidR="00E92985">
        <w:rPr>
          <w:rFonts w:asciiTheme="majorHAnsi" w:hAnsiTheme="majorHAnsi"/>
          <w:sz w:val="20"/>
          <w:szCs w:val="20"/>
        </w:rPr>
        <w:t xml:space="preserve">of </w:t>
      </w:r>
      <w:r w:rsidR="00842DAB" w:rsidRPr="00A51861">
        <w:rPr>
          <w:rFonts w:asciiTheme="majorHAnsi" w:hAnsiTheme="majorHAnsi"/>
          <w:sz w:val="20"/>
          <w:szCs w:val="20"/>
        </w:rPr>
        <w:t xml:space="preserve">Nicasio Washington Romero Ubal, </w:t>
      </w:r>
      <w:r>
        <w:rPr>
          <w:rFonts w:asciiTheme="majorHAnsi" w:hAnsiTheme="majorHAnsi"/>
          <w:sz w:val="20"/>
          <w:szCs w:val="20"/>
        </w:rPr>
        <w:t xml:space="preserve">were prior to the coming into force of </w:t>
      </w:r>
      <w:r w:rsidR="00F92BA8">
        <w:rPr>
          <w:rFonts w:asciiTheme="majorHAnsi" w:hAnsiTheme="majorHAnsi"/>
          <w:sz w:val="20"/>
          <w:szCs w:val="20"/>
        </w:rPr>
        <w:t xml:space="preserve">the </w:t>
      </w:r>
      <w:r w:rsidR="001A0B84">
        <w:rPr>
          <w:rFonts w:asciiTheme="majorHAnsi" w:hAnsiTheme="majorHAnsi"/>
          <w:sz w:val="20"/>
          <w:szCs w:val="20"/>
        </w:rPr>
        <w:t>State of Siege</w:t>
      </w:r>
      <w:r w:rsidR="00842DAB" w:rsidRPr="00A51861">
        <w:rPr>
          <w:rFonts w:asciiTheme="majorHAnsi" w:hAnsiTheme="majorHAnsi"/>
          <w:sz w:val="20"/>
          <w:szCs w:val="20"/>
        </w:rPr>
        <w:t xml:space="preserve">, </w:t>
      </w:r>
      <w:r>
        <w:rPr>
          <w:rFonts w:asciiTheme="majorHAnsi" w:hAnsiTheme="majorHAnsi"/>
          <w:sz w:val="20"/>
          <w:szCs w:val="20"/>
        </w:rPr>
        <w:t xml:space="preserve">due to which they are beyond the scope </w:t>
      </w:r>
      <w:r w:rsidR="00E92985">
        <w:rPr>
          <w:rFonts w:asciiTheme="majorHAnsi" w:hAnsiTheme="majorHAnsi"/>
          <w:sz w:val="20"/>
          <w:szCs w:val="20"/>
        </w:rPr>
        <w:t xml:space="preserve">of </w:t>
      </w:r>
      <w:r w:rsidR="002835FC" w:rsidRPr="00A51861">
        <w:rPr>
          <w:rFonts w:asciiTheme="majorHAnsi" w:hAnsiTheme="majorHAnsi"/>
          <w:sz w:val="20"/>
          <w:szCs w:val="20"/>
        </w:rPr>
        <w:t xml:space="preserve">Law </w:t>
      </w:r>
      <w:r w:rsidR="00842DAB" w:rsidRPr="00A51861">
        <w:rPr>
          <w:rFonts w:asciiTheme="majorHAnsi" w:hAnsiTheme="majorHAnsi"/>
          <w:sz w:val="20"/>
          <w:szCs w:val="20"/>
        </w:rPr>
        <w:t xml:space="preserve">24.043, </w:t>
      </w:r>
      <w:r>
        <w:rPr>
          <w:rFonts w:asciiTheme="majorHAnsi" w:hAnsiTheme="majorHAnsi"/>
          <w:sz w:val="20"/>
          <w:szCs w:val="20"/>
        </w:rPr>
        <w:t>its</w:t>
      </w:r>
      <w:r w:rsidR="00842DAB" w:rsidRPr="00A51861">
        <w:rPr>
          <w:rFonts w:asciiTheme="majorHAnsi" w:hAnsiTheme="majorHAnsi"/>
          <w:sz w:val="20"/>
          <w:szCs w:val="20"/>
        </w:rPr>
        <w:t xml:space="preserve"> </w:t>
      </w:r>
      <w:r>
        <w:rPr>
          <w:rFonts w:asciiTheme="majorHAnsi" w:hAnsiTheme="majorHAnsi"/>
          <w:sz w:val="20"/>
          <w:szCs w:val="20"/>
        </w:rPr>
        <w:t>regulatory</w:t>
      </w:r>
      <w:r w:rsidRPr="00806D1B">
        <w:rPr>
          <w:rFonts w:asciiTheme="majorHAnsi" w:hAnsiTheme="majorHAnsi"/>
          <w:sz w:val="20"/>
          <w:szCs w:val="20"/>
        </w:rPr>
        <w:t xml:space="preserve"> </w:t>
      </w:r>
      <w:r>
        <w:rPr>
          <w:rFonts w:asciiTheme="majorHAnsi" w:hAnsiTheme="majorHAnsi"/>
          <w:sz w:val="20"/>
          <w:szCs w:val="20"/>
        </w:rPr>
        <w:t>decree</w:t>
      </w:r>
      <w:r w:rsidR="00842DAB" w:rsidRPr="00A51861">
        <w:rPr>
          <w:rFonts w:asciiTheme="majorHAnsi" w:hAnsiTheme="majorHAnsi"/>
          <w:sz w:val="20"/>
          <w:szCs w:val="20"/>
        </w:rPr>
        <w:t>,</w:t>
      </w:r>
      <w:r w:rsidR="00E92985">
        <w:rPr>
          <w:rFonts w:asciiTheme="majorHAnsi" w:hAnsiTheme="majorHAnsi"/>
          <w:sz w:val="20"/>
          <w:szCs w:val="20"/>
        </w:rPr>
        <w:t xml:space="preserve"> and </w:t>
      </w:r>
      <w:r w:rsidR="002835FC" w:rsidRPr="00A51861">
        <w:rPr>
          <w:rFonts w:asciiTheme="majorHAnsi" w:hAnsiTheme="majorHAnsi"/>
          <w:sz w:val="20"/>
          <w:szCs w:val="20"/>
        </w:rPr>
        <w:t xml:space="preserve">Law </w:t>
      </w:r>
      <w:r w:rsidR="00842DAB" w:rsidRPr="00A51861">
        <w:rPr>
          <w:rFonts w:asciiTheme="majorHAnsi" w:hAnsiTheme="majorHAnsi"/>
          <w:sz w:val="20"/>
          <w:szCs w:val="20"/>
        </w:rPr>
        <w:t>24.906</w:t>
      </w:r>
      <w:r w:rsidR="00842DAB" w:rsidRPr="00A51861">
        <w:rPr>
          <w:rStyle w:val="FootnoteReference"/>
          <w:rFonts w:asciiTheme="majorHAnsi" w:hAnsiTheme="majorHAnsi"/>
          <w:sz w:val="20"/>
          <w:szCs w:val="20"/>
        </w:rPr>
        <w:footnoteReference w:id="140"/>
      </w:r>
      <w:r w:rsidR="00842DAB" w:rsidRPr="00A51861">
        <w:rPr>
          <w:rFonts w:asciiTheme="majorHAnsi" w:hAnsiTheme="majorHAnsi"/>
          <w:sz w:val="20"/>
          <w:szCs w:val="20"/>
        </w:rPr>
        <w:t>.</w:t>
      </w:r>
    </w:p>
    <w:p w14:paraId="53A4C165" w14:textId="77777777" w:rsidR="00842DAB" w:rsidRPr="00A51861" w:rsidRDefault="00842DAB" w:rsidP="008E4D36">
      <w:pPr>
        <w:pStyle w:val="ListParagraph"/>
        <w:rPr>
          <w:rFonts w:asciiTheme="majorHAnsi" w:hAnsiTheme="majorHAnsi"/>
          <w:sz w:val="20"/>
          <w:szCs w:val="20"/>
        </w:rPr>
      </w:pPr>
    </w:p>
    <w:p w14:paraId="729C20B9" w14:textId="07275D90" w:rsidR="00842DAB" w:rsidRPr="00A51861" w:rsidRDefault="00E92985"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The Commission</w:t>
      </w:r>
      <w:r w:rsidR="00842DAB" w:rsidRPr="00A51861">
        <w:rPr>
          <w:rFonts w:asciiTheme="majorHAnsi" w:hAnsiTheme="majorHAnsi"/>
          <w:sz w:val="20"/>
          <w:szCs w:val="20"/>
        </w:rPr>
        <w:t xml:space="preserve"> </w:t>
      </w:r>
      <w:r w:rsidR="003B62DD">
        <w:rPr>
          <w:rFonts w:asciiTheme="majorHAnsi" w:hAnsiTheme="majorHAnsi"/>
          <w:sz w:val="20"/>
          <w:szCs w:val="20"/>
        </w:rPr>
        <w:t xml:space="preserve">takes note that </w:t>
      </w:r>
      <w:r>
        <w:rPr>
          <w:rFonts w:asciiTheme="majorHAnsi" w:hAnsiTheme="majorHAnsi"/>
          <w:sz w:val="20"/>
          <w:szCs w:val="20"/>
        </w:rPr>
        <w:t xml:space="preserve">the </w:t>
      </w:r>
      <w:r w:rsidR="00A274B7">
        <w:rPr>
          <w:rFonts w:asciiTheme="majorHAnsi" w:hAnsiTheme="majorHAnsi"/>
          <w:sz w:val="20"/>
          <w:szCs w:val="20"/>
        </w:rPr>
        <w:t>petitioner held that</w:t>
      </w:r>
      <w:r w:rsidR="00842DAB" w:rsidRPr="00A51861">
        <w:rPr>
          <w:rFonts w:asciiTheme="majorHAnsi" w:hAnsiTheme="majorHAnsi"/>
          <w:sz w:val="20"/>
          <w:szCs w:val="20"/>
        </w:rPr>
        <w:t xml:space="preserve"> </w:t>
      </w:r>
      <w:r w:rsidR="00806D1B">
        <w:rPr>
          <w:rFonts w:asciiTheme="majorHAnsi" w:hAnsiTheme="majorHAnsi"/>
          <w:sz w:val="20"/>
          <w:szCs w:val="20"/>
        </w:rPr>
        <w:t>concerning the</w:t>
      </w:r>
      <w:r w:rsidR="00842DAB" w:rsidRPr="00A51861">
        <w:rPr>
          <w:rFonts w:asciiTheme="majorHAnsi" w:hAnsiTheme="majorHAnsi"/>
          <w:sz w:val="20"/>
          <w:szCs w:val="20"/>
        </w:rPr>
        <w:t xml:space="preserve"> </w:t>
      </w:r>
      <w:r w:rsidR="00806D1B">
        <w:rPr>
          <w:rFonts w:asciiTheme="majorHAnsi" w:hAnsiTheme="majorHAnsi"/>
          <w:sz w:val="20"/>
          <w:szCs w:val="20"/>
        </w:rPr>
        <w:t>administrative and judicial proceedings</w:t>
      </w:r>
      <w:r w:rsidR="00842DAB" w:rsidRPr="00A51861">
        <w:rPr>
          <w:rFonts w:asciiTheme="majorHAnsi" w:hAnsiTheme="majorHAnsi"/>
          <w:sz w:val="20"/>
          <w:szCs w:val="20"/>
        </w:rPr>
        <w:t xml:space="preserve">, </w:t>
      </w:r>
      <w:r w:rsidR="00806D1B">
        <w:rPr>
          <w:rFonts w:asciiTheme="majorHAnsi" w:hAnsiTheme="majorHAnsi"/>
          <w:sz w:val="20"/>
          <w:szCs w:val="20"/>
        </w:rPr>
        <w:t xml:space="preserve">the counselor of Mr. </w:t>
      </w:r>
      <w:r w:rsidR="00842DAB" w:rsidRPr="00A51861">
        <w:rPr>
          <w:rFonts w:asciiTheme="majorHAnsi" w:hAnsiTheme="majorHAnsi"/>
          <w:sz w:val="20"/>
          <w:szCs w:val="20"/>
        </w:rPr>
        <w:t xml:space="preserve">Romero Ubal, </w:t>
      </w:r>
      <w:r w:rsidR="00806D1B">
        <w:rPr>
          <w:rFonts w:asciiTheme="majorHAnsi" w:hAnsiTheme="majorHAnsi"/>
          <w:sz w:val="20"/>
          <w:szCs w:val="20"/>
        </w:rPr>
        <w:t>requested</w:t>
      </w:r>
      <w:r w:rsidR="00806D1B" w:rsidRPr="00A51861">
        <w:rPr>
          <w:rFonts w:asciiTheme="majorHAnsi" w:hAnsiTheme="majorHAnsi"/>
          <w:sz w:val="20"/>
          <w:szCs w:val="20"/>
        </w:rPr>
        <w:t xml:space="preserve"> multipl</w:t>
      </w:r>
      <w:r w:rsidR="00806D1B">
        <w:rPr>
          <w:rFonts w:asciiTheme="majorHAnsi" w:hAnsiTheme="majorHAnsi"/>
          <w:sz w:val="20"/>
          <w:szCs w:val="20"/>
        </w:rPr>
        <w:t>e</w:t>
      </w:r>
      <w:r w:rsidR="00806D1B" w:rsidRPr="00A51861">
        <w:rPr>
          <w:rFonts w:asciiTheme="majorHAnsi" w:hAnsiTheme="majorHAnsi"/>
          <w:sz w:val="20"/>
          <w:szCs w:val="20"/>
        </w:rPr>
        <w:t xml:space="preserve"> </w:t>
      </w:r>
      <w:r w:rsidR="00806D1B">
        <w:rPr>
          <w:rFonts w:asciiTheme="majorHAnsi" w:hAnsiTheme="majorHAnsi"/>
          <w:sz w:val="20"/>
          <w:szCs w:val="20"/>
        </w:rPr>
        <w:t xml:space="preserve">pieces of evidence in order for them to be included into the </w:t>
      </w:r>
      <w:r w:rsidR="00A274B7">
        <w:rPr>
          <w:rFonts w:ascii="Cambria" w:hAnsi="Cambria"/>
          <w:color w:val="000000" w:themeColor="text1"/>
          <w:sz w:val="20"/>
          <w:szCs w:val="20"/>
        </w:rPr>
        <w:t>casefile</w:t>
      </w:r>
      <w:r w:rsidR="00842DAB" w:rsidRPr="00A51861">
        <w:rPr>
          <w:rFonts w:asciiTheme="majorHAnsi" w:hAnsiTheme="majorHAnsi"/>
          <w:sz w:val="20"/>
          <w:szCs w:val="20"/>
          <w:vertAlign w:val="superscript"/>
        </w:rPr>
        <w:footnoteReference w:id="141"/>
      </w:r>
      <w:r w:rsidR="00842DAB" w:rsidRPr="00A51861">
        <w:rPr>
          <w:rFonts w:asciiTheme="majorHAnsi" w:hAnsiTheme="majorHAnsi"/>
          <w:sz w:val="20"/>
          <w:szCs w:val="20"/>
        </w:rPr>
        <w:t xml:space="preserve">. </w:t>
      </w:r>
      <w:r w:rsidR="0007768D">
        <w:rPr>
          <w:rFonts w:asciiTheme="majorHAnsi" w:hAnsiTheme="majorHAnsi"/>
          <w:sz w:val="20"/>
          <w:szCs w:val="20"/>
        </w:rPr>
        <w:t>Inter alia</w:t>
      </w:r>
      <w:r w:rsidR="0007768D" w:rsidRPr="00A51861">
        <w:rPr>
          <w:rFonts w:asciiTheme="majorHAnsi" w:hAnsiTheme="majorHAnsi"/>
          <w:sz w:val="20"/>
          <w:szCs w:val="20"/>
        </w:rPr>
        <w:t xml:space="preserve">, </w:t>
      </w:r>
      <w:r w:rsidR="0007768D">
        <w:rPr>
          <w:rFonts w:asciiTheme="majorHAnsi" w:hAnsiTheme="majorHAnsi"/>
          <w:sz w:val="20"/>
          <w:szCs w:val="20"/>
        </w:rPr>
        <w:t>it was requested that</w:t>
      </w:r>
      <w:r w:rsidR="0007768D" w:rsidRPr="00A51861">
        <w:rPr>
          <w:rFonts w:asciiTheme="majorHAnsi" w:hAnsiTheme="majorHAnsi"/>
          <w:sz w:val="20"/>
          <w:szCs w:val="20"/>
        </w:rPr>
        <w:t xml:space="preserve"> </w:t>
      </w:r>
      <w:r w:rsidR="0007768D">
        <w:rPr>
          <w:rFonts w:asciiTheme="majorHAnsi" w:hAnsiTheme="majorHAnsi"/>
          <w:sz w:val="20"/>
          <w:szCs w:val="20"/>
        </w:rPr>
        <w:t>the casefile</w:t>
      </w:r>
      <w:r w:rsidR="0007768D" w:rsidRPr="0007768D">
        <w:rPr>
          <w:rFonts w:asciiTheme="majorHAnsi" w:hAnsiTheme="majorHAnsi"/>
          <w:sz w:val="20"/>
          <w:szCs w:val="20"/>
        </w:rPr>
        <w:t xml:space="preserve"> </w:t>
      </w:r>
      <w:r w:rsidR="0007768D">
        <w:rPr>
          <w:rFonts w:asciiTheme="majorHAnsi" w:hAnsiTheme="majorHAnsi"/>
          <w:sz w:val="20"/>
          <w:szCs w:val="20"/>
        </w:rPr>
        <w:t>of the</w:t>
      </w:r>
      <w:r w:rsidR="00185E46">
        <w:rPr>
          <w:rFonts w:asciiTheme="majorHAnsi" w:hAnsiTheme="majorHAnsi"/>
          <w:sz w:val="20"/>
          <w:szCs w:val="20"/>
        </w:rPr>
        <w:t xml:space="preserve"> NDM </w:t>
      </w:r>
      <w:r w:rsidR="0007768D">
        <w:rPr>
          <w:rFonts w:asciiTheme="majorHAnsi" w:hAnsiTheme="majorHAnsi"/>
          <w:sz w:val="20"/>
          <w:szCs w:val="20"/>
        </w:rPr>
        <w:t xml:space="preserve">of </w:t>
      </w:r>
      <w:r w:rsidR="0007768D" w:rsidRPr="00A51861">
        <w:rPr>
          <w:rFonts w:asciiTheme="majorHAnsi" w:hAnsiTheme="majorHAnsi"/>
          <w:sz w:val="20"/>
          <w:szCs w:val="20"/>
        </w:rPr>
        <w:t>Argentina</w:t>
      </w:r>
      <w:r w:rsidR="0007768D">
        <w:rPr>
          <w:rFonts w:asciiTheme="majorHAnsi" w:hAnsiTheme="majorHAnsi"/>
          <w:sz w:val="20"/>
          <w:szCs w:val="20"/>
        </w:rPr>
        <w:t xml:space="preserve"> be included</w:t>
      </w:r>
      <w:r w:rsidR="00842DAB" w:rsidRPr="00A51861">
        <w:rPr>
          <w:rFonts w:asciiTheme="majorHAnsi" w:hAnsiTheme="majorHAnsi"/>
          <w:sz w:val="20"/>
          <w:szCs w:val="20"/>
        </w:rPr>
        <w:t xml:space="preserve">, </w:t>
      </w:r>
      <w:r w:rsidR="0007768D">
        <w:rPr>
          <w:rFonts w:asciiTheme="majorHAnsi" w:hAnsiTheme="majorHAnsi"/>
          <w:sz w:val="20"/>
          <w:szCs w:val="20"/>
        </w:rPr>
        <w:t>the files</w:t>
      </w:r>
      <w:r w:rsidR="004969F4">
        <w:rPr>
          <w:rFonts w:asciiTheme="majorHAnsi" w:hAnsiTheme="majorHAnsi"/>
          <w:sz w:val="20"/>
          <w:szCs w:val="20"/>
        </w:rPr>
        <w:t xml:space="preserve"> of the</w:t>
      </w:r>
      <w:r w:rsidR="008E2F10">
        <w:rPr>
          <w:rFonts w:asciiTheme="majorHAnsi" w:hAnsiTheme="majorHAnsi"/>
          <w:sz w:val="20"/>
          <w:szCs w:val="20"/>
        </w:rPr>
        <w:t xml:space="preserve"> HCUNR</w:t>
      </w:r>
      <w:r w:rsidR="00842DAB" w:rsidRPr="00A51861">
        <w:rPr>
          <w:rFonts w:asciiTheme="majorHAnsi" w:hAnsiTheme="majorHAnsi"/>
          <w:sz w:val="20"/>
          <w:szCs w:val="20"/>
        </w:rPr>
        <w:t xml:space="preserve">, </w:t>
      </w:r>
      <w:r w:rsidR="00A274B7">
        <w:rPr>
          <w:rFonts w:asciiTheme="majorHAnsi" w:hAnsiTheme="majorHAnsi"/>
          <w:sz w:val="20"/>
          <w:szCs w:val="20"/>
        </w:rPr>
        <w:t>casefile</w:t>
      </w:r>
      <w:r w:rsidR="00842DAB" w:rsidRPr="00A51861">
        <w:rPr>
          <w:rFonts w:asciiTheme="majorHAnsi" w:hAnsiTheme="majorHAnsi"/>
          <w:sz w:val="20"/>
          <w:szCs w:val="20"/>
        </w:rPr>
        <w:t xml:space="preserve">s </w:t>
      </w:r>
      <w:r w:rsidR="0007768D">
        <w:rPr>
          <w:rFonts w:asciiTheme="majorHAnsi" w:hAnsiTheme="majorHAnsi"/>
          <w:sz w:val="20"/>
          <w:szCs w:val="20"/>
        </w:rPr>
        <w:t>related to the murder of other</w:t>
      </w:r>
      <w:r w:rsidR="00842DAB" w:rsidRPr="00A51861">
        <w:rPr>
          <w:rFonts w:asciiTheme="majorHAnsi" w:hAnsiTheme="majorHAnsi"/>
          <w:sz w:val="20"/>
          <w:szCs w:val="20"/>
        </w:rPr>
        <w:t xml:space="preserve"> </w:t>
      </w:r>
      <w:r w:rsidR="00BE5683">
        <w:rPr>
          <w:rFonts w:asciiTheme="majorHAnsi" w:hAnsiTheme="majorHAnsi"/>
          <w:sz w:val="20"/>
          <w:szCs w:val="20"/>
        </w:rPr>
        <w:t>Uruguayans</w:t>
      </w:r>
      <w:r w:rsidR="00842DAB" w:rsidRPr="00A51861">
        <w:rPr>
          <w:rFonts w:asciiTheme="majorHAnsi" w:hAnsiTheme="majorHAnsi"/>
          <w:sz w:val="20"/>
          <w:szCs w:val="20"/>
        </w:rPr>
        <w:t xml:space="preserve"> </w:t>
      </w:r>
      <w:r w:rsidR="0007768D">
        <w:rPr>
          <w:rFonts w:asciiTheme="majorHAnsi" w:hAnsiTheme="majorHAnsi"/>
          <w:sz w:val="20"/>
          <w:szCs w:val="20"/>
        </w:rPr>
        <w:t>detained</w:t>
      </w:r>
      <w:r w:rsidR="00842DAB" w:rsidRPr="00A51861">
        <w:rPr>
          <w:rFonts w:asciiTheme="majorHAnsi" w:hAnsiTheme="majorHAnsi"/>
          <w:sz w:val="20"/>
          <w:szCs w:val="20"/>
        </w:rPr>
        <w:t xml:space="preserve"> </w:t>
      </w:r>
      <w:r w:rsidR="0007768D">
        <w:rPr>
          <w:rFonts w:asciiTheme="majorHAnsi" w:hAnsiTheme="majorHAnsi"/>
          <w:sz w:val="20"/>
          <w:szCs w:val="20"/>
        </w:rPr>
        <w:t>with</w:t>
      </w:r>
      <w:r w:rsidR="00842DAB" w:rsidRPr="00A51861">
        <w:rPr>
          <w:rFonts w:asciiTheme="majorHAnsi" w:hAnsiTheme="majorHAnsi"/>
          <w:sz w:val="20"/>
          <w:szCs w:val="20"/>
        </w:rPr>
        <w:t xml:space="preserve"> </w:t>
      </w:r>
      <w:r w:rsidR="00A51861" w:rsidRPr="00A51861">
        <w:rPr>
          <w:rFonts w:asciiTheme="majorHAnsi" w:hAnsiTheme="majorHAnsi"/>
          <w:sz w:val="20"/>
          <w:szCs w:val="20"/>
        </w:rPr>
        <w:t xml:space="preserve">Mr. </w:t>
      </w:r>
      <w:r w:rsidR="00842DAB" w:rsidRPr="00A51861">
        <w:rPr>
          <w:rFonts w:asciiTheme="majorHAnsi" w:hAnsiTheme="majorHAnsi"/>
          <w:sz w:val="20"/>
          <w:szCs w:val="20"/>
        </w:rPr>
        <w:t>Romero,</w:t>
      </w:r>
      <w:r>
        <w:rPr>
          <w:rFonts w:asciiTheme="majorHAnsi" w:hAnsiTheme="majorHAnsi"/>
          <w:sz w:val="20"/>
          <w:szCs w:val="20"/>
        </w:rPr>
        <w:t xml:space="preserve"> and </w:t>
      </w:r>
      <w:r w:rsidR="0007768D">
        <w:rPr>
          <w:rFonts w:asciiTheme="majorHAnsi" w:hAnsiTheme="majorHAnsi"/>
          <w:sz w:val="20"/>
          <w:szCs w:val="20"/>
        </w:rPr>
        <w:t>other means of proof</w:t>
      </w:r>
      <w:r w:rsidR="00842DAB" w:rsidRPr="00A51861">
        <w:rPr>
          <w:rFonts w:asciiTheme="majorHAnsi" w:hAnsiTheme="majorHAnsi"/>
          <w:sz w:val="20"/>
          <w:szCs w:val="20"/>
        </w:rPr>
        <w:t xml:space="preserve">, </w:t>
      </w:r>
      <w:r w:rsidR="0007768D">
        <w:rPr>
          <w:rFonts w:asciiTheme="majorHAnsi" w:hAnsiTheme="majorHAnsi"/>
          <w:sz w:val="20"/>
          <w:szCs w:val="20"/>
        </w:rPr>
        <w:t xml:space="preserve">to obtain relevant information to prove the </w:t>
      </w:r>
      <w:r w:rsidR="005F46B6">
        <w:rPr>
          <w:rFonts w:asciiTheme="majorHAnsi" w:hAnsiTheme="majorHAnsi"/>
          <w:sz w:val="20"/>
          <w:szCs w:val="20"/>
        </w:rPr>
        <w:t xml:space="preserve">political persecution </w:t>
      </w:r>
      <w:r w:rsidR="0007768D">
        <w:rPr>
          <w:rFonts w:asciiTheme="majorHAnsi" w:hAnsiTheme="majorHAnsi"/>
          <w:sz w:val="20"/>
          <w:szCs w:val="20"/>
        </w:rPr>
        <w:t>suffered</w:t>
      </w:r>
      <w:r w:rsidR="00842DAB" w:rsidRPr="00A51861">
        <w:rPr>
          <w:rFonts w:asciiTheme="majorHAnsi" w:hAnsiTheme="majorHAnsi"/>
          <w:sz w:val="20"/>
          <w:szCs w:val="20"/>
          <w:vertAlign w:val="superscript"/>
        </w:rPr>
        <w:footnoteReference w:id="142"/>
      </w:r>
      <w:r w:rsidR="00842DAB" w:rsidRPr="00A51861">
        <w:rPr>
          <w:rFonts w:asciiTheme="majorHAnsi" w:hAnsiTheme="majorHAnsi"/>
          <w:sz w:val="20"/>
          <w:szCs w:val="20"/>
        </w:rPr>
        <w:t xml:space="preserve">. </w:t>
      </w:r>
      <w:r w:rsidR="00376318">
        <w:rPr>
          <w:rFonts w:asciiTheme="majorHAnsi" w:hAnsiTheme="majorHAnsi"/>
          <w:sz w:val="20"/>
          <w:szCs w:val="20"/>
        </w:rPr>
        <w:t>However</w:t>
      </w:r>
      <w:r w:rsidR="00842DAB" w:rsidRPr="00A51861">
        <w:rPr>
          <w:rFonts w:asciiTheme="majorHAnsi" w:hAnsiTheme="majorHAnsi"/>
          <w:sz w:val="20"/>
          <w:szCs w:val="20"/>
        </w:rPr>
        <w:t xml:space="preserve">, </w:t>
      </w:r>
      <w:r>
        <w:rPr>
          <w:rFonts w:asciiTheme="majorHAnsi" w:hAnsiTheme="majorHAnsi"/>
          <w:sz w:val="20"/>
          <w:szCs w:val="20"/>
        </w:rPr>
        <w:t xml:space="preserve">the petitioner </w:t>
      </w:r>
      <w:r w:rsidR="0007768D">
        <w:rPr>
          <w:rFonts w:asciiTheme="majorHAnsi" w:hAnsiTheme="majorHAnsi"/>
          <w:sz w:val="20"/>
          <w:szCs w:val="20"/>
        </w:rPr>
        <w:t xml:space="preserve">held </w:t>
      </w:r>
      <w:r>
        <w:rPr>
          <w:rFonts w:asciiTheme="majorHAnsi" w:hAnsiTheme="majorHAnsi"/>
          <w:sz w:val="20"/>
          <w:szCs w:val="20"/>
        </w:rPr>
        <w:t xml:space="preserve">that the </w:t>
      </w:r>
      <w:r w:rsidR="0007768D">
        <w:rPr>
          <w:rFonts w:asciiTheme="majorHAnsi" w:hAnsiTheme="majorHAnsi"/>
          <w:sz w:val="20"/>
          <w:szCs w:val="20"/>
        </w:rPr>
        <w:t>evidence was not provided by</w:t>
      </w:r>
      <w:r w:rsidR="00842DAB" w:rsidRPr="00A51861">
        <w:rPr>
          <w:rFonts w:asciiTheme="majorHAnsi" w:hAnsiTheme="majorHAnsi"/>
          <w:sz w:val="20"/>
          <w:szCs w:val="20"/>
        </w:rPr>
        <w:t xml:space="preserve"> </w:t>
      </w:r>
      <w:r w:rsidR="00940530">
        <w:rPr>
          <w:rFonts w:asciiTheme="majorHAnsi" w:hAnsiTheme="majorHAnsi"/>
          <w:sz w:val="20"/>
          <w:szCs w:val="20"/>
        </w:rPr>
        <w:t>authorities</w:t>
      </w:r>
      <w:r w:rsidR="00842DAB" w:rsidRPr="00A51861">
        <w:rPr>
          <w:rFonts w:asciiTheme="majorHAnsi" w:hAnsiTheme="majorHAnsi"/>
          <w:sz w:val="20"/>
          <w:szCs w:val="20"/>
        </w:rPr>
        <w:t xml:space="preserve">, </w:t>
      </w:r>
      <w:r w:rsidR="0007768D">
        <w:rPr>
          <w:rFonts w:asciiTheme="majorHAnsi" w:hAnsiTheme="majorHAnsi"/>
          <w:sz w:val="20"/>
          <w:szCs w:val="20"/>
        </w:rPr>
        <w:t>nor was his request reviewed</w:t>
      </w:r>
      <w:r w:rsidR="0007768D" w:rsidRPr="00A51861">
        <w:rPr>
          <w:rFonts w:asciiTheme="majorHAnsi" w:hAnsiTheme="majorHAnsi"/>
          <w:sz w:val="20"/>
          <w:szCs w:val="20"/>
        </w:rPr>
        <w:t xml:space="preserve"> </w:t>
      </w:r>
      <w:r w:rsidR="0007768D">
        <w:rPr>
          <w:rFonts w:asciiTheme="majorHAnsi" w:hAnsiTheme="majorHAnsi"/>
          <w:sz w:val="20"/>
          <w:szCs w:val="20"/>
        </w:rPr>
        <w:t>at</w:t>
      </w:r>
      <w:r w:rsidR="0007768D" w:rsidRPr="00A51861">
        <w:rPr>
          <w:rFonts w:asciiTheme="majorHAnsi" w:hAnsiTheme="majorHAnsi"/>
          <w:sz w:val="20"/>
          <w:szCs w:val="20"/>
        </w:rPr>
        <w:t xml:space="preserve"> administrativ</w:t>
      </w:r>
      <w:r w:rsidR="0007768D">
        <w:rPr>
          <w:rFonts w:asciiTheme="majorHAnsi" w:hAnsiTheme="majorHAnsi"/>
          <w:sz w:val="20"/>
          <w:szCs w:val="20"/>
        </w:rPr>
        <w:t xml:space="preserve">e and </w:t>
      </w:r>
      <w:r w:rsidR="0007768D" w:rsidRPr="00A51861">
        <w:rPr>
          <w:rFonts w:asciiTheme="majorHAnsi" w:hAnsiTheme="majorHAnsi"/>
          <w:sz w:val="20"/>
          <w:szCs w:val="20"/>
        </w:rPr>
        <w:t>judicial</w:t>
      </w:r>
      <w:r w:rsidR="0007768D" w:rsidRPr="003B62DD">
        <w:rPr>
          <w:rFonts w:asciiTheme="majorHAnsi" w:hAnsiTheme="majorHAnsi"/>
          <w:sz w:val="20"/>
          <w:szCs w:val="20"/>
        </w:rPr>
        <w:t xml:space="preserve"> </w:t>
      </w:r>
      <w:r w:rsidR="0007768D">
        <w:rPr>
          <w:rFonts w:asciiTheme="majorHAnsi" w:hAnsiTheme="majorHAnsi"/>
          <w:sz w:val="20"/>
          <w:szCs w:val="20"/>
        </w:rPr>
        <w:t>instances</w:t>
      </w:r>
      <w:r w:rsidR="00842DAB" w:rsidRPr="00A51861">
        <w:rPr>
          <w:rStyle w:val="FootnoteReference"/>
          <w:rFonts w:asciiTheme="majorHAnsi" w:hAnsiTheme="majorHAnsi"/>
          <w:sz w:val="20"/>
          <w:szCs w:val="20"/>
        </w:rPr>
        <w:footnoteReference w:id="143"/>
      </w:r>
      <w:r w:rsidR="00842DAB" w:rsidRPr="00A51861">
        <w:rPr>
          <w:rFonts w:asciiTheme="majorHAnsi" w:hAnsiTheme="majorHAnsi"/>
          <w:sz w:val="20"/>
          <w:szCs w:val="20"/>
        </w:rPr>
        <w:t>.</w:t>
      </w:r>
    </w:p>
    <w:p w14:paraId="6AA052AA" w14:textId="77777777" w:rsidR="00006896" w:rsidRPr="00A51861" w:rsidRDefault="00006896" w:rsidP="008E4D36">
      <w:pPr>
        <w:suppressAutoHyphens/>
        <w:rPr>
          <w:rFonts w:asciiTheme="majorHAnsi" w:hAnsiTheme="majorHAnsi"/>
          <w:b/>
          <w:sz w:val="20"/>
          <w:szCs w:val="20"/>
        </w:rPr>
      </w:pPr>
    </w:p>
    <w:p w14:paraId="23902E88" w14:textId="3ABA0F47" w:rsidR="00773B3C" w:rsidRPr="00A51861" w:rsidRDefault="00773B3C" w:rsidP="00273F34">
      <w:pPr>
        <w:pStyle w:val="Heading1"/>
        <w:keepNext/>
        <w:keepLines/>
        <w:numPr>
          <w:ilvl w:val="0"/>
          <w:numId w:val="55"/>
        </w:numPr>
        <w:suppressAutoHyphens w:val="0"/>
        <w:rPr>
          <w:lang w:val="en-US"/>
        </w:rPr>
      </w:pPr>
      <w:bookmarkStart w:id="21" w:name="_Toc196383485"/>
      <w:r w:rsidRPr="00A51861">
        <w:rPr>
          <w:lang w:val="en-US"/>
        </w:rPr>
        <w:t>AN</w:t>
      </w:r>
      <w:r w:rsidR="00E22665">
        <w:rPr>
          <w:lang w:val="en-US"/>
        </w:rPr>
        <w:t>A</w:t>
      </w:r>
      <w:r w:rsidRPr="00A51861">
        <w:rPr>
          <w:lang w:val="en-US"/>
        </w:rPr>
        <w:t>L</w:t>
      </w:r>
      <w:r w:rsidR="00E22665">
        <w:rPr>
          <w:lang w:val="en-US"/>
        </w:rPr>
        <w:t>Y</w:t>
      </w:r>
      <w:r w:rsidRPr="00A51861">
        <w:rPr>
          <w:lang w:val="en-US"/>
        </w:rPr>
        <w:t>SIS</w:t>
      </w:r>
      <w:r w:rsidR="00E92985">
        <w:rPr>
          <w:lang w:val="en-US"/>
        </w:rPr>
        <w:t xml:space="preserve"> of </w:t>
      </w:r>
      <w:r w:rsidR="00E22665">
        <w:rPr>
          <w:lang w:val="en-US"/>
        </w:rPr>
        <w:t>LAW</w:t>
      </w:r>
      <w:bookmarkEnd w:id="21"/>
    </w:p>
    <w:p w14:paraId="6D55EB06" w14:textId="77777777" w:rsidR="00773B3C" w:rsidRPr="00A51861" w:rsidRDefault="00773B3C" w:rsidP="008E4D36">
      <w:pPr>
        <w:ind w:left="1080"/>
        <w:jc w:val="both"/>
        <w:rPr>
          <w:rFonts w:ascii="Cambria" w:eastAsia="Cambria" w:hAnsi="Cambria" w:cs="Cambria"/>
          <w:b/>
          <w:color w:val="000000"/>
          <w:sz w:val="20"/>
          <w:szCs w:val="20"/>
          <w:u w:color="000000"/>
          <w:lang w:eastAsia="es-ES"/>
        </w:rPr>
      </w:pPr>
    </w:p>
    <w:p w14:paraId="14263A4C" w14:textId="2B895FBD" w:rsidR="00773B3C" w:rsidRPr="00A51861" w:rsidRDefault="00BE3E87" w:rsidP="00273F34">
      <w:pPr>
        <w:pStyle w:val="Heading2"/>
        <w:keepNext/>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720"/>
        <w:rPr>
          <w:lang w:val="en-US"/>
        </w:rPr>
      </w:pPr>
      <w:bookmarkStart w:id="22" w:name="_Toc196383486"/>
      <w:r>
        <w:rPr>
          <w:lang w:val="en-US"/>
        </w:rPr>
        <w:t>The right to</w:t>
      </w:r>
      <w:r w:rsidR="00061015">
        <w:rPr>
          <w:lang w:val="en-US"/>
        </w:rPr>
        <w:t xml:space="preserve"> personal</w:t>
      </w:r>
      <w:r>
        <w:rPr>
          <w:lang w:val="en-US"/>
        </w:rPr>
        <w:t xml:space="preserve"> liberty</w:t>
      </w:r>
      <w:r w:rsidR="00773B3C" w:rsidRPr="00A51861">
        <w:rPr>
          <w:lang w:val="en-US"/>
        </w:rPr>
        <w:t xml:space="preserve">, </w:t>
      </w:r>
      <w:r>
        <w:rPr>
          <w:lang w:val="en-US"/>
        </w:rPr>
        <w:t>security and humane treatment of</w:t>
      </w:r>
      <w:r w:rsidR="00E92985">
        <w:rPr>
          <w:lang w:val="en-US"/>
        </w:rPr>
        <w:t xml:space="preserve"> the </w:t>
      </w:r>
      <w:r w:rsidR="00773B3C" w:rsidRPr="00A51861">
        <w:rPr>
          <w:lang w:val="en-US"/>
        </w:rPr>
        <w:t>person</w:t>
      </w:r>
      <w:r w:rsidR="00773B3C" w:rsidRPr="00A51861">
        <w:rPr>
          <w:vertAlign w:val="superscript"/>
          <w:lang w:val="en-US"/>
        </w:rPr>
        <w:footnoteReference w:id="144"/>
      </w:r>
      <w:r w:rsidR="00AE76E6" w:rsidRPr="00A51861">
        <w:rPr>
          <w:lang w:val="en-US"/>
        </w:rPr>
        <w:t xml:space="preserve">, </w:t>
      </w:r>
      <w:r>
        <w:rPr>
          <w:lang w:val="en-US"/>
        </w:rPr>
        <w:t>the right</w:t>
      </w:r>
      <w:r w:rsidR="00E92985">
        <w:rPr>
          <w:lang w:val="en-US"/>
        </w:rPr>
        <w:t xml:space="preserve"> of </w:t>
      </w:r>
      <w:r w:rsidR="00EF4ED2">
        <w:rPr>
          <w:lang w:val="en-US"/>
        </w:rPr>
        <w:t>protection</w:t>
      </w:r>
      <w:r w:rsidR="00CB0928">
        <w:rPr>
          <w:lang w:val="en-US"/>
        </w:rPr>
        <w:t xml:space="preserve"> against</w:t>
      </w:r>
      <w:r w:rsidR="009A4F91">
        <w:rPr>
          <w:lang w:val="en-US"/>
        </w:rPr>
        <w:t xml:space="preserve"> the </w:t>
      </w:r>
      <w:r w:rsidRPr="00A51861">
        <w:rPr>
          <w:lang w:val="en-US"/>
        </w:rPr>
        <w:t>arbitrar</w:t>
      </w:r>
      <w:r>
        <w:rPr>
          <w:lang w:val="en-US"/>
        </w:rPr>
        <w:t xml:space="preserve">y </w:t>
      </w:r>
      <w:r w:rsidR="006E255A">
        <w:rPr>
          <w:lang w:val="en-US"/>
        </w:rPr>
        <w:t>detention</w:t>
      </w:r>
      <w:r w:rsidR="00773B3C" w:rsidRPr="00A51861">
        <w:rPr>
          <w:vertAlign w:val="superscript"/>
          <w:lang w:val="en-US"/>
        </w:rPr>
        <w:footnoteReference w:id="145"/>
      </w:r>
      <w:r w:rsidR="00E92985">
        <w:rPr>
          <w:lang w:val="en-US"/>
        </w:rPr>
        <w:t xml:space="preserve"> and </w:t>
      </w:r>
      <w:r>
        <w:rPr>
          <w:lang w:val="en-US"/>
        </w:rPr>
        <w:t>the right</w:t>
      </w:r>
      <w:r w:rsidR="00E92985">
        <w:rPr>
          <w:lang w:val="en-US"/>
        </w:rPr>
        <w:t xml:space="preserve"> of </w:t>
      </w:r>
      <w:r>
        <w:rPr>
          <w:lang w:val="en-US"/>
        </w:rPr>
        <w:t>assembly</w:t>
      </w:r>
      <w:r w:rsidR="00AE76E6" w:rsidRPr="00A51861">
        <w:rPr>
          <w:rStyle w:val="FootnoteReference"/>
          <w:rFonts w:ascii="Cambria" w:hAnsi="Cambria"/>
          <w:b w:val="0"/>
          <w:lang w:val="en-US"/>
        </w:rPr>
        <w:footnoteReference w:id="146"/>
      </w:r>
      <w:r w:rsidR="00E92985">
        <w:rPr>
          <w:lang w:val="en-US"/>
        </w:rPr>
        <w:t xml:space="preserve"> of the </w:t>
      </w:r>
      <w:r w:rsidRPr="00A51861">
        <w:rPr>
          <w:lang w:val="en-US"/>
        </w:rPr>
        <w:t>American Declaration</w:t>
      </w:r>
      <w:r w:rsidR="00773B3C" w:rsidRPr="00A51861">
        <w:rPr>
          <w:lang w:val="en-US"/>
        </w:rPr>
        <w:t xml:space="preserve"> </w:t>
      </w:r>
      <w:r>
        <w:rPr>
          <w:lang w:val="en-US"/>
        </w:rPr>
        <w:t>within the scope</w:t>
      </w:r>
      <w:r w:rsidR="00E92985">
        <w:rPr>
          <w:lang w:val="en-US"/>
        </w:rPr>
        <w:t xml:space="preserve"> of the </w:t>
      </w:r>
      <w:r w:rsidR="006E255A">
        <w:rPr>
          <w:lang w:val="en-US"/>
        </w:rPr>
        <w:t>detention</w:t>
      </w:r>
      <w:r w:rsidR="00E92985">
        <w:rPr>
          <w:lang w:val="en-US"/>
        </w:rPr>
        <w:t xml:space="preserve"> of </w:t>
      </w:r>
      <w:r>
        <w:rPr>
          <w:lang w:val="en-US"/>
        </w:rPr>
        <w:t>Mr.</w:t>
      </w:r>
      <w:r w:rsidR="00773B3C" w:rsidRPr="00A51861">
        <w:rPr>
          <w:lang w:val="en-US"/>
        </w:rPr>
        <w:t xml:space="preserve"> Julio César </w:t>
      </w:r>
      <w:r w:rsidR="00B01A54">
        <w:rPr>
          <w:lang w:val="en-US"/>
        </w:rPr>
        <w:t xml:space="preserve">Rito de los Santos </w:t>
      </w:r>
      <w:r w:rsidR="00E92985">
        <w:rPr>
          <w:lang w:val="en-US"/>
        </w:rPr>
        <w:t xml:space="preserve">and </w:t>
      </w:r>
      <w:r>
        <w:rPr>
          <w:lang w:val="en-US"/>
        </w:rPr>
        <w:t xml:space="preserve">Mr. </w:t>
      </w:r>
      <w:r w:rsidR="00773B3C" w:rsidRPr="00A51861">
        <w:rPr>
          <w:lang w:val="en-US"/>
        </w:rPr>
        <w:t>Hugo Daniel Ferreira.</w:t>
      </w:r>
      <w:bookmarkEnd w:id="22"/>
    </w:p>
    <w:p w14:paraId="1997257E" w14:textId="77777777" w:rsidR="00267BB0" w:rsidRPr="00A51861" w:rsidRDefault="00267BB0" w:rsidP="008E4D3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Cambria" w:hAnsi="Cambria" w:cs="Cambria"/>
          <w:b/>
          <w:color w:val="000000"/>
          <w:sz w:val="20"/>
          <w:szCs w:val="20"/>
          <w:u w:color="000000"/>
          <w:lang w:eastAsia="es-ES"/>
        </w:rPr>
      </w:pPr>
    </w:p>
    <w:p w14:paraId="568608DF" w14:textId="574B6E0D" w:rsidR="00267BB0" w:rsidRPr="00A51861" w:rsidRDefault="00BE3E87" w:rsidP="00273F34">
      <w:pPr>
        <w:pStyle w:val="Heading3"/>
        <w:keepNext/>
        <w:numPr>
          <w:ilvl w:val="0"/>
          <w:numId w:val="73"/>
        </w:numPr>
        <w:spacing w:line="240" w:lineRule="auto"/>
        <w:jc w:val="left"/>
        <w:rPr>
          <w:lang w:val="en-US"/>
        </w:rPr>
      </w:pPr>
      <w:bookmarkStart w:id="23" w:name="_Toc196383487"/>
      <w:r w:rsidRPr="007D174A">
        <w:rPr>
          <w:rFonts w:asciiTheme="majorHAnsi" w:eastAsia="Times New Roman" w:hAnsiTheme="majorHAnsi" w:cs="Arial"/>
          <w:bCs/>
          <w:color w:val="auto"/>
          <w:bdr w:val="none" w:sz="0" w:space="0" w:color="auto"/>
          <w:lang w:val="en-US" w:eastAsia="en-US"/>
        </w:rPr>
        <w:t>General</w:t>
      </w:r>
      <w:r w:rsidRPr="00A51861">
        <w:rPr>
          <w:lang w:val="en-US"/>
        </w:rPr>
        <w:t xml:space="preserve"> </w:t>
      </w:r>
      <w:r>
        <w:rPr>
          <w:lang w:val="en-US"/>
        </w:rPr>
        <w:t>c</w:t>
      </w:r>
      <w:r w:rsidRPr="00A51861">
        <w:rPr>
          <w:lang w:val="en-US"/>
        </w:rPr>
        <w:t>onsiderations</w:t>
      </w:r>
      <w:r w:rsidR="00267BB0" w:rsidRPr="00A51861">
        <w:rPr>
          <w:lang w:val="en-US"/>
        </w:rPr>
        <w:t xml:space="preserve"> </w:t>
      </w:r>
      <w:r>
        <w:rPr>
          <w:lang w:val="en-US"/>
        </w:rPr>
        <w:t>on the right to liberty</w:t>
      </w:r>
      <w:r w:rsidR="00AE76E6" w:rsidRPr="00A51861">
        <w:rPr>
          <w:lang w:val="en-US"/>
        </w:rPr>
        <w:t>,</w:t>
      </w:r>
      <w:r w:rsidR="00C80095" w:rsidRPr="00A51861">
        <w:rPr>
          <w:lang w:val="en-US"/>
        </w:rPr>
        <w:t xml:space="preserve"> </w:t>
      </w:r>
      <w:r>
        <w:rPr>
          <w:lang w:val="en-US"/>
        </w:rPr>
        <w:t>humane treatment</w:t>
      </w:r>
      <w:r w:rsidR="00C80095" w:rsidRPr="00A51861">
        <w:rPr>
          <w:lang w:val="en-US"/>
        </w:rPr>
        <w:t>,</w:t>
      </w:r>
      <w:r w:rsidR="00267BB0" w:rsidRPr="00A51861">
        <w:rPr>
          <w:lang w:val="en-US"/>
        </w:rPr>
        <w:t xml:space="preserve"> </w:t>
      </w:r>
      <w:r w:rsidR="00EF4ED2">
        <w:rPr>
          <w:lang w:val="en-US"/>
        </w:rPr>
        <w:t>protection</w:t>
      </w:r>
      <w:r w:rsidR="00CB0928">
        <w:rPr>
          <w:lang w:val="en-US"/>
        </w:rPr>
        <w:t xml:space="preserve"> against </w:t>
      </w:r>
      <w:r w:rsidRPr="00A51861">
        <w:rPr>
          <w:lang w:val="en-US"/>
        </w:rPr>
        <w:t>arbitrary</w:t>
      </w:r>
      <w:r>
        <w:rPr>
          <w:lang w:val="en-US"/>
        </w:rPr>
        <w:t xml:space="preserve"> </w:t>
      </w:r>
      <w:r w:rsidR="006E255A">
        <w:rPr>
          <w:lang w:val="en-US"/>
        </w:rPr>
        <w:t>detention</w:t>
      </w:r>
      <w:r w:rsidR="00267BB0" w:rsidRPr="00A51861">
        <w:rPr>
          <w:lang w:val="en-US"/>
        </w:rPr>
        <w:t xml:space="preserve"> </w:t>
      </w:r>
      <w:r w:rsidR="00E92985">
        <w:rPr>
          <w:lang w:val="en-US"/>
        </w:rPr>
        <w:t xml:space="preserve">and </w:t>
      </w:r>
      <w:r>
        <w:rPr>
          <w:lang w:val="en-US"/>
        </w:rPr>
        <w:t>the right of assembly</w:t>
      </w:r>
      <w:bookmarkEnd w:id="23"/>
    </w:p>
    <w:p w14:paraId="6F0F3265" w14:textId="77777777" w:rsidR="00773B3C" w:rsidRPr="00A51861" w:rsidRDefault="00773B3C" w:rsidP="008E4D3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libri" w:hAnsi="Cambria"/>
          <w:b/>
          <w:sz w:val="20"/>
          <w:szCs w:val="20"/>
          <w:bdr w:val="none" w:sz="0" w:space="0" w:color="auto"/>
        </w:rPr>
      </w:pPr>
    </w:p>
    <w:p w14:paraId="350D2F4C" w14:textId="27C7182D" w:rsidR="00773B3C" w:rsidRPr="00A51861" w:rsidRDefault="0029564F"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eastAsia="Calibri" w:hAnsi="Cambria"/>
          <w:sz w:val="20"/>
          <w:szCs w:val="20"/>
          <w:bdr w:val="none" w:sz="0" w:space="0" w:color="auto"/>
        </w:rPr>
      </w:pPr>
      <w:r>
        <w:rPr>
          <w:rFonts w:ascii="Cambria" w:eastAsia="Calibri" w:hAnsi="Cambria"/>
          <w:sz w:val="20"/>
          <w:szCs w:val="20"/>
          <w:bdr w:val="none" w:sz="0" w:space="0" w:color="auto"/>
        </w:rPr>
        <w:t>Article</w:t>
      </w:r>
      <w:r w:rsidR="00773B3C" w:rsidRPr="00A51861">
        <w:rPr>
          <w:rFonts w:ascii="Cambria" w:eastAsia="Calibri" w:hAnsi="Cambria"/>
          <w:sz w:val="20"/>
          <w:szCs w:val="20"/>
          <w:bdr w:val="none" w:sz="0" w:space="0" w:color="auto"/>
        </w:rPr>
        <w:t xml:space="preserve"> XXV</w:t>
      </w:r>
      <w:r w:rsidR="00E92985">
        <w:rPr>
          <w:rFonts w:ascii="Cambria" w:eastAsia="Calibri" w:hAnsi="Cambria"/>
          <w:sz w:val="20"/>
          <w:szCs w:val="20"/>
          <w:bdr w:val="none" w:sz="0" w:space="0" w:color="auto"/>
        </w:rPr>
        <w:t xml:space="preserve"> of the </w:t>
      </w:r>
      <w:r w:rsidR="003F634D">
        <w:rPr>
          <w:rFonts w:ascii="Cambria" w:eastAsia="Calibri" w:hAnsi="Cambria"/>
          <w:sz w:val="20"/>
          <w:szCs w:val="20"/>
          <w:bdr w:val="none" w:sz="0" w:space="0" w:color="auto"/>
        </w:rPr>
        <w:t xml:space="preserve">American Declaration </w:t>
      </w:r>
      <w:r w:rsidR="00773B3C" w:rsidRPr="00A51861">
        <w:rPr>
          <w:rFonts w:ascii="Cambria" w:eastAsia="Calibri" w:hAnsi="Cambria"/>
          <w:sz w:val="20"/>
          <w:szCs w:val="20"/>
          <w:bdr w:val="none" w:sz="0" w:space="0" w:color="auto"/>
        </w:rPr>
        <w:t>establ</w:t>
      </w:r>
      <w:r w:rsidR="003F634D">
        <w:rPr>
          <w:rFonts w:ascii="Cambria" w:eastAsia="Calibri" w:hAnsi="Cambria"/>
          <w:sz w:val="20"/>
          <w:szCs w:val="20"/>
          <w:bdr w:val="none" w:sz="0" w:space="0" w:color="auto"/>
        </w:rPr>
        <w:t>ish</w:t>
      </w:r>
      <w:r w:rsidR="00773B3C" w:rsidRPr="00A51861">
        <w:rPr>
          <w:rFonts w:ascii="Cambria" w:eastAsia="Calibri" w:hAnsi="Cambria"/>
          <w:sz w:val="20"/>
          <w:szCs w:val="20"/>
          <w:bdr w:val="none" w:sz="0" w:space="0" w:color="auto"/>
        </w:rPr>
        <w:t>e</w:t>
      </w:r>
      <w:r w:rsidR="003F634D">
        <w:rPr>
          <w:rFonts w:ascii="Cambria" w:eastAsia="Calibri" w:hAnsi="Cambria"/>
          <w:sz w:val="20"/>
          <w:szCs w:val="20"/>
          <w:bdr w:val="none" w:sz="0" w:space="0" w:color="auto"/>
        </w:rPr>
        <w:t>s</w:t>
      </w:r>
      <w:r w:rsidR="00773B3C" w:rsidRPr="00A51861">
        <w:rPr>
          <w:rFonts w:ascii="Cambria" w:eastAsia="Calibri" w:hAnsi="Cambria"/>
          <w:sz w:val="20"/>
          <w:szCs w:val="20"/>
          <w:bdr w:val="none" w:sz="0" w:space="0" w:color="auto"/>
        </w:rPr>
        <w:t xml:space="preserve"> </w:t>
      </w:r>
      <w:r w:rsidR="003F634D">
        <w:rPr>
          <w:rFonts w:ascii="Cambria" w:eastAsia="Calibri" w:hAnsi="Cambria"/>
          <w:sz w:val="20"/>
          <w:szCs w:val="20"/>
          <w:bdr w:val="none" w:sz="0" w:space="0" w:color="auto"/>
        </w:rPr>
        <w:t>guarantees</w:t>
      </w:r>
      <w:r w:rsidR="00773B3C" w:rsidRPr="00A51861">
        <w:rPr>
          <w:rFonts w:ascii="Cambria" w:eastAsia="Calibri" w:hAnsi="Cambria"/>
          <w:sz w:val="20"/>
          <w:szCs w:val="20"/>
          <w:bdr w:val="none" w:sz="0" w:space="0" w:color="auto"/>
        </w:rPr>
        <w:t xml:space="preserve"> </w:t>
      </w:r>
      <w:r w:rsidR="003F634D">
        <w:rPr>
          <w:rFonts w:ascii="Cambria" w:eastAsia="Calibri" w:hAnsi="Cambria"/>
          <w:sz w:val="20"/>
          <w:szCs w:val="20"/>
          <w:bdr w:val="none" w:sz="0" w:space="0" w:color="auto"/>
        </w:rPr>
        <w:t>which procure the</w:t>
      </w:r>
      <w:r w:rsidR="00773B3C" w:rsidRPr="00A51861">
        <w:rPr>
          <w:rFonts w:ascii="Cambria" w:eastAsia="Calibri" w:hAnsi="Cambria"/>
          <w:sz w:val="20"/>
          <w:szCs w:val="20"/>
          <w:bdr w:val="none" w:sz="0" w:space="0" w:color="auto"/>
        </w:rPr>
        <w:t xml:space="preserve"> </w:t>
      </w:r>
      <w:r w:rsidR="00EF4ED2">
        <w:rPr>
          <w:rFonts w:ascii="Cambria" w:eastAsia="Calibri" w:hAnsi="Cambria"/>
          <w:sz w:val="20"/>
          <w:szCs w:val="20"/>
          <w:bdr w:val="none" w:sz="0" w:space="0" w:color="auto"/>
        </w:rPr>
        <w:t>protection</w:t>
      </w:r>
      <w:r w:rsidR="00E92985">
        <w:rPr>
          <w:rFonts w:ascii="Cambria" w:eastAsia="Calibri" w:hAnsi="Cambria"/>
          <w:sz w:val="20"/>
          <w:szCs w:val="20"/>
          <w:bdr w:val="none" w:sz="0" w:space="0" w:color="auto"/>
        </w:rPr>
        <w:t xml:space="preserve"> of </w:t>
      </w:r>
      <w:r w:rsidR="00EC7A58">
        <w:rPr>
          <w:rFonts w:ascii="Cambria" w:eastAsia="Calibri" w:hAnsi="Cambria"/>
          <w:sz w:val="20"/>
          <w:szCs w:val="20"/>
          <w:bdr w:val="none" w:sz="0" w:space="0" w:color="auto"/>
        </w:rPr>
        <w:t>persons</w:t>
      </w:r>
      <w:r w:rsidR="00E92985">
        <w:rPr>
          <w:rFonts w:ascii="Cambria" w:eastAsia="Calibri" w:hAnsi="Cambria"/>
          <w:sz w:val="20"/>
          <w:szCs w:val="20"/>
          <w:bdr w:val="none" w:sz="0" w:space="0" w:color="auto"/>
        </w:rPr>
        <w:t xml:space="preserve"> of </w:t>
      </w:r>
      <w:r w:rsidR="003F634D">
        <w:rPr>
          <w:rFonts w:ascii="Cambria" w:eastAsia="Calibri" w:hAnsi="Cambria"/>
          <w:sz w:val="20"/>
          <w:szCs w:val="20"/>
          <w:bdr w:val="none" w:sz="0" w:space="0" w:color="auto"/>
        </w:rPr>
        <w:t>from</w:t>
      </w:r>
      <w:r w:rsidR="00E92985">
        <w:rPr>
          <w:rFonts w:ascii="Cambria" w:eastAsia="Calibri" w:hAnsi="Cambria"/>
          <w:sz w:val="20"/>
          <w:szCs w:val="20"/>
          <w:bdr w:val="none" w:sz="0" w:space="0" w:color="auto"/>
        </w:rPr>
        <w:t xml:space="preserve"> </w:t>
      </w:r>
      <w:r w:rsidR="003F634D" w:rsidRPr="00A51861">
        <w:rPr>
          <w:rFonts w:ascii="Cambria" w:eastAsia="Calibri" w:hAnsi="Cambria"/>
          <w:sz w:val="20"/>
          <w:szCs w:val="20"/>
          <w:bdr w:val="none" w:sz="0" w:space="0" w:color="auto"/>
        </w:rPr>
        <w:t>illegal</w:t>
      </w:r>
      <w:r w:rsidR="00E92985">
        <w:rPr>
          <w:rFonts w:ascii="Cambria" w:eastAsia="Calibri" w:hAnsi="Cambria"/>
          <w:sz w:val="20"/>
          <w:szCs w:val="20"/>
          <w:bdr w:val="none" w:sz="0" w:space="0" w:color="auto"/>
        </w:rPr>
        <w:t xml:space="preserve"> or </w:t>
      </w:r>
      <w:r w:rsidR="003F634D" w:rsidRPr="00A51861">
        <w:rPr>
          <w:rFonts w:ascii="Cambria" w:eastAsia="Calibri" w:hAnsi="Cambria"/>
          <w:sz w:val="20"/>
          <w:szCs w:val="20"/>
          <w:bdr w:val="none" w:sz="0" w:space="0" w:color="auto"/>
        </w:rPr>
        <w:t>arbitrary</w:t>
      </w:r>
      <w:r w:rsidR="00E92985">
        <w:rPr>
          <w:rFonts w:ascii="Cambria" w:eastAsia="Calibri" w:hAnsi="Cambria"/>
          <w:sz w:val="20"/>
          <w:szCs w:val="20"/>
          <w:bdr w:val="none" w:sz="0" w:space="0" w:color="auto"/>
        </w:rPr>
        <w:t xml:space="preserve"> </w:t>
      </w:r>
      <w:r w:rsidR="003F634D" w:rsidRPr="00A51861">
        <w:rPr>
          <w:rFonts w:ascii="Cambria" w:eastAsia="Calibri" w:hAnsi="Cambria"/>
          <w:sz w:val="20"/>
          <w:szCs w:val="20"/>
          <w:bdr w:val="none" w:sz="0" w:space="0" w:color="auto"/>
        </w:rPr>
        <w:t xml:space="preserve">interference </w:t>
      </w:r>
      <w:r w:rsidR="00E92985">
        <w:rPr>
          <w:rFonts w:ascii="Cambria" w:eastAsia="Calibri" w:hAnsi="Cambria"/>
          <w:sz w:val="20"/>
          <w:szCs w:val="20"/>
          <w:bdr w:val="none" w:sz="0" w:space="0" w:color="auto"/>
        </w:rPr>
        <w:t xml:space="preserve">of </w:t>
      </w:r>
      <w:r w:rsidR="003F634D">
        <w:rPr>
          <w:rFonts w:ascii="Cambria" w:eastAsia="Calibri" w:hAnsi="Cambria"/>
          <w:sz w:val="20"/>
          <w:szCs w:val="20"/>
          <w:bdr w:val="none" w:sz="0" w:space="0" w:color="auto"/>
        </w:rPr>
        <w:t>their liberty by</w:t>
      </w:r>
      <w:r w:rsidR="00F92BA8">
        <w:rPr>
          <w:rFonts w:ascii="Cambria" w:eastAsia="Calibri" w:hAnsi="Cambria"/>
          <w:sz w:val="20"/>
          <w:szCs w:val="20"/>
          <w:bdr w:val="none" w:sz="0" w:space="0" w:color="auto"/>
        </w:rPr>
        <w:t xml:space="preserve"> the State</w:t>
      </w:r>
      <w:r w:rsidR="001D1D61">
        <w:rPr>
          <w:rFonts w:ascii="Cambria" w:eastAsia="Calibri" w:hAnsi="Cambria"/>
          <w:sz w:val="20"/>
          <w:szCs w:val="20"/>
          <w:bdr w:val="none" w:sz="0" w:space="0" w:color="auto"/>
        </w:rPr>
        <w:t>. Th</w:t>
      </w:r>
      <w:r w:rsidR="00A51861" w:rsidRPr="00A51861">
        <w:rPr>
          <w:rFonts w:ascii="Cambria" w:eastAsia="Calibri" w:hAnsi="Cambria"/>
          <w:sz w:val="20"/>
          <w:szCs w:val="20"/>
          <w:bdr w:val="none" w:sz="0" w:space="0" w:color="auto"/>
        </w:rPr>
        <w:t>e IACHR</w:t>
      </w:r>
      <w:r w:rsidR="00773B3C" w:rsidRPr="00A51861">
        <w:rPr>
          <w:rFonts w:ascii="Cambria" w:eastAsia="Calibri" w:hAnsi="Cambria"/>
          <w:sz w:val="20"/>
          <w:szCs w:val="20"/>
          <w:bdr w:val="none" w:sz="0" w:space="0" w:color="auto"/>
        </w:rPr>
        <w:t xml:space="preserve"> ha</w:t>
      </w:r>
      <w:r w:rsidR="00B6596B">
        <w:rPr>
          <w:rFonts w:ascii="Cambria" w:eastAsia="Calibri" w:hAnsi="Cambria"/>
          <w:sz w:val="20"/>
          <w:szCs w:val="20"/>
          <w:bdr w:val="none" w:sz="0" w:space="0" w:color="auto"/>
        </w:rPr>
        <w:t>s</w:t>
      </w:r>
      <w:r w:rsidR="00773B3C" w:rsidRPr="00A51861">
        <w:rPr>
          <w:rFonts w:ascii="Cambria" w:eastAsia="Calibri" w:hAnsi="Cambria"/>
          <w:sz w:val="20"/>
          <w:szCs w:val="20"/>
          <w:bdr w:val="none" w:sz="0" w:space="0" w:color="auto"/>
        </w:rPr>
        <w:t xml:space="preserve"> establ</w:t>
      </w:r>
      <w:r w:rsidR="00B6596B">
        <w:rPr>
          <w:rFonts w:ascii="Cambria" w:eastAsia="Calibri" w:hAnsi="Cambria"/>
          <w:sz w:val="20"/>
          <w:szCs w:val="20"/>
          <w:bdr w:val="none" w:sz="0" w:space="0" w:color="auto"/>
        </w:rPr>
        <w:t>ished on this point</w:t>
      </w:r>
      <w:r w:rsidR="00773B3C" w:rsidRPr="00A51861">
        <w:rPr>
          <w:rFonts w:ascii="Cambria" w:eastAsia="Calibri" w:hAnsi="Cambria"/>
          <w:sz w:val="20"/>
          <w:szCs w:val="20"/>
          <w:bdr w:val="none" w:sz="0" w:space="0" w:color="auto"/>
        </w:rPr>
        <w:t xml:space="preserve"> </w:t>
      </w:r>
      <w:r w:rsidR="00B6596B">
        <w:rPr>
          <w:rFonts w:ascii="Cambria" w:eastAsia="Calibri" w:hAnsi="Cambria"/>
          <w:sz w:val="20"/>
          <w:szCs w:val="20"/>
          <w:bdr w:val="none" w:sz="0" w:space="0" w:color="auto"/>
        </w:rPr>
        <w:t>that</w:t>
      </w:r>
      <w:r w:rsidR="00773B3C" w:rsidRPr="00A51861">
        <w:rPr>
          <w:rFonts w:ascii="Cambria" w:eastAsia="Calibri" w:hAnsi="Cambria"/>
          <w:sz w:val="20"/>
          <w:szCs w:val="20"/>
          <w:bdr w:val="none" w:sz="0" w:space="0" w:color="auto"/>
        </w:rPr>
        <w:t xml:space="preserve"> “</w:t>
      </w:r>
      <w:r w:rsidR="00DD5B0D">
        <w:rPr>
          <w:rFonts w:ascii="Cambria" w:eastAsia="Calibri" w:hAnsi="Cambria"/>
          <w:sz w:val="20"/>
          <w:szCs w:val="20"/>
          <w:bdr w:val="none" w:sz="0" w:space="0" w:color="auto"/>
        </w:rPr>
        <w:t>among the</w:t>
      </w:r>
      <w:r w:rsidR="00773B3C" w:rsidRPr="00A51861">
        <w:rPr>
          <w:rFonts w:ascii="Cambria" w:eastAsia="Calibri" w:hAnsi="Cambria"/>
          <w:sz w:val="20"/>
          <w:szCs w:val="20"/>
          <w:bdr w:val="none" w:sz="0" w:space="0" w:color="auto"/>
        </w:rPr>
        <w:t xml:space="preserve"> protec</w:t>
      </w:r>
      <w:r w:rsidR="00DD5B0D">
        <w:rPr>
          <w:rFonts w:ascii="Cambria" w:eastAsia="Calibri" w:hAnsi="Cambria"/>
          <w:sz w:val="20"/>
          <w:szCs w:val="20"/>
          <w:bdr w:val="none" w:sz="0" w:space="0" w:color="auto"/>
        </w:rPr>
        <w:t>t</w:t>
      </w:r>
      <w:r w:rsidR="00773B3C" w:rsidRPr="00A51861">
        <w:rPr>
          <w:rFonts w:ascii="Cambria" w:eastAsia="Calibri" w:hAnsi="Cambria"/>
          <w:sz w:val="20"/>
          <w:szCs w:val="20"/>
          <w:bdr w:val="none" w:sz="0" w:space="0" w:color="auto"/>
        </w:rPr>
        <w:t xml:space="preserve">ions </w:t>
      </w:r>
      <w:r w:rsidR="00DD5B0D">
        <w:rPr>
          <w:rFonts w:ascii="Cambria" w:eastAsia="Calibri" w:hAnsi="Cambria"/>
          <w:sz w:val="20"/>
          <w:szCs w:val="20"/>
          <w:bdr w:val="none" w:sz="0" w:space="0" w:color="auto"/>
        </w:rPr>
        <w:t>ensured are the</w:t>
      </w:r>
      <w:r w:rsidR="00773B3C" w:rsidRPr="00A51861">
        <w:rPr>
          <w:rFonts w:ascii="Cambria" w:eastAsia="Calibri" w:hAnsi="Cambria"/>
          <w:sz w:val="20"/>
          <w:szCs w:val="20"/>
          <w:bdr w:val="none" w:sz="0" w:space="0" w:color="auto"/>
        </w:rPr>
        <w:t xml:space="preserve"> </w:t>
      </w:r>
      <w:r w:rsidR="00EC7A58">
        <w:rPr>
          <w:rFonts w:ascii="Cambria" w:eastAsia="Calibri" w:hAnsi="Cambria"/>
          <w:sz w:val="20"/>
          <w:szCs w:val="20"/>
          <w:bdr w:val="none" w:sz="0" w:space="0" w:color="auto"/>
        </w:rPr>
        <w:t>requirement</w:t>
      </w:r>
      <w:r w:rsidR="00773B3C" w:rsidRPr="00A51861">
        <w:rPr>
          <w:rFonts w:ascii="Cambria" w:eastAsia="Calibri" w:hAnsi="Cambria"/>
          <w:sz w:val="20"/>
          <w:szCs w:val="20"/>
          <w:bdr w:val="none" w:sz="0" w:space="0" w:color="auto"/>
        </w:rPr>
        <w:t>s</w:t>
      </w:r>
      <w:r w:rsidR="00E92985">
        <w:rPr>
          <w:rFonts w:ascii="Cambria" w:eastAsia="Calibri" w:hAnsi="Cambria"/>
          <w:sz w:val="20"/>
          <w:szCs w:val="20"/>
          <w:bdr w:val="none" w:sz="0" w:space="0" w:color="auto"/>
        </w:rPr>
        <w:t xml:space="preserve"> </w:t>
      </w:r>
      <w:r w:rsidR="00DD5B0D">
        <w:rPr>
          <w:rFonts w:ascii="Cambria" w:eastAsia="Calibri" w:hAnsi="Cambria"/>
          <w:sz w:val="20"/>
          <w:szCs w:val="20"/>
          <w:bdr w:val="none" w:sz="0" w:space="0" w:color="auto"/>
        </w:rPr>
        <w:t>that every deprivation of liberty</w:t>
      </w:r>
      <w:r w:rsidR="00773B3C" w:rsidRPr="00A51861">
        <w:rPr>
          <w:rFonts w:ascii="Cambria" w:eastAsia="Calibri" w:hAnsi="Cambria"/>
          <w:sz w:val="20"/>
          <w:szCs w:val="20"/>
          <w:bdr w:val="none" w:sz="0" w:space="0" w:color="auto"/>
        </w:rPr>
        <w:t xml:space="preserve"> </w:t>
      </w:r>
      <w:r w:rsidR="00DD5B0D">
        <w:rPr>
          <w:rFonts w:ascii="Cambria" w:eastAsia="Calibri" w:hAnsi="Cambria"/>
          <w:sz w:val="20"/>
          <w:szCs w:val="20"/>
          <w:bdr w:val="none" w:sz="0" w:space="0" w:color="auto"/>
        </w:rPr>
        <w:t>be made pursuant to a</w:t>
      </w:r>
      <w:r w:rsidR="00773B3C" w:rsidRPr="00A51861">
        <w:rPr>
          <w:rFonts w:ascii="Cambria" w:eastAsia="Calibri" w:hAnsi="Cambria"/>
          <w:sz w:val="20"/>
          <w:szCs w:val="20"/>
          <w:bdr w:val="none" w:sz="0" w:space="0" w:color="auto"/>
        </w:rPr>
        <w:t xml:space="preserve"> preexistent</w:t>
      </w:r>
      <w:r w:rsidR="00DD5B0D" w:rsidRPr="00DD5B0D">
        <w:rPr>
          <w:rFonts w:ascii="Cambria" w:eastAsia="Calibri" w:hAnsi="Cambria"/>
          <w:sz w:val="20"/>
          <w:szCs w:val="20"/>
          <w:bdr w:val="none" w:sz="0" w:space="0" w:color="auto"/>
        </w:rPr>
        <w:t xml:space="preserve"> </w:t>
      </w:r>
      <w:r w:rsidR="00DD5B0D">
        <w:rPr>
          <w:rFonts w:ascii="Cambria" w:eastAsia="Calibri" w:hAnsi="Cambria"/>
          <w:sz w:val="20"/>
          <w:szCs w:val="20"/>
          <w:bdr w:val="none" w:sz="0" w:space="0" w:color="auto"/>
        </w:rPr>
        <w:t>law</w:t>
      </w:r>
      <w:r w:rsidR="00773B3C" w:rsidRPr="00A51861">
        <w:rPr>
          <w:rFonts w:ascii="Cambria" w:eastAsia="Calibri" w:hAnsi="Cambria"/>
          <w:sz w:val="20"/>
          <w:szCs w:val="20"/>
          <w:bdr w:val="none" w:sz="0" w:space="0" w:color="auto"/>
        </w:rPr>
        <w:t xml:space="preserve">, </w:t>
      </w:r>
      <w:r w:rsidR="00DD5B0D">
        <w:rPr>
          <w:rFonts w:ascii="Cambria" w:eastAsia="Calibri" w:hAnsi="Cambria"/>
          <w:sz w:val="20"/>
          <w:szCs w:val="20"/>
          <w:bdr w:val="none" w:sz="0" w:space="0" w:color="auto"/>
        </w:rPr>
        <w:t>to inform the</w:t>
      </w:r>
      <w:r w:rsidR="00773B3C" w:rsidRPr="00A51861">
        <w:rPr>
          <w:rFonts w:ascii="Cambria" w:eastAsia="Calibri" w:hAnsi="Cambria"/>
          <w:sz w:val="20"/>
          <w:szCs w:val="20"/>
          <w:bdr w:val="none" w:sz="0" w:space="0" w:color="auto"/>
        </w:rPr>
        <w:t xml:space="preserve"> </w:t>
      </w:r>
      <w:r w:rsidR="00CB67C7">
        <w:rPr>
          <w:rFonts w:ascii="Cambria" w:eastAsia="Calibri" w:hAnsi="Cambria"/>
          <w:sz w:val="20"/>
          <w:szCs w:val="20"/>
          <w:bdr w:val="none" w:sz="0" w:space="0" w:color="auto"/>
        </w:rPr>
        <w:t>detained</w:t>
      </w:r>
      <w:r w:rsidR="00E92985">
        <w:rPr>
          <w:rFonts w:ascii="Cambria" w:eastAsia="Calibri" w:hAnsi="Cambria"/>
          <w:sz w:val="20"/>
          <w:szCs w:val="20"/>
          <w:bdr w:val="none" w:sz="0" w:space="0" w:color="auto"/>
        </w:rPr>
        <w:t xml:space="preserve"> of </w:t>
      </w:r>
      <w:r w:rsidR="00DD5B0D">
        <w:rPr>
          <w:rFonts w:ascii="Cambria" w:eastAsia="Calibri" w:hAnsi="Cambria"/>
          <w:sz w:val="20"/>
          <w:szCs w:val="20"/>
          <w:bdr w:val="none" w:sz="0" w:space="0" w:color="auto"/>
        </w:rPr>
        <w:t>the reasons of his or her</w:t>
      </w:r>
      <w:r w:rsidR="00773B3C" w:rsidRPr="00A51861">
        <w:rPr>
          <w:rFonts w:ascii="Cambria" w:eastAsia="Calibri" w:hAnsi="Cambria"/>
          <w:sz w:val="20"/>
          <w:szCs w:val="20"/>
          <w:bdr w:val="none" w:sz="0" w:space="0" w:color="auto"/>
        </w:rPr>
        <w:t xml:space="preserve"> </w:t>
      </w:r>
      <w:r w:rsidR="006E255A">
        <w:rPr>
          <w:rFonts w:ascii="Cambria" w:eastAsia="Calibri" w:hAnsi="Cambria"/>
          <w:sz w:val="20"/>
          <w:szCs w:val="20"/>
          <w:bdr w:val="none" w:sz="0" w:space="0" w:color="auto"/>
        </w:rPr>
        <w:t>detention</w:t>
      </w:r>
      <w:r w:rsidR="00E92985">
        <w:rPr>
          <w:rFonts w:ascii="Cambria" w:eastAsia="Calibri" w:hAnsi="Cambria"/>
          <w:sz w:val="20"/>
          <w:szCs w:val="20"/>
          <w:bdr w:val="none" w:sz="0" w:space="0" w:color="auto"/>
        </w:rPr>
        <w:t xml:space="preserve"> and </w:t>
      </w:r>
      <w:r w:rsidR="00DD5B0D">
        <w:rPr>
          <w:rFonts w:ascii="Cambria" w:eastAsia="Calibri" w:hAnsi="Cambria"/>
          <w:sz w:val="20"/>
          <w:szCs w:val="20"/>
          <w:bdr w:val="none" w:sz="0" w:space="0" w:color="auto"/>
        </w:rPr>
        <w:t>be</w:t>
      </w:r>
      <w:r w:rsidR="00773B3C" w:rsidRPr="00A51861">
        <w:rPr>
          <w:rFonts w:ascii="Cambria" w:eastAsia="Calibri" w:hAnsi="Cambria"/>
          <w:sz w:val="20"/>
          <w:szCs w:val="20"/>
          <w:bdr w:val="none" w:sz="0" w:space="0" w:color="auto"/>
        </w:rPr>
        <w:t xml:space="preserve"> r</w:t>
      </w:r>
      <w:r w:rsidR="00DD5B0D">
        <w:rPr>
          <w:rFonts w:ascii="Cambria" w:eastAsia="Calibri" w:hAnsi="Cambria"/>
          <w:sz w:val="20"/>
          <w:szCs w:val="20"/>
          <w:bdr w:val="none" w:sz="0" w:space="0" w:color="auto"/>
        </w:rPr>
        <w:t>a</w:t>
      </w:r>
      <w:r w:rsidR="00773B3C" w:rsidRPr="00A51861">
        <w:rPr>
          <w:rFonts w:ascii="Cambria" w:eastAsia="Calibri" w:hAnsi="Cambria"/>
          <w:sz w:val="20"/>
          <w:szCs w:val="20"/>
          <w:bdr w:val="none" w:sz="0" w:space="0" w:color="auto"/>
        </w:rPr>
        <w:t>pid</w:t>
      </w:r>
      <w:r>
        <w:rPr>
          <w:rFonts w:ascii="Cambria" w:eastAsia="Calibri" w:hAnsi="Cambria"/>
          <w:sz w:val="20"/>
          <w:szCs w:val="20"/>
          <w:bdr w:val="none" w:sz="0" w:space="0" w:color="auto"/>
        </w:rPr>
        <w:t xml:space="preserve">ly </w:t>
      </w:r>
      <w:r w:rsidR="00773B3C" w:rsidRPr="00A51861">
        <w:rPr>
          <w:rFonts w:ascii="Cambria" w:eastAsia="Calibri" w:hAnsi="Cambria"/>
          <w:sz w:val="20"/>
          <w:szCs w:val="20"/>
          <w:bdr w:val="none" w:sz="0" w:space="0" w:color="auto"/>
        </w:rPr>
        <w:t>notifi</w:t>
      </w:r>
      <w:r w:rsidR="00DD5B0D">
        <w:rPr>
          <w:rFonts w:ascii="Cambria" w:eastAsia="Calibri" w:hAnsi="Cambria"/>
          <w:sz w:val="20"/>
          <w:szCs w:val="20"/>
          <w:bdr w:val="none" w:sz="0" w:space="0" w:color="auto"/>
        </w:rPr>
        <w:t>ed</w:t>
      </w:r>
      <w:r w:rsidR="00E92985">
        <w:rPr>
          <w:rFonts w:ascii="Cambria" w:eastAsia="Calibri" w:hAnsi="Cambria"/>
          <w:sz w:val="20"/>
          <w:szCs w:val="20"/>
          <w:bdr w:val="none" w:sz="0" w:space="0" w:color="auto"/>
        </w:rPr>
        <w:t xml:space="preserve"> of </w:t>
      </w:r>
      <w:r w:rsidR="00DD5B0D">
        <w:rPr>
          <w:rFonts w:ascii="Cambria" w:eastAsia="Calibri" w:hAnsi="Cambria"/>
          <w:sz w:val="20"/>
          <w:szCs w:val="20"/>
          <w:bdr w:val="none" w:sz="0" w:space="0" w:color="auto"/>
        </w:rPr>
        <w:t>the</w:t>
      </w:r>
      <w:r w:rsidR="00773B3C" w:rsidRPr="00A51861">
        <w:rPr>
          <w:rFonts w:ascii="Cambria" w:eastAsia="Calibri" w:hAnsi="Cambria"/>
          <w:sz w:val="20"/>
          <w:szCs w:val="20"/>
          <w:bdr w:val="none" w:sz="0" w:space="0" w:color="auto"/>
        </w:rPr>
        <w:t xml:space="preserve"> c</w:t>
      </w:r>
      <w:r w:rsidR="00DD5B0D">
        <w:rPr>
          <w:rFonts w:ascii="Cambria" w:eastAsia="Calibri" w:hAnsi="Cambria"/>
          <w:sz w:val="20"/>
          <w:szCs w:val="20"/>
          <w:bdr w:val="none" w:sz="0" w:space="0" w:color="auto"/>
        </w:rPr>
        <w:t>h</w:t>
      </w:r>
      <w:r w:rsidR="00773B3C" w:rsidRPr="00A51861">
        <w:rPr>
          <w:rFonts w:ascii="Cambria" w:eastAsia="Calibri" w:hAnsi="Cambria"/>
          <w:sz w:val="20"/>
          <w:szCs w:val="20"/>
          <w:bdr w:val="none" w:sz="0" w:space="0" w:color="auto"/>
        </w:rPr>
        <w:t>arg</w:t>
      </w:r>
      <w:r w:rsidR="00DD5B0D">
        <w:rPr>
          <w:rFonts w:ascii="Cambria" w:eastAsia="Calibri" w:hAnsi="Cambria"/>
          <w:sz w:val="20"/>
          <w:szCs w:val="20"/>
          <w:bdr w:val="none" w:sz="0" w:space="0" w:color="auto"/>
        </w:rPr>
        <w:t>e</w:t>
      </w:r>
      <w:r w:rsidR="00773B3C" w:rsidRPr="00A51861">
        <w:rPr>
          <w:rFonts w:ascii="Cambria" w:eastAsia="Calibri" w:hAnsi="Cambria"/>
          <w:sz w:val="20"/>
          <w:szCs w:val="20"/>
          <w:bdr w:val="none" w:sz="0" w:space="0" w:color="auto"/>
        </w:rPr>
        <w:t xml:space="preserve">s </w:t>
      </w:r>
      <w:r w:rsidR="00DD5B0D">
        <w:rPr>
          <w:rFonts w:ascii="Cambria" w:eastAsia="Calibri" w:hAnsi="Cambria"/>
          <w:sz w:val="20"/>
          <w:szCs w:val="20"/>
          <w:bdr w:val="none" w:sz="0" w:space="0" w:color="auto"/>
        </w:rPr>
        <w:t>attributed</w:t>
      </w:r>
      <w:r w:rsidR="00773B3C" w:rsidRPr="00A51861">
        <w:rPr>
          <w:rFonts w:ascii="Cambria" w:eastAsia="Calibri" w:hAnsi="Cambria"/>
          <w:sz w:val="20"/>
          <w:szCs w:val="20"/>
          <w:bdr w:val="none" w:sz="0" w:space="0" w:color="auto"/>
        </w:rPr>
        <w:t xml:space="preserve">, </w:t>
      </w:r>
      <w:r w:rsidR="00DD5B0D">
        <w:rPr>
          <w:rFonts w:ascii="Cambria" w:eastAsia="Calibri" w:hAnsi="Cambria"/>
          <w:sz w:val="20"/>
          <w:szCs w:val="20"/>
          <w:bdr w:val="none" w:sz="0" w:space="0" w:color="auto"/>
        </w:rPr>
        <w:t>that every</w:t>
      </w:r>
      <w:r w:rsidR="00773B3C" w:rsidRPr="00A51861">
        <w:rPr>
          <w:rFonts w:ascii="Cambria" w:eastAsia="Calibri" w:hAnsi="Cambria"/>
          <w:sz w:val="20"/>
          <w:szCs w:val="20"/>
          <w:bdr w:val="none" w:sz="0" w:space="0" w:color="auto"/>
        </w:rPr>
        <w:t xml:space="preserve"> </w:t>
      </w:r>
      <w:r w:rsidR="00EC7A58">
        <w:rPr>
          <w:rFonts w:ascii="Cambria" w:eastAsia="Calibri" w:hAnsi="Cambria"/>
          <w:sz w:val="20"/>
          <w:szCs w:val="20"/>
          <w:bdr w:val="none" w:sz="0" w:space="0" w:color="auto"/>
        </w:rPr>
        <w:t xml:space="preserve">person </w:t>
      </w:r>
      <w:r w:rsidR="000D29E1">
        <w:rPr>
          <w:rFonts w:ascii="Cambria" w:eastAsia="Calibri" w:hAnsi="Cambria"/>
          <w:sz w:val="20"/>
          <w:szCs w:val="20"/>
          <w:bdr w:val="none" w:sz="0" w:space="0" w:color="auto"/>
        </w:rPr>
        <w:t>deprived of liberty have the right</w:t>
      </w:r>
      <w:r w:rsidR="00773B3C" w:rsidRPr="00A51861">
        <w:rPr>
          <w:rFonts w:ascii="Cambria" w:eastAsia="Calibri" w:hAnsi="Cambria"/>
          <w:sz w:val="20"/>
          <w:szCs w:val="20"/>
          <w:bdr w:val="none" w:sz="0" w:space="0" w:color="auto"/>
        </w:rPr>
        <w:t xml:space="preserve"> </w:t>
      </w:r>
      <w:r w:rsidR="000D29E1">
        <w:rPr>
          <w:rFonts w:ascii="Cambria" w:eastAsia="Calibri" w:hAnsi="Cambria"/>
          <w:sz w:val="20"/>
          <w:szCs w:val="20"/>
          <w:bdr w:val="none" w:sz="0" w:space="0" w:color="auto"/>
        </w:rPr>
        <w:t>to a</w:t>
      </w:r>
      <w:r w:rsidR="00773B3C" w:rsidRPr="00A51861">
        <w:rPr>
          <w:rFonts w:ascii="Cambria" w:eastAsia="Calibri" w:hAnsi="Cambria"/>
          <w:sz w:val="20"/>
          <w:szCs w:val="20"/>
          <w:bdr w:val="none" w:sz="0" w:space="0" w:color="auto"/>
        </w:rPr>
        <w:t xml:space="preserve"> jur</w:t>
      </w:r>
      <w:r w:rsidR="000D29E1">
        <w:rPr>
          <w:rFonts w:ascii="Cambria" w:eastAsia="Calibri" w:hAnsi="Cambria"/>
          <w:sz w:val="20"/>
          <w:szCs w:val="20"/>
          <w:bdr w:val="none" w:sz="0" w:space="0" w:color="auto"/>
        </w:rPr>
        <w:t>idical</w:t>
      </w:r>
      <w:r w:rsidR="000D29E1" w:rsidRPr="000D29E1">
        <w:rPr>
          <w:rFonts w:ascii="Cambria" w:eastAsia="Calibri" w:hAnsi="Cambria"/>
          <w:sz w:val="20"/>
          <w:szCs w:val="20"/>
          <w:bdr w:val="none" w:sz="0" w:space="0" w:color="auto"/>
        </w:rPr>
        <w:t xml:space="preserve"> </w:t>
      </w:r>
      <w:r w:rsidR="000D29E1" w:rsidRPr="00A51861">
        <w:rPr>
          <w:rFonts w:ascii="Cambria" w:eastAsia="Calibri" w:hAnsi="Cambria"/>
          <w:sz w:val="20"/>
          <w:szCs w:val="20"/>
          <w:bdr w:val="none" w:sz="0" w:space="0" w:color="auto"/>
        </w:rPr>
        <w:t>re</w:t>
      </w:r>
      <w:r w:rsidR="000D29E1">
        <w:rPr>
          <w:rFonts w:ascii="Cambria" w:eastAsia="Calibri" w:hAnsi="Cambria"/>
          <w:sz w:val="20"/>
          <w:szCs w:val="20"/>
          <w:bdr w:val="none" w:sz="0" w:space="0" w:color="auto"/>
        </w:rPr>
        <w:t>medy</w:t>
      </w:r>
      <w:r w:rsidR="00773B3C" w:rsidRPr="00A51861">
        <w:rPr>
          <w:rFonts w:ascii="Cambria" w:eastAsia="Calibri" w:hAnsi="Cambria"/>
          <w:sz w:val="20"/>
          <w:szCs w:val="20"/>
          <w:bdr w:val="none" w:sz="0" w:space="0" w:color="auto"/>
        </w:rPr>
        <w:t xml:space="preserve">, </w:t>
      </w:r>
      <w:r w:rsidR="000D29E1">
        <w:rPr>
          <w:rFonts w:ascii="Cambria" w:eastAsia="Calibri" w:hAnsi="Cambria"/>
          <w:sz w:val="20"/>
          <w:szCs w:val="20"/>
          <w:bdr w:val="none" w:sz="0" w:space="0" w:color="auto"/>
        </w:rPr>
        <w:t>to promptly obtain</w:t>
      </w:r>
      <w:r w:rsidR="00773B3C" w:rsidRPr="00A51861">
        <w:rPr>
          <w:rFonts w:ascii="Cambria" w:eastAsia="Calibri" w:hAnsi="Cambria"/>
          <w:sz w:val="20"/>
          <w:szCs w:val="20"/>
          <w:bdr w:val="none" w:sz="0" w:space="0" w:color="auto"/>
        </w:rPr>
        <w:t xml:space="preserve"> </w:t>
      </w:r>
      <w:r w:rsidR="000D29E1">
        <w:rPr>
          <w:rFonts w:ascii="Cambria" w:eastAsia="Calibri" w:hAnsi="Cambria"/>
          <w:sz w:val="20"/>
          <w:szCs w:val="20"/>
          <w:bdr w:val="none" w:sz="0" w:space="0" w:color="auto"/>
        </w:rPr>
        <w:t xml:space="preserve">a </w:t>
      </w:r>
      <w:r w:rsidR="000D29E1" w:rsidRPr="00A51861">
        <w:rPr>
          <w:rFonts w:ascii="Cambria" w:eastAsia="Calibri" w:hAnsi="Cambria"/>
          <w:sz w:val="20"/>
          <w:szCs w:val="20"/>
          <w:bdr w:val="none" w:sz="0" w:space="0" w:color="auto"/>
        </w:rPr>
        <w:t>determination</w:t>
      </w:r>
      <w:r w:rsidR="00E92985">
        <w:rPr>
          <w:rFonts w:ascii="Cambria" w:eastAsia="Calibri" w:hAnsi="Cambria"/>
          <w:sz w:val="20"/>
          <w:szCs w:val="20"/>
          <w:bdr w:val="none" w:sz="0" w:space="0" w:color="auto"/>
        </w:rPr>
        <w:t xml:space="preserve"> of the </w:t>
      </w:r>
      <w:r w:rsidR="00773B3C" w:rsidRPr="00A51861">
        <w:rPr>
          <w:rFonts w:ascii="Cambria" w:eastAsia="Calibri" w:hAnsi="Cambria"/>
          <w:sz w:val="20"/>
          <w:szCs w:val="20"/>
          <w:bdr w:val="none" w:sz="0" w:space="0" w:color="auto"/>
        </w:rPr>
        <w:t>legali</w:t>
      </w:r>
      <w:r w:rsidR="000D29E1">
        <w:rPr>
          <w:rFonts w:ascii="Cambria" w:eastAsia="Calibri" w:hAnsi="Cambria"/>
          <w:sz w:val="20"/>
          <w:szCs w:val="20"/>
          <w:bdr w:val="none" w:sz="0" w:space="0" w:color="auto"/>
        </w:rPr>
        <w:t>ty</w:t>
      </w:r>
      <w:r w:rsidR="00E92985">
        <w:rPr>
          <w:rFonts w:ascii="Cambria" w:eastAsia="Calibri" w:hAnsi="Cambria"/>
          <w:sz w:val="20"/>
          <w:szCs w:val="20"/>
          <w:bdr w:val="none" w:sz="0" w:space="0" w:color="auto"/>
        </w:rPr>
        <w:t xml:space="preserve"> of </w:t>
      </w:r>
      <w:r w:rsidR="000D29E1">
        <w:rPr>
          <w:rFonts w:ascii="Cambria" w:eastAsia="Calibri" w:hAnsi="Cambria"/>
          <w:sz w:val="20"/>
          <w:szCs w:val="20"/>
          <w:bdr w:val="none" w:sz="0" w:space="0" w:color="auto"/>
        </w:rPr>
        <w:t>his</w:t>
      </w:r>
      <w:r w:rsidR="00773B3C" w:rsidRPr="00A51861">
        <w:rPr>
          <w:rFonts w:ascii="Cambria" w:eastAsia="Calibri" w:hAnsi="Cambria"/>
          <w:sz w:val="20"/>
          <w:szCs w:val="20"/>
          <w:bdr w:val="none" w:sz="0" w:space="0" w:color="auto"/>
        </w:rPr>
        <w:t xml:space="preserve"> </w:t>
      </w:r>
      <w:r w:rsidR="004A189A">
        <w:rPr>
          <w:rFonts w:ascii="Cambria" w:eastAsia="Calibri" w:hAnsi="Cambria"/>
          <w:sz w:val="20"/>
          <w:szCs w:val="20"/>
          <w:bdr w:val="none" w:sz="0" w:space="0" w:color="auto"/>
        </w:rPr>
        <w:t xml:space="preserve">or her </w:t>
      </w:r>
      <w:r w:rsidR="006E255A">
        <w:rPr>
          <w:rFonts w:ascii="Cambria" w:eastAsia="Calibri" w:hAnsi="Cambria"/>
          <w:sz w:val="20"/>
          <w:szCs w:val="20"/>
          <w:bdr w:val="none" w:sz="0" w:space="0" w:color="auto"/>
        </w:rPr>
        <w:t>detention</w:t>
      </w:r>
      <w:r w:rsidR="00E92985">
        <w:rPr>
          <w:rFonts w:ascii="Cambria" w:eastAsia="Calibri" w:hAnsi="Cambria"/>
          <w:sz w:val="20"/>
          <w:szCs w:val="20"/>
          <w:bdr w:val="none" w:sz="0" w:space="0" w:color="auto"/>
        </w:rPr>
        <w:t xml:space="preserve"> and that the </w:t>
      </w:r>
      <w:r w:rsidR="00EC7A58">
        <w:rPr>
          <w:rFonts w:ascii="Cambria" w:eastAsia="Calibri" w:hAnsi="Cambria"/>
          <w:sz w:val="20"/>
          <w:szCs w:val="20"/>
          <w:bdr w:val="none" w:sz="0" w:space="0" w:color="auto"/>
        </w:rPr>
        <w:t xml:space="preserve">person </w:t>
      </w:r>
      <w:r w:rsidR="000D29E1">
        <w:rPr>
          <w:rFonts w:ascii="Cambria" w:eastAsia="Calibri" w:hAnsi="Cambria"/>
          <w:sz w:val="20"/>
          <w:szCs w:val="20"/>
          <w:bdr w:val="none" w:sz="0" w:space="0" w:color="auto"/>
        </w:rPr>
        <w:t>be judged in a reasonable time</w:t>
      </w:r>
      <w:r w:rsidR="00E92985">
        <w:rPr>
          <w:rFonts w:ascii="Cambria" w:eastAsia="Calibri" w:hAnsi="Cambria"/>
          <w:sz w:val="20"/>
          <w:szCs w:val="20"/>
          <w:bdr w:val="none" w:sz="0" w:space="0" w:color="auto"/>
        </w:rPr>
        <w:t xml:space="preserve"> or </w:t>
      </w:r>
      <w:r w:rsidR="000D29E1">
        <w:rPr>
          <w:rFonts w:ascii="Cambria" w:eastAsia="Calibri" w:hAnsi="Cambria"/>
          <w:sz w:val="20"/>
          <w:szCs w:val="20"/>
          <w:bdr w:val="none" w:sz="0" w:space="0" w:color="auto"/>
        </w:rPr>
        <w:t>released while proceedings are substantiated</w:t>
      </w:r>
      <w:r w:rsidR="00773B3C" w:rsidRPr="00A51861">
        <w:rPr>
          <w:rFonts w:ascii="Cambria" w:eastAsia="Calibri" w:hAnsi="Cambria"/>
          <w:sz w:val="20"/>
          <w:szCs w:val="20"/>
          <w:bdr w:val="none" w:sz="0" w:space="0" w:color="auto"/>
        </w:rPr>
        <w:t>”</w:t>
      </w:r>
      <w:r w:rsidR="00773B3C" w:rsidRPr="00A51861">
        <w:rPr>
          <w:rFonts w:ascii="Cambria" w:eastAsia="Calibri" w:hAnsi="Cambria"/>
          <w:sz w:val="20"/>
          <w:szCs w:val="20"/>
          <w:bdr w:val="none" w:sz="0" w:space="0" w:color="auto"/>
          <w:vertAlign w:val="superscript"/>
        </w:rPr>
        <w:footnoteReference w:id="147"/>
      </w:r>
      <w:r w:rsidR="00773B3C" w:rsidRPr="00A51861">
        <w:rPr>
          <w:rFonts w:ascii="Cambria" w:eastAsia="Calibri" w:hAnsi="Cambria"/>
          <w:sz w:val="20"/>
          <w:szCs w:val="20"/>
          <w:bdr w:val="none" w:sz="0" w:space="0" w:color="auto"/>
        </w:rPr>
        <w:t>.</w:t>
      </w:r>
    </w:p>
    <w:p w14:paraId="55DC51F2" w14:textId="77777777" w:rsidR="00773B3C" w:rsidRPr="00A51861" w:rsidRDefault="00773B3C" w:rsidP="008E4D3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libri" w:hAnsi="Cambria"/>
          <w:sz w:val="20"/>
          <w:szCs w:val="20"/>
          <w:bdr w:val="none" w:sz="0" w:space="0" w:color="auto"/>
        </w:rPr>
      </w:pPr>
    </w:p>
    <w:p w14:paraId="00409ADE" w14:textId="243A9324" w:rsidR="00773B3C" w:rsidRPr="00A51861" w:rsidRDefault="000D29E1"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eastAsia="Calibri" w:hAnsi="Cambria"/>
          <w:sz w:val="20"/>
          <w:szCs w:val="20"/>
          <w:bdr w:val="none" w:sz="0" w:space="0" w:color="auto"/>
        </w:rPr>
      </w:pPr>
      <w:r>
        <w:rPr>
          <w:rFonts w:ascii="Cambria" w:eastAsia="Calibri" w:hAnsi="Cambria"/>
          <w:sz w:val="20"/>
          <w:szCs w:val="20"/>
          <w:bdr w:val="none" w:sz="0" w:space="0" w:color="auto"/>
        </w:rPr>
        <w:t>According to</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Inter-American</w:t>
      </w:r>
      <w:r w:rsidR="00E92985">
        <w:rPr>
          <w:rFonts w:ascii="Cambria" w:eastAsia="Calibri" w:hAnsi="Cambria"/>
          <w:sz w:val="20"/>
          <w:szCs w:val="20"/>
          <w:bdr w:val="none" w:sz="0" w:space="0" w:color="auto"/>
        </w:rPr>
        <w:t xml:space="preserve"> </w:t>
      </w:r>
      <w:r w:rsidRPr="00A51861">
        <w:rPr>
          <w:rFonts w:ascii="Cambria" w:eastAsia="Calibri" w:hAnsi="Cambria"/>
          <w:sz w:val="20"/>
          <w:szCs w:val="20"/>
          <w:bdr w:val="none" w:sz="0" w:space="0" w:color="auto"/>
        </w:rPr>
        <w:t xml:space="preserve">norms </w:t>
      </w:r>
      <w:r w:rsidR="00664D70">
        <w:rPr>
          <w:rFonts w:ascii="Cambria" w:eastAsia="Calibri" w:hAnsi="Cambria"/>
          <w:sz w:val="20"/>
          <w:szCs w:val="20"/>
          <w:bdr w:val="none" w:sz="0" w:space="0" w:color="auto"/>
        </w:rPr>
        <w:t>on Human Rights</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no one shall be subjected to</w:t>
      </w:r>
      <w:r w:rsidR="00773B3C" w:rsidRPr="00A51861">
        <w:rPr>
          <w:rFonts w:ascii="Cambria" w:eastAsia="Calibri" w:hAnsi="Cambria"/>
          <w:sz w:val="20"/>
          <w:szCs w:val="20"/>
          <w:bdr w:val="none" w:sz="0" w:space="0" w:color="auto"/>
        </w:rPr>
        <w:t xml:space="preserve"> </w:t>
      </w:r>
      <w:r w:rsidR="006E255A">
        <w:rPr>
          <w:rFonts w:ascii="Cambria" w:eastAsia="Calibri" w:hAnsi="Cambria"/>
          <w:sz w:val="20"/>
          <w:szCs w:val="20"/>
          <w:bdr w:val="none" w:sz="0" w:space="0" w:color="auto"/>
        </w:rPr>
        <w:t>detention</w:t>
      </w:r>
      <w:r w:rsidR="00E92985">
        <w:rPr>
          <w:rFonts w:ascii="Cambria" w:eastAsia="Calibri" w:hAnsi="Cambria"/>
          <w:sz w:val="20"/>
          <w:szCs w:val="20"/>
          <w:bdr w:val="none" w:sz="0" w:space="0" w:color="auto"/>
        </w:rPr>
        <w:t xml:space="preserve"> or </w:t>
      </w:r>
      <w:r w:rsidRPr="00A51861">
        <w:rPr>
          <w:rFonts w:ascii="Cambria" w:eastAsia="Calibri" w:hAnsi="Cambria"/>
          <w:sz w:val="20"/>
          <w:szCs w:val="20"/>
          <w:bdr w:val="none" w:sz="0" w:space="0" w:color="auto"/>
        </w:rPr>
        <w:t>prison</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f</w:t>
      </w:r>
      <w:r w:rsidR="00773B3C" w:rsidRPr="00A51861">
        <w:rPr>
          <w:rFonts w:ascii="Cambria" w:eastAsia="Calibri" w:hAnsi="Cambria"/>
          <w:sz w:val="20"/>
          <w:szCs w:val="20"/>
          <w:bdr w:val="none" w:sz="0" w:space="0" w:color="auto"/>
        </w:rPr>
        <w:t xml:space="preserve">or </w:t>
      </w:r>
      <w:r>
        <w:rPr>
          <w:rFonts w:ascii="Cambria" w:eastAsia="Calibri" w:hAnsi="Cambria"/>
          <w:sz w:val="20"/>
          <w:szCs w:val="20"/>
          <w:bdr w:val="none" w:sz="0" w:space="0" w:color="auto"/>
        </w:rPr>
        <w:t>reasons</w:t>
      </w:r>
      <w:r w:rsidR="00E92985">
        <w:rPr>
          <w:rFonts w:ascii="Cambria" w:eastAsia="Calibri" w:hAnsi="Cambria"/>
          <w:sz w:val="20"/>
          <w:szCs w:val="20"/>
          <w:bdr w:val="none" w:sz="0" w:space="0" w:color="auto"/>
        </w:rPr>
        <w:t xml:space="preserve"> or </w:t>
      </w:r>
      <w:r>
        <w:rPr>
          <w:rFonts w:ascii="Cambria" w:eastAsia="Calibri" w:hAnsi="Cambria"/>
          <w:sz w:val="20"/>
          <w:szCs w:val="20"/>
          <w:bdr w:val="none" w:sz="0" w:space="0" w:color="auto"/>
        </w:rPr>
        <w:t>methods that</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although regarded as legal</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may be</w:t>
      </w:r>
      <w:r w:rsidR="00773B3C" w:rsidRPr="00A51861">
        <w:rPr>
          <w:rFonts w:ascii="Cambria" w:eastAsia="Calibri" w:hAnsi="Cambria"/>
          <w:sz w:val="20"/>
          <w:szCs w:val="20"/>
          <w:bdr w:val="none" w:sz="0" w:space="0" w:color="auto"/>
        </w:rPr>
        <w:t xml:space="preserve"> incompatible </w:t>
      </w:r>
      <w:r>
        <w:rPr>
          <w:rFonts w:ascii="Cambria" w:eastAsia="Calibri" w:hAnsi="Cambria"/>
          <w:sz w:val="20"/>
          <w:szCs w:val="20"/>
          <w:bdr w:val="none" w:sz="0" w:space="0" w:color="auto"/>
        </w:rPr>
        <w:t>with the</w:t>
      </w:r>
      <w:r w:rsidR="00773B3C" w:rsidRPr="00A51861">
        <w:rPr>
          <w:rFonts w:ascii="Cambria" w:eastAsia="Calibri" w:hAnsi="Cambria"/>
          <w:sz w:val="20"/>
          <w:szCs w:val="20"/>
          <w:bdr w:val="none" w:sz="0" w:space="0" w:color="auto"/>
        </w:rPr>
        <w:t xml:space="preserve"> fundamental</w:t>
      </w:r>
      <w:r>
        <w:rPr>
          <w:rFonts w:ascii="Cambria" w:eastAsia="Calibri" w:hAnsi="Cambria"/>
          <w:sz w:val="20"/>
          <w:szCs w:val="20"/>
          <w:bdr w:val="none" w:sz="0" w:space="0" w:color="auto"/>
        </w:rPr>
        <w:t xml:space="preserve"> </w:t>
      </w:r>
      <w:r w:rsidR="004C5A00">
        <w:rPr>
          <w:rFonts w:ascii="Cambria" w:eastAsia="Calibri" w:hAnsi="Cambria"/>
          <w:sz w:val="20"/>
          <w:szCs w:val="20"/>
          <w:bdr w:val="none" w:sz="0" w:space="0" w:color="auto"/>
        </w:rPr>
        <w:t>Rights</w:t>
      </w:r>
      <w:r w:rsidR="004969F4">
        <w:rPr>
          <w:rFonts w:ascii="Cambria" w:eastAsia="Calibri" w:hAnsi="Cambria"/>
          <w:sz w:val="20"/>
          <w:szCs w:val="20"/>
          <w:bdr w:val="none" w:sz="0" w:space="0" w:color="auto"/>
        </w:rPr>
        <w:t xml:space="preserve"> of the </w:t>
      </w:r>
      <w:r w:rsidR="00773B3C" w:rsidRPr="00A51861">
        <w:rPr>
          <w:rFonts w:ascii="Cambria" w:eastAsia="Calibri" w:hAnsi="Cambria"/>
          <w:sz w:val="20"/>
          <w:szCs w:val="20"/>
          <w:bdr w:val="none" w:sz="0" w:space="0" w:color="auto"/>
        </w:rPr>
        <w:t>individu</w:t>
      </w:r>
      <w:r>
        <w:rPr>
          <w:rFonts w:ascii="Cambria" w:eastAsia="Calibri" w:hAnsi="Cambria"/>
          <w:sz w:val="20"/>
          <w:szCs w:val="20"/>
          <w:bdr w:val="none" w:sz="0" w:space="0" w:color="auto"/>
        </w:rPr>
        <w:t>al</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for being</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inter alia</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unreasonable</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unforeseeable o</w:t>
      </w:r>
      <w:r w:rsidR="00E92985">
        <w:rPr>
          <w:rFonts w:ascii="Cambria" w:eastAsia="Calibri" w:hAnsi="Cambria"/>
          <w:sz w:val="20"/>
          <w:szCs w:val="20"/>
          <w:bdr w:val="none" w:sz="0" w:space="0" w:color="auto"/>
        </w:rPr>
        <w:t xml:space="preserve">r </w:t>
      </w:r>
      <w:r w:rsidR="00773B3C" w:rsidRPr="00A51861">
        <w:rPr>
          <w:rFonts w:ascii="Cambria" w:eastAsia="Calibri" w:hAnsi="Cambria"/>
          <w:sz w:val="20"/>
          <w:szCs w:val="20"/>
          <w:bdr w:val="none" w:sz="0" w:space="0" w:color="auto"/>
        </w:rPr>
        <w:t>d</w:t>
      </w:r>
      <w:r>
        <w:rPr>
          <w:rFonts w:ascii="Cambria" w:eastAsia="Calibri" w:hAnsi="Cambria"/>
          <w:sz w:val="20"/>
          <w:szCs w:val="20"/>
          <w:bdr w:val="none" w:sz="0" w:space="0" w:color="auto"/>
        </w:rPr>
        <w:t>i</w:t>
      </w:r>
      <w:r w:rsidR="00773B3C" w:rsidRPr="00A51861">
        <w:rPr>
          <w:rFonts w:ascii="Cambria" w:eastAsia="Calibri" w:hAnsi="Cambria"/>
          <w:sz w:val="20"/>
          <w:szCs w:val="20"/>
          <w:bdr w:val="none" w:sz="0" w:space="0" w:color="auto"/>
        </w:rPr>
        <w:t>spropor</w:t>
      </w:r>
      <w:r>
        <w:rPr>
          <w:rFonts w:ascii="Cambria" w:eastAsia="Calibri" w:hAnsi="Cambria"/>
          <w:sz w:val="20"/>
          <w:szCs w:val="20"/>
          <w:bdr w:val="none" w:sz="0" w:space="0" w:color="auto"/>
        </w:rPr>
        <w:t>tionate</w:t>
      </w:r>
      <w:r w:rsidR="00773B3C" w:rsidRPr="00A51861">
        <w:rPr>
          <w:rFonts w:ascii="Cambria" w:eastAsia="Calibri" w:hAnsi="Cambria"/>
          <w:sz w:val="20"/>
          <w:szCs w:val="20"/>
          <w:bdr w:val="none" w:sz="0" w:space="0" w:color="auto"/>
          <w:vertAlign w:val="superscript"/>
        </w:rPr>
        <w:footnoteReference w:id="148"/>
      </w:r>
      <w:r w:rsidR="001D1D61">
        <w:rPr>
          <w:rFonts w:ascii="Cambria" w:eastAsia="Calibri" w:hAnsi="Cambria"/>
          <w:sz w:val="20"/>
          <w:szCs w:val="20"/>
          <w:bdr w:val="none" w:sz="0" w:space="0" w:color="auto"/>
        </w:rPr>
        <w:t>. Th</w:t>
      </w:r>
      <w:r>
        <w:rPr>
          <w:rFonts w:ascii="Cambria" w:eastAsia="Calibri" w:hAnsi="Cambria"/>
          <w:sz w:val="20"/>
          <w:szCs w:val="20"/>
          <w:bdr w:val="none" w:sz="0" w:space="0" w:color="auto"/>
        </w:rPr>
        <w:t>erefore</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all</w:t>
      </w:r>
      <w:r w:rsidR="00773B3C" w:rsidRPr="00A51861">
        <w:rPr>
          <w:rFonts w:ascii="Cambria" w:eastAsia="Calibri" w:hAnsi="Cambria"/>
          <w:sz w:val="20"/>
          <w:szCs w:val="20"/>
          <w:bdr w:val="none" w:sz="0" w:space="0" w:color="auto"/>
        </w:rPr>
        <w:t xml:space="preserve"> </w:t>
      </w:r>
      <w:r w:rsidR="006E255A">
        <w:rPr>
          <w:rFonts w:ascii="Cambria" w:eastAsia="Calibri" w:hAnsi="Cambria"/>
          <w:sz w:val="20"/>
          <w:szCs w:val="20"/>
          <w:bdr w:val="none" w:sz="0" w:space="0" w:color="auto"/>
        </w:rPr>
        <w:t>detention</w:t>
      </w:r>
      <w:r w:rsidR="00773B3C" w:rsidRPr="00A51861">
        <w:rPr>
          <w:rFonts w:ascii="Cambria" w:eastAsia="Calibri" w:hAnsi="Cambria"/>
          <w:sz w:val="20"/>
          <w:szCs w:val="20"/>
          <w:bdr w:val="none" w:sz="0" w:space="0" w:color="auto"/>
        </w:rPr>
        <w:t xml:space="preserve">, </w:t>
      </w:r>
      <w:r w:rsidR="00960107">
        <w:rPr>
          <w:rFonts w:ascii="Cambria" w:eastAsia="Calibri" w:hAnsi="Cambria"/>
          <w:sz w:val="20"/>
          <w:szCs w:val="20"/>
          <w:bdr w:val="none" w:sz="0" w:space="0" w:color="auto"/>
        </w:rPr>
        <w:lastRenderedPageBreak/>
        <w:t>must be conducted not only in accordance with the provisions</w:t>
      </w:r>
      <w:r w:rsidR="00E92985">
        <w:rPr>
          <w:rFonts w:ascii="Cambria" w:eastAsia="Calibri" w:hAnsi="Cambria"/>
          <w:sz w:val="20"/>
          <w:szCs w:val="20"/>
          <w:bdr w:val="none" w:sz="0" w:space="0" w:color="auto"/>
        </w:rPr>
        <w:t xml:space="preserve"> of </w:t>
      </w:r>
      <w:r w:rsidR="00960107" w:rsidRPr="00A51861">
        <w:rPr>
          <w:rFonts w:ascii="Cambria" w:eastAsia="Calibri" w:hAnsi="Cambria"/>
          <w:sz w:val="20"/>
          <w:szCs w:val="20"/>
          <w:bdr w:val="none" w:sz="0" w:space="0" w:color="auto"/>
        </w:rPr>
        <w:t>national legislation</w:t>
      </w:r>
      <w:r w:rsidR="00773B3C" w:rsidRPr="00A51861">
        <w:rPr>
          <w:rFonts w:ascii="Cambria" w:eastAsia="Calibri" w:hAnsi="Cambria"/>
          <w:sz w:val="20"/>
          <w:szCs w:val="20"/>
          <w:bdr w:val="none" w:sz="0" w:space="0" w:color="auto"/>
        </w:rPr>
        <w:t xml:space="preserve">, </w:t>
      </w:r>
      <w:r w:rsidR="00960107">
        <w:rPr>
          <w:rFonts w:ascii="Cambria" w:eastAsia="Calibri" w:hAnsi="Cambria"/>
          <w:sz w:val="20"/>
          <w:szCs w:val="20"/>
          <w:bdr w:val="none" w:sz="0" w:space="0" w:color="auto"/>
        </w:rPr>
        <w:t>but it is also necessary that</w:t>
      </w:r>
      <w:r w:rsidR="00E92985">
        <w:rPr>
          <w:rFonts w:ascii="Cambria" w:eastAsia="Calibri" w:hAnsi="Cambria"/>
          <w:sz w:val="20"/>
          <w:szCs w:val="20"/>
          <w:bdr w:val="none" w:sz="0" w:space="0" w:color="auto"/>
        </w:rPr>
        <w:t xml:space="preserve"> the </w:t>
      </w:r>
      <w:r w:rsidR="00960107">
        <w:rPr>
          <w:rFonts w:ascii="Cambria" w:eastAsia="Calibri" w:hAnsi="Cambria"/>
          <w:sz w:val="20"/>
          <w:szCs w:val="20"/>
          <w:bdr w:val="none" w:sz="0" w:space="0" w:color="auto"/>
        </w:rPr>
        <w:t xml:space="preserve">domestic </w:t>
      </w:r>
      <w:r w:rsidR="00773B3C" w:rsidRPr="00A51861">
        <w:rPr>
          <w:rFonts w:ascii="Cambria" w:eastAsia="Calibri" w:hAnsi="Cambria"/>
          <w:sz w:val="20"/>
          <w:szCs w:val="20"/>
          <w:bdr w:val="none" w:sz="0" w:space="0" w:color="auto"/>
        </w:rPr>
        <w:t>l</w:t>
      </w:r>
      <w:r w:rsidR="00960107">
        <w:rPr>
          <w:rFonts w:ascii="Cambria" w:eastAsia="Calibri" w:hAnsi="Cambria"/>
          <w:sz w:val="20"/>
          <w:szCs w:val="20"/>
          <w:bdr w:val="none" w:sz="0" w:space="0" w:color="auto"/>
        </w:rPr>
        <w:t>aw</w:t>
      </w:r>
      <w:r w:rsidR="00773B3C" w:rsidRPr="00A51861">
        <w:rPr>
          <w:rFonts w:ascii="Cambria" w:eastAsia="Calibri" w:hAnsi="Cambria"/>
          <w:sz w:val="20"/>
          <w:szCs w:val="20"/>
          <w:bdr w:val="none" w:sz="0" w:space="0" w:color="auto"/>
        </w:rPr>
        <w:t xml:space="preserve">, </w:t>
      </w:r>
      <w:r w:rsidR="00960107">
        <w:rPr>
          <w:rFonts w:ascii="Cambria" w:eastAsia="Calibri" w:hAnsi="Cambria"/>
          <w:sz w:val="20"/>
          <w:szCs w:val="20"/>
          <w:bdr w:val="none" w:sz="0" w:space="0" w:color="auto"/>
        </w:rPr>
        <w:t>the applicable procedure</w:t>
      </w:r>
      <w:r w:rsidR="00E92985">
        <w:rPr>
          <w:rFonts w:ascii="Cambria" w:eastAsia="Calibri" w:hAnsi="Cambria"/>
          <w:sz w:val="20"/>
          <w:szCs w:val="20"/>
          <w:bdr w:val="none" w:sz="0" w:space="0" w:color="auto"/>
        </w:rPr>
        <w:t xml:space="preserve"> and </w:t>
      </w:r>
      <w:r w:rsidR="00960107">
        <w:rPr>
          <w:rFonts w:ascii="Cambria" w:eastAsia="Calibri" w:hAnsi="Cambria"/>
          <w:sz w:val="20"/>
          <w:szCs w:val="20"/>
          <w:bdr w:val="none" w:sz="0" w:space="0" w:color="auto"/>
        </w:rPr>
        <w:t xml:space="preserve">the express </w:t>
      </w:r>
      <w:r w:rsidR="00E92985">
        <w:rPr>
          <w:rFonts w:ascii="Cambria" w:eastAsia="Calibri" w:hAnsi="Cambria"/>
          <w:sz w:val="20"/>
          <w:szCs w:val="20"/>
          <w:bdr w:val="none" w:sz="0" w:space="0" w:color="auto"/>
        </w:rPr>
        <w:t xml:space="preserve">or </w:t>
      </w:r>
      <w:r w:rsidR="00960107" w:rsidRPr="00A51861">
        <w:rPr>
          <w:rFonts w:ascii="Cambria" w:eastAsia="Calibri" w:hAnsi="Cambria"/>
          <w:sz w:val="20"/>
          <w:szCs w:val="20"/>
          <w:bdr w:val="none" w:sz="0" w:space="0" w:color="auto"/>
        </w:rPr>
        <w:t>implicit</w:t>
      </w:r>
      <w:r w:rsidR="00773B3C" w:rsidRPr="00A51861">
        <w:rPr>
          <w:rFonts w:ascii="Cambria" w:eastAsia="Calibri" w:hAnsi="Cambria"/>
          <w:sz w:val="20"/>
          <w:szCs w:val="20"/>
          <w:bdr w:val="none" w:sz="0" w:space="0" w:color="auto"/>
        </w:rPr>
        <w:t xml:space="preserve"> </w:t>
      </w:r>
      <w:r w:rsidR="00960107">
        <w:rPr>
          <w:rFonts w:ascii="Cambria" w:eastAsia="Calibri" w:hAnsi="Cambria"/>
          <w:sz w:val="20"/>
          <w:szCs w:val="20"/>
          <w:bdr w:val="none" w:sz="0" w:space="0" w:color="auto"/>
        </w:rPr>
        <w:t>general principles</w:t>
      </w:r>
      <w:r w:rsidR="00960107" w:rsidRPr="00A51861">
        <w:rPr>
          <w:rFonts w:ascii="Cambria" w:eastAsia="Calibri" w:hAnsi="Cambria"/>
          <w:sz w:val="20"/>
          <w:szCs w:val="20"/>
          <w:bdr w:val="none" w:sz="0" w:space="0" w:color="auto"/>
        </w:rPr>
        <w:t xml:space="preserve"> </w:t>
      </w:r>
      <w:r w:rsidR="00773B3C" w:rsidRPr="00A51861">
        <w:rPr>
          <w:rFonts w:ascii="Cambria" w:eastAsia="Calibri" w:hAnsi="Cambria"/>
          <w:sz w:val="20"/>
          <w:szCs w:val="20"/>
          <w:bdr w:val="none" w:sz="0" w:space="0" w:color="auto"/>
        </w:rPr>
        <w:t>r</w:t>
      </w:r>
      <w:r w:rsidR="00960107">
        <w:rPr>
          <w:rFonts w:ascii="Cambria" w:eastAsia="Calibri" w:hAnsi="Cambria"/>
          <w:sz w:val="20"/>
          <w:szCs w:val="20"/>
          <w:bdr w:val="none" w:sz="0" w:space="0" w:color="auto"/>
        </w:rPr>
        <w:t>elated be</w:t>
      </w:r>
      <w:r w:rsidR="00773B3C" w:rsidRPr="00A51861">
        <w:rPr>
          <w:rFonts w:ascii="Cambria" w:eastAsia="Calibri" w:hAnsi="Cambria"/>
          <w:sz w:val="20"/>
          <w:szCs w:val="20"/>
          <w:bdr w:val="none" w:sz="0" w:space="0" w:color="auto"/>
        </w:rPr>
        <w:t xml:space="preserve"> compatible </w:t>
      </w:r>
      <w:r w:rsidR="00960107">
        <w:rPr>
          <w:rFonts w:ascii="Cambria" w:eastAsia="Calibri" w:hAnsi="Cambria"/>
          <w:sz w:val="20"/>
          <w:szCs w:val="20"/>
          <w:bdr w:val="none" w:sz="0" w:space="0" w:color="auto"/>
        </w:rPr>
        <w:t xml:space="preserve">with Inter-American </w:t>
      </w:r>
      <w:r w:rsidR="00AA5556">
        <w:rPr>
          <w:rFonts w:ascii="Cambria" w:eastAsia="Calibri" w:hAnsi="Cambria"/>
          <w:sz w:val="20"/>
          <w:szCs w:val="20"/>
          <w:bdr w:val="none" w:sz="0" w:space="0" w:color="auto"/>
        </w:rPr>
        <w:t>instrument</w:t>
      </w:r>
      <w:r w:rsidR="00773B3C" w:rsidRPr="00A51861">
        <w:rPr>
          <w:rFonts w:ascii="Cambria" w:eastAsia="Calibri" w:hAnsi="Cambria"/>
          <w:sz w:val="20"/>
          <w:szCs w:val="20"/>
          <w:bdr w:val="none" w:sz="0" w:space="0" w:color="auto"/>
        </w:rPr>
        <w:t>s</w:t>
      </w:r>
      <w:r w:rsidR="00E92985">
        <w:rPr>
          <w:rFonts w:ascii="Cambria" w:eastAsia="Calibri" w:hAnsi="Cambria"/>
          <w:sz w:val="20"/>
          <w:szCs w:val="20"/>
          <w:bdr w:val="none" w:sz="0" w:space="0" w:color="auto"/>
        </w:rPr>
        <w:t xml:space="preserve"> and </w:t>
      </w:r>
      <w:r w:rsidR="00773B3C" w:rsidRPr="00A51861">
        <w:rPr>
          <w:rFonts w:ascii="Cambria" w:eastAsia="Calibri" w:hAnsi="Cambria"/>
          <w:sz w:val="20"/>
          <w:szCs w:val="20"/>
          <w:bdr w:val="none" w:sz="0" w:space="0" w:color="auto"/>
        </w:rPr>
        <w:t>norms</w:t>
      </w:r>
      <w:r w:rsidR="00773B3C" w:rsidRPr="00A51861">
        <w:rPr>
          <w:rFonts w:ascii="Cambria" w:eastAsia="Calibri" w:hAnsi="Cambria"/>
          <w:sz w:val="20"/>
          <w:szCs w:val="20"/>
          <w:bdr w:val="none" w:sz="0" w:space="0" w:color="auto"/>
          <w:vertAlign w:val="superscript"/>
        </w:rPr>
        <w:footnoteReference w:id="149"/>
      </w:r>
      <w:r w:rsidR="00773B3C" w:rsidRPr="00A51861">
        <w:rPr>
          <w:rFonts w:ascii="Cambria" w:eastAsia="Calibri" w:hAnsi="Cambria"/>
          <w:sz w:val="20"/>
          <w:szCs w:val="20"/>
          <w:bdr w:val="none" w:sz="0" w:space="0" w:color="auto"/>
        </w:rPr>
        <w:t>.</w:t>
      </w:r>
    </w:p>
    <w:p w14:paraId="4981E3FB" w14:textId="77777777" w:rsidR="00773B3C" w:rsidRPr="00A51861" w:rsidRDefault="00773B3C" w:rsidP="008E4D3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libri" w:hAnsi="Cambria"/>
          <w:sz w:val="20"/>
          <w:szCs w:val="20"/>
          <w:bdr w:val="none" w:sz="0" w:space="0" w:color="auto"/>
        </w:rPr>
      </w:pPr>
      <w:r w:rsidRPr="00A51861">
        <w:rPr>
          <w:rFonts w:ascii="Cambria" w:eastAsia="Calibri" w:hAnsi="Cambria"/>
          <w:sz w:val="20"/>
          <w:szCs w:val="20"/>
          <w:bdr w:val="none" w:sz="0" w:space="0" w:color="auto"/>
        </w:rPr>
        <w:t xml:space="preserve"> </w:t>
      </w:r>
    </w:p>
    <w:p w14:paraId="1713E9E8" w14:textId="19D80A6E" w:rsidR="00851B5B" w:rsidRPr="00A51861" w:rsidRDefault="00B90CEF"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eastAsia="Calibri" w:hAnsi="Cambria"/>
          <w:sz w:val="20"/>
          <w:szCs w:val="20"/>
          <w:bdr w:val="none" w:sz="0" w:space="0" w:color="auto"/>
        </w:rPr>
      </w:pPr>
      <w:r>
        <w:rPr>
          <w:rFonts w:ascii="Cambria" w:eastAsia="Calibri" w:hAnsi="Cambria"/>
          <w:sz w:val="20"/>
          <w:szCs w:val="20"/>
          <w:bdr w:val="none" w:sz="0" w:space="0" w:color="auto"/>
        </w:rPr>
        <w:t xml:space="preserve">Likewise, </w:t>
      </w:r>
      <w:r w:rsidR="00F4684B">
        <w:rPr>
          <w:rFonts w:ascii="Cambria" w:eastAsia="Calibri" w:hAnsi="Cambria"/>
          <w:sz w:val="20"/>
          <w:szCs w:val="20"/>
          <w:bdr w:val="none" w:sz="0" w:space="0" w:color="auto"/>
        </w:rPr>
        <w:t>according to the</w:t>
      </w:r>
      <w:r w:rsidR="00773B3C" w:rsidRPr="00A51861">
        <w:rPr>
          <w:rFonts w:ascii="Cambria" w:eastAsia="Calibri" w:hAnsi="Cambria"/>
          <w:sz w:val="20"/>
          <w:szCs w:val="20"/>
          <w:bdr w:val="none" w:sz="0" w:space="0" w:color="auto"/>
        </w:rPr>
        <w:t xml:space="preserve"> </w:t>
      </w:r>
      <w:r w:rsidR="00F4684B">
        <w:rPr>
          <w:rFonts w:ascii="Cambria" w:eastAsia="Calibri" w:hAnsi="Cambria"/>
          <w:sz w:val="20"/>
          <w:szCs w:val="20"/>
          <w:bdr w:val="none" w:sz="0" w:space="0" w:color="auto"/>
        </w:rPr>
        <w:t>Body of Principles of the United Nations for the Protection of All Persons under Any Form of Detention or Imprisonment</w:t>
      </w:r>
      <w:r w:rsidR="00773B3C" w:rsidRPr="00A51861">
        <w:rPr>
          <w:rFonts w:ascii="Cambria" w:eastAsia="Calibri" w:hAnsi="Cambria"/>
          <w:sz w:val="20"/>
          <w:szCs w:val="20"/>
          <w:bdr w:val="none" w:sz="0" w:space="0" w:color="auto"/>
        </w:rPr>
        <w:t>, “</w:t>
      </w:r>
      <w:r w:rsidR="00F4684B">
        <w:rPr>
          <w:rFonts w:ascii="Cambria" w:eastAsia="Calibri" w:hAnsi="Cambria"/>
          <w:sz w:val="20"/>
          <w:szCs w:val="20"/>
          <w:bdr w:val="none" w:sz="0" w:space="0" w:color="auto"/>
        </w:rPr>
        <w:t>all</w:t>
      </w:r>
      <w:r w:rsidR="00773B3C" w:rsidRPr="00A51861">
        <w:rPr>
          <w:rFonts w:ascii="Cambria" w:eastAsia="Calibri" w:hAnsi="Cambria"/>
          <w:sz w:val="20"/>
          <w:szCs w:val="20"/>
          <w:bdr w:val="none" w:sz="0" w:space="0" w:color="auto"/>
        </w:rPr>
        <w:t xml:space="preserve"> form</w:t>
      </w:r>
      <w:r w:rsidR="00E92985">
        <w:rPr>
          <w:rFonts w:ascii="Cambria" w:eastAsia="Calibri" w:hAnsi="Cambria"/>
          <w:sz w:val="20"/>
          <w:szCs w:val="20"/>
          <w:bdr w:val="none" w:sz="0" w:space="0" w:color="auto"/>
        </w:rPr>
        <w:t xml:space="preserve"> of </w:t>
      </w:r>
      <w:r w:rsidR="006E255A">
        <w:rPr>
          <w:rFonts w:ascii="Cambria" w:eastAsia="Calibri" w:hAnsi="Cambria"/>
          <w:sz w:val="20"/>
          <w:szCs w:val="20"/>
          <w:bdr w:val="none" w:sz="0" w:space="0" w:color="auto"/>
        </w:rPr>
        <w:t>detention</w:t>
      </w:r>
      <w:r w:rsidR="00E92985">
        <w:rPr>
          <w:rFonts w:ascii="Cambria" w:eastAsia="Calibri" w:hAnsi="Cambria"/>
          <w:sz w:val="20"/>
          <w:szCs w:val="20"/>
          <w:bdr w:val="none" w:sz="0" w:space="0" w:color="auto"/>
        </w:rPr>
        <w:t xml:space="preserve"> or </w:t>
      </w:r>
      <w:r w:rsidR="00F4684B" w:rsidRPr="00A51861">
        <w:rPr>
          <w:rFonts w:ascii="Cambria" w:eastAsia="Calibri" w:hAnsi="Cambria"/>
          <w:sz w:val="20"/>
          <w:szCs w:val="20"/>
          <w:bdr w:val="none" w:sz="0" w:space="0" w:color="auto"/>
        </w:rPr>
        <w:t>prison</w:t>
      </w:r>
      <w:r w:rsidR="00E92985">
        <w:rPr>
          <w:rFonts w:ascii="Cambria" w:eastAsia="Calibri" w:hAnsi="Cambria"/>
          <w:sz w:val="20"/>
          <w:szCs w:val="20"/>
          <w:bdr w:val="none" w:sz="0" w:space="0" w:color="auto"/>
        </w:rPr>
        <w:t xml:space="preserve"> and </w:t>
      </w:r>
      <w:r w:rsidR="00F4684B">
        <w:rPr>
          <w:rFonts w:ascii="Cambria" w:eastAsia="Calibri" w:hAnsi="Cambria"/>
          <w:sz w:val="20"/>
          <w:szCs w:val="20"/>
          <w:bdr w:val="none" w:sz="0" w:space="0" w:color="auto"/>
        </w:rPr>
        <w:t xml:space="preserve">all measures affecting the </w:t>
      </w:r>
      <w:r w:rsidR="004A189A">
        <w:rPr>
          <w:rFonts w:ascii="Cambria" w:eastAsia="Calibri" w:hAnsi="Cambria"/>
          <w:sz w:val="20"/>
          <w:szCs w:val="20"/>
          <w:bdr w:val="none" w:sz="0" w:space="0" w:color="auto"/>
        </w:rPr>
        <w:t>h</w:t>
      </w:r>
      <w:r w:rsidR="00664D70">
        <w:rPr>
          <w:rFonts w:ascii="Cambria" w:eastAsia="Calibri" w:hAnsi="Cambria"/>
          <w:sz w:val="20"/>
          <w:szCs w:val="20"/>
          <w:bdr w:val="none" w:sz="0" w:space="0" w:color="auto"/>
        </w:rPr>
        <w:t>uman rights</w:t>
      </w:r>
      <w:r w:rsidR="00F4684B">
        <w:rPr>
          <w:rFonts w:ascii="Cambria" w:eastAsia="Calibri" w:hAnsi="Cambria"/>
          <w:sz w:val="20"/>
          <w:szCs w:val="20"/>
          <w:bdr w:val="none" w:sz="0" w:space="0" w:color="auto"/>
        </w:rPr>
        <w:t xml:space="preserve"> </w:t>
      </w:r>
      <w:r w:rsidR="00E92985">
        <w:rPr>
          <w:rFonts w:ascii="Cambria" w:eastAsia="Calibri" w:hAnsi="Cambria"/>
          <w:sz w:val="20"/>
          <w:szCs w:val="20"/>
          <w:bdr w:val="none" w:sz="0" w:space="0" w:color="auto"/>
        </w:rPr>
        <w:t xml:space="preserve">of </w:t>
      </w:r>
      <w:r w:rsidR="00EC7A58">
        <w:rPr>
          <w:rFonts w:ascii="Cambria" w:eastAsia="Calibri" w:hAnsi="Cambria"/>
          <w:sz w:val="20"/>
          <w:szCs w:val="20"/>
          <w:bdr w:val="none" w:sz="0" w:space="0" w:color="auto"/>
        </w:rPr>
        <w:t>persons</w:t>
      </w:r>
      <w:r w:rsidR="00773B3C" w:rsidRPr="00A51861">
        <w:rPr>
          <w:rFonts w:ascii="Cambria" w:eastAsia="Calibri" w:hAnsi="Cambria"/>
          <w:sz w:val="20"/>
          <w:szCs w:val="20"/>
          <w:bdr w:val="none" w:sz="0" w:space="0" w:color="auto"/>
        </w:rPr>
        <w:t xml:space="preserve"> </w:t>
      </w:r>
      <w:r w:rsidR="00F4684B">
        <w:rPr>
          <w:rFonts w:ascii="Cambria" w:eastAsia="Calibri" w:hAnsi="Cambria"/>
          <w:sz w:val="20"/>
          <w:szCs w:val="20"/>
          <w:bdr w:val="none" w:sz="0" w:space="0" w:color="auto"/>
        </w:rPr>
        <w:t>subjected to any form</w:t>
      </w:r>
      <w:r w:rsidR="00E92985">
        <w:rPr>
          <w:rFonts w:ascii="Cambria" w:eastAsia="Calibri" w:hAnsi="Cambria"/>
          <w:sz w:val="20"/>
          <w:szCs w:val="20"/>
          <w:bdr w:val="none" w:sz="0" w:space="0" w:color="auto"/>
        </w:rPr>
        <w:t xml:space="preserve"> of </w:t>
      </w:r>
      <w:r w:rsidR="006E255A">
        <w:rPr>
          <w:rFonts w:ascii="Cambria" w:eastAsia="Calibri" w:hAnsi="Cambria"/>
          <w:sz w:val="20"/>
          <w:szCs w:val="20"/>
          <w:bdr w:val="none" w:sz="0" w:space="0" w:color="auto"/>
        </w:rPr>
        <w:t>detention</w:t>
      </w:r>
      <w:r w:rsidR="00E92985">
        <w:rPr>
          <w:rFonts w:ascii="Cambria" w:eastAsia="Calibri" w:hAnsi="Cambria"/>
          <w:sz w:val="20"/>
          <w:szCs w:val="20"/>
          <w:bdr w:val="none" w:sz="0" w:space="0" w:color="auto"/>
        </w:rPr>
        <w:t xml:space="preserve"> or </w:t>
      </w:r>
      <w:r w:rsidR="00F4684B" w:rsidRPr="00A51861">
        <w:rPr>
          <w:rFonts w:ascii="Cambria" w:eastAsia="Calibri" w:hAnsi="Cambria"/>
          <w:sz w:val="20"/>
          <w:szCs w:val="20"/>
          <w:bdr w:val="none" w:sz="0" w:space="0" w:color="auto"/>
        </w:rPr>
        <w:t>prison</w:t>
      </w:r>
      <w:r w:rsidR="00773B3C" w:rsidRPr="00A51861">
        <w:rPr>
          <w:rFonts w:ascii="Cambria" w:eastAsia="Calibri" w:hAnsi="Cambria"/>
          <w:sz w:val="20"/>
          <w:szCs w:val="20"/>
          <w:bdr w:val="none" w:sz="0" w:space="0" w:color="auto"/>
        </w:rPr>
        <w:t xml:space="preserve"> </w:t>
      </w:r>
      <w:r w:rsidR="00F4684B">
        <w:rPr>
          <w:rFonts w:ascii="Cambria" w:hAnsi="Cambria"/>
          <w:color w:val="000000" w:themeColor="text1"/>
          <w:sz w:val="20"/>
          <w:szCs w:val="20"/>
        </w:rPr>
        <w:t>are to be ordered by a judge</w:t>
      </w:r>
      <w:r w:rsidR="00E92985">
        <w:rPr>
          <w:rFonts w:ascii="Cambria" w:eastAsia="Calibri" w:hAnsi="Cambria"/>
          <w:sz w:val="20"/>
          <w:szCs w:val="20"/>
          <w:bdr w:val="none" w:sz="0" w:space="0" w:color="auto"/>
        </w:rPr>
        <w:t xml:space="preserve"> or </w:t>
      </w:r>
      <w:r w:rsidR="00F4684B">
        <w:rPr>
          <w:rFonts w:ascii="Cambria" w:eastAsia="Calibri" w:hAnsi="Cambria"/>
          <w:sz w:val="20"/>
          <w:szCs w:val="20"/>
          <w:bdr w:val="none" w:sz="0" w:space="0" w:color="auto"/>
        </w:rPr>
        <w:t>other</w:t>
      </w:r>
      <w:r w:rsidR="00773B3C" w:rsidRPr="00A51861">
        <w:rPr>
          <w:rFonts w:ascii="Cambria" w:eastAsia="Calibri" w:hAnsi="Cambria"/>
          <w:sz w:val="20"/>
          <w:szCs w:val="20"/>
          <w:bdr w:val="none" w:sz="0" w:space="0" w:color="auto"/>
        </w:rPr>
        <w:t xml:space="preserve"> </w:t>
      </w:r>
      <w:r w:rsidR="000A3625">
        <w:rPr>
          <w:rFonts w:ascii="Cambria" w:eastAsia="Calibri" w:hAnsi="Cambria"/>
          <w:sz w:val="20"/>
          <w:szCs w:val="20"/>
          <w:bdr w:val="none" w:sz="0" w:space="0" w:color="auto"/>
        </w:rPr>
        <w:t>authority</w:t>
      </w:r>
      <w:r w:rsidR="00773B3C" w:rsidRPr="00A51861">
        <w:rPr>
          <w:rFonts w:ascii="Cambria" w:eastAsia="Calibri" w:hAnsi="Cambria"/>
          <w:sz w:val="20"/>
          <w:szCs w:val="20"/>
          <w:bdr w:val="none" w:sz="0" w:space="0" w:color="auto"/>
        </w:rPr>
        <w:t>,</w:t>
      </w:r>
      <w:r w:rsidR="00E92985">
        <w:rPr>
          <w:rFonts w:ascii="Cambria" w:eastAsia="Calibri" w:hAnsi="Cambria"/>
          <w:sz w:val="20"/>
          <w:szCs w:val="20"/>
          <w:bdr w:val="none" w:sz="0" w:space="0" w:color="auto"/>
        </w:rPr>
        <w:t xml:space="preserve"> or </w:t>
      </w:r>
      <w:r w:rsidR="00F4684B">
        <w:rPr>
          <w:rFonts w:ascii="Cambria" w:eastAsia="Calibri" w:hAnsi="Cambria"/>
          <w:sz w:val="20"/>
          <w:szCs w:val="20"/>
          <w:bdr w:val="none" w:sz="0" w:space="0" w:color="auto"/>
        </w:rPr>
        <w:t>being subject to the</w:t>
      </w:r>
      <w:r w:rsidR="00773B3C" w:rsidRPr="00A51861">
        <w:rPr>
          <w:rFonts w:ascii="Cambria" w:eastAsia="Calibri" w:hAnsi="Cambria"/>
          <w:sz w:val="20"/>
          <w:szCs w:val="20"/>
          <w:bdr w:val="none" w:sz="0" w:space="0" w:color="auto"/>
        </w:rPr>
        <w:t xml:space="preserve"> </w:t>
      </w:r>
      <w:r w:rsidR="00F4684B">
        <w:rPr>
          <w:rFonts w:ascii="Cambria" w:eastAsia="Calibri" w:hAnsi="Cambria"/>
          <w:sz w:val="20"/>
          <w:szCs w:val="20"/>
          <w:bdr w:val="none" w:sz="0" w:space="0" w:color="auto"/>
        </w:rPr>
        <w:t>effective inspection</w:t>
      </w:r>
      <w:r w:rsidR="00773B3C" w:rsidRPr="00A51861">
        <w:rPr>
          <w:rFonts w:ascii="Cambria" w:eastAsia="Calibri" w:hAnsi="Cambria"/>
          <w:sz w:val="20"/>
          <w:szCs w:val="20"/>
          <w:bdr w:val="none" w:sz="0" w:space="0" w:color="auto"/>
        </w:rPr>
        <w:t xml:space="preserve"> </w:t>
      </w:r>
      <w:r w:rsidR="00E92985">
        <w:rPr>
          <w:rFonts w:ascii="Cambria" w:eastAsia="Calibri" w:hAnsi="Cambria"/>
          <w:sz w:val="20"/>
          <w:szCs w:val="20"/>
          <w:bdr w:val="none" w:sz="0" w:space="0" w:color="auto"/>
        </w:rPr>
        <w:t xml:space="preserve">of </w:t>
      </w:r>
      <w:r w:rsidR="00F4684B">
        <w:rPr>
          <w:rFonts w:ascii="Cambria" w:eastAsia="Calibri" w:hAnsi="Cambria"/>
          <w:sz w:val="20"/>
          <w:szCs w:val="20"/>
          <w:bdr w:val="none" w:sz="0" w:space="0" w:color="auto"/>
        </w:rPr>
        <w:t xml:space="preserve">a </w:t>
      </w:r>
      <w:r w:rsidR="00F4684B">
        <w:rPr>
          <w:rFonts w:ascii="Cambria" w:hAnsi="Cambria"/>
          <w:color w:val="000000" w:themeColor="text1"/>
          <w:sz w:val="20"/>
          <w:szCs w:val="20"/>
        </w:rPr>
        <w:t>judge</w:t>
      </w:r>
      <w:r w:rsidR="00F4684B">
        <w:rPr>
          <w:rFonts w:ascii="Cambria" w:eastAsia="Calibri" w:hAnsi="Cambria"/>
          <w:sz w:val="20"/>
          <w:szCs w:val="20"/>
          <w:bdr w:val="none" w:sz="0" w:space="0" w:color="auto"/>
        </w:rPr>
        <w:t xml:space="preserve"> or other</w:t>
      </w:r>
      <w:r w:rsidR="00F4684B" w:rsidRPr="00A51861">
        <w:rPr>
          <w:rFonts w:ascii="Cambria" w:eastAsia="Calibri" w:hAnsi="Cambria"/>
          <w:sz w:val="20"/>
          <w:szCs w:val="20"/>
          <w:bdr w:val="none" w:sz="0" w:space="0" w:color="auto"/>
        </w:rPr>
        <w:t xml:space="preserve"> </w:t>
      </w:r>
      <w:r w:rsidR="00F4684B">
        <w:rPr>
          <w:rFonts w:ascii="Cambria" w:eastAsia="Calibri" w:hAnsi="Cambria"/>
          <w:sz w:val="20"/>
          <w:szCs w:val="20"/>
          <w:bdr w:val="none" w:sz="0" w:space="0" w:color="auto"/>
        </w:rPr>
        <w:t>authority</w:t>
      </w:r>
      <w:r w:rsidR="00773B3C" w:rsidRPr="00A51861">
        <w:rPr>
          <w:rFonts w:ascii="Cambria" w:eastAsia="Calibri" w:hAnsi="Cambria"/>
          <w:sz w:val="20"/>
          <w:szCs w:val="20"/>
          <w:bdr w:val="none" w:sz="0" w:space="0" w:color="auto"/>
        </w:rPr>
        <w:t>”</w:t>
      </w:r>
      <w:r w:rsidR="00773B3C" w:rsidRPr="00A51861">
        <w:rPr>
          <w:rFonts w:ascii="Cambria" w:eastAsia="Calibri" w:hAnsi="Cambria"/>
          <w:sz w:val="20"/>
          <w:szCs w:val="20"/>
          <w:bdr w:val="none" w:sz="0" w:space="0" w:color="auto"/>
          <w:vertAlign w:val="superscript"/>
        </w:rPr>
        <w:footnoteReference w:id="150"/>
      </w:r>
      <w:r w:rsidR="001D1D61">
        <w:rPr>
          <w:rFonts w:ascii="Cambria" w:eastAsia="Calibri" w:hAnsi="Cambria"/>
          <w:sz w:val="20"/>
          <w:szCs w:val="20"/>
          <w:bdr w:val="none" w:sz="0" w:space="0" w:color="auto"/>
        </w:rPr>
        <w:t>. Th</w:t>
      </w:r>
      <w:r w:rsidR="00F4684B">
        <w:rPr>
          <w:rFonts w:ascii="Cambria" w:eastAsia="Calibri" w:hAnsi="Cambria"/>
          <w:sz w:val="20"/>
          <w:szCs w:val="20"/>
          <w:bdr w:val="none" w:sz="0" w:space="0" w:color="auto"/>
        </w:rPr>
        <w:t>e</w:t>
      </w:r>
      <w:r w:rsidR="00773B3C" w:rsidRPr="00A51861">
        <w:rPr>
          <w:rFonts w:ascii="Cambria" w:eastAsia="Calibri" w:hAnsi="Cambria"/>
          <w:sz w:val="20"/>
          <w:szCs w:val="20"/>
          <w:bdr w:val="none" w:sz="0" w:space="0" w:color="auto"/>
        </w:rPr>
        <w:t xml:space="preserve"> </w:t>
      </w:r>
      <w:r w:rsidR="00EC7A58">
        <w:rPr>
          <w:rFonts w:ascii="Cambria" w:eastAsia="Calibri" w:hAnsi="Cambria"/>
          <w:sz w:val="20"/>
          <w:szCs w:val="20"/>
          <w:bdr w:val="none" w:sz="0" w:space="0" w:color="auto"/>
        </w:rPr>
        <w:t>requirement</w:t>
      </w:r>
      <w:r w:rsidR="00E92985">
        <w:rPr>
          <w:rFonts w:ascii="Cambria" w:eastAsia="Calibri" w:hAnsi="Cambria"/>
          <w:sz w:val="20"/>
          <w:szCs w:val="20"/>
          <w:bdr w:val="none" w:sz="0" w:space="0" w:color="auto"/>
        </w:rPr>
        <w:t xml:space="preserve"> that the </w:t>
      </w:r>
      <w:r w:rsidR="006E255A">
        <w:rPr>
          <w:rFonts w:ascii="Cambria" w:eastAsia="Calibri" w:hAnsi="Cambria"/>
          <w:sz w:val="20"/>
          <w:szCs w:val="20"/>
          <w:bdr w:val="none" w:sz="0" w:space="0" w:color="auto"/>
        </w:rPr>
        <w:t>detention</w:t>
      </w:r>
      <w:r w:rsidR="00773B3C" w:rsidRPr="00A51861">
        <w:rPr>
          <w:rFonts w:ascii="Cambria" w:eastAsia="Calibri" w:hAnsi="Cambria"/>
          <w:sz w:val="20"/>
          <w:szCs w:val="20"/>
          <w:bdr w:val="none" w:sz="0" w:space="0" w:color="auto"/>
        </w:rPr>
        <w:t xml:space="preserve"> </w:t>
      </w:r>
      <w:r w:rsidR="00F4684B">
        <w:rPr>
          <w:rFonts w:ascii="Cambria" w:eastAsia="Calibri" w:hAnsi="Cambria"/>
          <w:sz w:val="20"/>
          <w:szCs w:val="20"/>
          <w:bdr w:val="none" w:sz="0" w:space="0" w:color="auto"/>
        </w:rPr>
        <w:t>not depend on the sole</w:t>
      </w:r>
      <w:r w:rsidR="00773B3C" w:rsidRPr="00A51861">
        <w:rPr>
          <w:rFonts w:ascii="Cambria" w:eastAsia="Calibri" w:hAnsi="Cambria"/>
          <w:sz w:val="20"/>
          <w:szCs w:val="20"/>
          <w:bdr w:val="none" w:sz="0" w:space="0" w:color="auto"/>
        </w:rPr>
        <w:t xml:space="preserve"> </w:t>
      </w:r>
      <w:r w:rsidR="00F4684B" w:rsidRPr="00A51861">
        <w:rPr>
          <w:rFonts w:ascii="Cambria" w:eastAsia="Calibri" w:hAnsi="Cambria"/>
          <w:sz w:val="20"/>
          <w:szCs w:val="20"/>
          <w:bdr w:val="none" w:sz="0" w:space="0" w:color="auto"/>
        </w:rPr>
        <w:t>discretion</w:t>
      </w:r>
      <w:r w:rsidR="00E92985">
        <w:rPr>
          <w:rFonts w:ascii="Cambria" w:eastAsia="Calibri" w:hAnsi="Cambria"/>
          <w:sz w:val="20"/>
          <w:szCs w:val="20"/>
          <w:bdr w:val="none" w:sz="0" w:space="0" w:color="auto"/>
        </w:rPr>
        <w:t xml:space="preserve"> of </w:t>
      </w:r>
      <w:r w:rsidR="00F4684B">
        <w:rPr>
          <w:rFonts w:ascii="Cambria" w:eastAsia="Calibri" w:hAnsi="Cambria"/>
          <w:sz w:val="20"/>
          <w:szCs w:val="20"/>
          <w:bdr w:val="none" w:sz="0" w:space="0" w:color="auto"/>
        </w:rPr>
        <w:t>the</w:t>
      </w:r>
      <w:r w:rsidR="00773B3C" w:rsidRPr="00A51861">
        <w:rPr>
          <w:rFonts w:ascii="Cambria" w:eastAsia="Calibri" w:hAnsi="Cambria"/>
          <w:sz w:val="20"/>
          <w:szCs w:val="20"/>
          <w:bdr w:val="none" w:sz="0" w:space="0" w:color="auto"/>
        </w:rPr>
        <w:t xml:space="preserve"> agents </w:t>
      </w:r>
      <w:r w:rsidR="00F92BA8">
        <w:rPr>
          <w:rFonts w:ascii="Cambria" w:eastAsia="Calibri" w:hAnsi="Cambria"/>
          <w:sz w:val="20"/>
          <w:szCs w:val="20"/>
          <w:bdr w:val="none" w:sz="0" w:space="0" w:color="auto"/>
        </w:rPr>
        <w:t>of the State</w:t>
      </w:r>
      <w:r w:rsidR="00773B3C" w:rsidRPr="00A51861">
        <w:rPr>
          <w:rFonts w:ascii="Cambria" w:eastAsia="Calibri" w:hAnsi="Cambria"/>
          <w:sz w:val="20"/>
          <w:szCs w:val="20"/>
          <w:bdr w:val="none" w:sz="0" w:space="0" w:color="auto"/>
        </w:rPr>
        <w:t xml:space="preserve"> </w:t>
      </w:r>
      <w:r w:rsidR="00D64B7E">
        <w:rPr>
          <w:rFonts w:ascii="Cambria" w:eastAsia="Calibri" w:hAnsi="Cambria"/>
          <w:sz w:val="20"/>
          <w:szCs w:val="20"/>
          <w:bdr w:val="none" w:sz="0" w:space="0" w:color="auto"/>
        </w:rPr>
        <w:t>responsible</w:t>
      </w:r>
      <w:r w:rsidR="00E92985">
        <w:rPr>
          <w:rFonts w:ascii="Cambria" w:eastAsia="Calibri" w:hAnsi="Cambria"/>
          <w:sz w:val="20"/>
          <w:szCs w:val="20"/>
          <w:bdr w:val="none" w:sz="0" w:space="0" w:color="auto"/>
        </w:rPr>
        <w:t xml:space="preserve"> of </w:t>
      </w:r>
      <w:r w:rsidR="00F4684B">
        <w:rPr>
          <w:rFonts w:ascii="Cambria" w:eastAsia="Calibri" w:hAnsi="Cambria"/>
          <w:sz w:val="20"/>
          <w:szCs w:val="20"/>
          <w:bdr w:val="none" w:sz="0" w:space="0" w:color="auto"/>
        </w:rPr>
        <w:t xml:space="preserve">carrying </w:t>
      </w:r>
      <w:r w:rsidR="004A189A">
        <w:rPr>
          <w:rFonts w:ascii="Cambria" w:eastAsia="Calibri" w:hAnsi="Cambria"/>
          <w:sz w:val="20"/>
          <w:szCs w:val="20"/>
          <w:bdr w:val="none" w:sz="0" w:space="0" w:color="auto"/>
        </w:rPr>
        <w:t xml:space="preserve">it </w:t>
      </w:r>
      <w:r w:rsidR="00F4684B">
        <w:rPr>
          <w:rFonts w:ascii="Cambria" w:eastAsia="Calibri" w:hAnsi="Cambria"/>
          <w:sz w:val="20"/>
          <w:szCs w:val="20"/>
          <w:bdr w:val="none" w:sz="0" w:space="0" w:color="auto"/>
        </w:rPr>
        <w:t>out is so</w:t>
      </w:r>
      <w:r w:rsidR="00773B3C" w:rsidRPr="00A51861">
        <w:rPr>
          <w:rFonts w:ascii="Cambria" w:eastAsia="Calibri" w:hAnsi="Cambria"/>
          <w:sz w:val="20"/>
          <w:szCs w:val="20"/>
          <w:bdr w:val="none" w:sz="0" w:space="0" w:color="auto"/>
        </w:rPr>
        <w:t xml:space="preserve"> fundamental </w:t>
      </w:r>
      <w:r w:rsidR="00F4684B">
        <w:rPr>
          <w:rFonts w:ascii="Cambria" w:eastAsia="Calibri" w:hAnsi="Cambria"/>
          <w:sz w:val="20"/>
          <w:szCs w:val="20"/>
          <w:bdr w:val="none" w:sz="0" w:space="0" w:color="auto"/>
        </w:rPr>
        <w:t>that it cannot be disregarded in any manner</w:t>
      </w:r>
      <w:r w:rsidR="001D1D61">
        <w:rPr>
          <w:rFonts w:ascii="Cambria" w:eastAsia="Calibri" w:hAnsi="Cambria"/>
          <w:sz w:val="20"/>
          <w:szCs w:val="20"/>
          <w:bdr w:val="none" w:sz="0" w:space="0" w:color="auto"/>
        </w:rPr>
        <w:t>. Th</w:t>
      </w:r>
      <w:r w:rsidR="00F4684B">
        <w:rPr>
          <w:rFonts w:ascii="Cambria" w:eastAsia="Calibri" w:hAnsi="Cambria"/>
          <w:sz w:val="20"/>
          <w:szCs w:val="20"/>
          <w:bdr w:val="none" w:sz="0" w:space="0" w:color="auto"/>
        </w:rPr>
        <w:t>e</w:t>
      </w:r>
      <w:r w:rsidR="00773B3C" w:rsidRPr="00A51861">
        <w:rPr>
          <w:rFonts w:ascii="Cambria" w:eastAsia="Calibri" w:hAnsi="Cambria"/>
          <w:sz w:val="20"/>
          <w:szCs w:val="20"/>
          <w:bdr w:val="none" w:sz="0" w:space="0" w:color="auto"/>
        </w:rPr>
        <w:t xml:space="preserve"> </w:t>
      </w:r>
      <w:r w:rsidR="00F4684B" w:rsidRPr="00A51861">
        <w:rPr>
          <w:rFonts w:ascii="Cambria" w:eastAsia="Calibri" w:hAnsi="Cambria"/>
          <w:sz w:val="20"/>
          <w:szCs w:val="20"/>
          <w:bdr w:val="none" w:sz="0" w:space="0" w:color="auto"/>
        </w:rPr>
        <w:t>supervision</w:t>
      </w:r>
      <w:r w:rsidR="00E92985">
        <w:rPr>
          <w:rFonts w:ascii="Cambria" w:eastAsia="Calibri" w:hAnsi="Cambria"/>
          <w:sz w:val="20"/>
          <w:szCs w:val="20"/>
          <w:bdr w:val="none" w:sz="0" w:space="0" w:color="auto"/>
        </w:rPr>
        <w:t xml:space="preserve"> and </w:t>
      </w:r>
      <w:r w:rsidR="00773B3C" w:rsidRPr="00A51861">
        <w:rPr>
          <w:rFonts w:ascii="Cambria" w:eastAsia="Calibri" w:hAnsi="Cambria"/>
          <w:sz w:val="20"/>
          <w:szCs w:val="20"/>
          <w:bdr w:val="none" w:sz="0" w:space="0" w:color="auto"/>
        </w:rPr>
        <w:t>control</w:t>
      </w:r>
      <w:r w:rsidR="00E92985">
        <w:rPr>
          <w:rFonts w:ascii="Cambria" w:eastAsia="Calibri" w:hAnsi="Cambria"/>
          <w:sz w:val="20"/>
          <w:szCs w:val="20"/>
          <w:bdr w:val="none" w:sz="0" w:space="0" w:color="auto"/>
        </w:rPr>
        <w:t xml:space="preserve"> of the </w:t>
      </w:r>
      <w:r w:rsidR="006E255A">
        <w:rPr>
          <w:rFonts w:ascii="Cambria" w:eastAsia="Calibri" w:hAnsi="Cambria"/>
          <w:sz w:val="20"/>
          <w:szCs w:val="20"/>
          <w:bdr w:val="none" w:sz="0" w:space="0" w:color="auto"/>
        </w:rPr>
        <w:t>detention</w:t>
      </w:r>
      <w:r w:rsidR="00773B3C" w:rsidRPr="00A51861">
        <w:rPr>
          <w:rFonts w:ascii="Cambria" w:eastAsia="Calibri" w:hAnsi="Cambria"/>
          <w:sz w:val="20"/>
          <w:szCs w:val="20"/>
          <w:bdr w:val="none" w:sz="0" w:space="0" w:color="auto"/>
        </w:rPr>
        <w:t xml:space="preserve"> </w:t>
      </w:r>
      <w:r w:rsidR="00F4684B">
        <w:rPr>
          <w:rFonts w:ascii="Cambria" w:eastAsia="Calibri" w:hAnsi="Cambria"/>
          <w:sz w:val="20"/>
          <w:szCs w:val="20"/>
          <w:bdr w:val="none" w:sz="0" w:space="0" w:color="auto"/>
        </w:rPr>
        <w:t xml:space="preserve">is an </w:t>
      </w:r>
      <w:r w:rsidR="00F4684B" w:rsidRPr="00A51861">
        <w:rPr>
          <w:rFonts w:ascii="Cambria" w:eastAsia="Calibri" w:hAnsi="Cambria"/>
          <w:sz w:val="20"/>
          <w:szCs w:val="20"/>
          <w:bdr w:val="none" w:sz="0" w:space="0" w:color="auto"/>
        </w:rPr>
        <w:t xml:space="preserve">essential </w:t>
      </w:r>
      <w:r w:rsidR="00F4684B">
        <w:rPr>
          <w:rFonts w:ascii="Cambria" w:eastAsia="Calibri" w:hAnsi="Cambria"/>
          <w:sz w:val="20"/>
          <w:szCs w:val="20"/>
          <w:bdr w:val="none" w:sz="0" w:space="0" w:color="auto"/>
        </w:rPr>
        <w:t>safeguard</w:t>
      </w:r>
      <w:r w:rsidR="00773B3C" w:rsidRPr="00A51861">
        <w:rPr>
          <w:rFonts w:ascii="Cambria" w:eastAsia="Calibri" w:hAnsi="Cambria"/>
          <w:sz w:val="20"/>
          <w:szCs w:val="20"/>
          <w:bdr w:val="none" w:sz="0" w:space="0" w:color="auto"/>
        </w:rPr>
        <w:t xml:space="preserve"> </w:t>
      </w:r>
      <w:r w:rsidR="003978AA">
        <w:rPr>
          <w:rFonts w:ascii="Cambria" w:eastAsia="Calibri" w:hAnsi="Cambria"/>
          <w:sz w:val="20"/>
          <w:szCs w:val="20"/>
          <w:bdr w:val="none" w:sz="0" w:space="0" w:color="auto"/>
        </w:rPr>
        <w:t xml:space="preserve">since it grants </w:t>
      </w:r>
      <w:r w:rsidR="00E64C43">
        <w:rPr>
          <w:rFonts w:ascii="Cambria" w:eastAsia="Calibri" w:hAnsi="Cambria"/>
          <w:sz w:val="20"/>
          <w:szCs w:val="20"/>
          <w:bdr w:val="none" w:sz="0" w:space="0" w:color="auto"/>
        </w:rPr>
        <w:t>effective</w:t>
      </w:r>
      <w:r w:rsidR="003978AA">
        <w:rPr>
          <w:rFonts w:ascii="Cambria" w:eastAsia="Calibri" w:hAnsi="Cambria"/>
          <w:sz w:val="20"/>
          <w:szCs w:val="20"/>
          <w:bdr w:val="none" w:sz="0" w:space="0" w:color="auto"/>
        </w:rPr>
        <w:t xml:space="preserve"> guarantee</w:t>
      </w:r>
      <w:r w:rsidR="00773B3C" w:rsidRPr="00A51861">
        <w:rPr>
          <w:rFonts w:ascii="Cambria" w:eastAsia="Calibri" w:hAnsi="Cambria"/>
          <w:sz w:val="20"/>
          <w:szCs w:val="20"/>
          <w:bdr w:val="none" w:sz="0" w:space="0" w:color="auto"/>
        </w:rPr>
        <w:t>s</w:t>
      </w:r>
      <w:r w:rsidR="00E92985">
        <w:rPr>
          <w:rFonts w:ascii="Cambria" w:eastAsia="Calibri" w:hAnsi="Cambria"/>
          <w:sz w:val="20"/>
          <w:szCs w:val="20"/>
          <w:bdr w:val="none" w:sz="0" w:space="0" w:color="auto"/>
        </w:rPr>
        <w:t xml:space="preserve"> that the </w:t>
      </w:r>
      <w:r w:rsidR="00CB67C7">
        <w:rPr>
          <w:rFonts w:ascii="Cambria" w:eastAsia="Calibri" w:hAnsi="Cambria"/>
          <w:sz w:val="20"/>
          <w:szCs w:val="20"/>
          <w:bdr w:val="none" w:sz="0" w:space="0" w:color="auto"/>
        </w:rPr>
        <w:t>detained</w:t>
      </w:r>
      <w:r w:rsidR="00773B3C" w:rsidRPr="00A51861">
        <w:rPr>
          <w:rFonts w:ascii="Cambria" w:eastAsia="Calibri" w:hAnsi="Cambria"/>
          <w:sz w:val="20"/>
          <w:szCs w:val="20"/>
          <w:bdr w:val="none" w:sz="0" w:space="0" w:color="auto"/>
        </w:rPr>
        <w:t xml:space="preserve"> </w:t>
      </w:r>
      <w:r w:rsidR="003978AA">
        <w:rPr>
          <w:rFonts w:ascii="Cambria" w:eastAsia="Calibri" w:hAnsi="Cambria"/>
          <w:sz w:val="20"/>
          <w:szCs w:val="20"/>
          <w:bdr w:val="none" w:sz="0" w:space="0" w:color="auto"/>
        </w:rPr>
        <w:t>are not exclusively at the mercy</w:t>
      </w:r>
      <w:r w:rsidR="00E92985">
        <w:rPr>
          <w:rFonts w:ascii="Cambria" w:eastAsia="Calibri" w:hAnsi="Cambria"/>
          <w:sz w:val="20"/>
          <w:szCs w:val="20"/>
          <w:bdr w:val="none" w:sz="0" w:space="0" w:color="auto"/>
        </w:rPr>
        <w:t xml:space="preserve"> of the </w:t>
      </w:r>
      <w:r w:rsidR="000A3625">
        <w:rPr>
          <w:rFonts w:ascii="Cambria" w:eastAsia="Calibri" w:hAnsi="Cambria"/>
          <w:sz w:val="20"/>
          <w:szCs w:val="20"/>
          <w:bdr w:val="none" w:sz="0" w:space="0" w:color="auto"/>
        </w:rPr>
        <w:t>authority</w:t>
      </w:r>
      <w:r w:rsidR="00773B3C" w:rsidRPr="00A51861">
        <w:rPr>
          <w:rFonts w:ascii="Cambria" w:eastAsia="Calibri" w:hAnsi="Cambria"/>
          <w:sz w:val="20"/>
          <w:szCs w:val="20"/>
          <w:bdr w:val="none" w:sz="0" w:space="0" w:color="auto"/>
        </w:rPr>
        <w:t xml:space="preserve"> </w:t>
      </w:r>
      <w:r w:rsidR="003978AA">
        <w:rPr>
          <w:rFonts w:ascii="Cambria" w:eastAsia="Calibri" w:hAnsi="Cambria"/>
          <w:sz w:val="20"/>
          <w:szCs w:val="20"/>
          <w:bdr w:val="none" w:sz="0" w:space="0" w:color="auto"/>
        </w:rPr>
        <w:t>which detains them</w:t>
      </w:r>
      <w:r w:rsidR="00773B3C" w:rsidRPr="00A51861">
        <w:rPr>
          <w:rFonts w:ascii="Cambria" w:eastAsia="Calibri" w:hAnsi="Cambria"/>
          <w:sz w:val="20"/>
          <w:szCs w:val="20"/>
          <w:bdr w:val="none" w:sz="0" w:space="0" w:color="auto"/>
        </w:rPr>
        <w:t xml:space="preserve">. </w:t>
      </w:r>
      <w:r w:rsidR="003978AA">
        <w:rPr>
          <w:rFonts w:ascii="Cambria" w:eastAsia="Calibri" w:hAnsi="Cambria"/>
          <w:sz w:val="20"/>
          <w:szCs w:val="20"/>
          <w:bdr w:val="none" w:sz="0" w:space="0" w:color="auto"/>
        </w:rPr>
        <w:t>In</w:t>
      </w:r>
      <w:r w:rsidR="00773B3C" w:rsidRPr="00A51861">
        <w:rPr>
          <w:rFonts w:ascii="Cambria" w:eastAsia="Calibri" w:hAnsi="Cambria"/>
          <w:sz w:val="20"/>
          <w:szCs w:val="20"/>
          <w:bdr w:val="none" w:sz="0" w:space="0" w:color="auto"/>
        </w:rPr>
        <w:t xml:space="preserve"> </w:t>
      </w:r>
      <w:r w:rsidR="003978AA" w:rsidRPr="00A51861">
        <w:rPr>
          <w:rFonts w:ascii="Cambria" w:eastAsia="Calibri" w:hAnsi="Cambria"/>
          <w:sz w:val="20"/>
          <w:szCs w:val="20"/>
          <w:bdr w:val="none" w:sz="0" w:space="0" w:color="auto"/>
        </w:rPr>
        <w:t>normal circumstances</w:t>
      </w:r>
      <w:r w:rsidR="00773B3C" w:rsidRPr="00A51861">
        <w:rPr>
          <w:rFonts w:ascii="Cambria" w:eastAsia="Calibri" w:hAnsi="Cambria"/>
          <w:sz w:val="20"/>
          <w:szCs w:val="20"/>
          <w:bdr w:val="none" w:sz="0" w:space="0" w:color="auto"/>
        </w:rPr>
        <w:t xml:space="preserve">, </w:t>
      </w:r>
      <w:r w:rsidR="003978AA">
        <w:rPr>
          <w:rFonts w:ascii="Cambria" w:eastAsia="Calibri" w:hAnsi="Cambria"/>
          <w:sz w:val="20"/>
          <w:szCs w:val="20"/>
          <w:bdr w:val="none" w:sz="0" w:space="0" w:color="auto"/>
        </w:rPr>
        <w:t>the</w:t>
      </w:r>
      <w:r w:rsidR="00773B3C" w:rsidRPr="00A51861">
        <w:rPr>
          <w:rFonts w:ascii="Cambria" w:eastAsia="Calibri" w:hAnsi="Cambria"/>
          <w:sz w:val="20"/>
          <w:szCs w:val="20"/>
          <w:bdr w:val="none" w:sz="0" w:space="0" w:color="auto"/>
        </w:rPr>
        <w:t xml:space="preserve"> </w:t>
      </w:r>
      <w:r w:rsidR="004A189A">
        <w:rPr>
          <w:rFonts w:ascii="Cambria" w:eastAsia="Calibri" w:hAnsi="Cambria"/>
          <w:sz w:val="20"/>
          <w:szCs w:val="20"/>
          <w:bdr w:val="none" w:sz="0" w:space="0" w:color="auto"/>
        </w:rPr>
        <w:t>assessment</w:t>
      </w:r>
      <w:r w:rsidR="00E92985">
        <w:rPr>
          <w:rFonts w:ascii="Cambria" w:eastAsia="Calibri" w:hAnsi="Cambria"/>
          <w:sz w:val="20"/>
          <w:szCs w:val="20"/>
          <w:bdr w:val="none" w:sz="0" w:space="0" w:color="auto"/>
        </w:rPr>
        <w:t xml:space="preserve"> of the </w:t>
      </w:r>
      <w:r w:rsidR="00773B3C" w:rsidRPr="00A51861">
        <w:rPr>
          <w:rFonts w:ascii="Cambria" w:eastAsia="Calibri" w:hAnsi="Cambria"/>
          <w:sz w:val="20"/>
          <w:szCs w:val="20"/>
          <w:bdr w:val="none" w:sz="0" w:space="0" w:color="auto"/>
        </w:rPr>
        <w:t>legali</w:t>
      </w:r>
      <w:r w:rsidR="003978AA">
        <w:rPr>
          <w:rFonts w:ascii="Cambria" w:eastAsia="Calibri" w:hAnsi="Cambria"/>
          <w:sz w:val="20"/>
          <w:szCs w:val="20"/>
          <w:bdr w:val="none" w:sz="0" w:space="0" w:color="auto"/>
        </w:rPr>
        <w:t>ty</w:t>
      </w:r>
      <w:r w:rsidR="00E92985">
        <w:rPr>
          <w:rFonts w:ascii="Cambria" w:eastAsia="Calibri" w:hAnsi="Cambria"/>
          <w:sz w:val="20"/>
          <w:szCs w:val="20"/>
          <w:bdr w:val="none" w:sz="0" w:space="0" w:color="auto"/>
        </w:rPr>
        <w:t xml:space="preserve"> of the </w:t>
      </w:r>
      <w:r w:rsidR="006E255A">
        <w:rPr>
          <w:rFonts w:ascii="Cambria" w:eastAsia="Calibri" w:hAnsi="Cambria"/>
          <w:sz w:val="20"/>
          <w:szCs w:val="20"/>
          <w:bdr w:val="none" w:sz="0" w:space="0" w:color="auto"/>
        </w:rPr>
        <w:t>detention</w:t>
      </w:r>
      <w:r w:rsidR="00773B3C" w:rsidRPr="00A51861">
        <w:rPr>
          <w:rFonts w:ascii="Cambria" w:eastAsia="Calibri" w:hAnsi="Cambria"/>
          <w:sz w:val="20"/>
          <w:szCs w:val="20"/>
          <w:bdr w:val="none" w:sz="0" w:space="0" w:color="auto"/>
        </w:rPr>
        <w:t xml:space="preserve"> </w:t>
      </w:r>
      <w:r w:rsidR="003978AA">
        <w:rPr>
          <w:rFonts w:ascii="Cambria" w:eastAsia="Calibri" w:hAnsi="Cambria"/>
          <w:sz w:val="20"/>
          <w:szCs w:val="20"/>
          <w:bdr w:val="none" w:sz="0" w:space="0" w:color="auto"/>
        </w:rPr>
        <w:t>is to be conducted swiftly</w:t>
      </w:r>
      <w:r w:rsidR="00773B3C" w:rsidRPr="00A51861">
        <w:rPr>
          <w:rFonts w:ascii="Cambria" w:eastAsia="Calibri" w:hAnsi="Cambria"/>
          <w:sz w:val="20"/>
          <w:szCs w:val="20"/>
          <w:bdr w:val="none" w:sz="0" w:space="0" w:color="auto"/>
        </w:rPr>
        <w:t xml:space="preserve">, </w:t>
      </w:r>
      <w:r w:rsidR="003978AA">
        <w:rPr>
          <w:rFonts w:ascii="Cambria" w:eastAsia="Calibri" w:hAnsi="Cambria"/>
          <w:sz w:val="20"/>
          <w:szCs w:val="20"/>
          <w:bdr w:val="none" w:sz="0" w:space="0" w:color="auto"/>
        </w:rPr>
        <w:t>which in</w:t>
      </w:r>
      <w:r w:rsidR="00773B3C" w:rsidRPr="00A51861">
        <w:rPr>
          <w:rFonts w:ascii="Cambria" w:eastAsia="Calibri" w:hAnsi="Cambria"/>
          <w:sz w:val="20"/>
          <w:szCs w:val="20"/>
          <w:bdr w:val="none" w:sz="0" w:space="0" w:color="auto"/>
        </w:rPr>
        <w:t xml:space="preserve"> general </w:t>
      </w:r>
      <w:r w:rsidR="003978AA">
        <w:rPr>
          <w:rFonts w:ascii="Cambria" w:eastAsia="Calibri" w:hAnsi="Cambria"/>
          <w:sz w:val="20"/>
          <w:szCs w:val="20"/>
          <w:bdr w:val="none" w:sz="0" w:space="0" w:color="auto"/>
        </w:rPr>
        <w:t>means as soon as</w:t>
      </w:r>
      <w:r w:rsidR="00773B3C" w:rsidRPr="00A51861">
        <w:rPr>
          <w:rFonts w:ascii="Cambria" w:eastAsia="Calibri" w:hAnsi="Cambria"/>
          <w:sz w:val="20"/>
          <w:szCs w:val="20"/>
          <w:bdr w:val="none" w:sz="0" w:space="0" w:color="auto"/>
        </w:rPr>
        <w:t xml:space="preserve"> po</w:t>
      </w:r>
      <w:r w:rsidR="003978AA">
        <w:rPr>
          <w:rFonts w:ascii="Cambria" w:eastAsia="Calibri" w:hAnsi="Cambria"/>
          <w:sz w:val="20"/>
          <w:szCs w:val="20"/>
          <w:bdr w:val="none" w:sz="0" w:space="0" w:color="auto"/>
        </w:rPr>
        <w:t>s</w:t>
      </w:r>
      <w:r w:rsidR="00773B3C" w:rsidRPr="00A51861">
        <w:rPr>
          <w:rFonts w:ascii="Cambria" w:eastAsia="Calibri" w:hAnsi="Cambria"/>
          <w:sz w:val="20"/>
          <w:szCs w:val="20"/>
          <w:bdr w:val="none" w:sz="0" w:space="0" w:color="auto"/>
        </w:rPr>
        <w:t>sible</w:t>
      </w:r>
      <w:r w:rsidR="00773B3C" w:rsidRPr="00A51861">
        <w:rPr>
          <w:rFonts w:ascii="Cambria" w:eastAsia="Calibri" w:hAnsi="Cambria"/>
          <w:sz w:val="20"/>
          <w:szCs w:val="20"/>
          <w:bdr w:val="none" w:sz="0" w:space="0" w:color="auto"/>
          <w:vertAlign w:val="superscript"/>
        </w:rPr>
        <w:footnoteReference w:id="151"/>
      </w:r>
      <w:r w:rsidR="00773B3C" w:rsidRPr="00A51861">
        <w:rPr>
          <w:rFonts w:ascii="Cambria" w:eastAsia="Calibri" w:hAnsi="Cambria"/>
          <w:sz w:val="20"/>
          <w:szCs w:val="20"/>
          <w:bdr w:val="none" w:sz="0" w:space="0" w:color="auto"/>
        </w:rPr>
        <w:t xml:space="preserve">. </w:t>
      </w:r>
    </w:p>
    <w:p w14:paraId="72012359" w14:textId="77777777" w:rsidR="00851B5B" w:rsidRPr="00A51861" w:rsidRDefault="00851B5B" w:rsidP="008E4D36">
      <w:pPr>
        <w:pStyle w:val="ListParagraph"/>
        <w:rPr>
          <w:rFonts w:eastAsia="Calibri"/>
          <w:sz w:val="20"/>
          <w:szCs w:val="20"/>
          <w:bdr w:val="none" w:sz="0" w:space="0" w:color="auto"/>
        </w:rPr>
      </w:pPr>
    </w:p>
    <w:p w14:paraId="30B604C5" w14:textId="197E7FBB" w:rsidR="00851B5B" w:rsidRPr="00A51861" w:rsidRDefault="006C04ED"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eastAsia="Calibri" w:hAnsi="Cambria"/>
          <w:sz w:val="20"/>
          <w:szCs w:val="20"/>
          <w:bdr w:val="none" w:sz="0" w:space="0" w:color="auto"/>
        </w:rPr>
      </w:pPr>
      <w:r>
        <w:rPr>
          <w:rFonts w:ascii="Cambria" w:eastAsia="Calibri" w:hAnsi="Cambria"/>
          <w:sz w:val="20"/>
          <w:szCs w:val="20"/>
          <w:bdr w:val="none" w:sz="0" w:space="0" w:color="auto"/>
        </w:rPr>
        <w:t>The right to</w:t>
      </w:r>
      <w:r w:rsidR="00851B5B" w:rsidRPr="00A51861">
        <w:rPr>
          <w:rFonts w:ascii="Cambria" w:eastAsia="Calibri" w:hAnsi="Cambria"/>
          <w:sz w:val="20"/>
          <w:szCs w:val="20"/>
          <w:bdr w:val="none" w:sz="0" w:space="0" w:color="auto"/>
        </w:rPr>
        <w:t xml:space="preserve"> </w:t>
      </w:r>
      <w:r w:rsidR="00986A65">
        <w:rPr>
          <w:rFonts w:ascii="Cambria" w:eastAsia="Calibri" w:hAnsi="Cambria"/>
          <w:sz w:val="20"/>
          <w:szCs w:val="20"/>
          <w:bdr w:val="none" w:sz="0" w:space="0" w:color="auto"/>
        </w:rPr>
        <w:t>personal liberty</w:t>
      </w:r>
      <w:r w:rsidR="00851B5B" w:rsidRPr="00A51861">
        <w:rPr>
          <w:rFonts w:ascii="Cambria" w:eastAsia="Calibri" w:hAnsi="Cambria"/>
          <w:sz w:val="20"/>
          <w:szCs w:val="20"/>
          <w:bdr w:val="none" w:sz="0" w:space="0" w:color="auto"/>
        </w:rPr>
        <w:t xml:space="preserve"> reco</w:t>
      </w:r>
      <w:r>
        <w:rPr>
          <w:rFonts w:ascii="Cambria" w:eastAsia="Calibri" w:hAnsi="Cambria"/>
          <w:sz w:val="20"/>
          <w:szCs w:val="20"/>
          <w:bdr w:val="none" w:sz="0" w:space="0" w:color="auto"/>
        </w:rPr>
        <w:t>gniz</w:t>
      </w:r>
      <w:r w:rsidR="00851B5B" w:rsidRPr="00A51861">
        <w:rPr>
          <w:rFonts w:ascii="Cambria" w:eastAsia="Calibri" w:hAnsi="Cambria"/>
          <w:sz w:val="20"/>
          <w:szCs w:val="20"/>
          <w:bdr w:val="none" w:sz="0" w:space="0" w:color="auto"/>
        </w:rPr>
        <w:t>e</w:t>
      </w:r>
      <w:r>
        <w:rPr>
          <w:rFonts w:ascii="Cambria" w:eastAsia="Calibri" w:hAnsi="Cambria"/>
          <w:sz w:val="20"/>
          <w:szCs w:val="20"/>
          <w:bdr w:val="none" w:sz="0" w:space="0" w:color="auto"/>
        </w:rPr>
        <w:t>s</w:t>
      </w:r>
      <w:r w:rsidR="00851B5B" w:rsidRPr="00A51861">
        <w:rPr>
          <w:rFonts w:ascii="Cambria" w:eastAsia="Calibri" w:hAnsi="Cambria"/>
          <w:sz w:val="20"/>
          <w:szCs w:val="20"/>
          <w:bdr w:val="none" w:sz="0" w:space="0" w:color="auto"/>
        </w:rPr>
        <w:t>, pri</w:t>
      </w:r>
      <w:r>
        <w:rPr>
          <w:rFonts w:ascii="Cambria" w:eastAsia="Calibri" w:hAnsi="Cambria"/>
          <w:sz w:val="20"/>
          <w:szCs w:val="20"/>
          <w:bdr w:val="none" w:sz="0" w:space="0" w:color="auto"/>
        </w:rPr>
        <w:t>ma</w:t>
      </w:r>
      <w:r w:rsidR="00851B5B" w:rsidRPr="00A51861">
        <w:rPr>
          <w:rFonts w:ascii="Cambria" w:eastAsia="Calibri" w:hAnsi="Cambria"/>
          <w:sz w:val="20"/>
          <w:szCs w:val="20"/>
          <w:bdr w:val="none" w:sz="0" w:space="0" w:color="auto"/>
        </w:rPr>
        <w:t>r</w:t>
      </w:r>
      <w:r>
        <w:rPr>
          <w:rFonts w:ascii="Cambria" w:eastAsia="Calibri" w:hAnsi="Cambria"/>
          <w:sz w:val="20"/>
          <w:szCs w:val="20"/>
          <w:bdr w:val="none" w:sz="0" w:space="0" w:color="auto"/>
        </w:rPr>
        <w:t>i</w:t>
      </w:r>
      <w:r w:rsidR="00F92BA8">
        <w:rPr>
          <w:rFonts w:ascii="Cambria" w:eastAsia="Calibri" w:hAnsi="Cambria"/>
          <w:sz w:val="20"/>
          <w:szCs w:val="20"/>
          <w:bdr w:val="none" w:sz="0" w:space="0" w:color="auto"/>
        </w:rPr>
        <w:t>ly</w:t>
      </w:r>
      <w:r w:rsidR="00851B5B" w:rsidRPr="00A51861">
        <w:rPr>
          <w:rFonts w:ascii="Cambria" w:eastAsia="Calibri" w:hAnsi="Cambria"/>
          <w:sz w:val="20"/>
          <w:szCs w:val="20"/>
          <w:bdr w:val="none" w:sz="0" w:space="0" w:color="auto"/>
        </w:rPr>
        <w:t>,</w:t>
      </w:r>
      <w:r w:rsidR="009A4F91">
        <w:rPr>
          <w:rFonts w:ascii="Cambria" w:eastAsia="Calibri" w:hAnsi="Cambria"/>
          <w:sz w:val="20"/>
          <w:szCs w:val="20"/>
          <w:bdr w:val="none" w:sz="0" w:space="0" w:color="auto"/>
        </w:rPr>
        <w:t xml:space="preserve"> the guarantee</w:t>
      </w:r>
      <w:r w:rsidR="004969F4">
        <w:rPr>
          <w:rFonts w:ascii="Cambria" w:eastAsia="Calibri" w:hAnsi="Cambria"/>
          <w:sz w:val="20"/>
          <w:szCs w:val="20"/>
          <w:bdr w:val="none" w:sz="0" w:space="0" w:color="auto"/>
        </w:rPr>
        <w:t xml:space="preserve"> of </w:t>
      </w:r>
      <w:r w:rsidR="009A4F91">
        <w:rPr>
          <w:rFonts w:ascii="Cambria" w:eastAsia="Calibri" w:hAnsi="Cambria"/>
          <w:sz w:val="20"/>
          <w:szCs w:val="20"/>
          <w:bdr w:val="none" w:sz="0" w:space="0" w:color="auto"/>
        </w:rPr>
        <w:t>the right to physical liberty</w:t>
      </w:r>
      <w:r w:rsidR="00851B5B" w:rsidRPr="00A51861">
        <w:rPr>
          <w:rFonts w:ascii="Cambria" w:eastAsia="Calibri" w:hAnsi="Cambria"/>
          <w:sz w:val="20"/>
          <w:szCs w:val="20"/>
          <w:bdr w:val="none" w:sz="0" w:space="0" w:color="auto"/>
        </w:rPr>
        <w:t>:</w:t>
      </w:r>
      <w:r w:rsidR="009A4F91">
        <w:rPr>
          <w:rFonts w:ascii="Cambria" w:eastAsia="Calibri" w:hAnsi="Cambria"/>
          <w:sz w:val="20"/>
          <w:szCs w:val="20"/>
          <w:bdr w:val="none" w:sz="0" w:space="0" w:color="auto"/>
        </w:rPr>
        <w:t xml:space="preserve"> the </w:t>
      </w:r>
      <w:r w:rsidR="00851B5B" w:rsidRPr="00A51861">
        <w:rPr>
          <w:rFonts w:ascii="Cambria" w:eastAsia="Calibri" w:hAnsi="Cambria"/>
          <w:sz w:val="20"/>
          <w:szCs w:val="20"/>
          <w:bdr w:val="none" w:sz="0" w:space="0" w:color="auto"/>
        </w:rPr>
        <w:t>reserv</w:t>
      </w:r>
      <w:r w:rsidR="009A4F91">
        <w:rPr>
          <w:rFonts w:ascii="Cambria" w:eastAsia="Calibri" w:hAnsi="Cambria"/>
          <w:sz w:val="20"/>
          <w:szCs w:val="20"/>
          <w:bdr w:val="none" w:sz="0" w:space="0" w:color="auto"/>
        </w:rPr>
        <w:t>ation</w:t>
      </w:r>
      <w:r w:rsidR="00851B5B" w:rsidRPr="00A51861">
        <w:rPr>
          <w:rFonts w:ascii="Cambria" w:eastAsia="Calibri" w:hAnsi="Cambria"/>
          <w:sz w:val="20"/>
          <w:szCs w:val="20"/>
          <w:bdr w:val="none" w:sz="0" w:space="0" w:color="auto"/>
        </w:rPr>
        <w:t xml:space="preserve"> </w:t>
      </w:r>
      <w:r w:rsidR="0045141A">
        <w:rPr>
          <w:rFonts w:ascii="Cambria" w:eastAsia="Calibri" w:hAnsi="Cambria"/>
          <w:sz w:val="20"/>
          <w:szCs w:val="20"/>
          <w:bdr w:val="none" w:sz="0" w:space="0" w:color="auto"/>
        </w:rPr>
        <w:t xml:space="preserve">of law </w:t>
      </w:r>
      <w:r w:rsidR="009A4F91">
        <w:rPr>
          <w:rFonts w:ascii="Cambria" w:eastAsia="Calibri" w:hAnsi="Cambria"/>
          <w:sz w:val="20"/>
          <w:szCs w:val="20"/>
          <w:bdr w:val="none" w:sz="0" w:space="0" w:color="auto"/>
        </w:rPr>
        <w:t>according to which</w:t>
      </w:r>
      <w:r w:rsidR="00851B5B" w:rsidRPr="00A51861">
        <w:rPr>
          <w:rFonts w:ascii="Cambria" w:eastAsia="Calibri" w:hAnsi="Cambria"/>
          <w:sz w:val="20"/>
          <w:szCs w:val="20"/>
          <w:bdr w:val="none" w:sz="0" w:space="0" w:color="auto"/>
        </w:rPr>
        <w:t xml:space="preserve">, </w:t>
      </w:r>
      <w:r w:rsidR="009A4F91">
        <w:rPr>
          <w:rFonts w:ascii="Cambria" w:eastAsia="Calibri" w:hAnsi="Cambria"/>
          <w:sz w:val="20"/>
          <w:szCs w:val="20"/>
          <w:bdr w:val="none" w:sz="0" w:space="0" w:color="auto"/>
        </w:rPr>
        <w:t>it is only by means of a</w:t>
      </w:r>
      <w:r w:rsidR="00851B5B" w:rsidRPr="00A51861">
        <w:rPr>
          <w:rFonts w:ascii="Cambria" w:eastAsia="Calibri" w:hAnsi="Cambria"/>
          <w:sz w:val="20"/>
          <w:szCs w:val="20"/>
          <w:bdr w:val="none" w:sz="0" w:space="0" w:color="auto"/>
        </w:rPr>
        <w:t xml:space="preserve"> </w:t>
      </w:r>
      <w:r w:rsidR="0029564F">
        <w:rPr>
          <w:rFonts w:ascii="Cambria" w:eastAsia="Calibri" w:hAnsi="Cambria"/>
          <w:sz w:val="20"/>
          <w:szCs w:val="20"/>
          <w:bdr w:val="none" w:sz="0" w:space="0" w:color="auto"/>
        </w:rPr>
        <w:t>law</w:t>
      </w:r>
      <w:r w:rsidR="00851B5B" w:rsidRPr="00A51861">
        <w:rPr>
          <w:rFonts w:ascii="Cambria" w:eastAsia="Calibri" w:hAnsi="Cambria"/>
          <w:sz w:val="20"/>
          <w:szCs w:val="20"/>
          <w:bdr w:val="none" w:sz="0" w:space="0" w:color="auto"/>
        </w:rPr>
        <w:t xml:space="preserve"> </w:t>
      </w:r>
      <w:r w:rsidR="009A4F91">
        <w:rPr>
          <w:rFonts w:ascii="Cambria" w:eastAsia="Calibri" w:hAnsi="Cambria"/>
          <w:sz w:val="20"/>
          <w:szCs w:val="20"/>
          <w:bdr w:val="none" w:sz="0" w:space="0" w:color="auto"/>
        </w:rPr>
        <w:t xml:space="preserve">that the right to </w:t>
      </w:r>
      <w:r w:rsidR="00986A65">
        <w:rPr>
          <w:rFonts w:ascii="Cambria" w:eastAsia="Calibri" w:hAnsi="Cambria"/>
          <w:sz w:val="20"/>
          <w:szCs w:val="20"/>
          <w:bdr w:val="none" w:sz="0" w:space="0" w:color="auto"/>
        </w:rPr>
        <w:t>personal liberty</w:t>
      </w:r>
      <w:r w:rsidR="009A4F91">
        <w:rPr>
          <w:rFonts w:ascii="Cambria" w:eastAsia="Calibri" w:hAnsi="Cambria"/>
          <w:sz w:val="20"/>
          <w:szCs w:val="20"/>
          <w:bdr w:val="none" w:sz="0" w:space="0" w:color="auto"/>
        </w:rPr>
        <w:t xml:space="preserve"> may be affected</w:t>
      </w:r>
      <w:r w:rsidR="00851B5B" w:rsidRPr="00A51861">
        <w:rPr>
          <w:rFonts w:ascii="Cambria" w:eastAsia="Calibri" w:hAnsi="Cambria"/>
          <w:sz w:val="20"/>
          <w:szCs w:val="20"/>
          <w:bdr w:val="none" w:sz="0" w:space="0" w:color="auto"/>
          <w:vertAlign w:val="superscript"/>
        </w:rPr>
        <w:footnoteReference w:id="152"/>
      </w:r>
      <w:r w:rsidR="001D1D61">
        <w:rPr>
          <w:rFonts w:ascii="Cambria" w:eastAsia="Calibri" w:hAnsi="Cambria"/>
          <w:sz w:val="20"/>
          <w:szCs w:val="20"/>
          <w:bdr w:val="none" w:sz="0" w:space="0" w:color="auto"/>
        </w:rPr>
        <w:t>. Th</w:t>
      </w:r>
      <w:r w:rsidR="009A4F91">
        <w:rPr>
          <w:rFonts w:ascii="Cambria" w:eastAsia="Calibri" w:hAnsi="Cambria"/>
          <w:sz w:val="20"/>
          <w:szCs w:val="20"/>
          <w:bdr w:val="none" w:sz="0" w:space="0" w:color="auto"/>
        </w:rPr>
        <w:t>is</w:t>
      </w:r>
      <w:r w:rsidR="00E64C43">
        <w:rPr>
          <w:rFonts w:ascii="Cambria" w:eastAsia="Calibri" w:hAnsi="Cambria"/>
          <w:sz w:val="20"/>
          <w:szCs w:val="20"/>
          <w:bdr w:val="none" w:sz="0" w:space="0" w:color="auto"/>
        </w:rPr>
        <w:t xml:space="preserve"> </w:t>
      </w:r>
      <w:r w:rsidR="00851B5B" w:rsidRPr="00A51861">
        <w:rPr>
          <w:rFonts w:ascii="Cambria" w:eastAsia="Calibri" w:hAnsi="Cambria"/>
          <w:sz w:val="20"/>
          <w:szCs w:val="20"/>
          <w:bdr w:val="none" w:sz="0" w:space="0" w:color="auto"/>
        </w:rPr>
        <w:t>reserva</w:t>
      </w:r>
      <w:r w:rsidR="0045141A">
        <w:rPr>
          <w:rFonts w:ascii="Cambria" w:eastAsia="Calibri" w:hAnsi="Cambria"/>
          <w:sz w:val="20"/>
          <w:szCs w:val="20"/>
          <w:bdr w:val="none" w:sz="0" w:space="0" w:color="auto"/>
        </w:rPr>
        <w:t>tion</w:t>
      </w:r>
      <w:r w:rsidR="00E92985">
        <w:rPr>
          <w:rFonts w:ascii="Cambria" w:eastAsia="Calibri" w:hAnsi="Cambria"/>
          <w:sz w:val="20"/>
          <w:szCs w:val="20"/>
          <w:bdr w:val="none" w:sz="0" w:space="0" w:color="auto"/>
        </w:rPr>
        <w:t xml:space="preserve"> of </w:t>
      </w:r>
      <w:r w:rsidR="0029564F">
        <w:rPr>
          <w:rFonts w:ascii="Cambria" w:eastAsia="Calibri" w:hAnsi="Cambria"/>
          <w:sz w:val="20"/>
          <w:szCs w:val="20"/>
          <w:bdr w:val="none" w:sz="0" w:space="0" w:color="auto"/>
        </w:rPr>
        <w:t>law</w:t>
      </w:r>
      <w:r w:rsidR="00851B5B" w:rsidRPr="00A51861">
        <w:rPr>
          <w:rFonts w:ascii="Cambria" w:eastAsia="Calibri" w:hAnsi="Cambria"/>
          <w:sz w:val="20"/>
          <w:szCs w:val="20"/>
          <w:bdr w:val="none" w:sz="0" w:space="0" w:color="auto"/>
        </w:rPr>
        <w:t xml:space="preserve"> impli</w:t>
      </w:r>
      <w:r w:rsidR="0045141A">
        <w:rPr>
          <w:rFonts w:ascii="Cambria" w:eastAsia="Calibri" w:hAnsi="Cambria"/>
          <w:sz w:val="20"/>
          <w:szCs w:val="20"/>
          <w:bdr w:val="none" w:sz="0" w:space="0" w:color="auto"/>
        </w:rPr>
        <w:t>es</w:t>
      </w:r>
      <w:r w:rsidR="00851B5B" w:rsidRPr="00A51861">
        <w:rPr>
          <w:rFonts w:ascii="Cambria" w:eastAsia="Calibri" w:hAnsi="Cambria"/>
          <w:sz w:val="20"/>
          <w:szCs w:val="20"/>
          <w:bdr w:val="none" w:sz="0" w:space="0" w:color="auto"/>
        </w:rPr>
        <w:t xml:space="preserve">, </w:t>
      </w:r>
      <w:r w:rsidR="0045141A">
        <w:rPr>
          <w:rFonts w:ascii="Cambria" w:eastAsia="Calibri" w:hAnsi="Cambria"/>
          <w:sz w:val="20"/>
          <w:szCs w:val="20"/>
          <w:bdr w:val="none" w:sz="0" w:space="0" w:color="auto"/>
        </w:rPr>
        <w:t>a</w:t>
      </w:r>
      <w:r w:rsidR="00851B5B" w:rsidRPr="00A51861">
        <w:rPr>
          <w:rFonts w:ascii="Cambria" w:eastAsia="Calibri" w:hAnsi="Cambria"/>
          <w:sz w:val="20"/>
          <w:szCs w:val="20"/>
          <w:bdr w:val="none" w:sz="0" w:space="0" w:color="auto"/>
        </w:rPr>
        <w:t xml:space="preserve"> formal</w:t>
      </w:r>
      <w:r w:rsidR="0045141A" w:rsidRPr="0045141A">
        <w:rPr>
          <w:rFonts w:ascii="Cambria" w:eastAsia="Calibri" w:hAnsi="Cambria"/>
          <w:sz w:val="20"/>
          <w:szCs w:val="20"/>
          <w:bdr w:val="none" w:sz="0" w:space="0" w:color="auto"/>
        </w:rPr>
        <w:t xml:space="preserve"> </w:t>
      </w:r>
      <w:r w:rsidR="0045141A">
        <w:rPr>
          <w:rFonts w:ascii="Cambria" w:eastAsia="Calibri" w:hAnsi="Cambria"/>
          <w:sz w:val="20"/>
          <w:szCs w:val="20"/>
          <w:bdr w:val="none" w:sz="0" w:space="0" w:color="auto"/>
        </w:rPr>
        <w:t>guarantee</w:t>
      </w:r>
      <w:r w:rsidR="00851B5B" w:rsidRPr="00A51861">
        <w:rPr>
          <w:rFonts w:ascii="Cambria" w:eastAsia="Calibri" w:hAnsi="Cambria"/>
          <w:sz w:val="20"/>
          <w:szCs w:val="20"/>
          <w:bdr w:val="none" w:sz="0" w:space="0" w:color="auto"/>
        </w:rPr>
        <w:t xml:space="preserve">, </w:t>
      </w:r>
      <w:r w:rsidR="0045141A">
        <w:rPr>
          <w:rFonts w:ascii="Cambria" w:eastAsia="Calibri" w:hAnsi="Cambria"/>
          <w:sz w:val="20"/>
          <w:szCs w:val="20"/>
          <w:bdr w:val="none" w:sz="0" w:space="0" w:color="auto"/>
        </w:rPr>
        <w:t>in the sense that every</w:t>
      </w:r>
      <w:r w:rsidR="00851B5B" w:rsidRPr="00A51861">
        <w:rPr>
          <w:rFonts w:ascii="Cambria" w:eastAsia="Calibri" w:hAnsi="Cambria"/>
          <w:sz w:val="20"/>
          <w:szCs w:val="20"/>
          <w:bdr w:val="none" w:sz="0" w:space="0" w:color="auto"/>
        </w:rPr>
        <w:t xml:space="preserve"> </w:t>
      </w:r>
      <w:r w:rsidR="0045141A" w:rsidRPr="00A51861">
        <w:rPr>
          <w:rFonts w:ascii="Cambria" w:eastAsia="Calibri" w:hAnsi="Cambria"/>
          <w:sz w:val="20"/>
          <w:szCs w:val="20"/>
          <w:bdr w:val="none" w:sz="0" w:space="0" w:color="auto"/>
        </w:rPr>
        <w:t>restriction</w:t>
      </w:r>
      <w:r w:rsidR="00E92985">
        <w:rPr>
          <w:rFonts w:ascii="Cambria" w:eastAsia="Calibri" w:hAnsi="Cambria"/>
          <w:sz w:val="20"/>
          <w:szCs w:val="20"/>
          <w:bdr w:val="none" w:sz="0" w:space="0" w:color="auto"/>
        </w:rPr>
        <w:t xml:space="preserve"> of </w:t>
      </w:r>
      <w:r w:rsidR="0045141A">
        <w:rPr>
          <w:rFonts w:ascii="Cambria" w:eastAsia="Calibri" w:hAnsi="Cambria"/>
          <w:sz w:val="20"/>
          <w:szCs w:val="20"/>
          <w:bdr w:val="none" w:sz="0" w:space="0" w:color="auto"/>
        </w:rPr>
        <w:t>freedom must stem from a</w:t>
      </w:r>
      <w:r w:rsidR="00851B5B" w:rsidRPr="00A51861">
        <w:rPr>
          <w:rFonts w:ascii="Cambria" w:eastAsia="Calibri" w:hAnsi="Cambria"/>
          <w:sz w:val="20"/>
          <w:szCs w:val="20"/>
          <w:bdr w:val="none" w:sz="0" w:space="0" w:color="auto"/>
        </w:rPr>
        <w:t xml:space="preserve"> “</w:t>
      </w:r>
      <w:r w:rsidR="0045141A" w:rsidRPr="00A51861">
        <w:rPr>
          <w:rFonts w:ascii="Cambria" w:eastAsia="Calibri" w:hAnsi="Cambria"/>
          <w:sz w:val="20"/>
          <w:szCs w:val="20"/>
          <w:bdr w:val="none" w:sz="0" w:space="0" w:color="auto"/>
        </w:rPr>
        <w:t>juridical</w:t>
      </w:r>
      <w:r w:rsidR="0045141A">
        <w:rPr>
          <w:rFonts w:ascii="Cambria" w:eastAsia="Calibri" w:hAnsi="Cambria"/>
          <w:sz w:val="20"/>
          <w:szCs w:val="20"/>
          <w:bdr w:val="none" w:sz="0" w:space="0" w:color="auto"/>
        </w:rPr>
        <w:t xml:space="preserve"> </w:t>
      </w:r>
      <w:r w:rsidR="00851B5B" w:rsidRPr="00A51861">
        <w:rPr>
          <w:rFonts w:ascii="Cambria" w:eastAsia="Calibri" w:hAnsi="Cambria"/>
          <w:sz w:val="20"/>
          <w:szCs w:val="20"/>
          <w:bdr w:val="none" w:sz="0" w:space="0" w:color="auto"/>
        </w:rPr>
        <w:t xml:space="preserve">norm </w:t>
      </w:r>
      <w:r w:rsidR="00E92985">
        <w:rPr>
          <w:rFonts w:ascii="Cambria" w:eastAsia="Calibri" w:hAnsi="Cambria"/>
          <w:sz w:val="20"/>
          <w:szCs w:val="20"/>
          <w:bdr w:val="none" w:sz="0" w:space="0" w:color="auto"/>
        </w:rPr>
        <w:t xml:space="preserve">of </w:t>
      </w:r>
      <w:r w:rsidR="00851B5B" w:rsidRPr="00A51861">
        <w:rPr>
          <w:rFonts w:ascii="Cambria" w:eastAsia="Calibri" w:hAnsi="Cambria"/>
          <w:sz w:val="20"/>
          <w:szCs w:val="20"/>
          <w:bdr w:val="none" w:sz="0" w:space="0" w:color="auto"/>
        </w:rPr>
        <w:t>general</w:t>
      </w:r>
      <w:r w:rsidR="0045141A" w:rsidRPr="0045141A">
        <w:rPr>
          <w:rFonts w:ascii="Cambria" w:eastAsia="Calibri" w:hAnsi="Cambria"/>
          <w:sz w:val="20"/>
          <w:szCs w:val="20"/>
          <w:bdr w:val="none" w:sz="0" w:space="0" w:color="auto"/>
        </w:rPr>
        <w:t xml:space="preserve"> </w:t>
      </w:r>
      <w:r w:rsidR="0045141A" w:rsidRPr="00A51861">
        <w:rPr>
          <w:rFonts w:ascii="Cambria" w:eastAsia="Calibri" w:hAnsi="Cambria"/>
          <w:sz w:val="20"/>
          <w:szCs w:val="20"/>
          <w:bdr w:val="none" w:sz="0" w:space="0" w:color="auto"/>
        </w:rPr>
        <w:t>character</w:t>
      </w:r>
      <w:r w:rsidR="00851B5B" w:rsidRPr="00A51861">
        <w:rPr>
          <w:rFonts w:ascii="Cambria" w:eastAsia="Calibri" w:hAnsi="Cambria"/>
          <w:sz w:val="20"/>
          <w:szCs w:val="20"/>
          <w:bdr w:val="none" w:sz="0" w:space="0" w:color="auto"/>
        </w:rPr>
        <w:t xml:space="preserve">, </w:t>
      </w:r>
      <w:r w:rsidR="0045141A">
        <w:rPr>
          <w:rFonts w:ascii="Cambria" w:eastAsia="Calibri" w:hAnsi="Cambria"/>
          <w:sz w:val="20"/>
          <w:szCs w:val="20"/>
          <w:bdr w:val="none" w:sz="0" w:space="0" w:color="auto"/>
        </w:rPr>
        <w:t xml:space="preserve">adhered to common </w:t>
      </w:r>
      <w:r w:rsidR="00B4176F">
        <w:rPr>
          <w:rFonts w:ascii="Cambria" w:eastAsia="Calibri" w:hAnsi="Cambria"/>
          <w:sz w:val="20"/>
          <w:szCs w:val="20"/>
          <w:bdr w:val="none" w:sz="0" w:space="0" w:color="auto"/>
        </w:rPr>
        <w:t>good</w:t>
      </w:r>
      <w:r w:rsidR="00851B5B" w:rsidRPr="00A51861">
        <w:rPr>
          <w:rFonts w:ascii="Cambria" w:eastAsia="Calibri" w:hAnsi="Cambria"/>
          <w:sz w:val="20"/>
          <w:szCs w:val="20"/>
          <w:bdr w:val="none" w:sz="0" w:space="0" w:color="auto"/>
        </w:rPr>
        <w:t xml:space="preserve">, </w:t>
      </w:r>
      <w:r w:rsidR="0045141A">
        <w:rPr>
          <w:rFonts w:ascii="Cambria" w:eastAsia="Calibri" w:hAnsi="Cambria"/>
          <w:sz w:val="20"/>
          <w:szCs w:val="20"/>
          <w:bdr w:val="none" w:sz="0" w:space="0" w:color="auto"/>
        </w:rPr>
        <w:t>issued from legislative bodies</w:t>
      </w:r>
      <w:r w:rsidR="00851B5B" w:rsidRPr="00A51861">
        <w:rPr>
          <w:rFonts w:ascii="Cambria" w:eastAsia="Calibri" w:hAnsi="Cambria"/>
          <w:sz w:val="20"/>
          <w:szCs w:val="20"/>
          <w:bdr w:val="none" w:sz="0" w:space="0" w:color="auto"/>
        </w:rPr>
        <w:t xml:space="preserve"> </w:t>
      </w:r>
      <w:r w:rsidR="0045141A">
        <w:rPr>
          <w:rFonts w:ascii="Cambria" w:eastAsia="Calibri" w:hAnsi="Cambria"/>
          <w:sz w:val="20"/>
          <w:szCs w:val="20"/>
          <w:bdr w:val="none" w:sz="0" w:space="0" w:color="auto"/>
        </w:rPr>
        <w:t>constitutionally</w:t>
      </w:r>
      <w:r w:rsidR="0029564F">
        <w:rPr>
          <w:rFonts w:ascii="Cambria" w:eastAsia="Calibri" w:hAnsi="Cambria"/>
          <w:sz w:val="20"/>
          <w:szCs w:val="20"/>
          <w:bdr w:val="none" w:sz="0" w:space="0" w:color="auto"/>
        </w:rPr>
        <w:t xml:space="preserve"> </w:t>
      </w:r>
      <w:r w:rsidR="0045141A">
        <w:rPr>
          <w:rFonts w:ascii="Cambria" w:eastAsia="Calibri" w:hAnsi="Cambria"/>
          <w:sz w:val="20"/>
          <w:szCs w:val="20"/>
          <w:bdr w:val="none" w:sz="0" w:space="0" w:color="auto"/>
        </w:rPr>
        <w:t>foreseen</w:t>
      </w:r>
      <w:r w:rsidR="00E92985">
        <w:rPr>
          <w:rFonts w:ascii="Cambria" w:eastAsia="Calibri" w:hAnsi="Cambria"/>
          <w:sz w:val="20"/>
          <w:szCs w:val="20"/>
          <w:bdr w:val="none" w:sz="0" w:space="0" w:color="auto"/>
        </w:rPr>
        <w:t xml:space="preserve"> and </w:t>
      </w:r>
      <w:r w:rsidR="00851B5B" w:rsidRPr="00A51861">
        <w:rPr>
          <w:rFonts w:ascii="Cambria" w:eastAsia="Calibri" w:hAnsi="Cambria"/>
          <w:sz w:val="20"/>
          <w:szCs w:val="20"/>
          <w:bdr w:val="none" w:sz="0" w:space="0" w:color="auto"/>
        </w:rPr>
        <w:t>democr</w:t>
      </w:r>
      <w:r w:rsidR="0045141A">
        <w:rPr>
          <w:rFonts w:ascii="Cambria" w:eastAsia="Calibri" w:hAnsi="Cambria"/>
          <w:sz w:val="20"/>
          <w:szCs w:val="20"/>
          <w:bdr w:val="none" w:sz="0" w:space="0" w:color="auto"/>
        </w:rPr>
        <w:t>a</w:t>
      </w:r>
      <w:r w:rsidR="00851B5B" w:rsidRPr="00A51861">
        <w:rPr>
          <w:rFonts w:ascii="Cambria" w:eastAsia="Calibri" w:hAnsi="Cambria"/>
          <w:sz w:val="20"/>
          <w:szCs w:val="20"/>
          <w:bdr w:val="none" w:sz="0" w:space="0" w:color="auto"/>
        </w:rPr>
        <w:t>tica</w:t>
      </w:r>
      <w:r w:rsidR="0029564F">
        <w:rPr>
          <w:rFonts w:ascii="Cambria" w:eastAsia="Calibri" w:hAnsi="Cambria"/>
          <w:sz w:val="20"/>
          <w:szCs w:val="20"/>
          <w:bdr w:val="none" w:sz="0" w:space="0" w:color="auto"/>
        </w:rPr>
        <w:t>l</w:t>
      </w:r>
      <w:r w:rsidR="0045141A">
        <w:rPr>
          <w:rFonts w:ascii="Cambria" w:eastAsia="Calibri" w:hAnsi="Cambria"/>
          <w:sz w:val="20"/>
          <w:szCs w:val="20"/>
          <w:bdr w:val="none" w:sz="0" w:space="0" w:color="auto"/>
        </w:rPr>
        <w:t>l</w:t>
      </w:r>
      <w:r w:rsidR="0029564F">
        <w:rPr>
          <w:rFonts w:ascii="Cambria" w:eastAsia="Calibri" w:hAnsi="Cambria"/>
          <w:sz w:val="20"/>
          <w:szCs w:val="20"/>
          <w:bdr w:val="none" w:sz="0" w:space="0" w:color="auto"/>
        </w:rPr>
        <w:t xml:space="preserve">y </w:t>
      </w:r>
      <w:r w:rsidR="0045141A">
        <w:rPr>
          <w:rFonts w:ascii="Cambria" w:eastAsia="Calibri" w:hAnsi="Cambria"/>
          <w:sz w:val="20"/>
          <w:szCs w:val="20"/>
          <w:bdr w:val="none" w:sz="0" w:space="0" w:color="auto"/>
        </w:rPr>
        <w:t>elected</w:t>
      </w:r>
      <w:r w:rsidR="00851B5B" w:rsidRPr="00A51861">
        <w:rPr>
          <w:rFonts w:ascii="Cambria" w:eastAsia="Calibri" w:hAnsi="Cambria"/>
          <w:sz w:val="20"/>
          <w:szCs w:val="20"/>
          <w:bdr w:val="none" w:sz="0" w:space="0" w:color="auto"/>
        </w:rPr>
        <w:t>,</w:t>
      </w:r>
      <w:r w:rsidR="00E92985">
        <w:rPr>
          <w:rFonts w:ascii="Cambria" w:eastAsia="Calibri" w:hAnsi="Cambria"/>
          <w:sz w:val="20"/>
          <w:szCs w:val="20"/>
          <w:bdr w:val="none" w:sz="0" w:space="0" w:color="auto"/>
        </w:rPr>
        <w:t xml:space="preserve"> and </w:t>
      </w:r>
      <w:r w:rsidR="00851B5B" w:rsidRPr="00A51861">
        <w:rPr>
          <w:rFonts w:ascii="Cambria" w:eastAsia="Calibri" w:hAnsi="Cambria"/>
          <w:sz w:val="20"/>
          <w:szCs w:val="20"/>
          <w:bdr w:val="none" w:sz="0" w:space="0" w:color="auto"/>
        </w:rPr>
        <w:t>elabora</w:t>
      </w:r>
      <w:r w:rsidR="0045141A">
        <w:rPr>
          <w:rFonts w:ascii="Cambria" w:eastAsia="Calibri" w:hAnsi="Cambria"/>
          <w:sz w:val="20"/>
          <w:szCs w:val="20"/>
          <w:bdr w:val="none" w:sz="0" w:space="0" w:color="auto"/>
        </w:rPr>
        <w:t>ted</w:t>
      </w:r>
      <w:r w:rsidR="00851B5B" w:rsidRPr="00A51861">
        <w:rPr>
          <w:rFonts w:ascii="Cambria" w:eastAsia="Calibri" w:hAnsi="Cambria"/>
          <w:sz w:val="20"/>
          <w:szCs w:val="20"/>
          <w:bdr w:val="none" w:sz="0" w:space="0" w:color="auto"/>
        </w:rPr>
        <w:t xml:space="preserve"> </w:t>
      </w:r>
      <w:r w:rsidR="0045141A">
        <w:rPr>
          <w:rFonts w:ascii="Cambria" w:eastAsia="Calibri" w:hAnsi="Cambria"/>
          <w:sz w:val="20"/>
          <w:szCs w:val="20"/>
          <w:bdr w:val="none" w:sz="0" w:space="0" w:color="auto"/>
        </w:rPr>
        <w:t>pursuant to the procedure set forth by</w:t>
      </w:r>
      <w:r w:rsidR="00851B5B" w:rsidRPr="00A51861">
        <w:rPr>
          <w:rFonts w:ascii="Cambria" w:eastAsia="Calibri" w:hAnsi="Cambria"/>
          <w:sz w:val="20"/>
          <w:szCs w:val="20"/>
          <w:bdr w:val="none" w:sz="0" w:space="0" w:color="auto"/>
        </w:rPr>
        <w:t xml:space="preserve"> </w:t>
      </w:r>
      <w:r w:rsidR="0045141A">
        <w:rPr>
          <w:rFonts w:ascii="Cambria" w:eastAsia="Calibri" w:hAnsi="Cambria"/>
          <w:sz w:val="20"/>
          <w:szCs w:val="20"/>
          <w:bdr w:val="none" w:sz="0" w:space="0" w:color="auto"/>
        </w:rPr>
        <w:t>the</w:t>
      </w:r>
      <w:r w:rsidR="00851B5B" w:rsidRPr="00A51861">
        <w:rPr>
          <w:rFonts w:ascii="Cambria" w:eastAsia="Calibri" w:hAnsi="Cambria"/>
          <w:sz w:val="20"/>
          <w:szCs w:val="20"/>
          <w:bdr w:val="none" w:sz="0" w:space="0" w:color="auto"/>
        </w:rPr>
        <w:t xml:space="preserve"> constitu</w:t>
      </w:r>
      <w:r w:rsidR="0045141A">
        <w:rPr>
          <w:rFonts w:ascii="Cambria" w:eastAsia="Calibri" w:hAnsi="Cambria"/>
          <w:sz w:val="20"/>
          <w:szCs w:val="20"/>
          <w:bdr w:val="none" w:sz="0" w:space="0" w:color="auto"/>
        </w:rPr>
        <w:t>t</w:t>
      </w:r>
      <w:r w:rsidR="00851B5B" w:rsidRPr="00A51861">
        <w:rPr>
          <w:rFonts w:ascii="Cambria" w:eastAsia="Calibri" w:hAnsi="Cambria"/>
          <w:sz w:val="20"/>
          <w:szCs w:val="20"/>
          <w:bdr w:val="none" w:sz="0" w:space="0" w:color="auto"/>
        </w:rPr>
        <w:t>ions</w:t>
      </w:r>
      <w:r w:rsidR="00E92985">
        <w:rPr>
          <w:rFonts w:ascii="Cambria" w:eastAsia="Calibri" w:hAnsi="Cambria"/>
          <w:sz w:val="20"/>
          <w:szCs w:val="20"/>
          <w:bdr w:val="none" w:sz="0" w:space="0" w:color="auto"/>
        </w:rPr>
        <w:t xml:space="preserve"> of </w:t>
      </w:r>
      <w:r w:rsidR="0045141A">
        <w:rPr>
          <w:rFonts w:ascii="Cambria" w:eastAsia="Calibri" w:hAnsi="Cambria"/>
          <w:sz w:val="20"/>
          <w:szCs w:val="20"/>
          <w:bdr w:val="none" w:sz="0" w:space="0" w:color="auto"/>
        </w:rPr>
        <w:t>the States</w:t>
      </w:r>
      <w:r w:rsidR="00851B5B" w:rsidRPr="00A51861">
        <w:rPr>
          <w:rFonts w:ascii="Cambria" w:eastAsia="Calibri" w:hAnsi="Cambria"/>
          <w:sz w:val="20"/>
          <w:szCs w:val="20"/>
          <w:bdr w:val="none" w:sz="0" w:space="0" w:color="auto"/>
        </w:rPr>
        <w:t xml:space="preserve"> Part</w:t>
      </w:r>
      <w:r w:rsidR="0045141A">
        <w:rPr>
          <w:rFonts w:ascii="Cambria" w:eastAsia="Calibri" w:hAnsi="Cambria"/>
          <w:sz w:val="20"/>
          <w:szCs w:val="20"/>
          <w:bdr w:val="none" w:sz="0" w:space="0" w:color="auto"/>
        </w:rPr>
        <w:t>i</w:t>
      </w:r>
      <w:r w:rsidR="00851B5B" w:rsidRPr="00A51861">
        <w:rPr>
          <w:rFonts w:ascii="Cambria" w:eastAsia="Calibri" w:hAnsi="Cambria"/>
          <w:sz w:val="20"/>
          <w:szCs w:val="20"/>
          <w:bdr w:val="none" w:sz="0" w:space="0" w:color="auto"/>
        </w:rPr>
        <w:t xml:space="preserve">es </w:t>
      </w:r>
      <w:r w:rsidR="0045141A">
        <w:rPr>
          <w:rFonts w:ascii="Cambria" w:eastAsia="Calibri" w:hAnsi="Cambria"/>
          <w:sz w:val="20"/>
          <w:szCs w:val="20"/>
          <w:bdr w:val="none" w:sz="0" w:space="0" w:color="auto"/>
        </w:rPr>
        <w:t>for</w:t>
      </w:r>
      <w:r w:rsidR="009A4F91">
        <w:rPr>
          <w:rFonts w:ascii="Cambria" w:eastAsia="Calibri" w:hAnsi="Cambria"/>
          <w:sz w:val="20"/>
          <w:szCs w:val="20"/>
          <w:bdr w:val="none" w:sz="0" w:space="0" w:color="auto"/>
        </w:rPr>
        <w:t xml:space="preserve"> the </w:t>
      </w:r>
      <w:r w:rsidR="0045141A" w:rsidRPr="00A51861">
        <w:rPr>
          <w:rFonts w:ascii="Cambria" w:eastAsia="Calibri" w:hAnsi="Cambria"/>
          <w:sz w:val="20"/>
          <w:szCs w:val="20"/>
          <w:bdr w:val="none" w:sz="0" w:space="0" w:color="auto"/>
        </w:rPr>
        <w:t>formation</w:t>
      </w:r>
      <w:r w:rsidR="00E92985">
        <w:rPr>
          <w:rFonts w:ascii="Cambria" w:eastAsia="Calibri" w:hAnsi="Cambria"/>
          <w:sz w:val="20"/>
          <w:szCs w:val="20"/>
          <w:bdr w:val="none" w:sz="0" w:space="0" w:color="auto"/>
        </w:rPr>
        <w:t xml:space="preserve"> of </w:t>
      </w:r>
      <w:r w:rsidR="00EC7A58">
        <w:rPr>
          <w:rFonts w:ascii="Cambria" w:eastAsia="Calibri" w:hAnsi="Cambria"/>
          <w:sz w:val="20"/>
          <w:szCs w:val="20"/>
          <w:bdr w:val="none" w:sz="0" w:space="0" w:color="auto"/>
        </w:rPr>
        <w:t>laws</w:t>
      </w:r>
      <w:r w:rsidR="00851B5B" w:rsidRPr="00A51861">
        <w:rPr>
          <w:rFonts w:ascii="Cambria" w:eastAsia="Calibri" w:hAnsi="Cambria"/>
          <w:sz w:val="20"/>
          <w:szCs w:val="20"/>
          <w:bdr w:val="none" w:sz="0" w:space="0" w:color="auto"/>
        </w:rPr>
        <w:t>”</w:t>
      </w:r>
      <w:r w:rsidR="00851B5B" w:rsidRPr="00A51861">
        <w:rPr>
          <w:rFonts w:ascii="Cambria" w:eastAsia="Calibri" w:hAnsi="Cambria"/>
          <w:sz w:val="20"/>
          <w:szCs w:val="20"/>
          <w:bdr w:val="none" w:sz="0" w:space="0" w:color="auto"/>
          <w:vertAlign w:val="superscript"/>
        </w:rPr>
        <w:footnoteReference w:id="153"/>
      </w:r>
      <w:r w:rsidR="00851B5B" w:rsidRPr="00A51861">
        <w:rPr>
          <w:rFonts w:ascii="Cambria" w:eastAsia="Calibri" w:hAnsi="Cambria"/>
          <w:sz w:val="20"/>
          <w:szCs w:val="20"/>
          <w:bdr w:val="none" w:sz="0" w:space="0" w:color="auto"/>
        </w:rPr>
        <w:t xml:space="preserve">. </w:t>
      </w:r>
      <w:r w:rsidR="0045141A">
        <w:rPr>
          <w:rFonts w:ascii="Cambria" w:eastAsia="Calibri" w:hAnsi="Cambria"/>
          <w:sz w:val="20"/>
          <w:szCs w:val="20"/>
          <w:bdr w:val="none" w:sz="0" w:space="0" w:color="auto"/>
        </w:rPr>
        <w:t>But it also implies</w:t>
      </w:r>
      <w:r w:rsidR="00851B5B" w:rsidRPr="00A51861">
        <w:rPr>
          <w:rFonts w:ascii="Cambria" w:eastAsia="Calibri" w:hAnsi="Cambria"/>
          <w:sz w:val="20"/>
          <w:szCs w:val="20"/>
          <w:bdr w:val="none" w:sz="0" w:space="0" w:color="auto"/>
        </w:rPr>
        <w:t xml:space="preserve">, </w:t>
      </w:r>
      <w:r w:rsidR="0045141A">
        <w:rPr>
          <w:rFonts w:ascii="Cambria" w:eastAsia="Calibri" w:hAnsi="Cambria"/>
          <w:sz w:val="20"/>
          <w:szCs w:val="20"/>
          <w:bdr w:val="none" w:sz="0" w:space="0" w:color="auto"/>
        </w:rPr>
        <w:t>second of all</w:t>
      </w:r>
      <w:r w:rsidR="00851B5B" w:rsidRPr="00A51861">
        <w:rPr>
          <w:rFonts w:ascii="Cambria" w:eastAsia="Calibri" w:hAnsi="Cambria"/>
          <w:sz w:val="20"/>
          <w:szCs w:val="20"/>
          <w:bdr w:val="none" w:sz="0" w:space="0" w:color="auto"/>
        </w:rPr>
        <w:t xml:space="preserve">, </w:t>
      </w:r>
      <w:r w:rsidR="0045141A">
        <w:rPr>
          <w:rFonts w:ascii="Cambria" w:eastAsia="Calibri" w:hAnsi="Cambria"/>
          <w:sz w:val="20"/>
          <w:szCs w:val="20"/>
          <w:bdr w:val="none" w:sz="0" w:space="0" w:color="auto"/>
        </w:rPr>
        <w:t>a</w:t>
      </w:r>
      <w:r w:rsidR="00851B5B" w:rsidRPr="00A51861">
        <w:rPr>
          <w:rFonts w:ascii="Cambria" w:eastAsia="Calibri" w:hAnsi="Cambria"/>
          <w:sz w:val="20"/>
          <w:szCs w:val="20"/>
          <w:bdr w:val="none" w:sz="0" w:space="0" w:color="auto"/>
        </w:rPr>
        <w:t xml:space="preserve"> material</w:t>
      </w:r>
      <w:r w:rsidR="0045141A" w:rsidRPr="0045141A">
        <w:rPr>
          <w:rFonts w:ascii="Cambria" w:eastAsia="Calibri" w:hAnsi="Cambria"/>
          <w:sz w:val="20"/>
          <w:szCs w:val="20"/>
          <w:bdr w:val="none" w:sz="0" w:space="0" w:color="auto"/>
        </w:rPr>
        <w:t xml:space="preserve"> </w:t>
      </w:r>
      <w:r w:rsidR="0045141A" w:rsidRPr="00A51861">
        <w:rPr>
          <w:rFonts w:ascii="Cambria" w:eastAsia="Calibri" w:hAnsi="Cambria"/>
          <w:sz w:val="20"/>
          <w:szCs w:val="20"/>
          <w:bdr w:val="none" w:sz="0" w:space="0" w:color="auto"/>
        </w:rPr>
        <w:t>aspect</w:t>
      </w:r>
      <w:r w:rsidR="00851B5B" w:rsidRPr="00A51861">
        <w:rPr>
          <w:rFonts w:ascii="Cambria" w:eastAsia="Calibri" w:hAnsi="Cambria"/>
          <w:sz w:val="20"/>
          <w:szCs w:val="20"/>
          <w:bdr w:val="none" w:sz="0" w:space="0" w:color="auto"/>
        </w:rPr>
        <w:t xml:space="preserve">, </w:t>
      </w:r>
      <w:r w:rsidR="0045141A">
        <w:rPr>
          <w:rFonts w:ascii="Cambria" w:eastAsia="Calibri" w:hAnsi="Cambria"/>
          <w:sz w:val="20"/>
          <w:szCs w:val="20"/>
          <w:bdr w:val="none" w:sz="0" w:space="0" w:color="auto"/>
        </w:rPr>
        <w:t xml:space="preserve">the principle </w:t>
      </w:r>
      <w:r w:rsidR="00E92985">
        <w:rPr>
          <w:rFonts w:ascii="Cambria" w:eastAsia="Calibri" w:hAnsi="Cambria"/>
          <w:sz w:val="20"/>
          <w:szCs w:val="20"/>
          <w:bdr w:val="none" w:sz="0" w:space="0" w:color="auto"/>
        </w:rPr>
        <w:t xml:space="preserve">of </w:t>
      </w:r>
      <w:r w:rsidR="0045141A">
        <w:rPr>
          <w:rFonts w:ascii="Cambria" w:eastAsia="Calibri" w:hAnsi="Cambria"/>
          <w:sz w:val="20"/>
          <w:szCs w:val="20"/>
          <w:bdr w:val="none" w:sz="0" w:space="0" w:color="auto"/>
        </w:rPr>
        <w:t>criminality which</w:t>
      </w:r>
      <w:r w:rsidR="00851B5B" w:rsidRPr="00A51861">
        <w:rPr>
          <w:rFonts w:ascii="Cambria" w:eastAsia="Calibri" w:hAnsi="Cambria"/>
          <w:sz w:val="20"/>
          <w:szCs w:val="20"/>
          <w:bdr w:val="none" w:sz="0" w:space="0" w:color="auto"/>
        </w:rPr>
        <w:t xml:space="preserve"> oblig</w:t>
      </w:r>
      <w:r w:rsidR="0045141A">
        <w:rPr>
          <w:rFonts w:ascii="Cambria" w:eastAsia="Calibri" w:hAnsi="Cambria"/>
          <w:sz w:val="20"/>
          <w:szCs w:val="20"/>
          <w:bdr w:val="none" w:sz="0" w:space="0" w:color="auto"/>
        </w:rPr>
        <w:t>es</w:t>
      </w:r>
      <w:r w:rsidR="00851B5B" w:rsidRPr="00A51861">
        <w:rPr>
          <w:rFonts w:ascii="Cambria" w:eastAsia="Calibri" w:hAnsi="Cambria"/>
          <w:sz w:val="20"/>
          <w:szCs w:val="20"/>
          <w:bdr w:val="none" w:sz="0" w:space="0" w:color="auto"/>
        </w:rPr>
        <w:t xml:space="preserve"> </w:t>
      </w:r>
      <w:r w:rsidR="0045141A">
        <w:rPr>
          <w:rFonts w:ascii="Cambria" w:eastAsia="Calibri" w:hAnsi="Cambria"/>
          <w:sz w:val="20"/>
          <w:szCs w:val="20"/>
          <w:bdr w:val="none" w:sz="0" w:space="0" w:color="auto"/>
        </w:rPr>
        <w:t>State</w:t>
      </w:r>
      <w:r w:rsidR="00851B5B" w:rsidRPr="00A51861">
        <w:rPr>
          <w:rFonts w:ascii="Cambria" w:eastAsia="Calibri" w:hAnsi="Cambria"/>
          <w:sz w:val="20"/>
          <w:szCs w:val="20"/>
          <w:bdr w:val="none" w:sz="0" w:space="0" w:color="auto"/>
        </w:rPr>
        <w:t xml:space="preserve">s </w:t>
      </w:r>
      <w:r w:rsidR="0045141A">
        <w:rPr>
          <w:rFonts w:ascii="Cambria" w:eastAsia="Calibri" w:hAnsi="Cambria"/>
          <w:sz w:val="20"/>
          <w:szCs w:val="20"/>
          <w:bdr w:val="none" w:sz="0" w:space="0" w:color="auto"/>
        </w:rPr>
        <w:t>to establish</w:t>
      </w:r>
      <w:r w:rsidR="00851B5B" w:rsidRPr="00A51861">
        <w:rPr>
          <w:rFonts w:ascii="Cambria" w:eastAsia="Calibri" w:hAnsi="Cambria"/>
          <w:sz w:val="20"/>
          <w:szCs w:val="20"/>
          <w:bdr w:val="none" w:sz="0" w:space="0" w:color="auto"/>
        </w:rPr>
        <w:t xml:space="preserve">, </w:t>
      </w:r>
      <w:r w:rsidR="0045141A">
        <w:rPr>
          <w:rFonts w:ascii="Cambria" w:eastAsia="Calibri" w:hAnsi="Cambria"/>
          <w:sz w:val="20"/>
          <w:szCs w:val="20"/>
          <w:bdr w:val="none" w:sz="0" w:space="0" w:color="auto"/>
        </w:rPr>
        <w:t>as</w:t>
      </w:r>
      <w:r w:rsidR="00851B5B" w:rsidRPr="00A51861">
        <w:rPr>
          <w:rFonts w:ascii="Cambria" w:eastAsia="Calibri" w:hAnsi="Cambria"/>
          <w:sz w:val="20"/>
          <w:szCs w:val="20"/>
          <w:bdr w:val="none" w:sz="0" w:space="0" w:color="auto"/>
        </w:rPr>
        <w:t xml:space="preserve"> concret</w:t>
      </w:r>
      <w:r w:rsidR="0045141A">
        <w:rPr>
          <w:rFonts w:ascii="Cambria" w:eastAsia="Calibri" w:hAnsi="Cambria"/>
          <w:sz w:val="20"/>
          <w:szCs w:val="20"/>
          <w:bdr w:val="none" w:sz="0" w:space="0" w:color="auto"/>
        </w:rPr>
        <w:t>e</w:t>
      </w:r>
      <w:r w:rsidR="0029564F">
        <w:rPr>
          <w:rFonts w:ascii="Cambria" w:eastAsia="Calibri" w:hAnsi="Cambria"/>
          <w:sz w:val="20"/>
          <w:szCs w:val="20"/>
          <w:bdr w:val="none" w:sz="0" w:space="0" w:color="auto"/>
        </w:rPr>
        <w:t xml:space="preserve">ly </w:t>
      </w:r>
      <w:r w:rsidR="0045141A">
        <w:rPr>
          <w:rFonts w:ascii="Cambria" w:eastAsia="Calibri" w:hAnsi="Cambria"/>
          <w:sz w:val="20"/>
          <w:szCs w:val="20"/>
          <w:bdr w:val="none" w:sz="0" w:space="0" w:color="auto"/>
        </w:rPr>
        <w:t xml:space="preserve">as possible </w:t>
      </w:r>
      <w:r w:rsidR="00E92985">
        <w:rPr>
          <w:rFonts w:ascii="Cambria" w:eastAsia="Calibri" w:hAnsi="Cambria"/>
          <w:sz w:val="20"/>
          <w:szCs w:val="20"/>
          <w:bdr w:val="none" w:sz="0" w:space="0" w:color="auto"/>
        </w:rPr>
        <w:t xml:space="preserve">and </w:t>
      </w:r>
      <w:r w:rsidR="00851B5B" w:rsidRPr="00A51861">
        <w:rPr>
          <w:rFonts w:ascii="Cambria" w:eastAsia="Calibri" w:hAnsi="Cambria"/>
          <w:sz w:val="20"/>
          <w:szCs w:val="20"/>
          <w:bdr w:val="none" w:sz="0" w:space="0" w:color="auto"/>
        </w:rPr>
        <w:t>“</w:t>
      </w:r>
      <w:r w:rsidR="0045141A">
        <w:rPr>
          <w:rFonts w:ascii="Cambria" w:eastAsia="Calibri" w:hAnsi="Cambria"/>
          <w:sz w:val="20"/>
          <w:szCs w:val="20"/>
          <w:bdr w:val="none" w:sz="0" w:space="0" w:color="auto"/>
        </w:rPr>
        <w:t>beforehand</w:t>
      </w:r>
      <w:r w:rsidR="00851B5B" w:rsidRPr="00A51861">
        <w:rPr>
          <w:rFonts w:ascii="Cambria" w:eastAsia="Calibri" w:hAnsi="Cambria"/>
          <w:sz w:val="20"/>
          <w:szCs w:val="20"/>
          <w:bdr w:val="none" w:sz="0" w:space="0" w:color="auto"/>
        </w:rPr>
        <w:t xml:space="preserve">”, </w:t>
      </w:r>
      <w:r w:rsidR="0045141A">
        <w:rPr>
          <w:rFonts w:ascii="Cambria" w:eastAsia="Calibri" w:hAnsi="Cambria"/>
          <w:sz w:val="20"/>
          <w:szCs w:val="20"/>
          <w:bdr w:val="none" w:sz="0" w:space="0" w:color="auto"/>
        </w:rPr>
        <w:t>the</w:t>
      </w:r>
      <w:r w:rsidR="00851B5B" w:rsidRPr="00A51861">
        <w:rPr>
          <w:rFonts w:ascii="Cambria" w:eastAsia="Calibri" w:hAnsi="Cambria"/>
          <w:sz w:val="20"/>
          <w:szCs w:val="20"/>
          <w:bdr w:val="none" w:sz="0" w:space="0" w:color="auto"/>
        </w:rPr>
        <w:t xml:space="preserve"> “caus</w:t>
      </w:r>
      <w:r w:rsidR="0045141A">
        <w:rPr>
          <w:rFonts w:ascii="Cambria" w:eastAsia="Calibri" w:hAnsi="Cambria"/>
          <w:sz w:val="20"/>
          <w:szCs w:val="20"/>
          <w:bdr w:val="none" w:sz="0" w:space="0" w:color="auto"/>
        </w:rPr>
        <w:t>e</w:t>
      </w:r>
      <w:r w:rsidR="00851B5B" w:rsidRPr="00A51861">
        <w:rPr>
          <w:rFonts w:ascii="Cambria" w:eastAsia="Calibri" w:hAnsi="Cambria"/>
          <w:sz w:val="20"/>
          <w:szCs w:val="20"/>
          <w:bdr w:val="none" w:sz="0" w:space="0" w:color="auto"/>
        </w:rPr>
        <w:t>s”</w:t>
      </w:r>
      <w:r w:rsidR="00E92985">
        <w:rPr>
          <w:rFonts w:ascii="Cambria" w:eastAsia="Calibri" w:hAnsi="Cambria"/>
          <w:sz w:val="20"/>
          <w:szCs w:val="20"/>
          <w:bdr w:val="none" w:sz="0" w:space="0" w:color="auto"/>
        </w:rPr>
        <w:t xml:space="preserve"> and </w:t>
      </w:r>
      <w:r w:rsidR="00851B5B" w:rsidRPr="00A51861">
        <w:rPr>
          <w:rFonts w:ascii="Cambria" w:eastAsia="Calibri" w:hAnsi="Cambria"/>
          <w:sz w:val="20"/>
          <w:szCs w:val="20"/>
          <w:bdr w:val="none" w:sz="0" w:space="0" w:color="auto"/>
        </w:rPr>
        <w:t>“</w:t>
      </w:r>
      <w:r w:rsidR="0045141A" w:rsidRPr="00A51861">
        <w:rPr>
          <w:rFonts w:ascii="Cambria" w:eastAsia="Calibri" w:hAnsi="Cambria"/>
          <w:sz w:val="20"/>
          <w:szCs w:val="20"/>
          <w:bdr w:val="none" w:sz="0" w:space="0" w:color="auto"/>
        </w:rPr>
        <w:t>conditions</w:t>
      </w:r>
      <w:r w:rsidR="00851B5B" w:rsidRPr="00A51861">
        <w:rPr>
          <w:rFonts w:ascii="Cambria" w:eastAsia="Calibri" w:hAnsi="Cambria"/>
          <w:sz w:val="20"/>
          <w:szCs w:val="20"/>
          <w:bdr w:val="none" w:sz="0" w:space="0" w:color="auto"/>
        </w:rPr>
        <w:t>”</w:t>
      </w:r>
      <w:r w:rsidR="00E92985">
        <w:rPr>
          <w:rFonts w:ascii="Cambria" w:eastAsia="Calibri" w:hAnsi="Cambria"/>
          <w:sz w:val="20"/>
          <w:szCs w:val="20"/>
          <w:bdr w:val="none" w:sz="0" w:space="0" w:color="auto"/>
        </w:rPr>
        <w:t xml:space="preserve"> </w:t>
      </w:r>
      <w:r w:rsidR="00B4176F">
        <w:rPr>
          <w:rFonts w:ascii="Cambria" w:eastAsia="Calibri" w:hAnsi="Cambria"/>
          <w:sz w:val="20"/>
          <w:szCs w:val="20"/>
          <w:bdr w:val="none" w:sz="0" w:space="0" w:color="auto"/>
        </w:rPr>
        <w:t>for</w:t>
      </w:r>
      <w:r w:rsidR="00E92985">
        <w:rPr>
          <w:rFonts w:ascii="Cambria" w:eastAsia="Calibri" w:hAnsi="Cambria"/>
          <w:sz w:val="20"/>
          <w:szCs w:val="20"/>
          <w:bdr w:val="none" w:sz="0" w:space="0" w:color="auto"/>
        </w:rPr>
        <w:t xml:space="preserve"> the </w:t>
      </w:r>
      <w:r w:rsidR="0045141A">
        <w:rPr>
          <w:rFonts w:ascii="Cambria" w:eastAsia="Calibri" w:hAnsi="Cambria"/>
          <w:sz w:val="20"/>
          <w:szCs w:val="20"/>
          <w:bdr w:val="none" w:sz="0" w:space="0" w:color="auto"/>
        </w:rPr>
        <w:t>deprivation of physical liberty</w:t>
      </w:r>
      <w:r w:rsidR="00851B5B" w:rsidRPr="00A51861">
        <w:rPr>
          <w:rStyle w:val="FootnoteReference"/>
          <w:rFonts w:ascii="Cambria" w:eastAsia="Calibri" w:hAnsi="Cambria"/>
          <w:sz w:val="20"/>
          <w:szCs w:val="20"/>
          <w:bdr w:val="none" w:sz="0" w:space="0" w:color="auto"/>
        </w:rPr>
        <w:footnoteReference w:id="154"/>
      </w:r>
      <w:r w:rsidR="00851B5B" w:rsidRPr="00A51861">
        <w:rPr>
          <w:rFonts w:ascii="Cambria" w:eastAsia="Calibri" w:hAnsi="Cambria"/>
          <w:sz w:val="20"/>
          <w:szCs w:val="20"/>
          <w:bdr w:val="none" w:sz="0" w:space="0" w:color="auto"/>
        </w:rPr>
        <w:t xml:space="preserve">. </w:t>
      </w:r>
    </w:p>
    <w:p w14:paraId="51E1C1B9" w14:textId="77777777" w:rsidR="00773B3C" w:rsidRPr="00A51861" w:rsidRDefault="00773B3C" w:rsidP="008E4D3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libri" w:hAnsi="Cambria"/>
          <w:sz w:val="20"/>
          <w:szCs w:val="20"/>
          <w:bdr w:val="none" w:sz="0" w:space="0" w:color="auto"/>
        </w:rPr>
      </w:pPr>
    </w:p>
    <w:p w14:paraId="5CD1ACF9" w14:textId="49E8EC3B" w:rsidR="00773B3C" w:rsidRPr="00A51861" w:rsidRDefault="00FA2E7B"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eastAsia="Calibri" w:hAnsi="Cambria"/>
          <w:sz w:val="20"/>
          <w:szCs w:val="20"/>
          <w:bdr w:val="none" w:sz="0" w:space="0" w:color="auto"/>
        </w:rPr>
      </w:pPr>
      <w:r>
        <w:rPr>
          <w:rFonts w:ascii="Cambria" w:eastAsia="Calibri" w:hAnsi="Cambria"/>
          <w:sz w:val="20"/>
          <w:szCs w:val="20"/>
          <w:bdr w:val="none" w:sz="0" w:space="0" w:color="auto"/>
        </w:rPr>
        <w:t>According to</w:t>
      </w:r>
      <w:r w:rsidR="00773B3C" w:rsidRPr="00A51861">
        <w:rPr>
          <w:rFonts w:ascii="Cambria" w:eastAsia="Calibri" w:hAnsi="Cambria"/>
          <w:sz w:val="20"/>
          <w:szCs w:val="20"/>
          <w:bdr w:val="none" w:sz="0" w:space="0" w:color="auto"/>
        </w:rPr>
        <w:t xml:space="preserve"> </w:t>
      </w:r>
      <w:r w:rsidR="00A51861" w:rsidRPr="00A51861">
        <w:rPr>
          <w:rFonts w:ascii="Cambria" w:eastAsia="Calibri" w:hAnsi="Cambria"/>
          <w:sz w:val="20"/>
          <w:szCs w:val="20"/>
          <w:bdr w:val="none" w:sz="0" w:space="0" w:color="auto"/>
        </w:rPr>
        <w:t>the IACHR</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the analysis</w:t>
      </w:r>
      <w:r w:rsidR="00E92985">
        <w:rPr>
          <w:rFonts w:ascii="Cambria" w:eastAsia="Calibri" w:hAnsi="Cambria"/>
          <w:sz w:val="20"/>
          <w:szCs w:val="20"/>
          <w:bdr w:val="none" w:sz="0" w:space="0" w:color="auto"/>
        </w:rPr>
        <w:t xml:space="preserve"> of </w:t>
      </w:r>
      <w:r w:rsidR="00773B3C" w:rsidRPr="00A51861">
        <w:rPr>
          <w:rFonts w:ascii="Cambria" w:eastAsia="Calibri" w:hAnsi="Cambria"/>
          <w:sz w:val="20"/>
          <w:szCs w:val="20"/>
          <w:bdr w:val="none" w:sz="0" w:space="0" w:color="auto"/>
        </w:rPr>
        <w:t>compatibili</w:t>
      </w:r>
      <w:r>
        <w:rPr>
          <w:rFonts w:ascii="Cambria" w:eastAsia="Calibri" w:hAnsi="Cambria"/>
          <w:sz w:val="20"/>
          <w:szCs w:val="20"/>
          <w:bdr w:val="none" w:sz="0" w:space="0" w:color="auto"/>
        </w:rPr>
        <w:t>ty</w:t>
      </w:r>
      <w:r w:rsidR="00E92985">
        <w:rPr>
          <w:rFonts w:ascii="Cambria" w:eastAsia="Calibri" w:hAnsi="Cambria"/>
          <w:sz w:val="20"/>
          <w:szCs w:val="20"/>
          <w:bdr w:val="none" w:sz="0" w:space="0" w:color="auto"/>
        </w:rPr>
        <w:t xml:space="preserve"> of the </w:t>
      </w:r>
      <w:r w:rsidR="0045141A">
        <w:rPr>
          <w:rFonts w:ascii="Cambria" w:eastAsia="Calibri" w:hAnsi="Cambria"/>
          <w:sz w:val="20"/>
          <w:szCs w:val="20"/>
          <w:bdr w:val="none" w:sz="0" w:space="0" w:color="auto"/>
        </w:rPr>
        <w:t>deprivation of liberty</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with</w:t>
      </w:r>
      <w:r w:rsidR="009A4F91">
        <w:rPr>
          <w:rFonts w:ascii="Cambria" w:eastAsia="Calibri" w:hAnsi="Cambria"/>
          <w:sz w:val="20"/>
          <w:szCs w:val="20"/>
          <w:bdr w:val="none" w:sz="0" w:space="0" w:color="auto"/>
        </w:rPr>
        <w:t xml:space="preserve"> the </w:t>
      </w:r>
      <w:r w:rsidRPr="00A51861">
        <w:rPr>
          <w:rFonts w:ascii="Cambria" w:eastAsia="Calibri" w:hAnsi="Cambria"/>
          <w:sz w:val="20"/>
          <w:szCs w:val="20"/>
          <w:bdr w:val="none" w:sz="0" w:space="0" w:color="auto"/>
        </w:rPr>
        <w:t>prohibition</w:t>
      </w:r>
      <w:r w:rsidR="00E92985">
        <w:rPr>
          <w:rFonts w:ascii="Cambria" w:eastAsia="Calibri" w:hAnsi="Cambria"/>
          <w:sz w:val="20"/>
          <w:szCs w:val="20"/>
          <w:bdr w:val="none" w:sz="0" w:space="0" w:color="auto"/>
        </w:rPr>
        <w:t xml:space="preserve"> of </w:t>
      </w:r>
      <w:r>
        <w:rPr>
          <w:rFonts w:ascii="Cambria" w:eastAsia="Calibri" w:hAnsi="Cambria"/>
          <w:sz w:val="20"/>
          <w:szCs w:val="20"/>
          <w:bdr w:val="none" w:sz="0" w:space="0" w:color="auto"/>
        </w:rPr>
        <w:t>illegal or arbitrary detention must follow three steps</w:t>
      </w:r>
      <w:r w:rsidR="001D1D61">
        <w:rPr>
          <w:rFonts w:ascii="Cambria" w:eastAsia="Calibri" w:hAnsi="Cambria"/>
          <w:sz w:val="20"/>
          <w:szCs w:val="20"/>
          <w:bdr w:val="none" w:sz="0" w:space="0" w:color="auto"/>
        </w:rPr>
        <w:t>. Th</w:t>
      </w:r>
      <w:r>
        <w:rPr>
          <w:rFonts w:ascii="Cambria" w:eastAsia="Calibri" w:hAnsi="Cambria"/>
          <w:sz w:val="20"/>
          <w:szCs w:val="20"/>
          <w:bdr w:val="none" w:sz="0" w:space="0" w:color="auto"/>
        </w:rPr>
        <w:t>e first</w:t>
      </w:r>
      <w:r w:rsidR="00773B3C" w:rsidRPr="00A51861">
        <w:rPr>
          <w:rFonts w:ascii="Cambria" w:eastAsia="Calibri" w:hAnsi="Cambria"/>
          <w:sz w:val="20"/>
          <w:szCs w:val="20"/>
          <w:bdr w:val="none" w:sz="0" w:space="0" w:color="auto"/>
        </w:rPr>
        <w:t xml:space="preserve"> consist</w:t>
      </w:r>
      <w:r>
        <w:rPr>
          <w:rFonts w:ascii="Cambria" w:eastAsia="Calibri" w:hAnsi="Cambria"/>
          <w:sz w:val="20"/>
          <w:szCs w:val="20"/>
          <w:bdr w:val="none" w:sz="0" w:space="0" w:color="auto"/>
        </w:rPr>
        <w:t>s</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of</w:t>
      </w:r>
      <w:r w:rsidR="00773B3C" w:rsidRPr="00A51861">
        <w:rPr>
          <w:rFonts w:ascii="Cambria" w:eastAsia="Calibri" w:hAnsi="Cambria"/>
          <w:sz w:val="20"/>
          <w:szCs w:val="20"/>
          <w:bdr w:val="none" w:sz="0" w:space="0" w:color="auto"/>
        </w:rPr>
        <w:t xml:space="preserve"> determin</w:t>
      </w:r>
      <w:r>
        <w:rPr>
          <w:rFonts w:ascii="Cambria" w:eastAsia="Calibri" w:hAnsi="Cambria"/>
          <w:sz w:val="20"/>
          <w:szCs w:val="20"/>
          <w:bdr w:val="none" w:sz="0" w:space="0" w:color="auto"/>
        </w:rPr>
        <w:t>ing</w:t>
      </w:r>
      <w:r w:rsidR="009A4F91">
        <w:rPr>
          <w:rFonts w:ascii="Cambria" w:eastAsia="Calibri" w:hAnsi="Cambria"/>
          <w:sz w:val="20"/>
          <w:szCs w:val="20"/>
          <w:bdr w:val="none" w:sz="0" w:space="0" w:color="auto"/>
        </w:rPr>
        <w:t xml:space="preserve"> the </w:t>
      </w:r>
      <w:r w:rsidR="00773B3C" w:rsidRPr="00A51861">
        <w:rPr>
          <w:rFonts w:ascii="Cambria" w:eastAsia="Calibri" w:hAnsi="Cambria"/>
          <w:sz w:val="20"/>
          <w:szCs w:val="20"/>
          <w:bdr w:val="none" w:sz="0" w:space="0" w:color="auto"/>
        </w:rPr>
        <w:t>legali</w:t>
      </w:r>
      <w:r>
        <w:rPr>
          <w:rFonts w:ascii="Cambria" w:eastAsia="Calibri" w:hAnsi="Cambria"/>
          <w:sz w:val="20"/>
          <w:szCs w:val="20"/>
          <w:bdr w:val="none" w:sz="0" w:space="0" w:color="auto"/>
        </w:rPr>
        <w:t xml:space="preserve">ty </w:t>
      </w:r>
      <w:r w:rsidR="00E92985">
        <w:rPr>
          <w:rFonts w:ascii="Cambria" w:eastAsia="Calibri" w:hAnsi="Cambria"/>
          <w:sz w:val="20"/>
          <w:szCs w:val="20"/>
          <w:bdr w:val="none" w:sz="0" w:space="0" w:color="auto"/>
        </w:rPr>
        <w:t xml:space="preserve">of the </w:t>
      </w:r>
      <w:r w:rsidR="006E255A">
        <w:rPr>
          <w:rFonts w:ascii="Cambria" w:eastAsia="Calibri" w:hAnsi="Cambria"/>
          <w:sz w:val="20"/>
          <w:szCs w:val="20"/>
          <w:bdr w:val="none" w:sz="0" w:space="0" w:color="auto"/>
        </w:rPr>
        <w:t>detention</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from a</w:t>
      </w:r>
      <w:r w:rsidR="00773B3C" w:rsidRPr="00A51861">
        <w:rPr>
          <w:rFonts w:ascii="Cambria" w:eastAsia="Calibri" w:hAnsi="Cambria"/>
          <w:sz w:val="20"/>
          <w:szCs w:val="20"/>
          <w:bdr w:val="none" w:sz="0" w:space="0" w:color="auto"/>
        </w:rPr>
        <w:t xml:space="preserve"> material</w:t>
      </w:r>
      <w:r w:rsidR="00E92985">
        <w:rPr>
          <w:rFonts w:ascii="Cambria" w:eastAsia="Calibri" w:hAnsi="Cambria"/>
          <w:sz w:val="20"/>
          <w:szCs w:val="20"/>
          <w:bdr w:val="none" w:sz="0" w:space="0" w:color="auto"/>
        </w:rPr>
        <w:t xml:space="preserve"> and </w:t>
      </w:r>
      <w:r w:rsidR="00773B3C" w:rsidRPr="00A51861">
        <w:rPr>
          <w:rFonts w:ascii="Cambria" w:eastAsia="Calibri" w:hAnsi="Cambria"/>
          <w:sz w:val="20"/>
          <w:szCs w:val="20"/>
          <w:bdr w:val="none" w:sz="0" w:space="0" w:color="auto"/>
        </w:rPr>
        <w:t>formal</w:t>
      </w:r>
      <w:r>
        <w:rPr>
          <w:rFonts w:ascii="Cambria" w:eastAsia="Calibri" w:hAnsi="Cambria"/>
          <w:sz w:val="20"/>
          <w:szCs w:val="20"/>
          <w:bdr w:val="none" w:sz="0" w:space="0" w:color="auto"/>
        </w:rPr>
        <w:t xml:space="preserve"> viewpoint</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Pursuant to this</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it must be</w:t>
      </w:r>
      <w:r w:rsidR="00773B3C" w:rsidRPr="00A51861">
        <w:rPr>
          <w:rFonts w:ascii="Cambria" w:eastAsia="Calibri" w:hAnsi="Cambria"/>
          <w:sz w:val="20"/>
          <w:szCs w:val="20"/>
          <w:bdr w:val="none" w:sz="0" w:space="0" w:color="auto"/>
        </w:rPr>
        <w:t xml:space="preserve"> determine</w:t>
      </w:r>
      <w:r>
        <w:rPr>
          <w:rFonts w:ascii="Cambria" w:eastAsia="Calibri" w:hAnsi="Cambria"/>
          <w:sz w:val="20"/>
          <w:szCs w:val="20"/>
          <w:bdr w:val="none" w:sz="0" w:space="0" w:color="auto"/>
        </w:rPr>
        <w:t>d</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 xml:space="preserve">whether </w:t>
      </w:r>
      <w:r w:rsidR="009A4F91">
        <w:rPr>
          <w:rFonts w:ascii="Cambria" w:eastAsia="Calibri" w:hAnsi="Cambria"/>
          <w:sz w:val="20"/>
          <w:szCs w:val="20"/>
          <w:bdr w:val="none" w:sz="0" w:space="0" w:color="auto"/>
        </w:rPr>
        <w:t xml:space="preserve">the </w:t>
      </w:r>
      <w:r w:rsidR="00773B3C" w:rsidRPr="00A51861">
        <w:rPr>
          <w:rFonts w:ascii="Cambria" w:eastAsia="Calibri" w:hAnsi="Cambria"/>
          <w:sz w:val="20"/>
          <w:szCs w:val="20"/>
          <w:bdr w:val="none" w:sz="0" w:space="0" w:color="auto"/>
        </w:rPr>
        <w:t>ac</w:t>
      </w:r>
      <w:r>
        <w:rPr>
          <w:rFonts w:ascii="Cambria" w:eastAsia="Calibri" w:hAnsi="Cambria"/>
          <w:sz w:val="20"/>
          <w:szCs w:val="20"/>
          <w:bdr w:val="none" w:sz="0" w:space="0" w:color="auto"/>
        </w:rPr>
        <w:t>tio</w:t>
      </w:r>
      <w:r w:rsidR="00773B3C" w:rsidRPr="00A51861">
        <w:rPr>
          <w:rFonts w:ascii="Cambria" w:eastAsia="Calibri" w:hAnsi="Cambria"/>
          <w:sz w:val="20"/>
          <w:szCs w:val="20"/>
          <w:bdr w:val="none" w:sz="0" w:space="0" w:color="auto"/>
        </w:rPr>
        <w:t xml:space="preserve">n </w:t>
      </w:r>
      <w:r>
        <w:rPr>
          <w:rFonts w:ascii="Cambria" w:eastAsia="Calibri" w:hAnsi="Cambria"/>
          <w:sz w:val="20"/>
          <w:szCs w:val="20"/>
          <w:bdr w:val="none" w:sz="0" w:space="0" w:color="auto"/>
        </w:rPr>
        <w:t>i</w:t>
      </w:r>
      <w:r w:rsidR="00773B3C" w:rsidRPr="00A51861">
        <w:rPr>
          <w:rFonts w:ascii="Cambria" w:eastAsia="Calibri" w:hAnsi="Cambria"/>
          <w:sz w:val="20"/>
          <w:szCs w:val="20"/>
          <w:bdr w:val="none" w:sz="0" w:space="0" w:color="auto"/>
        </w:rPr>
        <w:t xml:space="preserve">s compatible </w:t>
      </w:r>
      <w:r>
        <w:rPr>
          <w:rFonts w:ascii="Cambria" w:eastAsia="Calibri" w:hAnsi="Cambria"/>
          <w:sz w:val="20"/>
          <w:szCs w:val="20"/>
          <w:bdr w:val="none" w:sz="0" w:space="0" w:color="auto"/>
        </w:rPr>
        <w:t>with domestic</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provisions</w:t>
      </w:r>
      <w:r w:rsidR="00773B3C" w:rsidRPr="00A51861">
        <w:rPr>
          <w:rFonts w:ascii="Cambria" w:eastAsia="Calibri" w:hAnsi="Cambria"/>
          <w:sz w:val="20"/>
          <w:szCs w:val="20"/>
          <w:bdr w:val="none" w:sz="0" w:space="0" w:color="auto"/>
        </w:rPr>
        <w:t xml:space="preserve"> </w:t>
      </w:r>
      <w:r w:rsidR="00F92BA8">
        <w:rPr>
          <w:rFonts w:ascii="Cambria" w:eastAsia="Calibri" w:hAnsi="Cambria"/>
          <w:sz w:val="20"/>
          <w:szCs w:val="20"/>
          <w:bdr w:val="none" w:sz="0" w:space="0" w:color="auto"/>
        </w:rPr>
        <w:t>of the State</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in question</w:t>
      </w:r>
      <w:r w:rsidR="001D1D61">
        <w:rPr>
          <w:rFonts w:ascii="Cambria" w:eastAsia="Calibri" w:hAnsi="Cambria"/>
          <w:sz w:val="20"/>
          <w:szCs w:val="20"/>
          <w:bdr w:val="none" w:sz="0" w:space="0" w:color="auto"/>
        </w:rPr>
        <w:t>. Th</w:t>
      </w:r>
      <w:r>
        <w:rPr>
          <w:rFonts w:ascii="Cambria" w:eastAsia="Calibri" w:hAnsi="Cambria"/>
          <w:sz w:val="20"/>
          <w:szCs w:val="20"/>
          <w:bdr w:val="none" w:sz="0" w:space="0" w:color="auto"/>
        </w:rPr>
        <w:t>e second step entails the analysis</w:t>
      </w:r>
      <w:r w:rsidR="00E92985">
        <w:rPr>
          <w:rFonts w:ascii="Cambria" w:eastAsia="Calibri" w:hAnsi="Cambria"/>
          <w:sz w:val="20"/>
          <w:szCs w:val="20"/>
          <w:bdr w:val="none" w:sz="0" w:space="0" w:color="auto"/>
        </w:rPr>
        <w:t xml:space="preserve"> of</w:t>
      </w:r>
      <w:r w:rsidR="00E64C43">
        <w:rPr>
          <w:rFonts w:ascii="Cambria" w:eastAsia="Calibri" w:hAnsi="Cambria"/>
          <w:sz w:val="20"/>
          <w:szCs w:val="20"/>
          <w:bdr w:val="none" w:sz="0" w:space="0" w:color="auto"/>
        </w:rPr>
        <w:t xml:space="preserve"> those </w:t>
      </w:r>
      <w:r>
        <w:rPr>
          <w:rFonts w:ascii="Cambria" w:eastAsia="Calibri" w:hAnsi="Cambria"/>
          <w:sz w:val="20"/>
          <w:szCs w:val="20"/>
          <w:bdr w:val="none" w:sz="0" w:space="0" w:color="auto"/>
        </w:rPr>
        <w:t>domestic provisions</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within</w:t>
      </w:r>
      <w:r w:rsidR="004969F4">
        <w:rPr>
          <w:rFonts w:ascii="Cambria" w:eastAsia="Calibri" w:hAnsi="Cambria"/>
          <w:sz w:val="20"/>
          <w:szCs w:val="20"/>
          <w:bdr w:val="none" w:sz="0" w:space="0" w:color="auto"/>
        </w:rPr>
        <w:t xml:space="preserve"> the </w:t>
      </w:r>
      <w:r w:rsidR="00940530">
        <w:rPr>
          <w:rFonts w:ascii="Cambria" w:eastAsia="Calibri" w:hAnsi="Cambria"/>
          <w:sz w:val="20"/>
          <w:szCs w:val="20"/>
          <w:bdr w:val="none" w:sz="0" w:space="0" w:color="auto"/>
        </w:rPr>
        <w:t>context</w:t>
      </w:r>
      <w:r w:rsidR="00E92985">
        <w:rPr>
          <w:rFonts w:ascii="Cambria" w:eastAsia="Calibri" w:hAnsi="Cambria"/>
          <w:sz w:val="20"/>
          <w:szCs w:val="20"/>
          <w:bdr w:val="none" w:sz="0" w:space="0" w:color="auto"/>
        </w:rPr>
        <w:t xml:space="preserve"> of </w:t>
      </w:r>
      <w:r>
        <w:rPr>
          <w:rFonts w:ascii="Cambria" w:eastAsia="Calibri" w:hAnsi="Cambria"/>
          <w:sz w:val="20"/>
          <w:szCs w:val="20"/>
          <w:bdr w:val="none" w:sz="0" w:space="0" w:color="auto"/>
        </w:rPr>
        <w:t>the</w:t>
      </w:r>
      <w:r w:rsidR="00773B3C" w:rsidRPr="00A51861">
        <w:rPr>
          <w:rFonts w:ascii="Cambria" w:eastAsia="Calibri" w:hAnsi="Cambria"/>
          <w:sz w:val="20"/>
          <w:szCs w:val="20"/>
          <w:bdr w:val="none" w:sz="0" w:space="0" w:color="auto"/>
        </w:rPr>
        <w:t xml:space="preserve"> </w:t>
      </w:r>
      <w:r w:rsidR="009A4F91">
        <w:rPr>
          <w:rFonts w:ascii="Cambria" w:eastAsia="Calibri" w:hAnsi="Cambria"/>
          <w:sz w:val="20"/>
          <w:szCs w:val="20"/>
          <w:bdr w:val="none" w:sz="0" w:space="0" w:color="auto"/>
        </w:rPr>
        <w:t>guarantee</w:t>
      </w:r>
      <w:r w:rsidR="00773B3C" w:rsidRPr="00A51861">
        <w:rPr>
          <w:rFonts w:ascii="Cambria" w:eastAsia="Calibri" w:hAnsi="Cambria"/>
          <w:sz w:val="20"/>
          <w:szCs w:val="20"/>
          <w:bdr w:val="none" w:sz="0" w:space="0" w:color="auto"/>
        </w:rPr>
        <w:t xml:space="preserve">s </w:t>
      </w:r>
      <w:r>
        <w:rPr>
          <w:rFonts w:ascii="Cambria" w:eastAsia="Calibri" w:hAnsi="Cambria"/>
          <w:sz w:val="20"/>
          <w:szCs w:val="20"/>
          <w:bdr w:val="none" w:sz="0" w:space="0" w:color="auto"/>
        </w:rPr>
        <w:t>set forth by</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 xml:space="preserve">Inter-American instruments of </w:t>
      </w:r>
      <w:r w:rsidR="00664D70">
        <w:rPr>
          <w:rFonts w:ascii="Cambria" w:eastAsia="Calibri" w:hAnsi="Cambria"/>
          <w:sz w:val="20"/>
          <w:szCs w:val="20"/>
          <w:bdr w:val="none" w:sz="0" w:space="0" w:color="auto"/>
        </w:rPr>
        <w:t>Human rights</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so as to</w:t>
      </w:r>
      <w:r w:rsidR="00E92985">
        <w:rPr>
          <w:rFonts w:ascii="Cambria" w:eastAsia="Calibri" w:hAnsi="Cambria"/>
          <w:sz w:val="20"/>
          <w:szCs w:val="20"/>
          <w:bdr w:val="none" w:sz="0" w:space="0" w:color="auto"/>
        </w:rPr>
        <w:t xml:space="preserve"> </w:t>
      </w:r>
      <w:r w:rsidR="00773B3C" w:rsidRPr="00A51861">
        <w:rPr>
          <w:rFonts w:ascii="Cambria" w:eastAsia="Calibri" w:hAnsi="Cambria"/>
          <w:sz w:val="20"/>
          <w:szCs w:val="20"/>
          <w:bdr w:val="none" w:sz="0" w:space="0" w:color="auto"/>
        </w:rPr>
        <w:t>determin</w:t>
      </w:r>
      <w:r>
        <w:rPr>
          <w:rFonts w:ascii="Cambria" w:eastAsia="Calibri" w:hAnsi="Cambria"/>
          <w:sz w:val="20"/>
          <w:szCs w:val="20"/>
          <w:bdr w:val="none" w:sz="0" w:space="0" w:color="auto"/>
        </w:rPr>
        <w:t>e</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whether they are</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arbitrary</w:t>
      </w:r>
      <w:r w:rsidR="00773B3C" w:rsidRPr="00A51861">
        <w:rPr>
          <w:rFonts w:ascii="Cambria" w:eastAsia="Calibri" w:hAnsi="Cambria"/>
          <w:sz w:val="20"/>
          <w:szCs w:val="20"/>
          <w:bdr w:val="none" w:sz="0" w:space="0" w:color="auto"/>
        </w:rPr>
        <w:t>. Final</w:t>
      </w:r>
      <w:r w:rsidR="00F92BA8">
        <w:rPr>
          <w:rFonts w:ascii="Cambria" w:eastAsia="Calibri" w:hAnsi="Cambria"/>
          <w:sz w:val="20"/>
          <w:szCs w:val="20"/>
          <w:bdr w:val="none" w:sz="0" w:space="0" w:color="auto"/>
        </w:rPr>
        <w:t>ly</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 xml:space="preserve">although </w:t>
      </w:r>
      <w:r w:rsidR="009A4F91">
        <w:rPr>
          <w:rFonts w:ascii="Cambria" w:eastAsia="Calibri" w:hAnsi="Cambria"/>
          <w:sz w:val="20"/>
          <w:szCs w:val="20"/>
          <w:bdr w:val="none" w:sz="0" w:space="0" w:color="auto"/>
        </w:rPr>
        <w:t xml:space="preserve">the </w:t>
      </w:r>
      <w:r w:rsidR="006E255A">
        <w:rPr>
          <w:rFonts w:ascii="Cambria" w:eastAsia="Calibri" w:hAnsi="Cambria"/>
          <w:sz w:val="20"/>
          <w:szCs w:val="20"/>
          <w:bdr w:val="none" w:sz="0" w:space="0" w:color="auto"/>
        </w:rPr>
        <w:t>detention</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meets the</w:t>
      </w:r>
      <w:r w:rsidR="00773B3C" w:rsidRPr="00A51861">
        <w:rPr>
          <w:rFonts w:ascii="Cambria" w:eastAsia="Calibri" w:hAnsi="Cambria"/>
          <w:sz w:val="20"/>
          <w:szCs w:val="20"/>
          <w:bdr w:val="none" w:sz="0" w:space="0" w:color="auto"/>
        </w:rPr>
        <w:t xml:space="preserve"> </w:t>
      </w:r>
      <w:r w:rsidR="00EC7A58">
        <w:rPr>
          <w:rFonts w:ascii="Cambria" w:eastAsia="Calibri" w:hAnsi="Cambria"/>
          <w:sz w:val="20"/>
          <w:szCs w:val="20"/>
          <w:bdr w:val="none" w:sz="0" w:space="0" w:color="auto"/>
        </w:rPr>
        <w:t>requirement</w:t>
      </w:r>
      <w:r w:rsidR="00773B3C" w:rsidRPr="00A51861">
        <w:rPr>
          <w:rFonts w:ascii="Cambria" w:eastAsia="Calibri" w:hAnsi="Cambria"/>
          <w:sz w:val="20"/>
          <w:szCs w:val="20"/>
          <w:bdr w:val="none" w:sz="0" w:space="0" w:color="auto"/>
        </w:rPr>
        <w:t>s</w:t>
      </w:r>
      <w:r w:rsidR="00E92985">
        <w:rPr>
          <w:rFonts w:ascii="Cambria" w:eastAsia="Calibri" w:hAnsi="Cambria"/>
          <w:sz w:val="20"/>
          <w:szCs w:val="20"/>
          <w:bdr w:val="none" w:sz="0" w:space="0" w:color="auto"/>
        </w:rPr>
        <w:t xml:space="preserve"> of</w:t>
      </w:r>
      <w:r>
        <w:rPr>
          <w:rFonts w:ascii="Cambria" w:eastAsia="Calibri" w:hAnsi="Cambria"/>
          <w:sz w:val="20"/>
          <w:szCs w:val="20"/>
          <w:bdr w:val="none" w:sz="0" w:space="0" w:color="auto"/>
        </w:rPr>
        <w:t xml:space="preserve"> </w:t>
      </w:r>
      <w:r w:rsidR="00773B3C" w:rsidRPr="00A51861">
        <w:rPr>
          <w:rFonts w:ascii="Cambria" w:eastAsia="Calibri" w:hAnsi="Cambria"/>
          <w:sz w:val="20"/>
          <w:szCs w:val="20"/>
          <w:bdr w:val="none" w:sz="0" w:space="0" w:color="auto"/>
        </w:rPr>
        <w:t xml:space="preserve">a </w:t>
      </w:r>
      <w:r>
        <w:rPr>
          <w:rFonts w:ascii="Cambria" w:eastAsia="Calibri" w:hAnsi="Cambria"/>
          <w:sz w:val="20"/>
          <w:szCs w:val="20"/>
          <w:bdr w:val="none" w:sz="0" w:space="0" w:color="auto"/>
        </w:rPr>
        <w:t>domestic</w:t>
      </w:r>
      <w:r w:rsidRPr="00A51861">
        <w:rPr>
          <w:rFonts w:ascii="Cambria" w:eastAsia="Calibri" w:hAnsi="Cambria"/>
          <w:sz w:val="20"/>
          <w:szCs w:val="20"/>
          <w:bdr w:val="none" w:sz="0" w:space="0" w:color="auto"/>
        </w:rPr>
        <w:t xml:space="preserve"> juridical</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provision</w:t>
      </w:r>
      <w:r w:rsidRPr="00A51861">
        <w:rPr>
          <w:rFonts w:ascii="Cambria" w:eastAsia="Calibri" w:hAnsi="Cambria"/>
          <w:sz w:val="20"/>
          <w:szCs w:val="20"/>
          <w:bdr w:val="none" w:sz="0" w:space="0" w:color="auto"/>
        </w:rPr>
        <w:t xml:space="preserve"> </w:t>
      </w:r>
      <w:r w:rsidR="00773B3C" w:rsidRPr="00A51861">
        <w:rPr>
          <w:rFonts w:ascii="Cambria" w:eastAsia="Calibri" w:hAnsi="Cambria"/>
          <w:sz w:val="20"/>
          <w:szCs w:val="20"/>
          <w:bdr w:val="none" w:sz="0" w:space="0" w:color="auto"/>
        </w:rPr>
        <w:t xml:space="preserve">compatible </w:t>
      </w:r>
      <w:r>
        <w:rPr>
          <w:rFonts w:ascii="Cambria" w:eastAsia="Calibri" w:hAnsi="Cambria"/>
          <w:sz w:val="20"/>
          <w:szCs w:val="20"/>
          <w:bdr w:val="none" w:sz="0" w:space="0" w:color="auto"/>
        </w:rPr>
        <w:t xml:space="preserve">with said </w:t>
      </w:r>
      <w:r w:rsidR="00AA5556">
        <w:rPr>
          <w:rFonts w:ascii="Cambria" w:eastAsia="Calibri" w:hAnsi="Cambria"/>
          <w:sz w:val="20"/>
          <w:szCs w:val="20"/>
          <w:bdr w:val="none" w:sz="0" w:space="0" w:color="auto"/>
        </w:rPr>
        <w:t>instrument</w:t>
      </w:r>
      <w:r w:rsidR="00773B3C" w:rsidRPr="00A51861">
        <w:rPr>
          <w:rFonts w:ascii="Cambria" w:eastAsia="Calibri" w:hAnsi="Cambria"/>
          <w:sz w:val="20"/>
          <w:szCs w:val="20"/>
          <w:bdr w:val="none" w:sz="0" w:space="0" w:color="auto"/>
        </w:rPr>
        <w:t xml:space="preserve">s, </w:t>
      </w:r>
      <w:r>
        <w:rPr>
          <w:rFonts w:ascii="Cambria" w:eastAsia="Calibri" w:hAnsi="Cambria"/>
          <w:sz w:val="20"/>
          <w:szCs w:val="20"/>
          <w:bdr w:val="none" w:sz="0" w:space="0" w:color="auto"/>
        </w:rPr>
        <w:t>it must be</w:t>
      </w:r>
      <w:r w:rsidR="00773B3C" w:rsidRPr="00A51861">
        <w:rPr>
          <w:rFonts w:ascii="Cambria" w:eastAsia="Calibri" w:hAnsi="Cambria"/>
          <w:sz w:val="20"/>
          <w:szCs w:val="20"/>
          <w:bdr w:val="none" w:sz="0" w:space="0" w:color="auto"/>
        </w:rPr>
        <w:t xml:space="preserve"> determin</w:t>
      </w:r>
      <w:r>
        <w:rPr>
          <w:rFonts w:ascii="Cambria" w:eastAsia="Calibri" w:hAnsi="Cambria"/>
          <w:sz w:val="20"/>
          <w:szCs w:val="20"/>
          <w:bdr w:val="none" w:sz="0" w:space="0" w:color="auto"/>
        </w:rPr>
        <w:t>ed if</w:t>
      </w:r>
      <w:r w:rsidR="009A4F91">
        <w:rPr>
          <w:rFonts w:ascii="Cambria" w:eastAsia="Calibri" w:hAnsi="Cambria"/>
          <w:sz w:val="20"/>
          <w:szCs w:val="20"/>
          <w:bdr w:val="none" w:sz="0" w:space="0" w:color="auto"/>
        </w:rPr>
        <w:t xml:space="preserve"> the </w:t>
      </w:r>
      <w:r w:rsidR="00CE4CA1" w:rsidRPr="00A51861">
        <w:rPr>
          <w:rFonts w:ascii="Cambria" w:eastAsia="Calibri" w:hAnsi="Cambria"/>
          <w:sz w:val="20"/>
          <w:szCs w:val="20"/>
          <w:bdr w:val="none" w:sz="0" w:space="0" w:color="auto"/>
        </w:rPr>
        <w:t>application</w:t>
      </w:r>
      <w:r w:rsidR="00E92985">
        <w:rPr>
          <w:rFonts w:ascii="Cambria" w:eastAsia="Calibri" w:hAnsi="Cambria"/>
          <w:sz w:val="20"/>
          <w:szCs w:val="20"/>
          <w:bdr w:val="none" w:sz="0" w:space="0" w:color="auto"/>
        </w:rPr>
        <w:t xml:space="preserve"> of </w:t>
      </w:r>
      <w:r w:rsidR="00CE4CA1">
        <w:rPr>
          <w:rFonts w:ascii="Cambria" w:eastAsia="Calibri" w:hAnsi="Cambria"/>
          <w:sz w:val="20"/>
          <w:szCs w:val="20"/>
          <w:bdr w:val="none" w:sz="0" w:space="0" w:color="auto"/>
        </w:rPr>
        <w:t>l</w:t>
      </w:r>
      <w:r w:rsidR="002835FC" w:rsidRPr="00A51861">
        <w:rPr>
          <w:rFonts w:ascii="Cambria" w:eastAsia="Calibri" w:hAnsi="Cambria"/>
          <w:sz w:val="20"/>
          <w:szCs w:val="20"/>
          <w:bdr w:val="none" w:sz="0" w:space="0" w:color="auto"/>
        </w:rPr>
        <w:t xml:space="preserve">aw </w:t>
      </w:r>
      <w:r w:rsidR="00CE4CA1">
        <w:rPr>
          <w:rFonts w:ascii="Cambria" w:eastAsia="Calibri" w:hAnsi="Cambria"/>
          <w:sz w:val="20"/>
          <w:szCs w:val="20"/>
          <w:bdr w:val="none" w:sz="0" w:space="0" w:color="auto"/>
        </w:rPr>
        <w:t>in the specific case was</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arbitrary</w:t>
      </w:r>
      <w:r w:rsidR="00773B3C" w:rsidRPr="00A51861">
        <w:rPr>
          <w:rFonts w:ascii="Cambria" w:eastAsia="Calibri" w:hAnsi="Cambria"/>
          <w:sz w:val="20"/>
          <w:szCs w:val="20"/>
          <w:bdr w:val="none" w:sz="0" w:space="0" w:color="auto"/>
          <w:vertAlign w:val="superscript"/>
        </w:rPr>
        <w:footnoteReference w:id="155"/>
      </w:r>
      <w:r w:rsidR="00773B3C" w:rsidRPr="00A51861">
        <w:rPr>
          <w:rFonts w:ascii="Cambria" w:eastAsia="Calibri" w:hAnsi="Cambria"/>
          <w:sz w:val="20"/>
          <w:szCs w:val="20"/>
          <w:bdr w:val="none" w:sz="0" w:space="0" w:color="auto"/>
        </w:rPr>
        <w:t>.</w:t>
      </w:r>
    </w:p>
    <w:p w14:paraId="72E5B355" w14:textId="77777777" w:rsidR="00C80095" w:rsidRPr="00A51861" w:rsidRDefault="00C80095" w:rsidP="008E4D36">
      <w:pPr>
        <w:pStyle w:val="ListParagraph"/>
        <w:rPr>
          <w:rFonts w:eastAsia="Calibri"/>
          <w:sz w:val="20"/>
          <w:szCs w:val="20"/>
          <w:bdr w:val="none" w:sz="0" w:space="0" w:color="auto"/>
        </w:rPr>
      </w:pPr>
    </w:p>
    <w:p w14:paraId="711DACC7" w14:textId="4E39C927" w:rsidR="00F01EDB" w:rsidRPr="00A51861" w:rsidRDefault="00CE4CA1"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eastAsia="Calibri" w:hAnsi="Cambria"/>
          <w:sz w:val="20"/>
          <w:szCs w:val="20"/>
          <w:bdr w:val="none" w:sz="0" w:space="0" w:color="auto"/>
        </w:rPr>
      </w:pPr>
      <w:r>
        <w:rPr>
          <w:rFonts w:ascii="Cambria" w:eastAsia="Calibri" w:hAnsi="Cambria"/>
          <w:sz w:val="20"/>
          <w:szCs w:val="20"/>
          <w:bdr w:val="none" w:sz="0" w:space="0" w:color="auto"/>
        </w:rPr>
        <w:t>In regard to the right to</w:t>
      </w:r>
      <w:r w:rsidR="009A4F9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humane treatment</w:t>
      </w:r>
      <w:r w:rsidR="00F01EDB" w:rsidRPr="00A51861">
        <w:rPr>
          <w:rFonts w:ascii="Cambria" w:eastAsia="Calibri" w:hAnsi="Cambria"/>
          <w:sz w:val="20"/>
          <w:szCs w:val="20"/>
          <w:bdr w:val="none" w:sz="0" w:space="0" w:color="auto"/>
        </w:rPr>
        <w:t>,</w:t>
      </w:r>
      <w:r w:rsidR="009A4F91">
        <w:rPr>
          <w:rFonts w:ascii="Cambria" w:eastAsia="Calibri" w:hAnsi="Cambria"/>
          <w:sz w:val="20"/>
          <w:szCs w:val="20"/>
          <w:bdr w:val="none" w:sz="0" w:space="0" w:color="auto"/>
        </w:rPr>
        <w:t xml:space="preserve"> the </w:t>
      </w:r>
      <w:r w:rsidR="00F01EDB" w:rsidRPr="00A51861">
        <w:rPr>
          <w:rFonts w:ascii="Cambria" w:eastAsia="Calibri" w:hAnsi="Cambria"/>
          <w:sz w:val="20"/>
          <w:szCs w:val="20"/>
          <w:bdr w:val="none" w:sz="0" w:space="0" w:color="auto"/>
        </w:rPr>
        <w:t>Co</w:t>
      </w:r>
      <w:r>
        <w:rPr>
          <w:rFonts w:ascii="Cambria" w:eastAsia="Calibri" w:hAnsi="Cambria"/>
          <w:sz w:val="20"/>
          <w:szCs w:val="20"/>
          <w:bdr w:val="none" w:sz="0" w:space="0" w:color="auto"/>
        </w:rPr>
        <w:t>u</w:t>
      </w:r>
      <w:r w:rsidR="00F01EDB" w:rsidRPr="00A51861">
        <w:rPr>
          <w:rFonts w:ascii="Cambria" w:eastAsia="Calibri" w:hAnsi="Cambria"/>
          <w:sz w:val="20"/>
          <w:szCs w:val="20"/>
          <w:bdr w:val="none" w:sz="0" w:space="0" w:color="auto"/>
        </w:rPr>
        <w:t xml:space="preserve">rt </w:t>
      </w:r>
      <w:r>
        <w:rPr>
          <w:rFonts w:ascii="Cambria" w:eastAsia="Calibri" w:hAnsi="Cambria"/>
          <w:sz w:val="20"/>
          <w:szCs w:val="20"/>
          <w:bdr w:val="none" w:sz="0" w:space="0" w:color="auto"/>
        </w:rPr>
        <w:t xml:space="preserve">has established that </w:t>
      </w:r>
      <w:r w:rsidR="00F01EDB" w:rsidRPr="00A51861">
        <w:rPr>
          <w:rFonts w:ascii="Cambria" w:eastAsia="Calibri" w:hAnsi="Cambria"/>
          <w:sz w:val="20"/>
          <w:szCs w:val="20"/>
          <w:bdr w:val="none" w:sz="0" w:space="0" w:color="auto"/>
        </w:rPr>
        <w:t>“</w:t>
      </w:r>
      <w:r>
        <w:rPr>
          <w:rFonts w:ascii="Cambria" w:eastAsia="Calibri" w:hAnsi="Cambria"/>
          <w:sz w:val="20"/>
          <w:szCs w:val="20"/>
          <w:bdr w:val="none" w:sz="0" w:space="0" w:color="auto"/>
        </w:rPr>
        <w:t>the infringement to</w:t>
      </w:r>
      <w:r w:rsidR="004969F4">
        <w:rPr>
          <w:rFonts w:ascii="Cambria" w:eastAsia="Calibri" w:hAnsi="Cambria"/>
          <w:sz w:val="20"/>
          <w:szCs w:val="20"/>
          <w:bdr w:val="none" w:sz="0" w:space="0" w:color="auto"/>
        </w:rPr>
        <w:t xml:space="preserve"> </w:t>
      </w:r>
      <w:r w:rsidR="009A4F91">
        <w:rPr>
          <w:rFonts w:ascii="Cambria" w:eastAsia="Calibri" w:hAnsi="Cambria"/>
          <w:sz w:val="20"/>
          <w:szCs w:val="20"/>
          <w:bdr w:val="none" w:sz="0" w:space="0" w:color="auto"/>
        </w:rPr>
        <w:t xml:space="preserve">the right to </w:t>
      </w:r>
      <w:r w:rsidR="00986A65">
        <w:rPr>
          <w:rFonts w:ascii="Cambria" w:eastAsia="Calibri" w:hAnsi="Cambria"/>
          <w:sz w:val="20"/>
          <w:szCs w:val="20"/>
          <w:bdr w:val="none" w:sz="0" w:space="0" w:color="auto"/>
        </w:rPr>
        <w:t xml:space="preserve">physical </w:t>
      </w:r>
      <w:r w:rsidR="00E92985">
        <w:rPr>
          <w:rFonts w:ascii="Cambria" w:eastAsia="Calibri" w:hAnsi="Cambria"/>
          <w:sz w:val="20"/>
          <w:szCs w:val="20"/>
          <w:bdr w:val="none" w:sz="0" w:space="0" w:color="auto"/>
        </w:rPr>
        <w:t xml:space="preserve">and </w:t>
      </w:r>
      <w:r w:rsidR="00F01EDB" w:rsidRPr="00A51861">
        <w:rPr>
          <w:rFonts w:ascii="Cambria" w:eastAsia="Calibri" w:hAnsi="Cambria"/>
          <w:sz w:val="20"/>
          <w:szCs w:val="20"/>
          <w:bdr w:val="none" w:sz="0" w:space="0" w:color="auto"/>
        </w:rPr>
        <w:t>ps</w:t>
      </w:r>
      <w:r>
        <w:rPr>
          <w:rFonts w:ascii="Cambria" w:eastAsia="Calibri" w:hAnsi="Cambria"/>
          <w:sz w:val="20"/>
          <w:szCs w:val="20"/>
          <w:bdr w:val="none" w:sz="0" w:space="0" w:color="auto"/>
        </w:rPr>
        <w:t>ychic</w:t>
      </w:r>
      <w:r w:rsidR="00E92985">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 xml:space="preserve">integrity </w:t>
      </w:r>
      <w:r w:rsidR="00E92985">
        <w:rPr>
          <w:rFonts w:ascii="Cambria" w:eastAsia="Calibri" w:hAnsi="Cambria"/>
          <w:sz w:val="20"/>
          <w:szCs w:val="20"/>
          <w:bdr w:val="none" w:sz="0" w:space="0" w:color="auto"/>
        </w:rPr>
        <w:t xml:space="preserve">of </w:t>
      </w:r>
      <w:r w:rsidR="00EC7A58">
        <w:rPr>
          <w:rFonts w:ascii="Cambria" w:eastAsia="Calibri" w:hAnsi="Cambria"/>
          <w:sz w:val="20"/>
          <w:szCs w:val="20"/>
          <w:bdr w:val="none" w:sz="0" w:space="0" w:color="auto"/>
        </w:rPr>
        <w:t>persons</w:t>
      </w:r>
      <w:r w:rsidR="00F01EDB"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is a sort</w:t>
      </w:r>
      <w:r w:rsidR="00E92985">
        <w:rPr>
          <w:rFonts w:ascii="Cambria" w:eastAsia="Calibri" w:hAnsi="Cambria"/>
          <w:sz w:val="20"/>
          <w:szCs w:val="20"/>
          <w:bdr w:val="none" w:sz="0" w:space="0" w:color="auto"/>
        </w:rPr>
        <w:t xml:space="preserve"> of </w:t>
      </w:r>
      <w:r w:rsidR="004E1083">
        <w:rPr>
          <w:rFonts w:ascii="Cambria" w:eastAsia="Calibri" w:hAnsi="Cambria"/>
          <w:sz w:val="20"/>
          <w:szCs w:val="20"/>
          <w:bdr w:val="none" w:sz="0" w:space="0" w:color="auto"/>
        </w:rPr>
        <w:t>violation</w:t>
      </w:r>
      <w:r w:rsidR="00F01EDB"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which has</w:t>
      </w:r>
      <w:r w:rsidR="00F01EDB" w:rsidRPr="00A51861">
        <w:rPr>
          <w:rFonts w:ascii="Cambria" w:eastAsia="Calibri" w:hAnsi="Cambria"/>
          <w:sz w:val="20"/>
          <w:szCs w:val="20"/>
          <w:bdr w:val="none" w:sz="0" w:space="0" w:color="auto"/>
        </w:rPr>
        <w:t xml:space="preserve"> </w:t>
      </w:r>
      <w:r w:rsidR="003A78FE">
        <w:rPr>
          <w:rFonts w:ascii="Cambria" w:eastAsia="Calibri" w:hAnsi="Cambria"/>
          <w:sz w:val="20"/>
          <w:szCs w:val="20"/>
          <w:bdr w:val="none" w:sz="0" w:space="0" w:color="auto"/>
        </w:rPr>
        <w:t>several</w:t>
      </w:r>
      <w:r w:rsidR="00F01EDB" w:rsidRPr="00A51861">
        <w:rPr>
          <w:rFonts w:ascii="Cambria" w:eastAsia="Calibri" w:hAnsi="Cambria"/>
          <w:sz w:val="20"/>
          <w:szCs w:val="20"/>
          <w:bdr w:val="none" w:sz="0" w:space="0" w:color="auto"/>
        </w:rPr>
        <w:t xml:space="preserve"> </w:t>
      </w:r>
      <w:r w:rsidRPr="00A51861">
        <w:rPr>
          <w:rFonts w:ascii="Cambria" w:eastAsia="Calibri" w:hAnsi="Cambria"/>
          <w:sz w:val="20"/>
          <w:szCs w:val="20"/>
          <w:bdr w:val="none" w:sz="0" w:space="0" w:color="auto"/>
        </w:rPr>
        <w:t>connotations</w:t>
      </w:r>
      <w:r w:rsidR="00E92985">
        <w:rPr>
          <w:rFonts w:ascii="Cambria" w:eastAsia="Calibri" w:hAnsi="Cambria"/>
          <w:sz w:val="20"/>
          <w:szCs w:val="20"/>
          <w:bdr w:val="none" w:sz="0" w:space="0" w:color="auto"/>
        </w:rPr>
        <w:t xml:space="preserve"> of </w:t>
      </w:r>
      <w:r>
        <w:rPr>
          <w:rFonts w:ascii="Cambria" w:eastAsia="Calibri" w:hAnsi="Cambria"/>
          <w:sz w:val="20"/>
          <w:szCs w:val="20"/>
          <w:bdr w:val="none" w:sz="0" w:space="0" w:color="auto"/>
        </w:rPr>
        <w:t>degree</w:t>
      </w:r>
      <w:r w:rsidR="00E92985">
        <w:rPr>
          <w:rFonts w:ascii="Cambria" w:eastAsia="Calibri" w:hAnsi="Cambria"/>
          <w:sz w:val="20"/>
          <w:szCs w:val="20"/>
          <w:bdr w:val="none" w:sz="0" w:space="0" w:color="auto"/>
        </w:rPr>
        <w:t xml:space="preserve"> and </w:t>
      </w:r>
      <w:r>
        <w:rPr>
          <w:rFonts w:ascii="Cambria" w:eastAsia="Calibri" w:hAnsi="Cambria"/>
          <w:sz w:val="20"/>
          <w:szCs w:val="20"/>
          <w:bdr w:val="none" w:sz="0" w:space="0" w:color="auto"/>
        </w:rPr>
        <w:t xml:space="preserve">encompasses from </w:t>
      </w:r>
      <w:r w:rsidR="00F01EDB" w:rsidRPr="00A51861">
        <w:rPr>
          <w:rFonts w:ascii="Cambria" w:eastAsia="Calibri" w:hAnsi="Cambria"/>
          <w:sz w:val="20"/>
          <w:szCs w:val="20"/>
          <w:bdr w:val="none" w:sz="0" w:space="0" w:color="auto"/>
        </w:rPr>
        <w:t>tortur</w:t>
      </w:r>
      <w:r>
        <w:rPr>
          <w:rFonts w:ascii="Cambria" w:eastAsia="Calibri" w:hAnsi="Cambria"/>
          <w:sz w:val="20"/>
          <w:szCs w:val="20"/>
          <w:bdr w:val="none" w:sz="0" w:space="0" w:color="auto"/>
        </w:rPr>
        <w:t>e</w:t>
      </w:r>
      <w:r w:rsidR="00F01EDB"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to other kind of</w:t>
      </w:r>
      <w:r w:rsidR="00E92985">
        <w:rPr>
          <w:rFonts w:ascii="Cambria" w:eastAsia="Calibri" w:hAnsi="Cambria"/>
          <w:sz w:val="20"/>
          <w:szCs w:val="20"/>
          <w:bdr w:val="none" w:sz="0" w:space="0" w:color="auto"/>
        </w:rPr>
        <w:t xml:space="preserve"> </w:t>
      </w:r>
      <w:r w:rsidR="00F01EDB" w:rsidRPr="00A51861">
        <w:rPr>
          <w:rFonts w:ascii="Cambria" w:eastAsia="Calibri" w:hAnsi="Cambria"/>
          <w:sz w:val="20"/>
          <w:szCs w:val="20"/>
          <w:bdr w:val="none" w:sz="0" w:space="0" w:color="auto"/>
        </w:rPr>
        <w:t>cruel, inhuman</w:t>
      </w:r>
      <w:r>
        <w:rPr>
          <w:rFonts w:ascii="Cambria" w:eastAsia="Calibri" w:hAnsi="Cambria"/>
          <w:sz w:val="20"/>
          <w:szCs w:val="20"/>
          <w:bdr w:val="none" w:sz="0" w:space="0" w:color="auto"/>
        </w:rPr>
        <w:t>e,</w:t>
      </w:r>
      <w:r w:rsidR="00E92985">
        <w:rPr>
          <w:rFonts w:ascii="Cambria" w:eastAsia="Calibri" w:hAnsi="Cambria"/>
          <w:sz w:val="20"/>
          <w:szCs w:val="20"/>
          <w:bdr w:val="none" w:sz="0" w:space="0" w:color="auto"/>
        </w:rPr>
        <w:t xml:space="preserve"> </w:t>
      </w:r>
      <w:r w:rsidR="00F01EDB" w:rsidRPr="00A51861">
        <w:rPr>
          <w:rFonts w:ascii="Cambria" w:eastAsia="Calibri" w:hAnsi="Cambria"/>
          <w:sz w:val="20"/>
          <w:szCs w:val="20"/>
          <w:bdr w:val="none" w:sz="0" w:space="0" w:color="auto"/>
        </w:rPr>
        <w:t>degrad</w:t>
      </w:r>
      <w:r>
        <w:rPr>
          <w:rFonts w:ascii="Cambria" w:eastAsia="Calibri" w:hAnsi="Cambria"/>
          <w:sz w:val="20"/>
          <w:szCs w:val="20"/>
          <w:bdr w:val="none" w:sz="0" w:space="0" w:color="auto"/>
        </w:rPr>
        <w:t>ing or ill treatment</w:t>
      </w:r>
      <w:r w:rsidR="00F01EDB"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whose physical</w:t>
      </w:r>
      <w:r w:rsidR="00E92985">
        <w:rPr>
          <w:rFonts w:ascii="Cambria" w:eastAsia="Calibri" w:hAnsi="Cambria"/>
          <w:sz w:val="20"/>
          <w:szCs w:val="20"/>
          <w:bdr w:val="none" w:sz="0" w:space="0" w:color="auto"/>
        </w:rPr>
        <w:t xml:space="preserve"> and </w:t>
      </w:r>
      <w:r w:rsidR="00F01EDB" w:rsidRPr="00A51861">
        <w:rPr>
          <w:rFonts w:ascii="Cambria" w:eastAsia="Calibri" w:hAnsi="Cambria"/>
          <w:sz w:val="20"/>
          <w:szCs w:val="20"/>
          <w:bdr w:val="none" w:sz="0" w:space="0" w:color="auto"/>
        </w:rPr>
        <w:t>ps</w:t>
      </w:r>
      <w:r>
        <w:rPr>
          <w:rFonts w:ascii="Cambria" w:eastAsia="Calibri" w:hAnsi="Cambria"/>
          <w:sz w:val="20"/>
          <w:szCs w:val="20"/>
          <w:bdr w:val="none" w:sz="0" w:space="0" w:color="auto"/>
        </w:rPr>
        <w:t>ychological</w:t>
      </w:r>
      <w:r w:rsidR="00F01EDB" w:rsidRPr="00A51861">
        <w:rPr>
          <w:rFonts w:ascii="Cambria" w:eastAsia="Calibri" w:hAnsi="Cambria"/>
          <w:sz w:val="20"/>
          <w:szCs w:val="20"/>
          <w:bdr w:val="none" w:sz="0" w:space="0" w:color="auto"/>
        </w:rPr>
        <w:t xml:space="preserve"> </w:t>
      </w:r>
      <w:r w:rsidRPr="00A51861">
        <w:rPr>
          <w:rFonts w:ascii="Cambria" w:eastAsia="Calibri" w:hAnsi="Cambria"/>
          <w:sz w:val="20"/>
          <w:szCs w:val="20"/>
          <w:bdr w:val="none" w:sz="0" w:space="0" w:color="auto"/>
        </w:rPr>
        <w:t>se</w:t>
      </w:r>
      <w:r>
        <w:rPr>
          <w:rFonts w:ascii="Cambria" w:eastAsia="Calibri" w:hAnsi="Cambria"/>
          <w:sz w:val="20"/>
          <w:szCs w:val="20"/>
          <w:bdr w:val="none" w:sz="0" w:space="0" w:color="auto"/>
        </w:rPr>
        <w:t>q</w:t>
      </w:r>
      <w:r w:rsidRPr="00A51861">
        <w:rPr>
          <w:rFonts w:ascii="Cambria" w:eastAsia="Calibri" w:hAnsi="Cambria"/>
          <w:sz w:val="20"/>
          <w:szCs w:val="20"/>
          <w:bdr w:val="none" w:sz="0" w:space="0" w:color="auto"/>
        </w:rPr>
        <w:t xml:space="preserve">uels </w:t>
      </w:r>
      <w:r w:rsidR="00F01EDB" w:rsidRPr="00A51861">
        <w:rPr>
          <w:rFonts w:ascii="Cambria" w:eastAsia="Calibri" w:hAnsi="Cambria"/>
          <w:sz w:val="20"/>
          <w:szCs w:val="20"/>
          <w:bdr w:val="none" w:sz="0" w:space="0" w:color="auto"/>
        </w:rPr>
        <w:t>var</w:t>
      </w:r>
      <w:r>
        <w:rPr>
          <w:rFonts w:ascii="Cambria" w:eastAsia="Calibri" w:hAnsi="Cambria"/>
          <w:sz w:val="20"/>
          <w:szCs w:val="20"/>
          <w:bdr w:val="none" w:sz="0" w:space="0" w:color="auto"/>
        </w:rPr>
        <w:t>y</w:t>
      </w:r>
      <w:r w:rsidR="00E92985">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in</w:t>
      </w:r>
      <w:r w:rsidR="00E92985">
        <w:rPr>
          <w:rFonts w:ascii="Cambria" w:eastAsia="Calibri" w:hAnsi="Cambria"/>
          <w:sz w:val="20"/>
          <w:szCs w:val="20"/>
          <w:bdr w:val="none" w:sz="0" w:space="0" w:color="auto"/>
        </w:rPr>
        <w:t xml:space="preserve"> </w:t>
      </w:r>
      <w:r w:rsidR="00F01EDB" w:rsidRPr="00A51861">
        <w:rPr>
          <w:rFonts w:ascii="Cambria" w:eastAsia="Calibri" w:hAnsi="Cambria"/>
          <w:sz w:val="20"/>
          <w:szCs w:val="20"/>
          <w:bdr w:val="none" w:sz="0" w:space="0" w:color="auto"/>
        </w:rPr>
        <w:t>intensi</w:t>
      </w:r>
      <w:r w:rsidR="00FA2E7B">
        <w:rPr>
          <w:rFonts w:ascii="Cambria" w:eastAsia="Calibri" w:hAnsi="Cambria"/>
          <w:sz w:val="20"/>
          <w:szCs w:val="20"/>
          <w:bdr w:val="none" w:sz="0" w:space="0" w:color="auto"/>
        </w:rPr>
        <w:t xml:space="preserve">ty </w:t>
      </w:r>
      <w:r>
        <w:rPr>
          <w:rFonts w:ascii="Cambria" w:eastAsia="Calibri" w:hAnsi="Cambria"/>
          <w:sz w:val="20"/>
          <w:szCs w:val="20"/>
          <w:bdr w:val="none" w:sz="0" w:space="0" w:color="auto"/>
        </w:rPr>
        <w:t>depending on endogenous</w:t>
      </w:r>
      <w:r w:rsidR="00F01EDB" w:rsidRPr="00A51861">
        <w:rPr>
          <w:rFonts w:ascii="Cambria" w:eastAsia="Calibri" w:hAnsi="Cambria"/>
          <w:sz w:val="20"/>
          <w:szCs w:val="20"/>
          <w:bdr w:val="none" w:sz="0" w:space="0" w:color="auto"/>
        </w:rPr>
        <w:t xml:space="preserve"> </w:t>
      </w:r>
      <w:r w:rsidR="00E92985">
        <w:rPr>
          <w:rFonts w:ascii="Cambria" w:eastAsia="Calibri" w:hAnsi="Cambria"/>
          <w:sz w:val="20"/>
          <w:szCs w:val="20"/>
          <w:bdr w:val="none" w:sz="0" w:space="0" w:color="auto"/>
        </w:rPr>
        <w:t xml:space="preserve">and </w:t>
      </w:r>
      <w:r w:rsidRPr="00A51861">
        <w:rPr>
          <w:rFonts w:ascii="Cambria" w:eastAsia="Calibri" w:hAnsi="Cambria"/>
          <w:sz w:val="20"/>
          <w:szCs w:val="20"/>
          <w:bdr w:val="none" w:sz="0" w:space="0" w:color="auto"/>
        </w:rPr>
        <w:t>exogenous</w:t>
      </w:r>
      <w:r w:rsidR="00F01EDB" w:rsidRPr="00A51861">
        <w:rPr>
          <w:rFonts w:ascii="Cambria" w:eastAsia="Calibri" w:hAnsi="Cambria"/>
          <w:sz w:val="20"/>
          <w:szCs w:val="20"/>
          <w:bdr w:val="none" w:sz="0" w:space="0" w:color="auto"/>
        </w:rPr>
        <w:t xml:space="preserve"> </w:t>
      </w:r>
      <w:r w:rsidRPr="00A51861">
        <w:rPr>
          <w:rFonts w:ascii="Cambria" w:eastAsia="Calibri" w:hAnsi="Cambria"/>
          <w:sz w:val="20"/>
          <w:szCs w:val="20"/>
          <w:bdr w:val="none" w:sz="0" w:space="0" w:color="auto"/>
        </w:rPr>
        <w:t xml:space="preserve">factors </w:t>
      </w:r>
      <w:r>
        <w:rPr>
          <w:rFonts w:ascii="Cambria" w:eastAsia="Calibri" w:hAnsi="Cambria"/>
          <w:sz w:val="20"/>
          <w:szCs w:val="20"/>
          <w:bdr w:val="none" w:sz="0" w:space="0" w:color="auto"/>
        </w:rPr>
        <w:t>which should be proven in any</w:t>
      </w:r>
      <w:r w:rsidR="00F01EDB" w:rsidRPr="00A51861">
        <w:rPr>
          <w:rFonts w:ascii="Cambria" w:eastAsia="Calibri" w:hAnsi="Cambria"/>
          <w:sz w:val="20"/>
          <w:szCs w:val="20"/>
          <w:bdr w:val="none" w:sz="0" w:space="0" w:color="auto"/>
        </w:rPr>
        <w:t xml:space="preserve"> </w:t>
      </w:r>
      <w:r w:rsidRPr="00A51861">
        <w:rPr>
          <w:rFonts w:ascii="Cambria" w:eastAsia="Calibri" w:hAnsi="Cambria"/>
          <w:sz w:val="20"/>
          <w:szCs w:val="20"/>
          <w:bdr w:val="none" w:sz="0" w:space="0" w:color="auto"/>
        </w:rPr>
        <w:t>concret</w:t>
      </w:r>
      <w:r>
        <w:rPr>
          <w:rFonts w:ascii="Cambria" w:eastAsia="Calibri" w:hAnsi="Cambria"/>
          <w:sz w:val="20"/>
          <w:szCs w:val="20"/>
          <w:bdr w:val="none" w:sz="0" w:space="0" w:color="auto"/>
        </w:rPr>
        <w:t xml:space="preserve">e </w:t>
      </w:r>
      <w:r w:rsidR="00E92985">
        <w:rPr>
          <w:rFonts w:ascii="Cambria" w:eastAsia="Calibri" w:hAnsi="Cambria"/>
          <w:sz w:val="20"/>
          <w:szCs w:val="20"/>
          <w:bdr w:val="none" w:sz="0" w:space="0" w:color="auto"/>
        </w:rPr>
        <w:t>situation</w:t>
      </w:r>
      <w:r w:rsidR="00F01EDB" w:rsidRPr="00A51861">
        <w:rPr>
          <w:rFonts w:ascii="Cambria" w:eastAsia="Calibri" w:hAnsi="Cambria"/>
          <w:sz w:val="20"/>
          <w:szCs w:val="20"/>
          <w:bdr w:val="none" w:sz="0" w:space="0" w:color="auto"/>
        </w:rPr>
        <w:t>”</w:t>
      </w:r>
      <w:r w:rsidR="00F01EDB" w:rsidRPr="00A51861">
        <w:rPr>
          <w:rStyle w:val="FootnoteReference"/>
          <w:rFonts w:ascii="Cambria" w:eastAsia="Calibri" w:hAnsi="Cambria"/>
          <w:sz w:val="20"/>
          <w:szCs w:val="20"/>
          <w:bdr w:val="none" w:sz="0" w:space="0" w:color="auto"/>
        </w:rPr>
        <w:footnoteReference w:id="156"/>
      </w:r>
      <w:r w:rsidR="00F01EDB" w:rsidRPr="00A51861">
        <w:rPr>
          <w:rFonts w:ascii="Cambria" w:eastAsia="Calibri" w:hAnsi="Cambria"/>
          <w:sz w:val="20"/>
          <w:szCs w:val="20"/>
          <w:bdr w:val="none" w:sz="0" w:space="0" w:color="auto"/>
        </w:rPr>
        <w:t>.</w:t>
      </w:r>
    </w:p>
    <w:p w14:paraId="1A7A3386" w14:textId="77777777" w:rsidR="00F01EDB" w:rsidRPr="00A51861" w:rsidRDefault="00F01EDB" w:rsidP="008E4D36">
      <w:pPr>
        <w:pStyle w:val="ListParagraph"/>
        <w:rPr>
          <w:rFonts w:eastAsia="Calibri"/>
          <w:sz w:val="20"/>
          <w:szCs w:val="20"/>
          <w:bdr w:val="none" w:sz="0" w:space="0" w:color="auto"/>
        </w:rPr>
      </w:pPr>
    </w:p>
    <w:p w14:paraId="5D175E70" w14:textId="7188B6C6" w:rsidR="00C80095" w:rsidRPr="00A51861" w:rsidRDefault="001D1D61"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eastAsia="Calibri" w:hAnsi="Cambria"/>
          <w:sz w:val="20"/>
          <w:szCs w:val="20"/>
          <w:bdr w:val="none" w:sz="0" w:space="0" w:color="auto"/>
        </w:rPr>
      </w:pPr>
      <w:r>
        <w:rPr>
          <w:rFonts w:ascii="Cambria" w:eastAsia="Calibri" w:hAnsi="Cambria"/>
          <w:sz w:val="20"/>
          <w:szCs w:val="20"/>
          <w:bdr w:val="none" w:sz="0" w:space="0" w:color="auto"/>
        </w:rPr>
        <w:t>In regard to</w:t>
      </w:r>
      <w:r w:rsidR="00E92985">
        <w:rPr>
          <w:rFonts w:ascii="Cambria" w:eastAsia="Calibri" w:hAnsi="Cambria"/>
          <w:sz w:val="20"/>
          <w:szCs w:val="20"/>
          <w:bdr w:val="none" w:sz="0" w:space="0" w:color="auto"/>
        </w:rPr>
        <w:t xml:space="preserve"> the </w:t>
      </w:r>
      <w:r>
        <w:rPr>
          <w:rFonts w:ascii="Cambria" w:eastAsia="Calibri" w:hAnsi="Cambria"/>
          <w:sz w:val="20"/>
          <w:szCs w:val="20"/>
          <w:bdr w:val="none" w:sz="0" w:space="0" w:color="auto"/>
        </w:rPr>
        <w:t>occurrence</w:t>
      </w:r>
      <w:r w:rsidR="00E92985">
        <w:rPr>
          <w:rFonts w:ascii="Cambria" w:eastAsia="Calibri" w:hAnsi="Cambria"/>
          <w:sz w:val="20"/>
          <w:szCs w:val="20"/>
          <w:bdr w:val="none" w:sz="0" w:space="0" w:color="auto"/>
        </w:rPr>
        <w:t xml:space="preserve"> of</w:t>
      </w:r>
      <w:r w:rsidR="005F6157">
        <w:rPr>
          <w:rFonts w:ascii="Cambria" w:eastAsia="Calibri" w:hAnsi="Cambria"/>
          <w:sz w:val="20"/>
          <w:szCs w:val="20"/>
          <w:bdr w:val="none" w:sz="0" w:space="0" w:color="auto"/>
        </w:rPr>
        <w:t xml:space="preserve"> fact</w:t>
      </w:r>
      <w:r w:rsidR="00C80095" w:rsidRPr="00A51861">
        <w:rPr>
          <w:rFonts w:ascii="Cambria" w:eastAsia="Calibri" w:hAnsi="Cambria"/>
          <w:sz w:val="20"/>
          <w:szCs w:val="20"/>
          <w:bdr w:val="none" w:sz="0" w:space="0" w:color="auto"/>
        </w:rPr>
        <w:t>s</w:t>
      </w:r>
      <w:r w:rsidR="00E92985">
        <w:rPr>
          <w:rFonts w:ascii="Cambria" w:eastAsia="Calibri" w:hAnsi="Cambria"/>
          <w:sz w:val="20"/>
          <w:szCs w:val="20"/>
          <w:bdr w:val="none" w:sz="0" w:space="0" w:color="auto"/>
        </w:rPr>
        <w:t xml:space="preserve"> of </w:t>
      </w:r>
      <w:r>
        <w:rPr>
          <w:rFonts w:ascii="Cambria" w:eastAsia="Calibri" w:hAnsi="Cambria"/>
          <w:sz w:val="20"/>
          <w:szCs w:val="20"/>
          <w:bdr w:val="none" w:sz="0" w:space="0" w:color="auto"/>
        </w:rPr>
        <w:t>threats</w:t>
      </w:r>
      <w:r w:rsidR="00E92985">
        <w:rPr>
          <w:rFonts w:ascii="Cambria" w:eastAsia="Calibri" w:hAnsi="Cambria"/>
          <w:sz w:val="20"/>
          <w:szCs w:val="20"/>
          <w:bdr w:val="none" w:sz="0" w:space="0" w:color="auto"/>
        </w:rPr>
        <w:t xml:space="preserve"> and </w:t>
      </w:r>
      <w:r>
        <w:rPr>
          <w:rFonts w:ascii="Cambria" w:eastAsia="Calibri" w:hAnsi="Cambria"/>
          <w:sz w:val="20"/>
          <w:szCs w:val="20"/>
          <w:bdr w:val="none" w:sz="0" w:space="0" w:color="auto"/>
        </w:rPr>
        <w:t>harassment</w:t>
      </w:r>
      <w:r w:rsidR="00C80095" w:rsidRPr="00A51861">
        <w:rPr>
          <w:rFonts w:ascii="Cambria" w:eastAsia="Calibri" w:hAnsi="Cambria"/>
          <w:sz w:val="20"/>
          <w:szCs w:val="20"/>
          <w:bdr w:val="none" w:sz="0" w:space="0" w:color="auto"/>
        </w:rPr>
        <w:t xml:space="preserve">, </w:t>
      </w:r>
      <w:r w:rsidR="00E92985">
        <w:rPr>
          <w:rFonts w:ascii="Cambria" w:eastAsia="Calibri" w:hAnsi="Cambria"/>
          <w:sz w:val="20"/>
          <w:szCs w:val="20"/>
          <w:bdr w:val="none" w:sz="0" w:space="0" w:color="auto"/>
        </w:rPr>
        <w:t>the Commission</w:t>
      </w:r>
      <w:r w:rsidR="00C80095" w:rsidRPr="00A51861">
        <w:rPr>
          <w:rFonts w:ascii="Cambria" w:eastAsia="Calibri" w:hAnsi="Cambria"/>
          <w:sz w:val="20"/>
          <w:szCs w:val="20"/>
          <w:bdr w:val="none" w:sz="0" w:space="0" w:color="auto"/>
        </w:rPr>
        <w:t xml:space="preserve"> </w:t>
      </w:r>
      <w:r w:rsidR="00CE4CA1">
        <w:rPr>
          <w:rFonts w:ascii="Cambria" w:eastAsia="Calibri" w:hAnsi="Cambria"/>
          <w:sz w:val="20"/>
          <w:szCs w:val="20"/>
          <w:bdr w:val="none" w:sz="0" w:space="0" w:color="auto"/>
        </w:rPr>
        <w:t xml:space="preserve">has established that </w:t>
      </w:r>
      <w:r>
        <w:rPr>
          <w:rFonts w:ascii="Cambria" w:eastAsia="Calibri" w:hAnsi="Cambria"/>
          <w:sz w:val="20"/>
          <w:szCs w:val="20"/>
          <w:bdr w:val="none" w:sz="0" w:space="0" w:color="auto"/>
        </w:rPr>
        <w:t>said</w:t>
      </w:r>
      <w:r w:rsidR="00C80095" w:rsidRPr="00A51861">
        <w:rPr>
          <w:rFonts w:ascii="Cambria" w:eastAsia="Calibri" w:hAnsi="Cambria"/>
          <w:sz w:val="20"/>
          <w:szCs w:val="20"/>
          <w:bdr w:val="none" w:sz="0" w:space="0" w:color="auto"/>
        </w:rPr>
        <w:t xml:space="preserve"> </w:t>
      </w:r>
      <w:r w:rsidR="00E92985">
        <w:rPr>
          <w:rFonts w:ascii="Cambria" w:eastAsia="Calibri" w:hAnsi="Cambria"/>
          <w:sz w:val="20"/>
          <w:szCs w:val="20"/>
          <w:bdr w:val="none" w:sz="0" w:space="0" w:color="auto"/>
        </w:rPr>
        <w:t>situations</w:t>
      </w:r>
      <w:r w:rsidR="00C80095" w:rsidRPr="00A51861">
        <w:rPr>
          <w:rFonts w:ascii="Cambria" w:eastAsia="Calibri" w:hAnsi="Cambria"/>
          <w:sz w:val="20"/>
          <w:szCs w:val="20"/>
          <w:bdr w:val="none" w:sz="0" w:space="0" w:color="auto"/>
        </w:rPr>
        <w:t xml:space="preserve"> constitu</w:t>
      </w:r>
      <w:r>
        <w:rPr>
          <w:rFonts w:ascii="Cambria" w:eastAsia="Calibri" w:hAnsi="Cambria"/>
          <w:sz w:val="20"/>
          <w:szCs w:val="20"/>
          <w:bdr w:val="none" w:sz="0" w:space="0" w:color="auto"/>
        </w:rPr>
        <w:t>t</w:t>
      </w:r>
      <w:r w:rsidR="00C80095" w:rsidRPr="00A51861">
        <w:rPr>
          <w:rFonts w:ascii="Cambria" w:eastAsia="Calibri" w:hAnsi="Cambria"/>
          <w:sz w:val="20"/>
          <w:szCs w:val="20"/>
          <w:bdr w:val="none" w:sz="0" w:space="0" w:color="auto"/>
        </w:rPr>
        <w:t xml:space="preserve">e </w:t>
      </w:r>
      <w:r>
        <w:rPr>
          <w:rFonts w:ascii="Cambria" w:eastAsia="Calibri" w:hAnsi="Cambria"/>
          <w:sz w:val="20"/>
          <w:szCs w:val="20"/>
          <w:bdr w:val="none" w:sz="0" w:space="0" w:color="auto"/>
        </w:rPr>
        <w:t>in themselves</w:t>
      </w:r>
      <w:r w:rsidR="00C80095"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affectations</w:t>
      </w:r>
      <w:r w:rsidR="00C80095"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to</w:t>
      </w:r>
      <w:r w:rsidR="009A4F91">
        <w:rPr>
          <w:rFonts w:ascii="Cambria" w:eastAsia="Calibri" w:hAnsi="Cambria"/>
          <w:sz w:val="20"/>
          <w:szCs w:val="20"/>
          <w:bdr w:val="none" w:sz="0" w:space="0" w:color="auto"/>
        </w:rPr>
        <w:t xml:space="preserve"> the </w:t>
      </w:r>
      <w:r>
        <w:rPr>
          <w:rFonts w:ascii="Cambria" w:eastAsia="Calibri" w:hAnsi="Cambria"/>
          <w:sz w:val="20"/>
          <w:szCs w:val="20"/>
          <w:bdr w:val="none" w:sz="0" w:space="0" w:color="auto"/>
        </w:rPr>
        <w:t xml:space="preserve">psychic and moral integrity of </w:t>
      </w:r>
      <w:r w:rsidR="00EC7A58">
        <w:rPr>
          <w:rFonts w:ascii="Cambria" w:eastAsia="Calibri" w:hAnsi="Cambria"/>
          <w:sz w:val="20"/>
          <w:szCs w:val="20"/>
          <w:bdr w:val="none" w:sz="0" w:space="0" w:color="auto"/>
        </w:rPr>
        <w:t>persons</w:t>
      </w:r>
      <w:r w:rsidR="00C80095" w:rsidRPr="00A51861">
        <w:rPr>
          <w:rFonts w:ascii="Cambria" w:eastAsia="Calibri" w:hAnsi="Cambria"/>
          <w:sz w:val="20"/>
          <w:szCs w:val="20"/>
          <w:bdr w:val="none" w:sz="0" w:space="0" w:color="auto"/>
        </w:rPr>
        <w:t>,</w:t>
      </w:r>
      <w:r w:rsidR="009A4F9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 xml:space="preserve">which is </w:t>
      </w:r>
      <w:r>
        <w:rPr>
          <w:rFonts w:ascii="Cambria" w:eastAsia="Calibri" w:hAnsi="Cambria"/>
          <w:sz w:val="20"/>
          <w:szCs w:val="20"/>
          <w:bdr w:val="none" w:sz="0" w:space="0" w:color="auto"/>
        </w:rPr>
        <w:lastRenderedPageBreak/>
        <w:t>aggravated by</w:t>
      </w:r>
      <w:r w:rsidR="009A4F91">
        <w:rPr>
          <w:rFonts w:ascii="Cambria" w:eastAsia="Calibri" w:hAnsi="Cambria"/>
          <w:sz w:val="20"/>
          <w:szCs w:val="20"/>
          <w:bdr w:val="none" w:sz="0" w:space="0" w:color="auto"/>
        </w:rPr>
        <w:t xml:space="preserve"> the </w:t>
      </w:r>
      <w:r>
        <w:rPr>
          <w:rFonts w:ascii="Cambria" w:hAnsi="Cambria"/>
          <w:color w:val="000000" w:themeColor="text1"/>
          <w:sz w:val="20"/>
          <w:szCs w:val="20"/>
        </w:rPr>
        <w:t>absence</w:t>
      </w:r>
      <w:r w:rsidR="00E92985">
        <w:rPr>
          <w:rFonts w:ascii="Cambria" w:eastAsia="Calibri" w:hAnsi="Cambria"/>
          <w:sz w:val="20"/>
          <w:szCs w:val="20"/>
          <w:bdr w:val="none" w:sz="0" w:space="0" w:color="auto"/>
        </w:rPr>
        <w:t xml:space="preserve"> of </w:t>
      </w:r>
      <w:r w:rsidR="00EF4ED2">
        <w:rPr>
          <w:rFonts w:ascii="Cambria" w:eastAsia="Calibri" w:hAnsi="Cambria"/>
          <w:sz w:val="20"/>
          <w:szCs w:val="20"/>
          <w:bdr w:val="none" w:sz="0" w:space="0" w:color="auto"/>
        </w:rPr>
        <w:t>protection</w:t>
      </w:r>
      <w:r w:rsidR="00B83BBD"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from</w:t>
      </w:r>
      <w:r w:rsidR="00F92BA8">
        <w:rPr>
          <w:rFonts w:ascii="Cambria" w:eastAsia="Calibri" w:hAnsi="Cambria"/>
          <w:sz w:val="20"/>
          <w:szCs w:val="20"/>
          <w:bdr w:val="none" w:sz="0" w:space="0" w:color="auto"/>
        </w:rPr>
        <w:t xml:space="preserve"> the State</w:t>
      </w:r>
      <w:r w:rsidR="00B83BBD" w:rsidRPr="00A51861">
        <w:rPr>
          <w:rStyle w:val="FootnoteReference"/>
          <w:rFonts w:ascii="Cambria" w:eastAsia="Calibri" w:hAnsi="Cambria"/>
          <w:sz w:val="20"/>
          <w:szCs w:val="20"/>
          <w:bdr w:val="none" w:sz="0" w:space="0" w:color="auto"/>
        </w:rPr>
        <w:footnoteReference w:id="157"/>
      </w:r>
      <w:r>
        <w:rPr>
          <w:rFonts w:ascii="Cambria" w:eastAsia="Calibri" w:hAnsi="Cambria"/>
          <w:sz w:val="20"/>
          <w:szCs w:val="20"/>
          <w:bdr w:val="none" w:sz="0" w:space="0" w:color="auto"/>
        </w:rPr>
        <w:t>. The Court has considered</w:t>
      </w:r>
      <w:r w:rsidR="00E92985">
        <w:rPr>
          <w:rFonts w:ascii="Cambria" w:eastAsia="Calibri" w:hAnsi="Cambria"/>
          <w:sz w:val="20"/>
          <w:szCs w:val="20"/>
          <w:bdr w:val="none" w:sz="0" w:space="0" w:color="auto"/>
        </w:rPr>
        <w:t xml:space="preserve"> that the </w:t>
      </w:r>
      <w:r>
        <w:rPr>
          <w:rFonts w:ascii="Cambria" w:eastAsia="Calibri" w:hAnsi="Cambria"/>
          <w:sz w:val="20"/>
          <w:szCs w:val="20"/>
          <w:bdr w:val="none" w:sz="0" w:space="0" w:color="auto"/>
        </w:rPr>
        <w:t>absence</w:t>
      </w:r>
      <w:r w:rsidR="00E92985">
        <w:rPr>
          <w:rFonts w:ascii="Cambria" w:eastAsia="Calibri" w:hAnsi="Cambria"/>
          <w:sz w:val="20"/>
          <w:szCs w:val="20"/>
          <w:bdr w:val="none" w:sz="0" w:space="0" w:color="auto"/>
        </w:rPr>
        <w:t xml:space="preserve"> of </w:t>
      </w:r>
      <w:r>
        <w:rPr>
          <w:rFonts w:ascii="Cambria" w:eastAsia="Calibri" w:hAnsi="Cambria"/>
          <w:sz w:val="20"/>
          <w:szCs w:val="20"/>
          <w:bdr w:val="none" w:sz="0" w:space="0" w:color="auto"/>
        </w:rPr>
        <w:t>response by the State upon a</w:t>
      </w:r>
      <w:r w:rsidR="00C80095" w:rsidRPr="00A51861">
        <w:rPr>
          <w:rFonts w:ascii="Cambria" w:eastAsia="Calibri" w:hAnsi="Cambria"/>
          <w:sz w:val="20"/>
          <w:szCs w:val="20"/>
          <w:bdr w:val="none" w:sz="0" w:space="0" w:color="auto"/>
        </w:rPr>
        <w:t xml:space="preserve"> “</w:t>
      </w:r>
      <w:r w:rsidR="00A954EE">
        <w:rPr>
          <w:rFonts w:ascii="Cambria" w:eastAsia="Calibri" w:hAnsi="Cambria"/>
          <w:sz w:val="20"/>
          <w:szCs w:val="20"/>
          <w:bdr w:val="none" w:sz="0" w:space="0" w:color="auto"/>
        </w:rPr>
        <w:t>campaign of threats</w:t>
      </w:r>
      <w:r w:rsidR="00C80095" w:rsidRPr="00A51861">
        <w:rPr>
          <w:rFonts w:ascii="Cambria" w:eastAsia="Calibri" w:hAnsi="Cambria"/>
          <w:sz w:val="20"/>
          <w:szCs w:val="20"/>
          <w:bdr w:val="none" w:sz="0" w:space="0" w:color="auto"/>
        </w:rPr>
        <w:t xml:space="preserve">, </w:t>
      </w:r>
      <w:r w:rsidR="00A954EE">
        <w:rPr>
          <w:rFonts w:ascii="Cambria" w:eastAsia="Calibri" w:hAnsi="Cambria"/>
          <w:sz w:val="20"/>
          <w:szCs w:val="20"/>
          <w:bdr w:val="none" w:sz="0" w:space="0" w:color="auto"/>
        </w:rPr>
        <w:t>harassment</w:t>
      </w:r>
      <w:r w:rsidR="00C80095" w:rsidRPr="00A51861">
        <w:rPr>
          <w:rFonts w:ascii="Cambria" w:eastAsia="Calibri" w:hAnsi="Cambria"/>
          <w:sz w:val="20"/>
          <w:szCs w:val="20"/>
          <w:bdr w:val="none" w:sz="0" w:space="0" w:color="auto"/>
        </w:rPr>
        <w:t xml:space="preserve">, </w:t>
      </w:r>
      <w:r w:rsidR="00A954EE">
        <w:rPr>
          <w:rFonts w:ascii="Cambria" w:eastAsia="Calibri" w:hAnsi="Cambria"/>
          <w:sz w:val="20"/>
          <w:szCs w:val="20"/>
          <w:bdr w:val="none" w:sz="0" w:space="0" w:color="auto"/>
        </w:rPr>
        <w:t>surveillance</w:t>
      </w:r>
      <w:r w:rsidR="00C80095" w:rsidRPr="00A51861">
        <w:rPr>
          <w:rFonts w:ascii="Cambria" w:eastAsia="Calibri" w:hAnsi="Cambria"/>
          <w:sz w:val="20"/>
          <w:szCs w:val="20"/>
          <w:bdr w:val="none" w:sz="0" w:space="0" w:color="auto"/>
        </w:rPr>
        <w:t xml:space="preserve">, </w:t>
      </w:r>
      <w:r w:rsidR="00A75646">
        <w:rPr>
          <w:rFonts w:ascii="Cambria" w:eastAsia="Calibri" w:hAnsi="Cambria"/>
          <w:sz w:val="20"/>
          <w:szCs w:val="20"/>
          <w:bdr w:val="none" w:sz="0" w:space="0" w:color="auto"/>
        </w:rPr>
        <w:t>detentions</w:t>
      </w:r>
      <w:r w:rsidR="00C80095" w:rsidRPr="00A51861">
        <w:rPr>
          <w:rFonts w:ascii="Cambria" w:eastAsia="Calibri" w:hAnsi="Cambria"/>
          <w:sz w:val="20"/>
          <w:szCs w:val="20"/>
          <w:bdr w:val="none" w:sz="0" w:space="0" w:color="auto"/>
        </w:rPr>
        <w:t xml:space="preserve">, </w:t>
      </w:r>
      <w:r w:rsidR="00A954EE">
        <w:rPr>
          <w:rFonts w:ascii="Cambria" w:eastAsia="Calibri" w:hAnsi="Cambria"/>
          <w:sz w:val="20"/>
          <w:szCs w:val="20"/>
          <w:bdr w:val="none" w:sz="0" w:space="0" w:color="auto"/>
        </w:rPr>
        <w:t>raids</w:t>
      </w:r>
      <w:r w:rsidR="00E92985">
        <w:rPr>
          <w:rFonts w:ascii="Cambria" w:eastAsia="Calibri" w:hAnsi="Cambria"/>
          <w:sz w:val="20"/>
          <w:szCs w:val="20"/>
          <w:bdr w:val="none" w:sz="0" w:space="0" w:color="auto"/>
        </w:rPr>
        <w:t xml:space="preserve"> and </w:t>
      </w:r>
      <w:r w:rsidR="00A954EE">
        <w:rPr>
          <w:rFonts w:ascii="Cambria" w:eastAsia="Calibri" w:hAnsi="Cambria"/>
          <w:sz w:val="20"/>
          <w:szCs w:val="20"/>
          <w:bdr w:val="none" w:sz="0" w:space="0" w:color="auto"/>
        </w:rPr>
        <w:t>attacks</w:t>
      </w:r>
      <w:r w:rsidR="00CB0928">
        <w:rPr>
          <w:rFonts w:ascii="Cambria" w:eastAsia="Calibri" w:hAnsi="Cambria"/>
          <w:sz w:val="20"/>
          <w:szCs w:val="20"/>
          <w:bdr w:val="none" w:sz="0" w:space="0" w:color="auto"/>
        </w:rPr>
        <w:t xml:space="preserve"> against</w:t>
      </w:r>
      <w:r w:rsidR="009A4F91">
        <w:rPr>
          <w:rFonts w:ascii="Cambria" w:eastAsia="Calibri" w:hAnsi="Cambria"/>
          <w:sz w:val="20"/>
          <w:szCs w:val="20"/>
          <w:bdr w:val="none" w:sz="0" w:space="0" w:color="auto"/>
        </w:rPr>
        <w:t xml:space="preserve"> the </w:t>
      </w:r>
      <w:r w:rsidR="00A954EE">
        <w:rPr>
          <w:rFonts w:ascii="Cambria" w:eastAsia="Calibri" w:hAnsi="Cambria"/>
          <w:sz w:val="20"/>
          <w:szCs w:val="20"/>
          <w:bdr w:val="none" w:sz="0" w:space="0" w:color="auto"/>
        </w:rPr>
        <w:t>life</w:t>
      </w:r>
      <w:r w:rsidR="00E92985">
        <w:rPr>
          <w:rFonts w:ascii="Cambria" w:eastAsia="Calibri" w:hAnsi="Cambria"/>
          <w:sz w:val="20"/>
          <w:szCs w:val="20"/>
          <w:bdr w:val="none" w:sz="0" w:space="0" w:color="auto"/>
        </w:rPr>
        <w:t xml:space="preserve"> and </w:t>
      </w:r>
      <w:r w:rsidR="00C80095" w:rsidRPr="00A51861">
        <w:rPr>
          <w:rFonts w:ascii="Cambria" w:eastAsia="Calibri" w:hAnsi="Cambria"/>
          <w:sz w:val="20"/>
          <w:szCs w:val="20"/>
          <w:bdr w:val="none" w:sz="0" w:space="0" w:color="auto"/>
        </w:rPr>
        <w:t>personal</w:t>
      </w:r>
      <w:r w:rsidR="00A954EE" w:rsidRPr="00A954EE">
        <w:rPr>
          <w:rFonts w:ascii="Cambria" w:eastAsia="Calibri" w:hAnsi="Cambria"/>
          <w:sz w:val="20"/>
          <w:szCs w:val="20"/>
          <w:bdr w:val="none" w:sz="0" w:space="0" w:color="auto"/>
        </w:rPr>
        <w:t xml:space="preserve"> </w:t>
      </w:r>
      <w:r w:rsidR="00A954EE" w:rsidRPr="00A51861">
        <w:rPr>
          <w:rFonts w:ascii="Cambria" w:eastAsia="Calibri" w:hAnsi="Cambria"/>
          <w:sz w:val="20"/>
          <w:szCs w:val="20"/>
          <w:bdr w:val="none" w:sz="0" w:space="0" w:color="auto"/>
        </w:rPr>
        <w:t>integri</w:t>
      </w:r>
      <w:r w:rsidR="00A954EE">
        <w:rPr>
          <w:rFonts w:ascii="Cambria" w:eastAsia="Calibri" w:hAnsi="Cambria"/>
          <w:sz w:val="20"/>
          <w:szCs w:val="20"/>
          <w:bdr w:val="none" w:sz="0" w:space="0" w:color="auto"/>
        </w:rPr>
        <w:t>ty</w:t>
      </w:r>
      <w:r w:rsidR="00C80095" w:rsidRPr="00A51861">
        <w:rPr>
          <w:rFonts w:ascii="Cambria" w:eastAsia="Calibri" w:hAnsi="Cambria"/>
          <w:sz w:val="20"/>
          <w:szCs w:val="20"/>
          <w:bdr w:val="none" w:sz="0" w:space="0" w:color="auto"/>
        </w:rPr>
        <w:t>”, produce</w:t>
      </w:r>
      <w:r w:rsidR="00A954EE">
        <w:rPr>
          <w:rFonts w:ascii="Cambria" w:eastAsia="Calibri" w:hAnsi="Cambria"/>
          <w:sz w:val="20"/>
          <w:szCs w:val="20"/>
          <w:bdr w:val="none" w:sz="0" w:space="0" w:color="auto"/>
        </w:rPr>
        <w:t>s</w:t>
      </w:r>
      <w:r w:rsidR="00C80095" w:rsidRPr="00A51861">
        <w:rPr>
          <w:rFonts w:ascii="Cambria" w:eastAsia="Calibri" w:hAnsi="Cambria"/>
          <w:sz w:val="20"/>
          <w:szCs w:val="20"/>
          <w:bdr w:val="none" w:sz="0" w:space="0" w:color="auto"/>
        </w:rPr>
        <w:t xml:space="preserve"> </w:t>
      </w:r>
      <w:r w:rsidR="00A954EE" w:rsidRPr="00A51861">
        <w:rPr>
          <w:rFonts w:ascii="Cambria" w:eastAsia="Calibri" w:hAnsi="Cambria"/>
          <w:sz w:val="20"/>
          <w:szCs w:val="20"/>
          <w:bdr w:val="none" w:sz="0" w:space="0" w:color="auto"/>
        </w:rPr>
        <w:t>constant</w:t>
      </w:r>
      <w:r w:rsidR="00A954EE">
        <w:rPr>
          <w:rFonts w:ascii="Cambria" w:eastAsia="Calibri" w:hAnsi="Cambria"/>
          <w:sz w:val="20"/>
          <w:szCs w:val="20"/>
          <w:bdr w:val="none" w:sz="0" w:space="0" w:color="auto"/>
        </w:rPr>
        <w:t xml:space="preserve"> fea</w:t>
      </w:r>
      <w:r w:rsidR="00C80095" w:rsidRPr="00A51861">
        <w:rPr>
          <w:rFonts w:ascii="Cambria" w:eastAsia="Calibri" w:hAnsi="Cambria"/>
          <w:sz w:val="20"/>
          <w:szCs w:val="20"/>
          <w:bdr w:val="none" w:sz="0" w:space="0" w:color="auto"/>
        </w:rPr>
        <w:t xml:space="preserve">r </w:t>
      </w:r>
      <w:r w:rsidR="00E92985">
        <w:rPr>
          <w:rFonts w:ascii="Cambria" w:eastAsia="Calibri" w:hAnsi="Cambria"/>
          <w:sz w:val="20"/>
          <w:szCs w:val="20"/>
          <w:bdr w:val="none" w:sz="0" w:space="0" w:color="auto"/>
        </w:rPr>
        <w:t xml:space="preserve">and </w:t>
      </w:r>
      <w:r w:rsidR="00C80095" w:rsidRPr="00A51861">
        <w:rPr>
          <w:rFonts w:ascii="Cambria" w:eastAsia="Calibri" w:hAnsi="Cambria"/>
          <w:sz w:val="20"/>
          <w:szCs w:val="20"/>
          <w:bdr w:val="none" w:sz="0" w:space="0" w:color="auto"/>
        </w:rPr>
        <w:t>angu</w:t>
      </w:r>
      <w:r w:rsidR="00A954EE">
        <w:rPr>
          <w:rFonts w:ascii="Cambria" w:eastAsia="Calibri" w:hAnsi="Cambria"/>
          <w:sz w:val="20"/>
          <w:szCs w:val="20"/>
          <w:bdr w:val="none" w:sz="0" w:space="0" w:color="auto"/>
        </w:rPr>
        <w:t>i</w:t>
      </w:r>
      <w:r w:rsidR="00C80095" w:rsidRPr="00A51861">
        <w:rPr>
          <w:rFonts w:ascii="Cambria" w:eastAsia="Calibri" w:hAnsi="Cambria"/>
          <w:sz w:val="20"/>
          <w:szCs w:val="20"/>
          <w:bdr w:val="none" w:sz="0" w:space="0" w:color="auto"/>
        </w:rPr>
        <w:t>s</w:t>
      </w:r>
      <w:r w:rsidR="00A954EE">
        <w:rPr>
          <w:rFonts w:ascii="Cambria" w:eastAsia="Calibri" w:hAnsi="Cambria"/>
          <w:sz w:val="20"/>
          <w:szCs w:val="20"/>
          <w:bdr w:val="none" w:sz="0" w:space="0" w:color="auto"/>
        </w:rPr>
        <w:t>h</w:t>
      </w:r>
      <w:r w:rsidR="00C80095" w:rsidRPr="00A51861">
        <w:rPr>
          <w:rFonts w:ascii="Cambria" w:eastAsia="Calibri" w:hAnsi="Cambria"/>
          <w:sz w:val="20"/>
          <w:szCs w:val="20"/>
          <w:bdr w:val="none" w:sz="0" w:space="0" w:color="auto"/>
        </w:rPr>
        <w:t>, constitu</w:t>
      </w:r>
      <w:r w:rsidR="00A954EE">
        <w:rPr>
          <w:rFonts w:ascii="Cambria" w:eastAsia="Calibri" w:hAnsi="Cambria"/>
          <w:sz w:val="20"/>
          <w:szCs w:val="20"/>
          <w:bdr w:val="none" w:sz="0" w:space="0" w:color="auto"/>
        </w:rPr>
        <w:t xml:space="preserve">ting </w:t>
      </w:r>
      <w:r w:rsidR="00C80095" w:rsidRPr="00A51861">
        <w:rPr>
          <w:rFonts w:ascii="Cambria" w:eastAsia="Calibri" w:hAnsi="Cambria"/>
          <w:sz w:val="20"/>
          <w:szCs w:val="20"/>
          <w:bdr w:val="none" w:sz="0" w:space="0" w:color="auto"/>
        </w:rPr>
        <w:t xml:space="preserve">a </w:t>
      </w:r>
      <w:r w:rsidR="004E1083">
        <w:rPr>
          <w:rFonts w:ascii="Cambria" w:eastAsia="Calibri" w:hAnsi="Cambria"/>
          <w:sz w:val="20"/>
          <w:szCs w:val="20"/>
          <w:bdr w:val="none" w:sz="0" w:space="0" w:color="auto"/>
        </w:rPr>
        <w:t>violation</w:t>
      </w:r>
      <w:r w:rsidR="00C80095" w:rsidRPr="00A51861">
        <w:rPr>
          <w:rFonts w:ascii="Cambria" w:eastAsia="Calibri" w:hAnsi="Cambria"/>
          <w:sz w:val="20"/>
          <w:szCs w:val="20"/>
          <w:bdr w:val="none" w:sz="0" w:space="0" w:color="auto"/>
        </w:rPr>
        <w:t xml:space="preserve"> </w:t>
      </w:r>
      <w:r w:rsidR="00A954EE">
        <w:rPr>
          <w:rFonts w:ascii="Cambria" w:eastAsia="Calibri" w:hAnsi="Cambria"/>
          <w:sz w:val="20"/>
          <w:szCs w:val="20"/>
          <w:bdr w:val="none" w:sz="0" w:space="0" w:color="auto"/>
        </w:rPr>
        <w:t>to</w:t>
      </w:r>
      <w:r w:rsidR="009A4F91">
        <w:rPr>
          <w:rFonts w:ascii="Cambria" w:eastAsia="Calibri" w:hAnsi="Cambria"/>
          <w:sz w:val="20"/>
          <w:szCs w:val="20"/>
          <w:bdr w:val="none" w:sz="0" w:space="0" w:color="auto"/>
        </w:rPr>
        <w:t xml:space="preserve"> </w:t>
      </w:r>
      <w:r w:rsidR="00A954EE">
        <w:rPr>
          <w:rFonts w:ascii="Cambria" w:eastAsia="Calibri" w:hAnsi="Cambria"/>
          <w:sz w:val="20"/>
          <w:szCs w:val="20"/>
          <w:bdr w:val="none" w:sz="0" w:space="0" w:color="auto"/>
        </w:rPr>
        <w:t>humane treatment of the affected</w:t>
      </w:r>
      <w:r w:rsidR="00B83BBD" w:rsidRPr="00A51861">
        <w:rPr>
          <w:rFonts w:ascii="Cambria" w:eastAsia="Calibri" w:hAnsi="Cambria"/>
          <w:sz w:val="20"/>
          <w:szCs w:val="20"/>
          <w:bdr w:val="none" w:sz="0" w:space="0" w:color="auto"/>
        </w:rPr>
        <w:t xml:space="preserve"> </w:t>
      </w:r>
      <w:r w:rsidR="00EC7A58">
        <w:rPr>
          <w:rFonts w:ascii="Cambria" w:eastAsia="Calibri" w:hAnsi="Cambria"/>
          <w:sz w:val="20"/>
          <w:szCs w:val="20"/>
          <w:bdr w:val="none" w:sz="0" w:space="0" w:color="auto"/>
        </w:rPr>
        <w:t>persons</w:t>
      </w:r>
      <w:r w:rsidR="00B83BBD" w:rsidRPr="00A51861">
        <w:rPr>
          <w:rStyle w:val="FootnoteReference"/>
          <w:rFonts w:ascii="Cambria" w:eastAsia="Calibri" w:hAnsi="Cambria"/>
          <w:sz w:val="20"/>
          <w:szCs w:val="20"/>
          <w:bdr w:val="none" w:sz="0" w:space="0" w:color="auto"/>
        </w:rPr>
        <w:footnoteReference w:id="158"/>
      </w:r>
      <w:r w:rsidR="00C80095" w:rsidRPr="00A51861">
        <w:rPr>
          <w:rFonts w:ascii="Cambria" w:eastAsia="Calibri" w:hAnsi="Cambria"/>
          <w:sz w:val="20"/>
          <w:szCs w:val="20"/>
          <w:bdr w:val="none" w:sz="0" w:space="0" w:color="auto"/>
        </w:rPr>
        <w:t>.</w:t>
      </w:r>
    </w:p>
    <w:p w14:paraId="648EE8D2" w14:textId="77777777" w:rsidR="00AB511C" w:rsidRPr="00A51861" w:rsidRDefault="00AB511C" w:rsidP="008E4D36">
      <w:pPr>
        <w:rPr>
          <w:rFonts w:eastAsia="Calibri"/>
          <w:sz w:val="20"/>
          <w:szCs w:val="20"/>
          <w:bdr w:val="none" w:sz="0" w:space="0" w:color="auto"/>
        </w:rPr>
      </w:pPr>
    </w:p>
    <w:p w14:paraId="59869CF9" w14:textId="35A96F39" w:rsidR="00AB511C" w:rsidRPr="00A51861" w:rsidRDefault="008A0DD2"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Calibri" w:hAnsiTheme="majorHAnsi"/>
          <w:sz w:val="20"/>
          <w:szCs w:val="20"/>
          <w:bdr w:val="none" w:sz="0" w:space="0" w:color="auto"/>
        </w:rPr>
      </w:pPr>
      <w:r w:rsidRPr="00A51861">
        <w:rPr>
          <w:rFonts w:ascii="Cambria" w:eastAsia="Calibri" w:hAnsi="Cambria"/>
          <w:sz w:val="20"/>
          <w:szCs w:val="20"/>
          <w:bdr w:val="none" w:sz="0" w:space="0" w:color="auto"/>
        </w:rPr>
        <w:t>Final</w:t>
      </w:r>
      <w:r w:rsidR="00F92BA8">
        <w:rPr>
          <w:rFonts w:ascii="Cambria" w:eastAsia="Calibri" w:hAnsi="Cambria"/>
          <w:sz w:val="20"/>
          <w:szCs w:val="20"/>
          <w:bdr w:val="none" w:sz="0" w:space="0" w:color="auto"/>
        </w:rPr>
        <w:t>ly</w:t>
      </w:r>
      <w:r w:rsidRPr="00A51861">
        <w:rPr>
          <w:rFonts w:ascii="Cambria" w:eastAsia="Calibri" w:hAnsi="Cambria"/>
          <w:sz w:val="20"/>
          <w:szCs w:val="20"/>
          <w:bdr w:val="none" w:sz="0" w:space="0" w:color="auto"/>
        </w:rPr>
        <w:t xml:space="preserve">, </w:t>
      </w:r>
      <w:r w:rsidR="009B462E">
        <w:rPr>
          <w:rFonts w:ascii="Cambria" w:eastAsia="Calibri" w:hAnsi="Cambria"/>
          <w:sz w:val="20"/>
          <w:szCs w:val="20"/>
          <w:bdr w:val="none" w:sz="0" w:space="0" w:color="auto"/>
        </w:rPr>
        <w:t>concerning the right of assembly</w:t>
      </w:r>
      <w:r w:rsidR="00AB511C" w:rsidRPr="00A51861">
        <w:rPr>
          <w:rFonts w:ascii="Cambria" w:eastAsia="Calibri" w:hAnsi="Cambria"/>
          <w:sz w:val="20"/>
          <w:szCs w:val="20"/>
          <w:bdr w:val="none" w:sz="0" w:space="0" w:color="auto"/>
        </w:rPr>
        <w:t>,</w:t>
      </w:r>
      <w:r w:rsidR="00E64C43">
        <w:rPr>
          <w:rFonts w:ascii="Cambria" w:eastAsia="Calibri" w:hAnsi="Cambria"/>
          <w:sz w:val="20"/>
          <w:szCs w:val="20"/>
          <w:bdr w:val="none" w:sz="0" w:space="0" w:color="auto"/>
        </w:rPr>
        <w:t xml:space="preserve"> </w:t>
      </w:r>
      <w:r w:rsidR="009B462E">
        <w:rPr>
          <w:rFonts w:ascii="Cambria" w:eastAsia="Calibri" w:hAnsi="Cambria"/>
          <w:sz w:val="20"/>
          <w:szCs w:val="20"/>
          <w:bdr w:val="none" w:sz="0" w:space="0" w:color="auto"/>
        </w:rPr>
        <w:t>it</w:t>
      </w:r>
      <w:r w:rsidR="00E64C43">
        <w:rPr>
          <w:rFonts w:ascii="Cambria" w:eastAsia="Calibri" w:hAnsi="Cambria"/>
          <w:sz w:val="20"/>
          <w:szCs w:val="20"/>
          <w:bdr w:val="none" w:sz="0" w:space="0" w:color="auto"/>
        </w:rPr>
        <w:t xml:space="preserve"> </w:t>
      </w:r>
      <w:r w:rsidR="00AB511C" w:rsidRPr="00A51861">
        <w:rPr>
          <w:rFonts w:ascii="Cambria" w:eastAsia="Calibri" w:hAnsi="Cambria"/>
          <w:sz w:val="20"/>
          <w:szCs w:val="20"/>
          <w:bdr w:val="none" w:sz="0" w:space="0" w:color="auto"/>
        </w:rPr>
        <w:t>prote</w:t>
      </w:r>
      <w:r w:rsidR="009B462E">
        <w:rPr>
          <w:rFonts w:ascii="Cambria" w:eastAsia="Calibri" w:hAnsi="Cambria"/>
          <w:sz w:val="20"/>
          <w:szCs w:val="20"/>
          <w:bdr w:val="none" w:sz="0" w:space="0" w:color="auto"/>
        </w:rPr>
        <w:t>cts peaceful</w:t>
      </w:r>
      <w:r w:rsidR="00AB511C" w:rsidRPr="00A51861">
        <w:rPr>
          <w:rFonts w:ascii="Cambria" w:eastAsia="Calibri" w:hAnsi="Cambria"/>
          <w:sz w:val="20"/>
          <w:szCs w:val="20"/>
          <w:bdr w:val="none" w:sz="0" w:space="0" w:color="auto"/>
        </w:rPr>
        <w:t xml:space="preserve">, </w:t>
      </w:r>
      <w:r w:rsidR="009B462E" w:rsidRPr="00A51861">
        <w:rPr>
          <w:rFonts w:ascii="Cambria" w:eastAsia="Calibri" w:hAnsi="Cambria"/>
          <w:sz w:val="20"/>
          <w:szCs w:val="20"/>
          <w:bdr w:val="none" w:sz="0" w:space="0" w:color="auto"/>
        </w:rPr>
        <w:t>intentional</w:t>
      </w:r>
      <w:r w:rsidR="00E92985">
        <w:rPr>
          <w:rFonts w:ascii="Cambria" w:eastAsia="Calibri" w:hAnsi="Cambria"/>
          <w:sz w:val="20"/>
          <w:szCs w:val="20"/>
          <w:bdr w:val="none" w:sz="0" w:space="0" w:color="auto"/>
        </w:rPr>
        <w:t xml:space="preserve"> and </w:t>
      </w:r>
      <w:r w:rsidR="00AB511C" w:rsidRPr="00A51861">
        <w:rPr>
          <w:rFonts w:ascii="Cambria" w:eastAsia="Calibri" w:hAnsi="Cambria"/>
          <w:sz w:val="20"/>
          <w:szCs w:val="20"/>
          <w:bdr w:val="none" w:sz="0" w:space="0" w:color="auto"/>
        </w:rPr>
        <w:t>tempor</w:t>
      </w:r>
      <w:r w:rsidR="009B462E">
        <w:rPr>
          <w:rFonts w:ascii="Cambria" w:eastAsia="Calibri" w:hAnsi="Cambria"/>
          <w:sz w:val="20"/>
          <w:szCs w:val="20"/>
          <w:bdr w:val="none" w:sz="0" w:space="0" w:color="auto"/>
        </w:rPr>
        <w:t>ary</w:t>
      </w:r>
      <w:r w:rsidR="00E92985">
        <w:rPr>
          <w:rFonts w:ascii="Cambria" w:eastAsia="Calibri" w:hAnsi="Cambria"/>
          <w:sz w:val="20"/>
          <w:szCs w:val="20"/>
          <w:bdr w:val="none" w:sz="0" w:space="0" w:color="auto"/>
        </w:rPr>
        <w:t xml:space="preserve"> </w:t>
      </w:r>
      <w:r w:rsidR="009B462E" w:rsidRPr="00A51861">
        <w:rPr>
          <w:rFonts w:ascii="Cambria" w:eastAsia="Calibri" w:hAnsi="Cambria"/>
          <w:sz w:val="20"/>
          <w:szCs w:val="20"/>
          <w:bdr w:val="none" w:sz="0" w:space="0" w:color="auto"/>
        </w:rPr>
        <w:t>congregation</w:t>
      </w:r>
      <w:r w:rsidR="009B462E">
        <w:rPr>
          <w:rFonts w:ascii="Cambria" w:eastAsia="Calibri" w:hAnsi="Cambria"/>
          <w:sz w:val="20"/>
          <w:szCs w:val="20"/>
          <w:bdr w:val="none" w:sz="0" w:space="0" w:color="auto"/>
        </w:rPr>
        <w:t xml:space="preserve"> </w:t>
      </w:r>
      <w:r w:rsidR="00E92985">
        <w:rPr>
          <w:rFonts w:ascii="Cambria" w:eastAsia="Calibri" w:hAnsi="Cambria"/>
          <w:sz w:val="20"/>
          <w:szCs w:val="20"/>
          <w:bdr w:val="none" w:sz="0" w:space="0" w:color="auto"/>
        </w:rPr>
        <w:t xml:space="preserve">of </w:t>
      </w:r>
      <w:r w:rsidR="00EC7A58">
        <w:rPr>
          <w:rFonts w:ascii="Cambria" w:eastAsia="Calibri" w:hAnsi="Cambria"/>
          <w:sz w:val="20"/>
          <w:szCs w:val="20"/>
          <w:bdr w:val="none" w:sz="0" w:space="0" w:color="auto"/>
        </w:rPr>
        <w:t>persons</w:t>
      </w:r>
      <w:r w:rsidR="00AB511C" w:rsidRPr="00A51861">
        <w:rPr>
          <w:rFonts w:ascii="Cambria" w:eastAsia="Calibri" w:hAnsi="Cambria"/>
          <w:sz w:val="20"/>
          <w:szCs w:val="20"/>
          <w:bdr w:val="none" w:sz="0" w:space="0" w:color="auto"/>
        </w:rPr>
        <w:t xml:space="preserve"> </w:t>
      </w:r>
      <w:r w:rsidR="009B462E">
        <w:rPr>
          <w:rFonts w:ascii="Cambria" w:eastAsia="Calibri" w:hAnsi="Cambria"/>
          <w:sz w:val="20"/>
          <w:szCs w:val="20"/>
          <w:bdr w:val="none" w:sz="0" w:space="0" w:color="auto"/>
        </w:rPr>
        <w:t>in a determined space</w:t>
      </w:r>
      <w:r w:rsidR="00AB511C" w:rsidRPr="00A51861">
        <w:rPr>
          <w:rFonts w:ascii="Cambria" w:eastAsia="Calibri" w:hAnsi="Cambria"/>
          <w:sz w:val="20"/>
          <w:szCs w:val="20"/>
          <w:bdr w:val="none" w:sz="0" w:space="0" w:color="auto"/>
        </w:rPr>
        <w:t xml:space="preserve"> </w:t>
      </w:r>
      <w:r w:rsidR="009B462E">
        <w:rPr>
          <w:rFonts w:ascii="Cambria" w:eastAsia="Calibri" w:hAnsi="Cambria"/>
          <w:sz w:val="20"/>
          <w:szCs w:val="20"/>
          <w:bdr w:val="none" w:sz="0" w:space="0" w:color="auto"/>
        </w:rPr>
        <w:t>in pursuit of a common goal</w:t>
      </w:r>
      <w:r w:rsidR="00AB511C" w:rsidRPr="00A51861">
        <w:rPr>
          <w:rFonts w:ascii="Cambria" w:eastAsia="Calibri" w:hAnsi="Cambria"/>
          <w:sz w:val="20"/>
          <w:szCs w:val="20"/>
          <w:bdr w:val="none" w:sz="0" w:space="0" w:color="auto"/>
        </w:rPr>
        <w:t xml:space="preserve">. </w:t>
      </w:r>
      <w:r w:rsidR="009B462E">
        <w:rPr>
          <w:rFonts w:ascii="Cambria" w:eastAsia="Calibri" w:hAnsi="Cambria"/>
          <w:sz w:val="20"/>
          <w:szCs w:val="20"/>
          <w:bdr w:val="none" w:sz="0" w:space="0" w:color="auto"/>
        </w:rPr>
        <w:t>Assemblies</w:t>
      </w:r>
      <w:r w:rsidR="00724919" w:rsidRPr="00A51861">
        <w:rPr>
          <w:rFonts w:ascii="Cambria" w:eastAsia="Calibri" w:hAnsi="Cambria"/>
          <w:sz w:val="20"/>
          <w:szCs w:val="20"/>
          <w:bdr w:val="none" w:sz="0" w:space="0" w:color="auto"/>
        </w:rPr>
        <w:t>, defin</w:t>
      </w:r>
      <w:r w:rsidR="009B462E">
        <w:rPr>
          <w:rFonts w:ascii="Cambria" w:eastAsia="Calibri" w:hAnsi="Cambria"/>
          <w:sz w:val="20"/>
          <w:szCs w:val="20"/>
          <w:bdr w:val="none" w:sz="0" w:space="0" w:color="auto"/>
        </w:rPr>
        <w:t>ed as</w:t>
      </w:r>
      <w:r w:rsidR="00724919" w:rsidRPr="00A51861">
        <w:rPr>
          <w:rFonts w:ascii="Cambria" w:eastAsia="Calibri" w:hAnsi="Cambria"/>
          <w:sz w:val="20"/>
          <w:szCs w:val="20"/>
          <w:bdr w:val="none" w:sz="0" w:space="0" w:color="auto"/>
        </w:rPr>
        <w:t xml:space="preserve"> </w:t>
      </w:r>
      <w:r w:rsidR="009B462E">
        <w:rPr>
          <w:rFonts w:ascii="Cambria" w:eastAsia="Calibri" w:hAnsi="Cambria"/>
          <w:sz w:val="20"/>
          <w:szCs w:val="20"/>
          <w:bdr w:val="none" w:sz="0" w:space="0" w:color="auto"/>
        </w:rPr>
        <w:t>every</w:t>
      </w:r>
      <w:r w:rsidR="00724919" w:rsidRPr="00A51861">
        <w:rPr>
          <w:rFonts w:ascii="Cambria" w:eastAsia="Calibri" w:hAnsi="Cambria"/>
          <w:sz w:val="20"/>
          <w:szCs w:val="20"/>
          <w:bdr w:val="none" w:sz="0" w:space="0" w:color="auto"/>
        </w:rPr>
        <w:t xml:space="preserve"> </w:t>
      </w:r>
      <w:r w:rsidR="009B462E" w:rsidRPr="00A51861">
        <w:rPr>
          <w:rFonts w:ascii="Cambria" w:eastAsia="Calibri" w:hAnsi="Cambria"/>
          <w:sz w:val="20"/>
          <w:szCs w:val="20"/>
          <w:bdr w:val="none" w:sz="0" w:space="0" w:color="auto"/>
        </w:rPr>
        <w:t>intentional</w:t>
      </w:r>
      <w:r w:rsidR="00E92985">
        <w:rPr>
          <w:rFonts w:ascii="Cambria" w:eastAsia="Calibri" w:hAnsi="Cambria"/>
          <w:sz w:val="20"/>
          <w:szCs w:val="20"/>
          <w:bdr w:val="none" w:sz="0" w:space="0" w:color="auto"/>
        </w:rPr>
        <w:t xml:space="preserve"> and </w:t>
      </w:r>
      <w:r w:rsidR="009B462E">
        <w:rPr>
          <w:rFonts w:ascii="Cambria" w:eastAsia="Calibri" w:hAnsi="Cambria"/>
          <w:sz w:val="20"/>
          <w:szCs w:val="20"/>
          <w:bdr w:val="none" w:sz="0" w:space="0" w:color="auto"/>
        </w:rPr>
        <w:t>temporary congregation</w:t>
      </w:r>
      <w:r w:rsidR="009B462E" w:rsidRPr="00A51861">
        <w:rPr>
          <w:rFonts w:ascii="Cambria" w:eastAsia="Calibri" w:hAnsi="Cambria"/>
          <w:sz w:val="20"/>
          <w:szCs w:val="20"/>
          <w:bdr w:val="none" w:sz="0" w:space="0" w:color="auto"/>
        </w:rPr>
        <w:t xml:space="preserve"> </w:t>
      </w:r>
      <w:r w:rsidR="00E92985">
        <w:rPr>
          <w:rFonts w:ascii="Cambria" w:eastAsia="Calibri" w:hAnsi="Cambria"/>
          <w:sz w:val="20"/>
          <w:szCs w:val="20"/>
          <w:bdr w:val="none" w:sz="0" w:space="0" w:color="auto"/>
        </w:rPr>
        <w:t xml:space="preserve">of </w:t>
      </w:r>
      <w:r w:rsidR="009B462E">
        <w:rPr>
          <w:rFonts w:ascii="Cambria" w:eastAsia="Calibri" w:hAnsi="Cambria"/>
          <w:sz w:val="20"/>
          <w:szCs w:val="20"/>
          <w:bdr w:val="none" w:sz="0" w:space="0" w:color="auto"/>
        </w:rPr>
        <w:t xml:space="preserve">a group </w:t>
      </w:r>
      <w:r w:rsidR="00E92985">
        <w:rPr>
          <w:rFonts w:ascii="Cambria" w:eastAsia="Calibri" w:hAnsi="Cambria"/>
          <w:sz w:val="20"/>
          <w:szCs w:val="20"/>
          <w:bdr w:val="none" w:sz="0" w:space="0" w:color="auto"/>
        </w:rPr>
        <w:t xml:space="preserve">of </w:t>
      </w:r>
      <w:r w:rsidR="00EC7A58">
        <w:rPr>
          <w:rFonts w:ascii="Cambria" w:eastAsia="Calibri" w:hAnsi="Cambria"/>
          <w:sz w:val="20"/>
          <w:szCs w:val="20"/>
          <w:bdr w:val="none" w:sz="0" w:space="0" w:color="auto"/>
        </w:rPr>
        <w:t>persons</w:t>
      </w:r>
      <w:r w:rsidR="00724919" w:rsidRPr="00A51861">
        <w:rPr>
          <w:rFonts w:ascii="Cambria" w:eastAsia="Calibri" w:hAnsi="Cambria"/>
          <w:sz w:val="20"/>
          <w:szCs w:val="20"/>
          <w:bdr w:val="none" w:sz="0" w:space="0" w:color="auto"/>
        </w:rPr>
        <w:t xml:space="preserve"> </w:t>
      </w:r>
      <w:r w:rsidR="009B462E">
        <w:rPr>
          <w:rFonts w:ascii="Cambria" w:eastAsia="Calibri" w:hAnsi="Cambria"/>
          <w:sz w:val="20"/>
          <w:szCs w:val="20"/>
          <w:bdr w:val="none" w:sz="0" w:space="0" w:color="auto"/>
        </w:rPr>
        <w:t>in a private or public space</w:t>
      </w:r>
      <w:r w:rsidR="00724919" w:rsidRPr="00A51861">
        <w:rPr>
          <w:rFonts w:ascii="Cambria" w:eastAsia="Calibri" w:hAnsi="Cambria"/>
          <w:sz w:val="20"/>
          <w:szCs w:val="20"/>
          <w:bdr w:val="none" w:sz="0" w:space="0" w:color="auto"/>
        </w:rPr>
        <w:t xml:space="preserve"> </w:t>
      </w:r>
      <w:r w:rsidR="009B462E">
        <w:rPr>
          <w:rFonts w:ascii="Cambria" w:eastAsia="Calibri" w:hAnsi="Cambria"/>
          <w:sz w:val="20"/>
          <w:szCs w:val="20"/>
          <w:bdr w:val="none" w:sz="0" w:space="0" w:color="auto"/>
        </w:rPr>
        <w:t>with a concrete purpose</w:t>
      </w:r>
      <w:r w:rsidR="00724919" w:rsidRPr="00A51861">
        <w:rPr>
          <w:rStyle w:val="FootnoteReference"/>
          <w:rFonts w:ascii="Cambria" w:eastAsia="Calibri" w:hAnsi="Cambria"/>
          <w:sz w:val="20"/>
          <w:szCs w:val="20"/>
          <w:bdr w:val="none" w:sz="0" w:space="0" w:color="auto"/>
        </w:rPr>
        <w:footnoteReference w:id="159"/>
      </w:r>
      <w:r w:rsidR="00724919" w:rsidRPr="00A51861">
        <w:rPr>
          <w:rFonts w:ascii="Cambria" w:eastAsia="Calibri" w:hAnsi="Cambria"/>
          <w:sz w:val="20"/>
          <w:szCs w:val="20"/>
          <w:bdr w:val="none" w:sz="0" w:space="0" w:color="auto"/>
        </w:rPr>
        <w:t>, “</w:t>
      </w:r>
      <w:r w:rsidR="009B462E">
        <w:rPr>
          <w:rFonts w:ascii="Cambria" w:eastAsia="Calibri" w:hAnsi="Cambria"/>
          <w:sz w:val="20"/>
          <w:szCs w:val="20"/>
          <w:bdr w:val="none" w:sz="0" w:space="0" w:color="auto"/>
        </w:rPr>
        <w:t>perform a very dynamic role in</w:t>
      </w:r>
      <w:r w:rsidR="009A4F91">
        <w:rPr>
          <w:rFonts w:ascii="Cambria" w:eastAsia="Calibri" w:hAnsi="Cambria"/>
          <w:sz w:val="20"/>
          <w:szCs w:val="20"/>
          <w:bdr w:val="none" w:sz="0" w:space="0" w:color="auto"/>
        </w:rPr>
        <w:t xml:space="preserve"> the </w:t>
      </w:r>
      <w:r w:rsidR="009B462E" w:rsidRPr="00A51861">
        <w:rPr>
          <w:rFonts w:ascii="Cambria" w:eastAsia="Calibri" w:hAnsi="Cambria"/>
          <w:sz w:val="20"/>
          <w:szCs w:val="20"/>
          <w:bdr w:val="none" w:sz="0" w:space="0" w:color="auto"/>
        </w:rPr>
        <w:t>mobilization</w:t>
      </w:r>
      <w:r w:rsidR="00E92985">
        <w:rPr>
          <w:rFonts w:ascii="Cambria" w:eastAsia="Calibri" w:hAnsi="Cambria"/>
          <w:sz w:val="20"/>
          <w:szCs w:val="20"/>
          <w:bdr w:val="none" w:sz="0" w:space="0" w:color="auto"/>
        </w:rPr>
        <w:t xml:space="preserve"> of the </w:t>
      </w:r>
      <w:r w:rsidR="009B462E">
        <w:rPr>
          <w:rFonts w:ascii="Cambria" w:eastAsia="Calibri" w:hAnsi="Cambria"/>
          <w:sz w:val="20"/>
          <w:szCs w:val="20"/>
          <w:bdr w:val="none" w:sz="0" w:space="0" w:color="auto"/>
        </w:rPr>
        <w:t>population</w:t>
      </w:r>
      <w:r w:rsidR="00E92985">
        <w:rPr>
          <w:rFonts w:ascii="Cambria" w:eastAsia="Calibri" w:hAnsi="Cambria"/>
          <w:sz w:val="20"/>
          <w:szCs w:val="20"/>
          <w:bdr w:val="none" w:sz="0" w:space="0" w:color="auto"/>
        </w:rPr>
        <w:t xml:space="preserve"> and</w:t>
      </w:r>
      <w:r w:rsidR="009A4F91">
        <w:rPr>
          <w:rFonts w:ascii="Cambria" w:eastAsia="Calibri" w:hAnsi="Cambria"/>
          <w:sz w:val="20"/>
          <w:szCs w:val="20"/>
          <w:bdr w:val="none" w:sz="0" w:space="0" w:color="auto"/>
        </w:rPr>
        <w:t xml:space="preserve"> the </w:t>
      </w:r>
      <w:r w:rsidR="009B462E" w:rsidRPr="00A51861">
        <w:rPr>
          <w:rFonts w:ascii="Cambria" w:eastAsia="Calibri" w:hAnsi="Cambria"/>
          <w:sz w:val="20"/>
          <w:szCs w:val="20"/>
          <w:bdr w:val="none" w:sz="0" w:space="0" w:color="auto"/>
        </w:rPr>
        <w:t>formulation</w:t>
      </w:r>
      <w:r w:rsidR="00E92985">
        <w:rPr>
          <w:rFonts w:ascii="Cambria" w:eastAsia="Calibri" w:hAnsi="Cambria"/>
          <w:sz w:val="20"/>
          <w:szCs w:val="20"/>
          <w:bdr w:val="none" w:sz="0" w:space="0" w:color="auto"/>
        </w:rPr>
        <w:t xml:space="preserve"> of </w:t>
      </w:r>
      <w:r w:rsidR="009B462E">
        <w:rPr>
          <w:rFonts w:ascii="Cambria" w:eastAsia="Calibri" w:hAnsi="Cambria"/>
          <w:sz w:val="20"/>
          <w:szCs w:val="20"/>
          <w:bdr w:val="none" w:sz="0" w:space="0" w:color="auto"/>
        </w:rPr>
        <w:t>their demands</w:t>
      </w:r>
      <w:r w:rsidR="00E92985">
        <w:rPr>
          <w:rFonts w:ascii="Cambria" w:eastAsia="Calibri" w:hAnsi="Cambria"/>
          <w:sz w:val="20"/>
          <w:szCs w:val="20"/>
          <w:bdr w:val="none" w:sz="0" w:space="0" w:color="auto"/>
        </w:rPr>
        <w:t xml:space="preserve"> and </w:t>
      </w:r>
      <w:r w:rsidR="009B462E" w:rsidRPr="00A51861">
        <w:rPr>
          <w:rFonts w:ascii="Cambria" w:eastAsia="Calibri" w:hAnsi="Cambria"/>
          <w:sz w:val="20"/>
          <w:szCs w:val="20"/>
          <w:bdr w:val="none" w:sz="0" w:space="0" w:color="auto"/>
        </w:rPr>
        <w:t>aspirations</w:t>
      </w:r>
      <w:r w:rsidR="00724919" w:rsidRPr="00A51861">
        <w:rPr>
          <w:rFonts w:ascii="Cambria" w:eastAsia="Calibri" w:hAnsi="Cambria"/>
          <w:sz w:val="20"/>
          <w:szCs w:val="20"/>
          <w:bdr w:val="none" w:sz="0" w:space="0" w:color="auto"/>
        </w:rPr>
        <w:t xml:space="preserve">, </w:t>
      </w:r>
      <w:r w:rsidR="009B462E">
        <w:rPr>
          <w:rFonts w:ascii="Cambria" w:eastAsia="Calibri" w:hAnsi="Cambria"/>
          <w:sz w:val="20"/>
          <w:szCs w:val="20"/>
          <w:bdr w:val="none" w:sz="0" w:space="0" w:color="auto"/>
        </w:rPr>
        <w:t>since they enable</w:t>
      </w:r>
      <w:r w:rsidR="009A4F91">
        <w:rPr>
          <w:rFonts w:ascii="Cambria" w:eastAsia="Calibri" w:hAnsi="Cambria"/>
          <w:sz w:val="20"/>
          <w:szCs w:val="20"/>
          <w:bdr w:val="none" w:sz="0" w:space="0" w:color="auto"/>
        </w:rPr>
        <w:t xml:space="preserve"> the </w:t>
      </w:r>
      <w:r w:rsidR="009B462E" w:rsidRPr="00A51861">
        <w:rPr>
          <w:rFonts w:ascii="Cambria" w:eastAsia="Calibri" w:hAnsi="Cambria"/>
          <w:sz w:val="20"/>
          <w:szCs w:val="20"/>
          <w:bdr w:val="none" w:sz="0" w:space="0" w:color="auto"/>
        </w:rPr>
        <w:t>celebration</w:t>
      </w:r>
      <w:r w:rsidR="00E92985">
        <w:rPr>
          <w:rFonts w:ascii="Cambria" w:eastAsia="Calibri" w:hAnsi="Cambria"/>
          <w:sz w:val="20"/>
          <w:szCs w:val="20"/>
          <w:bdr w:val="none" w:sz="0" w:space="0" w:color="auto"/>
        </w:rPr>
        <w:t xml:space="preserve"> of </w:t>
      </w:r>
      <w:r w:rsidR="00724919" w:rsidRPr="00A51861">
        <w:rPr>
          <w:rFonts w:ascii="Cambria" w:eastAsia="Calibri" w:hAnsi="Cambria"/>
          <w:sz w:val="20"/>
          <w:szCs w:val="20"/>
          <w:bdr w:val="none" w:sz="0" w:space="0" w:color="auto"/>
        </w:rPr>
        <w:t xml:space="preserve">events </w:t>
      </w:r>
      <w:r w:rsidR="009B462E">
        <w:rPr>
          <w:rFonts w:ascii="Cambria" w:eastAsia="Calibri" w:hAnsi="Cambria"/>
          <w:sz w:val="20"/>
          <w:szCs w:val="20"/>
          <w:bdr w:val="none" w:sz="0" w:space="0" w:color="auto"/>
        </w:rPr>
        <w:t>and</w:t>
      </w:r>
      <w:r w:rsidR="00724919" w:rsidRPr="00A51861">
        <w:rPr>
          <w:rFonts w:ascii="Cambria" w:eastAsia="Calibri" w:hAnsi="Cambria"/>
          <w:sz w:val="20"/>
          <w:szCs w:val="20"/>
          <w:bdr w:val="none" w:sz="0" w:space="0" w:color="auto"/>
        </w:rPr>
        <w:t xml:space="preserve">, </w:t>
      </w:r>
      <w:r w:rsidR="009B462E">
        <w:rPr>
          <w:rFonts w:ascii="Cambria" w:eastAsia="Calibri" w:hAnsi="Cambria"/>
          <w:sz w:val="20"/>
          <w:szCs w:val="20"/>
          <w:bdr w:val="none" w:sz="0" w:space="0" w:color="auto"/>
        </w:rPr>
        <w:t>most</w:t>
      </w:r>
      <w:r w:rsidR="00724919" w:rsidRPr="00A51861">
        <w:rPr>
          <w:rFonts w:ascii="Cambria" w:eastAsia="Calibri" w:hAnsi="Cambria"/>
          <w:sz w:val="20"/>
          <w:szCs w:val="20"/>
          <w:bdr w:val="none" w:sz="0" w:space="0" w:color="auto"/>
        </w:rPr>
        <w:t xml:space="preserve"> importan</w:t>
      </w:r>
      <w:r w:rsidR="009B462E">
        <w:rPr>
          <w:rFonts w:ascii="Cambria" w:eastAsia="Calibri" w:hAnsi="Cambria"/>
          <w:sz w:val="20"/>
          <w:szCs w:val="20"/>
          <w:bdr w:val="none" w:sz="0" w:space="0" w:color="auto"/>
        </w:rPr>
        <w:t>tly</w:t>
      </w:r>
      <w:r w:rsidR="00724919" w:rsidRPr="00A51861">
        <w:rPr>
          <w:rFonts w:ascii="Cambria" w:eastAsia="Calibri" w:hAnsi="Cambria"/>
          <w:sz w:val="20"/>
          <w:szCs w:val="20"/>
          <w:bdr w:val="none" w:sz="0" w:space="0" w:color="auto"/>
        </w:rPr>
        <w:t xml:space="preserve">, </w:t>
      </w:r>
      <w:r w:rsidR="009B462E">
        <w:rPr>
          <w:rFonts w:ascii="Cambria" w:eastAsia="Calibri" w:hAnsi="Cambria"/>
          <w:sz w:val="20"/>
          <w:szCs w:val="20"/>
          <w:bdr w:val="none" w:sz="0" w:space="0" w:color="auto"/>
        </w:rPr>
        <w:t>exert</w:t>
      </w:r>
      <w:r w:rsidR="00724919" w:rsidRPr="00A51861">
        <w:rPr>
          <w:rFonts w:ascii="Cambria" w:eastAsia="Calibri" w:hAnsi="Cambria"/>
          <w:sz w:val="20"/>
          <w:szCs w:val="20"/>
          <w:bdr w:val="none" w:sz="0" w:space="0" w:color="auto"/>
        </w:rPr>
        <w:t xml:space="preserve"> </w:t>
      </w:r>
      <w:r w:rsidR="009B462E" w:rsidRPr="00A51861">
        <w:rPr>
          <w:rFonts w:ascii="Cambria" w:eastAsia="Calibri" w:hAnsi="Cambria"/>
          <w:sz w:val="20"/>
          <w:szCs w:val="20"/>
          <w:bdr w:val="none" w:sz="0" w:space="0" w:color="auto"/>
        </w:rPr>
        <w:t>influence</w:t>
      </w:r>
      <w:r w:rsidR="00724919" w:rsidRPr="00A51861">
        <w:rPr>
          <w:rFonts w:ascii="Cambria" w:eastAsia="Calibri" w:hAnsi="Cambria"/>
          <w:sz w:val="20"/>
          <w:szCs w:val="20"/>
          <w:bdr w:val="none" w:sz="0" w:space="0" w:color="auto"/>
        </w:rPr>
        <w:t xml:space="preserve"> </w:t>
      </w:r>
      <w:r w:rsidR="009B462E">
        <w:rPr>
          <w:rFonts w:ascii="Cambria" w:eastAsia="Calibri" w:hAnsi="Cambria"/>
          <w:sz w:val="20"/>
          <w:szCs w:val="20"/>
          <w:bdr w:val="none" w:sz="0" w:space="0" w:color="auto"/>
        </w:rPr>
        <w:t>in the public policy</w:t>
      </w:r>
      <w:r w:rsidR="00E92985">
        <w:rPr>
          <w:rFonts w:ascii="Cambria" w:eastAsia="Calibri" w:hAnsi="Cambria"/>
          <w:sz w:val="20"/>
          <w:szCs w:val="20"/>
          <w:bdr w:val="none" w:sz="0" w:space="0" w:color="auto"/>
        </w:rPr>
        <w:t xml:space="preserve"> of</w:t>
      </w:r>
      <w:r w:rsidR="00724919" w:rsidRPr="00A51861">
        <w:rPr>
          <w:rFonts w:ascii="Cambria" w:eastAsia="Calibri" w:hAnsi="Cambria"/>
          <w:sz w:val="20"/>
          <w:szCs w:val="20"/>
          <w:bdr w:val="none" w:sz="0" w:space="0" w:color="auto"/>
        </w:rPr>
        <w:t xml:space="preserve"> </w:t>
      </w:r>
      <w:r w:rsidR="009B462E">
        <w:rPr>
          <w:rFonts w:ascii="Cambria" w:eastAsia="Calibri" w:hAnsi="Cambria"/>
          <w:sz w:val="20"/>
          <w:szCs w:val="20"/>
          <w:bdr w:val="none" w:sz="0" w:space="0" w:color="auto"/>
        </w:rPr>
        <w:t>States</w:t>
      </w:r>
      <w:r w:rsidR="00724919" w:rsidRPr="00A51861">
        <w:rPr>
          <w:rFonts w:ascii="Cambria" w:eastAsia="Calibri" w:hAnsi="Cambria"/>
          <w:sz w:val="20"/>
          <w:szCs w:val="20"/>
          <w:bdr w:val="none" w:sz="0" w:space="0" w:color="auto"/>
        </w:rPr>
        <w:t>”</w:t>
      </w:r>
      <w:r w:rsidR="00724919" w:rsidRPr="00A51861">
        <w:rPr>
          <w:rStyle w:val="FootnoteReference"/>
          <w:rFonts w:ascii="Cambria" w:eastAsia="Calibri" w:hAnsi="Cambria"/>
          <w:sz w:val="20"/>
          <w:szCs w:val="20"/>
          <w:bdr w:val="none" w:sz="0" w:space="0" w:color="auto"/>
        </w:rPr>
        <w:footnoteReference w:id="160"/>
      </w:r>
      <w:r w:rsidR="00724919" w:rsidRPr="00A51861">
        <w:rPr>
          <w:rFonts w:ascii="Cambria" w:eastAsia="Calibri" w:hAnsi="Cambria"/>
          <w:sz w:val="20"/>
          <w:szCs w:val="20"/>
          <w:bdr w:val="none" w:sz="0" w:space="0" w:color="auto"/>
        </w:rPr>
        <w:t xml:space="preserve">. </w:t>
      </w:r>
      <w:r w:rsidR="009B462E">
        <w:rPr>
          <w:rFonts w:ascii="Cambria" w:eastAsia="Calibri" w:hAnsi="Cambria"/>
          <w:sz w:val="20"/>
          <w:szCs w:val="20"/>
          <w:bdr w:val="none" w:sz="0" w:space="0" w:color="auto"/>
        </w:rPr>
        <w:t>As such</w:t>
      </w:r>
      <w:r w:rsidR="00AB511C" w:rsidRPr="00A51861">
        <w:rPr>
          <w:rFonts w:ascii="Cambria" w:eastAsia="Calibri" w:hAnsi="Cambria"/>
          <w:sz w:val="20"/>
          <w:szCs w:val="20"/>
          <w:bdr w:val="none" w:sz="0" w:space="0" w:color="auto"/>
        </w:rPr>
        <w:t xml:space="preserve">, </w:t>
      </w:r>
      <w:r w:rsidR="009B462E">
        <w:rPr>
          <w:rFonts w:ascii="Cambria" w:eastAsia="Calibri" w:hAnsi="Cambria"/>
          <w:sz w:val="20"/>
          <w:szCs w:val="20"/>
          <w:bdr w:val="none" w:sz="0" w:space="0" w:color="auto"/>
        </w:rPr>
        <w:t>it i</w:t>
      </w:r>
      <w:r w:rsidR="00AB511C" w:rsidRPr="00A51861">
        <w:rPr>
          <w:rFonts w:ascii="Cambria" w:eastAsia="Calibri" w:hAnsi="Cambria"/>
          <w:sz w:val="20"/>
          <w:szCs w:val="20"/>
          <w:bdr w:val="none" w:sz="0" w:space="0" w:color="auto"/>
        </w:rPr>
        <w:t xml:space="preserve">s indispensable </w:t>
      </w:r>
      <w:r w:rsidR="009B462E">
        <w:rPr>
          <w:rFonts w:ascii="Cambria" w:eastAsia="Calibri" w:hAnsi="Cambria"/>
          <w:sz w:val="20"/>
          <w:szCs w:val="20"/>
          <w:bdr w:val="none" w:sz="0" w:space="0" w:color="auto"/>
        </w:rPr>
        <w:t>for the collective expression of</w:t>
      </w:r>
      <w:r w:rsidR="00AB511C" w:rsidRPr="00A51861">
        <w:rPr>
          <w:rFonts w:ascii="Cambria" w:eastAsia="Calibri" w:hAnsi="Cambria"/>
          <w:sz w:val="20"/>
          <w:szCs w:val="20"/>
          <w:bdr w:val="none" w:sz="0" w:space="0" w:color="auto"/>
        </w:rPr>
        <w:t xml:space="preserve"> </w:t>
      </w:r>
      <w:r w:rsidR="00AB511C" w:rsidRPr="00A51861">
        <w:rPr>
          <w:rFonts w:asciiTheme="majorHAnsi" w:eastAsia="Calibri" w:hAnsiTheme="majorHAnsi"/>
          <w:sz w:val="20"/>
          <w:szCs w:val="20"/>
          <w:bdr w:val="none" w:sz="0" w:space="0" w:color="auto"/>
        </w:rPr>
        <w:t>opinions</w:t>
      </w:r>
      <w:r w:rsidR="00E92985">
        <w:rPr>
          <w:rFonts w:asciiTheme="majorHAnsi" w:eastAsia="Calibri" w:hAnsiTheme="majorHAnsi"/>
          <w:sz w:val="20"/>
          <w:szCs w:val="20"/>
          <w:bdr w:val="none" w:sz="0" w:space="0" w:color="auto"/>
        </w:rPr>
        <w:t xml:space="preserve"> and </w:t>
      </w:r>
      <w:r w:rsidR="009B462E">
        <w:rPr>
          <w:rFonts w:asciiTheme="majorHAnsi" w:eastAsia="Calibri" w:hAnsiTheme="majorHAnsi"/>
          <w:sz w:val="20"/>
          <w:szCs w:val="20"/>
          <w:bdr w:val="none" w:sz="0" w:space="0" w:color="auto"/>
        </w:rPr>
        <w:t xml:space="preserve">points of view </w:t>
      </w:r>
      <w:r w:rsidR="00E92985">
        <w:rPr>
          <w:rFonts w:asciiTheme="majorHAnsi" w:eastAsia="Calibri" w:hAnsiTheme="majorHAnsi"/>
          <w:sz w:val="20"/>
          <w:szCs w:val="20"/>
          <w:bdr w:val="none" w:sz="0" w:space="0" w:color="auto"/>
        </w:rPr>
        <w:t>of</w:t>
      </w:r>
      <w:r w:rsidR="009B462E">
        <w:rPr>
          <w:rFonts w:asciiTheme="majorHAnsi" w:eastAsia="Calibri" w:hAnsiTheme="majorHAnsi"/>
          <w:sz w:val="20"/>
          <w:szCs w:val="20"/>
          <w:bdr w:val="none" w:sz="0" w:space="0" w:color="auto"/>
        </w:rPr>
        <w:t xml:space="preserve"> </w:t>
      </w:r>
      <w:r w:rsidR="00EC7A58">
        <w:rPr>
          <w:rFonts w:asciiTheme="majorHAnsi" w:eastAsia="Calibri" w:hAnsiTheme="majorHAnsi"/>
          <w:sz w:val="20"/>
          <w:szCs w:val="20"/>
          <w:bdr w:val="none" w:sz="0" w:space="0" w:color="auto"/>
        </w:rPr>
        <w:t>persons</w:t>
      </w:r>
      <w:r w:rsidR="00A07867" w:rsidRPr="00A51861">
        <w:rPr>
          <w:rStyle w:val="FootnoteReference"/>
          <w:rFonts w:asciiTheme="majorHAnsi" w:eastAsia="Calibri" w:hAnsiTheme="majorHAnsi"/>
          <w:sz w:val="20"/>
          <w:szCs w:val="20"/>
          <w:bdr w:val="none" w:sz="0" w:space="0" w:color="auto"/>
        </w:rPr>
        <w:footnoteReference w:id="161"/>
      </w:r>
      <w:r w:rsidR="00A07867" w:rsidRPr="00A51861">
        <w:rPr>
          <w:rFonts w:asciiTheme="majorHAnsi" w:eastAsia="Calibri" w:hAnsiTheme="majorHAnsi"/>
          <w:sz w:val="20"/>
          <w:szCs w:val="20"/>
          <w:bdr w:val="none" w:sz="0" w:space="0" w:color="auto"/>
        </w:rPr>
        <w:t xml:space="preserve">. </w:t>
      </w:r>
      <w:r w:rsidR="009B462E">
        <w:rPr>
          <w:rFonts w:asciiTheme="majorHAnsi" w:eastAsia="Calibri" w:hAnsiTheme="majorHAnsi"/>
          <w:sz w:val="20"/>
          <w:szCs w:val="20"/>
          <w:bdr w:val="none" w:sz="0" w:space="0" w:color="auto"/>
        </w:rPr>
        <w:t>The exercise of</w:t>
      </w:r>
      <w:r w:rsidR="004969F4">
        <w:rPr>
          <w:rFonts w:asciiTheme="majorHAnsi" w:eastAsia="Calibri" w:hAnsiTheme="majorHAnsi"/>
          <w:sz w:val="20"/>
          <w:szCs w:val="20"/>
          <w:bdr w:val="none" w:sz="0" w:space="0" w:color="auto"/>
        </w:rPr>
        <w:t xml:space="preserve"> the </w:t>
      </w:r>
      <w:r w:rsidR="009B462E">
        <w:rPr>
          <w:rFonts w:asciiTheme="majorHAnsi" w:eastAsia="Calibri" w:hAnsiTheme="majorHAnsi"/>
          <w:sz w:val="20"/>
          <w:szCs w:val="20"/>
          <w:bdr w:val="none" w:sz="0" w:space="0" w:color="auto"/>
        </w:rPr>
        <w:t>right of assembly has an essential</w:t>
      </w:r>
      <w:r w:rsidR="00AB511C" w:rsidRPr="00A51861">
        <w:rPr>
          <w:rFonts w:asciiTheme="majorHAnsi" w:eastAsia="Calibri" w:hAnsiTheme="majorHAnsi"/>
          <w:sz w:val="20"/>
          <w:szCs w:val="20"/>
          <w:bdr w:val="none" w:sz="0" w:space="0" w:color="auto"/>
        </w:rPr>
        <w:t xml:space="preserve"> importanc</w:t>
      </w:r>
      <w:r w:rsidR="009B462E">
        <w:rPr>
          <w:rFonts w:asciiTheme="majorHAnsi" w:eastAsia="Calibri" w:hAnsiTheme="majorHAnsi"/>
          <w:sz w:val="20"/>
          <w:szCs w:val="20"/>
          <w:bdr w:val="none" w:sz="0" w:space="0" w:color="auto"/>
        </w:rPr>
        <w:t>e for</w:t>
      </w:r>
      <w:r w:rsidR="009A4F91">
        <w:rPr>
          <w:rFonts w:asciiTheme="majorHAnsi" w:eastAsia="Calibri" w:hAnsiTheme="majorHAnsi"/>
          <w:sz w:val="20"/>
          <w:szCs w:val="20"/>
          <w:bdr w:val="none" w:sz="0" w:space="0" w:color="auto"/>
        </w:rPr>
        <w:t xml:space="preserve"> the </w:t>
      </w:r>
      <w:r w:rsidR="009B462E" w:rsidRPr="00A51861">
        <w:rPr>
          <w:rFonts w:asciiTheme="majorHAnsi" w:eastAsia="Calibri" w:hAnsiTheme="majorHAnsi"/>
          <w:sz w:val="20"/>
          <w:szCs w:val="20"/>
          <w:bdr w:val="none" w:sz="0" w:space="0" w:color="auto"/>
        </w:rPr>
        <w:t>consolidation</w:t>
      </w:r>
      <w:r w:rsidR="00E92985">
        <w:rPr>
          <w:rFonts w:asciiTheme="majorHAnsi" w:eastAsia="Calibri" w:hAnsiTheme="majorHAnsi"/>
          <w:sz w:val="20"/>
          <w:szCs w:val="20"/>
          <w:bdr w:val="none" w:sz="0" w:space="0" w:color="auto"/>
        </w:rPr>
        <w:t xml:space="preserve"> of </w:t>
      </w:r>
      <w:r w:rsidR="009749F1">
        <w:rPr>
          <w:rFonts w:asciiTheme="majorHAnsi" w:eastAsia="Calibri" w:hAnsiTheme="majorHAnsi"/>
          <w:sz w:val="20"/>
          <w:szCs w:val="20"/>
          <w:bdr w:val="none" w:sz="0" w:space="0" w:color="auto"/>
        </w:rPr>
        <w:t>the</w:t>
      </w:r>
      <w:r w:rsidR="00AB511C" w:rsidRPr="00A51861">
        <w:rPr>
          <w:rFonts w:asciiTheme="majorHAnsi" w:eastAsia="Calibri" w:hAnsiTheme="majorHAnsi"/>
          <w:sz w:val="20"/>
          <w:szCs w:val="20"/>
          <w:bdr w:val="none" w:sz="0" w:space="0" w:color="auto"/>
        </w:rPr>
        <w:t xml:space="preserve"> democr</w:t>
      </w:r>
      <w:r w:rsidR="009749F1">
        <w:rPr>
          <w:rFonts w:asciiTheme="majorHAnsi" w:eastAsia="Calibri" w:hAnsiTheme="majorHAnsi"/>
          <w:sz w:val="20"/>
          <w:szCs w:val="20"/>
          <w:bdr w:val="none" w:sz="0" w:space="0" w:color="auto"/>
        </w:rPr>
        <w:t>a</w:t>
      </w:r>
      <w:r w:rsidR="00AB511C" w:rsidRPr="00A51861">
        <w:rPr>
          <w:rFonts w:asciiTheme="majorHAnsi" w:eastAsia="Calibri" w:hAnsiTheme="majorHAnsi"/>
          <w:sz w:val="20"/>
          <w:szCs w:val="20"/>
          <w:bdr w:val="none" w:sz="0" w:space="0" w:color="auto"/>
        </w:rPr>
        <w:t>tic</w:t>
      </w:r>
      <w:r w:rsidR="009749F1">
        <w:rPr>
          <w:rFonts w:asciiTheme="majorHAnsi" w:eastAsia="Calibri" w:hAnsiTheme="majorHAnsi"/>
          <w:sz w:val="20"/>
          <w:szCs w:val="20"/>
          <w:bdr w:val="none" w:sz="0" w:space="0" w:color="auto"/>
        </w:rPr>
        <w:t xml:space="preserve"> life</w:t>
      </w:r>
      <w:r w:rsidR="00E92985">
        <w:rPr>
          <w:rFonts w:asciiTheme="majorHAnsi" w:eastAsia="Calibri" w:hAnsiTheme="majorHAnsi"/>
          <w:sz w:val="20"/>
          <w:szCs w:val="20"/>
          <w:bdr w:val="none" w:sz="0" w:space="0" w:color="auto"/>
        </w:rPr>
        <w:t xml:space="preserve"> of </w:t>
      </w:r>
      <w:r w:rsidR="009749F1">
        <w:rPr>
          <w:rFonts w:asciiTheme="majorHAnsi" w:eastAsia="Calibri" w:hAnsiTheme="majorHAnsi"/>
          <w:sz w:val="20"/>
          <w:szCs w:val="20"/>
          <w:bdr w:val="none" w:sz="0" w:space="0" w:color="auto"/>
        </w:rPr>
        <w:t>societies</w:t>
      </w:r>
      <w:r w:rsidR="00E92985">
        <w:rPr>
          <w:rFonts w:asciiTheme="majorHAnsi" w:eastAsia="Calibri" w:hAnsiTheme="majorHAnsi"/>
          <w:sz w:val="20"/>
          <w:szCs w:val="20"/>
          <w:bdr w:val="none" w:sz="0" w:space="0" w:color="auto"/>
        </w:rPr>
        <w:t xml:space="preserve"> and </w:t>
      </w:r>
      <w:r w:rsidR="009749F1">
        <w:rPr>
          <w:rFonts w:asciiTheme="majorHAnsi" w:eastAsia="Calibri" w:hAnsiTheme="majorHAnsi"/>
          <w:sz w:val="20"/>
          <w:szCs w:val="20"/>
          <w:bdr w:val="none" w:sz="0" w:space="0" w:color="auto"/>
        </w:rPr>
        <w:t xml:space="preserve">therefore, it </w:t>
      </w:r>
      <w:r w:rsidR="000C12D5">
        <w:rPr>
          <w:rFonts w:asciiTheme="majorHAnsi" w:eastAsia="Calibri" w:hAnsiTheme="majorHAnsi"/>
          <w:sz w:val="20"/>
          <w:szCs w:val="20"/>
          <w:bdr w:val="none" w:sz="0" w:space="0" w:color="auto"/>
        </w:rPr>
        <w:t>bears</w:t>
      </w:r>
      <w:r w:rsidR="009749F1">
        <w:rPr>
          <w:rFonts w:asciiTheme="majorHAnsi" w:eastAsia="Calibri" w:hAnsiTheme="majorHAnsi"/>
          <w:sz w:val="20"/>
          <w:szCs w:val="20"/>
          <w:bdr w:val="none" w:sz="0" w:space="0" w:color="auto"/>
        </w:rPr>
        <w:t xml:space="preserve"> an imperative</w:t>
      </w:r>
      <w:r w:rsidR="00A07867" w:rsidRPr="00A51861">
        <w:rPr>
          <w:rFonts w:asciiTheme="majorHAnsi" w:eastAsia="Calibri" w:hAnsiTheme="majorHAnsi"/>
          <w:sz w:val="20"/>
          <w:szCs w:val="20"/>
          <w:bdr w:val="none" w:sz="0" w:space="0" w:color="auto"/>
        </w:rPr>
        <w:t xml:space="preserve"> </w:t>
      </w:r>
      <w:r w:rsidR="009749F1" w:rsidRPr="00A51861">
        <w:rPr>
          <w:rFonts w:asciiTheme="majorHAnsi" w:eastAsia="Calibri" w:hAnsiTheme="majorHAnsi"/>
          <w:sz w:val="20"/>
          <w:szCs w:val="20"/>
          <w:bdr w:val="none" w:sz="0" w:space="0" w:color="auto"/>
        </w:rPr>
        <w:t xml:space="preserve">social </w:t>
      </w:r>
      <w:r w:rsidR="00A07867" w:rsidRPr="00A51861">
        <w:rPr>
          <w:rFonts w:asciiTheme="majorHAnsi" w:eastAsia="Calibri" w:hAnsiTheme="majorHAnsi"/>
          <w:sz w:val="20"/>
          <w:szCs w:val="20"/>
          <w:bdr w:val="none" w:sz="0" w:space="0" w:color="auto"/>
        </w:rPr>
        <w:t>inter</w:t>
      </w:r>
      <w:r w:rsidR="009749F1">
        <w:rPr>
          <w:rFonts w:asciiTheme="majorHAnsi" w:eastAsia="Calibri" w:hAnsiTheme="majorHAnsi"/>
          <w:sz w:val="20"/>
          <w:szCs w:val="20"/>
          <w:bdr w:val="none" w:sz="0" w:space="0" w:color="auto"/>
        </w:rPr>
        <w:t>est</w:t>
      </w:r>
      <w:r w:rsidR="00A07867" w:rsidRPr="00A51861">
        <w:rPr>
          <w:rStyle w:val="FootnoteReference"/>
          <w:rFonts w:asciiTheme="majorHAnsi" w:eastAsia="Calibri" w:hAnsiTheme="majorHAnsi"/>
          <w:sz w:val="20"/>
          <w:szCs w:val="20"/>
          <w:bdr w:val="none" w:sz="0" w:space="0" w:color="auto"/>
        </w:rPr>
        <w:footnoteReference w:id="162"/>
      </w:r>
      <w:r w:rsidR="00A07867" w:rsidRPr="00A51861">
        <w:rPr>
          <w:rFonts w:asciiTheme="majorHAnsi" w:eastAsia="Calibri" w:hAnsiTheme="majorHAnsi"/>
          <w:sz w:val="20"/>
          <w:szCs w:val="20"/>
          <w:bdr w:val="none" w:sz="0" w:space="0" w:color="auto"/>
        </w:rPr>
        <w:t>.</w:t>
      </w:r>
    </w:p>
    <w:p w14:paraId="1C40F0C0" w14:textId="77777777" w:rsidR="00FB06B3" w:rsidRPr="00A51861" w:rsidRDefault="00FB06B3" w:rsidP="008E4D36">
      <w:pPr>
        <w:pStyle w:val="ListParagraph"/>
        <w:jc w:val="both"/>
        <w:rPr>
          <w:rFonts w:asciiTheme="majorHAnsi" w:eastAsia="Calibri" w:hAnsiTheme="majorHAnsi"/>
          <w:sz w:val="20"/>
          <w:szCs w:val="20"/>
          <w:bdr w:val="none" w:sz="0" w:space="0" w:color="auto"/>
        </w:rPr>
      </w:pPr>
    </w:p>
    <w:p w14:paraId="0260A5A2" w14:textId="09556A17" w:rsidR="00FB06B3" w:rsidRPr="00A51861" w:rsidRDefault="00A51861"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Calibri" w:hAnsiTheme="majorHAnsi"/>
          <w:sz w:val="20"/>
          <w:szCs w:val="20"/>
          <w:bdr w:val="none" w:sz="0" w:space="0" w:color="auto"/>
        </w:rPr>
      </w:pPr>
      <w:r w:rsidRPr="00A51861">
        <w:rPr>
          <w:rFonts w:asciiTheme="majorHAnsi" w:hAnsiTheme="majorHAnsi"/>
          <w:sz w:val="20"/>
          <w:szCs w:val="20"/>
        </w:rPr>
        <w:t>The IACHR</w:t>
      </w:r>
      <w:r w:rsidR="00FB06B3" w:rsidRPr="00A51861">
        <w:rPr>
          <w:rFonts w:asciiTheme="majorHAnsi" w:hAnsiTheme="majorHAnsi"/>
          <w:sz w:val="20"/>
          <w:szCs w:val="20"/>
        </w:rPr>
        <w:t xml:space="preserve"> ha</w:t>
      </w:r>
      <w:r w:rsidR="006A513B">
        <w:rPr>
          <w:rFonts w:asciiTheme="majorHAnsi" w:hAnsiTheme="majorHAnsi"/>
          <w:sz w:val="20"/>
          <w:szCs w:val="20"/>
        </w:rPr>
        <w:t>s</w:t>
      </w:r>
      <w:r w:rsidR="00FB06B3" w:rsidRPr="00A51861">
        <w:rPr>
          <w:rFonts w:asciiTheme="majorHAnsi" w:hAnsiTheme="majorHAnsi"/>
          <w:sz w:val="20"/>
          <w:szCs w:val="20"/>
        </w:rPr>
        <w:t xml:space="preserve"> </w:t>
      </w:r>
      <w:r w:rsidR="006A513B">
        <w:rPr>
          <w:rFonts w:asciiTheme="majorHAnsi" w:hAnsiTheme="majorHAnsi"/>
          <w:sz w:val="20"/>
          <w:szCs w:val="20"/>
        </w:rPr>
        <w:t xml:space="preserve">said that an </w:t>
      </w:r>
      <w:r w:rsidR="006A513B" w:rsidRPr="00A51861">
        <w:rPr>
          <w:rFonts w:asciiTheme="majorHAnsi" w:hAnsiTheme="majorHAnsi"/>
          <w:sz w:val="20"/>
          <w:szCs w:val="20"/>
        </w:rPr>
        <w:t>integral</w:t>
      </w:r>
      <w:r w:rsidR="006A513B">
        <w:rPr>
          <w:rFonts w:asciiTheme="majorHAnsi" w:hAnsiTheme="majorHAnsi"/>
          <w:sz w:val="20"/>
          <w:szCs w:val="20"/>
        </w:rPr>
        <w:t xml:space="preserve"> </w:t>
      </w:r>
      <w:r w:rsidR="006A513B" w:rsidRPr="00A51861">
        <w:rPr>
          <w:rFonts w:asciiTheme="majorHAnsi" w:hAnsiTheme="majorHAnsi"/>
          <w:sz w:val="20"/>
          <w:szCs w:val="20"/>
        </w:rPr>
        <w:t>analysis</w:t>
      </w:r>
      <w:r w:rsidR="00FB06B3" w:rsidRPr="00A51861">
        <w:rPr>
          <w:rFonts w:asciiTheme="majorHAnsi" w:hAnsiTheme="majorHAnsi"/>
          <w:sz w:val="20"/>
          <w:szCs w:val="20"/>
        </w:rPr>
        <w:t xml:space="preserve"> </w:t>
      </w:r>
      <w:r w:rsidR="00E92985">
        <w:rPr>
          <w:rFonts w:asciiTheme="majorHAnsi" w:hAnsiTheme="majorHAnsi"/>
          <w:sz w:val="20"/>
          <w:szCs w:val="20"/>
        </w:rPr>
        <w:t xml:space="preserve">of </w:t>
      </w:r>
      <w:r w:rsidR="006A513B">
        <w:rPr>
          <w:rFonts w:asciiTheme="majorHAnsi" w:hAnsiTheme="majorHAnsi"/>
          <w:sz w:val="20"/>
          <w:szCs w:val="20"/>
        </w:rPr>
        <w:t>standards concerning</w:t>
      </w:r>
      <w:r w:rsidR="003D6857" w:rsidRPr="00A51861">
        <w:rPr>
          <w:rFonts w:asciiTheme="majorHAnsi" w:hAnsiTheme="majorHAnsi"/>
          <w:sz w:val="20"/>
          <w:szCs w:val="20"/>
        </w:rPr>
        <w:t xml:space="preserve"> </w:t>
      </w:r>
      <w:r w:rsidR="006A513B" w:rsidRPr="00A51861">
        <w:rPr>
          <w:rFonts w:asciiTheme="majorHAnsi" w:hAnsiTheme="majorHAnsi"/>
          <w:sz w:val="20"/>
          <w:szCs w:val="20"/>
        </w:rPr>
        <w:t>restrictions</w:t>
      </w:r>
      <w:r w:rsidR="004969F4">
        <w:rPr>
          <w:rFonts w:asciiTheme="majorHAnsi" w:hAnsiTheme="majorHAnsi"/>
          <w:sz w:val="20"/>
          <w:szCs w:val="20"/>
        </w:rPr>
        <w:t xml:space="preserve"> </w:t>
      </w:r>
      <w:r w:rsidR="006A513B">
        <w:rPr>
          <w:rFonts w:asciiTheme="majorHAnsi" w:hAnsiTheme="majorHAnsi"/>
          <w:sz w:val="20"/>
          <w:szCs w:val="20"/>
        </w:rPr>
        <w:t>to</w:t>
      </w:r>
      <w:r w:rsidR="004969F4">
        <w:rPr>
          <w:rFonts w:asciiTheme="majorHAnsi" w:hAnsiTheme="majorHAnsi"/>
          <w:sz w:val="20"/>
          <w:szCs w:val="20"/>
        </w:rPr>
        <w:t xml:space="preserve"> the </w:t>
      </w:r>
      <w:r w:rsidR="009B462E">
        <w:rPr>
          <w:rFonts w:asciiTheme="majorHAnsi" w:hAnsiTheme="majorHAnsi"/>
          <w:sz w:val="20"/>
          <w:szCs w:val="20"/>
        </w:rPr>
        <w:t xml:space="preserve">right of assembly </w:t>
      </w:r>
      <w:r w:rsidR="00E92985">
        <w:rPr>
          <w:rFonts w:asciiTheme="majorHAnsi" w:hAnsiTheme="majorHAnsi"/>
          <w:sz w:val="20"/>
          <w:szCs w:val="20"/>
        </w:rPr>
        <w:t xml:space="preserve">and </w:t>
      </w:r>
      <w:r w:rsidR="006A513B">
        <w:rPr>
          <w:rFonts w:asciiTheme="majorHAnsi" w:hAnsiTheme="majorHAnsi"/>
          <w:sz w:val="20"/>
          <w:szCs w:val="20"/>
        </w:rPr>
        <w:t xml:space="preserve">other </w:t>
      </w:r>
      <w:r w:rsidR="004C5A00">
        <w:rPr>
          <w:rFonts w:asciiTheme="majorHAnsi" w:hAnsiTheme="majorHAnsi"/>
          <w:sz w:val="20"/>
          <w:szCs w:val="20"/>
        </w:rPr>
        <w:t>Rights</w:t>
      </w:r>
      <w:r w:rsidR="006A513B">
        <w:rPr>
          <w:rFonts w:asciiTheme="majorHAnsi" w:hAnsiTheme="majorHAnsi"/>
          <w:sz w:val="20"/>
          <w:szCs w:val="20"/>
        </w:rPr>
        <w:t xml:space="preserve"> such as freedom of </w:t>
      </w:r>
      <w:r w:rsidR="003D6857" w:rsidRPr="00A51861">
        <w:rPr>
          <w:rFonts w:asciiTheme="majorHAnsi" w:hAnsiTheme="majorHAnsi"/>
          <w:sz w:val="20"/>
          <w:szCs w:val="20"/>
        </w:rPr>
        <w:t>expres</w:t>
      </w:r>
      <w:r w:rsidR="006A513B">
        <w:rPr>
          <w:rFonts w:asciiTheme="majorHAnsi" w:hAnsiTheme="majorHAnsi"/>
          <w:sz w:val="20"/>
          <w:szCs w:val="20"/>
        </w:rPr>
        <w:t>s</w:t>
      </w:r>
      <w:r w:rsidR="003D6857" w:rsidRPr="00A51861">
        <w:rPr>
          <w:rFonts w:asciiTheme="majorHAnsi" w:hAnsiTheme="majorHAnsi"/>
          <w:sz w:val="20"/>
          <w:szCs w:val="20"/>
        </w:rPr>
        <w:t>i</w:t>
      </w:r>
      <w:r w:rsidR="006A513B">
        <w:rPr>
          <w:rFonts w:asciiTheme="majorHAnsi" w:hAnsiTheme="majorHAnsi"/>
          <w:sz w:val="20"/>
          <w:szCs w:val="20"/>
        </w:rPr>
        <w:t>o</w:t>
      </w:r>
      <w:r w:rsidR="003D6857" w:rsidRPr="00A51861">
        <w:rPr>
          <w:rFonts w:asciiTheme="majorHAnsi" w:hAnsiTheme="majorHAnsi"/>
          <w:sz w:val="20"/>
          <w:szCs w:val="20"/>
        </w:rPr>
        <w:t xml:space="preserve">n, </w:t>
      </w:r>
      <w:r w:rsidR="006A513B">
        <w:rPr>
          <w:rFonts w:asciiTheme="majorHAnsi" w:hAnsiTheme="majorHAnsi"/>
          <w:sz w:val="20"/>
          <w:szCs w:val="20"/>
        </w:rPr>
        <w:t>allows to</w:t>
      </w:r>
      <w:r w:rsidR="00FB06B3" w:rsidRPr="00A51861">
        <w:rPr>
          <w:rFonts w:asciiTheme="majorHAnsi" w:hAnsiTheme="majorHAnsi"/>
          <w:sz w:val="20"/>
          <w:szCs w:val="20"/>
        </w:rPr>
        <w:t xml:space="preserve"> identif</w:t>
      </w:r>
      <w:r w:rsidR="006A513B">
        <w:rPr>
          <w:rFonts w:asciiTheme="majorHAnsi" w:hAnsiTheme="majorHAnsi"/>
          <w:sz w:val="20"/>
          <w:szCs w:val="20"/>
        </w:rPr>
        <w:t>y</w:t>
      </w:r>
      <w:r w:rsidR="00FB06B3" w:rsidRPr="00A51861">
        <w:rPr>
          <w:rFonts w:asciiTheme="majorHAnsi" w:hAnsiTheme="majorHAnsi"/>
          <w:sz w:val="20"/>
          <w:szCs w:val="20"/>
        </w:rPr>
        <w:t xml:space="preserve"> </w:t>
      </w:r>
      <w:r w:rsidR="006A513B">
        <w:rPr>
          <w:rFonts w:asciiTheme="majorHAnsi" w:hAnsiTheme="majorHAnsi"/>
          <w:sz w:val="20"/>
          <w:szCs w:val="20"/>
        </w:rPr>
        <w:t>common elements</w:t>
      </w:r>
      <w:r w:rsidR="00FB06B3" w:rsidRPr="00A51861">
        <w:rPr>
          <w:rFonts w:asciiTheme="majorHAnsi" w:hAnsiTheme="majorHAnsi"/>
          <w:sz w:val="20"/>
          <w:szCs w:val="20"/>
        </w:rPr>
        <w:t xml:space="preserve"> </w:t>
      </w:r>
      <w:r w:rsidR="006A513B">
        <w:rPr>
          <w:rFonts w:asciiTheme="majorHAnsi" w:hAnsiTheme="majorHAnsi"/>
          <w:sz w:val="20"/>
          <w:szCs w:val="20"/>
        </w:rPr>
        <w:t>i</w:t>
      </w:r>
      <w:r w:rsidR="00FB06B3" w:rsidRPr="00A51861">
        <w:rPr>
          <w:rFonts w:asciiTheme="majorHAnsi" w:hAnsiTheme="majorHAnsi"/>
          <w:sz w:val="20"/>
          <w:szCs w:val="20"/>
        </w:rPr>
        <w:t>n</w:t>
      </w:r>
      <w:r w:rsidR="009A4F91">
        <w:rPr>
          <w:rFonts w:asciiTheme="majorHAnsi" w:hAnsiTheme="majorHAnsi"/>
          <w:sz w:val="20"/>
          <w:szCs w:val="20"/>
        </w:rPr>
        <w:t xml:space="preserve"> the </w:t>
      </w:r>
      <w:r w:rsidR="006A513B">
        <w:rPr>
          <w:rFonts w:asciiTheme="majorHAnsi" w:hAnsiTheme="majorHAnsi"/>
          <w:sz w:val="20"/>
          <w:szCs w:val="20"/>
        </w:rPr>
        <w:t>application</w:t>
      </w:r>
      <w:r w:rsidR="004969F4">
        <w:rPr>
          <w:rFonts w:asciiTheme="majorHAnsi" w:hAnsiTheme="majorHAnsi"/>
          <w:sz w:val="20"/>
          <w:szCs w:val="20"/>
        </w:rPr>
        <w:t xml:space="preserve"> of the </w:t>
      </w:r>
      <w:r w:rsidR="006A513B">
        <w:rPr>
          <w:rFonts w:asciiTheme="majorHAnsi" w:hAnsiTheme="majorHAnsi"/>
          <w:sz w:val="20"/>
          <w:szCs w:val="20"/>
        </w:rPr>
        <w:t xml:space="preserve">three-part </w:t>
      </w:r>
      <w:r w:rsidR="006A513B" w:rsidRPr="00A51861">
        <w:rPr>
          <w:rFonts w:asciiTheme="majorHAnsi" w:hAnsiTheme="majorHAnsi"/>
          <w:sz w:val="20"/>
          <w:szCs w:val="20"/>
        </w:rPr>
        <w:t>"test”</w:t>
      </w:r>
      <w:r w:rsidR="00FB06B3" w:rsidRPr="00A51861">
        <w:rPr>
          <w:rFonts w:asciiTheme="majorHAnsi" w:hAnsiTheme="majorHAnsi"/>
          <w:sz w:val="20"/>
          <w:szCs w:val="20"/>
        </w:rPr>
        <w:t xml:space="preserve">. </w:t>
      </w:r>
      <w:r w:rsidR="006A513B">
        <w:rPr>
          <w:rFonts w:asciiTheme="majorHAnsi" w:hAnsiTheme="majorHAnsi"/>
          <w:sz w:val="20"/>
          <w:szCs w:val="20"/>
        </w:rPr>
        <w:t>First of all</w:t>
      </w:r>
      <w:r w:rsidR="00FB06B3" w:rsidRPr="00A51861">
        <w:rPr>
          <w:rFonts w:asciiTheme="majorHAnsi" w:hAnsiTheme="majorHAnsi"/>
          <w:sz w:val="20"/>
          <w:szCs w:val="20"/>
        </w:rPr>
        <w:t xml:space="preserve">, </w:t>
      </w:r>
      <w:r w:rsidR="006A513B">
        <w:rPr>
          <w:rFonts w:asciiTheme="majorHAnsi" w:hAnsiTheme="majorHAnsi"/>
          <w:sz w:val="20"/>
          <w:szCs w:val="20"/>
        </w:rPr>
        <w:t>every</w:t>
      </w:r>
      <w:r w:rsidR="00FB06B3" w:rsidRPr="00A51861">
        <w:rPr>
          <w:rFonts w:asciiTheme="majorHAnsi" w:hAnsiTheme="majorHAnsi"/>
          <w:sz w:val="20"/>
          <w:szCs w:val="20"/>
        </w:rPr>
        <w:t xml:space="preserve"> </w:t>
      </w:r>
      <w:r w:rsidR="006A513B" w:rsidRPr="00A51861">
        <w:rPr>
          <w:rFonts w:asciiTheme="majorHAnsi" w:hAnsiTheme="majorHAnsi"/>
          <w:sz w:val="20"/>
          <w:szCs w:val="20"/>
        </w:rPr>
        <w:t>limitation</w:t>
      </w:r>
      <w:r w:rsidR="00FB06B3" w:rsidRPr="00A51861">
        <w:rPr>
          <w:rFonts w:asciiTheme="majorHAnsi" w:hAnsiTheme="majorHAnsi"/>
          <w:sz w:val="20"/>
          <w:szCs w:val="20"/>
        </w:rPr>
        <w:t xml:space="preserve"> </w:t>
      </w:r>
      <w:r w:rsidR="006A513B">
        <w:rPr>
          <w:rFonts w:asciiTheme="majorHAnsi" w:hAnsiTheme="majorHAnsi"/>
          <w:sz w:val="20"/>
          <w:szCs w:val="20"/>
        </w:rPr>
        <w:t>must be foreseen in the</w:t>
      </w:r>
      <w:r w:rsidR="00FB06B3" w:rsidRPr="00A51861">
        <w:rPr>
          <w:rFonts w:asciiTheme="majorHAnsi" w:hAnsiTheme="majorHAnsi"/>
          <w:sz w:val="20"/>
          <w:szCs w:val="20"/>
        </w:rPr>
        <w:t xml:space="preserve"> </w:t>
      </w:r>
      <w:r w:rsidR="0029564F">
        <w:rPr>
          <w:rFonts w:asciiTheme="majorHAnsi" w:hAnsiTheme="majorHAnsi"/>
          <w:sz w:val="20"/>
          <w:szCs w:val="20"/>
        </w:rPr>
        <w:t>law</w:t>
      </w:r>
      <w:r w:rsidR="00FB06B3" w:rsidRPr="00A51861">
        <w:rPr>
          <w:rFonts w:asciiTheme="majorHAnsi" w:hAnsiTheme="majorHAnsi"/>
          <w:sz w:val="20"/>
          <w:szCs w:val="20"/>
        </w:rPr>
        <w:t xml:space="preserve">. </w:t>
      </w:r>
      <w:r w:rsidR="006A513B">
        <w:rPr>
          <w:rFonts w:asciiTheme="majorHAnsi" w:hAnsiTheme="majorHAnsi"/>
          <w:sz w:val="20"/>
          <w:szCs w:val="20"/>
        </w:rPr>
        <w:t>Second of all</w:t>
      </w:r>
      <w:r w:rsidR="00FB06B3" w:rsidRPr="00A51861">
        <w:rPr>
          <w:rFonts w:asciiTheme="majorHAnsi" w:hAnsiTheme="majorHAnsi"/>
          <w:sz w:val="20"/>
          <w:szCs w:val="20"/>
        </w:rPr>
        <w:t xml:space="preserve">, </w:t>
      </w:r>
      <w:r w:rsidR="00B920CA">
        <w:rPr>
          <w:rFonts w:asciiTheme="majorHAnsi" w:hAnsiTheme="majorHAnsi"/>
          <w:sz w:val="20"/>
          <w:szCs w:val="20"/>
        </w:rPr>
        <w:t>the aim must be to</w:t>
      </w:r>
      <w:r w:rsidR="003D6857" w:rsidRPr="00A51861">
        <w:rPr>
          <w:rFonts w:asciiTheme="majorHAnsi" w:hAnsiTheme="majorHAnsi"/>
          <w:sz w:val="20"/>
          <w:szCs w:val="20"/>
        </w:rPr>
        <w:t xml:space="preserve"> </w:t>
      </w:r>
      <w:r w:rsidR="009A4F91">
        <w:rPr>
          <w:rFonts w:asciiTheme="majorHAnsi" w:hAnsiTheme="majorHAnsi"/>
          <w:sz w:val="20"/>
          <w:szCs w:val="20"/>
        </w:rPr>
        <w:t>ensure</w:t>
      </w:r>
      <w:r w:rsidR="003D6857" w:rsidRPr="00A51861">
        <w:rPr>
          <w:rFonts w:asciiTheme="majorHAnsi" w:hAnsiTheme="majorHAnsi"/>
          <w:sz w:val="20"/>
          <w:szCs w:val="20"/>
        </w:rPr>
        <w:t xml:space="preserve"> </w:t>
      </w:r>
      <w:r w:rsidR="00B920CA">
        <w:rPr>
          <w:rFonts w:asciiTheme="majorHAnsi" w:hAnsiTheme="majorHAnsi"/>
          <w:sz w:val="20"/>
          <w:szCs w:val="20"/>
        </w:rPr>
        <w:t>the legitimate goals</w:t>
      </w:r>
      <w:r w:rsidR="003D6857" w:rsidRPr="00A51861">
        <w:rPr>
          <w:rFonts w:asciiTheme="majorHAnsi" w:hAnsiTheme="majorHAnsi"/>
          <w:sz w:val="20"/>
          <w:szCs w:val="20"/>
        </w:rPr>
        <w:t xml:space="preserve"> expres</w:t>
      </w:r>
      <w:r w:rsidR="00B920CA">
        <w:rPr>
          <w:rFonts w:asciiTheme="majorHAnsi" w:hAnsiTheme="majorHAnsi"/>
          <w:sz w:val="20"/>
          <w:szCs w:val="20"/>
        </w:rPr>
        <w:t>s</w:t>
      </w:r>
      <w:r w:rsidR="0029564F">
        <w:rPr>
          <w:rFonts w:asciiTheme="majorHAnsi" w:hAnsiTheme="majorHAnsi"/>
          <w:sz w:val="20"/>
          <w:szCs w:val="20"/>
        </w:rPr>
        <w:t xml:space="preserve">ly </w:t>
      </w:r>
      <w:r w:rsidR="00B920CA">
        <w:rPr>
          <w:rFonts w:asciiTheme="majorHAnsi" w:hAnsiTheme="majorHAnsi"/>
          <w:sz w:val="20"/>
          <w:szCs w:val="20"/>
        </w:rPr>
        <w:t>foreseen in</w:t>
      </w:r>
      <w:r w:rsidR="009A4F91">
        <w:rPr>
          <w:rFonts w:asciiTheme="majorHAnsi" w:hAnsiTheme="majorHAnsi"/>
          <w:sz w:val="20"/>
          <w:szCs w:val="20"/>
        </w:rPr>
        <w:t xml:space="preserve"> the </w:t>
      </w:r>
      <w:r w:rsidR="00B920CA">
        <w:rPr>
          <w:rFonts w:asciiTheme="majorHAnsi" w:hAnsiTheme="majorHAnsi"/>
          <w:sz w:val="20"/>
          <w:szCs w:val="20"/>
        </w:rPr>
        <w:t>American Convention</w:t>
      </w:r>
      <w:r w:rsidR="003D6857" w:rsidRPr="00A51861">
        <w:rPr>
          <w:rFonts w:asciiTheme="majorHAnsi" w:hAnsiTheme="majorHAnsi"/>
          <w:sz w:val="20"/>
          <w:szCs w:val="20"/>
        </w:rPr>
        <w:t xml:space="preserve">. </w:t>
      </w:r>
      <w:r w:rsidR="00B920CA">
        <w:rPr>
          <w:rFonts w:asciiTheme="majorHAnsi" w:hAnsiTheme="majorHAnsi"/>
          <w:sz w:val="20"/>
          <w:szCs w:val="20"/>
        </w:rPr>
        <w:t>Third</w:t>
      </w:r>
      <w:r w:rsidR="003D6857" w:rsidRPr="00A51861">
        <w:rPr>
          <w:rFonts w:asciiTheme="majorHAnsi" w:hAnsiTheme="majorHAnsi"/>
          <w:sz w:val="20"/>
          <w:szCs w:val="20"/>
        </w:rPr>
        <w:t xml:space="preserve">, </w:t>
      </w:r>
      <w:r w:rsidR="00B920CA">
        <w:rPr>
          <w:rFonts w:asciiTheme="majorHAnsi" w:hAnsiTheme="majorHAnsi"/>
          <w:sz w:val="20"/>
          <w:szCs w:val="20"/>
        </w:rPr>
        <w:t>restrictions</w:t>
      </w:r>
      <w:r w:rsidR="003D6857" w:rsidRPr="00A51861">
        <w:rPr>
          <w:rFonts w:asciiTheme="majorHAnsi" w:hAnsiTheme="majorHAnsi"/>
          <w:sz w:val="20"/>
          <w:szCs w:val="20"/>
        </w:rPr>
        <w:t xml:space="preserve"> </w:t>
      </w:r>
      <w:r w:rsidR="00B920CA">
        <w:rPr>
          <w:rFonts w:ascii="Cambria" w:hAnsi="Cambria"/>
          <w:color w:val="000000" w:themeColor="text1"/>
          <w:sz w:val="20"/>
          <w:szCs w:val="20"/>
        </w:rPr>
        <w:t>must be</w:t>
      </w:r>
      <w:r w:rsidR="003D6857" w:rsidRPr="00A51861">
        <w:rPr>
          <w:rFonts w:asciiTheme="majorHAnsi" w:hAnsiTheme="majorHAnsi"/>
          <w:sz w:val="20"/>
          <w:szCs w:val="20"/>
        </w:rPr>
        <w:t xml:space="preserve"> </w:t>
      </w:r>
      <w:r w:rsidR="00B920CA">
        <w:rPr>
          <w:rFonts w:asciiTheme="majorHAnsi" w:hAnsiTheme="majorHAnsi"/>
          <w:sz w:val="20"/>
          <w:szCs w:val="20"/>
        </w:rPr>
        <w:t>necessary in a democratic</w:t>
      </w:r>
      <w:r w:rsidR="00B920CA" w:rsidRPr="00B920CA">
        <w:rPr>
          <w:rFonts w:asciiTheme="majorHAnsi" w:hAnsiTheme="majorHAnsi"/>
          <w:sz w:val="20"/>
          <w:szCs w:val="20"/>
        </w:rPr>
        <w:t xml:space="preserve"> </w:t>
      </w:r>
      <w:r w:rsidR="00B920CA" w:rsidRPr="00A51861">
        <w:rPr>
          <w:rFonts w:asciiTheme="majorHAnsi" w:hAnsiTheme="majorHAnsi"/>
          <w:sz w:val="20"/>
          <w:szCs w:val="20"/>
        </w:rPr>
        <w:t>socie</w:t>
      </w:r>
      <w:r w:rsidR="00B920CA">
        <w:rPr>
          <w:rFonts w:asciiTheme="majorHAnsi" w:hAnsiTheme="majorHAnsi"/>
          <w:sz w:val="20"/>
          <w:szCs w:val="20"/>
        </w:rPr>
        <w:t>ty</w:t>
      </w:r>
      <w:r w:rsidR="003D6857" w:rsidRPr="00A51861">
        <w:rPr>
          <w:rFonts w:asciiTheme="majorHAnsi" w:hAnsiTheme="majorHAnsi"/>
          <w:sz w:val="20"/>
          <w:szCs w:val="20"/>
        </w:rPr>
        <w:t xml:space="preserve">, </w:t>
      </w:r>
      <w:r w:rsidR="00B920CA">
        <w:rPr>
          <w:rFonts w:asciiTheme="majorHAnsi" w:hAnsiTheme="majorHAnsi"/>
          <w:sz w:val="20"/>
          <w:szCs w:val="20"/>
        </w:rPr>
        <w:t>criterion from which also derive the standards concerning proportionality</w:t>
      </w:r>
      <w:r w:rsidR="001D1D61">
        <w:rPr>
          <w:rFonts w:asciiTheme="majorHAnsi" w:hAnsiTheme="majorHAnsi"/>
          <w:sz w:val="20"/>
          <w:szCs w:val="20"/>
        </w:rPr>
        <w:t>. Th</w:t>
      </w:r>
      <w:r w:rsidR="009A4F91">
        <w:rPr>
          <w:rFonts w:asciiTheme="majorHAnsi" w:hAnsiTheme="majorHAnsi"/>
          <w:sz w:val="20"/>
          <w:szCs w:val="20"/>
        </w:rPr>
        <w:t xml:space="preserve">e </w:t>
      </w:r>
      <w:r w:rsidR="000A3625">
        <w:rPr>
          <w:rFonts w:asciiTheme="majorHAnsi" w:hAnsiTheme="majorHAnsi"/>
          <w:sz w:val="20"/>
          <w:szCs w:val="20"/>
        </w:rPr>
        <w:t>authority</w:t>
      </w:r>
      <w:r w:rsidR="003D6857" w:rsidRPr="00A51861">
        <w:rPr>
          <w:rFonts w:asciiTheme="majorHAnsi" w:hAnsiTheme="majorHAnsi"/>
          <w:sz w:val="20"/>
          <w:szCs w:val="20"/>
        </w:rPr>
        <w:t xml:space="preserve"> </w:t>
      </w:r>
      <w:r w:rsidR="00B920CA">
        <w:rPr>
          <w:rFonts w:asciiTheme="majorHAnsi" w:hAnsiTheme="majorHAnsi"/>
          <w:sz w:val="20"/>
          <w:szCs w:val="20"/>
        </w:rPr>
        <w:t>which imposes</w:t>
      </w:r>
      <w:r w:rsidR="003D6857" w:rsidRPr="00A51861">
        <w:rPr>
          <w:rFonts w:asciiTheme="majorHAnsi" w:hAnsiTheme="majorHAnsi"/>
          <w:sz w:val="20"/>
          <w:szCs w:val="20"/>
        </w:rPr>
        <w:t xml:space="preserve"> </w:t>
      </w:r>
      <w:r w:rsidR="00B920CA" w:rsidRPr="00A51861">
        <w:rPr>
          <w:rFonts w:asciiTheme="majorHAnsi" w:hAnsiTheme="majorHAnsi"/>
          <w:sz w:val="20"/>
          <w:szCs w:val="20"/>
        </w:rPr>
        <w:t>limitations</w:t>
      </w:r>
      <w:r w:rsidR="003D6857" w:rsidRPr="00A51861">
        <w:rPr>
          <w:rFonts w:asciiTheme="majorHAnsi" w:hAnsiTheme="majorHAnsi"/>
          <w:sz w:val="20"/>
          <w:szCs w:val="20"/>
        </w:rPr>
        <w:t xml:space="preserve"> </w:t>
      </w:r>
      <w:r w:rsidR="00B920CA">
        <w:rPr>
          <w:rFonts w:asciiTheme="majorHAnsi" w:hAnsiTheme="majorHAnsi"/>
          <w:sz w:val="20"/>
          <w:szCs w:val="20"/>
        </w:rPr>
        <w:t xml:space="preserve">to a public </w:t>
      </w:r>
      <w:r w:rsidR="00B920CA" w:rsidRPr="00A51861">
        <w:rPr>
          <w:rFonts w:asciiTheme="majorHAnsi" w:hAnsiTheme="majorHAnsi"/>
          <w:sz w:val="20"/>
          <w:szCs w:val="20"/>
        </w:rPr>
        <w:t>manifestation</w:t>
      </w:r>
      <w:r w:rsidR="003D6857" w:rsidRPr="00A51861">
        <w:rPr>
          <w:rFonts w:asciiTheme="majorHAnsi" w:hAnsiTheme="majorHAnsi"/>
          <w:sz w:val="20"/>
          <w:szCs w:val="20"/>
        </w:rPr>
        <w:t xml:space="preserve"> </w:t>
      </w:r>
      <w:r w:rsidR="00B920CA">
        <w:rPr>
          <w:rFonts w:asciiTheme="majorHAnsi" w:hAnsiTheme="majorHAnsi"/>
          <w:sz w:val="20"/>
          <w:szCs w:val="20"/>
        </w:rPr>
        <w:t>shall have to demonstrate that</w:t>
      </w:r>
      <w:r w:rsidR="00E64C43">
        <w:rPr>
          <w:rFonts w:asciiTheme="majorHAnsi" w:hAnsiTheme="majorHAnsi"/>
          <w:sz w:val="20"/>
          <w:szCs w:val="20"/>
        </w:rPr>
        <w:t xml:space="preserve"> these </w:t>
      </w:r>
      <w:r w:rsidR="00B920CA" w:rsidRPr="00A51861">
        <w:rPr>
          <w:rFonts w:asciiTheme="majorHAnsi" w:hAnsiTheme="majorHAnsi"/>
          <w:sz w:val="20"/>
          <w:szCs w:val="20"/>
        </w:rPr>
        <w:t>conditions</w:t>
      </w:r>
      <w:r w:rsidR="003D6857" w:rsidRPr="00A51861">
        <w:rPr>
          <w:rFonts w:asciiTheme="majorHAnsi" w:hAnsiTheme="majorHAnsi"/>
          <w:sz w:val="20"/>
          <w:szCs w:val="20"/>
        </w:rPr>
        <w:t xml:space="preserve"> </w:t>
      </w:r>
      <w:r w:rsidR="00B920CA">
        <w:rPr>
          <w:rFonts w:asciiTheme="majorHAnsi" w:hAnsiTheme="majorHAnsi"/>
          <w:sz w:val="20"/>
          <w:szCs w:val="20"/>
        </w:rPr>
        <w:t>have been met</w:t>
      </w:r>
      <w:r w:rsidR="00E92985">
        <w:rPr>
          <w:rFonts w:asciiTheme="majorHAnsi" w:hAnsiTheme="majorHAnsi"/>
          <w:sz w:val="20"/>
          <w:szCs w:val="20"/>
        </w:rPr>
        <w:t xml:space="preserve"> and </w:t>
      </w:r>
      <w:r w:rsidR="00B920CA">
        <w:rPr>
          <w:rFonts w:asciiTheme="majorHAnsi" w:hAnsiTheme="majorHAnsi"/>
          <w:sz w:val="20"/>
          <w:szCs w:val="20"/>
        </w:rPr>
        <w:t>all of them must be</w:t>
      </w:r>
      <w:r w:rsidR="003D6857" w:rsidRPr="00A51861">
        <w:rPr>
          <w:rFonts w:asciiTheme="majorHAnsi" w:hAnsiTheme="majorHAnsi"/>
          <w:sz w:val="20"/>
          <w:szCs w:val="20"/>
        </w:rPr>
        <w:t xml:space="preserve"> </w:t>
      </w:r>
      <w:r w:rsidR="00B920CA" w:rsidRPr="00A51861">
        <w:rPr>
          <w:rFonts w:asciiTheme="majorHAnsi" w:hAnsiTheme="majorHAnsi"/>
          <w:sz w:val="20"/>
          <w:szCs w:val="20"/>
        </w:rPr>
        <w:t>respected</w:t>
      </w:r>
      <w:r w:rsidR="003D6857" w:rsidRPr="00A51861">
        <w:rPr>
          <w:rFonts w:asciiTheme="majorHAnsi" w:hAnsiTheme="majorHAnsi"/>
          <w:sz w:val="20"/>
          <w:szCs w:val="20"/>
        </w:rPr>
        <w:t xml:space="preserve"> simul</w:t>
      </w:r>
      <w:r w:rsidR="00B920CA">
        <w:rPr>
          <w:rFonts w:asciiTheme="majorHAnsi" w:hAnsiTheme="majorHAnsi"/>
          <w:sz w:val="20"/>
          <w:szCs w:val="20"/>
        </w:rPr>
        <w:t>taneous</w:t>
      </w:r>
      <w:r w:rsidR="0029564F">
        <w:rPr>
          <w:rFonts w:asciiTheme="majorHAnsi" w:hAnsiTheme="majorHAnsi"/>
          <w:sz w:val="20"/>
          <w:szCs w:val="20"/>
        </w:rPr>
        <w:t xml:space="preserve">ly </w:t>
      </w:r>
      <w:r w:rsidR="00B920CA">
        <w:rPr>
          <w:rFonts w:asciiTheme="majorHAnsi" w:hAnsiTheme="majorHAnsi"/>
          <w:sz w:val="20"/>
          <w:szCs w:val="20"/>
        </w:rPr>
        <w:t>so that the</w:t>
      </w:r>
      <w:r w:rsidR="003D6857" w:rsidRPr="00A51861">
        <w:rPr>
          <w:rFonts w:asciiTheme="majorHAnsi" w:hAnsiTheme="majorHAnsi"/>
          <w:sz w:val="20"/>
          <w:szCs w:val="20"/>
        </w:rPr>
        <w:t xml:space="preserve"> </w:t>
      </w:r>
      <w:r w:rsidR="00B920CA" w:rsidRPr="00A51861">
        <w:rPr>
          <w:rFonts w:asciiTheme="majorHAnsi" w:hAnsiTheme="majorHAnsi"/>
          <w:sz w:val="20"/>
          <w:szCs w:val="20"/>
        </w:rPr>
        <w:t>limitations</w:t>
      </w:r>
      <w:r w:rsidR="003D6857" w:rsidRPr="00A51861">
        <w:rPr>
          <w:rFonts w:asciiTheme="majorHAnsi" w:hAnsiTheme="majorHAnsi"/>
          <w:sz w:val="20"/>
          <w:szCs w:val="20"/>
        </w:rPr>
        <w:t xml:space="preserve"> imp</w:t>
      </w:r>
      <w:r w:rsidR="00B920CA">
        <w:rPr>
          <w:rFonts w:asciiTheme="majorHAnsi" w:hAnsiTheme="majorHAnsi"/>
          <w:sz w:val="20"/>
          <w:szCs w:val="20"/>
        </w:rPr>
        <w:t>osed</w:t>
      </w:r>
      <w:r w:rsidR="003D6857" w:rsidRPr="00A51861">
        <w:rPr>
          <w:rFonts w:asciiTheme="majorHAnsi" w:hAnsiTheme="majorHAnsi"/>
          <w:sz w:val="20"/>
          <w:szCs w:val="20"/>
        </w:rPr>
        <w:t xml:space="preserve"> </w:t>
      </w:r>
      <w:r w:rsidR="00B920CA">
        <w:rPr>
          <w:rFonts w:asciiTheme="majorHAnsi" w:hAnsiTheme="majorHAnsi"/>
          <w:sz w:val="20"/>
          <w:szCs w:val="20"/>
        </w:rPr>
        <w:t>be</w:t>
      </w:r>
      <w:r w:rsidR="003D6857" w:rsidRPr="00A51861">
        <w:rPr>
          <w:rFonts w:asciiTheme="majorHAnsi" w:hAnsiTheme="majorHAnsi"/>
          <w:sz w:val="20"/>
          <w:szCs w:val="20"/>
        </w:rPr>
        <w:t xml:space="preserve"> </w:t>
      </w:r>
      <w:r w:rsidR="00B920CA">
        <w:rPr>
          <w:rFonts w:asciiTheme="majorHAnsi" w:hAnsiTheme="majorHAnsi"/>
          <w:sz w:val="20"/>
          <w:szCs w:val="20"/>
        </w:rPr>
        <w:t>legitimate</w:t>
      </w:r>
      <w:r w:rsidR="00E92985">
        <w:rPr>
          <w:rFonts w:asciiTheme="majorHAnsi" w:hAnsiTheme="majorHAnsi"/>
          <w:sz w:val="20"/>
          <w:szCs w:val="20"/>
        </w:rPr>
        <w:t xml:space="preserve"> </w:t>
      </w:r>
      <w:r w:rsidR="00B920CA">
        <w:rPr>
          <w:rFonts w:asciiTheme="majorHAnsi" w:hAnsiTheme="majorHAnsi"/>
          <w:sz w:val="20"/>
          <w:szCs w:val="20"/>
        </w:rPr>
        <w:t>according to</w:t>
      </w:r>
      <w:r w:rsidR="009A4F91">
        <w:rPr>
          <w:rFonts w:asciiTheme="majorHAnsi" w:hAnsiTheme="majorHAnsi"/>
          <w:sz w:val="20"/>
          <w:szCs w:val="20"/>
        </w:rPr>
        <w:t xml:space="preserve"> the </w:t>
      </w:r>
      <w:r w:rsidR="00B920CA">
        <w:rPr>
          <w:rFonts w:asciiTheme="majorHAnsi" w:hAnsiTheme="majorHAnsi"/>
          <w:sz w:val="20"/>
          <w:szCs w:val="20"/>
        </w:rPr>
        <w:t>American Convention</w:t>
      </w:r>
      <w:r w:rsidR="003D6857" w:rsidRPr="00A51861">
        <w:rPr>
          <w:rStyle w:val="FootnoteReference"/>
          <w:rFonts w:asciiTheme="majorHAnsi" w:hAnsiTheme="majorHAnsi"/>
          <w:sz w:val="20"/>
          <w:szCs w:val="20"/>
        </w:rPr>
        <w:footnoteReference w:id="163"/>
      </w:r>
      <w:r w:rsidR="003D6857" w:rsidRPr="00A51861">
        <w:rPr>
          <w:rFonts w:asciiTheme="majorHAnsi" w:hAnsiTheme="majorHAnsi"/>
          <w:sz w:val="20"/>
          <w:szCs w:val="20"/>
        </w:rPr>
        <w:t>.</w:t>
      </w:r>
    </w:p>
    <w:p w14:paraId="50BEEDF3" w14:textId="77777777" w:rsidR="00773B3C" w:rsidRPr="00A51861" w:rsidRDefault="00773B3C" w:rsidP="008E4D3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libri" w:hAnsi="Cambria"/>
          <w:sz w:val="20"/>
          <w:szCs w:val="20"/>
          <w:bdr w:val="none" w:sz="0" w:space="0" w:color="auto"/>
        </w:rPr>
      </w:pPr>
    </w:p>
    <w:p w14:paraId="47BB62AA" w14:textId="7625D2EF" w:rsidR="00080010" w:rsidRPr="00A51861" w:rsidRDefault="00964D74" w:rsidP="00273F34">
      <w:pPr>
        <w:pStyle w:val="Heading3"/>
        <w:keepNext/>
        <w:numPr>
          <w:ilvl w:val="0"/>
          <w:numId w:val="73"/>
        </w:numPr>
        <w:spacing w:line="240" w:lineRule="auto"/>
        <w:jc w:val="left"/>
        <w:rPr>
          <w:bdr w:val="none" w:sz="0" w:space="0" w:color="auto"/>
          <w:lang w:val="en-US"/>
        </w:rPr>
      </w:pPr>
      <w:bookmarkStart w:id="24" w:name="_Toc196383488"/>
      <w:r w:rsidRPr="00A51861">
        <w:rPr>
          <w:bdr w:val="none" w:sz="0" w:space="0" w:color="auto"/>
          <w:lang w:val="en-US"/>
        </w:rPr>
        <w:t>Analysis</w:t>
      </w:r>
      <w:r w:rsidR="004969F4">
        <w:rPr>
          <w:bdr w:val="none" w:sz="0" w:space="0" w:color="auto"/>
          <w:lang w:val="en-US"/>
        </w:rPr>
        <w:t xml:space="preserve"> of the </w:t>
      </w:r>
      <w:r>
        <w:rPr>
          <w:bdr w:val="none" w:sz="0" w:space="0" w:color="auto"/>
          <w:lang w:val="en-US"/>
        </w:rPr>
        <w:t>concrete case of</w:t>
      </w:r>
      <w:r w:rsidR="00E92985">
        <w:rPr>
          <w:bdr w:val="none" w:sz="0" w:space="0" w:color="auto"/>
          <w:lang w:val="en-US"/>
        </w:rPr>
        <w:t xml:space="preserve"> </w:t>
      </w:r>
      <w:r>
        <w:rPr>
          <w:bdr w:val="none" w:sz="0" w:space="0" w:color="auto"/>
          <w:lang w:val="en-US"/>
        </w:rPr>
        <w:t>Mr. Julio César Rito and Mr. Hugo Daniel Ferreira</w:t>
      </w:r>
      <w:bookmarkEnd w:id="24"/>
    </w:p>
    <w:p w14:paraId="7AC4E700" w14:textId="77777777" w:rsidR="00080010" w:rsidRPr="00A51861" w:rsidRDefault="00080010" w:rsidP="008E4D36">
      <w:pPr>
        <w:pStyle w:val="ListParagraph"/>
        <w:rPr>
          <w:rFonts w:eastAsia="Calibri"/>
          <w:sz w:val="20"/>
          <w:szCs w:val="20"/>
          <w:bdr w:val="none" w:sz="0" w:space="0" w:color="auto"/>
        </w:rPr>
      </w:pPr>
    </w:p>
    <w:p w14:paraId="6EDEE3A2" w14:textId="0E0F1088" w:rsidR="00773B3C" w:rsidRPr="00A51861" w:rsidRDefault="00160A67"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eastAsia="Calibri" w:hAnsi="Cambria"/>
          <w:sz w:val="20"/>
          <w:szCs w:val="20"/>
          <w:bdr w:val="none" w:sz="0" w:space="0" w:color="auto"/>
        </w:rPr>
      </w:pPr>
      <w:r>
        <w:rPr>
          <w:rFonts w:ascii="Cambria" w:eastAsia="Calibri" w:hAnsi="Cambria"/>
          <w:sz w:val="20"/>
          <w:szCs w:val="20"/>
          <w:bdr w:val="none" w:sz="0" w:space="0" w:color="auto"/>
        </w:rPr>
        <w:t>According to</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official police documents addressed to</w:t>
      </w:r>
      <w:r w:rsidR="00773B3C" w:rsidRPr="00A51861">
        <w:rPr>
          <w:rFonts w:ascii="Cambria" w:eastAsia="Calibri" w:hAnsi="Cambria"/>
          <w:sz w:val="20"/>
          <w:szCs w:val="20"/>
          <w:bdr w:val="none" w:sz="0" w:space="0" w:color="auto"/>
        </w:rPr>
        <w:t xml:space="preserve"> </w:t>
      </w:r>
      <w:r w:rsidR="0026043F">
        <w:rPr>
          <w:rFonts w:ascii="Cambria" w:eastAsia="Calibri" w:hAnsi="Cambria"/>
          <w:sz w:val="20"/>
          <w:szCs w:val="20"/>
          <w:bdr w:val="none" w:sz="0" w:space="0" w:color="auto"/>
        </w:rPr>
        <w:t>the</w:t>
      </w:r>
      <w:r w:rsidR="00185E46">
        <w:rPr>
          <w:rFonts w:ascii="Cambria" w:eastAsia="Calibri" w:hAnsi="Cambria"/>
          <w:sz w:val="20"/>
          <w:szCs w:val="20"/>
          <w:bdr w:val="none" w:sz="0" w:space="0" w:color="auto"/>
        </w:rPr>
        <w:t xml:space="preserve"> NDM</w:t>
      </w:r>
      <w:r w:rsidR="00773B3C" w:rsidRPr="00A51861">
        <w:rPr>
          <w:rFonts w:ascii="Cambria" w:eastAsia="Calibri" w:hAnsi="Cambria"/>
          <w:sz w:val="20"/>
          <w:szCs w:val="20"/>
          <w:highlight w:val="yellow"/>
          <w:bdr w:val="none" w:sz="0" w:space="0" w:color="auto"/>
        </w:rPr>
        <w:t>,</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the arrest</w:t>
      </w:r>
      <w:r w:rsidR="00E92985">
        <w:rPr>
          <w:rFonts w:ascii="Cambria" w:eastAsia="Calibri" w:hAnsi="Cambria"/>
          <w:sz w:val="20"/>
          <w:szCs w:val="20"/>
          <w:bdr w:val="none" w:sz="0" w:space="0" w:color="auto"/>
        </w:rPr>
        <w:t xml:space="preserve"> and</w:t>
      </w:r>
      <w:r w:rsidR="009A4F91">
        <w:rPr>
          <w:rFonts w:ascii="Cambria" w:eastAsia="Calibri" w:hAnsi="Cambria"/>
          <w:sz w:val="20"/>
          <w:szCs w:val="20"/>
          <w:bdr w:val="none" w:sz="0" w:space="0" w:color="auto"/>
        </w:rPr>
        <w:t xml:space="preserve"> </w:t>
      </w:r>
      <w:r w:rsidR="006E255A">
        <w:rPr>
          <w:rFonts w:ascii="Cambria" w:eastAsia="Calibri" w:hAnsi="Cambria"/>
          <w:sz w:val="20"/>
          <w:szCs w:val="20"/>
          <w:bdr w:val="none" w:sz="0" w:space="0" w:color="auto"/>
        </w:rPr>
        <w:t>detention</w:t>
      </w:r>
      <w:r w:rsidR="00E92985">
        <w:rPr>
          <w:rFonts w:ascii="Cambria" w:eastAsia="Calibri" w:hAnsi="Cambria"/>
          <w:sz w:val="20"/>
          <w:szCs w:val="20"/>
          <w:bdr w:val="none" w:sz="0" w:space="0" w:color="auto"/>
        </w:rPr>
        <w:t xml:space="preserve"> of </w:t>
      </w:r>
      <w:r>
        <w:rPr>
          <w:rFonts w:ascii="Cambria" w:eastAsia="Calibri" w:hAnsi="Cambria"/>
          <w:sz w:val="20"/>
          <w:szCs w:val="20"/>
          <w:bdr w:val="none" w:sz="0" w:space="0" w:color="auto"/>
        </w:rPr>
        <w:t>Mr.</w:t>
      </w:r>
      <w:r w:rsidR="00773B3C" w:rsidRPr="00A51861">
        <w:rPr>
          <w:rFonts w:ascii="Cambria" w:eastAsia="Calibri" w:hAnsi="Cambria"/>
          <w:sz w:val="20"/>
          <w:szCs w:val="20"/>
          <w:bdr w:val="none" w:sz="0" w:space="0" w:color="auto"/>
        </w:rPr>
        <w:t xml:space="preserve"> Julio César </w:t>
      </w:r>
      <w:r w:rsidR="00B01A54">
        <w:rPr>
          <w:rFonts w:ascii="Cambria" w:eastAsia="Calibri" w:hAnsi="Cambria"/>
          <w:sz w:val="20"/>
          <w:szCs w:val="20"/>
          <w:bdr w:val="none" w:sz="0" w:space="0" w:color="auto"/>
        </w:rPr>
        <w:t xml:space="preserve">Rito de los Santos </w:t>
      </w:r>
      <w:r w:rsidR="00E92985">
        <w:rPr>
          <w:rFonts w:ascii="Cambria" w:eastAsia="Calibri" w:hAnsi="Cambria"/>
          <w:sz w:val="20"/>
          <w:szCs w:val="20"/>
          <w:bdr w:val="none" w:sz="0" w:space="0" w:color="auto"/>
        </w:rPr>
        <w:t xml:space="preserve">and </w:t>
      </w:r>
      <w:r>
        <w:rPr>
          <w:rFonts w:ascii="Cambria" w:eastAsia="Calibri" w:hAnsi="Cambria"/>
          <w:sz w:val="20"/>
          <w:szCs w:val="20"/>
          <w:bdr w:val="none" w:sz="0" w:space="0" w:color="auto"/>
        </w:rPr>
        <w:t xml:space="preserve">Mr. </w:t>
      </w:r>
      <w:r w:rsidR="00773B3C" w:rsidRPr="00A51861">
        <w:rPr>
          <w:rFonts w:ascii="Cambria" w:eastAsia="Calibri" w:hAnsi="Cambria"/>
          <w:sz w:val="20"/>
          <w:szCs w:val="20"/>
          <w:bdr w:val="none" w:sz="0" w:space="0" w:color="auto"/>
        </w:rPr>
        <w:t xml:space="preserve">Hugo Daniel Ferreira, </w:t>
      </w:r>
      <w:r>
        <w:rPr>
          <w:rFonts w:ascii="Cambria" w:eastAsia="Calibri" w:hAnsi="Cambria"/>
          <w:sz w:val="20"/>
          <w:szCs w:val="20"/>
          <w:bdr w:val="none" w:sz="0" w:space="0" w:color="auto"/>
        </w:rPr>
        <w:t>were conducted due to the</w:t>
      </w:r>
      <w:r w:rsidR="00E92985">
        <w:rPr>
          <w:rFonts w:ascii="Cambria" w:eastAsia="Calibri" w:hAnsi="Cambria"/>
          <w:sz w:val="20"/>
          <w:szCs w:val="20"/>
          <w:bdr w:val="none" w:sz="0" w:space="0" w:color="auto"/>
        </w:rPr>
        <w:t xml:space="preserve"> of the </w:t>
      </w:r>
      <w:r>
        <w:rPr>
          <w:rFonts w:ascii="Cambria" w:eastAsia="Calibri" w:hAnsi="Cambria"/>
          <w:sz w:val="20"/>
          <w:szCs w:val="20"/>
          <w:bdr w:val="none" w:sz="0" w:space="0" w:color="auto"/>
        </w:rPr>
        <w:t>infringement</w:t>
      </w:r>
      <w:r w:rsidR="00E92985">
        <w:rPr>
          <w:rFonts w:ascii="Cambria" w:eastAsia="Calibri" w:hAnsi="Cambria"/>
          <w:sz w:val="20"/>
          <w:szCs w:val="20"/>
          <w:bdr w:val="none" w:sz="0" w:space="0" w:color="auto"/>
        </w:rPr>
        <w:t xml:space="preserve"> of </w:t>
      </w:r>
      <w:r w:rsidR="00A40660">
        <w:rPr>
          <w:rFonts w:ascii="Cambria" w:eastAsia="Calibri" w:hAnsi="Cambria"/>
          <w:sz w:val="20"/>
          <w:szCs w:val="20"/>
          <w:bdr w:val="none" w:sz="0" w:space="0" w:color="auto"/>
        </w:rPr>
        <w:t xml:space="preserve">Police decrees </w:t>
      </w:r>
      <w:r>
        <w:rPr>
          <w:rFonts w:ascii="Cambria" w:eastAsia="Calibri" w:hAnsi="Cambria"/>
          <w:sz w:val="20"/>
          <w:szCs w:val="20"/>
          <w:bdr w:val="none" w:sz="0" w:space="0" w:color="auto"/>
        </w:rPr>
        <w:lastRenderedPageBreak/>
        <w:t>on</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public assemblies</w:t>
      </w:r>
      <w:r w:rsidR="00773B3C" w:rsidRPr="00A51861">
        <w:rPr>
          <w:rFonts w:ascii="Cambria" w:eastAsia="Calibri" w:hAnsi="Cambria"/>
          <w:sz w:val="20"/>
          <w:szCs w:val="20"/>
          <w:bdr w:val="none" w:sz="0" w:space="0" w:color="auto"/>
        </w:rPr>
        <w:t>”</w:t>
      </w:r>
      <w:r w:rsidR="00E92985">
        <w:rPr>
          <w:rFonts w:ascii="Cambria" w:eastAsia="Calibri" w:hAnsi="Cambria"/>
          <w:sz w:val="20"/>
          <w:szCs w:val="20"/>
          <w:bdr w:val="none" w:sz="0" w:space="0" w:color="auto"/>
        </w:rPr>
        <w:t xml:space="preserve"> and </w:t>
      </w:r>
      <w:r w:rsidR="00773B3C" w:rsidRPr="00A51861">
        <w:rPr>
          <w:rFonts w:ascii="Cambria" w:eastAsia="Calibri" w:hAnsi="Cambria"/>
          <w:sz w:val="20"/>
          <w:szCs w:val="20"/>
          <w:bdr w:val="none" w:sz="0" w:space="0" w:color="auto"/>
        </w:rPr>
        <w:t>“</w:t>
      </w:r>
      <w:r w:rsidR="00BE5683">
        <w:rPr>
          <w:rFonts w:ascii="Cambria" w:eastAsia="Calibri" w:hAnsi="Cambria"/>
          <w:sz w:val="20"/>
          <w:szCs w:val="20"/>
          <w:bdr w:val="none" w:sz="0" w:space="0" w:color="auto"/>
        </w:rPr>
        <w:t>public security</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having been imposed the sentence of</w:t>
      </w:r>
      <w:r w:rsidR="00E92985">
        <w:rPr>
          <w:rFonts w:ascii="Cambria" w:eastAsia="Calibri" w:hAnsi="Cambria"/>
          <w:sz w:val="20"/>
          <w:szCs w:val="20"/>
          <w:bdr w:val="none" w:sz="0" w:space="0" w:color="auto"/>
        </w:rPr>
        <w:t xml:space="preserve"> </w:t>
      </w:r>
      <w:r w:rsidR="00773B3C" w:rsidRPr="00A51861">
        <w:rPr>
          <w:rFonts w:ascii="Cambria" w:eastAsia="Calibri" w:hAnsi="Cambria"/>
          <w:sz w:val="20"/>
          <w:szCs w:val="20"/>
          <w:bdr w:val="none" w:sz="0" w:space="0" w:color="auto"/>
        </w:rPr>
        <w:t>30</w:t>
      </w:r>
      <w:r w:rsidR="00554208">
        <w:rPr>
          <w:rFonts w:ascii="Cambria" w:eastAsia="Calibri" w:hAnsi="Cambria"/>
          <w:sz w:val="20"/>
          <w:szCs w:val="20"/>
          <w:bdr w:val="none" w:sz="0" w:space="0" w:color="auto"/>
        </w:rPr>
        <w:t xml:space="preserve"> days</w:t>
      </w:r>
      <w:r w:rsidR="00E92985">
        <w:rPr>
          <w:rFonts w:ascii="Cambria" w:eastAsia="Calibri" w:hAnsi="Cambria"/>
          <w:sz w:val="20"/>
          <w:szCs w:val="20"/>
          <w:bdr w:val="none" w:sz="0" w:space="0" w:color="auto"/>
        </w:rPr>
        <w:t xml:space="preserve"> of </w:t>
      </w:r>
      <w:r>
        <w:rPr>
          <w:rFonts w:ascii="Cambria" w:eastAsia="Calibri" w:hAnsi="Cambria"/>
          <w:sz w:val="20"/>
          <w:szCs w:val="20"/>
          <w:bdr w:val="none" w:sz="0" w:space="0" w:color="auto"/>
        </w:rPr>
        <w:t>arrest</w:t>
      </w:r>
      <w:r w:rsidR="00773B3C" w:rsidRPr="00A51861">
        <w:rPr>
          <w:rFonts w:ascii="Cambria" w:eastAsia="Calibri" w:hAnsi="Cambria"/>
          <w:sz w:val="20"/>
          <w:szCs w:val="20"/>
          <w:bdr w:val="none" w:sz="0" w:space="0" w:color="auto"/>
        </w:rPr>
        <w:t xml:space="preserve"> </w:t>
      </w:r>
      <w:r w:rsidRPr="00A51861">
        <w:rPr>
          <w:rFonts w:ascii="Cambria" w:eastAsia="Calibri" w:hAnsi="Cambria"/>
          <w:sz w:val="20"/>
          <w:szCs w:val="20"/>
          <w:bdr w:val="none" w:sz="0" w:space="0" w:color="auto"/>
        </w:rPr>
        <w:t>no</w:t>
      </w:r>
      <w:r>
        <w:rPr>
          <w:rFonts w:ascii="Cambria" w:eastAsia="Calibri" w:hAnsi="Cambria"/>
          <w:sz w:val="20"/>
          <w:szCs w:val="20"/>
          <w:bdr w:val="none" w:sz="0" w:space="0" w:color="auto"/>
        </w:rPr>
        <w:t>n</w:t>
      </w:r>
      <w:r w:rsidRPr="00A51861">
        <w:rPr>
          <w:rFonts w:ascii="Cambria" w:eastAsia="Calibri" w:hAnsi="Cambria"/>
          <w:sz w:val="20"/>
          <w:szCs w:val="20"/>
          <w:bdr w:val="none" w:sz="0" w:space="0" w:color="auto"/>
        </w:rPr>
        <w:t>-</w:t>
      </w:r>
      <w:r w:rsidRPr="00A51861">
        <w:rPr>
          <w:rFonts w:ascii="Cambria" w:hAnsi="Cambria"/>
          <w:color w:val="000000" w:themeColor="text1"/>
          <w:sz w:val="20"/>
          <w:szCs w:val="20"/>
        </w:rPr>
        <w:t>redeemable</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through payment of bail or fine</w:t>
      </w:r>
      <w:r w:rsidR="00785686" w:rsidRPr="00A51861">
        <w:rPr>
          <w:rStyle w:val="FootnoteReference"/>
          <w:rFonts w:ascii="Cambria" w:eastAsia="Calibri" w:hAnsi="Cambria"/>
          <w:sz w:val="20"/>
          <w:szCs w:val="20"/>
          <w:bdr w:val="none" w:sz="0" w:space="0" w:color="auto"/>
        </w:rPr>
        <w:footnoteReference w:id="164"/>
      </w:r>
      <w:r w:rsidR="00773B3C" w:rsidRPr="00A51861">
        <w:rPr>
          <w:rFonts w:ascii="Cambria" w:eastAsia="Calibri" w:hAnsi="Cambria"/>
          <w:sz w:val="20"/>
          <w:szCs w:val="20"/>
          <w:bdr w:val="none" w:sz="0" w:space="0" w:color="auto"/>
        </w:rPr>
        <w:t>.</w:t>
      </w:r>
      <w:r w:rsidR="00E92985">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 xml:space="preserve">From </w:t>
      </w:r>
      <w:r w:rsidR="006A3C04">
        <w:rPr>
          <w:rFonts w:ascii="Cambria" w:eastAsia="Calibri" w:hAnsi="Cambria"/>
          <w:sz w:val="20"/>
          <w:szCs w:val="20"/>
          <w:bdr w:val="none" w:sz="0" w:space="0" w:color="auto"/>
        </w:rPr>
        <w:t>the facts</w:t>
      </w:r>
      <w:r w:rsidR="004969F4">
        <w:rPr>
          <w:rFonts w:ascii="Cambria" w:eastAsia="Calibri" w:hAnsi="Cambria"/>
          <w:sz w:val="20"/>
          <w:szCs w:val="20"/>
          <w:bdr w:val="none" w:sz="0" w:space="0" w:color="auto"/>
        </w:rPr>
        <w:t xml:space="preserve"> of the </w:t>
      </w:r>
      <w:r w:rsidR="00072D79" w:rsidRPr="00A51861">
        <w:rPr>
          <w:rFonts w:ascii="Cambria" w:eastAsia="Calibri" w:hAnsi="Cambria"/>
          <w:sz w:val="20"/>
          <w:szCs w:val="20"/>
          <w:bdr w:val="none" w:sz="0" w:space="0" w:color="auto"/>
        </w:rPr>
        <w:t>cas</w:t>
      </w:r>
      <w:r w:rsidR="00072D79">
        <w:rPr>
          <w:rFonts w:ascii="Cambria" w:eastAsia="Calibri" w:hAnsi="Cambria"/>
          <w:sz w:val="20"/>
          <w:szCs w:val="20"/>
          <w:bdr w:val="none" w:sz="0" w:space="0" w:color="auto"/>
        </w:rPr>
        <w:t>e,</w:t>
      </w:r>
      <w:r w:rsidR="00851B5B"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 xml:space="preserve">it is understood that </w:t>
      </w:r>
      <w:r w:rsidR="00E92985">
        <w:rPr>
          <w:rFonts w:ascii="Cambria" w:eastAsia="Calibri" w:hAnsi="Cambria"/>
          <w:sz w:val="20"/>
          <w:szCs w:val="20"/>
          <w:bdr w:val="none" w:sz="0" w:space="0" w:color="auto"/>
        </w:rPr>
        <w:t xml:space="preserve">the </w:t>
      </w:r>
      <w:r>
        <w:rPr>
          <w:rFonts w:ascii="Cambria" w:eastAsia="Calibri" w:hAnsi="Cambria"/>
          <w:sz w:val="20"/>
          <w:szCs w:val="20"/>
          <w:bdr w:val="none" w:sz="0" w:space="0" w:color="auto"/>
        </w:rPr>
        <w:t>only</w:t>
      </w:r>
      <w:r w:rsidR="00851B5B" w:rsidRPr="00A51861">
        <w:rPr>
          <w:rFonts w:ascii="Cambria" w:eastAsia="Calibri" w:hAnsi="Cambria"/>
          <w:sz w:val="20"/>
          <w:szCs w:val="20"/>
          <w:bdr w:val="none" w:sz="0" w:space="0" w:color="auto"/>
        </w:rPr>
        <w:t xml:space="preserve"> activi</w:t>
      </w:r>
      <w:r w:rsidR="00FA2E7B">
        <w:rPr>
          <w:rFonts w:ascii="Cambria" w:eastAsia="Calibri" w:hAnsi="Cambria"/>
          <w:sz w:val="20"/>
          <w:szCs w:val="20"/>
          <w:bdr w:val="none" w:sz="0" w:space="0" w:color="auto"/>
        </w:rPr>
        <w:t xml:space="preserve">ty </w:t>
      </w:r>
      <w:r w:rsidR="00072D79">
        <w:rPr>
          <w:rFonts w:ascii="Cambria" w:eastAsia="Calibri" w:hAnsi="Cambria"/>
          <w:sz w:val="20"/>
          <w:szCs w:val="20"/>
          <w:bdr w:val="none" w:sz="0" w:space="0" w:color="auto"/>
        </w:rPr>
        <w:t xml:space="preserve">that </w:t>
      </w:r>
      <w:r w:rsidR="002835FC" w:rsidRPr="00A51861">
        <w:rPr>
          <w:rFonts w:ascii="Cambria" w:eastAsia="Calibri" w:hAnsi="Cambria"/>
          <w:sz w:val="20"/>
          <w:szCs w:val="20"/>
          <w:bdr w:val="none" w:sz="0" w:space="0" w:color="auto"/>
        </w:rPr>
        <w:t>the alleged victims</w:t>
      </w:r>
      <w:r w:rsidR="00E92985">
        <w:rPr>
          <w:rFonts w:ascii="Cambria" w:eastAsia="Calibri" w:hAnsi="Cambria"/>
          <w:sz w:val="20"/>
          <w:szCs w:val="20"/>
          <w:bdr w:val="none" w:sz="0" w:space="0" w:color="auto"/>
        </w:rPr>
        <w:t xml:space="preserve"> </w:t>
      </w:r>
      <w:r w:rsidR="00072D79">
        <w:rPr>
          <w:rFonts w:ascii="Cambria" w:eastAsia="Calibri" w:hAnsi="Cambria"/>
          <w:sz w:val="20"/>
          <w:szCs w:val="20"/>
          <w:bdr w:val="none" w:sz="0" w:space="0" w:color="auto"/>
        </w:rPr>
        <w:t>were engaging in</w:t>
      </w:r>
      <w:r w:rsidR="00072D79" w:rsidRPr="00A51861">
        <w:rPr>
          <w:rFonts w:ascii="Cambria" w:eastAsia="Calibri" w:hAnsi="Cambria"/>
          <w:sz w:val="20"/>
          <w:szCs w:val="20"/>
          <w:bdr w:val="none" w:sz="0" w:space="0" w:color="auto"/>
        </w:rPr>
        <w:t xml:space="preserve"> </w:t>
      </w:r>
      <w:r w:rsidR="00E92985">
        <w:rPr>
          <w:rFonts w:ascii="Cambria" w:eastAsia="Calibri" w:hAnsi="Cambria"/>
          <w:sz w:val="20"/>
          <w:szCs w:val="20"/>
          <w:bdr w:val="none" w:sz="0" w:space="0" w:color="auto"/>
        </w:rPr>
        <w:t xml:space="preserve">and </w:t>
      </w:r>
      <w:r w:rsidR="00072D79">
        <w:rPr>
          <w:rFonts w:ascii="Cambria" w:eastAsia="Calibri" w:hAnsi="Cambria"/>
          <w:sz w:val="20"/>
          <w:szCs w:val="20"/>
          <w:bdr w:val="none" w:sz="0" w:space="0" w:color="auto"/>
        </w:rPr>
        <w:t>which caused their</w:t>
      </w:r>
      <w:r w:rsidR="00851B5B" w:rsidRPr="00A51861">
        <w:rPr>
          <w:rFonts w:ascii="Cambria" w:eastAsia="Calibri" w:hAnsi="Cambria"/>
          <w:sz w:val="20"/>
          <w:szCs w:val="20"/>
          <w:bdr w:val="none" w:sz="0" w:space="0" w:color="auto"/>
        </w:rPr>
        <w:t xml:space="preserve"> </w:t>
      </w:r>
      <w:r w:rsidR="006E255A">
        <w:rPr>
          <w:rFonts w:ascii="Cambria" w:eastAsia="Calibri" w:hAnsi="Cambria"/>
          <w:sz w:val="20"/>
          <w:szCs w:val="20"/>
          <w:bdr w:val="none" w:sz="0" w:space="0" w:color="auto"/>
        </w:rPr>
        <w:t>detention</w:t>
      </w:r>
      <w:r w:rsidR="00851B5B" w:rsidRPr="00A51861">
        <w:rPr>
          <w:rFonts w:ascii="Cambria" w:eastAsia="Calibri" w:hAnsi="Cambria"/>
          <w:sz w:val="20"/>
          <w:szCs w:val="20"/>
          <w:bdr w:val="none" w:sz="0" w:space="0" w:color="auto"/>
        </w:rPr>
        <w:t xml:space="preserve">, </w:t>
      </w:r>
      <w:r w:rsidR="00072D79">
        <w:rPr>
          <w:rFonts w:ascii="Cambria" w:eastAsia="Calibri" w:hAnsi="Cambria"/>
          <w:sz w:val="20"/>
          <w:szCs w:val="20"/>
          <w:bdr w:val="none" w:sz="0" w:space="0" w:color="auto"/>
        </w:rPr>
        <w:t>was to participate in a political assembly</w:t>
      </w:r>
      <w:r w:rsidR="001D1D61">
        <w:rPr>
          <w:rFonts w:ascii="Cambria" w:eastAsia="Calibri" w:hAnsi="Cambria"/>
          <w:sz w:val="20"/>
          <w:szCs w:val="20"/>
          <w:bdr w:val="none" w:sz="0" w:space="0" w:color="auto"/>
        </w:rPr>
        <w:t>. Th</w:t>
      </w:r>
      <w:r w:rsidR="009A4F91">
        <w:rPr>
          <w:rFonts w:ascii="Cambria" w:eastAsia="Calibri" w:hAnsi="Cambria"/>
          <w:sz w:val="20"/>
          <w:szCs w:val="20"/>
          <w:bdr w:val="none" w:sz="0" w:space="0" w:color="auto"/>
        </w:rPr>
        <w:t xml:space="preserve">e </w:t>
      </w:r>
      <w:r w:rsidR="00072D79">
        <w:rPr>
          <w:rFonts w:ascii="Cambria" w:eastAsia="Calibri" w:hAnsi="Cambria"/>
          <w:sz w:val="20"/>
          <w:szCs w:val="20"/>
          <w:bdr w:val="none" w:sz="0" w:space="0" w:color="auto"/>
        </w:rPr>
        <w:t xml:space="preserve">Inter-American Court </w:t>
      </w:r>
      <w:r w:rsidR="00664D70">
        <w:rPr>
          <w:rFonts w:ascii="Cambria" w:eastAsia="Calibri" w:hAnsi="Cambria"/>
          <w:sz w:val="20"/>
          <w:szCs w:val="20"/>
          <w:bdr w:val="none" w:sz="0" w:space="0" w:color="auto"/>
        </w:rPr>
        <w:t>on Human Rights</w:t>
      </w:r>
      <w:r w:rsidR="00773B3C" w:rsidRPr="00A51861">
        <w:rPr>
          <w:rFonts w:ascii="Cambria" w:eastAsia="Calibri" w:hAnsi="Cambria"/>
          <w:sz w:val="20"/>
          <w:szCs w:val="20"/>
          <w:bdr w:val="none" w:sz="0" w:space="0" w:color="auto"/>
        </w:rPr>
        <w:t xml:space="preserve"> </w:t>
      </w:r>
      <w:r w:rsidR="00072D79">
        <w:rPr>
          <w:rFonts w:ascii="Cambria" w:eastAsia="Calibri" w:hAnsi="Cambria"/>
          <w:sz w:val="20"/>
          <w:szCs w:val="20"/>
          <w:bdr w:val="none" w:sz="0" w:space="0" w:color="auto"/>
        </w:rPr>
        <w:t>has already studied</w:t>
      </w:r>
      <w:r w:rsidR="009A4F91">
        <w:rPr>
          <w:rFonts w:ascii="Cambria" w:eastAsia="Calibri" w:hAnsi="Cambria"/>
          <w:sz w:val="20"/>
          <w:szCs w:val="20"/>
          <w:bdr w:val="none" w:sz="0" w:space="0" w:color="auto"/>
        </w:rPr>
        <w:t xml:space="preserve"> the </w:t>
      </w:r>
      <w:r w:rsidR="00773B3C" w:rsidRPr="00A51861">
        <w:rPr>
          <w:rFonts w:ascii="Cambria" w:eastAsia="Calibri" w:hAnsi="Cambria"/>
          <w:sz w:val="20"/>
          <w:szCs w:val="20"/>
          <w:bdr w:val="none" w:sz="0" w:space="0" w:color="auto"/>
        </w:rPr>
        <w:t>legali</w:t>
      </w:r>
      <w:r w:rsidR="00FA2E7B">
        <w:rPr>
          <w:rFonts w:ascii="Cambria" w:eastAsia="Calibri" w:hAnsi="Cambria"/>
          <w:sz w:val="20"/>
          <w:szCs w:val="20"/>
          <w:bdr w:val="none" w:sz="0" w:space="0" w:color="auto"/>
        </w:rPr>
        <w:t xml:space="preserve">ty </w:t>
      </w:r>
      <w:r w:rsidR="00E92985">
        <w:rPr>
          <w:rFonts w:ascii="Cambria" w:eastAsia="Calibri" w:hAnsi="Cambria"/>
          <w:sz w:val="20"/>
          <w:szCs w:val="20"/>
          <w:bdr w:val="none" w:sz="0" w:space="0" w:color="auto"/>
        </w:rPr>
        <w:t xml:space="preserve">of </w:t>
      </w:r>
      <w:r w:rsidR="00072D79">
        <w:rPr>
          <w:rFonts w:ascii="Cambria" w:eastAsia="Calibri" w:hAnsi="Cambria"/>
          <w:sz w:val="20"/>
          <w:szCs w:val="20"/>
          <w:bdr w:val="none" w:sz="0" w:space="0" w:color="auto"/>
        </w:rPr>
        <w:t xml:space="preserve">the </w:t>
      </w:r>
      <w:r w:rsidR="00A75646">
        <w:rPr>
          <w:rFonts w:ascii="Cambria" w:eastAsia="Calibri" w:hAnsi="Cambria"/>
          <w:sz w:val="20"/>
          <w:szCs w:val="20"/>
          <w:bdr w:val="none" w:sz="0" w:space="0" w:color="auto"/>
        </w:rPr>
        <w:t>detentions</w:t>
      </w:r>
      <w:r w:rsidR="00773B3C" w:rsidRPr="00A51861">
        <w:rPr>
          <w:rFonts w:ascii="Cambria" w:eastAsia="Calibri" w:hAnsi="Cambria"/>
          <w:sz w:val="20"/>
          <w:szCs w:val="20"/>
          <w:bdr w:val="none" w:sz="0" w:space="0" w:color="auto"/>
        </w:rPr>
        <w:t xml:space="preserve"> </w:t>
      </w:r>
      <w:r w:rsidR="00072D79">
        <w:rPr>
          <w:rFonts w:ascii="Cambria" w:eastAsia="Calibri" w:hAnsi="Cambria"/>
          <w:sz w:val="20"/>
          <w:szCs w:val="20"/>
          <w:bdr w:val="none" w:sz="0" w:space="0" w:color="auto"/>
        </w:rPr>
        <w:t>performed in the application</w:t>
      </w:r>
      <w:r w:rsidR="00E92985">
        <w:rPr>
          <w:rFonts w:ascii="Cambria" w:eastAsia="Calibri" w:hAnsi="Cambria"/>
          <w:sz w:val="20"/>
          <w:szCs w:val="20"/>
          <w:bdr w:val="none" w:sz="0" w:space="0" w:color="auto"/>
        </w:rPr>
        <w:t xml:space="preserve"> of</w:t>
      </w:r>
      <w:r w:rsidR="00E64C43">
        <w:rPr>
          <w:rFonts w:ascii="Cambria" w:eastAsia="Calibri" w:hAnsi="Cambria"/>
          <w:sz w:val="20"/>
          <w:szCs w:val="20"/>
          <w:bdr w:val="none" w:sz="0" w:space="0" w:color="auto"/>
        </w:rPr>
        <w:t xml:space="preserve"> these </w:t>
      </w:r>
      <w:r w:rsidR="00A40660">
        <w:rPr>
          <w:rFonts w:ascii="Cambria" w:eastAsia="Calibri" w:hAnsi="Cambria"/>
          <w:sz w:val="20"/>
          <w:szCs w:val="20"/>
          <w:bdr w:val="none" w:sz="0" w:space="0" w:color="auto"/>
        </w:rPr>
        <w:t xml:space="preserve">Police decrees </w:t>
      </w:r>
      <w:r w:rsidR="00072D79">
        <w:rPr>
          <w:rFonts w:ascii="Cambria" w:eastAsia="Calibri" w:hAnsi="Cambria"/>
          <w:sz w:val="20"/>
          <w:szCs w:val="20"/>
          <w:bdr w:val="none" w:sz="0" w:space="0" w:color="auto"/>
        </w:rPr>
        <w:t xml:space="preserve">in </w:t>
      </w:r>
      <w:r w:rsidR="00773B3C" w:rsidRPr="00A51861">
        <w:rPr>
          <w:rFonts w:ascii="Cambria" w:eastAsia="Calibri" w:hAnsi="Cambria"/>
          <w:sz w:val="20"/>
          <w:szCs w:val="20"/>
          <w:bdr w:val="none" w:sz="0" w:space="0" w:color="auto"/>
        </w:rPr>
        <w:t xml:space="preserve">Argentina, </w:t>
      </w:r>
      <w:r w:rsidR="00072D79">
        <w:rPr>
          <w:rFonts w:ascii="Cambria" w:eastAsia="Calibri" w:hAnsi="Cambria"/>
          <w:sz w:val="20"/>
          <w:szCs w:val="20"/>
          <w:bdr w:val="none" w:sz="0" w:space="0" w:color="auto"/>
        </w:rPr>
        <w:t>the procedure of which was set forth in the</w:t>
      </w:r>
      <w:r w:rsidR="00773B3C" w:rsidRPr="00A51861">
        <w:rPr>
          <w:rFonts w:ascii="Cambria" w:eastAsia="Calibri" w:hAnsi="Cambria"/>
          <w:sz w:val="20"/>
          <w:szCs w:val="20"/>
          <w:bdr w:val="none" w:sz="0" w:space="0" w:color="auto"/>
        </w:rPr>
        <w:t xml:space="preserve"> </w:t>
      </w:r>
      <w:r w:rsidR="00072D79">
        <w:rPr>
          <w:rFonts w:ascii="Cambria" w:eastAsia="Calibri" w:hAnsi="Cambria"/>
          <w:sz w:val="20"/>
          <w:szCs w:val="20"/>
          <w:bdr w:val="none" w:sz="0" w:space="0" w:color="auto"/>
        </w:rPr>
        <w:t>Rules for</w:t>
      </w:r>
      <w:r w:rsidR="00E92985">
        <w:rPr>
          <w:rFonts w:ascii="Cambria" w:eastAsia="Calibri" w:hAnsi="Cambria"/>
          <w:sz w:val="20"/>
          <w:szCs w:val="20"/>
          <w:bdr w:val="none" w:sz="0" w:space="0" w:color="auto"/>
        </w:rPr>
        <w:t xml:space="preserve"> </w:t>
      </w:r>
      <w:r w:rsidR="00072D79" w:rsidRPr="00A51861">
        <w:rPr>
          <w:rFonts w:ascii="Cambria" w:eastAsia="Calibri" w:hAnsi="Cambria"/>
          <w:sz w:val="20"/>
          <w:szCs w:val="20"/>
          <w:bdr w:val="none" w:sz="0" w:space="0" w:color="auto"/>
        </w:rPr>
        <w:t>Contraven</w:t>
      </w:r>
      <w:r w:rsidR="00072D79">
        <w:rPr>
          <w:rFonts w:ascii="Cambria" w:eastAsia="Calibri" w:hAnsi="Cambria"/>
          <w:sz w:val="20"/>
          <w:szCs w:val="20"/>
          <w:bdr w:val="none" w:sz="0" w:space="0" w:color="auto"/>
        </w:rPr>
        <w:t xml:space="preserve">tion </w:t>
      </w:r>
      <w:r w:rsidR="00773B3C" w:rsidRPr="00A51861">
        <w:rPr>
          <w:rFonts w:ascii="Cambria" w:eastAsia="Calibri" w:hAnsi="Cambria"/>
          <w:sz w:val="20"/>
          <w:szCs w:val="20"/>
          <w:bdr w:val="none" w:sz="0" w:space="0" w:color="auto"/>
        </w:rPr>
        <w:t>Proced</w:t>
      </w:r>
      <w:r w:rsidR="00072D79">
        <w:rPr>
          <w:rFonts w:ascii="Cambria" w:eastAsia="Calibri" w:hAnsi="Cambria"/>
          <w:sz w:val="20"/>
          <w:szCs w:val="20"/>
          <w:bdr w:val="none" w:sz="0" w:space="0" w:color="auto"/>
        </w:rPr>
        <w:t>ure</w:t>
      </w:r>
      <w:r w:rsidR="00773B3C" w:rsidRPr="00A51861">
        <w:rPr>
          <w:rFonts w:ascii="Cambria" w:eastAsia="Calibri" w:hAnsi="Cambria"/>
          <w:sz w:val="20"/>
          <w:szCs w:val="20"/>
          <w:bdr w:val="none" w:sz="0" w:space="0" w:color="auto"/>
        </w:rPr>
        <w:t>s elabora</w:t>
      </w:r>
      <w:r w:rsidR="00072D79">
        <w:rPr>
          <w:rFonts w:ascii="Cambria" w:eastAsia="Calibri" w:hAnsi="Cambria"/>
          <w:sz w:val="20"/>
          <w:szCs w:val="20"/>
          <w:bdr w:val="none" w:sz="0" w:space="0" w:color="auto"/>
        </w:rPr>
        <w:t>ted by the head</w:t>
      </w:r>
      <w:r w:rsidR="00E92985">
        <w:rPr>
          <w:rFonts w:ascii="Cambria" w:eastAsia="Calibri" w:hAnsi="Cambria"/>
          <w:sz w:val="20"/>
          <w:szCs w:val="20"/>
          <w:bdr w:val="none" w:sz="0" w:space="0" w:color="auto"/>
        </w:rPr>
        <w:t xml:space="preserve"> of the </w:t>
      </w:r>
      <w:r w:rsidR="007749C7">
        <w:rPr>
          <w:rFonts w:ascii="Cambria" w:eastAsia="Calibri" w:hAnsi="Cambria"/>
          <w:sz w:val="20"/>
          <w:szCs w:val="20"/>
          <w:bdr w:val="none" w:sz="0" w:space="0" w:color="auto"/>
        </w:rPr>
        <w:t>Federal Police</w:t>
      </w:r>
      <w:r w:rsidR="001D1D61">
        <w:rPr>
          <w:rFonts w:ascii="Cambria" w:eastAsia="Calibri" w:hAnsi="Cambria"/>
          <w:sz w:val="20"/>
          <w:szCs w:val="20"/>
          <w:bdr w:val="none" w:sz="0" w:space="0" w:color="auto"/>
        </w:rPr>
        <w:t>. Th</w:t>
      </w:r>
      <w:r w:rsidR="009A4F91">
        <w:rPr>
          <w:rFonts w:ascii="Cambria" w:eastAsia="Calibri" w:hAnsi="Cambria"/>
          <w:sz w:val="20"/>
          <w:szCs w:val="20"/>
          <w:bdr w:val="none" w:sz="0" w:space="0" w:color="auto"/>
        </w:rPr>
        <w:t>is</w:t>
      </w:r>
      <w:r w:rsidR="00E64C43">
        <w:rPr>
          <w:rFonts w:ascii="Calibri" w:eastAsia="Calibri" w:hAnsi="Calibri"/>
          <w:sz w:val="22"/>
          <w:szCs w:val="22"/>
          <w:bdr w:val="none" w:sz="0" w:space="0" w:color="auto"/>
        </w:rPr>
        <w:t xml:space="preserve"> </w:t>
      </w:r>
      <w:r w:rsidR="00072D79" w:rsidRPr="00A51861">
        <w:rPr>
          <w:rFonts w:ascii="Cambria" w:eastAsia="Calibri" w:hAnsi="Cambria"/>
          <w:sz w:val="20"/>
          <w:szCs w:val="20"/>
          <w:bdr w:val="none" w:sz="0" w:space="0" w:color="auto"/>
        </w:rPr>
        <w:t>prerogative</w:t>
      </w:r>
      <w:r w:rsidR="00E92985">
        <w:rPr>
          <w:rFonts w:ascii="Cambria" w:eastAsia="Calibri" w:hAnsi="Cambria"/>
          <w:sz w:val="20"/>
          <w:szCs w:val="20"/>
          <w:bdr w:val="none" w:sz="0" w:space="0" w:color="auto"/>
        </w:rPr>
        <w:t xml:space="preserve"> of </w:t>
      </w:r>
      <w:r w:rsidR="00072D79" w:rsidRPr="00A51861">
        <w:rPr>
          <w:rFonts w:ascii="Cambria" w:eastAsia="Calibri" w:hAnsi="Cambria"/>
          <w:sz w:val="20"/>
          <w:szCs w:val="20"/>
          <w:bdr w:val="none" w:sz="0" w:space="0" w:color="auto"/>
        </w:rPr>
        <w:t>polic</w:t>
      </w:r>
      <w:r w:rsidR="00072D79">
        <w:rPr>
          <w:rFonts w:ascii="Cambria" w:eastAsia="Calibri" w:hAnsi="Cambria"/>
          <w:sz w:val="20"/>
          <w:szCs w:val="20"/>
          <w:bdr w:val="none" w:sz="0" w:space="0" w:color="auto"/>
        </w:rPr>
        <w:t>e</w:t>
      </w:r>
      <w:r w:rsidR="00072D79" w:rsidRPr="00A51861">
        <w:rPr>
          <w:rFonts w:ascii="Cambria" w:eastAsia="Calibri" w:hAnsi="Cambria"/>
          <w:sz w:val="20"/>
          <w:szCs w:val="20"/>
          <w:bdr w:val="none" w:sz="0" w:space="0" w:color="auto"/>
        </w:rPr>
        <w:t xml:space="preserve"> </w:t>
      </w:r>
      <w:r w:rsidR="006E255A">
        <w:rPr>
          <w:rFonts w:ascii="Cambria" w:eastAsia="Calibri" w:hAnsi="Cambria"/>
          <w:sz w:val="20"/>
          <w:szCs w:val="20"/>
          <w:bdr w:val="none" w:sz="0" w:space="0" w:color="auto"/>
        </w:rPr>
        <w:t>detention</w:t>
      </w:r>
      <w:r w:rsidR="00773B3C" w:rsidRPr="00A51861">
        <w:rPr>
          <w:rFonts w:ascii="Cambria" w:eastAsia="Calibri" w:hAnsi="Cambria"/>
          <w:sz w:val="20"/>
          <w:szCs w:val="20"/>
          <w:bdr w:val="none" w:sz="0" w:space="0" w:color="auto"/>
        </w:rPr>
        <w:t xml:space="preserve"> </w:t>
      </w:r>
      <w:r w:rsidR="00072D79">
        <w:rPr>
          <w:rFonts w:ascii="Cambria" w:eastAsia="Calibri" w:hAnsi="Cambria"/>
          <w:sz w:val="20"/>
          <w:szCs w:val="20"/>
          <w:bdr w:val="none" w:sz="0" w:space="0" w:color="auto"/>
        </w:rPr>
        <w:t>for</w:t>
      </w:r>
      <w:r w:rsidR="00773B3C" w:rsidRPr="00A51861">
        <w:rPr>
          <w:rFonts w:ascii="Cambria" w:eastAsia="Calibri" w:hAnsi="Cambria"/>
          <w:sz w:val="20"/>
          <w:szCs w:val="20"/>
          <w:bdr w:val="none" w:sz="0" w:space="0" w:color="auto"/>
        </w:rPr>
        <w:t xml:space="preserve"> </w:t>
      </w:r>
      <w:r w:rsidR="00072D79" w:rsidRPr="00A51861">
        <w:rPr>
          <w:rFonts w:ascii="Cambria" w:eastAsia="Calibri" w:hAnsi="Cambria"/>
          <w:sz w:val="20"/>
          <w:szCs w:val="20"/>
          <w:bdr w:val="none" w:sz="0" w:space="0" w:color="auto"/>
        </w:rPr>
        <w:t>application</w:t>
      </w:r>
      <w:r w:rsidR="00E92985">
        <w:rPr>
          <w:rFonts w:ascii="Cambria" w:eastAsia="Calibri" w:hAnsi="Cambria"/>
          <w:sz w:val="20"/>
          <w:szCs w:val="20"/>
          <w:bdr w:val="none" w:sz="0" w:space="0" w:color="auto"/>
        </w:rPr>
        <w:t xml:space="preserve"> of </w:t>
      </w:r>
      <w:r w:rsidR="00280367">
        <w:rPr>
          <w:rFonts w:ascii="Cambria" w:eastAsia="Calibri" w:hAnsi="Cambria"/>
          <w:sz w:val="20"/>
          <w:szCs w:val="20"/>
          <w:bdr w:val="none" w:sz="0" w:space="0" w:color="auto"/>
        </w:rPr>
        <w:t>decree</w:t>
      </w:r>
      <w:r w:rsidR="00773B3C" w:rsidRPr="00A51861">
        <w:rPr>
          <w:rFonts w:ascii="Cambria" w:eastAsia="Calibri" w:hAnsi="Cambria"/>
          <w:sz w:val="20"/>
          <w:szCs w:val="20"/>
          <w:bdr w:val="none" w:sz="0" w:space="0" w:color="auto"/>
        </w:rPr>
        <w:t>s co</w:t>
      </w:r>
      <w:r w:rsidR="00072D79">
        <w:rPr>
          <w:rFonts w:ascii="Cambria" w:eastAsia="Calibri" w:hAnsi="Cambria"/>
          <w:sz w:val="20"/>
          <w:szCs w:val="20"/>
          <w:bdr w:val="none" w:sz="0" w:space="0" w:color="auto"/>
        </w:rPr>
        <w:t>-</w:t>
      </w:r>
      <w:r w:rsidR="00773B3C" w:rsidRPr="00A51861">
        <w:rPr>
          <w:rFonts w:ascii="Cambria" w:eastAsia="Calibri" w:hAnsi="Cambria"/>
          <w:sz w:val="20"/>
          <w:szCs w:val="20"/>
          <w:bdr w:val="none" w:sz="0" w:space="0" w:color="auto"/>
        </w:rPr>
        <w:t>exist</w:t>
      </w:r>
      <w:r w:rsidR="00072D79">
        <w:rPr>
          <w:rFonts w:ascii="Cambria" w:eastAsia="Calibri" w:hAnsi="Cambria"/>
          <w:sz w:val="20"/>
          <w:szCs w:val="20"/>
          <w:bdr w:val="none" w:sz="0" w:space="0" w:color="auto"/>
        </w:rPr>
        <w:t>ed</w:t>
      </w:r>
      <w:r w:rsidR="00773B3C" w:rsidRPr="00A51861">
        <w:rPr>
          <w:rFonts w:ascii="Cambria" w:eastAsia="Calibri" w:hAnsi="Cambria"/>
          <w:sz w:val="20"/>
          <w:szCs w:val="20"/>
          <w:bdr w:val="none" w:sz="0" w:space="0" w:color="auto"/>
        </w:rPr>
        <w:t xml:space="preserve"> </w:t>
      </w:r>
      <w:r w:rsidR="00072D79">
        <w:rPr>
          <w:rFonts w:ascii="Cambria" w:eastAsia="Calibri" w:hAnsi="Cambria"/>
          <w:sz w:val="20"/>
          <w:szCs w:val="20"/>
          <w:bdr w:val="none" w:sz="0" w:space="0" w:color="auto"/>
        </w:rPr>
        <w:t>with</w:t>
      </w:r>
      <w:r w:rsidR="009A4F91">
        <w:rPr>
          <w:rFonts w:ascii="Cambria" w:eastAsia="Calibri" w:hAnsi="Cambria"/>
          <w:sz w:val="20"/>
          <w:szCs w:val="20"/>
          <w:bdr w:val="none" w:sz="0" w:space="0" w:color="auto"/>
        </w:rPr>
        <w:t xml:space="preserve"> the </w:t>
      </w:r>
      <w:r w:rsidR="006E255A">
        <w:rPr>
          <w:rFonts w:ascii="Cambria" w:eastAsia="Calibri" w:hAnsi="Cambria"/>
          <w:sz w:val="20"/>
          <w:szCs w:val="20"/>
          <w:bdr w:val="none" w:sz="0" w:space="0" w:color="auto"/>
        </w:rPr>
        <w:t>detention</w:t>
      </w:r>
      <w:r w:rsidR="00773B3C" w:rsidRPr="00A51861">
        <w:rPr>
          <w:rFonts w:ascii="Cambria" w:eastAsia="Calibri" w:hAnsi="Cambria"/>
          <w:sz w:val="20"/>
          <w:szCs w:val="20"/>
          <w:bdr w:val="none" w:sz="0" w:space="0" w:color="auto"/>
        </w:rPr>
        <w:t xml:space="preserve"> </w:t>
      </w:r>
      <w:r w:rsidR="00072D79">
        <w:rPr>
          <w:rFonts w:ascii="Cambria" w:eastAsia="Calibri" w:hAnsi="Cambria"/>
          <w:sz w:val="20"/>
          <w:szCs w:val="20"/>
          <w:bdr w:val="none" w:sz="0" w:space="0" w:color="auto"/>
        </w:rPr>
        <w:t>of</w:t>
      </w:r>
      <w:r w:rsidR="00E92985">
        <w:rPr>
          <w:rFonts w:ascii="Cambria" w:eastAsia="Calibri" w:hAnsi="Cambria"/>
          <w:sz w:val="20"/>
          <w:szCs w:val="20"/>
          <w:bdr w:val="none" w:sz="0" w:space="0" w:color="auto"/>
        </w:rPr>
        <w:t xml:space="preserve"> </w:t>
      </w:r>
      <w:r w:rsidR="00773B3C" w:rsidRPr="00A51861">
        <w:rPr>
          <w:rFonts w:ascii="Cambria" w:eastAsia="Calibri" w:hAnsi="Cambria"/>
          <w:sz w:val="20"/>
          <w:szCs w:val="20"/>
          <w:bdr w:val="none" w:sz="0" w:space="0" w:color="auto"/>
        </w:rPr>
        <w:t>identi</w:t>
      </w:r>
      <w:r w:rsidR="00072D79">
        <w:rPr>
          <w:rFonts w:ascii="Cambria" w:eastAsia="Calibri" w:hAnsi="Cambria"/>
          <w:sz w:val="20"/>
          <w:szCs w:val="20"/>
          <w:bdr w:val="none" w:sz="0" w:space="0" w:color="auto"/>
        </w:rPr>
        <w:t>ty inquiry</w:t>
      </w:r>
      <w:r w:rsidR="00773B3C" w:rsidRPr="00A51861">
        <w:rPr>
          <w:rFonts w:ascii="Cambria" w:eastAsia="Calibri" w:hAnsi="Cambria"/>
          <w:sz w:val="20"/>
          <w:szCs w:val="20"/>
          <w:bdr w:val="none" w:sz="0" w:space="0" w:color="auto"/>
        </w:rPr>
        <w:t>, constitu</w:t>
      </w:r>
      <w:r w:rsidR="00072D79">
        <w:rPr>
          <w:rFonts w:ascii="Cambria" w:eastAsia="Calibri" w:hAnsi="Cambria"/>
          <w:sz w:val="20"/>
          <w:szCs w:val="20"/>
          <w:bdr w:val="none" w:sz="0" w:space="0" w:color="auto"/>
        </w:rPr>
        <w:t>ting</w:t>
      </w:r>
      <w:r w:rsidR="00773B3C" w:rsidRPr="00A51861">
        <w:rPr>
          <w:rFonts w:ascii="Cambria" w:eastAsia="Calibri" w:hAnsi="Cambria"/>
          <w:sz w:val="20"/>
          <w:szCs w:val="20"/>
          <w:bdr w:val="none" w:sz="0" w:space="0" w:color="auto"/>
        </w:rPr>
        <w:t xml:space="preserve"> </w:t>
      </w:r>
      <w:r w:rsidR="00072D79">
        <w:rPr>
          <w:rFonts w:ascii="Cambria" w:eastAsia="Calibri" w:hAnsi="Cambria"/>
          <w:sz w:val="20"/>
          <w:szCs w:val="20"/>
          <w:bdr w:val="none" w:sz="0" w:space="0" w:color="auto"/>
        </w:rPr>
        <w:t>the two main conditions</w:t>
      </w:r>
      <w:r w:rsidR="00E92985">
        <w:rPr>
          <w:rFonts w:ascii="Cambria" w:eastAsia="Calibri" w:hAnsi="Cambria"/>
          <w:sz w:val="20"/>
          <w:szCs w:val="20"/>
          <w:bdr w:val="none" w:sz="0" w:space="0" w:color="auto"/>
        </w:rPr>
        <w:t xml:space="preserve"> of </w:t>
      </w:r>
      <w:r w:rsidR="00072D79">
        <w:rPr>
          <w:rFonts w:ascii="Cambria" w:eastAsia="Calibri" w:hAnsi="Cambria"/>
          <w:sz w:val="20"/>
          <w:szCs w:val="20"/>
          <w:bdr w:val="none" w:sz="0" w:space="0" w:color="auto"/>
        </w:rPr>
        <w:t>police detention without</w:t>
      </w:r>
      <w:r w:rsidR="00773B3C" w:rsidRPr="00A51861">
        <w:rPr>
          <w:rFonts w:ascii="Cambria" w:eastAsia="Calibri" w:hAnsi="Cambria"/>
          <w:sz w:val="20"/>
          <w:szCs w:val="20"/>
          <w:bdr w:val="none" w:sz="0" w:space="0" w:color="auto"/>
        </w:rPr>
        <w:t xml:space="preserve"> judicial</w:t>
      </w:r>
      <w:r w:rsidR="00072D79" w:rsidRPr="00072D79">
        <w:rPr>
          <w:rFonts w:ascii="Cambria" w:eastAsia="Calibri" w:hAnsi="Cambria"/>
          <w:sz w:val="20"/>
          <w:szCs w:val="20"/>
          <w:bdr w:val="none" w:sz="0" w:space="0" w:color="auto"/>
        </w:rPr>
        <w:t xml:space="preserve"> </w:t>
      </w:r>
      <w:r w:rsidR="00072D79">
        <w:rPr>
          <w:rFonts w:ascii="Cambria" w:eastAsia="Calibri" w:hAnsi="Cambria"/>
          <w:sz w:val="20"/>
          <w:szCs w:val="20"/>
          <w:bdr w:val="none" w:sz="0" w:space="0" w:color="auto"/>
        </w:rPr>
        <w:t>warrant</w:t>
      </w:r>
      <w:r w:rsidR="00773B3C" w:rsidRPr="00A51861">
        <w:rPr>
          <w:rFonts w:ascii="Cambria" w:eastAsia="Calibri" w:hAnsi="Cambria"/>
          <w:sz w:val="20"/>
          <w:szCs w:val="20"/>
          <w:bdr w:val="none" w:sz="0" w:space="0" w:color="auto"/>
          <w:vertAlign w:val="superscript"/>
        </w:rPr>
        <w:footnoteReference w:id="165"/>
      </w:r>
      <w:r w:rsidR="00773B3C" w:rsidRPr="00A51861">
        <w:rPr>
          <w:rFonts w:ascii="Cambria" w:eastAsia="Calibri" w:hAnsi="Cambria"/>
          <w:sz w:val="20"/>
          <w:szCs w:val="20"/>
          <w:bdr w:val="none" w:sz="0" w:space="0" w:color="auto"/>
        </w:rPr>
        <w:t>.</w:t>
      </w:r>
    </w:p>
    <w:p w14:paraId="77CFA8C5" w14:textId="77777777" w:rsidR="00885267" w:rsidRPr="00A51861" w:rsidRDefault="00885267" w:rsidP="008E4D36">
      <w:pPr>
        <w:rPr>
          <w:rFonts w:eastAsia="Calibri"/>
          <w:sz w:val="20"/>
          <w:szCs w:val="20"/>
          <w:bdr w:val="none" w:sz="0" w:space="0" w:color="auto"/>
        </w:rPr>
      </w:pPr>
    </w:p>
    <w:p w14:paraId="748A958F" w14:textId="414ECA82" w:rsidR="00867EC6" w:rsidRPr="00A51861" w:rsidRDefault="00B90CEF"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Calibri" w:hAnsiTheme="majorHAnsi"/>
          <w:sz w:val="20"/>
          <w:szCs w:val="20"/>
          <w:bdr w:val="none" w:sz="0" w:space="0" w:color="auto"/>
        </w:rPr>
      </w:pPr>
      <w:r>
        <w:rPr>
          <w:rFonts w:asciiTheme="majorHAnsi" w:eastAsia="Calibri" w:hAnsiTheme="majorHAnsi"/>
          <w:sz w:val="20"/>
          <w:szCs w:val="20"/>
          <w:bdr w:val="none" w:sz="0" w:space="0" w:color="auto"/>
        </w:rPr>
        <w:t xml:space="preserve">Likewise, </w:t>
      </w:r>
      <w:r w:rsidR="00072D79">
        <w:rPr>
          <w:rFonts w:asciiTheme="majorHAnsi" w:eastAsia="Calibri" w:hAnsiTheme="majorHAnsi"/>
          <w:sz w:val="20"/>
          <w:szCs w:val="20"/>
          <w:bdr w:val="none" w:sz="0" w:space="0" w:color="auto"/>
        </w:rPr>
        <w:t>in other cases of</w:t>
      </w:r>
      <w:r w:rsidR="00E92985">
        <w:rPr>
          <w:rFonts w:asciiTheme="majorHAnsi" w:eastAsia="Calibri" w:hAnsiTheme="majorHAnsi"/>
          <w:sz w:val="20"/>
          <w:szCs w:val="20"/>
          <w:bdr w:val="none" w:sz="0" w:space="0" w:color="auto"/>
        </w:rPr>
        <w:t xml:space="preserve"> </w:t>
      </w:r>
      <w:r w:rsidR="00072D79" w:rsidRPr="00A51861">
        <w:rPr>
          <w:rFonts w:asciiTheme="majorHAnsi" w:eastAsia="Calibri" w:hAnsiTheme="majorHAnsi"/>
          <w:sz w:val="20"/>
          <w:szCs w:val="20"/>
          <w:bdr w:val="none" w:sz="0" w:space="0" w:color="auto"/>
        </w:rPr>
        <w:t>application</w:t>
      </w:r>
      <w:r w:rsidR="00E92985">
        <w:rPr>
          <w:rFonts w:asciiTheme="majorHAnsi" w:eastAsia="Calibri" w:hAnsiTheme="majorHAnsi"/>
          <w:sz w:val="20"/>
          <w:szCs w:val="20"/>
          <w:bdr w:val="none" w:sz="0" w:space="0" w:color="auto"/>
        </w:rPr>
        <w:t xml:space="preserve"> of </w:t>
      </w:r>
      <w:r w:rsidR="00A40660">
        <w:rPr>
          <w:rFonts w:asciiTheme="majorHAnsi" w:eastAsia="Calibri" w:hAnsiTheme="majorHAnsi"/>
          <w:sz w:val="20"/>
          <w:szCs w:val="20"/>
          <w:bdr w:val="none" w:sz="0" w:space="0" w:color="auto"/>
        </w:rPr>
        <w:t xml:space="preserve">Police decrees </w:t>
      </w:r>
      <w:r w:rsidR="00072D79">
        <w:rPr>
          <w:rFonts w:asciiTheme="majorHAnsi" w:eastAsia="Calibri" w:hAnsiTheme="majorHAnsi"/>
          <w:sz w:val="20"/>
          <w:szCs w:val="20"/>
          <w:bdr w:val="none" w:sz="0" w:space="0" w:color="auto"/>
        </w:rPr>
        <w:t>in</w:t>
      </w:r>
      <w:r w:rsidR="000739C0" w:rsidRPr="00A51861">
        <w:rPr>
          <w:rFonts w:asciiTheme="majorHAnsi" w:eastAsia="Calibri" w:hAnsiTheme="majorHAnsi"/>
          <w:sz w:val="20"/>
          <w:szCs w:val="20"/>
          <w:bdr w:val="none" w:sz="0" w:space="0" w:color="auto"/>
        </w:rPr>
        <w:t xml:space="preserve"> </w:t>
      </w:r>
      <w:r w:rsidR="002217D1" w:rsidRPr="00A51861">
        <w:rPr>
          <w:rFonts w:asciiTheme="majorHAnsi" w:eastAsia="Calibri" w:hAnsiTheme="majorHAnsi"/>
          <w:sz w:val="20"/>
          <w:szCs w:val="20"/>
          <w:bdr w:val="none" w:sz="0" w:space="0" w:color="auto"/>
        </w:rPr>
        <w:t>Argentina</w:t>
      </w:r>
      <w:r w:rsidR="00867EC6" w:rsidRPr="00A51861">
        <w:rPr>
          <w:rFonts w:asciiTheme="majorHAnsi" w:eastAsia="Calibri" w:hAnsiTheme="majorHAnsi"/>
          <w:sz w:val="20"/>
          <w:szCs w:val="20"/>
          <w:bdr w:val="none" w:sz="0" w:space="0" w:color="auto"/>
        </w:rPr>
        <w:t>,</w:t>
      </w:r>
      <w:r w:rsidR="009A4F91">
        <w:rPr>
          <w:rFonts w:asciiTheme="majorHAnsi" w:eastAsia="Calibri" w:hAnsiTheme="majorHAnsi"/>
          <w:sz w:val="20"/>
          <w:szCs w:val="20"/>
          <w:bdr w:val="none" w:sz="0" w:space="0" w:color="auto"/>
        </w:rPr>
        <w:t xml:space="preserve"> </w:t>
      </w:r>
      <w:r w:rsidR="00072D79">
        <w:rPr>
          <w:rFonts w:asciiTheme="majorHAnsi" w:eastAsia="Calibri" w:hAnsiTheme="majorHAnsi"/>
          <w:sz w:val="20"/>
          <w:szCs w:val="20"/>
          <w:bdr w:val="none" w:sz="0" w:space="0" w:color="auto"/>
        </w:rPr>
        <w:t>t</w:t>
      </w:r>
      <w:r w:rsidR="001D1D61">
        <w:rPr>
          <w:rFonts w:asciiTheme="majorHAnsi" w:eastAsia="Calibri" w:hAnsiTheme="majorHAnsi"/>
          <w:sz w:val="20"/>
          <w:szCs w:val="20"/>
          <w:bdr w:val="none" w:sz="0" w:space="0" w:color="auto"/>
        </w:rPr>
        <w:t xml:space="preserve">he Court has </w:t>
      </w:r>
      <w:r w:rsidR="00072D79">
        <w:rPr>
          <w:rFonts w:asciiTheme="majorHAnsi" w:eastAsia="Calibri" w:hAnsiTheme="majorHAnsi"/>
          <w:sz w:val="20"/>
          <w:szCs w:val="20"/>
          <w:bdr w:val="none" w:sz="0" w:space="0" w:color="auto"/>
        </w:rPr>
        <w:t>held</w:t>
      </w:r>
      <w:r w:rsidR="00E92985">
        <w:rPr>
          <w:rFonts w:asciiTheme="majorHAnsi" w:eastAsia="Calibri" w:hAnsiTheme="majorHAnsi"/>
          <w:sz w:val="20"/>
          <w:szCs w:val="20"/>
          <w:bdr w:val="none" w:sz="0" w:space="0" w:color="auto"/>
        </w:rPr>
        <w:t xml:space="preserve"> that </w:t>
      </w:r>
      <w:r w:rsidR="00387B53">
        <w:rPr>
          <w:rFonts w:asciiTheme="majorHAnsi" w:eastAsia="Calibri" w:hAnsiTheme="majorHAnsi"/>
          <w:sz w:val="20"/>
          <w:szCs w:val="20"/>
          <w:bdr w:val="none" w:sz="0" w:space="0" w:color="auto"/>
        </w:rPr>
        <w:t xml:space="preserve">it pertains </w:t>
      </w:r>
      <w:r w:rsidR="00E92985">
        <w:rPr>
          <w:rFonts w:asciiTheme="majorHAnsi" w:eastAsia="Calibri" w:hAnsiTheme="majorHAnsi"/>
          <w:sz w:val="20"/>
          <w:szCs w:val="20"/>
          <w:bdr w:val="none" w:sz="0" w:space="0" w:color="auto"/>
        </w:rPr>
        <w:t xml:space="preserve">the </w:t>
      </w:r>
      <w:r w:rsidR="00072D79" w:rsidRPr="00A51861">
        <w:rPr>
          <w:rFonts w:asciiTheme="majorHAnsi" w:eastAsia="Calibri" w:hAnsiTheme="majorHAnsi"/>
          <w:sz w:val="20"/>
          <w:szCs w:val="20"/>
          <w:bdr w:val="none" w:sz="0" w:space="0" w:color="auto"/>
        </w:rPr>
        <w:t>contravention</w:t>
      </w:r>
      <w:r w:rsidR="00072D79" w:rsidRPr="00072D79">
        <w:rPr>
          <w:rFonts w:asciiTheme="majorHAnsi" w:eastAsia="Calibri" w:hAnsiTheme="majorHAnsi"/>
          <w:sz w:val="20"/>
          <w:szCs w:val="20"/>
          <w:bdr w:val="none" w:sz="0" w:space="0" w:color="auto"/>
        </w:rPr>
        <w:t xml:space="preserve"> </w:t>
      </w:r>
      <w:r w:rsidR="00387B53">
        <w:rPr>
          <w:rFonts w:asciiTheme="majorHAnsi" w:eastAsia="Calibri" w:hAnsiTheme="majorHAnsi"/>
          <w:sz w:val="20"/>
          <w:szCs w:val="20"/>
          <w:bdr w:val="none" w:sz="0" w:space="0" w:color="auto"/>
        </w:rPr>
        <w:t>law</w:t>
      </w:r>
      <w:r w:rsidR="000739C0" w:rsidRPr="00A51861">
        <w:rPr>
          <w:rFonts w:asciiTheme="majorHAnsi" w:eastAsia="Calibri" w:hAnsiTheme="majorHAnsi"/>
          <w:sz w:val="20"/>
          <w:szCs w:val="20"/>
          <w:bdr w:val="none" w:sz="0" w:space="0" w:color="auto"/>
        </w:rPr>
        <w:t>,</w:t>
      </w:r>
      <w:r w:rsidR="00867EC6" w:rsidRPr="00A51861">
        <w:rPr>
          <w:rFonts w:asciiTheme="majorHAnsi" w:eastAsia="Calibri" w:hAnsiTheme="majorHAnsi"/>
          <w:sz w:val="20"/>
          <w:szCs w:val="20"/>
          <w:bdr w:val="none" w:sz="0" w:space="0" w:color="auto"/>
        </w:rPr>
        <w:t xml:space="preserve"> </w:t>
      </w:r>
      <w:r w:rsidR="00072D79">
        <w:rPr>
          <w:rFonts w:asciiTheme="majorHAnsi" w:hAnsiTheme="majorHAnsi"/>
          <w:sz w:val="20"/>
          <w:szCs w:val="20"/>
        </w:rPr>
        <w:t>as well as criminal law</w:t>
      </w:r>
      <w:r w:rsidR="000739C0" w:rsidRPr="00A51861">
        <w:rPr>
          <w:rFonts w:asciiTheme="majorHAnsi" w:hAnsiTheme="majorHAnsi"/>
          <w:sz w:val="20"/>
          <w:szCs w:val="20"/>
        </w:rPr>
        <w:t xml:space="preserve">, </w:t>
      </w:r>
      <w:r w:rsidR="00387B53">
        <w:rPr>
          <w:rFonts w:asciiTheme="majorHAnsi" w:hAnsiTheme="majorHAnsi"/>
          <w:sz w:val="20"/>
          <w:szCs w:val="20"/>
        </w:rPr>
        <w:t xml:space="preserve">to exercise the punitive power </w:t>
      </w:r>
      <w:r w:rsidR="00F92BA8">
        <w:rPr>
          <w:rFonts w:asciiTheme="majorHAnsi" w:hAnsiTheme="majorHAnsi"/>
          <w:sz w:val="20"/>
          <w:szCs w:val="20"/>
        </w:rPr>
        <w:t>of the State</w:t>
      </w:r>
      <w:r w:rsidR="002217D1" w:rsidRPr="00A51861">
        <w:rPr>
          <w:rStyle w:val="FootnoteReference"/>
          <w:rFonts w:asciiTheme="majorHAnsi" w:hAnsiTheme="majorHAnsi"/>
          <w:sz w:val="20"/>
          <w:szCs w:val="20"/>
        </w:rPr>
        <w:footnoteReference w:id="166"/>
      </w:r>
      <w:r w:rsidR="000739C0" w:rsidRPr="00A51861">
        <w:rPr>
          <w:rFonts w:asciiTheme="majorHAnsi" w:hAnsiTheme="majorHAnsi"/>
          <w:sz w:val="20"/>
          <w:szCs w:val="20"/>
        </w:rPr>
        <w:t xml:space="preserve">, </w:t>
      </w:r>
      <w:r w:rsidR="00387B53">
        <w:rPr>
          <w:rFonts w:asciiTheme="majorHAnsi" w:hAnsiTheme="majorHAnsi"/>
          <w:sz w:val="20"/>
          <w:szCs w:val="20"/>
        </w:rPr>
        <w:t>which is</w:t>
      </w:r>
      <w:r w:rsidR="000739C0" w:rsidRPr="00A51861">
        <w:rPr>
          <w:rFonts w:asciiTheme="majorHAnsi" w:hAnsiTheme="majorHAnsi"/>
          <w:sz w:val="20"/>
          <w:szCs w:val="20"/>
        </w:rPr>
        <w:t xml:space="preserve"> evident </w:t>
      </w:r>
      <w:r w:rsidR="00387B53">
        <w:rPr>
          <w:rFonts w:asciiTheme="majorHAnsi" w:hAnsiTheme="majorHAnsi"/>
          <w:sz w:val="20"/>
          <w:szCs w:val="20"/>
        </w:rPr>
        <w:t>i</w:t>
      </w:r>
      <w:r w:rsidR="000739C0" w:rsidRPr="00A51861">
        <w:rPr>
          <w:rFonts w:asciiTheme="majorHAnsi" w:hAnsiTheme="majorHAnsi"/>
          <w:sz w:val="20"/>
          <w:szCs w:val="20"/>
        </w:rPr>
        <w:t xml:space="preserve">n </w:t>
      </w:r>
      <w:r w:rsidR="00E64C43">
        <w:rPr>
          <w:rFonts w:asciiTheme="majorHAnsi" w:hAnsiTheme="majorHAnsi"/>
          <w:sz w:val="20"/>
          <w:szCs w:val="20"/>
        </w:rPr>
        <w:t>this case</w:t>
      </w:r>
      <w:r w:rsidR="000739C0" w:rsidRPr="00A51861">
        <w:rPr>
          <w:rFonts w:asciiTheme="majorHAnsi" w:hAnsiTheme="majorHAnsi"/>
          <w:sz w:val="20"/>
          <w:szCs w:val="20"/>
        </w:rPr>
        <w:t xml:space="preserve"> </w:t>
      </w:r>
      <w:r w:rsidR="00387B53">
        <w:rPr>
          <w:rFonts w:asciiTheme="majorHAnsi" w:hAnsiTheme="majorHAnsi"/>
          <w:sz w:val="20"/>
          <w:szCs w:val="20"/>
        </w:rPr>
        <w:t>since the punishment foreseen implied</w:t>
      </w:r>
      <w:r w:rsidR="009A4F91">
        <w:rPr>
          <w:rFonts w:asciiTheme="majorHAnsi" w:hAnsiTheme="majorHAnsi"/>
          <w:sz w:val="20"/>
          <w:szCs w:val="20"/>
        </w:rPr>
        <w:t xml:space="preserve"> the </w:t>
      </w:r>
      <w:r w:rsidR="0045141A">
        <w:rPr>
          <w:rFonts w:asciiTheme="majorHAnsi" w:hAnsiTheme="majorHAnsi"/>
          <w:sz w:val="20"/>
          <w:szCs w:val="20"/>
        </w:rPr>
        <w:t xml:space="preserve">deprivation of </w:t>
      </w:r>
      <w:r w:rsidR="00387B53">
        <w:rPr>
          <w:rFonts w:asciiTheme="majorHAnsi" w:hAnsiTheme="majorHAnsi"/>
          <w:sz w:val="20"/>
          <w:szCs w:val="20"/>
        </w:rPr>
        <w:t>liberty</w:t>
      </w:r>
      <w:r w:rsidR="000739C0" w:rsidRPr="00A51861">
        <w:rPr>
          <w:rFonts w:asciiTheme="majorHAnsi" w:hAnsiTheme="majorHAnsi"/>
          <w:sz w:val="20"/>
          <w:szCs w:val="20"/>
        </w:rPr>
        <w:t xml:space="preserve">. </w:t>
      </w:r>
    </w:p>
    <w:p w14:paraId="039882DE" w14:textId="77777777" w:rsidR="002217D1" w:rsidRPr="00A51861" w:rsidRDefault="002217D1" w:rsidP="008E4D3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14:paraId="0CE13221" w14:textId="018B4A08" w:rsidR="001B61A5" w:rsidRPr="00A51861" w:rsidRDefault="000010D0"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In a</w:t>
      </w:r>
      <w:r w:rsidR="000739C0" w:rsidRPr="00A51861">
        <w:rPr>
          <w:rFonts w:asciiTheme="majorHAnsi" w:hAnsiTheme="majorHAnsi"/>
          <w:sz w:val="20"/>
          <w:szCs w:val="20"/>
        </w:rPr>
        <w:t xml:space="preserve"> </w:t>
      </w:r>
      <w:r>
        <w:rPr>
          <w:rFonts w:asciiTheme="majorHAnsi" w:hAnsiTheme="majorHAnsi"/>
          <w:sz w:val="20"/>
          <w:szCs w:val="20"/>
        </w:rPr>
        <w:t xml:space="preserve">democratic society </w:t>
      </w:r>
      <w:r w:rsidR="002428C9">
        <w:rPr>
          <w:rFonts w:asciiTheme="majorHAnsi" w:hAnsiTheme="majorHAnsi"/>
          <w:sz w:val="20"/>
          <w:szCs w:val="20"/>
        </w:rPr>
        <w:t>the punitive power of the State can only be exerted when strictly necessary</w:t>
      </w:r>
      <w:r w:rsidR="000739C0" w:rsidRPr="00A51861">
        <w:rPr>
          <w:rFonts w:asciiTheme="majorHAnsi" w:hAnsiTheme="majorHAnsi"/>
          <w:sz w:val="20"/>
          <w:szCs w:val="20"/>
        </w:rPr>
        <w:t xml:space="preserve"> </w:t>
      </w:r>
      <w:r w:rsidR="002428C9">
        <w:rPr>
          <w:rFonts w:asciiTheme="majorHAnsi" w:hAnsiTheme="majorHAnsi"/>
          <w:sz w:val="20"/>
          <w:szCs w:val="20"/>
        </w:rPr>
        <w:t>to</w:t>
      </w:r>
      <w:r w:rsidR="000739C0" w:rsidRPr="00A51861">
        <w:rPr>
          <w:rFonts w:asciiTheme="majorHAnsi" w:hAnsiTheme="majorHAnsi"/>
          <w:sz w:val="20"/>
          <w:szCs w:val="20"/>
        </w:rPr>
        <w:t xml:space="preserve"> </w:t>
      </w:r>
      <w:r w:rsidR="002428C9">
        <w:rPr>
          <w:rFonts w:asciiTheme="majorHAnsi" w:hAnsiTheme="majorHAnsi"/>
          <w:sz w:val="20"/>
          <w:szCs w:val="20"/>
        </w:rPr>
        <w:t>protect</w:t>
      </w:r>
      <w:r w:rsidR="000739C0" w:rsidRPr="00A51861">
        <w:rPr>
          <w:rFonts w:asciiTheme="majorHAnsi" w:hAnsiTheme="majorHAnsi"/>
          <w:sz w:val="20"/>
          <w:szCs w:val="20"/>
        </w:rPr>
        <w:t xml:space="preserve"> </w:t>
      </w:r>
      <w:r w:rsidR="002428C9">
        <w:rPr>
          <w:rFonts w:asciiTheme="majorHAnsi" w:hAnsiTheme="majorHAnsi"/>
          <w:sz w:val="20"/>
          <w:szCs w:val="20"/>
        </w:rPr>
        <w:t>the</w:t>
      </w:r>
      <w:r w:rsidR="000739C0" w:rsidRPr="00A51861">
        <w:rPr>
          <w:rFonts w:asciiTheme="majorHAnsi" w:hAnsiTheme="majorHAnsi"/>
          <w:sz w:val="20"/>
          <w:szCs w:val="20"/>
        </w:rPr>
        <w:t xml:space="preserve"> </w:t>
      </w:r>
      <w:r w:rsidR="002428C9" w:rsidRPr="00A51861">
        <w:rPr>
          <w:rFonts w:asciiTheme="majorHAnsi" w:hAnsiTheme="majorHAnsi"/>
          <w:sz w:val="20"/>
          <w:szCs w:val="20"/>
        </w:rPr>
        <w:t>fundamental</w:t>
      </w:r>
      <w:r w:rsidR="002428C9">
        <w:rPr>
          <w:rFonts w:asciiTheme="majorHAnsi" w:hAnsiTheme="majorHAnsi"/>
          <w:sz w:val="20"/>
          <w:szCs w:val="20"/>
        </w:rPr>
        <w:t xml:space="preserve"> </w:t>
      </w:r>
      <w:r w:rsidR="002428C9" w:rsidRPr="00A51861">
        <w:rPr>
          <w:rFonts w:asciiTheme="majorHAnsi" w:hAnsiTheme="majorHAnsi"/>
          <w:sz w:val="20"/>
          <w:szCs w:val="20"/>
        </w:rPr>
        <w:t>juridical</w:t>
      </w:r>
      <w:r w:rsidR="002428C9">
        <w:rPr>
          <w:rFonts w:asciiTheme="majorHAnsi" w:hAnsiTheme="majorHAnsi"/>
          <w:sz w:val="20"/>
          <w:szCs w:val="20"/>
        </w:rPr>
        <w:t xml:space="preserve"> assets</w:t>
      </w:r>
      <w:r w:rsidR="002428C9" w:rsidRPr="00A51861">
        <w:rPr>
          <w:rFonts w:asciiTheme="majorHAnsi" w:hAnsiTheme="majorHAnsi"/>
          <w:sz w:val="20"/>
          <w:szCs w:val="20"/>
        </w:rPr>
        <w:t xml:space="preserve"> </w:t>
      </w:r>
      <w:r w:rsidR="002428C9">
        <w:rPr>
          <w:rFonts w:asciiTheme="majorHAnsi" w:hAnsiTheme="majorHAnsi"/>
          <w:sz w:val="20"/>
          <w:szCs w:val="20"/>
        </w:rPr>
        <w:t>from</w:t>
      </w:r>
      <w:r w:rsidR="00E92985">
        <w:rPr>
          <w:rFonts w:asciiTheme="majorHAnsi" w:hAnsiTheme="majorHAnsi"/>
          <w:sz w:val="20"/>
          <w:szCs w:val="20"/>
        </w:rPr>
        <w:t xml:space="preserve"> </w:t>
      </w:r>
      <w:r w:rsidR="002428C9">
        <w:rPr>
          <w:rFonts w:asciiTheme="majorHAnsi" w:hAnsiTheme="majorHAnsi"/>
          <w:sz w:val="20"/>
          <w:szCs w:val="20"/>
        </w:rPr>
        <w:t>the</w:t>
      </w:r>
      <w:r w:rsidR="000739C0" w:rsidRPr="00A51861">
        <w:rPr>
          <w:rFonts w:asciiTheme="majorHAnsi" w:hAnsiTheme="majorHAnsi"/>
          <w:sz w:val="20"/>
          <w:szCs w:val="20"/>
        </w:rPr>
        <w:t xml:space="preserve"> </w:t>
      </w:r>
      <w:r w:rsidR="002428C9">
        <w:rPr>
          <w:rFonts w:asciiTheme="majorHAnsi" w:hAnsiTheme="majorHAnsi"/>
          <w:sz w:val="20"/>
          <w:szCs w:val="20"/>
        </w:rPr>
        <w:t>attacks</w:t>
      </w:r>
      <w:r w:rsidR="000739C0" w:rsidRPr="00A51861">
        <w:rPr>
          <w:rFonts w:asciiTheme="majorHAnsi" w:hAnsiTheme="majorHAnsi"/>
          <w:sz w:val="20"/>
          <w:szCs w:val="20"/>
        </w:rPr>
        <w:t xml:space="preserve"> </w:t>
      </w:r>
      <w:r w:rsidR="002428C9">
        <w:rPr>
          <w:rFonts w:asciiTheme="majorHAnsi" w:hAnsiTheme="majorHAnsi"/>
          <w:sz w:val="20"/>
          <w:szCs w:val="20"/>
        </w:rPr>
        <w:t>which harm</w:t>
      </w:r>
      <w:r w:rsidR="00E92985">
        <w:rPr>
          <w:rFonts w:asciiTheme="majorHAnsi" w:hAnsiTheme="majorHAnsi"/>
          <w:sz w:val="20"/>
          <w:szCs w:val="20"/>
        </w:rPr>
        <w:t xml:space="preserve"> or </w:t>
      </w:r>
      <w:r w:rsidR="002428C9">
        <w:rPr>
          <w:rFonts w:asciiTheme="majorHAnsi" w:hAnsiTheme="majorHAnsi"/>
          <w:sz w:val="20"/>
          <w:szCs w:val="20"/>
        </w:rPr>
        <w:t>endanger them</w:t>
      </w:r>
      <w:r w:rsidR="00867EC6" w:rsidRPr="00A51861">
        <w:rPr>
          <w:rStyle w:val="FootnoteReference"/>
          <w:rFonts w:asciiTheme="majorHAnsi" w:hAnsiTheme="majorHAnsi"/>
          <w:sz w:val="20"/>
          <w:szCs w:val="20"/>
        </w:rPr>
        <w:footnoteReference w:id="167"/>
      </w:r>
      <w:r w:rsidR="001D1D61">
        <w:rPr>
          <w:rFonts w:asciiTheme="majorHAnsi" w:hAnsiTheme="majorHAnsi"/>
          <w:sz w:val="20"/>
          <w:szCs w:val="20"/>
        </w:rPr>
        <w:t>. Th</w:t>
      </w:r>
      <w:r w:rsidR="00E92985">
        <w:rPr>
          <w:rFonts w:asciiTheme="majorHAnsi" w:hAnsiTheme="majorHAnsi"/>
          <w:sz w:val="20"/>
          <w:szCs w:val="20"/>
        </w:rPr>
        <w:t>e Commission</w:t>
      </w:r>
      <w:r w:rsidR="00867EC6" w:rsidRPr="00A51861">
        <w:rPr>
          <w:rFonts w:asciiTheme="majorHAnsi" w:hAnsiTheme="majorHAnsi"/>
          <w:sz w:val="20"/>
          <w:szCs w:val="20"/>
        </w:rPr>
        <w:t xml:space="preserve"> </w:t>
      </w:r>
      <w:r w:rsidR="002428C9">
        <w:rPr>
          <w:rFonts w:asciiTheme="majorHAnsi" w:hAnsiTheme="majorHAnsi"/>
          <w:sz w:val="20"/>
          <w:szCs w:val="20"/>
        </w:rPr>
        <w:t xml:space="preserve">finds that in </w:t>
      </w:r>
      <w:r w:rsidR="00E64C43">
        <w:rPr>
          <w:rFonts w:asciiTheme="majorHAnsi" w:hAnsiTheme="majorHAnsi"/>
          <w:sz w:val="20"/>
          <w:szCs w:val="20"/>
        </w:rPr>
        <w:t>this case</w:t>
      </w:r>
      <w:r w:rsidR="00867EC6" w:rsidRPr="00A51861">
        <w:rPr>
          <w:rFonts w:asciiTheme="majorHAnsi" w:hAnsiTheme="majorHAnsi"/>
          <w:sz w:val="20"/>
          <w:szCs w:val="20"/>
        </w:rPr>
        <w:t>,</w:t>
      </w:r>
      <w:r w:rsidR="009A4F91">
        <w:rPr>
          <w:rFonts w:asciiTheme="majorHAnsi" w:hAnsiTheme="majorHAnsi"/>
          <w:sz w:val="20"/>
          <w:szCs w:val="20"/>
        </w:rPr>
        <w:t xml:space="preserve"> the </w:t>
      </w:r>
      <w:r w:rsidR="002428C9" w:rsidRPr="00A51861">
        <w:rPr>
          <w:rFonts w:asciiTheme="majorHAnsi" w:hAnsiTheme="majorHAnsi"/>
          <w:sz w:val="20"/>
          <w:szCs w:val="20"/>
        </w:rPr>
        <w:t>realization</w:t>
      </w:r>
      <w:r w:rsidR="00E92985">
        <w:rPr>
          <w:rFonts w:asciiTheme="majorHAnsi" w:hAnsiTheme="majorHAnsi"/>
          <w:sz w:val="20"/>
          <w:szCs w:val="20"/>
        </w:rPr>
        <w:t xml:space="preserve"> of </w:t>
      </w:r>
      <w:r w:rsidR="002428C9">
        <w:rPr>
          <w:rFonts w:asciiTheme="majorHAnsi" w:hAnsiTheme="majorHAnsi"/>
          <w:sz w:val="20"/>
          <w:szCs w:val="20"/>
        </w:rPr>
        <w:t>assemblies in itself</w:t>
      </w:r>
      <w:r w:rsidR="00867EC6" w:rsidRPr="00A51861">
        <w:rPr>
          <w:rFonts w:asciiTheme="majorHAnsi" w:hAnsiTheme="majorHAnsi"/>
          <w:sz w:val="20"/>
          <w:szCs w:val="20"/>
        </w:rPr>
        <w:t xml:space="preserve"> </w:t>
      </w:r>
      <w:r w:rsidR="002428C9">
        <w:rPr>
          <w:rFonts w:asciiTheme="majorHAnsi" w:hAnsiTheme="majorHAnsi"/>
          <w:sz w:val="20"/>
          <w:szCs w:val="20"/>
        </w:rPr>
        <w:t xml:space="preserve">does not affect the </w:t>
      </w:r>
      <w:r w:rsidR="00CD333E">
        <w:rPr>
          <w:rFonts w:asciiTheme="majorHAnsi" w:hAnsiTheme="majorHAnsi"/>
          <w:sz w:val="20"/>
          <w:szCs w:val="20"/>
        </w:rPr>
        <w:t>r</w:t>
      </w:r>
      <w:r w:rsidR="004C5A00">
        <w:rPr>
          <w:rFonts w:asciiTheme="majorHAnsi" w:hAnsiTheme="majorHAnsi"/>
          <w:sz w:val="20"/>
          <w:szCs w:val="20"/>
        </w:rPr>
        <w:t>ights</w:t>
      </w:r>
      <w:r w:rsidR="002428C9">
        <w:rPr>
          <w:rFonts w:asciiTheme="majorHAnsi" w:hAnsiTheme="majorHAnsi"/>
          <w:sz w:val="20"/>
          <w:szCs w:val="20"/>
        </w:rPr>
        <w:t xml:space="preserve"> of third parties</w:t>
      </w:r>
      <w:r w:rsidR="00867EC6" w:rsidRPr="00A51861">
        <w:rPr>
          <w:rFonts w:asciiTheme="majorHAnsi" w:hAnsiTheme="majorHAnsi"/>
          <w:sz w:val="20"/>
          <w:szCs w:val="20"/>
        </w:rPr>
        <w:t xml:space="preserve">, </w:t>
      </w:r>
      <w:r w:rsidR="002428C9">
        <w:rPr>
          <w:rFonts w:asciiTheme="majorHAnsi" w:hAnsiTheme="majorHAnsi"/>
          <w:sz w:val="20"/>
          <w:szCs w:val="20"/>
        </w:rPr>
        <w:t>for which reason their punishment does not seek to protect</w:t>
      </w:r>
      <w:r w:rsidR="00867EC6" w:rsidRPr="00A51861">
        <w:rPr>
          <w:rFonts w:asciiTheme="majorHAnsi" w:hAnsiTheme="majorHAnsi"/>
          <w:sz w:val="20"/>
          <w:szCs w:val="20"/>
        </w:rPr>
        <w:t xml:space="preserve"> individual</w:t>
      </w:r>
      <w:r w:rsidR="00E92985">
        <w:rPr>
          <w:rFonts w:asciiTheme="majorHAnsi" w:hAnsiTheme="majorHAnsi"/>
          <w:sz w:val="20"/>
          <w:szCs w:val="20"/>
        </w:rPr>
        <w:t xml:space="preserve"> or </w:t>
      </w:r>
      <w:r w:rsidR="002428C9" w:rsidRPr="00A51861">
        <w:rPr>
          <w:rFonts w:asciiTheme="majorHAnsi" w:hAnsiTheme="majorHAnsi"/>
          <w:sz w:val="20"/>
          <w:szCs w:val="20"/>
        </w:rPr>
        <w:t>collective</w:t>
      </w:r>
      <w:r w:rsidR="002428C9" w:rsidRPr="002428C9">
        <w:rPr>
          <w:rFonts w:asciiTheme="majorHAnsi" w:hAnsiTheme="majorHAnsi"/>
          <w:sz w:val="20"/>
          <w:szCs w:val="20"/>
        </w:rPr>
        <w:t xml:space="preserve"> </w:t>
      </w:r>
      <w:r w:rsidR="002428C9">
        <w:rPr>
          <w:rFonts w:asciiTheme="majorHAnsi" w:hAnsiTheme="majorHAnsi"/>
          <w:sz w:val="20"/>
          <w:szCs w:val="20"/>
        </w:rPr>
        <w:t>juridical assets</w:t>
      </w:r>
      <w:r w:rsidR="00867EC6" w:rsidRPr="00A51861">
        <w:rPr>
          <w:rFonts w:asciiTheme="majorHAnsi" w:hAnsiTheme="majorHAnsi"/>
          <w:sz w:val="20"/>
          <w:szCs w:val="20"/>
        </w:rPr>
        <w:t xml:space="preserve">. </w:t>
      </w:r>
      <w:r w:rsidR="002428C9">
        <w:rPr>
          <w:rFonts w:asciiTheme="majorHAnsi" w:hAnsiTheme="majorHAnsi"/>
          <w:sz w:val="20"/>
          <w:szCs w:val="20"/>
        </w:rPr>
        <w:t>It must be stressed</w:t>
      </w:r>
      <w:r w:rsidR="00E92985">
        <w:rPr>
          <w:rFonts w:asciiTheme="majorHAnsi" w:hAnsiTheme="majorHAnsi"/>
          <w:sz w:val="20"/>
          <w:szCs w:val="20"/>
        </w:rPr>
        <w:t xml:space="preserve"> that </w:t>
      </w:r>
      <w:r w:rsidR="00CD333E">
        <w:rPr>
          <w:rFonts w:asciiTheme="majorHAnsi" w:hAnsiTheme="majorHAnsi"/>
          <w:sz w:val="20"/>
          <w:szCs w:val="20"/>
        </w:rPr>
        <w:t xml:space="preserve">if </w:t>
      </w:r>
      <w:r w:rsidR="00E92985">
        <w:rPr>
          <w:rFonts w:asciiTheme="majorHAnsi" w:hAnsiTheme="majorHAnsi"/>
          <w:sz w:val="20"/>
          <w:szCs w:val="20"/>
        </w:rPr>
        <w:t xml:space="preserve">the </w:t>
      </w:r>
      <w:r w:rsidR="002428C9" w:rsidRPr="00A51861">
        <w:rPr>
          <w:rFonts w:asciiTheme="majorHAnsi" w:hAnsiTheme="majorHAnsi"/>
          <w:sz w:val="20"/>
          <w:szCs w:val="20"/>
        </w:rPr>
        <w:t>realization</w:t>
      </w:r>
      <w:r w:rsidR="00E92985">
        <w:rPr>
          <w:rFonts w:asciiTheme="majorHAnsi" w:hAnsiTheme="majorHAnsi"/>
          <w:sz w:val="20"/>
          <w:szCs w:val="20"/>
        </w:rPr>
        <w:t xml:space="preserve"> of </w:t>
      </w:r>
      <w:r w:rsidR="002428C9">
        <w:rPr>
          <w:rFonts w:asciiTheme="majorHAnsi" w:hAnsiTheme="majorHAnsi"/>
          <w:sz w:val="20"/>
          <w:szCs w:val="20"/>
        </w:rPr>
        <w:t>meetings</w:t>
      </w:r>
      <w:r w:rsidR="001B61A5" w:rsidRPr="00A51861">
        <w:rPr>
          <w:rFonts w:asciiTheme="majorHAnsi" w:hAnsiTheme="majorHAnsi"/>
          <w:sz w:val="20"/>
          <w:szCs w:val="20"/>
        </w:rPr>
        <w:t>,</w:t>
      </w:r>
      <w:r w:rsidR="004969F4">
        <w:rPr>
          <w:rFonts w:asciiTheme="majorHAnsi" w:hAnsiTheme="majorHAnsi"/>
          <w:sz w:val="20"/>
          <w:szCs w:val="20"/>
        </w:rPr>
        <w:t xml:space="preserve"> of </w:t>
      </w:r>
      <w:r w:rsidR="002428C9">
        <w:rPr>
          <w:rFonts w:asciiTheme="majorHAnsi" w:hAnsiTheme="majorHAnsi"/>
          <w:sz w:val="20"/>
          <w:szCs w:val="20"/>
        </w:rPr>
        <w:t>whichever kind</w:t>
      </w:r>
      <w:r w:rsidR="001B61A5" w:rsidRPr="00A51861">
        <w:rPr>
          <w:rFonts w:asciiTheme="majorHAnsi" w:hAnsiTheme="majorHAnsi"/>
          <w:sz w:val="20"/>
          <w:szCs w:val="20"/>
        </w:rPr>
        <w:t xml:space="preserve">, </w:t>
      </w:r>
      <w:r w:rsidR="002428C9">
        <w:rPr>
          <w:rFonts w:asciiTheme="majorHAnsi" w:hAnsiTheme="majorHAnsi"/>
          <w:sz w:val="20"/>
          <w:szCs w:val="20"/>
        </w:rPr>
        <w:t>is in itself punishable</w:t>
      </w:r>
      <w:r w:rsidR="001B61A5" w:rsidRPr="00A51861">
        <w:rPr>
          <w:rFonts w:asciiTheme="majorHAnsi" w:hAnsiTheme="majorHAnsi"/>
          <w:sz w:val="20"/>
          <w:szCs w:val="20"/>
        </w:rPr>
        <w:t xml:space="preserve"> </w:t>
      </w:r>
      <w:r w:rsidR="00CD333E">
        <w:rPr>
          <w:rFonts w:asciiTheme="majorHAnsi" w:hAnsiTheme="majorHAnsi"/>
          <w:sz w:val="20"/>
          <w:szCs w:val="20"/>
        </w:rPr>
        <w:t>even if</w:t>
      </w:r>
      <w:r w:rsidR="002428C9">
        <w:rPr>
          <w:rFonts w:asciiTheme="majorHAnsi" w:hAnsiTheme="majorHAnsi"/>
          <w:sz w:val="20"/>
          <w:szCs w:val="20"/>
        </w:rPr>
        <w:t xml:space="preserve"> said behavior does not</w:t>
      </w:r>
      <w:r w:rsidR="001B61A5" w:rsidRPr="00A51861">
        <w:rPr>
          <w:rFonts w:asciiTheme="majorHAnsi" w:hAnsiTheme="majorHAnsi"/>
          <w:sz w:val="20"/>
          <w:szCs w:val="20"/>
        </w:rPr>
        <w:t xml:space="preserve"> </w:t>
      </w:r>
      <w:r w:rsidR="002428C9">
        <w:rPr>
          <w:rFonts w:asciiTheme="majorHAnsi" w:hAnsiTheme="majorHAnsi"/>
          <w:sz w:val="20"/>
          <w:szCs w:val="20"/>
        </w:rPr>
        <w:t xml:space="preserve">transcend </w:t>
      </w:r>
      <w:r w:rsidR="00E92985">
        <w:rPr>
          <w:rFonts w:asciiTheme="majorHAnsi" w:hAnsiTheme="majorHAnsi"/>
          <w:sz w:val="20"/>
          <w:szCs w:val="20"/>
        </w:rPr>
        <w:t xml:space="preserve">the </w:t>
      </w:r>
      <w:r w:rsidR="002428C9" w:rsidRPr="00A51861">
        <w:rPr>
          <w:rFonts w:asciiTheme="majorHAnsi" w:hAnsiTheme="majorHAnsi"/>
          <w:sz w:val="20"/>
          <w:szCs w:val="20"/>
        </w:rPr>
        <w:t>orbit</w:t>
      </w:r>
      <w:r w:rsidR="00E92985">
        <w:rPr>
          <w:rFonts w:asciiTheme="majorHAnsi" w:hAnsiTheme="majorHAnsi"/>
          <w:sz w:val="20"/>
          <w:szCs w:val="20"/>
        </w:rPr>
        <w:t xml:space="preserve"> of </w:t>
      </w:r>
      <w:r w:rsidR="002428C9">
        <w:rPr>
          <w:rFonts w:asciiTheme="majorHAnsi" w:hAnsiTheme="majorHAnsi"/>
          <w:sz w:val="20"/>
          <w:szCs w:val="20"/>
        </w:rPr>
        <w:t>those who participate in it</w:t>
      </w:r>
      <w:r w:rsidR="001B61A5" w:rsidRPr="00A51861">
        <w:rPr>
          <w:rFonts w:asciiTheme="majorHAnsi" w:hAnsiTheme="majorHAnsi"/>
          <w:sz w:val="20"/>
          <w:szCs w:val="20"/>
        </w:rPr>
        <w:t xml:space="preserve">, </w:t>
      </w:r>
      <w:r w:rsidR="00CD333E">
        <w:rPr>
          <w:rFonts w:asciiTheme="majorHAnsi" w:hAnsiTheme="majorHAnsi"/>
          <w:sz w:val="20"/>
          <w:szCs w:val="20"/>
        </w:rPr>
        <w:t xml:space="preserve">that </w:t>
      </w:r>
      <w:r w:rsidR="00286F31">
        <w:rPr>
          <w:rFonts w:asciiTheme="majorHAnsi" w:hAnsiTheme="majorHAnsi"/>
          <w:sz w:val="20"/>
          <w:szCs w:val="20"/>
        </w:rPr>
        <w:t>would undoubtedly be counter to the</w:t>
      </w:r>
      <w:r w:rsidR="009A4F91">
        <w:rPr>
          <w:rFonts w:asciiTheme="majorHAnsi" w:hAnsiTheme="majorHAnsi"/>
          <w:sz w:val="20"/>
          <w:szCs w:val="20"/>
        </w:rPr>
        <w:t xml:space="preserve"> </w:t>
      </w:r>
      <w:r w:rsidR="00286F31" w:rsidRPr="00A51861">
        <w:rPr>
          <w:rFonts w:asciiTheme="majorHAnsi" w:hAnsiTheme="majorHAnsi"/>
          <w:sz w:val="20"/>
          <w:szCs w:val="20"/>
        </w:rPr>
        <w:t>Declaration</w:t>
      </w:r>
      <w:r w:rsidR="001B61A5" w:rsidRPr="00A51861">
        <w:rPr>
          <w:rFonts w:asciiTheme="majorHAnsi" w:hAnsiTheme="majorHAnsi"/>
          <w:sz w:val="20"/>
          <w:szCs w:val="20"/>
        </w:rPr>
        <w:t xml:space="preserve">, </w:t>
      </w:r>
      <w:r w:rsidR="00286F31">
        <w:rPr>
          <w:rFonts w:asciiTheme="majorHAnsi" w:hAnsiTheme="majorHAnsi"/>
          <w:sz w:val="20"/>
          <w:szCs w:val="20"/>
        </w:rPr>
        <w:t>for being an orbit precisely</w:t>
      </w:r>
      <w:r w:rsidR="001B61A5" w:rsidRPr="00A51861">
        <w:rPr>
          <w:rFonts w:asciiTheme="majorHAnsi" w:hAnsiTheme="majorHAnsi"/>
          <w:sz w:val="20"/>
          <w:szCs w:val="20"/>
        </w:rPr>
        <w:t xml:space="preserve"> </w:t>
      </w:r>
      <w:r w:rsidR="00286F31">
        <w:rPr>
          <w:rFonts w:asciiTheme="majorHAnsi" w:hAnsiTheme="majorHAnsi"/>
          <w:sz w:val="20"/>
          <w:szCs w:val="20"/>
        </w:rPr>
        <w:t>subtracted from the exercise</w:t>
      </w:r>
      <w:r w:rsidR="004969F4">
        <w:rPr>
          <w:rFonts w:asciiTheme="majorHAnsi" w:hAnsiTheme="majorHAnsi"/>
          <w:sz w:val="20"/>
          <w:szCs w:val="20"/>
        </w:rPr>
        <w:t xml:space="preserve"> of the </w:t>
      </w:r>
      <w:r w:rsidR="001B61A5" w:rsidRPr="00A51861">
        <w:rPr>
          <w:rFonts w:asciiTheme="majorHAnsi" w:hAnsiTheme="majorHAnsi"/>
          <w:i/>
          <w:sz w:val="20"/>
          <w:szCs w:val="20"/>
        </w:rPr>
        <w:t>ius puniendi</w:t>
      </w:r>
      <w:r w:rsidR="001B61A5" w:rsidRPr="00A51861">
        <w:rPr>
          <w:rFonts w:asciiTheme="majorHAnsi" w:hAnsiTheme="majorHAnsi"/>
          <w:sz w:val="20"/>
          <w:szCs w:val="20"/>
        </w:rPr>
        <w:t xml:space="preserve"> </w:t>
      </w:r>
      <w:r w:rsidR="00286F31">
        <w:rPr>
          <w:rFonts w:asciiTheme="majorHAnsi" w:hAnsiTheme="majorHAnsi"/>
          <w:sz w:val="20"/>
          <w:szCs w:val="20"/>
        </w:rPr>
        <w:t>of the State</w:t>
      </w:r>
      <w:r w:rsidR="001B61A5" w:rsidRPr="00A51861">
        <w:rPr>
          <w:rFonts w:asciiTheme="majorHAnsi" w:hAnsiTheme="majorHAnsi"/>
          <w:sz w:val="20"/>
          <w:szCs w:val="20"/>
        </w:rPr>
        <w:t xml:space="preserve">, </w:t>
      </w:r>
      <w:r w:rsidR="00286F31">
        <w:rPr>
          <w:rFonts w:asciiTheme="majorHAnsi" w:hAnsiTheme="majorHAnsi"/>
          <w:sz w:val="20"/>
          <w:szCs w:val="20"/>
        </w:rPr>
        <w:t>which has as unyielding limit</w:t>
      </w:r>
      <w:r w:rsidR="001B61A5" w:rsidRPr="00A51861">
        <w:rPr>
          <w:rFonts w:asciiTheme="majorHAnsi" w:hAnsiTheme="majorHAnsi"/>
          <w:sz w:val="20"/>
          <w:szCs w:val="20"/>
        </w:rPr>
        <w:t xml:space="preserve"> i</w:t>
      </w:r>
      <w:r w:rsidR="00CD333E">
        <w:rPr>
          <w:rFonts w:asciiTheme="majorHAnsi" w:hAnsiTheme="majorHAnsi"/>
          <w:sz w:val="20"/>
          <w:szCs w:val="20"/>
        </w:rPr>
        <w:t>n</w:t>
      </w:r>
      <w:r w:rsidR="009A4F91">
        <w:rPr>
          <w:rFonts w:asciiTheme="majorHAnsi" w:hAnsiTheme="majorHAnsi"/>
          <w:sz w:val="20"/>
          <w:szCs w:val="20"/>
        </w:rPr>
        <w:t xml:space="preserve"> the </w:t>
      </w:r>
      <w:r w:rsidR="00286F31">
        <w:rPr>
          <w:rFonts w:asciiTheme="majorHAnsi" w:hAnsiTheme="majorHAnsi"/>
          <w:sz w:val="20"/>
          <w:szCs w:val="20"/>
        </w:rPr>
        <w:t>free</w:t>
      </w:r>
      <w:r w:rsidR="001B61A5" w:rsidRPr="00A51861">
        <w:rPr>
          <w:rFonts w:asciiTheme="majorHAnsi" w:hAnsiTheme="majorHAnsi"/>
          <w:sz w:val="20"/>
          <w:szCs w:val="20"/>
        </w:rPr>
        <w:t xml:space="preserve"> </w:t>
      </w:r>
      <w:r w:rsidR="00286F31" w:rsidRPr="00A51861">
        <w:rPr>
          <w:rFonts w:asciiTheme="majorHAnsi" w:hAnsiTheme="majorHAnsi"/>
          <w:sz w:val="20"/>
          <w:szCs w:val="20"/>
        </w:rPr>
        <w:t>determination</w:t>
      </w:r>
      <w:r w:rsidR="00E92985">
        <w:rPr>
          <w:rFonts w:asciiTheme="majorHAnsi" w:hAnsiTheme="majorHAnsi"/>
          <w:sz w:val="20"/>
          <w:szCs w:val="20"/>
        </w:rPr>
        <w:t xml:space="preserve"> and</w:t>
      </w:r>
      <w:r w:rsidR="009A4F91">
        <w:rPr>
          <w:rFonts w:asciiTheme="majorHAnsi" w:hAnsiTheme="majorHAnsi"/>
          <w:sz w:val="20"/>
          <w:szCs w:val="20"/>
        </w:rPr>
        <w:t xml:space="preserve"> </w:t>
      </w:r>
      <w:r w:rsidR="001B61A5" w:rsidRPr="00A51861">
        <w:rPr>
          <w:rFonts w:asciiTheme="majorHAnsi" w:hAnsiTheme="majorHAnsi"/>
          <w:sz w:val="20"/>
          <w:szCs w:val="20"/>
        </w:rPr>
        <w:t>digni</w:t>
      </w:r>
      <w:r w:rsidR="00FA2E7B">
        <w:rPr>
          <w:rFonts w:asciiTheme="majorHAnsi" w:hAnsiTheme="majorHAnsi"/>
          <w:sz w:val="20"/>
          <w:szCs w:val="20"/>
        </w:rPr>
        <w:t xml:space="preserve">ty </w:t>
      </w:r>
      <w:r w:rsidR="00E92985">
        <w:rPr>
          <w:rFonts w:asciiTheme="majorHAnsi" w:hAnsiTheme="majorHAnsi"/>
          <w:sz w:val="20"/>
          <w:szCs w:val="20"/>
        </w:rPr>
        <w:t xml:space="preserve">of the </w:t>
      </w:r>
      <w:r w:rsidR="001B61A5" w:rsidRPr="00A51861">
        <w:rPr>
          <w:rFonts w:asciiTheme="majorHAnsi" w:hAnsiTheme="majorHAnsi"/>
          <w:sz w:val="20"/>
          <w:szCs w:val="20"/>
        </w:rPr>
        <w:t xml:space="preserve">person, </w:t>
      </w:r>
      <w:r w:rsidR="00286F31">
        <w:rPr>
          <w:rFonts w:asciiTheme="majorHAnsi" w:hAnsiTheme="majorHAnsi"/>
          <w:sz w:val="20"/>
          <w:szCs w:val="20"/>
        </w:rPr>
        <w:t>which</w:t>
      </w:r>
      <w:r w:rsidR="001B61A5" w:rsidRPr="00A51861">
        <w:rPr>
          <w:rFonts w:asciiTheme="majorHAnsi" w:hAnsiTheme="majorHAnsi"/>
          <w:sz w:val="20"/>
          <w:szCs w:val="20"/>
        </w:rPr>
        <w:t xml:space="preserve"> constitu</w:t>
      </w:r>
      <w:r w:rsidR="00286F31">
        <w:rPr>
          <w:rFonts w:asciiTheme="majorHAnsi" w:hAnsiTheme="majorHAnsi"/>
          <w:sz w:val="20"/>
          <w:szCs w:val="20"/>
        </w:rPr>
        <w:t>t</w:t>
      </w:r>
      <w:r w:rsidR="001B61A5" w:rsidRPr="00A51861">
        <w:rPr>
          <w:rFonts w:asciiTheme="majorHAnsi" w:hAnsiTheme="majorHAnsi"/>
          <w:sz w:val="20"/>
          <w:szCs w:val="20"/>
        </w:rPr>
        <w:t xml:space="preserve">e </w:t>
      </w:r>
      <w:r w:rsidR="00286F31">
        <w:rPr>
          <w:rFonts w:asciiTheme="majorHAnsi" w:hAnsiTheme="majorHAnsi"/>
          <w:sz w:val="20"/>
          <w:szCs w:val="20"/>
        </w:rPr>
        <w:t>the basic columns of any legal system</w:t>
      </w:r>
      <w:r w:rsidR="001B61A5" w:rsidRPr="00A51861">
        <w:rPr>
          <w:rStyle w:val="FootnoteReference"/>
          <w:rFonts w:asciiTheme="majorHAnsi" w:hAnsiTheme="majorHAnsi"/>
          <w:sz w:val="20"/>
          <w:szCs w:val="20"/>
        </w:rPr>
        <w:footnoteReference w:id="168"/>
      </w:r>
      <w:r w:rsidR="001B61A5" w:rsidRPr="00A51861">
        <w:rPr>
          <w:rFonts w:asciiTheme="majorHAnsi" w:hAnsiTheme="majorHAnsi"/>
          <w:sz w:val="20"/>
          <w:szCs w:val="20"/>
        </w:rPr>
        <w:t>.</w:t>
      </w:r>
    </w:p>
    <w:p w14:paraId="364CC74C" w14:textId="77777777" w:rsidR="001B61A5" w:rsidRPr="00A51861" w:rsidRDefault="001B61A5" w:rsidP="008E4D3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14:paraId="3A868800" w14:textId="3481741E" w:rsidR="005C2784" w:rsidRPr="00A51861" w:rsidRDefault="00A311C9"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On the contrary</w:t>
      </w:r>
      <w:r w:rsidR="002217D1" w:rsidRPr="00A51861">
        <w:rPr>
          <w:rFonts w:asciiTheme="majorHAnsi" w:hAnsiTheme="majorHAnsi"/>
          <w:sz w:val="20"/>
          <w:szCs w:val="20"/>
        </w:rPr>
        <w:t>,</w:t>
      </w:r>
      <w:r w:rsidR="009A4F91">
        <w:rPr>
          <w:rFonts w:asciiTheme="majorHAnsi" w:hAnsiTheme="majorHAnsi"/>
          <w:sz w:val="20"/>
          <w:szCs w:val="20"/>
        </w:rPr>
        <w:t xml:space="preserve"> the </w:t>
      </w:r>
      <w:r>
        <w:rPr>
          <w:rFonts w:asciiTheme="majorHAnsi" w:hAnsiTheme="majorHAnsi"/>
          <w:sz w:val="20"/>
          <w:szCs w:val="20"/>
        </w:rPr>
        <w:t>punishment</w:t>
      </w:r>
      <w:r w:rsidR="002217D1" w:rsidRPr="00A51861">
        <w:rPr>
          <w:rFonts w:asciiTheme="majorHAnsi" w:hAnsiTheme="majorHAnsi"/>
          <w:sz w:val="20"/>
          <w:szCs w:val="20"/>
        </w:rPr>
        <w:t xml:space="preserve"> </w:t>
      </w:r>
      <w:r>
        <w:rPr>
          <w:rFonts w:asciiTheme="majorHAnsi" w:hAnsiTheme="majorHAnsi"/>
          <w:sz w:val="20"/>
          <w:szCs w:val="20"/>
        </w:rPr>
        <w:t xml:space="preserve">with a sentence </w:t>
      </w:r>
      <w:r w:rsidR="00E92985">
        <w:rPr>
          <w:rFonts w:asciiTheme="majorHAnsi" w:hAnsiTheme="majorHAnsi"/>
          <w:sz w:val="20"/>
          <w:szCs w:val="20"/>
        </w:rPr>
        <w:t xml:space="preserve">of </w:t>
      </w:r>
      <w:r w:rsidR="00160A67">
        <w:rPr>
          <w:rFonts w:asciiTheme="majorHAnsi" w:hAnsiTheme="majorHAnsi"/>
          <w:sz w:val="20"/>
          <w:szCs w:val="20"/>
        </w:rPr>
        <w:t>arrest</w:t>
      </w:r>
      <w:r w:rsidR="00E92985">
        <w:rPr>
          <w:rFonts w:asciiTheme="majorHAnsi" w:hAnsiTheme="majorHAnsi"/>
          <w:sz w:val="20"/>
          <w:szCs w:val="20"/>
        </w:rPr>
        <w:t xml:space="preserve"> </w:t>
      </w:r>
      <w:r>
        <w:rPr>
          <w:rFonts w:asciiTheme="majorHAnsi" w:hAnsiTheme="majorHAnsi"/>
          <w:sz w:val="20"/>
          <w:szCs w:val="20"/>
        </w:rPr>
        <w:t>for the conduction</w:t>
      </w:r>
      <w:r w:rsidR="00E92985">
        <w:rPr>
          <w:rFonts w:asciiTheme="majorHAnsi" w:hAnsiTheme="majorHAnsi"/>
          <w:sz w:val="20"/>
          <w:szCs w:val="20"/>
        </w:rPr>
        <w:t xml:space="preserve"> of </w:t>
      </w:r>
      <w:r w:rsidR="00160A67">
        <w:rPr>
          <w:rFonts w:asciiTheme="majorHAnsi" w:hAnsiTheme="majorHAnsi"/>
          <w:sz w:val="20"/>
          <w:szCs w:val="20"/>
        </w:rPr>
        <w:t>public assemblies</w:t>
      </w:r>
      <w:r w:rsidR="002217D1" w:rsidRPr="00A51861">
        <w:rPr>
          <w:rFonts w:asciiTheme="majorHAnsi" w:hAnsiTheme="majorHAnsi"/>
          <w:sz w:val="20"/>
          <w:szCs w:val="20"/>
        </w:rPr>
        <w:t xml:space="preserve"> </w:t>
      </w:r>
      <w:r>
        <w:rPr>
          <w:rFonts w:asciiTheme="majorHAnsi" w:hAnsiTheme="majorHAnsi"/>
          <w:sz w:val="20"/>
          <w:szCs w:val="20"/>
        </w:rPr>
        <w:t>as it seems worded in the</w:t>
      </w:r>
      <w:r w:rsidR="001B61A5" w:rsidRPr="00A51861">
        <w:rPr>
          <w:rFonts w:asciiTheme="majorHAnsi" w:hAnsiTheme="majorHAnsi"/>
          <w:sz w:val="20"/>
          <w:szCs w:val="20"/>
        </w:rPr>
        <w:t xml:space="preserve"> </w:t>
      </w:r>
      <w:r w:rsidR="00280367">
        <w:rPr>
          <w:rFonts w:asciiTheme="majorHAnsi" w:hAnsiTheme="majorHAnsi"/>
          <w:sz w:val="20"/>
          <w:szCs w:val="20"/>
        </w:rPr>
        <w:t>Decre</w:t>
      </w:r>
      <w:r>
        <w:rPr>
          <w:rFonts w:asciiTheme="majorHAnsi" w:hAnsiTheme="majorHAnsi"/>
          <w:sz w:val="20"/>
          <w:szCs w:val="20"/>
        </w:rPr>
        <w:t>e which concerns us</w:t>
      </w:r>
      <w:r w:rsidR="001B61A5" w:rsidRPr="00A51861">
        <w:rPr>
          <w:rFonts w:asciiTheme="majorHAnsi" w:hAnsiTheme="majorHAnsi"/>
          <w:sz w:val="20"/>
          <w:szCs w:val="20"/>
        </w:rPr>
        <w:t>, viola</w:t>
      </w:r>
      <w:r>
        <w:rPr>
          <w:rFonts w:asciiTheme="majorHAnsi" w:hAnsiTheme="majorHAnsi"/>
          <w:sz w:val="20"/>
          <w:szCs w:val="20"/>
        </w:rPr>
        <w:t>tes</w:t>
      </w:r>
      <w:r w:rsidR="001B61A5" w:rsidRPr="00A51861">
        <w:rPr>
          <w:rFonts w:asciiTheme="majorHAnsi" w:hAnsiTheme="majorHAnsi"/>
          <w:sz w:val="20"/>
          <w:szCs w:val="20"/>
        </w:rPr>
        <w:t xml:space="preserve"> </w:t>
      </w:r>
      <w:r>
        <w:rPr>
          <w:rFonts w:asciiTheme="majorHAnsi" w:hAnsiTheme="majorHAnsi"/>
          <w:sz w:val="20"/>
          <w:szCs w:val="20"/>
        </w:rPr>
        <w:t>also the</w:t>
      </w:r>
      <w:r w:rsidR="002217D1" w:rsidRPr="00A51861">
        <w:rPr>
          <w:rFonts w:asciiTheme="majorHAnsi" w:hAnsiTheme="majorHAnsi"/>
          <w:sz w:val="20"/>
          <w:szCs w:val="20"/>
        </w:rPr>
        <w:t xml:space="preserve"> </w:t>
      </w:r>
      <w:r w:rsidR="009B462E">
        <w:rPr>
          <w:rFonts w:asciiTheme="majorHAnsi" w:hAnsiTheme="majorHAnsi"/>
          <w:sz w:val="20"/>
          <w:szCs w:val="20"/>
        </w:rPr>
        <w:t xml:space="preserve">right of assembly </w:t>
      </w:r>
      <w:r w:rsidR="002217D1" w:rsidRPr="00A51861">
        <w:rPr>
          <w:rFonts w:asciiTheme="majorHAnsi" w:hAnsiTheme="majorHAnsi"/>
          <w:sz w:val="20"/>
          <w:szCs w:val="20"/>
        </w:rPr>
        <w:t>contempla</w:t>
      </w:r>
      <w:r>
        <w:rPr>
          <w:rFonts w:asciiTheme="majorHAnsi" w:hAnsiTheme="majorHAnsi"/>
          <w:sz w:val="20"/>
          <w:szCs w:val="20"/>
        </w:rPr>
        <w:t>ted</w:t>
      </w:r>
      <w:r w:rsidR="002217D1" w:rsidRPr="00A51861">
        <w:rPr>
          <w:rFonts w:asciiTheme="majorHAnsi" w:hAnsiTheme="majorHAnsi"/>
          <w:sz w:val="20"/>
          <w:szCs w:val="20"/>
        </w:rPr>
        <w:t xml:space="preserve"> </w:t>
      </w:r>
      <w:r>
        <w:rPr>
          <w:rFonts w:asciiTheme="majorHAnsi" w:hAnsiTheme="majorHAnsi"/>
          <w:sz w:val="20"/>
          <w:szCs w:val="20"/>
        </w:rPr>
        <w:t>in</w:t>
      </w:r>
      <w:r w:rsidR="009A4F91">
        <w:rPr>
          <w:rFonts w:asciiTheme="majorHAnsi" w:hAnsiTheme="majorHAnsi"/>
          <w:sz w:val="20"/>
          <w:szCs w:val="20"/>
        </w:rPr>
        <w:t xml:space="preserve"> the </w:t>
      </w:r>
      <w:r>
        <w:rPr>
          <w:rFonts w:asciiTheme="majorHAnsi" w:hAnsiTheme="majorHAnsi"/>
          <w:sz w:val="20"/>
          <w:szCs w:val="20"/>
        </w:rPr>
        <w:t>American Declaration</w:t>
      </w:r>
      <w:r w:rsidR="002217D1" w:rsidRPr="00A51861">
        <w:rPr>
          <w:rFonts w:asciiTheme="majorHAnsi" w:hAnsiTheme="majorHAnsi"/>
          <w:sz w:val="20"/>
          <w:szCs w:val="20"/>
        </w:rPr>
        <w:t xml:space="preserve">. </w:t>
      </w:r>
      <w:r>
        <w:rPr>
          <w:rFonts w:asciiTheme="majorHAnsi" w:hAnsiTheme="majorHAnsi"/>
          <w:sz w:val="20"/>
          <w:szCs w:val="20"/>
        </w:rPr>
        <w:t>In this sense</w:t>
      </w:r>
      <w:r w:rsidR="002217D1" w:rsidRPr="00A51861">
        <w:rPr>
          <w:rFonts w:asciiTheme="majorHAnsi" w:hAnsiTheme="majorHAnsi"/>
          <w:sz w:val="20"/>
          <w:szCs w:val="20"/>
        </w:rPr>
        <w:t xml:space="preserve">, </w:t>
      </w:r>
      <w:r w:rsidR="00E92985">
        <w:rPr>
          <w:rFonts w:asciiTheme="majorHAnsi" w:hAnsiTheme="majorHAnsi"/>
          <w:sz w:val="20"/>
          <w:szCs w:val="20"/>
        </w:rPr>
        <w:t>the Commission</w:t>
      </w:r>
      <w:r w:rsidR="00BC6B40" w:rsidRPr="00A51861">
        <w:rPr>
          <w:rFonts w:asciiTheme="majorHAnsi" w:hAnsiTheme="majorHAnsi"/>
          <w:sz w:val="20"/>
          <w:szCs w:val="20"/>
        </w:rPr>
        <w:t xml:space="preserve"> </w:t>
      </w:r>
      <w:r w:rsidR="00A51861" w:rsidRPr="00A51861">
        <w:rPr>
          <w:rFonts w:asciiTheme="majorHAnsi" w:hAnsiTheme="majorHAnsi"/>
          <w:sz w:val="20"/>
          <w:szCs w:val="20"/>
        </w:rPr>
        <w:t>observes that</w:t>
      </w:r>
      <w:r w:rsidR="00BC6B40" w:rsidRPr="00A51861">
        <w:rPr>
          <w:rFonts w:asciiTheme="majorHAnsi" w:hAnsiTheme="majorHAnsi"/>
          <w:sz w:val="20"/>
          <w:szCs w:val="20"/>
        </w:rPr>
        <w:t xml:space="preserve"> </w:t>
      </w:r>
      <w:r w:rsidR="00F92BA8">
        <w:rPr>
          <w:rFonts w:asciiTheme="majorHAnsi" w:hAnsiTheme="majorHAnsi"/>
          <w:sz w:val="20"/>
          <w:szCs w:val="20"/>
        </w:rPr>
        <w:t>the State</w:t>
      </w:r>
      <w:r w:rsidR="005F1B3C" w:rsidRPr="00A51861">
        <w:rPr>
          <w:rFonts w:asciiTheme="majorHAnsi" w:hAnsiTheme="majorHAnsi"/>
          <w:sz w:val="20"/>
          <w:szCs w:val="20"/>
        </w:rPr>
        <w:t xml:space="preserve"> </w:t>
      </w:r>
      <w:r>
        <w:rPr>
          <w:rFonts w:asciiTheme="majorHAnsi" w:hAnsiTheme="majorHAnsi"/>
          <w:sz w:val="20"/>
          <w:szCs w:val="20"/>
        </w:rPr>
        <w:t>offered no</w:t>
      </w:r>
      <w:r w:rsidR="005F1B3C" w:rsidRPr="00A51861">
        <w:rPr>
          <w:rFonts w:asciiTheme="majorHAnsi" w:hAnsiTheme="majorHAnsi"/>
          <w:sz w:val="20"/>
          <w:szCs w:val="20"/>
        </w:rPr>
        <w:t xml:space="preserve"> </w:t>
      </w:r>
      <w:r w:rsidRPr="00A51861">
        <w:rPr>
          <w:rFonts w:asciiTheme="majorHAnsi" w:hAnsiTheme="majorHAnsi"/>
          <w:sz w:val="20"/>
          <w:szCs w:val="20"/>
        </w:rPr>
        <w:t>justification</w:t>
      </w:r>
      <w:r w:rsidR="00E92985">
        <w:rPr>
          <w:rFonts w:asciiTheme="majorHAnsi" w:hAnsiTheme="majorHAnsi"/>
          <w:sz w:val="20"/>
          <w:szCs w:val="20"/>
        </w:rPr>
        <w:t xml:space="preserve"> </w:t>
      </w:r>
      <w:r>
        <w:rPr>
          <w:rFonts w:asciiTheme="majorHAnsi" w:hAnsiTheme="majorHAnsi"/>
          <w:sz w:val="20"/>
          <w:szCs w:val="20"/>
        </w:rPr>
        <w:t>as to why</w:t>
      </w:r>
      <w:r w:rsidR="005F1B3C" w:rsidRPr="00A51861">
        <w:rPr>
          <w:rFonts w:asciiTheme="majorHAnsi" w:hAnsiTheme="majorHAnsi"/>
          <w:sz w:val="20"/>
          <w:szCs w:val="20"/>
        </w:rPr>
        <w:t xml:space="preserve"> </w:t>
      </w:r>
      <w:r>
        <w:rPr>
          <w:rFonts w:asciiTheme="majorHAnsi" w:hAnsiTheme="majorHAnsi"/>
          <w:sz w:val="20"/>
          <w:szCs w:val="20"/>
        </w:rPr>
        <w:t>the</w:t>
      </w:r>
      <w:r w:rsidR="005F1B3C" w:rsidRPr="00A51861">
        <w:rPr>
          <w:rFonts w:asciiTheme="majorHAnsi" w:hAnsiTheme="majorHAnsi"/>
          <w:sz w:val="20"/>
          <w:szCs w:val="20"/>
        </w:rPr>
        <w:t xml:space="preserve"> </w:t>
      </w:r>
      <w:r>
        <w:rPr>
          <w:rFonts w:asciiTheme="majorHAnsi" w:hAnsiTheme="majorHAnsi"/>
          <w:sz w:val="20"/>
          <w:szCs w:val="20"/>
        </w:rPr>
        <w:t>behavior</w:t>
      </w:r>
      <w:r w:rsidR="005F1B3C" w:rsidRPr="00A51861">
        <w:rPr>
          <w:rFonts w:asciiTheme="majorHAnsi" w:hAnsiTheme="majorHAnsi"/>
          <w:sz w:val="20"/>
          <w:szCs w:val="20"/>
        </w:rPr>
        <w:t xml:space="preserve"> </w:t>
      </w:r>
      <w:r>
        <w:rPr>
          <w:rFonts w:asciiTheme="majorHAnsi" w:hAnsiTheme="majorHAnsi"/>
          <w:sz w:val="20"/>
          <w:szCs w:val="20"/>
        </w:rPr>
        <w:t>performed by</w:t>
      </w:r>
      <w:r w:rsidR="005F1B3C" w:rsidRPr="00A51861">
        <w:rPr>
          <w:rFonts w:asciiTheme="majorHAnsi" w:hAnsiTheme="majorHAnsi"/>
          <w:sz w:val="20"/>
          <w:szCs w:val="20"/>
        </w:rPr>
        <w:t xml:space="preserve"> </w:t>
      </w:r>
      <w:r w:rsidR="002835FC" w:rsidRPr="00A51861">
        <w:rPr>
          <w:rFonts w:asciiTheme="majorHAnsi" w:hAnsiTheme="majorHAnsi"/>
          <w:sz w:val="20"/>
          <w:szCs w:val="20"/>
        </w:rPr>
        <w:t xml:space="preserve">the alleged victims </w:t>
      </w:r>
      <w:r>
        <w:rPr>
          <w:rFonts w:asciiTheme="majorHAnsi" w:hAnsiTheme="majorHAnsi"/>
          <w:sz w:val="20"/>
          <w:szCs w:val="20"/>
        </w:rPr>
        <w:t>meant</w:t>
      </w:r>
      <w:r w:rsidR="005F1B3C" w:rsidRPr="00A51861">
        <w:rPr>
          <w:rFonts w:asciiTheme="majorHAnsi" w:hAnsiTheme="majorHAnsi"/>
          <w:sz w:val="20"/>
          <w:szCs w:val="20"/>
        </w:rPr>
        <w:t xml:space="preserve"> </w:t>
      </w:r>
      <w:r w:rsidR="00E92985">
        <w:rPr>
          <w:rFonts w:asciiTheme="majorHAnsi" w:hAnsiTheme="majorHAnsi"/>
          <w:sz w:val="20"/>
          <w:szCs w:val="20"/>
        </w:rPr>
        <w:t xml:space="preserve">the </w:t>
      </w:r>
      <w:r>
        <w:rPr>
          <w:rFonts w:asciiTheme="majorHAnsi" w:hAnsiTheme="majorHAnsi"/>
          <w:sz w:val="20"/>
          <w:szCs w:val="20"/>
        </w:rPr>
        <w:t>perpetration</w:t>
      </w:r>
      <w:r w:rsidR="00E92985">
        <w:rPr>
          <w:rFonts w:asciiTheme="majorHAnsi" w:hAnsiTheme="majorHAnsi"/>
          <w:sz w:val="20"/>
          <w:szCs w:val="20"/>
        </w:rPr>
        <w:t xml:space="preserve"> of </w:t>
      </w:r>
      <w:r>
        <w:rPr>
          <w:rFonts w:asciiTheme="majorHAnsi" w:hAnsiTheme="majorHAnsi"/>
          <w:sz w:val="20"/>
          <w:szCs w:val="20"/>
        </w:rPr>
        <w:t>a</w:t>
      </w:r>
      <w:r w:rsidR="005F1B3C" w:rsidRPr="00A51861">
        <w:rPr>
          <w:rFonts w:asciiTheme="majorHAnsi" w:hAnsiTheme="majorHAnsi"/>
          <w:sz w:val="20"/>
          <w:szCs w:val="20"/>
        </w:rPr>
        <w:t xml:space="preserve"> </w:t>
      </w:r>
      <w:r w:rsidRPr="00A51861">
        <w:rPr>
          <w:rFonts w:asciiTheme="majorHAnsi" w:hAnsiTheme="majorHAnsi"/>
          <w:sz w:val="20"/>
          <w:szCs w:val="20"/>
        </w:rPr>
        <w:t>contravention</w:t>
      </w:r>
      <w:r w:rsidR="005F1B3C" w:rsidRPr="00A51861">
        <w:rPr>
          <w:rFonts w:asciiTheme="majorHAnsi" w:hAnsiTheme="majorHAnsi"/>
          <w:sz w:val="20"/>
          <w:szCs w:val="20"/>
        </w:rPr>
        <w:t xml:space="preserve"> </w:t>
      </w:r>
      <w:r>
        <w:rPr>
          <w:rFonts w:asciiTheme="majorHAnsi" w:hAnsiTheme="majorHAnsi"/>
          <w:sz w:val="20"/>
          <w:szCs w:val="20"/>
        </w:rPr>
        <w:t>when it could have been limited to the exercise of a conventionally supported right</w:t>
      </w:r>
      <w:r w:rsidR="005F1B3C" w:rsidRPr="00A51861">
        <w:rPr>
          <w:rFonts w:asciiTheme="majorHAnsi" w:hAnsiTheme="majorHAnsi"/>
          <w:sz w:val="20"/>
          <w:szCs w:val="20"/>
        </w:rPr>
        <w:t xml:space="preserve">. </w:t>
      </w:r>
      <w:r>
        <w:rPr>
          <w:rFonts w:asciiTheme="majorHAnsi" w:hAnsiTheme="majorHAnsi"/>
          <w:sz w:val="20"/>
          <w:szCs w:val="20"/>
        </w:rPr>
        <w:t>In fact</w:t>
      </w:r>
      <w:r w:rsidR="005C2784" w:rsidRPr="00A51861">
        <w:rPr>
          <w:rFonts w:asciiTheme="majorHAnsi" w:hAnsiTheme="majorHAnsi"/>
          <w:sz w:val="20"/>
          <w:szCs w:val="20"/>
        </w:rPr>
        <w:t xml:space="preserve">, </w:t>
      </w:r>
      <w:r>
        <w:rPr>
          <w:rFonts w:asciiTheme="majorHAnsi" w:hAnsiTheme="majorHAnsi"/>
          <w:sz w:val="20"/>
          <w:szCs w:val="20"/>
        </w:rPr>
        <w:t xml:space="preserve">no reason was raised to consider </w:t>
      </w:r>
      <w:r w:rsidR="00E92985">
        <w:rPr>
          <w:rFonts w:asciiTheme="majorHAnsi" w:hAnsiTheme="majorHAnsi"/>
          <w:sz w:val="20"/>
          <w:szCs w:val="20"/>
        </w:rPr>
        <w:t xml:space="preserve">the </w:t>
      </w:r>
      <w:r>
        <w:rPr>
          <w:rFonts w:asciiTheme="majorHAnsi" w:hAnsiTheme="majorHAnsi"/>
          <w:sz w:val="20"/>
          <w:szCs w:val="20"/>
        </w:rPr>
        <w:t>exercise</w:t>
      </w:r>
      <w:r w:rsidR="004969F4">
        <w:rPr>
          <w:rFonts w:asciiTheme="majorHAnsi" w:hAnsiTheme="majorHAnsi"/>
          <w:sz w:val="20"/>
          <w:szCs w:val="20"/>
        </w:rPr>
        <w:t xml:space="preserve"> of the </w:t>
      </w:r>
      <w:r w:rsidR="009B462E">
        <w:rPr>
          <w:rFonts w:asciiTheme="majorHAnsi" w:hAnsiTheme="majorHAnsi"/>
          <w:sz w:val="20"/>
          <w:szCs w:val="20"/>
        </w:rPr>
        <w:t xml:space="preserve">right of assembly </w:t>
      </w:r>
      <w:r>
        <w:rPr>
          <w:rFonts w:asciiTheme="majorHAnsi" w:hAnsiTheme="majorHAnsi"/>
          <w:sz w:val="20"/>
          <w:szCs w:val="20"/>
        </w:rPr>
        <w:t>as a</w:t>
      </w:r>
      <w:r w:rsidR="005C2784" w:rsidRPr="00A51861">
        <w:rPr>
          <w:rFonts w:asciiTheme="majorHAnsi" w:hAnsiTheme="majorHAnsi"/>
          <w:sz w:val="20"/>
          <w:szCs w:val="20"/>
        </w:rPr>
        <w:t xml:space="preserve"> </w:t>
      </w:r>
      <w:r w:rsidRPr="00A51861">
        <w:rPr>
          <w:rFonts w:asciiTheme="majorHAnsi" w:hAnsiTheme="majorHAnsi"/>
          <w:sz w:val="20"/>
          <w:szCs w:val="20"/>
        </w:rPr>
        <w:t>contravention</w:t>
      </w:r>
      <w:r w:rsidR="005C2784" w:rsidRPr="00A51861">
        <w:rPr>
          <w:rFonts w:asciiTheme="majorHAnsi" w:hAnsiTheme="majorHAnsi"/>
          <w:sz w:val="20"/>
          <w:szCs w:val="20"/>
        </w:rPr>
        <w:t xml:space="preserve"> </w:t>
      </w:r>
      <w:r>
        <w:rPr>
          <w:rFonts w:asciiTheme="majorHAnsi" w:hAnsiTheme="majorHAnsi"/>
          <w:sz w:val="20"/>
          <w:szCs w:val="20"/>
        </w:rPr>
        <w:t xml:space="preserve">worthy of being persecuted by federal </w:t>
      </w:r>
      <w:r w:rsidR="00940530">
        <w:rPr>
          <w:rFonts w:ascii="Cambria" w:hAnsi="Cambria"/>
          <w:color w:val="000000" w:themeColor="text1"/>
          <w:sz w:val="20"/>
          <w:szCs w:val="20"/>
        </w:rPr>
        <w:t>authorities</w:t>
      </w:r>
      <w:r w:rsidR="005C2784" w:rsidRPr="00A51861">
        <w:rPr>
          <w:rFonts w:asciiTheme="majorHAnsi" w:hAnsiTheme="majorHAnsi"/>
          <w:sz w:val="20"/>
          <w:szCs w:val="20"/>
        </w:rPr>
        <w:t xml:space="preserve"> </w:t>
      </w:r>
      <w:r w:rsidR="00E92985">
        <w:rPr>
          <w:rFonts w:asciiTheme="majorHAnsi" w:hAnsiTheme="majorHAnsi"/>
          <w:sz w:val="20"/>
          <w:szCs w:val="20"/>
        </w:rPr>
        <w:t xml:space="preserve">and </w:t>
      </w:r>
      <w:r>
        <w:rPr>
          <w:rFonts w:asciiTheme="majorHAnsi" w:hAnsiTheme="majorHAnsi"/>
          <w:sz w:val="20"/>
          <w:szCs w:val="20"/>
        </w:rPr>
        <w:t>sentenced to</w:t>
      </w:r>
      <w:r w:rsidR="00E92985">
        <w:rPr>
          <w:rFonts w:asciiTheme="majorHAnsi" w:hAnsiTheme="majorHAnsi"/>
          <w:sz w:val="20"/>
          <w:szCs w:val="20"/>
        </w:rPr>
        <w:t xml:space="preserve"> </w:t>
      </w:r>
      <w:r w:rsidR="00160A67">
        <w:rPr>
          <w:rFonts w:asciiTheme="majorHAnsi" w:hAnsiTheme="majorHAnsi"/>
          <w:sz w:val="20"/>
          <w:szCs w:val="20"/>
        </w:rPr>
        <w:t>arrest</w:t>
      </w:r>
      <w:r w:rsidR="005C2784" w:rsidRPr="00A51861">
        <w:rPr>
          <w:rFonts w:asciiTheme="majorHAnsi" w:hAnsiTheme="majorHAnsi"/>
          <w:sz w:val="20"/>
          <w:szCs w:val="20"/>
        </w:rPr>
        <w:t xml:space="preserve">, </w:t>
      </w:r>
      <w:r>
        <w:rPr>
          <w:rFonts w:asciiTheme="majorHAnsi" w:hAnsiTheme="majorHAnsi"/>
          <w:sz w:val="20"/>
          <w:szCs w:val="20"/>
        </w:rPr>
        <w:t xml:space="preserve">even when there was no state of exception or </w:t>
      </w:r>
      <w:r w:rsidR="001A0B84">
        <w:rPr>
          <w:rFonts w:asciiTheme="majorHAnsi" w:hAnsiTheme="majorHAnsi"/>
          <w:sz w:val="20"/>
          <w:szCs w:val="20"/>
        </w:rPr>
        <w:t>State of Siege</w:t>
      </w:r>
      <w:r>
        <w:rPr>
          <w:rFonts w:asciiTheme="majorHAnsi" w:hAnsiTheme="majorHAnsi"/>
          <w:sz w:val="20"/>
          <w:szCs w:val="20"/>
        </w:rPr>
        <w:t xml:space="preserve"> </w:t>
      </w:r>
      <w:r w:rsidR="00B04009">
        <w:rPr>
          <w:rFonts w:asciiTheme="majorHAnsi" w:hAnsiTheme="majorHAnsi"/>
          <w:sz w:val="20"/>
          <w:szCs w:val="20"/>
        </w:rPr>
        <w:t>declared</w:t>
      </w:r>
      <w:r w:rsidR="005C2784" w:rsidRPr="00A51861">
        <w:rPr>
          <w:rFonts w:asciiTheme="majorHAnsi" w:hAnsiTheme="majorHAnsi"/>
          <w:sz w:val="20"/>
          <w:szCs w:val="20"/>
        </w:rPr>
        <w:t xml:space="preserve">. </w:t>
      </w:r>
      <w:r w:rsidR="00B04009">
        <w:rPr>
          <w:rFonts w:asciiTheme="majorHAnsi" w:hAnsiTheme="majorHAnsi"/>
          <w:sz w:val="20"/>
          <w:szCs w:val="20"/>
        </w:rPr>
        <w:t>On this matter</w:t>
      </w:r>
      <w:r w:rsidR="005C2784" w:rsidRPr="00A51861">
        <w:rPr>
          <w:rFonts w:asciiTheme="majorHAnsi" w:hAnsiTheme="majorHAnsi"/>
          <w:sz w:val="20"/>
          <w:szCs w:val="20"/>
        </w:rPr>
        <w:t>,</w:t>
      </w:r>
      <w:r w:rsidR="009A4F91">
        <w:rPr>
          <w:rFonts w:asciiTheme="majorHAnsi" w:hAnsiTheme="majorHAnsi"/>
          <w:sz w:val="20"/>
          <w:szCs w:val="20"/>
        </w:rPr>
        <w:t xml:space="preserve"> the </w:t>
      </w:r>
      <w:r w:rsidR="00B04009">
        <w:rPr>
          <w:rFonts w:asciiTheme="majorHAnsi" w:hAnsiTheme="majorHAnsi"/>
          <w:sz w:val="20"/>
          <w:szCs w:val="20"/>
        </w:rPr>
        <w:t>Inter-American Court</w:t>
      </w:r>
      <w:r w:rsidR="005C2784" w:rsidRPr="00A51861">
        <w:rPr>
          <w:rFonts w:asciiTheme="majorHAnsi" w:hAnsiTheme="majorHAnsi"/>
          <w:sz w:val="20"/>
          <w:szCs w:val="20"/>
        </w:rPr>
        <w:t xml:space="preserve"> </w:t>
      </w:r>
      <w:r w:rsidR="00B04009">
        <w:rPr>
          <w:rFonts w:asciiTheme="majorHAnsi" w:hAnsiTheme="majorHAnsi"/>
          <w:sz w:val="20"/>
          <w:szCs w:val="20"/>
        </w:rPr>
        <w:t>has already held that</w:t>
      </w:r>
      <w:r w:rsidR="0007574A">
        <w:rPr>
          <w:rFonts w:asciiTheme="majorHAnsi" w:hAnsiTheme="majorHAnsi"/>
          <w:sz w:val="20"/>
          <w:szCs w:val="20"/>
        </w:rPr>
        <w:t xml:space="preserve"> penalizing</w:t>
      </w:r>
      <w:r w:rsidR="005C2784" w:rsidRPr="00A51861">
        <w:rPr>
          <w:rFonts w:asciiTheme="majorHAnsi" w:hAnsiTheme="majorHAnsi"/>
          <w:sz w:val="20"/>
          <w:szCs w:val="20"/>
        </w:rPr>
        <w:t xml:space="preserve">, </w:t>
      </w:r>
      <w:r w:rsidR="00B04009">
        <w:rPr>
          <w:rFonts w:asciiTheme="majorHAnsi" w:hAnsiTheme="majorHAnsi"/>
          <w:sz w:val="20"/>
          <w:szCs w:val="20"/>
        </w:rPr>
        <w:t>i</w:t>
      </w:r>
      <w:r w:rsidR="005C2784" w:rsidRPr="00A51861">
        <w:rPr>
          <w:rFonts w:asciiTheme="majorHAnsi" w:hAnsiTheme="majorHAnsi"/>
          <w:sz w:val="20"/>
          <w:szCs w:val="20"/>
        </w:rPr>
        <w:t xml:space="preserve">n </w:t>
      </w:r>
      <w:r w:rsidR="00E64C43">
        <w:rPr>
          <w:rFonts w:asciiTheme="majorHAnsi" w:hAnsiTheme="majorHAnsi"/>
          <w:sz w:val="20"/>
          <w:szCs w:val="20"/>
        </w:rPr>
        <w:t>this case</w:t>
      </w:r>
      <w:r w:rsidR="005C2784" w:rsidRPr="00A51861">
        <w:rPr>
          <w:rFonts w:asciiTheme="majorHAnsi" w:hAnsiTheme="majorHAnsi"/>
          <w:sz w:val="20"/>
          <w:szCs w:val="20"/>
        </w:rPr>
        <w:t xml:space="preserve"> </w:t>
      </w:r>
      <w:r w:rsidR="00B04009">
        <w:rPr>
          <w:rFonts w:asciiTheme="majorHAnsi" w:hAnsiTheme="majorHAnsi"/>
          <w:sz w:val="20"/>
          <w:szCs w:val="20"/>
        </w:rPr>
        <w:t>by means of a</w:t>
      </w:r>
      <w:r w:rsidR="00F319A5" w:rsidRPr="00A51861">
        <w:rPr>
          <w:rFonts w:asciiTheme="majorHAnsi" w:hAnsiTheme="majorHAnsi"/>
          <w:sz w:val="20"/>
          <w:szCs w:val="20"/>
        </w:rPr>
        <w:t xml:space="preserve"> </w:t>
      </w:r>
      <w:r w:rsidR="00B04009" w:rsidRPr="00A51861">
        <w:rPr>
          <w:rFonts w:asciiTheme="majorHAnsi" w:hAnsiTheme="majorHAnsi"/>
          <w:sz w:val="20"/>
          <w:szCs w:val="20"/>
        </w:rPr>
        <w:t>contravention</w:t>
      </w:r>
      <w:r w:rsidR="00F319A5" w:rsidRPr="00A51861">
        <w:rPr>
          <w:rFonts w:asciiTheme="majorHAnsi" w:hAnsiTheme="majorHAnsi"/>
          <w:sz w:val="20"/>
          <w:szCs w:val="20"/>
        </w:rPr>
        <w:t xml:space="preserve"> </w:t>
      </w:r>
      <w:r w:rsidR="00B04009">
        <w:rPr>
          <w:rFonts w:asciiTheme="majorHAnsi" w:hAnsiTheme="majorHAnsi"/>
          <w:sz w:val="20"/>
          <w:szCs w:val="20"/>
        </w:rPr>
        <w:t>which imposes a</w:t>
      </w:r>
      <w:r w:rsidR="005C2784" w:rsidRPr="00A51861">
        <w:rPr>
          <w:rFonts w:asciiTheme="majorHAnsi" w:hAnsiTheme="majorHAnsi"/>
          <w:sz w:val="20"/>
          <w:szCs w:val="20"/>
        </w:rPr>
        <w:t xml:space="preserve"> </w:t>
      </w:r>
      <w:r w:rsidR="00B04009">
        <w:rPr>
          <w:rFonts w:asciiTheme="majorHAnsi" w:hAnsiTheme="majorHAnsi"/>
          <w:sz w:val="20"/>
          <w:szCs w:val="20"/>
        </w:rPr>
        <w:t>sentence</w:t>
      </w:r>
      <w:r w:rsidR="00E92985">
        <w:rPr>
          <w:rFonts w:asciiTheme="majorHAnsi" w:hAnsiTheme="majorHAnsi"/>
          <w:sz w:val="20"/>
          <w:szCs w:val="20"/>
        </w:rPr>
        <w:t xml:space="preserve"> of </w:t>
      </w:r>
      <w:r w:rsidR="00160A67">
        <w:rPr>
          <w:rFonts w:asciiTheme="majorHAnsi" w:hAnsiTheme="majorHAnsi"/>
          <w:sz w:val="20"/>
          <w:szCs w:val="20"/>
        </w:rPr>
        <w:t>arrest</w:t>
      </w:r>
      <w:r w:rsidR="005C2784" w:rsidRPr="00A51861">
        <w:rPr>
          <w:rFonts w:asciiTheme="majorHAnsi" w:hAnsiTheme="majorHAnsi"/>
          <w:sz w:val="20"/>
          <w:szCs w:val="20"/>
        </w:rPr>
        <w:t xml:space="preserve">, </w:t>
      </w:r>
      <w:r w:rsidR="00B04009">
        <w:rPr>
          <w:rFonts w:asciiTheme="majorHAnsi" w:hAnsiTheme="majorHAnsi"/>
          <w:sz w:val="20"/>
          <w:szCs w:val="20"/>
        </w:rPr>
        <w:t>an</w:t>
      </w:r>
      <w:r w:rsidR="005C2784" w:rsidRPr="00A51861">
        <w:rPr>
          <w:rFonts w:asciiTheme="majorHAnsi" w:hAnsiTheme="majorHAnsi"/>
          <w:sz w:val="20"/>
          <w:szCs w:val="20"/>
        </w:rPr>
        <w:t xml:space="preserve"> </w:t>
      </w:r>
      <w:r w:rsidR="00B04009" w:rsidRPr="00A51861">
        <w:rPr>
          <w:rFonts w:asciiTheme="majorHAnsi" w:hAnsiTheme="majorHAnsi"/>
          <w:sz w:val="20"/>
          <w:szCs w:val="20"/>
        </w:rPr>
        <w:t>act</w:t>
      </w:r>
      <w:r w:rsidR="005C2784" w:rsidRPr="00A51861">
        <w:rPr>
          <w:rFonts w:asciiTheme="majorHAnsi" w:hAnsiTheme="majorHAnsi"/>
          <w:sz w:val="20"/>
          <w:szCs w:val="20"/>
        </w:rPr>
        <w:t xml:space="preserve"> </w:t>
      </w:r>
      <w:r w:rsidR="00B04009">
        <w:rPr>
          <w:rFonts w:asciiTheme="majorHAnsi" w:hAnsiTheme="majorHAnsi"/>
          <w:sz w:val="20"/>
          <w:szCs w:val="20"/>
        </w:rPr>
        <w:t>which is essentially illegal</w:t>
      </w:r>
      <w:r w:rsidR="005C2784" w:rsidRPr="00A51861">
        <w:rPr>
          <w:rFonts w:asciiTheme="majorHAnsi" w:hAnsiTheme="majorHAnsi"/>
          <w:sz w:val="20"/>
          <w:szCs w:val="20"/>
        </w:rPr>
        <w:t>, impl</w:t>
      </w:r>
      <w:r w:rsidR="00B04009">
        <w:rPr>
          <w:rFonts w:asciiTheme="majorHAnsi" w:hAnsiTheme="majorHAnsi"/>
          <w:sz w:val="20"/>
          <w:szCs w:val="20"/>
        </w:rPr>
        <w:t>ies</w:t>
      </w:r>
      <w:r w:rsidR="009326F8" w:rsidRPr="00A51861">
        <w:rPr>
          <w:rFonts w:asciiTheme="majorHAnsi" w:hAnsiTheme="majorHAnsi"/>
          <w:sz w:val="20"/>
          <w:szCs w:val="20"/>
        </w:rPr>
        <w:t xml:space="preserve"> </w:t>
      </w:r>
      <w:r w:rsidR="00B04009">
        <w:rPr>
          <w:rFonts w:asciiTheme="majorHAnsi" w:hAnsiTheme="majorHAnsi"/>
          <w:sz w:val="20"/>
          <w:szCs w:val="20"/>
        </w:rPr>
        <w:t>a</w:t>
      </w:r>
      <w:r w:rsidR="005C2784" w:rsidRPr="00A51861">
        <w:rPr>
          <w:rFonts w:asciiTheme="majorHAnsi" w:hAnsiTheme="majorHAnsi"/>
          <w:sz w:val="20"/>
          <w:szCs w:val="20"/>
        </w:rPr>
        <w:t xml:space="preserve"> </w:t>
      </w:r>
      <w:r w:rsidR="004E1083">
        <w:rPr>
          <w:rFonts w:asciiTheme="majorHAnsi" w:hAnsiTheme="majorHAnsi"/>
          <w:sz w:val="20"/>
          <w:szCs w:val="20"/>
        </w:rPr>
        <w:t>violation</w:t>
      </w:r>
      <w:r w:rsidR="004969F4">
        <w:rPr>
          <w:rFonts w:asciiTheme="majorHAnsi" w:hAnsiTheme="majorHAnsi"/>
          <w:sz w:val="20"/>
          <w:szCs w:val="20"/>
        </w:rPr>
        <w:t xml:space="preserve"> </w:t>
      </w:r>
      <w:r w:rsidR="00B04009">
        <w:rPr>
          <w:rFonts w:asciiTheme="majorHAnsi" w:hAnsiTheme="majorHAnsi"/>
          <w:sz w:val="20"/>
          <w:szCs w:val="20"/>
        </w:rPr>
        <w:t>to</w:t>
      </w:r>
      <w:r w:rsidR="004969F4">
        <w:rPr>
          <w:rFonts w:asciiTheme="majorHAnsi" w:hAnsiTheme="majorHAnsi"/>
          <w:sz w:val="20"/>
          <w:szCs w:val="20"/>
        </w:rPr>
        <w:t xml:space="preserve"> the </w:t>
      </w:r>
      <w:r w:rsidR="005C2784" w:rsidRPr="00A51861">
        <w:rPr>
          <w:rFonts w:asciiTheme="majorHAnsi" w:hAnsiTheme="majorHAnsi"/>
          <w:sz w:val="20"/>
          <w:szCs w:val="20"/>
        </w:rPr>
        <w:t>princip</w:t>
      </w:r>
      <w:r w:rsidR="00B04009">
        <w:rPr>
          <w:rFonts w:asciiTheme="majorHAnsi" w:hAnsiTheme="majorHAnsi"/>
          <w:sz w:val="20"/>
          <w:szCs w:val="20"/>
        </w:rPr>
        <w:t xml:space="preserve">le </w:t>
      </w:r>
      <w:r w:rsidR="00E92985">
        <w:rPr>
          <w:rFonts w:asciiTheme="majorHAnsi" w:hAnsiTheme="majorHAnsi"/>
          <w:sz w:val="20"/>
          <w:szCs w:val="20"/>
        </w:rPr>
        <w:t xml:space="preserve">of </w:t>
      </w:r>
      <w:r w:rsidR="005C2784" w:rsidRPr="00A51861">
        <w:rPr>
          <w:rFonts w:asciiTheme="majorHAnsi" w:hAnsiTheme="majorHAnsi"/>
          <w:sz w:val="20"/>
          <w:szCs w:val="20"/>
        </w:rPr>
        <w:t>legali</w:t>
      </w:r>
      <w:r w:rsidR="00B04009">
        <w:rPr>
          <w:rFonts w:asciiTheme="majorHAnsi" w:hAnsiTheme="majorHAnsi"/>
          <w:sz w:val="20"/>
          <w:szCs w:val="20"/>
        </w:rPr>
        <w:t>ty</w:t>
      </w:r>
      <w:r w:rsidR="009326F8" w:rsidRPr="00A51861">
        <w:rPr>
          <w:rStyle w:val="FootnoteReference"/>
          <w:rFonts w:asciiTheme="majorHAnsi" w:hAnsiTheme="majorHAnsi"/>
          <w:sz w:val="20"/>
          <w:szCs w:val="20"/>
        </w:rPr>
        <w:footnoteReference w:id="169"/>
      </w:r>
      <w:r w:rsidR="009326F8" w:rsidRPr="00A51861">
        <w:rPr>
          <w:rFonts w:asciiTheme="majorHAnsi" w:hAnsiTheme="majorHAnsi"/>
          <w:sz w:val="20"/>
          <w:szCs w:val="20"/>
        </w:rPr>
        <w:t>,</w:t>
      </w:r>
      <w:r w:rsidR="00E92985">
        <w:rPr>
          <w:rFonts w:asciiTheme="majorHAnsi" w:hAnsiTheme="majorHAnsi"/>
          <w:sz w:val="20"/>
          <w:szCs w:val="20"/>
        </w:rPr>
        <w:t xml:space="preserve"> </w:t>
      </w:r>
      <w:r w:rsidR="00B04009">
        <w:rPr>
          <w:rFonts w:asciiTheme="majorHAnsi" w:hAnsiTheme="majorHAnsi"/>
          <w:sz w:val="20"/>
          <w:szCs w:val="20"/>
        </w:rPr>
        <w:t>thus in this case</w:t>
      </w:r>
      <w:r w:rsidR="009326F8" w:rsidRPr="00A51861">
        <w:rPr>
          <w:rFonts w:asciiTheme="majorHAnsi" w:hAnsiTheme="majorHAnsi"/>
          <w:sz w:val="20"/>
          <w:szCs w:val="20"/>
        </w:rPr>
        <w:t xml:space="preserve">, </w:t>
      </w:r>
      <w:r w:rsidR="00B04009">
        <w:rPr>
          <w:rFonts w:asciiTheme="majorHAnsi" w:hAnsiTheme="majorHAnsi"/>
          <w:sz w:val="20"/>
          <w:szCs w:val="20"/>
        </w:rPr>
        <w:t>the</w:t>
      </w:r>
      <w:r w:rsidR="009326F8" w:rsidRPr="00A51861">
        <w:rPr>
          <w:rFonts w:asciiTheme="majorHAnsi" w:hAnsiTheme="majorHAnsi"/>
          <w:sz w:val="20"/>
          <w:szCs w:val="20"/>
        </w:rPr>
        <w:t xml:space="preserve"> </w:t>
      </w:r>
      <w:r w:rsidR="00A75646">
        <w:rPr>
          <w:rFonts w:asciiTheme="majorHAnsi" w:hAnsiTheme="majorHAnsi"/>
          <w:sz w:val="20"/>
          <w:szCs w:val="20"/>
        </w:rPr>
        <w:t>detentions</w:t>
      </w:r>
      <w:r w:rsidR="00E92985">
        <w:rPr>
          <w:rFonts w:asciiTheme="majorHAnsi" w:hAnsiTheme="majorHAnsi"/>
          <w:sz w:val="20"/>
          <w:szCs w:val="20"/>
        </w:rPr>
        <w:t xml:space="preserve"> of </w:t>
      </w:r>
      <w:r w:rsidR="002835FC" w:rsidRPr="00A51861">
        <w:rPr>
          <w:rFonts w:asciiTheme="majorHAnsi" w:hAnsiTheme="majorHAnsi"/>
          <w:sz w:val="20"/>
          <w:szCs w:val="20"/>
        </w:rPr>
        <w:t xml:space="preserve">the alleged victims </w:t>
      </w:r>
      <w:r w:rsidR="00B04009">
        <w:rPr>
          <w:rFonts w:asciiTheme="majorHAnsi" w:hAnsiTheme="majorHAnsi"/>
          <w:sz w:val="20"/>
          <w:szCs w:val="20"/>
        </w:rPr>
        <w:t>were illegal</w:t>
      </w:r>
      <w:r w:rsidR="00E92985">
        <w:rPr>
          <w:rFonts w:asciiTheme="majorHAnsi" w:hAnsiTheme="majorHAnsi"/>
          <w:sz w:val="20"/>
          <w:szCs w:val="20"/>
        </w:rPr>
        <w:t xml:space="preserve"> and </w:t>
      </w:r>
      <w:r w:rsidR="00FA2E7B">
        <w:rPr>
          <w:rFonts w:asciiTheme="majorHAnsi" w:hAnsiTheme="majorHAnsi"/>
          <w:sz w:val="20"/>
          <w:szCs w:val="20"/>
        </w:rPr>
        <w:t>arbitrary</w:t>
      </w:r>
      <w:r w:rsidR="009326F8" w:rsidRPr="00A51861">
        <w:rPr>
          <w:rFonts w:asciiTheme="majorHAnsi" w:hAnsiTheme="majorHAnsi"/>
          <w:sz w:val="20"/>
          <w:szCs w:val="20"/>
        </w:rPr>
        <w:t>.</w:t>
      </w:r>
      <w:r w:rsidR="005C2784" w:rsidRPr="00A51861">
        <w:rPr>
          <w:rFonts w:asciiTheme="majorHAnsi" w:hAnsiTheme="majorHAnsi"/>
          <w:sz w:val="20"/>
          <w:szCs w:val="20"/>
        </w:rPr>
        <w:t xml:space="preserve"> </w:t>
      </w:r>
    </w:p>
    <w:p w14:paraId="561C3639" w14:textId="77777777" w:rsidR="00773B3C" w:rsidRPr="00A51861" w:rsidRDefault="00773B3C" w:rsidP="008E4D3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rPr>
      </w:pPr>
    </w:p>
    <w:p w14:paraId="13591AD3" w14:textId="21F85D57" w:rsidR="00773B3C" w:rsidRPr="00A51861" w:rsidRDefault="00B04009"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Calibri" w:hAnsiTheme="majorHAnsi"/>
          <w:sz w:val="20"/>
          <w:szCs w:val="20"/>
          <w:bdr w:val="none" w:sz="0" w:space="0" w:color="auto"/>
        </w:rPr>
      </w:pPr>
      <w:r>
        <w:rPr>
          <w:rFonts w:asciiTheme="majorHAnsi" w:eastAsia="Calibri" w:hAnsiTheme="majorHAnsi"/>
          <w:sz w:val="20"/>
          <w:szCs w:val="20"/>
          <w:bdr w:val="none" w:sz="0" w:space="0" w:color="auto"/>
        </w:rPr>
        <w:t>In addition</w:t>
      </w:r>
      <w:r w:rsidR="00773B3C" w:rsidRPr="00A51861">
        <w:rPr>
          <w:rFonts w:asciiTheme="majorHAnsi" w:eastAsia="Calibri" w:hAnsiTheme="majorHAnsi"/>
          <w:sz w:val="20"/>
          <w:szCs w:val="20"/>
          <w:bdr w:val="none" w:sz="0" w:space="0" w:color="auto"/>
        </w:rPr>
        <w:t xml:space="preserve">, </w:t>
      </w:r>
      <w:r w:rsidR="00E64C43">
        <w:rPr>
          <w:rFonts w:asciiTheme="majorHAnsi" w:eastAsia="Calibri" w:hAnsiTheme="majorHAnsi"/>
          <w:sz w:val="20"/>
          <w:szCs w:val="20"/>
          <w:bdr w:val="none" w:sz="0" w:space="0" w:color="auto"/>
        </w:rPr>
        <w:t xml:space="preserve">this </w:t>
      </w:r>
      <w:r w:rsidRPr="00A51861">
        <w:rPr>
          <w:rFonts w:asciiTheme="majorHAnsi" w:eastAsia="Calibri" w:hAnsiTheme="majorHAnsi"/>
          <w:sz w:val="20"/>
          <w:szCs w:val="20"/>
          <w:bdr w:val="none" w:sz="0" w:space="0" w:color="auto"/>
        </w:rPr>
        <w:t>Commission</w:t>
      </w:r>
      <w:r w:rsidRPr="00B04009">
        <w:rPr>
          <w:rFonts w:asciiTheme="majorHAnsi" w:eastAsia="Calibri" w:hAnsiTheme="majorHAnsi"/>
          <w:sz w:val="20"/>
          <w:szCs w:val="20"/>
          <w:bdr w:val="none" w:sz="0" w:space="0" w:color="auto"/>
        </w:rPr>
        <w:t xml:space="preserve"> </w:t>
      </w:r>
      <w:r w:rsidRPr="00A51861">
        <w:rPr>
          <w:rFonts w:asciiTheme="majorHAnsi" w:eastAsia="Calibri" w:hAnsiTheme="majorHAnsi"/>
          <w:sz w:val="20"/>
          <w:szCs w:val="20"/>
          <w:bdr w:val="none" w:sz="0" w:space="0" w:color="auto"/>
        </w:rPr>
        <w:t>observ</w:t>
      </w:r>
      <w:r>
        <w:rPr>
          <w:rFonts w:asciiTheme="majorHAnsi" w:eastAsia="Calibri" w:hAnsiTheme="majorHAnsi"/>
          <w:sz w:val="20"/>
          <w:szCs w:val="20"/>
          <w:bdr w:val="none" w:sz="0" w:space="0" w:color="auto"/>
        </w:rPr>
        <w:t>es</w:t>
      </w:r>
      <w:r w:rsidR="00773B3C" w:rsidRPr="00A51861">
        <w:rPr>
          <w:rFonts w:asciiTheme="majorHAnsi" w:eastAsia="Calibri" w:hAnsiTheme="majorHAnsi"/>
          <w:sz w:val="20"/>
          <w:szCs w:val="20"/>
          <w:bdr w:val="none" w:sz="0" w:space="0" w:color="auto"/>
        </w:rPr>
        <w:t xml:space="preserve">, </w:t>
      </w:r>
      <w:r>
        <w:rPr>
          <w:rFonts w:asciiTheme="majorHAnsi" w:eastAsia="Calibri" w:hAnsiTheme="majorHAnsi"/>
          <w:sz w:val="20"/>
          <w:szCs w:val="20"/>
          <w:bdr w:val="none" w:sz="0" w:space="0" w:color="auto"/>
        </w:rPr>
        <w:t>in regard to</w:t>
      </w:r>
      <w:r w:rsidR="009A4F91">
        <w:rPr>
          <w:rFonts w:asciiTheme="majorHAnsi" w:eastAsia="Calibri" w:hAnsiTheme="majorHAnsi"/>
          <w:sz w:val="20"/>
          <w:szCs w:val="20"/>
          <w:bdr w:val="none" w:sz="0" w:space="0" w:color="auto"/>
        </w:rPr>
        <w:t xml:space="preserve"> the </w:t>
      </w:r>
      <w:r w:rsidR="006E255A">
        <w:rPr>
          <w:rFonts w:asciiTheme="majorHAnsi" w:eastAsia="Calibri" w:hAnsiTheme="majorHAnsi"/>
          <w:sz w:val="20"/>
          <w:szCs w:val="20"/>
          <w:bdr w:val="none" w:sz="0" w:space="0" w:color="auto"/>
        </w:rPr>
        <w:t>detention</w:t>
      </w:r>
      <w:r w:rsidR="00773B3C" w:rsidRPr="00A51861">
        <w:rPr>
          <w:rFonts w:asciiTheme="majorHAnsi" w:eastAsia="Calibri" w:hAnsiTheme="majorHAnsi"/>
          <w:sz w:val="20"/>
          <w:szCs w:val="20"/>
          <w:bdr w:val="none" w:sz="0" w:space="0" w:color="auto"/>
        </w:rPr>
        <w:t xml:space="preserve">, </w:t>
      </w:r>
      <w:r w:rsidR="00E11040">
        <w:rPr>
          <w:rFonts w:asciiTheme="majorHAnsi" w:eastAsia="Calibri" w:hAnsiTheme="majorHAnsi"/>
          <w:sz w:val="20"/>
          <w:szCs w:val="20"/>
          <w:bdr w:val="none" w:sz="0" w:space="0" w:color="auto"/>
        </w:rPr>
        <w:t>that according to the</w:t>
      </w:r>
      <w:r w:rsidR="00773B3C" w:rsidRPr="00A51861">
        <w:rPr>
          <w:rFonts w:asciiTheme="majorHAnsi" w:eastAsia="Calibri" w:hAnsiTheme="majorHAnsi"/>
          <w:sz w:val="20"/>
          <w:szCs w:val="20"/>
          <w:bdr w:val="none" w:sz="0" w:space="0" w:color="auto"/>
        </w:rPr>
        <w:t xml:space="preserve"> inform</w:t>
      </w:r>
      <w:r w:rsidR="00E11040">
        <w:rPr>
          <w:rFonts w:asciiTheme="majorHAnsi" w:eastAsia="Calibri" w:hAnsiTheme="majorHAnsi"/>
          <w:sz w:val="20"/>
          <w:szCs w:val="20"/>
          <w:bdr w:val="none" w:sz="0" w:space="0" w:color="auto"/>
        </w:rPr>
        <w:t>ed</w:t>
      </w:r>
      <w:r w:rsidR="00773B3C" w:rsidRPr="00A51861">
        <w:rPr>
          <w:rFonts w:asciiTheme="majorHAnsi" w:eastAsia="Calibri" w:hAnsiTheme="majorHAnsi"/>
          <w:sz w:val="20"/>
          <w:szCs w:val="20"/>
          <w:bdr w:val="none" w:sz="0" w:space="0" w:color="auto"/>
        </w:rPr>
        <w:t xml:space="preserve"> </w:t>
      </w:r>
      <w:r w:rsidR="009B7234">
        <w:rPr>
          <w:rFonts w:asciiTheme="majorHAnsi" w:eastAsia="Calibri" w:hAnsiTheme="majorHAnsi"/>
          <w:sz w:val="20"/>
          <w:szCs w:val="20"/>
          <w:bdr w:val="none" w:sz="0" w:space="0" w:color="auto"/>
        </w:rPr>
        <w:t>by</w:t>
      </w:r>
      <w:r w:rsidR="00773B3C" w:rsidRPr="00A51861">
        <w:rPr>
          <w:rFonts w:asciiTheme="majorHAnsi" w:eastAsia="Calibri" w:hAnsiTheme="majorHAnsi"/>
          <w:sz w:val="20"/>
          <w:szCs w:val="20"/>
          <w:bdr w:val="none" w:sz="0" w:space="0" w:color="auto"/>
        </w:rPr>
        <w:t xml:space="preserve"> </w:t>
      </w:r>
      <w:r w:rsidR="00E92985">
        <w:rPr>
          <w:rFonts w:asciiTheme="majorHAnsi" w:eastAsia="Calibri" w:hAnsiTheme="majorHAnsi"/>
          <w:sz w:val="20"/>
          <w:szCs w:val="20"/>
          <w:bdr w:val="none" w:sz="0" w:space="0" w:color="auto"/>
        </w:rPr>
        <w:t>the petitioner</w:t>
      </w:r>
      <w:r w:rsidR="00773B3C" w:rsidRPr="00A51861">
        <w:rPr>
          <w:rFonts w:asciiTheme="majorHAnsi" w:eastAsia="Calibri" w:hAnsiTheme="majorHAnsi"/>
          <w:sz w:val="20"/>
          <w:szCs w:val="20"/>
          <w:bdr w:val="none" w:sz="0" w:space="0" w:color="auto"/>
        </w:rPr>
        <w:t xml:space="preserve">, </w:t>
      </w:r>
      <w:r w:rsidR="002835FC" w:rsidRPr="00A51861">
        <w:rPr>
          <w:rFonts w:asciiTheme="majorHAnsi" w:eastAsia="Calibri" w:hAnsiTheme="majorHAnsi"/>
          <w:sz w:val="20"/>
          <w:szCs w:val="20"/>
          <w:bdr w:val="none" w:sz="0" w:space="0" w:color="auto"/>
        </w:rPr>
        <w:t xml:space="preserve">the alleged victims </w:t>
      </w:r>
      <w:r w:rsidR="009B7234">
        <w:rPr>
          <w:rFonts w:asciiTheme="majorHAnsi" w:eastAsia="Calibri" w:hAnsiTheme="majorHAnsi"/>
          <w:sz w:val="20"/>
          <w:szCs w:val="20"/>
          <w:bdr w:val="none" w:sz="0" w:space="0" w:color="auto"/>
        </w:rPr>
        <w:t>were transferred to the premises</w:t>
      </w:r>
      <w:r w:rsidR="00E92985">
        <w:rPr>
          <w:rFonts w:asciiTheme="majorHAnsi" w:eastAsia="Calibri" w:hAnsiTheme="majorHAnsi"/>
          <w:sz w:val="20"/>
          <w:szCs w:val="20"/>
          <w:bdr w:val="none" w:sz="0" w:space="0" w:color="auto"/>
        </w:rPr>
        <w:t xml:space="preserve"> of the </w:t>
      </w:r>
      <w:r w:rsidR="002D7CF5">
        <w:rPr>
          <w:rFonts w:asciiTheme="majorHAnsi" w:eastAsia="Calibri" w:hAnsiTheme="majorHAnsi"/>
          <w:sz w:val="20"/>
          <w:szCs w:val="20"/>
          <w:bdr w:val="none" w:sz="0" w:space="0" w:color="auto"/>
        </w:rPr>
        <w:t>Superintendence of Federal Security</w:t>
      </w:r>
      <w:r w:rsidR="00773B3C" w:rsidRPr="00A51861">
        <w:rPr>
          <w:rFonts w:asciiTheme="majorHAnsi" w:eastAsia="Calibri" w:hAnsiTheme="majorHAnsi"/>
          <w:sz w:val="20"/>
          <w:szCs w:val="20"/>
          <w:bdr w:val="none" w:sz="0" w:space="0" w:color="auto"/>
        </w:rPr>
        <w:t xml:space="preserve"> </w:t>
      </w:r>
      <w:r w:rsidR="009B7234">
        <w:rPr>
          <w:rFonts w:asciiTheme="majorHAnsi" w:eastAsia="Calibri" w:hAnsiTheme="majorHAnsi"/>
          <w:sz w:val="20"/>
          <w:szCs w:val="20"/>
          <w:bdr w:val="none" w:sz="0" w:space="0" w:color="auto"/>
        </w:rPr>
        <w:t>where they were</w:t>
      </w:r>
      <w:r w:rsidR="00773B3C" w:rsidRPr="00A51861">
        <w:rPr>
          <w:rFonts w:asciiTheme="majorHAnsi" w:eastAsia="Calibri" w:hAnsiTheme="majorHAnsi"/>
          <w:sz w:val="20"/>
          <w:szCs w:val="20"/>
          <w:bdr w:val="none" w:sz="0" w:space="0" w:color="auto"/>
        </w:rPr>
        <w:t xml:space="preserve"> interroga</w:t>
      </w:r>
      <w:r w:rsidR="009B7234">
        <w:rPr>
          <w:rFonts w:asciiTheme="majorHAnsi" w:eastAsia="Calibri" w:hAnsiTheme="majorHAnsi"/>
          <w:sz w:val="20"/>
          <w:szCs w:val="20"/>
          <w:bdr w:val="none" w:sz="0" w:space="0" w:color="auto"/>
        </w:rPr>
        <w:t>ted</w:t>
      </w:r>
      <w:r w:rsidR="00773B3C" w:rsidRPr="00A51861">
        <w:rPr>
          <w:rFonts w:asciiTheme="majorHAnsi" w:eastAsia="Calibri" w:hAnsiTheme="majorHAnsi"/>
          <w:sz w:val="20"/>
          <w:szCs w:val="20"/>
          <w:bdr w:val="none" w:sz="0" w:space="0" w:color="auto"/>
        </w:rPr>
        <w:t xml:space="preserve"> </w:t>
      </w:r>
      <w:r w:rsidR="009B7234">
        <w:rPr>
          <w:rFonts w:asciiTheme="majorHAnsi" w:eastAsia="Calibri" w:hAnsiTheme="majorHAnsi"/>
          <w:sz w:val="20"/>
          <w:szCs w:val="20"/>
          <w:bdr w:val="none" w:sz="0" w:space="0" w:color="auto"/>
        </w:rPr>
        <w:t>on</w:t>
      </w:r>
      <w:r w:rsidR="00773B3C" w:rsidRPr="00A51861">
        <w:rPr>
          <w:rFonts w:asciiTheme="majorHAnsi" w:eastAsia="Calibri" w:hAnsiTheme="majorHAnsi"/>
          <w:sz w:val="20"/>
          <w:szCs w:val="20"/>
          <w:bdr w:val="none" w:sz="0" w:space="0" w:color="auto"/>
        </w:rPr>
        <w:t xml:space="preserve"> </w:t>
      </w:r>
      <w:r w:rsidR="003A78FE">
        <w:rPr>
          <w:rFonts w:asciiTheme="majorHAnsi" w:eastAsia="Calibri" w:hAnsiTheme="majorHAnsi"/>
          <w:sz w:val="20"/>
          <w:szCs w:val="20"/>
          <w:bdr w:val="none" w:sz="0" w:space="0" w:color="auto"/>
        </w:rPr>
        <w:t>several</w:t>
      </w:r>
      <w:r w:rsidR="00773B3C" w:rsidRPr="00A51861">
        <w:rPr>
          <w:rFonts w:asciiTheme="majorHAnsi" w:eastAsia="Calibri" w:hAnsiTheme="majorHAnsi"/>
          <w:sz w:val="20"/>
          <w:szCs w:val="20"/>
          <w:bdr w:val="none" w:sz="0" w:space="0" w:color="auto"/>
        </w:rPr>
        <w:t xml:space="preserve"> </w:t>
      </w:r>
      <w:r w:rsidR="009B7234" w:rsidRPr="00A51861">
        <w:rPr>
          <w:rFonts w:asciiTheme="majorHAnsi" w:eastAsia="Calibri" w:hAnsiTheme="majorHAnsi"/>
          <w:sz w:val="20"/>
          <w:szCs w:val="20"/>
          <w:bdr w:val="none" w:sz="0" w:space="0" w:color="auto"/>
        </w:rPr>
        <w:t>occasions</w:t>
      </w:r>
      <w:r w:rsidR="00E92985">
        <w:rPr>
          <w:rFonts w:asciiTheme="majorHAnsi" w:eastAsia="Calibri" w:hAnsiTheme="majorHAnsi"/>
          <w:sz w:val="20"/>
          <w:szCs w:val="20"/>
          <w:bdr w:val="none" w:sz="0" w:space="0" w:color="auto"/>
        </w:rPr>
        <w:t xml:space="preserve"> and </w:t>
      </w:r>
      <w:r w:rsidR="009B7234">
        <w:rPr>
          <w:rFonts w:asciiTheme="majorHAnsi" w:eastAsia="Calibri" w:hAnsiTheme="majorHAnsi"/>
          <w:sz w:val="20"/>
          <w:szCs w:val="20"/>
          <w:bdr w:val="none" w:sz="0" w:space="0" w:color="auto"/>
        </w:rPr>
        <w:t>forced</w:t>
      </w:r>
      <w:r w:rsidR="00773B3C" w:rsidRPr="00A51861">
        <w:rPr>
          <w:rFonts w:asciiTheme="majorHAnsi" w:eastAsia="Calibri" w:hAnsiTheme="majorHAnsi"/>
          <w:sz w:val="20"/>
          <w:szCs w:val="20"/>
          <w:bdr w:val="none" w:sz="0" w:space="0" w:color="auto"/>
        </w:rPr>
        <w:t xml:space="preserve"> </w:t>
      </w:r>
      <w:r w:rsidR="009B7234">
        <w:rPr>
          <w:rFonts w:asciiTheme="majorHAnsi" w:eastAsia="Calibri" w:hAnsiTheme="majorHAnsi"/>
          <w:sz w:val="20"/>
          <w:szCs w:val="20"/>
          <w:bdr w:val="none" w:sz="0" w:space="0" w:color="auto"/>
        </w:rPr>
        <w:t>to sign</w:t>
      </w:r>
      <w:r w:rsidR="00773B3C" w:rsidRPr="00A51861">
        <w:rPr>
          <w:rFonts w:asciiTheme="majorHAnsi" w:eastAsia="Calibri" w:hAnsiTheme="majorHAnsi"/>
          <w:sz w:val="20"/>
          <w:szCs w:val="20"/>
          <w:bdr w:val="none" w:sz="0" w:space="0" w:color="auto"/>
        </w:rPr>
        <w:t xml:space="preserve"> </w:t>
      </w:r>
      <w:r w:rsidR="002D7CF5">
        <w:rPr>
          <w:rFonts w:asciiTheme="majorHAnsi" w:eastAsia="Calibri" w:hAnsiTheme="majorHAnsi"/>
          <w:sz w:val="20"/>
          <w:szCs w:val="20"/>
          <w:bdr w:val="none" w:sz="0" w:space="0" w:color="auto"/>
        </w:rPr>
        <w:t>documents</w:t>
      </w:r>
      <w:r w:rsidR="00773B3C" w:rsidRPr="00A51861">
        <w:rPr>
          <w:rFonts w:asciiTheme="majorHAnsi" w:eastAsia="Calibri" w:hAnsiTheme="majorHAnsi"/>
          <w:sz w:val="20"/>
          <w:szCs w:val="20"/>
          <w:bdr w:val="none" w:sz="0" w:space="0" w:color="auto"/>
        </w:rPr>
        <w:t xml:space="preserve"> </w:t>
      </w:r>
      <w:r w:rsidR="009B7234">
        <w:rPr>
          <w:rFonts w:asciiTheme="majorHAnsi" w:eastAsia="Calibri" w:hAnsiTheme="majorHAnsi"/>
          <w:sz w:val="20"/>
          <w:szCs w:val="20"/>
          <w:bdr w:val="none" w:sz="0" w:space="0" w:color="auto"/>
        </w:rPr>
        <w:t>that would afterward be used</w:t>
      </w:r>
      <w:r w:rsidR="00773B3C" w:rsidRPr="00A51861">
        <w:rPr>
          <w:rFonts w:asciiTheme="majorHAnsi" w:eastAsia="Calibri" w:hAnsiTheme="majorHAnsi"/>
          <w:sz w:val="20"/>
          <w:szCs w:val="20"/>
          <w:bdr w:val="none" w:sz="0" w:space="0" w:color="auto"/>
        </w:rPr>
        <w:t xml:space="preserve"> </w:t>
      </w:r>
      <w:r w:rsidR="009B7234">
        <w:rPr>
          <w:rFonts w:asciiTheme="majorHAnsi" w:eastAsia="Calibri" w:hAnsiTheme="majorHAnsi"/>
          <w:sz w:val="20"/>
          <w:szCs w:val="20"/>
          <w:bdr w:val="none" w:sz="0" w:space="0" w:color="auto"/>
        </w:rPr>
        <w:t>in the</w:t>
      </w:r>
      <w:r w:rsidR="00773B3C" w:rsidRPr="00A51861">
        <w:rPr>
          <w:rFonts w:asciiTheme="majorHAnsi" w:eastAsia="Calibri" w:hAnsiTheme="majorHAnsi"/>
          <w:sz w:val="20"/>
          <w:szCs w:val="20"/>
          <w:bdr w:val="none" w:sz="0" w:space="0" w:color="auto"/>
        </w:rPr>
        <w:t xml:space="preserve"> proc</w:t>
      </w:r>
      <w:r w:rsidR="009B7234">
        <w:rPr>
          <w:rFonts w:asciiTheme="majorHAnsi" w:eastAsia="Calibri" w:hAnsiTheme="majorHAnsi"/>
          <w:sz w:val="20"/>
          <w:szCs w:val="20"/>
          <w:bdr w:val="none" w:sz="0" w:space="0" w:color="auto"/>
        </w:rPr>
        <w:t>eeding</w:t>
      </w:r>
      <w:r w:rsidR="00773B3C" w:rsidRPr="00A51861">
        <w:rPr>
          <w:rFonts w:asciiTheme="majorHAnsi" w:eastAsia="Calibri" w:hAnsiTheme="majorHAnsi"/>
          <w:sz w:val="20"/>
          <w:szCs w:val="20"/>
          <w:bdr w:val="none" w:sz="0" w:space="0" w:color="auto"/>
        </w:rPr>
        <w:t>s</w:t>
      </w:r>
      <w:r w:rsidR="00E92985">
        <w:rPr>
          <w:rFonts w:asciiTheme="majorHAnsi" w:eastAsia="Calibri" w:hAnsiTheme="majorHAnsi"/>
          <w:sz w:val="20"/>
          <w:szCs w:val="20"/>
          <w:bdr w:val="none" w:sz="0" w:space="0" w:color="auto"/>
        </w:rPr>
        <w:t xml:space="preserve"> of </w:t>
      </w:r>
      <w:r w:rsidR="00103579">
        <w:rPr>
          <w:rFonts w:asciiTheme="majorHAnsi" w:eastAsia="Calibri" w:hAnsiTheme="majorHAnsi"/>
          <w:sz w:val="20"/>
          <w:szCs w:val="20"/>
          <w:bdr w:val="none" w:sz="0" w:space="0" w:color="auto"/>
        </w:rPr>
        <w:t>expulsion</w:t>
      </w:r>
      <w:r w:rsidR="00773B3C" w:rsidRPr="00A51861">
        <w:rPr>
          <w:rFonts w:asciiTheme="majorHAnsi" w:eastAsia="Calibri" w:hAnsiTheme="majorHAnsi"/>
          <w:sz w:val="20"/>
          <w:szCs w:val="20"/>
          <w:bdr w:val="none" w:sz="0" w:space="0" w:color="auto"/>
        </w:rPr>
        <w:t xml:space="preserve">, </w:t>
      </w:r>
      <w:r w:rsidR="009B7234" w:rsidRPr="00A51861">
        <w:rPr>
          <w:rFonts w:asciiTheme="majorHAnsi" w:eastAsia="Calibri" w:hAnsiTheme="majorHAnsi"/>
          <w:sz w:val="20"/>
          <w:szCs w:val="20"/>
          <w:bdr w:val="none" w:sz="0" w:space="0" w:color="auto"/>
        </w:rPr>
        <w:t>affirmation</w:t>
      </w:r>
      <w:r w:rsidR="00773B3C" w:rsidRPr="00A51861">
        <w:rPr>
          <w:rFonts w:asciiTheme="majorHAnsi" w:eastAsia="Calibri" w:hAnsiTheme="majorHAnsi"/>
          <w:sz w:val="20"/>
          <w:szCs w:val="20"/>
          <w:bdr w:val="none" w:sz="0" w:space="0" w:color="auto"/>
        </w:rPr>
        <w:t xml:space="preserve"> </w:t>
      </w:r>
      <w:r w:rsidR="009B7234">
        <w:rPr>
          <w:rFonts w:asciiTheme="majorHAnsi" w:eastAsia="Calibri" w:hAnsiTheme="majorHAnsi"/>
          <w:sz w:val="20"/>
          <w:szCs w:val="20"/>
          <w:bdr w:val="none" w:sz="0" w:space="0" w:color="auto"/>
        </w:rPr>
        <w:t>which at no time was contested by</w:t>
      </w:r>
      <w:r w:rsidR="00773B3C" w:rsidRPr="00A51861">
        <w:rPr>
          <w:rFonts w:asciiTheme="majorHAnsi" w:eastAsia="Calibri" w:hAnsiTheme="majorHAnsi"/>
          <w:sz w:val="20"/>
          <w:szCs w:val="20"/>
          <w:bdr w:val="none" w:sz="0" w:space="0" w:color="auto"/>
        </w:rPr>
        <w:t xml:space="preserve"> </w:t>
      </w:r>
      <w:r w:rsidR="00F92BA8">
        <w:rPr>
          <w:rFonts w:asciiTheme="majorHAnsi" w:eastAsia="Calibri" w:hAnsiTheme="majorHAnsi"/>
          <w:sz w:val="20"/>
          <w:szCs w:val="20"/>
          <w:bdr w:val="none" w:sz="0" w:space="0" w:color="auto"/>
        </w:rPr>
        <w:t>the Argentine State</w:t>
      </w:r>
      <w:r w:rsidR="00773B3C" w:rsidRPr="00A51861">
        <w:rPr>
          <w:rFonts w:asciiTheme="majorHAnsi" w:eastAsia="Calibri" w:hAnsiTheme="majorHAnsi"/>
          <w:sz w:val="20"/>
          <w:szCs w:val="20"/>
          <w:bdr w:val="none" w:sz="0" w:space="0" w:color="auto"/>
        </w:rPr>
        <w:t>.</w:t>
      </w:r>
      <w:r w:rsidR="00FC257E">
        <w:rPr>
          <w:rFonts w:asciiTheme="majorHAnsi" w:eastAsia="Calibri" w:hAnsiTheme="majorHAnsi"/>
          <w:sz w:val="20"/>
          <w:szCs w:val="20"/>
          <w:bdr w:val="none" w:sz="0" w:space="0" w:color="auto"/>
        </w:rPr>
        <w:t xml:space="preserve"> Likewise, </w:t>
      </w:r>
      <w:r w:rsidR="009B7234">
        <w:rPr>
          <w:rFonts w:asciiTheme="majorHAnsi" w:eastAsia="Calibri" w:hAnsiTheme="majorHAnsi"/>
          <w:sz w:val="20"/>
          <w:szCs w:val="20"/>
          <w:bdr w:val="none" w:sz="0" w:space="0" w:color="auto"/>
        </w:rPr>
        <w:t>there is no evidence</w:t>
      </w:r>
      <w:r w:rsidR="00773B3C" w:rsidRPr="00A51861">
        <w:rPr>
          <w:rFonts w:asciiTheme="majorHAnsi" w:eastAsia="Calibri" w:hAnsiTheme="majorHAnsi"/>
          <w:sz w:val="20"/>
          <w:szCs w:val="20"/>
          <w:bdr w:val="none" w:sz="0" w:space="0" w:color="auto"/>
        </w:rPr>
        <w:t xml:space="preserve">, </w:t>
      </w:r>
      <w:r w:rsidR="009B7234">
        <w:rPr>
          <w:rFonts w:asciiTheme="majorHAnsi" w:eastAsia="Calibri" w:hAnsiTheme="majorHAnsi"/>
          <w:sz w:val="20"/>
          <w:szCs w:val="20"/>
          <w:bdr w:val="none" w:sz="0" w:space="0" w:color="auto"/>
        </w:rPr>
        <w:t>nor was it proven or even addressed by</w:t>
      </w:r>
      <w:r w:rsidR="00773B3C" w:rsidRPr="00A51861">
        <w:rPr>
          <w:rFonts w:asciiTheme="majorHAnsi" w:eastAsia="Calibri" w:hAnsiTheme="majorHAnsi"/>
          <w:sz w:val="20"/>
          <w:szCs w:val="20"/>
          <w:bdr w:val="none" w:sz="0" w:space="0" w:color="auto"/>
        </w:rPr>
        <w:t xml:space="preserve"> </w:t>
      </w:r>
      <w:r w:rsidR="00F92BA8">
        <w:rPr>
          <w:rFonts w:asciiTheme="majorHAnsi" w:eastAsia="Calibri" w:hAnsiTheme="majorHAnsi"/>
          <w:sz w:val="20"/>
          <w:szCs w:val="20"/>
          <w:bdr w:val="none" w:sz="0" w:space="0" w:color="auto"/>
        </w:rPr>
        <w:t>the State</w:t>
      </w:r>
      <w:r w:rsidR="00773B3C" w:rsidRPr="00A51861">
        <w:rPr>
          <w:rFonts w:asciiTheme="majorHAnsi" w:eastAsia="Calibri" w:hAnsiTheme="majorHAnsi"/>
          <w:sz w:val="20"/>
          <w:szCs w:val="20"/>
          <w:bdr w:val="none" w:sz="0" w:space="0" w:color="auto"/>
        </w:rPr>
        <w:t xml:space="preserve">, </w:t>
      </w:r>
      <w:r w:rsidR="009B7234">
        <w:rPr>
          <w:rFonts w:asciiTheme="majorHAnsi" w:eastAsia="Calibri" w:hAnsiTheme="majorHAnsi"/>
          <w:sz w:val="20"/>
          <w:szCs w:val="20"/>
          <w:bdr w:val="none" w:sz="0" w:space="0" w:color="auto"/>
        </w:rPr>
        <w:t>that the</w:t>
      </w:r>
      <w:r w:rsidR="00773B3C" w:rsidRPr="00A51861">
        <w:rPr>
          <w:rFonts w:asciiTheme="majorHAnsi" w:eastAsia="Calibri" w:hAnsiTheme="majorHAnsi"/>
          <w:sz w:val="20"/>
          <w:szCs w:val="20"/>
          <w:bdr w:val="none" w:sz="0" w:space="0" w:color="auto"/>
        </w:rPr>
        <w:t xml:space="preserve"> </w:t>
      </w:r>
      <w:r w:rsidR="00A75646">
        <w:rPr>
          <w:rFonts w:ascii="Cambria" w:hAnsi="Cambria"/>
          <w:color w:val="000000" w:themeColor="text1"/>
          <w:sz w:val="20"/>
          <w:szCs w:val="20"/>
        </w:rPr>
        <w:t>detentions</w:t>
      </w:r>
      <w:r w:rsidR="00773B3C" w:rsidRPr="00A51861">
        <w:rPr>
          <w:rFonts w:asciiTheme="majorHAnsi" w:eastAsia="Calibri" w:hAnsiTheme="majorHAnsi"/>
          <w:sz w:val="20"/>
          <w:szCs w:val="20"/>
          <w:bdr w:val="none" w:sz="0" w:space="0" w:color="auto"/>
        </w:rPr>
        <w:t xml:space="preserve"> </w:t>
      </w:r>
      <w:r w:rsidR="009B7234">
        <w:rPr>
          <w:rFonts w:asciiTheme="majorHAnsi" w:eastAsia="Calibri" w:hAnsiTheme="majorHAnsi"/>
          <w:sz w:val="20"/>
          <w:szCs w:val="20"/>
          <w:bdr w:val="none" w:sz="0" w:space="0" w:color="auto"/>
        </w:rPr>
        <w:t xml:space="preserve">had been subjected </w:t>
      </w:r>
      <w:r w:rsidR="009B7234">
        <w:rPr>
          <w:rFonts w:asciiTheme="majorHAnsi" w:eastAsia="Calibri" w:hAnsiTheme="majorHAnsi"/>
          <w:sz w:val="20"/>
          <w:szCs w:val="20"/>
          <w:bdr w:val="none" w:sz="0" w:space="0" w:color="auto"/>
        </w:rPr>
        <w:lastRenderedPageBreak/>
        <w:t>to</w:t>
      </w:r>
      <w:r w:rsidR="00773B3C" w:rsidRPr="00A51861">
        <w:rPr>
          <w:rFonts w:asciiTheme="majorHAnsi" w:eastAsia="Calibri" w:hAnsiTheme="majorHAnsi"/>
          <w:sz w:val="20"/>
          <w:szCs w:val="20"/>
          <w:bdr w:val="none" w:sz="0" w:space="0" w:color="auto"/>
        </w:rPr>
        <w:t xml:space="preserve"> control </w:t>
      </w:r>
      <w:r w:rsidR="009B7234">
        <w:rPr>
          <w:rFonts w:asciiTheme="majorHAnsi" w:eastAsia="Calibri" w:hAnsiTheme="majorHAnsi"/>
          <w:sz w:val="20"/>
          <w:szCs w:val="20"/>
          <w:bdr w:val="none" w:sz="0" w:space="0" w:color="auto"/>
        </w:rPr>
        <w:t>by</w:t>
      </w:r>
      <w:r w:rsidR="00773B3C" w:rsidRPr="00A51861">
        <w:rPr>
          <w:rFonts w:asciiTheme="majorHAnsi" w:eastAsia="Calibri" w:hAnsiTheme="majorHAnsi"/>
          <w:sz w:val="20"/>
          <w:szCs w:val="20"/>
          <w:bdr w:val="none" w:sz="0" w:space="0" w:color="auto"/>
        </w:rPr>
        <w:t xml:space="preserve"> </w:t>
      </w:r>
      <w:r w:rsidR="009B7234" w:rsidRPr="00A51861">
        <w:rPr>
          <w:rFonts w:asciiTheme="majorHAnsi" w:eastAsia="Calibri" w:hAnsiTheme="majorHAnsi"/>
          <w:sz w:val="20"/>
          <w:szCs w:val="20"/>
          <w:bdr w:val="none" w:sz="0" w:space="0" w:color="auto"/>
        </w:rPr>
        <w:t>competent</w:t>
      </w:r>
      <w:r w:rsidR="009B7234">
        <w:rPr>
          <w:rFonts w:asciiTheme="majorHAnsi" w:eastAsia="Calibri" w:hAnsiTheme="majorHAnsi"/>
          <w:sz w:val="20"/>
          <w:szCs w:val="20"/>
          <w:bdr w:val="none" w:sz="0" w:space="0" w:color="auto"/>
        </w:rPr>
        <w:t xml:space="preserve"> </w:t>
      </w:r>
      <w:r w:rsidR="00940530">
        <w:rPr>
          <w:rFonts w:asciiTheme="majorHAnsi" w:eastAsia="Calibri" w:hAnsiTheme="majorHAnsi"/>
          <w:sz w:val="20"/>
          <w:szCs w:val="20"/>
          <w:bdr w:val="none" w:sz="0" w:space="0" w:color="auto"/>
        </w:rPr>
        <w:t>authorities</w:t>
      </w:r>
      <w:r w:rsidR="00773B3C" w:rsidRPr="00A51861">
        <w:rPr>
          <w:rFonts w:asciiTheme="majorHAnsi" w:eastAsia="Calibri" w:hAnsiTheme="majorHAnsi"/>
          <w:sz w:val="20"/>
          <w:szCs w:val="20"/>
          <w:bdr w:val="none" w:sz="0" w:space="0" w:color="auto"/>
        </w:rPr>
        <w:t>,</w:t>
      </w:r>
      <w:r w:rsidR="00E92985">
        <w:rPr>
          <w:rFonts w:asciiTheme="majorHAnsi" w:eastAsia="Calibri" w:hAnsiTheme="majorHAnsi"/>
          <w:sz w:val="20"/>
          <w:szCs w:val="20"/>
          <w:bdr w:val="none" w:sz="0" w:space="0" w:color="auto"/>
        </w:rPr>
        <w:t xml:space="preserve"> </w:t>
      </w:r>
      <w:r w:rsidR="009B7234">
        <w:rPr>
          <w:rFonts w:asciiTheme="majorHAnsi" w:eastAsia="Calibri" w:hAnsiTheme="majorHAnsi"/>
          <w:sz w:val="20"/>
          <w:szCs w:val="20"/>
          <w:bdr w:val="none" w:sz="0" w:space="0" w:color="auto"/>
        </w:rPr>
        <w:t>so that a judge would promptly verify</w:t>
      </w:r>
      <w:r w:rsidR="009A4F91">
        <w:rPr>
          <w:rFonts w:asciiTheme="majorHAnsi" w:eastAsia="Calibri" w:hAnsiTheme="majorHAnsi"/>
          <w:sz w:val="20"/>
          <w:szCs w:val="20"/>
          <w:bdr w:val="none" w:sz="0" w:space="0" w:color="auto"/>
        </w:rPr>
        <w:t xml:space="preserve"> the </w:t>
      </w:r>
      <w:r w:rsidR="00773B3C" w:rsidRPr="00A51861">
        <w:rPr>
          <w:rFonts w:asciiTheme="majorHAnsi" w:eastAsia="Calibri" w:hAnsiTheme="majorHAnsi"/>
          <w:sz w:val="20"/>
          <w:szCs w:val="20"/>
          <w:bdr w:val="none" w:sz="0" w:space="0" w:color="auto"/>
        </w:rPr>
        <w:t>legali</w:t>
      </w:r>
      <w:r w:rsidR="00FA2E7B">
        <w:rPr>
          <w:rFonts w:asciiTheme="majorHAnsi" w:eastAsia="Calibri" w:hAnsiTheme="majorHAnsi"/>
          <w:sz w:val="20"/>
          <w:szCs w:val="20"/>
          <w:bdr w:val="none" w:sz="0" w:space="0" w:color="auto"/>
        </w:rPr>
        <w:t xml:space="preserve">ty </w:t>
      </w:r>
      <w:r w:rsidR="00E92985">
        <w:rPr>
          <w:rFonts w:asciiTheme="majorHAnsi" w:eastAsia="Calibri" w:hAnsiTheme="majorHAnsi"/>
          <w:sz w:val="20"/>
          <w:szCs w:val="20"/>
          <w:bdr w:val="none" w:sz="0" w:space="0" w:color="auto"/>
        </w:rPr>
        <w:t xml:space="preserve">of the </w:t>
      </w:r>
      <w:r w:rsidR="009B7234">
        <w:rPr>
          <w:rFonts w:asciiTheme="majorHAnsi" w:eastAsia="Calibri" w:hAnsiTheme="majorHAnsi"/>
          <w:sz w:val="20"/>
          <w:szCs w:val="20"/>
          <w:bdr w:val="none" w:sz="0" w:space="0" w:color="auto"/>
        </w:rPr>
        <w:t>measure</w:t>
      </w:r>
      <w:r w:rsidR="00E92985">
        <w:rPr>
          <w:rFonts w:asciiTheme="majorHAnsi" w:eastAsia="Calibri" w:hAnsiTheme="majorHAnsi"/>
          <w:sz w:val="20"/>
          <w:szCs w:val="20"/>
          <w:bdr w:val="none" w:sz="0" w:space="0" w:color="auto"/>
        </w:rPr>
        <w:t xml:space="preserve"> of </w:t>
      </w:r>
      <w:r w:rsidR="006E255A">
        <w:rPr>
          <w:rFonts w:asciiTheme="majorHAnsi" w:eastAsia="Calibri" w:hAnsiTheme="majorHAnsi"/>
          <w:sz w:val="20"/>
          <w:szCs w:val="20"/>
          <w:bdr w:val="none" w:sz="0" w:space="0" w:color="auto"/>
        </w:rPr>
        <w:t>detention</w:t>
      </w:r>
      <w:r w:rsidR="00773B3C" w:rsidRPr="00A51861">
        <w:rPr>
          <w:rFonts w:asciiTheme="majorHAnsi" w:eastAsia="Calibri" w:hAnsiTheme="majorHAnsi"/>
          <w:sz w:val="20"/>
          <w:szCs w:val="20"/>
          <w:bdr w:val="none" w:sz="0" w:space="0" w:color="auto"/>
        </w:rPr>
        <w:t xml:space="preserve">. </w:t>
      </w:r>
    </w:p>
    <w:p w14:paraId="5C66DCA1" w14:textId="77777777" w:rsidR="00773B3C" w:rsidRPr="00A51861" w:rsidRDefault="00773B3C" w:rsidP="008E4D3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rPr>
      </w:pPr>
    </w:p>
    <w:p w14:paraId="712AED5E" w14:textId="05F27881" w:rsidR="00773B3C" w:rsidRPr="00A51861" w:rsidRDefault="00195E24"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Calibri" w:hAnsiTheme="majorHAnsi"/>
          <w:sz w:val="20"/>
          <w:szCs w:val="20"/>
          <w:bdr w:val="none" w:sz="0" w:space="0" w:color="auto"/>
        </w:rPr>
      </w:pPr>
      <w:r>
        <w:rPr>
          <w:rFonts w:asciiTheme="majorHAnsi" w:hAnsiTheme="majorHAnsi"/>
          <w:sz w:val="20"/>
          <w:szCs w:val="20"/>
        </w:rPr>
        <w:t>Taking into account the previous</w:t>
      </w:r>
      <w:r w:rsidR="00773B3C" w:rsidRPr="00A51861">
        <w:rPr>
          <w:rFonts w:asciiTheme="majorHAnsi" w:eastAsia="Calibri" w:hAnsiTheme="majorHAnsi"/>
          <w:sz w:val="20"/>
          <w:szCs w:val="20"/>
          <w:bdr w:val="none" w:sz="0" w:space="0" w:color="auto"/>
        </w:rPr>
        <w:t xml:space="preserve"> </w:t>
      </w:r>
      <w:r w:rsidR="00D70A85" w:rsidRPr="00A51861">
        <w:rPr>
          <w:rFonts w:asciiTheme="majorHAnsi" w:eastAsia="Calibri" w:hAnsiTheme="majorHAnsi"/>
          <w:sz w:val="20"/>
          <w:szCs w:val="20"/>
          <w:bdr w:val="none" w:sz="0" w:space="0" w:color="auto"/>
        </w:rPr>
        <w:t>considerations</w:t>
      </w:r>
      <w:r w:rsidR="00773B3C" w:rsidRPr="00A51861">
        <w:rPr>
          <w:rFonts w:asciiTheme="majorHAnsi" w:eastAsia="Calibri" w:hAnsiTheme="majorHAnsi"/>
          <w:sz w:val="20"/>
          <w:szCs w:val="20"/>
          <w:bdr w:val="none" w:sz="0" w:space="0" w:color="auto"/>
        </w:rPr>
        <w:t>,</w:t>
      </w:r>
      <w:r w:rsidR="009A4F91">
        <w:rPr>
          <w:rFonts w:asciiTheme="majorHAnsi" w:eastAsia="Calibri" w:hAnsiTheme="majorHAnsi"/>
          <w:sz w:val="20"/>
          <w:szCs w:val="20"/>
          <w:bdr w:val="none" w:sz="0" w:space="0" w:color="auto"/>
        </w:rPr>
        <w:t xml:space="preserve"> </w:t>
      </w:r>
      <w:r w:rsidR="00D70A85">
        <w:rPr>
          <w:rFonts w:asciiTheme="majorHAnsi" w:eastAsia="Calibri" w:hAnsiTheme="majorHAnsi"/>
          <w:sz w:val="20"/>
          <w:szCs w:val="20"/>
          <w:bdr w:val="none" w:sz="0" w:space="0" w:color="auto"/>
        </w:rPr>
        <w:t xml:space="preserve">the Court </w:t>
      </w:r>
      <w:r w:rsidR="00773B3C" w:rsidRPr="00A51861">
        <w:rPr>
          <w:rFonts w:asciiTheme="majorHAnsi" w:eastAsia="Calibri" w:hAnsiTheme="majorHAnsi"/>
          <w:sz w:val="20"/>
          <w:szCs w:val="20"/>
          <w:bdr w:val="none" w:sz="0" w:space="0" w:color="auto"/>
        </w:rPr>
        <w:t>conclu</w:t>
      </w:r>
      <w:r w:rsidR="00D70A85">
        <w:rPr>
          <w:rFonts w:asciiTheme="majorHAnsi" w:eastAsia="Calibri" w:hAnsiTheme="majorHAnsi"/>
          <w:sz w:val="20"/>
          <w:szCs w:val="20"/>
          <w:bdr w:val="none" w:sz="0" w:space="0" w:color="auto"/>
        </w:rPr>
        <w:t>des</w:t>
      </w:r>
      <w:r w:rsidR="00E92985">
        <w:rPr>
          <w:rFonts w:asciiTheme="majorHAnsi" w:eastAsia="Calibri" w:hAnsiTheme="majorHAnsi"/>
          <w:sz w:val="20"/>
          <w:szCs w:val="20"/>
          <w:bdr w:val="none" w:sz="0" w:space="0" w:color="auto"/>
        </w:rPr>
        <w:t xml:space="preserve"> that the </w:t>
      </w:r>
      <w:r w:rsidR="00160A67">
        <w:rPr>
          <w:rFonts w:asciiTheme="majorHAnsi" w:eastAsia="Calibri" w:hAnsiTheme="majorHAnsi"/>
          <w:sz w:val="20"/>
          <w:szCs w:val="20"/>
          <w:bdr w:val="none" w:sz="0" w:space="0" w:color="auto"/>
        </w:rPr>
        <w:t>arrest</w:t>
      </w:r>
      <w:r w:rsidR="00E92985">
        <w:rPr>
          <w:rFonts w:asciiTheme="majorHAnsi" w:eastAsia="Calibri" w:hAnsiTheme="majorHAnsi"/>
          <w:sz w:val="20"/>
          <w:szCs w:val="20"/>
          <w:bdr w:val="none" w:sz="0" w:space="0" w:color="auto"/>
        </w:rPr>
        <w:t xml:space="preserve"> and </w:t>
      </w:r>
      <w:r w:rsidR="0045141A">
        <w:rPr>
          <w:rFonts w:asciiTheme="majorHAnsi" w:eastAsia="Calibri" w:hAnsiTheme="majorHAnsi"/>
          <w:sz w:val="20"/>
          <w:szCs w:val="20"/>
          <w:bdr w:val="none" w:sz="0" w:space="0" w:color="auto"/>
        </w:rPr>
        <w:t>deprivation of liberty</w:t>
      </w:r>
      <w:r w:rsidR="00E92985">
        <w:rPr>
          <w:rFonts w:asciiTheme="majorHAnsi" w:eastAsia="Calibri" w:hAnsiTheme="majorHAnsi"/>
          <w:sz w:val="20"/>
          <w:szCs w:val="20"/>
          <w:bdr w:val="none" w:sz="0" w:space="0" w:color="auto"/>
        </w:rPr>
        <w:t xml:space="preserve"> of </w:t>
      </w:r>
      <w:r w:rsidR="002835FC" w:rsidRPr="00A51861">
        <w:rPr>
          <w:rFonts w:asciiTheme="majorHAnsi" w:eastAsia="Calibri" w:hAnsiTheme="majorHAnsi"/>
          <w:sz w:val="20"/>
          <w:szCs w:val="20"/>
          <w:bdr w:val="none" w:sz="0" w:space="0" w:color="auto"/>
        </w:rPr>
        <w:t xml:space="preserve">the alleged victims </w:t>
      </w:r>
      <w:r w:rsidR="00D70A85">
        <w:rPr>
          <w:rFonts w:asciiTheme="majorHAnsi" w:eastAsia="Calibri" w:hAnsiTheme="majorHAnsi"/>
          <w:sz w:val="20"/>
          <w:szCs w:val="20"/>
          <w:bdr w:val="none" w:sz="0" w:space="0" w:color="auto"/>
        </w:rPr>
        <w:t>was performed supported by a norm which does not meet</w:t>
      </w:r>
      <w:r w:rsidR="00773B3C" w:rsidRPr="00A51861">
        <w:rPr>
          <w:rFonts w:asciiTheme="majorHAnsi" w:eastAsia="Calibri" w:hAnsiTheme="majorHAnsi"/>
          <w:sz w:val="20"/>
          <w:szCs w:val="20"/>
          <w:bdr w:val="none" w:sz="0" w:space="0" w:color="auto"/>
        </w:rPr>
        <w:t xml:space="preserve"> </w:t>
      </w:r>
      <w:r w:rsidR="00D70A85">
        <w:rPr>
          <w:rFonts w:asciiTheme="majorHAnsi" w:eastAsia="Calibri" w:hAnsiTheme="majorHAnsi"/>
          <w:sz w:val="20"/>
          <w:szCs w:val="20"/>
          <w:bdr w:val="none" w:sz="0" w:space="0" w:color="auto"/>
        </w:rPr>
        <w:t xml:space="preserve">conventional </w:t>
      </w:r>
      <w:r w:rsidR="00EC7A58">
        <w:rPr>
          <w:rFonts w:asciiTheme="majorHAnsi" w:eastAsia="Calibri" w:hAnsiTheme="majorHAnsi"/>
          <w:sz w:val="20"/>
          <w:szCs w:val="20"/>
          <w:bdr w:val="none" w:sz="0" w:space="0" w:color="auto"/>
        </w:rPr>
        <w:t>requirement</w:t>
      </w:r>
      <w:r w:rsidR="00773B3C" w:rsidRPr="00A51861">
        <w:rPr>
          <w:rFonts w:asciiTheme="majorHAnsi" w:eastAsia="Calibri" w:hAnsiTheme="majorHAnsi"/>
          <w:sz w:val="20"/>
          <w:szCs w:val="20"/>
          <w:bdr w:val="none" w:sz="0" w:space="0" w:color="auto"/>
        </w:rPr>
        <w:t>s,</w:t>
      </w:r>
      <w:r w:rsidR="00E92985">
        <w:rPr>
          <w:rFonts w:asciiTheme="majorHAnsi" w:eastAsia="Calibri" w:hAnsiTheme="majorHAnsi"/>
          <w:sz w:val="20"/>
          <w:szCs w:val="20"/>
          <w:bdr w:val="none" w:sz="0" w:space="0" w:color="auto"/>
        </w:rPr>
        <w:t xml:space="preserve"> and </w:t>
      </w:r>
      <w:r w:rsidR="00D70A85">
        <w:rPr>
          <w:rFonts w:asciiTheme="majorHAnsi" w:eastAsia="Calibri" w:hAnsiTheme="majorHAnsi"/>
          <w:sz w:val="20"/>
          <w:szCs w:val="20"/>
          <w:bdr w:val="none" w:sz="0" w:space="0" w:color="auto"/>
        </w:rPr>
        <w:t>there is also no</w:t>
      </w:r>
      <w:r w:rsidR="00773B3C" w:rsidRPr="00A51861">
        <w:rPr>
          <w:rFonts w:asciiTheme="majorHAnsi" w:eastAsia="Calibri" w:hAnsiTheme="majorHAnsi"/>
          <w:sz w:val="20"/>
          <w:szCs w:val="20"/>
          <w:bdr w:val="none" w:sz="0" w:space="0" w:color="auto"/>
        </w:rPr>
        <w:t xml:space="preserve"> </w:t>
      </w:r>
      <w:r w:rsidR="00A51861" w:rsidRPr="00A51861">
        <w:rPr>
          <w:rFonts w:asciiTheme="majorHAnsi" w:eastAsia="Calibri" w:hAnsiTheme="majorHAnsi"/>
          <w:sz w:val="20"/>
          <w:szCs w:val="20"/>
          <w:bdr w:val="none" w:sz="0" w:space="0" w:color="auto"/>
        </w:rPr>
        <w:t>information</w:t>
      </w:r>
      <w:r w:rsidR="00773B3C" w:rsidRPr="00A51861">
        <w:rPr>
          <w:rFonts w:asciiTheme="majorHAnsi" w:eastAsia="Calibri" w:hAnsiTheme="majorHAnsi"/>
          <w:sz w:val="20"/>
          <w:szCs w:val="20"/>
          <w:bdr w:val="none" w:sz="0" w:space="0" w:color="auto"/>
        </w:rPr>
        <w:t xml:space="preserve"> </w:t>
      </w:r>
      <w:r w:rsidR="00D70A85">
        <w:rPr>
          <w:rFonts w:asciiTheme="majorHAnsi" w:eastAsia="Calibri" w:hAnsiTheme="majorHAnsi"/>
          <w:sz w:val="20"/>
          <w:szCs w:val="20"/>
          <w:bdr w:val="none" w:sz="0" w:space="0" w:color="auto"/>
        </w:rPr>
        <w:t>concerning</w:t>
      </w:r>
      <w:r w:rsidR="00E92985">
        <w:rPr>
          <w:rFonts w:asciiTheme="majorHAnsi" w:eastAsia="Calibri" w:hAnsiTheme="majorHAnsi"/>
          <w:sz w:val="20"/>
          <w:szCs w:val="20"/>
          <w:bdr w:val="none" w:sz="0" w:space="0" w:color="auto"/>
        </w:rPr>
        <w:t xml:space="preserve"> the </w:t>
      </w:r>
      <w:r w:rsidR="006E255A">
        <w:rPr>
          <w:rFonts w:asciiTheme="majorHAnsi" w:eastAsia="Calibri" w:hAnsiTheme="majorHAnsi"/>
          <w:sz w:val="20"/>
          <w:szCs w:val="20"/>
          <w:bdr w:val="none" w:sz="0" w:space="0" w:color="auto"/>
        </w:rPr>
        <w:t>detention</w:t>
      </w:r>
      <w:r w:rsidR="00773B3C" w:rsidRPr="00A51861">
        <w:rPr>
          <w:rFonts w:asciiTheme="majorHAnsi" w:eastAsia="Calibri" w:hAnsiTheme="majorHAnsi"/>
          <w:sz w:val="20"/>
          <w:szCs w:val="20"/>
          <w:bdr w:val="none" w:sz="0" w:space="0" w:color="auto"/>
        </w:rPr>
        <w:t xml:space="preserve"> </w:t>
      </w:r>
      <w:r w:rsidR="00D70A85">
        <w:rPr>
          <w:rFonts w:asciiTheme="majorHAnsi" w:eastAsia="Calibri" w:hAnsiTheme="majorHAnsi"/>
          <w:sz w:val="20"/>
          <w:szCs w:val="20"/>
          <w:bdr w:val="none" w:sz="0" w:space="0" w:color="auto"/>
        </w:rPr>
        <w:t>being subject to</w:t>
      </w:r>
      <w:r w:rsidR="00E92985">
        <w:rPr>
          <w:rFonts w:asciiTheme="majorHAnsi" w:eastAsia="Calibri" w:hAnsiTheme="majorHAnsi"/>
          <w:sz w:val="20"/>
          <w:szCs w:val="20"/>
          <w:bdr w:val="none" w:sz="0" w:space="0" w:color="auto"/>
        </w:rPr>
        <w:t xml:space="preserve"> </w:t>
      </w:r>
      <w:r w:rsidR="00773B3C" w:rsidRPr="00A51861">
        <w:rPr>
          <w:rFonts w:asciiTheme="majorHAnsi" w:eastAsia="Calibri" w:hAnsiTheme="majorHAnsi"/>
          <w:sz w:val="20"/>
          <w:szCs w:val="20"/>
          <w:bdr w:val="none" w:sz="0" w:space="0" w:color="auto"/>
        </w:rPr>
        <w:t>control</w:t>
      </w:r>
      <w:r w:rsidR="00E92985">
        <w:rPr>
          <w:rFonts w:asciiTheme="majorHAnsi" w:eastAsia="Calibri" w:hAnsiTheme="majorHAnsi"/>
          <w:sz w:val="20"/>
          <w:szCs w:val="20"/>
          <w:bdr w:val="none" w:sz="0" w:space="0" w:color="auto"/>
        </w:rPr>
        <w:t xml:space="preserve"> of </w:t>
      </w:r>
      <w:r w:rsidR="00773B3C" w:rsidRPr="00A51861">
        <w:rPr>
          <w:rFonts w:asciiTheme="majorHAnsi" w:eastAsia="Calibri" w:hAnsiTheme="majorHAnsi"/>
          <w:sz w:val="20"/>
          <w:szCs w:val="20"/>
          <w:bdr w:val="none" w:sz="0" w:space="0" w:color="auto"/>
        </w:rPr>
        <w:t>legali</w:t>
      </w:r>
      <w:r w:rsidR="00FA2E7B">
        <w:rPr>
          <w:rFonts w:asciiTheme="majorHAnsi" w:eastAsia="Calibri" w:hAnsiTheme="majorHAnsi"/>
          <w:sz w:val="20"/>
          <w:szCs w:val="20"/>
          <w:bdr w:val="none" w:sz="0" w:space="0" w:color="auto"/>
        </w:rPr>
        <w:t xml:space="preserve">ty </w:t>
      </w:r>
      <w:r w:rsidR="00D70A85">
        <w:rPr>
          <w:rFonts w:asciiTheme="majorHAnsi" w:eastAsia="Calibri" w:hAnsiTheme="majorHAnsi"/>
          <w:sz w:val="20"/>
          <w:szCs w:val="20"/>
          <w:bdr w:val="none" w:sz="0" w:space="0" w:color="auto"/>
        </w:rPr>
        <w:t>by a</w:t>
      </w:r>
      <w:r w:rsidR="00773B3C" w:rsidRPr="00A51861">
        <w:rPr>
          <w:rFonts w:asciiTheme="majorHAnsi" w:eastAsia="Calibri" w:hAnsiTheme="majorHAnsi"/>
          <w:sz w:val="20"/>
          <w:szCs w:val="20"/>
          <w:bdr w:val="none" w:sz="0" w:space="0" w:color="auto"/>
        </w:rPr>
        <w:t xml:space="preserve"> </w:t>
      </w:r>
      <w:r w:rsidR="00D70A85">
        <w:rPr>
          <w:rFonts w:asciiTheme="majorHAnsi" w:eastAsia="Calibri" w:hAnsiTheme="majorHAnsi"/>
          <w:sz w:val="20"/>
          <w:szCs w:val="20"/>
          <w:bdr w:val="none" w:sz="0" w:space="0" w:color="auto"/>
        </w:rPr>
        <w:t>competent judge</w:t>
      </w:r>
      <w:r w:rsidR="00773B3C" w:rsidRPr="00A51861">
        <w:rPr>
          <w:rFonts w:asciiTheme="majorHAnsi" w:eastAsia="Calibri" w:hAnsiTheme="majorHAnsi"/>
          <w:sz w:val="20"/>
          <w:szCs w:val="20"/>
          <w:bdr w:val="none" w:sz="0" w:space="0" w:color="auto"/>
        </w:rPr>
        <w:t xml:space="preserve">. </w:t>
      </w:r>
      <w:r w:rsidR="00D70A85">
        <w:rPr>
          <w:rFonts w:asciiTheme="majorHAnsi" w:eastAsia="Calibri" w:hAnsiTheme="majorHAnsi"/>
          <w:sz w:val="20"/>
          <w:szCs w:val="20"/>
          <w:bdr w:val="none" w:sz="0" w:space="0" w:color="auto"/>
        </w:rPr>
        <w:t>For</w:t>
      </w:r>
      <w:r w:rsidR="00E64C43">
        <w:rPr>
          <w:rFonts w:asciiTheme="majorHAnsi" w:eastAsia="Calibri" w:hAnsiTheme="majorHAnsi"/>
          <w:sz w:val="20"/>
          <w:szCs w:val="20"/>
          <w:bdr w:val="none" w:sz="0" w:space="0" w:color="auto"/>
        </w:rPr>
        <w:t xml:space="preserve"> these </w:t>
      </w:r>
      <w:r w:rsidR="00D70A85">
        <w:rPr>
          <w:rFonts w:asciiTheme="majorHAnsi" w:eastAsia="Calibri" w:hAnsiTheme="majorHAnsi"/>
          <w:sz w:val="20"/>
          <w:szCs w:val="20"/>
          <w:bdr w:val="none" w:sz="0" w:space="0" w:color="auto"/>
        </w:rPr>
        <w:t>reasons</w:t>
      </w:r>
      <w:r w:rsidR="00773B3C" w:rsidRPr="00A51861">
        <w:rPr>
          <w:rFonts w:asciiTheme="majorHAnsi" w:eastAsia="Calibri" w:hAnsiTheme="majorHAnsi"/>
          <w:sz w:val="20"/>
          <w:szCs w:val="20"/>
          <w:bdr w:val="none" w:sz="0" w:space="0" w:color="auto"/>
        </w:rPr>
        <w:t>, Argentina</w:t>
      </w:r>
      <w:r w:rsidR="00D70A85">
        <w:rPr>
          <w:rFonts w:asciiTheme="majorHAnsi" w:eastAsia="Calibri" w:hAnsiTheme="majorHAnsi"/>
          <w:sz w:val="20"/>
          <w:szCs w:val="20"/>
          <w:bdr w:val="none" w:sz="0" w:space="0" w:color="auto"/>
        </w:rPr>
        <w:t xml:space="preserve"> is </w:t>
      </w:r>
      <w:r w:rsidR="00D64B7E">
        <w:rPr>
          <w:rFonts w:asciiTheme="majorHAnsi" w:eastAsia="Calibri" w:hAnsiTheme="majorHAnsi"/>
          <w:sz w:val="20"/>
          <w:szCs w:val="20"/>
          <w:bdr w:val="none" w:sz="0" w:space="0" w:color="auto"/>
        </w:rPr>
        <w:t>responsible</w:t>
      </w:r>
      <w:r w:rsidR="00773B3C" w:rsidRPr="00A51861">
        <w:rPr>
          <w:rFonts w:asciiTheme="majorHAnsi" w:eastAsia="Calibri" w:hAnsiTheme="majorHAnsi"/>
          <w:sz w:val="20"/>
          <w:szCs w:val="20"/>
          <w:bdr w:val="none" w:sz="0" w:space="0" w:color="auto"/>
        </w:rPr>
        <w:t xml:space="preserve"> </w:t>
      </w:r>
      <w:r w:rsidR="00D70A85">
        <w:rPr>
          <w:rFonts w:asciiTheme="majorHAnsi" w:eastAsia="Calibri" w:hAnsiTheme="majorHAnsi"/>
          <w:sz w:val="20"/>
          <w:szCs w:val="20"/>
          <w:bdr w:val="none" w:sz="0" w:space="0" w:color="auto"/>
        </w:rPr>
        <w:t>f</w:t>
      </w:r>
      <w:r w:rsidR="00773B3C" w:rsidRPr="00A51861">
        <w:rPr>
          <w:rFonts w:asciiTheme="majorHAnsi" w:eastAsia="Calibri" w:hAnsiTheme="majorHAnsi"/>
          <w:sz w:val="20"/>
          <w:szCs w:val="20"/>
          <w:bdr w:val="none" w:sz="0" w:space="0" w:color="auto"/>
        </w:rPr>
        <w:t>or</w:t>
      </w:r>
      <w:r w:rsidR="009A4F91">
        <w:rPr>
          <w:rFonts w:asciiTheme="majorHAnsi" w:eastAsia="Calibri" w:hAnsiTheme="majorHAnsi"/>
          <w:sz w:val="20"/>
          <w:szCs w:val="20"/>
          <w:bdr w:val="none" w:sz="0" w:space="0" w:color="auto"/>
        </w:rPr>
        <w:t xml:space="preserve"> the </w:t>
      </w:r>
      <w:r w:rsidR="004E1083">
        <w:rPr>
          <w:rFonts w:asciiTheme="majorHAnsi" w:eastAsia="Calibri" w:hAnsiTheme="majorHAnsi"/>
          <w:sz w:val="20"/>
          <w:szCs w:val="20"/>
          <w:bdr w:val="none" w:sz="0" w:space="0" w:color="auto"/>
        </w:rPr>
        <w:t>violation</w:t>
      </w:r>
      <w:r w:rsidR="004969F4">
        <w:rPr>
          <w:rFonts w:asciiTheme="majorHAnsi" w:eastAsia="Calibri" w:hAnsiTheme="majorHAnsi"/>
          <w:sz w:val="20"/>
          <w:szCs w:val="20"/>
          <w:bdr w:val="none" w:sz="0" w:space="0" w:color="auto"/>
        </w:rPr>
        <w:t xml:space="preserve"> of the </w:t>
      </w:r>
      <w:r w:rsidR="009B462E">
        <w:rPr>
          <w:rFonts w:asciiTheme="majorHAnsi" w:eastAsia="Calibri" w:hAnsiTheme="majorHAnsi"/>
          <w:sz w:val="20"/>
          <w:szCs w:val="20"/>
          <w:bdr w:val="none" w:sz="0" w:space="0" w:color="auto"/>
        </w:rPr>
        <w:t xml:space="preserve">right of </w:t>
      </w:r>
      <w:r w:rsidR="00EF4ED2">
        <w:rPr>
          <w:rFonts w:asciiTheme="majorHAnsi" w:eastAsia="Calibri" w:hAnsiTheme="majorHAnsi"/>
          <w:sz w:val="20"/>
          <w:szCs w:val="20"/>
          <w:bdr w:val="none" w:sz="0" w:space="0" w:color="auto"/>
        </w:rPr>
        <w:t>protection</w:t>
      </w:r>
      <w:r w:rsidR="00CB0928">
        <w:rPr>
          <w:rFonts w:asciiTheme="majorHAnsi" w:eastAsia="Calibri" w:hAnsiTheme="majorHAnsi"/>
          <w:sz w:val="20"/>
          <w:szCs w:val="20"/>
          <w:bdr w:val="none" w:sz="0" w:space="0" w:color="auto"/>
        </w:rPr>
        <w:t xml:space="preserve"> against</w:t>
      </w:r>
      <w:r w:rsidR="009A4F91">
        <w:rPr>
          <w:rFonts w:asciiTheme="majorHAnsi" w:eastAsia="Calibri" w:hAnsiTheme="majorHAnsi"/>
          <w:sz w:val="20"/>
          <w:szCs w:val="20"/>
          <w:bdr w:val="none" w:sz="0" w:space="0" w:color="auto"/>
        </w:rPr>
        <w:t xml:space="preserve"> </w:t>
      </w:r>
      <w:r w:rsidR="00D70A85">
        <w:rPr>
          <w:rFonts w:asciiTheme="majorHAnsi" w:eastAsia="Calibri" w:hAnsiTheme="majorHAnsi"/>
          <w:sz w:val="20"/>
          <w:szCs w:val="20"/>
          <w:bdr w:val="none" w:sz="0" w:space="0" w:color="auto"/>
        </w:rPr>
        <w:t xml:space="preserve">arbitrary detention </w:t>
      </w:r>
      <w:r w:rsidR="00E92985">
        <w:rPr>
          <w:rFonts w:asciiTheme="majorHAnsi" w:eastAsia="Calibri" w:hAnsiTheme="majorHAnsi"/>
          <w:sz w:val="20"/>
          <w:szCs w:val="20"/>
          <w:bdr w:val="none" w:sz="0" w:space="0" w:color="auto"/>
        </w:rPr>
        <w:t xml:space="preserve">and of </w:t>
      </w:r>
      <w:r w:rsidR="00D70A85">
        <w:rPr>
          <w:rFonts w:asciiTheme="majorHAnsi" w:eastAsia="Calibri" w:hAnsiTheme="majorHAnsi"/>
          <w:sz w:val="20"/>
          <w:szCs w:val="20"/>
          <w:bdr w:val="none" w:sz="0" w:space="0" w:color="auto"/>
        </w:rPr>
        <w:t>assembly set forth in</w:t>
      </w:r>
      <w:r w:rsidR="00CC0C81" w:rsidRPr="00A51861">
        <w:rPr>
          <w:rFonts w:asciiTheme="majorHAnsi" w:eastAsia="Calibri" w:hAnsiTheme="majorHAnsi"/>
          <w:sz w:val="20"/>
          <w:szCs w:val="20"/>
          <w:bdr w:val="none" w:sz="0" w:space="0" w:color="auto"/>
        </w:rPr>
        <w:t xml:space="preserve"> </w:t>
      </w:r>
      <w:r w:rsidR="0029564F">
        <w:rPr>
          <w:rFonts w:asciiTheme="majorHAnsi" w:eastAsia="Calibri" w:hAnsiTheme="majorHAnsi"/>
          <w:sz w:val="20"/>
          <w:szCs w:val="20"/>
          <w:bdr w:val="none" w:sz="0" w:space="0" w:color="auto"/>
        </w:rPr>
        <w:t>article</w:t>
      </w:r>
      <w:r w:rsidR="00CC0C81" w:rsidRPr="00A51861">
        <w:rPr>
          <w:rFonts w:asciiTheme="majorHAnsi" w:eastAsia="Calibri" w:hAnsiTheme="majorHAnsi"/>
          <w:sz w:val="20"/>
          <w:szCs w:val="20"/>
          <w:bdr w:val="none" w:sz="0" w:space="0" w:color="auto"/>
        </w:rPr>
        <w:t xml:space="preserve">s I, </w:t>
      </w:r>
      <w:r w:rsidR="007D502A" w:rsidRPr="00A51861">
        <w:rPr>
          <w:rFonts w:asciiTheme="majorHAnsi" w:eastAsia="Calibri" w:hAnsiTheme="majorHAnsi"/>
          <w:sz w:val="20"/>
          <w:szCs w:val="20"/>
          <w:bdr w:val="none" w:sz="0" w:space="0" w:color="auto"/>
        </w:rPr>
        <w:t>XXI</w:t>
      </w:r>
      <w:r w:rsidR="00E92985">
        <w:rPr>
          <w:rFonts w:asciiTheme="majorHAnsi" w:eastAsia="Calibri" w:hAnsiTheme="majorHAnsi"/>
          <w:sz w:val="20"/>
          <w:szCs w:val="20"/>
          <w:bdr w:val="none" w:sz="0" w:space="0" w:color="auto"/>
        </w:rPr>
        <w:t xml:space="preserve"> and </w:t>
      </w:r>
      <w:r w:rsidR="007D502A" w:rsidRPr="00A51861">
        <w:rPr>
          <w:rFonts w:asciiTheme="majorHAnsi" w:eastAsia="Calibri" w:hAnsiTheme="majorHAnsi"/>
          <w:sz w:val="20"/>
          <w:szCs w:val="20"/>
          <w:bdr w:val="none" w:sz="0" w:space="0" w:color="auto"/>
        </w:rPr>
        <w:t>XXV</w:t>
      </w:r>
      <w:r w:rsidR="00E92985">
        <w:rPr>
          <w:rFonts w:asciiTheme="majorHAnsi" w:eastAsia="Calibri" w:hAnsiTheme="majorHAnsi"/>
          <w:sz w:val="20"/>
          <w:szCs w:val="20"/>
          <w:bdr w:val="none" w:sz="0" w:space="0" w:color="auto"/>
        </w:rPr>
        <w:t xml:space="preserve"> of the </w:t>
      </w:r>
      <w:r w:rsidR="003F634D">
        <w:rPr>
          <w:rFonts w:asciiTheme="majorHAnsi" w:eastAsia="Calibri" w:hAnsiTheme="majorHAnsi"/>
          <w:sz w:val="20"/>
          <w:szCs w:val="20"/>
          <w:bdr w:val="none" w:sz="0" w:space="0" w:color="auto"/>
        </w:rPr>
        <w:t xml:space="preserve">American Declaration </w:t>
      </w:r>
      <w:r w:rsidR="00E92985">
        <w:rPr>
          <w:rFonts w:asciiTheme="majorHAnsi" w:eastAsia="Calibri" w:hAnsiTheme="majorHAnsi"/>
          <w:sz w:val="20"/>
          <w:szCs w:val="20"/>
          <w:bdr w:val="none" w:sz="0" w:space="0" w:color="auto"/>
        </w:rPr>
        <w:t xml:space="preserve">to the detriment of </w:t>
      </w:r>
      <w:r w:rsidR="00D70A85">
        <w:rPr>
          <w:rFonts w:asciiTheme="majorHAnsi" w:eastAsia="Calibri" w:hAnsiTheme="majorHAnsi"/>
          <w:sz w:val="20"/>
          <w:szCs w:val="20"/>
          <w:bdr w:val="none" w:sz="0" w:space="0" w:color="auto"/>
        </w:rPr>
        <w:t>Mr.</w:t>
      </w:r>
      <w:r w:rsidR="00773B3C" w:rsidRPr="00A51861">
        <w:rPr>
          <w:rFonts w:asciiTheme="majorHAnsi" w:eastAsia="Calibri" w:hAnsiTheme="majorHAnsi"/>
          <w:sz w:val="20"/>
          <w:szCs w:val="20"/>
          <w:bdr w:val="none" w:sz="0" w:space="0" w:color="auto"/>
        </w:rPr>
        <w:t xml:space="preserve"> Julio César </w:t>
      </w:r>
      <w:r w:rsidR="00B01A54">
        <w:rPr>
          <w:rFonts w:asciiTheme="majorHAnsi" w:eastAsia="Calibri" w:hAnsiTheme="majorHAnsi"/>
          <w:sz w:val="20"/>
          <w:szCs w:val="20"/>
          <w:bdr w:val="none" w:sz="0" w:space="0" w:color="auto"/>
        </w:rPr>
        <w:t xml:space="preserve">Rito de los Santos </w:t>
      </w:r>
      <w:r w:rsidR="00E92985">
        <w:rPr>
          <w:rFonts w:asciiTheme="majorHAnsi" w:eastAsia="Calibri" w:hAnsiTheme="majorHAnsi"/>
          <w:sz w:val="20"/>
          <w:szCs w:val="20"/>
          <w:bdr w:val="none" w:sz="0" w:space="0" w:color="auto"/>
        </w:rPr>
        <w:t xml:space="preserve">and </w:t>
      </w:r>
      <w:r w:rsidR="00D70A85">
        <w:rPr>
          <w:rFonts w:asciiTheme="majorHAnsi" w:eastAsia="Calibri" w:hAnsiTheme="majorHAnsi"/>
          <w:sz w:val="20"/>
          <w:szCs w:val="20"/>
          <w:bdr w:val="none" w:sz="0" w:space="0" w:color="auto"/>
        </w:rPr>
        <w:t xml:space="preserve">Mr. </w:t>
      </w:r>
      <w:r w:rsidR="00773B3C" w:rsidRPr="00A51861">
        <w:rPr>
          <w:rFonts w:asciiTheme="majorHAnsi" w:eastAsia="Calibri" w:hAnsiTheme="majorHAnsi"/>
          <w:sz w:val="20"/>
          <w:szCs w:val="20"/>
          <w:bdr w:val="none" w:sz="0" w:space="0" w:color="auto"/>
        </w:rPr>
        <w:t xml:space="preserve">Hugo Daniel Ferreira. </w:t>
      </w:r>
    </w:p>
    <w:p w14:paraId="16E12A09" w14:textId="77777777" w:rsidR="00D80281" w:rsidRPr="00A51861" w:rsidRDefault="00D80281" w:rsidP="008E4D36">
      <w:pPr>
        <w:pStyle w:val="ListParagraph"/>
        <w:rPr>
          <w:rFonts w:asciiTheme="majorHAnsi" w:eastAsia="Calibri" w:hAnsiTheme="majorHAnsi"/>
          <w:sz w:val="20"/>
          <w:szCs w:val="20"/>
          <w:bdr w:val="none" w:sz="0" w:space="0" w:color="auto"/>
        </w:rPr>
      </w:pPr>
    </w:p>
    <w:p w14:paraId="57164A8C" w14:textId="42F19EEF" w:rsidR="00D80281" w:rsidRPr="00A51861" w:rsidRDefault="00D80281"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Calibri" w:hAnsiTheme="majorHAnsi"/>
          <w:sz w:val="20"/>
          <w:szCs w:val="20"/>
          <w:bdr w:val="none" w:sz="0" w:space="0" w:color="auto"/>
        </w:rPr>
      </w:pPr>
      <w:r w:rsidRPr="00A51861">
        <w:rPr>
          <w:rFonts w:asciiTheme="majorHAnsi" w:eastAsia="Calibri" w:hAnsiTheme="majorHAnsi"/>
          <w:sz w:val="20"/>
          <w:szCs w:val="20"/>
          <w:bdr w:val="none" w:sz="0" w:space="0" w:color="auto"/>
        </w:rPr>
        <w:t>Final</w:t>
      </w:r>
      <w:r w:rsidR="00F92BA8">
        <w:rPr>
          <w:rFonts w:asciiTheme="majorHAnsi" w:eastAsia="Calibri" w:hAnsiTheme="majorHAnsi"/>
          <w:sz w:val="20"/>
          <w:szCs w:val="20"/>
          <w:bdr w:val="none" w:sz="0" w:space="0" w:color="auto"/>
        </w:rPr>
        <w:t>ly</w:t>
      </w:r>
      <w:r w:rsidRPr="00A51861">
        <w:rPr>
          <w:rFonts w:asciiTheme="majorHAnsi" w:eastAsia="Calibri" w:hAnsiTheme="majorHAnsi"/>
          <w:sz w:val="20"/>
          <w:szCs w:val="20"/>
          <w:bdr w:val="none" w:sz="0" w:space="0" w:color="auto"/>
        </w:rPr>
        <w:t xml:space="preserve">, </w:t>
      </w:r>
      <w:r w:rsidR="00E92985">
        <w:rPr>
          <w:rFonts w:asciiTheme="majorHAnsi" w:eastAsia="Calibri" w:hAnsiTheme="majorHAnsi"/>
          <w:sz w:val="20"/>
          <w:szCs w:val="20"/>
          <w:bdr w:val="none" w:sz="0" w:space="0" w:color="auto"/>
        </w:rPr>
        <w:t>the Commission</w:t>
      </w:r>
      <w:r w:rsidRPr="00A51861">
        <w:rPr>
          <w:rFonts w:asciiTheme="majorHAnsi" w:eastAsia="Calibri" w:hAnsiTheme="majorHAnsi"/>
          <w:sz w:val="20"/>
          <w:szCs w:val="20"/>
          <w:bdr w:val="none" w:sz="0" w:space="0" w:color="auto"/>
        </w:rPr>
        <w:t xml:space="preserve"> </w:t>
      </w:r>
      <w:r w:rsidR="00D70A85">
        <w:rPr>
          <w:rFonts w:asciiTheme="majorHAnsi" w:eastAsia="Calibri" w:hAnsiTheme="majorHAnsi"/>
          <w:sz w:val="20"/>
          <w:szCs w:val="20"/>
          <w:bdr w:val="none" w:sz="0" w:space="0" w:color="auto"/>
        </w:rPr>
        <w:t>notes</w:t>
      </w:r>
      <w:r w:rsidRPr="00A51861">
        <w:rPr>
          <w:rFonts w:asciiTheme="majorHAnsi" w:eastAsia="Calibri" w:hAnsiTheme="majorHAnsi"/>
          <w:sz w:val="20"/>
          <w:szCs w:val="20"/>
          <w:bdr w:val="none" w:sz="0" w:space="0" w:color="auto"/>
        </w:rPr>
        <w:t xml:space="preserve"> </w:t>
      </w:r>
      <w:r w:rsidR="00D70A85">
        <w:rPr>
          <w:rFonts w:asciiTheme="majorHAnsi" w:eastAsia="Calibri" w:hAnsiTheme="majorHAnsi"/>
          <w:sz w:val="20"/>
          <w:szCs w:val="20"/>
          <w:bdr w:val="none" w:sz="0" w:space="0" w:color="auto"/>
        </w:rPr>
        <w:t>that</w:t>
      </w:r>
      <w:r w:rsidR="00E92985">
        <w:rPr>
          <w:rFonts w:asciiTheme="majorHAnsi" w:eastAsia="Calibri" w:hAnsiTheme="majorHAnsi"/>
          <w:sz w:val="20"/>
          <w:szCs w:val="20"/>
          <w:bdr w:val="none" w:sz="0" w:space="0" w:color="auto"/>
        </w:rPr>
        <w:t xml:space="preserve"> the alleged victims</w:t>
      </w:r>
      <w:r w:rsidRPr="00A51861">
        <w:rPr>
          <w:rFonts w:asciiTheme="majorHAnsi" w:eastAsia="Calibri" w:hAnsiTheme="majorHAnsi"/>
          <w:sz w:val="20"/>
          <w:szCs w:val="20"/>
          <w:bdr w:val="none" w:sz="0" w:space="0" w:color="auto"/>
        </w:rPr>
        <w:t xml:space="preserve">, </w:t>
      </w:r>
      <w:r w:rsidR="00D70A85">
        <w:rPr>
          <w:rFonts w:asciiTheme="majorHAnsi" w:eastAsia="Calibri" w:hAnsiTheme="majorHAnsi"/>
          <w:sz w:val="20"/>
          <w:szCs w:val="20"/>
          <w:bdr w:val="none" w:sz="0" w:space="0" w:color="auto"/>
        </w:rPr>
        <w:t>although set free for the referred</w:t>
      </w:r>
      <w:r w:rsidR="006A3C04">
        <w:rPr>
          <w:rFonts w:asciiTheme="majorHAnsi" w:eastAsia="Calibri" w:hAnsiTheme="majorHAnsi"/>
          <w:sz w:val="20"/>
          <w:szCs w:val="20"/>
          <w:bdr w:val="none" w:sz="0" w:space="0" w:color="auto"/>
        </w:rPr>
        <w:t xml:space="preserve"> facts</w:t>
      </w:r>
      <w:r w:rsidRPr="00A51861">
        <w:rPr>
          <w:rFonts w:asciiTheme="majorHAnsi" w:eastAsia="Calibri" w:hAnsiTheme="majorHAnsi"/>
          <w:sz w:val="20"/>
          <w:szCs w:val="20"/>
          <w:bdr w:val="none" w:sz="0" w:space="0" w:color="auto"/>
        </w:rPr>
        <w:t xml:space="preserve">, </w:t>
      </w:r>
      <w:r w:rsidR="00D70A85">
        <w:rPr>
          <w:rFonts w:asciiTheme="majorHAnsi" w:eastAsia="Calibri" w:hAnsiTheme="majorHAnsi"/>
          <w:sz w:val="20"/>
          <w:szCs w:val="20"/>
          <w:bdr w:val="none" w:sz="0" w:space="0" w:color="auto"/>
        </w:rPr>
        <w:t>were subjected to latter harassment</w:t>
      </w:r>
      <w:r w:rsidR="00D55ACC" w:rsidRPr="00A51861">
        <w:rPr>
          <w:rFonts w:asciiTheme="majorHAnsi" w:eastAsia="Calibri" w:hAnsiTheme="majorHAnsi"/>
          <w:sz w:val="20"/>
          <w:szCs w:val="20"/>
          <w:bdr w:val="none" w:sz="0" w:space="0" w:color="auto"/>
        </w:rPr>
        <w:t xml:space="preserve"> -</w:t>
      </w:r>
      <w:r w:rsidR="00D70A85">
        <w:rPr>
          <w:rFonts w:asciiTheme="majorHAnsi" w:eastAsia="Calibri" w:hAnsiTheme="majorHAnsi"/>
          <w:sz w:val="20"/>
          <w:szCs w:val="20"/>
          <w:bdr w:val="none" w:sz="0" w:space="0" w:color="auto"/>
        </w:rPr>
        <w:t xml:space="preserve">according to their claims before </w:t>
      </w:r>
      <w:r w:rsidR="00E92985">
        <w:rPr>
          <w:rFonts w:asciiTheme="majorHAnsi" w:eastAsia="Calibri" w:hAnsiTheme="majorHAnsi"/>
          <w:sz w:val="20"/>
          <w:szCs w:val="20"/>
          <w:bdr w:val="none" w:sz="0" w:space="0" w:color="auto"/>
        </w:rPr>
        <w:t>the Commission</w:t>
      </w:r>
      <w:r w:rsidR="00D55ACC" w:rsidRPr="00A51861">
        <w:rPr>
          <w:rFonts w:asciiTheme="majorHAnsi" w:eastAsia="Calibri" w:hAnsiTheme="majorHAnsi"/>
          <w:sz w:val="20"/>
          <w:szCs w:val="20"/>
          <w:bdr w:val="none" w:sz="0" w:space="0" w:color="auto"/>
        </w:rPr>
        <w:t>-</w:t>
      </w:r>
      <w:r w:rsidR="005442B4" w:rsidRPr="00A51861">
        <w:rPr>
          <w:rFonts w:asciiTheme="majorHAnsi" w:eastAsia="Calibri" w:hAnsiTheme="majorHAnsi"/>
          <w:sz w:val="20"/>
          <w:szCs w:val="20"/>
          <w:bdr w:val="none" w:sz="0" w:space="0" w:color="auto"/>
        </w:rPr>
        <w:t xml:space="preserve">, </w:t>
      </w:r>
      <w:r w:rsidR="00D70A85">
        <w:rPr>
          <w:rFonts w:asciiTheme="majorHAnsi" w:eastAsia="Calibri" w:hAnsiTheme="majorHAnsi"/>
          <w:sz w:val="20"/>
          <w:szCs w:val="20"/>
          <w:bdr w:val="none" w:sz="0" w:space="0" w:color="auto"/>
        </w:rPr>
        <w:t>by State</w:t>
      </w:r>
      <w:r w:rsidR="005442B4" w:rsidRPr="00A51861">
        <w:rPr>
          <w:rFonts w:asciiTheme="majorHAnsi" w:eastAsia="Calibri" w:hAnsiTheme="majorHAnsi"/>
          <w:sz w:val="20"/>
          <w:szCs w:val="20"/>
          <w:bdr w:val="none" w:sz="0" w:space="0" w:color="auto"/>
        </w:rPr>
        <w:t xml:space="preserve"> </w:t>
      </w:r>
      <w:r w:rsidR="00940530">
        <w:rPr>
          <w:rFonts w:asciiTheme="majorHAnsi" w:eastAsia="Calibri" w:hAnsiTheme="majorHAnsi"/>
          <w:sz w:val="20"/>
          <w:szCs w:val="20"/>
          <w:bdr w:val="none" w:sz="0" w:space="0" w:color="auto"/>
        </w:rPr>
        <w:t>authorities</w:t>
      </w:r>
      <w:r w:rsidR="00D55ACC" w:rsidRPr="00A51861">
        <w:rPr>
          <w:rFonts w:asciiTheme="majorHAnsi" w:eastAsia="Calibri" w:hAnsiTheme="majorHAnsi"/>
          <w:sz w:val="20"/>
          <w:szCs w:val="20"/>
          <w:bdr w:val="none" w:sz="0" w:space="0" w:color="auto"/>
        </w:rPr>
        <w:t>;</w:t>
      </w:r>
      <w:r w:rsidRPr="00A51861">
        <w:rPr>
          <w:rFonts w:asciiTheme="majorHAnsi" w:eastAsia="Calibri" w:hAnsiTheme="majorHAnsi"/>
          <w:sz w:val="20"/>
          <w:szCs w:val="20"/>
          <w:bdr w:val="none" w:sz="0" w:space="0" w:color="auto"/>
        </w:rPr>
        <w:t xml:space="preserve"> </w:t>
      </w:r>
      <w:r w:rsidR="00D70A85">
        <w:rPr>
          <w:rFonts w:asciiTheme="majorHAnsi" w:eastAsia="Calibri" w:hAnsiTheme="majorHAnsi"/>
          <w:sz w:val="20"/>
          <w:szCs w:val="20"/>
          <w:bdr w:val="none" w:sz="0" w:space="0" w:color="auto"/>
        </w:rPr>
        <w:t>they had to change their address on</w:t>
      </w:r>
      <w:r w:rsidRPr="00A51861">
        <w:rPr>
          <w:rFonts w:asciiTheme="majorHAnsi" w:eastAsia="Calibri" w:hAnsiTheme="majorHAnsi"/>
          <w:sz w:val="20"/>
          <w:szCs w:val="20"/>
          <w:bdr w:val="none" w:sz="0" w:space="0" w:color="auto"/>
        </w:rPr>
        <w:t xml:space="preserve"> </w:t>
      </w:r>
      <w:r w:rsidR="003A78FE">
        <w:rPr>
          <w:rFonts w:asciiTheme="majorHAnsi" w:eastAsia="Calibri" w:hAnsiTheme="majorHAnsi"/>
          <w:sz w:val="20"/>
          <w:szCs w:val="20"/>
          <w:bdr w:val="none" w:sz="0" w:space="0" w:color="auto"/>
        </w:rPr>
        <w:t>several</w:t>
      </w:r>
      <w:r w:rsidRPr="00A51861">
        <w:rPr>
          <w:rFonts w:asciiTheme="majorHAnsi" w:eastAsia="Calibri" w:hAnsiTheme="majorHAnsi"/>
          <w:sz w:val="20"/>
          <w:szCs w:val="20"/>
          <w:bdr w:val="none" w:sz="0" w:space="0" w:color="auto"/>
        </w:rPr>
        <w:t xml:space="preserve"> </w:t>
      </w:r>
      <w:r w:rsidR="00D70A85">
        <w:rPr>
          <w:rFonts w:asciiTheme="majorHAnsi" w:eastAsia="Calibri" w:hAnsiTheme="majorHAnsi"/>
          <w:sz w:val="20"/>
          <w:szCs w:val="20"/>
          <w:bdr w:val="none" w:sz="0" w:space="0" w:color="auto"/>
        </w:rPr>
        <w:t>occasions</w:t>
      </w:r>
      <w:r w:rsidRPr="00A51861">
        <w:rPr>
          <w:rFonts w:asciiTheme="majorHAnsi" w:eastAsia="Calibri" w:hAnsiTheme="majorHAnsi"/>
          <w:sz w:val="20"/>
          <w:szCs w:val="20"/>
          <w:bdr w:val="none" w:sz="0" w:space="0" w:color="auto"/>
        </w:rPr>
        <w:t xml:space="preserve"> </w:t>
      </w:r>
      <w:r w:rsidR="00D70A85">
        <w:rPr>
          <w:rFonts w:asciiTheme="majorHAnsi" w:eastAsia="Calibri" w:hAnsiTheme="majorHAnsi"/>
          <w:sz w:val="20"/>
          <w:szCs w:val="20"/>
          <w:bdr w:val="none" w:sz="0" w:space="0" w:color="auto"/>
        </w:rPr>
        <w:t>due to the constant appearances o</w:t>
      </w:r>
      <w:r w:rsidR="00E92985">
        <w:rPr>
          <w:rFonts w:asciiTheme="majorHAnsi" w:eastAsia="Calibri" w:hAnsiTheme="majorHAnsi"/>
          <w:sz w:val="20"/>
          <w:szCs w:val="20"/>
          <w:bdr w:val="none" w:sz="0" w:space="0" w:color="auto"/>
        </w:rPr>
        <w:t xml:space="preserve">f </w:t>
      </w:r>
      <w:r w:rsidR="00EC7A58">
        <w:rPr>
          <w:rFonts w:asciiTheme="majorHAnsi" w:eastAsia="Calibri" w:hAnsiTheme="majorHAnsi"/>
          <w:sz w:val="20"/>
          <w:szCs w:val="20"/>
          <w:bdr w:val="none" w:sz="0" w:space="0" w:color="auto"/>
        </w:rPr>
        <w:t>persons</w:t>
      </w:r>
      <w:r w:rsidRPr="00A51861">
        <w:rPr>
          <w:rFonts w:asciiTheme="majorHAnsi" w:eastAsia="Calibri" w:hAnsiTheme="majorHAnsi"/>
          <w:sz w:val="20"/>
          <w:szCs w:val="20"/>
          <w:bdr w:val="none" w:sz="0" w:space="0" w:color="auto"/>
        </w:rPr>
        <w:t xml:space="preserve"> </w:t>
      </w:r>
      <w:r w:rsidR="00D70A85">
        <w:rPr>
          <w:rFonts w:asciiTheme="majorHAnsi" w:eastAsia="Calibri" w:hAnsiTheme="majorHAnsi"/>
          <w:sz w:val="20"/>
          <w:szCs w:val="20"/>
          <w:bdr w:val="none" w:sz="0" w:space="0" w:color="auto"/>
        </w:rPr>
        <w:t>dressed in</w:t>
      </w:r>
      <w:r w:rsidR="00E92985">
        <w:rPr>
          <w:rFonts w:asciiTheme="majorHAnsi" w:eastAsia="Calibri" w:hAnsiTheme="majorHAnsi"/>
          <w:sz w:val="20"/>
          <w:szCs w:val="20"/>
          <w:bdr w:val="none" w:sz="0" w:space="0" w:color="auto"/>
        </w:rPr>
        <w:t xml:space="preserve"> </w:t>
      </w:r>
      <w:r w:rsidR="005442B4" w:rsidRPr="00A51861">
        <w:rPr>
          <w:rFonts w:asciiTheme="majorHAnsi" w:eastAsia="Calibri" w:hAnsiTheme="majorHAnsi"/>
          <w:sz w:val="20"/>
          <w:szCs w:val="20"/>
          <w:bdr w:val="none" w:sz="0" w:space="0" w:color="auto"/>
        </w:rPr>
        <w:t>civil</w:t>
      </w:r>
      <w:r w:rsidR="00D70A85">
        <w:rPr>
          <w:rFonts w:asciiTheme="majorHAnsi" w:eastAsia="Calibri" w:hAnsiTheme="majorHAnsi"/>
          <w:sz w:val="20"/>
          <w:szCs w:val="20"/>
          <w:bdr w:val="none" w:sz="0" w:space="0" w:color="auto"/>
        </w:rPr>
        <w:t xml:space="preserve"> clothes who</w:t>
      </w:r>
      <w:r w:rsidR="005442B4" w:rsidRPr="00A51861">
        <w:rPr>
          <w:rFonts w:asciiTheme="majorHAnsi" w:eastAsia="Calibri" w:hAnsiTheme="majorHAnsi"/>
          <w:sz w:val="20"/>
          <w:szCs w:val="20"/>
          <w:bdr w:val="none" w:sz="0" w:space="0" w:color="auto"/>
        </w:rPr>
        <w:t xml:space="preserve"> </w:t>
      </w:r>
      <w:r w:rsidR="00D70A85">
        <w:rPr>
          <w:rFonts w:asciiTheme="majorHAnsi" w:eastAsia="Calibri" w:hAnsiTheme="majorHAnsi"/>
          <w:sz w:val="20"/>
          <w:szCs w:val="20"/>
          <w:bdr w:val="none" w:sz="0" w:space="0" w:color="auto"/>
        </w:rPr>
        <w:t>asked of their whereabouts</w:t>
      </w:r>
      <w:r w:rsidR="00E92985">
        <w:rPr>
          <w:rFonts w:asciiTheme="majorHAnsi" w:eastAsia="Calibri" w:hAnsiTheme="majorHAnsi"/>
          <w:sz w:val="20"/>
          <w:szCs w:val="20"/>
          <w:bdr w:val="none" w:sz="0" w:space="0" w:color="auto"/>
        </w:rPr>
        <w:t xml:space="preserve"> and </w:t>
      </w:r>
      <w:r w:rsidR="001937FB">
        <w:rPr>
          <w:rFonts w:asciiTheme="majorHAnsi" w:eastAsia="Calibri" w:hAnsiTheme="majorHAnsi"/>
          <w:sz w:val="20"/>
          <w:szCs w:val="20"/>
          <w:bdr w:val="none" w:sz="0" w:space="0" w:color="auto"/>
        </w:rPr>
        <w:t>of their families</w:t>
      </w:r>
      <w:r w:rsidR="00D55ACC" w:rsidRPr="00A51861">
        <w:rPr>
          <w:rFonts w:asciiTheme="majorHAnsi" w:eastAsia="Calibri" w:hAnsiTheme="majorHAnsi"/>
          <w:sz w:val="20"/>
          <w:szCs w:val="20"/>
          <w:bdr w:val="none" w:sz="0" w:space="0" w:color="auto"/>
        </w:rPr>
        <w:t xml:space="preserve">, </w:t>
      </w:r>
      <w:r w:rsidR="001937FB">
        <w:rPr>
          <w:rFonts w:asciiTheme="majorHAnsi" w:eastAsia="Calibri" w:hAnsiTheme="majorHAnsi"/>
          <w:sz w:val="20"/>
          <w:szCs w:val="20"/>
          <w:bdr w:val="none" w:sz="0" w:space="0" w:color="auto"/>
        </w:rPr>
        <w:t>whose homes were later raided</w:t>
      </w:r>
      <w:r w:rsidR="00D55ACC" w:rsidRPr="00A51861">
        <w:rPr>
          <w:rFonts w:asciiTheme="majorHAnsi" w:eastAsia="Calibri" w:hAnsiTheme="majorHAnsi"/>
          <w:sz w:val="20"/>
          <w:szCs w:val="20"/>
          <w:bdr w:val="none" w:sz="0" w:space="0" w:color="auto"/>
        </w:rPr>
        <w:t>;</w:t>
      </w:r>
      <w:r w:rsidR="00E92985">
        <w:rPr>
          <w:rFonts w:asciiTheme="majorHAnsi" w:eastAsia="Calibri" w:hAnsiTheme="majorHAnsi"/>
          <w:sz w:val="20"/>
          <w:szCs w:val="20"/>
          <w:bdr w:val="none" w:sz="0" w:space="0" w:color="auto"/>
        </w:rPr>
        <w:t xml:space="preserve"> and </w:t>
      </w:r>
      <w:r w:rsidRPr="00A51861">
        <w:rPr>
          <w:rFonts w:asciiTheme="majorHAnsi" w:eastAsia="Calibri" w:hAnsiTheme="majorHAnsi"/>
          <w:sz w:val="20"/>
          <w:szCs w:val="20"/>
          <w:bdr w:val="none" w:sz="0" w:space="0" w:color="auto"/>
        </w:rPr>
        <w:t>final</w:t>
      </w:r>
      <w:r w:rsidR="00F92BA8">
        <w:rPr>
          <w:rFonts w:asciiTheme="majorHAnsi" w:eastAsia="Calibri" w:hAnsiTheme="majorHAnsi"/>
          <w:sz w:val="20"/>
          <w:szCs w:val="20"/>
          <w:bdr w:val="none" w:sz="0" w:space="0" w:color="auto"/>
        </w:rPr>
        <w:t>ly</w:t>
      </w:r>
      <w:r w:rsidRPr="00A51861">
        <w:rPr>
          <w:rFonts w:asciiTheme="majorHAnsi" w:eastAsia="Calibri" w:hAnsiTheme="majorHAnsi"/>
          <w:sz w:val="20"/>
          <w:szCs w:val="20"/>
          <w:bdr w:val="none" w:sz="0" w:space="0" w:color="auto"/>
        </w:rPr>
        <w:t xml:space="preserve">, </w:t>
      </w:r>
      <w:r w:rsidR="001937FB">
        <w:rPr>
          <w:rFonts w:asciiTheme="majorHAnsi" w:eastAsia="Calibri" w:hAnsiTheme="majorHAnsi"/>
          <w:sz w:val="20"/>
          <w:szCs w:val="20"/>
          <w:bdr w:val="none" w:sz="0" w:space="0" w:color="auto"/>
        </w:rPr>
        <w:t>had to seek the</w:t>
      </w:r>
      <w:r w:rsidR="009A4F91">
        <w:rPr>
          <w:rFonts w:asciiTheme="majorHAnsi" w:eastAsia="Calibri" w:hAnsiTheme="majorHAnsi"/>
          <w:sz w:val="20"/>
          <w:szCs w:val="20"/>
          <w:bdr w:val="none" w:sz="0" w:space="0" w:color="auto"/>
        </w:rPr>
        <w:t xml:space="preserve"> </w:t>
      </w:r>
      <w:r w:rsidR="00EF4ED2">
        <w:rPr>
          <w:rFonts w:asciiTheme="majorHAnsi" w:eastAsia="Calibri" w:hAnsiTheme="majorHAnsi"/>
          <w:sz w:val="20"/>
          <w:szCs w:val="20"/>
          <w:bdr w:val="none" w:sz="0" w:space="0" w:color="auto"/>
        </w:rPr>
        <w:t>protection</w:t>
      </w:r>
      <w:r w:rsidR="004969F4">
        <w:rPr>
          <w:rFonts w:asciiTheme="majorHAnsi" w:eastAsia="Calibri" w:hAnsiTheme="majorHAnsi"/>
          <w:sz w:val="20"/>
          <w:szCs w:val="20"/>
          <w:bdr w:val="none" w:sz="0" w:space="0" w:color="auto"/>
        </w:rPr>
        <w:t xml:space="preserve"> of </w:t>
      </w:r>
      <w:r w:rsidR="008E2F10">
        <w:rPr>
          <w:rFonts w:asciiTheme="majorHAnsi" w:eastAsia="Calibri" w:hAnsiTheme="majorHAnsi"/>
          <w:sz w:val="20"/>
          <w:szCs w:val="20"/>
          <w:bdr w:val="none" w:sz="0" w:space="0" w:color="auto"/>
        </w:rPr>
        <w:t xml:space="preserve">the HCUNR </w:t>
      </w:r>
      <w:r w:rsidR="001937FB">
        <w:rPr>
          <w:rFonts w:asciiTheme="majorHAnsi" w:eastAsia="Calibri" w:hAnsiTheme="majorHAnsi"/>
          <w:sz w:val="20"/>
          <w:szCs w:val="20"/>
          <w:bdr w:val="none" w:sz="0" w:space="0" w:color="auto"/>
        </w:rPr>
        <w:t>in one of their shelters</w:t>
      </w:r>
      <w:r w:rsidR="001D1D61">
        <w:rPr>
          <w:rFonts w:asciiTheme="majorHAnsi" w:eastAsia="Calibri" w:hAnsiTheme="majorHAnsi"/>
          <w:sz w:val="20"/>
          <w:szCs w:val="20"/>
          <w:bdr w:val="none" w:sz="0" w:space="0" w:color="auto"/>
        </w:rPr>
        <w:t>. Th</w:t>
      </w:r>
      <w:r w:rsidR="00E64C43">
        <w:rPr>
          <w:rFonts w:asciiTheme="majorHAnsi" w:eastAsia="Calibri" w:hAnsiTheme="majorHAnsi"/>
          <w:sz w:val="20"/>
          <w:szCs w:val="20"/>
          <w:bdr w:val="none" w:sz="0" w:space="0" w:color="auto"/>
        </w:rPr>
        <w:t>ese</w:t>
      </w:r>
      <w:r w:rsidR="005F6157">
        <w:rPr>
          <w:rFonts w:asciiTheme="majorHAnsi" w:eastAsia="Calibri" w:hAnsiTheme="majorHAnsi"/>
          <w:sz w:val="20"/>
          <w:szCs w:val="20"/>
          <w:bdr w:val="none" w:sz="0" w:space="0" w:color="auto"/>
        </w:rPr>
        <w:t xml:space="preserve"> fact</w:t>
      </w:r>
      <w:r w:rsidRPr="00A51861">
        <w:rPr>
          <w:rFonts w:asciiTheme="majorHAnsi" w:eastAsia="Calibri" w:hAnsiTheme="majorHAnsi"/>
          <w:sz w:val="20"/>
          <w:szCs w:val="20"/>
          <w:bdr w:val="none" w:sz="0" w:space="0" w:color="auto"/>
        </w:rPr>
        <w:t xml:space="preserve">s, </w:t>
      </w:r>
      <w:r w:rsidR="001937FB">
        <w:rPr>
          <w:rFonts w:asciiTheme="majorHAnsi" w:eastAsia="Calibri" w:hAnsiTheme="majorHAnsi"/>
          <w:sz w:val="20"/>
          <w:szCs w:val="20"/>
          <w:bdr w:val="none" w:sz="0" w:space="0" w:color="auto"/>
        </w:rPr>
        <w:t>which were not contested by</w:t>
      </w:r>
      <w:r w:rsidRPr="00A51861">
        <w:rPr>
          <w:rFonts w:asciiTheme="majorHAnsi" w:eastAsia="Calibri" w:hAnsiTheme="majorHAnsi"/>
          <w:sz w:val="20"/>
          <w:szCs w:val="20"/>
          <w:bdr w:val="none" w:sz="0" w:space="0" w:color="auto"/>
        </w:rPr>
        <w:t xml:space="preserve"> </w:t>
      </w:r>
      <w:r w:rsidR="00F92BA8">
        <w:rPr>
          <w:rFonts w:asciiTheme="majorHAnsi" w:eastAsia="Calibri" w:hAnsiTheme="majorHAnsi"/>
          <w:sz w:val="20"/>
          <w:szCs w:val="20"/>
          <w:bdr w:val="none" w:sz="0" w:space="0" w:color="auto"/>
        </w:rPr>
        <w:t>the Argentine State</w:t>
      </w:r>
      <w:r w:rsidRPr="00A51861">
        <w:rPr>
          <w:rFonts w:asciiTheme="majorHAnsi" w:eastAsia="Calibri" w:hAnsiTheme="majorHAnsi"/>
          <w:sz w:val="20"/>
          <w:szCs w:val="20"/>
          <w:bdr w:val="none" w:sz="0" w:space="0" w:color="auto"/>
        </w:rPr>
        <w:t xml:space="preserve"> </w:t>
      </w:r>
      <w:r w:rsidR="001937FB">
        <w:rPr>
          <w:rFonts w:asciiTheme="majorHAnsi" w:eastAsia="Calibri" w:hAnsiTheme="majorHAnsi"/>
          <w:sz w:val="20"/>
          <w:szCs w:val="20"/>
          <w:bdr w:val="none" w:sz="0" w:space="0" w:color="auto"/>
        </w:rPr>
        <w:t>at any</w:t>
      </w:r>
      <w:r w:rsidRPr="00A51861">
        <w:rPr>
          <w:rFonts w:asciiTheme="majorHAnsi" w:eastAsia="Calibri" w:hAnsiTheme="majorHAnsi"/>
          <w:sz w:val="20"/>
          <w:szCs w:val="20"/>
          <w:bdr w:val="none" w:sz="0" w:space="0" w:color="auto"/>
        </w:rPr>
        <w:t xml:space="preserve"> moment,</w:t>
      </w:r>
      <w:r w:rsidR="00E92985">
        <w:rPr>
          <w:rFonts w:asciiTheme="majorHAnsi" w:eastAsia="Calibri" w:hAnsiTheme="majorHAnsi"/>
          <w:sz w:val="20"/>
          <w:szCs w:val="20"/>
          <w:bdr w:val="none" w:sz="0" w:space="0" w:color="auto"/>
        </w:rPr>
        <w:t xml:space="preserve"> and </w:t>
      </w:r>
      <w:r w:rsidR="001937FB">
        <w:rPr>
          <w:rFonts w:asciiTheme="majorHAnsi" w:eastAsia="Calibri" w:hAnsiTheme="majorHAnsi"/>
          <w:sz w:val="20"/>
          <w:szCs w:val="20"/>
          <w:bdr w:val="none" w:sz="0" w:space="0" w:color="auto"/>
        </w:rPr>
        <w:t>which</w:t>
      </w:r>
      <w:r w:rsidR="005442B4" w:rsidRPr="00A51861">
        <w:rPr>
          <w:rFonts w:asciiTheme="majorHAnsi" w:eastAsia="Calibri" w:hAnsiTheme="majorHAnsi"/>
          <w:sz w:val="20"/>
          <w:szCs w:val="20"/>
          <w:bdr w:val="none" w:sz="0" w:space="0" w:color="auto"/>
        </w:rPr>
        <w:t xml:space="preserve"> definit</w:t>
      </w:r>
      <w:r w:rsidR="001937FB">
        <w:rPr>
          <w:rFonts w:asciiTheme="majorHAnsi" w:eastAsia="Calibri" w:hAnsiTheme="majorHAnsi"/>
          <w:sz w:val="20"/>
          <w:szCs w:val="20"/>
          <w:bdr w:val="none" w:sz="0" w:space="0" w:color="auto"/>
        </w:rPr>
        <w:t>e</w:t>
      </w:r>
      <w:r w:rsidR="0029564F">
        <w:rPr>
          <w:rFonts w:asciiTheme="majorHAnsi" w:eastAsia="Calibri" w:hAnsiTheme="majorHAnsi"/>
          <w:sz w:val="20"/>
          <w:szCs w:val="20"/>
          <w:bdr w:val="none" w:sz="0" w:space="0" w:color="auto"/>
        </w:rPr>
        <w:t xml:space="preserve">ly </w:t>
      </w:r>
      <w:r w:rsidR="001937FB">
        <w:rPr>
          <w:rFonts w:asciiTheme="majorHAnsi" w:eastAsia="Calibri" w:hAnsiTheme="majorHAnsi"/>
          <w:sz w:val="20"/>
          <w:szCs w:val="20"/>
          <w:bdr w:val="none" w:sz="0" w:space="0" w:color="auto"/>
        </w:rPr>
        <w:t>must have produced feelings of</w:t>
      </w:r>
      <w:r w:rsidR="005442B4" w:rsidRPr="00A51861">
        <w:rPr>
          <w:rFonts w:asciiTheme="majorHAnsi" w:eastAsia="Calibri" w:hAnsiTheme="majorHAnsi"/>
          <w:sz w:val="20"/>
          <w:szCs w:val="20"/>
          <w:bdr w:val="none" w:sz="0" w:space="0" w:color="auto"/>
        </w:rPr>
        <w:t xml:space="preserve"> </w:t>
      </w:r>
      <w:r w:rsidR="001937FB">
        <w:rPr>
          <w:rFonts w:asciiTheme="majorHAnsi" w:eastAsia="Calibri" w:hAnsiTheme="majorHAnsi"/>
          <w:sz w:val="20"/>
          <w:szCs w:val="20"/>
          <w:bdr w:val="none" w:sz="0" w:space="0" w:color="auto"/>
        </w:rPr>
        <w:t>anguish</w:t>
      </w:r>
      <w:r w:rsidR="005442B4" w:rsidRPr="00A51861">
        <w:rPr>
          <w:rFonts w:asciiTheme="majorHAnsi" w:eastAsia="Calibri" w:hAnsiTheme="majorHAnsi"/>
          <w:sz w:val="20"/>
          <w:szCs w:val="20"/>
          <w:bdr w:val="none" w:sz="0" w:space="0" w:color="auto"/>
        </w:rPr>
        <w:t xml:space="preserve">, </w:t>
      </w:r>
      <w:r w:rsidR="001937FB">
        <w:rPr>
          <w:rFonts w:asciiTheme="majorHAnsi" w:eastAsia="Calibri" w:hAnsiTheme="majorHAnsi"/>
          <w:sz w:val="20"/>
          <w:szCs w:val="20"/>
          <w:bdr w:val="none" w:sz="0" w:space="0" w:color="auto"/>
        </w:rPr>
        <w:t>fear</w:t>
      </w:r>
      <w:r w:rsidR="00E92985">
        <w:rPr>
          <w:rFonts w:asciiTheme="majorHAnsi" w:eastAsia="Calibri" w:hAnsiTheme="majorHAnsi"/>
          <w:sz w:val="20"/>
          <w:szCs w:val="20"/>
          <w:bdr w:val="none" w:sz="0" w:space="0" w:color="auto"/>
        </w:rPr>
        <w:t xml:space="preserve"> and </w:t>
      </w:r>
      <w:r w:rsidR="001937FB">
        <w:rPr>
          <w:rFonts w:asciiTheme="majorHAnsi" w:eastAsia="Calibri" w:hAnsiTheme="majorHAnsi"/>
          <w:sz w:val="20"/>
          <w:szCs w:val="20"/>
          <w:bdr w:val="none" w:sz="0" w:space="0" w:color="auto"/>
        </w:rPr>
        <w:t>insecurity</w:t>
      </w:r>
      <w:r w:rsidR="00FA2E7B">
        <w:rPr>
          <w:rFonts w:asciiTheme="majorHAnsi" w:eastAsia="Calibri" w:hAnsiTheme="majorHAnsi"/>
          <w:sz w:val="20"/>
          <w:szCs w:val="20"/>
          <w:bdr w:val="none" w:sz="0" w:space="0" w:color="auto"/>
        </w:rPr>
        <w:t xml:space="preserve"> </w:t>
      </w:r>
      <w:r w:rsidR="001937FB">
        <w:rPr>
          <w:rFonts w:asciiTheme="majorHAnsi" w:eastAsia="Calibri" w:hAnsiTheme="majorHAnsi"/>
          <w:sz w:val="20"/>
          <w:szCs w:val="20"/>
          <w:bdr w:val="none" w:sz="0" w:space="0" w:color="auto"/>
        </w:rPr>
        <w:t>to the point of seeking</w:t>
      </w:r>
      <w:r w:rsidR="009A4F91">
        <w:rPr>
          <w:rFonts w:asciiTheme="majorHAnsi" w:eastAsia="Calibri" w:hAnsiTheme="majorHAnsi"/>
          <w:sz w:val="20"/>
          <w:szCs w:val="20"/>
          <w:bdr w:val="none" w:sz="0" w:space="0" w:color="auto"/>
        </w:rPr>
        <w:t xml:space="preserve"> </w:t>
      </w:r>
      <w:r w:rsidR="00EF4ED2">
        <w:rPr>
          <w:rFonts w:asciiTheme="majorHAnsi" w:eastAsia="Calibri" w:hAnsiTheme="majorHAnsi"/>
          <w:sz w:val="20"/>
          <w:szCs w:val="20"/>
          <w:bdr w:val="none" w:sz="0" w:space="0" w:color="auto"/>
        </w:rPr>
        <w:t>protection</w:t>
      </w:r>
      <w:r w:rsidR="004969F4">
        <w:rPr>
          <w:rFonts w:asciiTheme="majorHAnsi" w:eastAsia="Calibri" w:hAnsiTheme="majorHAnsi"/>
          <w:sz w:val="20"/>
          <w:szCs w:val="20"/>
          <w:bdr w:val="none" w:sz="0" w:space="0" w:color="auto"/>
        </w:rPr>
        <w:t xml:space="preserve"> of the</w:t>
      </w:r>
      <w:r w:rsidR="008E2F10">
        <w:rPr>
          <w:rFonts w:asciiTheme="majorHAnsi" w:eastAsia="Calibri" w:hAnsiTheme="majorHAnsi"/>
          <w:sz w:val="20"/>
          <w:szCs w:val="20"/>
          <w:bdr w:val="none" w:sz="0" w:space="0" w:color="auto"/>
        </w:rPr>
        <w:t xml:space="preserve"> HCUNR</w:t>
      </w:r>
      <w:r w:rsidR="005442B4" w:rsidRPr="00A51861">
        <w:rPr>
          <w:rFonts w:asciiTheme="majorHAnsi" w:eastAsia="Calibri" w:hAnsiTheme="majorHAnsi"/>
          <w:sz w:val="20"/>
          <w:szCs w:val="20"/>
          <w:bdr w:val="none" w:sz="0" w:space="0" w:color="auto"/>
        </w:rPr>
        <w:t xml:space="preserve">, </w:t>
      </w:r>
      <w:r w:rsidRPr="00A51861">
        <w:rPr>
          <w:rFonts w:asciiTheme="majorHAnsi" w:eastAsia="Calibri" w:hAnsiTheme="majorHAnsi"/>
          <w:sz w:val="20"/>
          <w:szCs w:val="20"/>
          <w:bdr w:val="none" w:sz="0" w:space="0" w:color="auto"/>
        </w:rPr>
        <w:t>constitu</w:t>
      </w:r>
      <w:r w:rsidR="001937FB">
        <w:rPr>
          <w:rFonts w:asciiTheme="majorHAnsi" w:eastAsia="Calibri" w:hAnsiTheme="majorHAnsi"/>
          <w:sz w:val="20"/>
          <w:szCs w:val="20"/>
          <w:bdr w:val="none" w:sz="0" w:space="0" w:color="auto"/>
        </w:rPr>
        <w:t>te a</w:t>
      </w:r>
      <w:r w:rsidRPr="00A51861">
        <w:rPr>
          <w:rFonts w:asciiTheme="majorHAnsi" w:eastAsia="Calibri" w:hAnsiTheme="majorHAnsi"/>
          <w:sz w:val="20"/>
          <w:szCs w:val="20"/>
          <w:bdr w:val="none" w:sz="0" w:space="0" w:color="auto"/>
        </w:rPr>
        <w:t xml:space="preserve"> </w:t>
      </w:r>
      <w:r w:rsidR="004E1083">
        <w:rPr>
          <w:rFonts w:asciiTheme="majorHAnsi" w:eastAsia="Calibri" w:hAnsiTheme="majorHAnsi"/>
          <w:sz w:val="20"/>
          <w:szCs w:val="20"/>
          <w:bdr w:val="none" w:sz="0" w:space="0" w:color="auto"/>
        </w:rPr>
        <w:t>violation</w:t>
      </w:r>
      <w:r w:rsidR="004969F4">
        <w:rPr>
          <w:rFonts w:asciiTheme="majorHAnsi" w:eastAsia="Calibri" w:hAnsiTheme="majorHAnsi"/>
          <w:sz w:val="20"/>
          <w:szCs w:val="20"/>
          <w:bdr w:val="none" w:sz="0" w:space="0" w:color="auto"/>
        </w:rPr>
        <w:t xml:space="preserve"> of </w:t>
      </w:r>
      <w:r w:rsidR="009A4F91">
        <w:rPr>
          <w:rFonts w:asciiTheme="majorHAnsi" w:eastAsia="Calibri" w:hAnsiTheme="majorHAnsi"/>
          <w:sz w:val="20"/>
          <w:szCs w:val="20"/>
          <w:bdr w:val="none" w:sz="0" w:space="0" w:color="auto"/>
        </w:rPr>
        <w:t xml:space="preserve">the right to </w:t>
      </w:r>
      <w:r w:rsidR="001937FB">
        <w:rPr>
          <w:rFonts w:asciiTheme="majorHAnsi" w:eastAsia="Calibri" w:hAnsiTheme="majorHAnsi"/>
          <w:sz w:val="20"/>
          <w:szCs w:val="20"/>
          <w:bdr w:val="none" w:sz="0" w:space="0" w:color="auto"/>
        </w:rPr>
        <w:t>humane treatment</w:t>
      </w:r>
      <w:r w:rsidRPr="00A51861">
        <w:rPr>
          <w:rFonts w:asciiTheme="majorHAnsi" w:eastAsia="Calibri" w:hAnsiTheme="majorHAnsi"/>
          <w:sz w:val="20"/>
          <w:szCs w:val="20"/>
          <w:bdr w:val="none" w:sz="0" w:space="0" w:color="auto"/>
        </w:rPr>
        <w:t xml:space="preserve">, </w:t>
      </w:r>
      <w:r w:rsidR="001937FB">
        <w:rPr>
          <w:rFonts w:asciiTheme="majorHAnsi" w:eastAsia="Calibri" w:hAnsiTheme="majorHAnsi"/>
          <w:sz w:val="20"/>
          <w:szCs w:val="20"/>
          <w:bdr w:val="none" w:sz="0" w:space="0" w:color="auto"/>
        </w:rPr>
        <w:t>contained</w:t>
      </w:r>
      <w:r w:rsidRPr="00A51861">
        <w:rPr>
          <w:rFonts w:asciiTheme="majorHAnsi" w:eastAsia="Calibri" w:hAnsiTheme="majorHAnsi"/>
          <w:sz w:val="20"/>
          <w:szCs w:val="20"/>
          <w:bdr w:val="none" w:sz="0" w:space="0" w:color="auto"/>
        </w:rPr>
        <w:t xml:space="preserve"> </w:t>
      </w:r>
      <w:r w:rsidR="001937FB">
        <w:rPr>
          <w:rFonts w:asciiTheme="majorHAnsi" w:eastAsia="Calibri" w:hAnsiTheme="majorHAnsi"/>
          <w:sz w:val="20"/>
          <w:szCs w:val="20"/>
          <w:bdr w:val="none" w:sz="0" w:space="0" w:color="auto"/>
        </w:rPr>
        <w:t>i</w:t>
      </w:r>
      <w:r w:rsidRPr="00A51861">
        <w:rPr>
          <w:rFonts w:asciiTheme="majorHAnsi" w:eastAsia="Calibri" w:hAnsiTheme="majorHAnsi"/>
          <w:sz w:val="20"/>
          <w:szCs w:val="20"/>
          <w:bdr w:val="none" w:sz="0" w:space="0" w:color="auto"/>
        </w:rPr>
        <w:t xml:space="preserve">n </w:t>
      </w:r>
      <w:r w:rsidR="0029564F">
        <w:rPr>
          <w:rFonts w:asciiTheme="majorHAnsi" w:eastAsia="Calibri" w:hAnsiTheme="majorHAnsi"/>
          <w:sz w:val="20"/>
          <w:szCs w:val="20"/>
          <w:bdr w:val="none" w:sz="0" w:space="0" w:color="auto"/>
        </w:rPr>
        <w:t>article</w:t>
      </w:r>
      <w:r w:rsidRPr="00A51861">
        <w:rPr>
          <w:rFonts w:asciiTheme="majorHAnsi" w:eastAsia="Calibri" w:hAnsiTheme="majorHAnsi"/>
          <w:sz w:val="20"/>
          <w:szCs w:val="20"/>
          <w:bdr w:val="none" w:sz="0" w:space="0" w:color="auto"/>
        </w:rPr>
        <w:t xml:space="preserve"> I</w:t>
      </w:r>
      <w:r w:rsidR="00E92985">
        <w:rPr>
          <w:rFonts w:asciiTheme="majorHAnsi" w:eastAsia="Calibri" w:hAnsiTheme="majorHAnsi"/>
          <w:sz w:val="20"/>
          <w:szCs w:val="20"/>
          <w:bdr w:val="none" w:sz="0" w:space="0" w:color="auto"/>
        </w:rPr>
        <w:t xml:space="preserve"> of </w:t>
      </w:r>
      <w:r w:rsidR="001937FB">
        <w:rPr>
          <w:rFonts w:asciiTheme="majorHAnsi" w:eastAsia="Calibri" w:hAnsiTheme="majorHAnsi"/>
          <w:sz w:val="20"/>
          <w:szCs w:val="20"/>
          <w:bdr w:val="none" w:sz="0" w:space="0" w:color="auto"/>
        </w:rPr>
        <w:t>the Declaration</w:t>
      </w:r>
      <w:r w:rsidRPr="00A51861">
        <w:rPr>
          <w:rFonts w:asciiTheme="majorHAnsi" w:eastAsia="Calibri" w:hAnsiTheme="majorHAnsi"/>
          <w:sz w:val="20"/>
          <w:szCs w:val="20"/>
          <w:bdr w:val="none" w:sz="0" w:space="0" w:color="auto"/>
        </w:rPr>
        <w:t xml:space="preserve">. </w:t>
      </w:r>
    </w:p>
    <w:p w14:paraId="0D36CE4E" w14:textId="77777777" w:rsidR="00773B3C" w:rsidRPr="00A51861" w:rsidRDefault="00773B3C" w:rsidP="008E4D3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libri" w:hAnsi="Cambria"/>
          <w:sz w:val="20"/>
          <w:szCs w:val="20"/>
          <w:bdr w:val="none" w:sz="0" w:space="0" w:color="auto"/>
        </w:rPr>
      </w:pPr>
    </w:p>
    <w:p w14:paraId="0A9539F7" w14:textId="1FA997DE" w:rsidR="00773B3C" w:rsidRPr="00A51861" w:rsidRDefault="007E44C0" w:rsidP="00273F34">
      <w:pPr>
        <w:pStyle w:val="Heading2"/>
        <w:keepNext/>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lang w:val="en-US"/>
        </w:rPr>
      </w:pPr>
      <w:bookmarkStart w:id="25" w:name="_Toc196383489"/>
      <w:r>
        <w:rPr>
          <w:lang w:val="en-US"/>
        </w:rPr>
        <w:t xml:space="preserve">The </w:t>
      </w:r>
      <w:r w:rsidR="009B462E">
        <w:rPr>
          <w:lang w:val="en-US"/>
        </w:rPr>
        <w:t xml:space="preserve">right of </w:t>
      </w:r>
      <w:r w:rsidR="008333FF">
        <w:rPr>
          <w:lang w:val="en-US"/>
        </w:rPr>
        <w:t>residency</w:t>
      </w:r>
      <w:r w:rsidR="00E92985">
        <w:rPr>
          <w:lang w:val="en-US"/>
        </w:rPr>
        <w:t xml:space="preserve"> and </w:t>
      </w:r>
      <w:r>
        <w:rPr>
          <w:lang w:val="en-US"/>
        </w:rPr>
        <w:t>movement</w:t>
      </w:r>
      <w:r w:rsidR="00773B3C" w:rsidRPr="00A51861">
        <w:rPr>
          <w:vertAlign w:val="superscript"/>
          <w:lang w:val="en-US"/>
        </w:rPr>
        <w:footnoteReference w:id="170"/>
      </w:r>
      <w:r w:rsidR="00E92985">
        <w:rPr>
          <w:lang w:val="en-US"/>
        </w:rPr>
        <w:t xml:space="preserve"> and </w:t>
      </w:r>
      <w:r w:rsidR="001937FB">
        <w:rPr>
          <w:lang w:val="en-US"/>
        </w:rPr>
        <w:t xml:space="preserve">the </w:t>
      </w:r>
      <w:r w:rsidR="004C5A00">
        <w:rPr>
          <w:lang w:val="en-US"/>
        </w:rPr>
        <w:t>Rights</w:t>
      </w:r>
      <w:r w:rsidR="001937FB">
        <w:rPr>
          <w:lang w:val="en-US"/>
        </w:rPr>
        <w:t xml:space="preserve"> to justice</w:t>
      </w:r>
      <w:r w:rsidR="00773B3C" w:rsidRPr="00A51861">
        <w:rPr>
          <w:vertAlign w:val="superscript"/>
          <w:lang w:val="en-US"/>
        </w:rPr>
        <w:footnoteReference w:id="171"/>
      </w:r>
      <w:r w:rsidR="00E92985">
        <w:rPr>
          <w:lang w:val="en-US"/>
        </w:rPr>
        <w:t xml:space="preserve"> and </w:t>
      </w:r>
      <w:r w:rsidR="00AE6E54">
        <w:rPr>
          <w:lang w:val="en-US"/>
        </w:rPr>
        <w:t>due process</w:t>
      </w:r>
      <w:r w:rsidR="001937FB" w:rsidRPr="00A51861">
        <w:rPr>
          <w:lang w:val="en-US"/>
        </w:rPr>
        <w:t xml:space="preserve"> </w:t>
      </w:r>
      <w:r w:rsidR="00773B3C" w:rsidRPr="00A51861">
        <w:rPr>
          <w:vertAlign w:val="superscript"/>
          <w:lang w:val="en-US"/>
        </w:rPr>
        <w:footnoteReference w:id="172"/>
      </w:r>
      <w:r w:rsidR="00E92985">
        <w:rPr>
          <w:lang w:val="en-US"/>
        </w:rPr>
        <w:t xml:space="preserve"> of the </w:t>
      </w:r>
      <w:r w:rsidR="003F634D">
        <w:rPr>
          <w:lang w:val="en-US"/>
        </w:rPr>
        <w:t xml:space="preserve">American Declaration </w:t>
      </w:r>
      <w:r w:rsidR="001937FB">
        <w:rPr>
          <w:lang w:val="en-US"/>
        </w:rPr>
        <w:t xml:space="preserve">of </w:t>
      </w:r>
      <w:r w:rsidR="004C5A00">
        <w:rPr>
          <w:lang w:val="en-US"/>
        </w:rPr>
        <w:t>Rights</w:t>
      </w:r>
      <w:r w:rsidR="001937FB">
        <w:rPr>
          <w:lang w:val="en-US"/>
        </w:rPr>
        <w:t xml:space="preserve"> and Duties of Man</w:t>
      </w:r>
      <w:r w:rsidR="00773B3C" w:rsidRPr="00A51861">
        <w:rPr>
          <w:lang w:val="en-US"/>
        </w:rPr>
        <w:t xml:space="preserve">, </w:t>
      </w:r>
      <w:r w:rsidR="001937FB">
        <w:rPr>
          <w:lang w:val="en-US"/>
        </w:rPr>
        <w:t>within</w:t>
      </w:r>
      <w:r w:rsidR="004969F4">
        <w:rPr>
          <w:lang w:val="en-US"/>
        </w:rPr>
        <w:t xml:space="preserve"> the </w:t>
      </w:r>
      <w:r w:rsidR="00773B3C" w:rsidRPr="00A51861">
        <w:rPr>
          <w:lang w:val="en-US"/>
        </w:rPr>
        <w:t>proce</w:t>
      </w:r>
      <w:r w:rsidR="001937FB">
        <w:rPr>
          <w:lang w:val="en-US"/>
        </w:rPr>
        <w:t>edings</w:t>
      </w:r>
      <w:r w:rsidR="00E92985">
        <w:rPr>
          <w:lang w:val="en-US"/>
        </w:rPr>
        <w:t xml:space="preserve"> of </w:t>
      </w:r>
      <w:r w:rsidR="00103579">
        <w:rPr>
          <w:lang w:val="en-US"/>
        </w:rPr>
        <w:t>expulsion</w:t>
      </w:r>
      <w:r w:rsidR="00E92985">
        <w:rPr>
          <w:lang w:val="en-US"/>
        </w:rPr>
        <w:t xml:space="preserve"> and </w:t>
      </w:r>
      <w:r w:rsidR="005B42FA">
        <w:rPr>
          <w:lang w:val="en-US"/>
        </w:rPr>
        <w:t>exile</w:t>
      </w:r>
      <w:r w:rsidR="00773B3C" w:rsidRPr="00A51861">
        <w:rPr>
          <w:lang w:val="en-US"/>
        </w:rPr>
        <w:t>,</w:t>
      </w:r>
      <w:r w:rsidR="00E92985">
        <w:rPr>
          <w:lang w:val="en-US"/>
        </w:rPr>
        <w:t xml:space="preserve"> of </w:t>
      </w:r>
      <w:r w:rsidR="001937FB">
        <w:rPr>
          <w:lang w:val="en-US"/>
        </w:rPr>
        <w:t>Mr.</w:t>
      </w:r>
      <w:r w:rsidR="00773B3C" w:rsidRPr="00A51861">
        <w:rPr>
          <w:lang w:val="en-US"/>
        </w:rPr>
        <w:t xml:space="preserve"> Julio César </w:t>
      </w:r>
      <w:r w:rsidR="00B01A54">
        <w:rPr>
          <w:lang w:val="en-US"/>
        </w:rPr>
        <w:t xml:space="preserve">Rito de los Santos </w:t>
      </w:r>
      <w:r w:rsidR="00E92985">
        <w:rPr>
          <w:lang w:val="en-US"/>
        </w:rPr>
        <w:t xml:space="preserve">and </w:t>
      </w:r>
      <w:r w:rsidR="001937FB">
        <w:rPr>
          <w:lang w:val="en-US"/>
        </w:rPr>
        <w:t xml:space="preserve">Mr. </w:t>
      </w:r>
      <w:r w:rsidR="00773B3C" w:rsidRPr="00A51861">
        <w:rPr>
          <w:lang w:val="en-US"/>
        </w:rPr>
        <w:t>Hugo Daniel Ferreira</w:t>
      </w:r>
      <w:bookmarkEnd w:id="25"/>
    </w:p>
    <w:p w14:paraId="19DD71FA" w14:textId="77777777" w:rsidR="00302496" w:rsidRPr="00A51861" w:rsidRDefault="00302496" w:rsidP="008E4D3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b/>
          <w:color w:val="000000"/>
          <w:sz w:val="20"/>
          <w:szCs w:val="20"/>
          <w:u w:color="000000"/>
          <w:lang w:eastAsia="es-ES"/>
        </w:rPr>
      </w:pPr>
    </w:p>
    <w:p w14:paraId="5F6A54F7" w14:textId="70206E0C" w:rsidR="00302496" w:rsidRPr="00A51861" w:rsidRDefault="001937FB" w:rsidP="00273F34">
      <w:pPr>
        <w:pStyle w:val="Heading3"/>
        <w:keepNext/>
        <w:numPr>
          <w:ilvl w:val="0"/>
          <w:numId w:val="67"/>
        </w:numPr>
        <w:spacing w:line="240" w:lineRule="auto"/>
        <w:ind w:left="990"/>
        <w:jc w:val="left"/>
        <w:rPr>
          <w:lang w:val="en-US"/>
        </w:rPr>
      </w:pPr>
      <w:bookmarkStart w:id="26" w:name="_Toc196383490"/>
      <w:r>
        <w:rPr>
          <w:lang w:val="en-US"/>
        </w:rPr>
        <w:t>G</w:t>
      </w:r>
      <w:r w:rsidRPr="00A51861">
        <w:rPr>
          <w:lang w:val="en-US"/>
        </w:rPr>
        <w:t xml:space="preserve">eneral </w:t>
      </w:r>
      <w:r>
        <w:rPr>
          <w:lang w:val="en-US"/>
        </w:rPr>
        <w:t>c</w:t>
      </w:r>
      <w:r w:rsidR="00302496" w:rsidRPr="00A51861">
        <w:rPr>
          <w:lang w:val="en-US"/>
        </w:rPr>
        <w:t>onsidera</w:t>
      </w:r>
      <w:r>
        <w:rPr>
          <w:lang w:val="en-US"/>
        </w:rPr>
        <w:t>tion</w:t>
      </w:r>
      <w:r w:rsidR="00302496" w:rsidRPr="00A51861">
        <w:rPr>
          <w:lang w:val="en-US"/>
        </w:rPr>
        <w:t xml:space="preserve">s </w:t>
      </w:r>
      <w:r>
        <w:rPr>
          <w:lang w:val="en-US"/>
        </w:rPr>
        <w:t xml:space="preserve">on the </w:t>
      </w:r>
      <w:r w:rsidR="004C5A00">
        <w:rPr>
          <w:lang w:val="en-US"/>
        </w:rPr>
        <w:t>Rights</w:t>
      </w:r>
      <w:r>
        <w:rPr>
          <w:lang w:val="en-US"/>
        </w:rPr>
        <w:t xml:space="preserve"> to</w:t>
      </w:r>
      <w:r w:rsidR="00E92985">
        <w:rPr>
          <w:lang w:val="en-US"/>
        </w:rPr>
        <w:t xml:space="preserve"> </w:t>
      </w:r>
      <w:r w:rsidR="008333FF">
        <w:rPr>
          <w:lang w:val="en-US"/>
        </w:rPr>
        <w:t>residency</w:t>
      </w:r>
      <w:r w:rsidR="00E92985">
        <w:rPr>
          <w:lang w:val="en-US"/>
        </w:rPr>
        <w:t xml:space="preserve"> and </w:t>
      </w:r>
      <w:r>
        <w:rPr>
          <w:lang w:val="en-US"/>
        </w:rPr>
        <w:t>movement</w:t>
      </w:r>
      <w:r w:rsidR="00302496" w:rsidRPr="00A51861">
        <w:rPr>
          <w:lang w:val="en-US"/>
        </w:rPr>
        <w:t xml:space="preserve">, </w:t>
      </w:r>
      <w:r w:rsidR="004C5A00">
        <w:rPr>
          <w:lang w:val="en-US"/>
        </w:rPr>
        <w:t>Rights</w:t>
      </w:r>
      <w:r w:rsidR="00E92985">
        <w:rPr>
          <w:lang w:val="en-US"/>
        </w:rPr>
        <w:t xml:space="preserve"> </w:t>
      </w:r>
      <w:r>
        <w:rPr>
          <w:lang w:val="en-US"/>
        </w:rPr>
        <w:t>to</w:t>
      </w:r>
      <w:r w:rsidR="00E92985">
        <w:rPr>
          <w:lang w:val="en-US"/>
        </w:rPr>
        <w:t xml:space="preserve"> </w:t>
      </w:r>
      <w:r>
        <w:rPr>
          <w:lang w:val="en-US"/>
        </w:rPr>
        <w:t>justice</w:t>
      </w:r>
      <w:r w:rsidR="00E92985">
        <w:rPr>
          <w:lang w:val="en-US"/>
        </w:rPr>
        <w:t xml:space="preserve"> and </w:t>
      </w:r>
      <w:r w:rsidR="00AE6E54">
        <w:rPr>
          <w:lang w:val="en-US"/>
        </w:rPr>
        <w:t>due process</w:t>
      </w:r>
      <w:bookmarkEnd w:id="26"/>
      <w:r w:rsidR="008E4D36" w:rsidRPr="00A51861">
        <w:rPr>
          <w:lang w:val="en-US"/>
        </w:rPr>
        <w:t xml:space="preserve"> </w:t>
      </w:r>
    </w:p>
    <w:p w14:paraId="0D4A7D12" w14:textId="77777777" w:rsidR="00773B3C" w:rsidRPr="00A51861" w:rsidRDefault="00773B3C" w:rsidP="008E4D36">
      <w:pPr>
        <w:ind w:left="720"/>
        <w:rPr>
          <w:rFonts w:ascii="Cambria" w:eastAsia="Cambria" w:hAnsi="Cambria" w:cs="Cambria"/>
          <w:b/>
          <w:color w:val="000000"/>
          <w:sz w:val="20"/>
          <w:szCs w:val="20"/>
          <w:highlight w:val="yellow"/>
          <w:u w:color="000000"/>
          <w:lang w:eastAsia="es-ES"/>
        </w:rPr>
      </w:pPr>
    </w:p>
    <w:p w14:paraId="7DACE03F" w14:textId="7F96C1BE" w:rsidR="00773B3C" w:rsidRPr="00A51861" w:rsidRDefault="00562D5A"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eastAsia="Calibri" w:hAnsi="Cambria" w:cs="Tahoma"/>
          <w:color w:val="000000"/>
          <w:sz w:val="20"/>
          <w:szCs w:val="20"/>
          <w:bdr w:val="none" w:sz="0" w:space="0" w:color="auto"/>
        </w:rPr>
      </w:pPr>
      <w:r>
        <w:rPr>
          <w:rFonts w:ascii="Cambria" w:eastAsia="Calibri" w:hAnsi="Cambria"/>
          <w:sz w:val="20"/>
          <w:szCs w:val="20"/>
          <w:bdr w:val="none" w:sz="0" w:space="0" w:color="auto"/>
        </w:rPr>
        <w:t>In light of the aforesaid standards of</w:t>
      </w:r>
      <w:r w:rsidR="009A4F91">
        <w:rPr>
          <w:rFonts w:ascii="Cambria" w:eastAsia="Calibri" w:hAnsi="Cambria"/>
          <w:sz w:val="20"/>
          <w:szCs w:val="20"/>
          <w:bdr w:val="none" w:sz="0" w:space="0" w:color="auto"/>
        </w:rPr>
        <w:t xml:space="preserve"> </w:t>
      </w:r>
      <w:r w:rsidR="00AE6E54">
        <w:rPr>
          <w:rFonts w:ascii="Cambria" w:eastAsia="Calibri" w:hAnsi="Cambria"/>
          <w:sz w:val="20"/>
          <w:szCs w:val="20"/>
          <w:bdr w:val="none" w:sz="0" w:space="0" w:color="auto"/>
        </w:rPr>
        <w:t>interpretation</w:t>
      </w:r>
      <w:r w:rsidR="00E92985">
        <w:rPr>
          <w:rFonts w:ascii="Cambria" w:eastAsia="Calibri" w:hAnsi="Cambria"/>
          <w:sz w:val="20"/>
          <w:szCs w:val="20"/>
          <w:bdr w:val="none" w:sz="0" w:space="0" w:color="auto"/>
        </w:rPr>
        <w:t xml:space="preserve"> of the </w:t>
      </w:r>
      <w:r w:rsidR="003F634D">
        <w:rPr>
          <w:rFonts w:ascii="Cambria" w:eastAsia="Calibri" w:hAnsi="Cambria"/>
          <w:sz w:val="20"/>
          <w:szCs w:val="20"/>
          <w:bdr w:val="none" w:sz="0" w:space="0" w:color="auto"/>
        </w:rPr>
        <w:t xml:space="preserve">American Declaration </w:t>
      </w:r>
      <w:r w:rsidR="00E92985">
        <w:rPr>
          <w:rFonts w:ascii="Cambria" w:eastAsia="Calibri" w:hAnsi="Cambria"/>
          <w:sz w:val="20"/>
          <w:szCs w:val="20"/>
          <w:bdr w:val="none" w:sz="0" w:space="0" w:color="auto"/>
        </w:rPr>
        <w:t xml:space="preserve">of </w:t>
      </w:r>
      <w:r w:rsidR="004C5A00">
        <w:rPr>
          <w:rFonts w:ascii="Cambria" w:eastAsia="Calibri" w:hAnsi="Cambria"/>
          <w:sz w:val="20"/>
          <w:szCs w:val="20"/>
          <w:bdr w:val="none" w:sz="0" w:space="0" w:color="auto"/>
        </w:rPr>
        <w:t>Rights</w:t>
      </w:r>
      <w:r w:rsidR="001937FB">
        <w:rPr>
          <w:rFonts w:ascii="Cambria" w:eastAsia="Calibri" w:hAnsi="Cambria"/>
          <w:sz w:val="20"/>
          <w:szCs w:val="20"/>
          <w:bdr w:val="none" w:sz="0" w:space="0" w:color="auto"/>
        </w:rPr>
        <w:t xml:space="preserve"> and Duties of Man</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considering the advances over time in the</w:t>
      </w:r>
      <w:r w:rsidR="00773B3C" w:rsidRPr="00A51861">
        <w:rPr>
          <w:rFonts w:ascii="Cambria" w:eastAsia="Calibri" w:hAnsi="Cambria"/>
          <w:sz w:val="20"/>
          <w:szCs w:val="20"/>
          <w:bdr w:val="none" w:sz="0" w:space="0" w:color="auto"/>
        </w:rPr>
        <w:t xml:space="preserve"> </w:t>
      </w:r>
      <w:r w:rsidR="00773B3C" w:rsidRPr="00A51861">
        <w:rPr>
          <w:rFonts w:ascii="Cambria" w:eastAsia="Calibri" w:hAnsi="Cambria"/>
          <w:i/>
          <w:sz w:val="20"/>
          <w:szCs w:val="20"/>
          <w:bdr w:val="none" w:sz="0" w:space="0" w:color="auto"/>
        </w:rPr>
        <w:t>corpus juris</w:t>
      </w:r>
      <w:r w:rsidR="004969F4">
        <w:rPr>
          <w:rFonts w:ascii="Cambria" w:eastAsia="Calibri" w:hAnsi="Cambria"/>
          <w:sz w:val="20"/>
          <w:szCs w:val="20"/>
          <w:bdr w:val="none" w:sz="0" w:space="0" w:color="auto"/>
        </w:rPr>
        <w:t xml:space="preserve"> of </w:t>
      </w:r>
      <w:r w:rsidR="00EF4ED2">
        <w:rPr>
          <w:rFonts w:ascii="Cambria" w:eastAsia="Calibri" w:hAnsi="Cambria"/>
          <w:sz w:val="20"/>
          <w:szCs w:val="20"/>
          <w:bdr w:val="none" w:sz="0" w:space="0" w:color="auto"/>
        </w:rPr>
        <w:t>international</w:t>
      </w:r>
      <w:r w:rsidR="00E92985">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 xml:space="preserve">law </w:t>
      </w:r>
      <w:r w:rsidR="00E92985">
        <w:rPr>
          <w:rFonts w:ascii="Cambria" w:eastAsia="Calibri" w:hAnsi="Cambria"/>
          <w:sz w:val="20"/>
          <w:szCs w:val="20"/>
          <w:bdr w:val="none" w:sz="0" w:space="0" w:color="auto"/>
        </w:rPr>
        <w:t xml:space="preserve">of </w:t>
      </w:r>
      <w:r w:rsidR="00664D70">
        <w:rPr>
          <w:rFonts w:ascii="Cambria" w:eastAsia="Calibri" w:hAnsi="Cambria"/>
          <w:sz w:val="20"/>
          <w:szCs w:val="20"/>
          <w:bdr w:val="none" w:sz="0" w:space="0" w:color="auto"/>
        </w:rPr>
        <w:t>Human rights</w:t>
      </w:r>
      <w:r w:rsidR="00F4684B">
        <w:rPr>
          <w:rFonts w:ascii="Cambria" w:eastAsia="Calibri" w:hAnsi="Cambria"/>
          <w:sz w:val="20"/>
          <w:szCs w:val="20"/>
          <w:bdr w:val="none" w:sz="0" w:space="0" w:color="auto"/>
        </w:rPr>
        <w:t xml:space="preserve"> </w:t>
      </w:r>
      <w:r w:rsidR="00E92985">
        <w:rPr>
          <w:rFonts w:ascii="Cambria" w:eastAsia="Calibri" w:hAnsi="Cambria"/>
          <w:sz w:val="20"/>
          <w:szCs w:val="20"/>
          <w:bdr w:val="none" w:sz="0" w:space="0" w:color="auto"/>
        </w:rPr>
        <w:t xml:space="preserve">and </w:t>
      </w:r>
      <w:r>
        <w:rPr>
          <w:rFonts w:ascii="Cambria" w:eastAsia="Calibri" w:hAnsi="Cambria"/>
          <w:sz w:val="20"/>
          <w:szCs w:val="20"/>
          <w:bdr w:val="none" w:sz="0" w:space="0" w:color="auto"/>
        </w:rPr>
        <w:t xml:space="preserve">their current </w:t>
      </w:r>
      <w:r w:rsidR="00E92985">
        <w:rPr>
          <w:rFonts w:ascii="Cambria" w:eastAsia="Calibri" w:hAnsi="Cambria"/>
          <w:sz w:val="20"/>
          <w:szCs w:val="20"/>
          <w:bdr w:val="none" w:sz="0" w:space="0" w:color="auto"/>
        </w:rPr>
        <w:t>situation</w:t>
      </w:r>
      <w:r w:rsidR="00773B3C" w:rsidRPr="00A51861">
        <w:rPr>
          <w:rFonts w:ascii="Cambria" w:eastAsia="Calibri" w:hAnsi="Cambria"/>
          <w:sz w:val="20"/>
          <w:szCs w:val="20"/>
          <w:bdr w:val="none" w:sz="0" w:space="0" w:color="auto"/>
        </w:rPr>
        <w:t>,</w:t>
      </w:r>
      <w:r w:rsidR="00D70A85">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 xml:space="preserve">it </w:t>
      </w:r>
      <w:r w:rsidR="00D70A85">
        <w:rPr>
          <w:rFonts w:ascii="Cambria" w:eastAsia="Calibri" w:hAnsi="Cambria"/>
          <w:sz w:val="20"/>
          <w:szCs w:val="20"/>
          <w:bdr w:val="none" w:sz="0" w:space="0" w:color="auto"/>
        </w:rPr>
        <w:t xml:space="preserve">is </w:t>
      </w:r>
      <w:r w:rsidR="00773B3C" w:rsidRPr="00A51861">
        <w:rPr>
          <w:rFonts w:ascii="Cambria" w:eastAsia="Calibri" w:hAnsi="Cambria"/>
          <w:sz w:val="20"/>
          <w:szCs w:val="20"/>
          <w:bdr w:val="none" w:sz="0" w:space="0" w:color="auto"/>
        </w:rPr>
        <w:t>po</w:t>
      </w:r>
      <w:r>
        <w:rPr>
          <w:rFonts w:ascii="Cambria" w:eastAsia="Calibri" w:hAnsi="Cambria"/>
          <w:sz w:val="20"/>
          <w:szCs w:val="20"/>
          <w:bdr w:val="none" w:sz="0" w:space="0" w:color="auto"/>
        </w:rPr>
        <w:t>s</w:t>
      </w:r>
      <w:r w:rsidR="00773B3C" w:rsidRPr="00A51861">
        <w:rPr>
          <w:rFonts w:ascii="Cambria" w:eastAsia="Calibri" w:hAnsi="Cambria"/>
          <w:sz w:val="20"/>
          <w:szCs w:val="20"/>
          <w:bdr w:val="none" w:sz="0" w:space="0" w:color="auto"/>
        </w:rPr>
        <w:t xml:space="preserve">sible </w:t>
      </w:r>
      <w:r>
        <w:rPr>
          <w:rFonts w:ascii="Cambria" w:eastAsia="Calibri" w:hAnsi="Cambria"/>
          <w:sz w:val="20"/>
          <w:szCs w:val="20"/>
          <w:bdr w:val="none" w:sz="0" w:space="0" w:color="auto"/>
        </w:rPr>
        <w:t>to find that</w:t>
      </w:r>
      <w:r w:rsidR="00E92985">
        <w:rPr>
          <w:rFonts w:ascii="Cambria" w:eastAsia="Calibri" w:hAnsi="Cambria"/>
          <w:sz w:val="20"/>
          <w:szCs w:val="20"/>
          <w:bdr w:val="none" w:sz="0" w:space="0" w:color="auto"/>
        </w:rPr>
        <w:t xml:space="preserve"> the </w:t>
      </w:r>
      <w:r w:rsidR="009B462E">
        <w:rPr>
          <w:rFonts w:ascii="Cambria" w:eastAsia="Calibri" w:hAnsi="Cambria"/>
          <w:sz w:val="20"/>
          <w:szCs w:val="20"/>
          <w:bdr w:val="none" w:sz="0" w:space="0" w:color="auto"/>
        </w:rPr>
        <w:t xml:space="preserve">right of </w:t>
      </w:r>
      <w:r w:rsidR="008333FF">
        <w:rPr>
          <w:rFonts w:ascii="Cambria" w:eastAsia="Calibri" w:hAnsi="Cambria"/>
          <w:sz w:val="20"/>
          <w:szCs w:val="20"/>
          <w:bdr w:val="none" w:sz="0" w:space="0" w:color="auto"/>
        </w:rPr>
        <w:t>residency</w:t>
      </w:r>
      <w:r w:rsidR="00E92985">
        <w:rPr>
          <w:rFonts w:ascii="Cambria" w:eastAsia="Calibri" w:hAnsi="Cambria"/>
          <w:sz w:val="20"/>
          <w:szCs w:val="20"/>
          <w:bdr w:val="none" w:sz="0" w:space="0" w:color="auto"/>
        </w:rPr>
        <w:t xml:space="preserve"> </w:t>
      </w:r>
      <w:r w:rsidR="00F00F54">
        <w:rPr>
          <w:rFonts w:ascii="Cambria" w:eastAsia="Calibri" w:hAnsi="Cambria"/>
          <w:sz w:val="20"/>
          <w:szCs w:val="20"/>
          <w:bdr w:val="none" w:sz="0" w:space="0" w:color="auto"/>
        </w:rPr>
        <w:t xml:space="preserve">and movement </w:t>
      </w:r>
      <w:r w:rsidR="00E92985">
        <w:rPr>
          <w:rFonts w:ascii="Cambria" w:eastAsia="Calibri" w:hAnsi="Cambria"/>
          <w:sz w:val="20"/>
          <w:szCs w:val="20"/>
          <w:bdr w:val="none" w:sz="0" w:space="0" w:color="auto"/>
        </w:rPr>
        <w:t xml:space="preserve">of </w:t>
      </w:r>
      <w:r w:rsidR="001937FB">
        <w:rPr>
          <w:rFonts w:ascii="Cambria" w:eastAsia="Calibri" w:hAnsi="Cambria"/>
          <w:sz w:val="20"/>
          <w:szCs w:val="20"/>
          <w:bdr w:val="none" w:sz="0" w:space="0" w:color="auto"/>
        </w:rPr>
        <w:t>the Declaration</w:t>
      </w:r>
      <w:r w:rsidR="00773B3C" w:rsidRPr="00A51861">
        <w:rPr>
          <w:rFonts w:ascii="Cambria" w:eastAsia="Calibri" w:hAnsi="Cambria"/>
          <w:sz w:val="20"/>
          <w:szCs w:val="20"/>
          <w:bdr w:val="none" w:sz="0" w:space="0" w:color="auto"/>
        </w:rPr>
        <w:t xml:space="preserve"> </w:t>
      </w:r>
      <w:r w:rsidR="00F00F54">
        <w:rPr>
          <w:rFonts w:ascii="Cambria" w:eastAsia="Calibri" w:hAnsi="Cambria"/>
          <w:sz w:val="20"/>
          <w:szCs w:val="20"/>
          <w:bdr w:val="none" w:sz="0" w:space="0" w:color="auto"/>
        </w:rPr>
        <w:t>has a similar scope</w:t>
      </w:r>
      <w:r w:rsidR="00773B3C" w:rsidRPr="00A51861">
        <w:rPr>
          <w:rFonts w:ascii="Cambria" w:eastAsia="Calibri" w:hAnsi="Cambria"/>
          <w:sz w:val="20"/>
          <w:szCs w:val="20"/>
          <w:bdr w:val="none" w:sz="0" w:space="0" w:color="auto"/>
        </w:rPr>
        <w:t xml:space="preserve"> </w:t>
      </w:r>
      <w:r w:rsidR="00F00F54">
        <w:rPr>
          <w:rFonts w:ascii="Cambria" w:eastAsia="Calibri" w:hAnsi="Cambria"/>
          <w:sz w:val="20"/>
          <w:szCs w:val="20"/>
          <w:bdr w:val="none" w:sz="0" w:space="0" w:color="auto"/>
        </w:rPr>
        <w:t xml:space="preserve">to the </w:t>
      </w:r>
      <w:r w:rsidR="009B462E">
        <w:rPr>
          <w:rFonts w:ascii="Cambria" w:eastAsia="Calibri" w:hAnsi="Cambria"/>
          <w:sz w:val="20"/>
          <w:szCs w:val="20"/>
          <w:bdr w:val="none" w:sz="0" w:space="0" w:color="auto"/>
        </w:rPr>
        <w:t xml:space="preserve">right of </w:t>
      </w:r>
      <w:r w:rsidR="00F00F54">
        <w:rPr>
          <w:rFonts w:ascii="Cambria" w:eastAsia="Calibri" w:hAnsi="Cambria"/>
          <w:sz w:val="20"/>
          <w:szCs w:val="20"/>
          <w:bdr w:val="none" w:sz="0" w:space="0" w:color="auto"/>
        </w:rPr>
        <w:t>movement</w:t>
      </w:r>
      <w:r w:rsidR="00E92985">
        <w:rPr>
          <w:rFonts w:ascii="Cambria" w:eastAsia="Calibri" w:hAnsi="Cambria"/>
          <w:sz w:val="20"/>
          <w:szCs w:val="20"/>
          <w:bdr w:val="none" w:sz="0" w:space="0" w:color="auto"/>
        </w:rPr>
        <w:t xml:space="preserve"> and </w:t>
      </w:r>
      <w:r w:rsidR="008333FF">
        <w:rPr>
          <w:rFonts w:ascii="Cambria" w:eastAsia="Calibri" w:hAnsi="Cambria"/>
          <w:sz w:val="20"/>
          <w:szCs w:val="20"/>
          <w:bdr w:val="none" w:sz="0" w:space="0" w:color="auto"/>
        </w:rPr>
        <w:t>residency</w:t>
      </w:r>
      <w:r w:rsidR="00773B3C" w:rsidRPr="00A51861">
        <w:rPr>
          <w:rFonts w:ascii="Cambria" w:eastAsia="Calibri" w:hAnsi="Cambria"/>
          <w:sz w:val="20"/>
          <w:szCs w:val="20"/>
          <w:bdr w:val="none" w:sz="0" w:space="0" w:color="auto"/>
        </w:rPr>
        <w:t xml:space="preserve"> </w:t>
      </w:r>
      <w:r w:rsidR="00F00F54">
        <w:rPr>
          <w:rFonts w:ascii="Cambria" w:eastAsia="Calibri" w:hAnsi="Cambria"/>
          <w:sz w:val="20"/>
          <w:szCs w:val="20"/>
          <w:bdr w:val="none" w:sz="0" w:space="0" w:color="auto"/>
        </w:rPr>
        <w:t>foreseen in</w:t>
      </w:r>
      <w:r w:rsidR="00773B3C" w:rsidRPr="00A51861">
        <w:rPr>
          <w:rFonts w:ascii="Cambria" w:eastAsia="Calibri" w:hAnsi="Cambria"/>
          <w:sz w:val="20"/>
          <w:szCs w:val="20"/>
          <w:bdr w:val="none" w:sz="0" w:space="0" w:color="auto"/>
        </w:rPr>
        <w:t xml:space="preserve"> </w:t>
      </w:r>
      <w:r w:rsidR="0029564F">
        <w:rPr>
          <w:rFonts w:ascii="Cambria" w:eastAsia="Calibri" w:hAnsi="Cambria"/>
          <w:sz w:val="20"/>
          <w:szCs w:val="20"/>
          <w:bdr w:val="none" w:sz="0" w:space="0" w:color="auto"/>
        </w:rPr>
        <w:t>article</w:t>
      </w:r>
      <w:r w:rsidR="00773B3C" w:rsidRPr="00A51861">
        <w:rPr>
          <w:rFonts w:ascii="Cambria" w:eastAsia="Calibri" w:hAnsi="Cambria"/>
          <w:sz w:val="20"/>
          <w:szCs w:val="20"/>
          <w:bdr w:val="none" w:sz="0" w:space="0" w:color="auto"/>
        </w:rPr>
        <w:t xml:space="preserve"> 22</w:t>
      </w:r>
      <w:r w:rsidR="00E92985">
        <w:rPr>
          <w:rFonts w:ascii="Cambria" w:eastAsia="Calibri" w:hAnsi="Cambria"/>
          <w:sz w:val="20"/>
          <w:szCs w:val="20"/>
          <w:bdr w:val="none" w:sz="0" w:space="0" w:color="auto"/>
        </w:rPr>
        <w:t xml:space="preserve"> of the </w:t>
      </w:r>
      <w:r w:rsidR="00F00F54">
        <w:rPr>
          <w:rFonts w:ascii="Cambria" w:eastAsia="Calibri" w:hAnsi="Cambria"/>
          <w:sz w:val="20"/>
          <w:szCs w:val="20"/>
          <w:bdr w:val="none" w:sz="0" w:space="0" w:color="auto"/>
        </w:rPr>
        <w:t xml:space="preserve">American Convention </w:t>
      </w:r>
      <w:r w:rsidR="00664D70">
        <w:rPr>
          <w:rFonts w:ascii="Cambria" w:eastAsia="Calibri" w:hAnsi="Cambria"/>
          <w:sz w:val="20"/>
          <w:szCs w:val="20"/>
          <w:bdr w:val="none" w:sz="0" w:space="0" w:color="auto"/>
        </w:rPr>
        <w:t>on Human Rights</w:t>
      </w:r>
      <w:r w:rsidR="00773B3C" w:rsidRPr="00A51861">
        <w:rPr>
          <w:rFonts w:ascii="Cambria" w:eastAsia="Calibri" w:hAnsi="Cambria"/>
          <w:sz w:val="20"/>
          <w:szCs w:val="20"/>
          <w:bdr w:val="none" w:sz="0" w:space="0" w:color="auto"/>
        </w:rPr>
        <w:t xml:space="preserve">, </w:t>
      </w:r>
      <w:r w:rsidR="00F00F54">
        <w:rPr>
          <w:rFonts w:ascii="Cambria" w:eastAsia="Calibri" w:hAnsi="Cambria"/>
          <w:sz w:val="20"/>
          <w:szCs w:val="20"/>
          <w:bdr w:val="none" w:sz="0" w:space="0" w:color="auto"/>
        </w:rPr>
        <w:t>which provides on its first number</w:t>
      </w:r>
      <w:r w:rsidR="00773B3C" w:rsidRPr="00A51861">
        <w:rPr>
          <w:rFonts w:ascii="Cambria" w:eastAsia="Calibri" w:hAnsi="Cambria"/>
          <w:sz w:val="20"/>
          <w:szCs w:val="20"/>
          <w:bdr w:val="none" w:sz="0" w:space="0" w:color="auto"/>
        </w:rPr>
        <w:t xml:space="preserve">, </w:t>
      </w:r>
      <w:r w:rsidR="00F00F54">
        <w:rPr>
          <w:rFonts w:ascii="Cambria" w:eastAsia="Calibri" w:hAnsi="Cambria"/>
          <w:sz w:val="20"/>
          <w:szCs w:val="20"/>
          <w:bdr w:val="none" w:sz="0" w:space="0" w:color="auto"/>
        </w:rPr>
        <w:t>that</w:t>
      </w:r>
      <w:r w:rsidR="00773B3C" w:rsidRPr="00A51861">
        <w:rPr>
          <w:rFonts w:ascii="Cambria" w:eastAsia="Calibri" w:hAnsi="Cambria"/>
          <w:sz w:val="20"/>
          <w:szCs w:val="20"/>
          <w:bdr w:val="none" w:sz="0" w:space="0" w:color="auto"/>
        </w:rPr>
        <w:t xml:space="preserve"> “</w:t>
      </w:r>
      <w:r w:rsidR="00F00F54" w:rsidRPr="00F00F54">
        <w:rPr>
          <w:rFonts w:ascii="Cambria" w:eastAsia="Calibri" w:hAnsi="Cambria"/>
          <w:sz w:val="20"/>
          <w:szCs w:val="20"/>
          <w:bdr w:val="none" w:sz="0" w:space="0" w:color="auto"/>
        </w:rPr>
        <w:t>Every person lawfully in the territory of a State Party has the right to move about in it, and to reside in it subject to the provisions of the law.</w:t>
      </w:r>
      <w:r w:rsidR="00773B3C" w:rsidRPr="00A51861">
        <w:rPr>
          <w:rFonts w:ascii="Cambria" w:eastAsia="Calibri" w:hAnsi="Cambria" w:cs="Tahoma"/>
          <w:color w:val="000000"/>
          <w:sz w:val="20"/>
          <w:szCs w:val="20"/>
          <w:bdr w:val="none" w:sz="0" w:space="0" w:color="auto"/>
        </w:rPr>
        <w:t xml:space="preserve">”, </w:t>
      </w:r>
      <w:r w:rsidR="00F00F54">
        <w:rPr>
          <w:rFonts w:ascii="Cambria" w:eastAsia="Calibri" w:hAnsi="Cambria" w:cs="Tahoma"/>
          <w:color w:val="000000"/>
          <w:sz w:val="20"/>
          <w:szCs w:val="20"/>
          <w:bdr w:val="none" w:sz="0" w:space="0" w:color="auto"/>
        </w:rPr>
        <w:t>which</w:t>
      </w:r>
      <w:r w:rsidR="00773B3C" w:rsidRPr="00A51861">
        <w:rPr>
          <w:rFonts w:ascii="Cambria" w:eastAsia="Calibri" w:hAnsi="Cambria" w:cs="Tahoma"/>
          <w:color w:val="000000"/>
          <w:sz w:val="20"/>
          <w:szCs w:val="20"/>
          <w:bdr w:val="none" w:sz="0" w:space="0" w:color="auto"/>
        </w:rPr>
        <w:t xml:space="preserve"> represent</w:t>
      </w:r>
      <w:r w:rsidR="00F00F54">
        <w:rPr>
          <w:rFonts w:ascii="Cambria" w:eastAsia="Calibri" w:hAnsi="Cambria" w:cs="Tahoma"/>
          <w:color w:val="000000"/>
          <w:sz w:val="20"/>
          <w:szCs w:val="20"/>
          <w:bdr w:val="none" w:sz="0" w:space="0" w:color="auto"/>
        </w:rPr>
        <w:t>s</w:t>
      </w:r>
      <w:r w:rsidR="00773B3C" w:rsidRPr="00A51861">
        <w:rPr>
          <w:rFonts w:ascii="Cambria" w:eastAsia="Calibri" w:hAnsi="Cambria" w:cs="Tahoma"/>
          <w:color w:val="000000"/>
          <w:sz w:val="20"/>
          <w:szCs w:val="20"/>
          <w:bdr w:val="none" w:sz="0" w:space="0" w:color="auto"/>
        </w:rPr>
        <w:t xml:space="preserve"> </w:t>
      </w:r>
      <w:r w:rsidR="00F00F54">
        <w:rPr>
          <w:rFonts w:ascii="Cambria" w:eastAsia="Calibri" w:hAnsi="Cambria" w:cs="Tahoma"/>
          <w:color w:val="000000"/>
          <w:sz w:val="20"/>
          <w:szCs w:val="20"/>
          <w:bdr w:val="none" w:sz="0" w:space="0" w:color="auto"/>
        </w:rPr>
        <w:t>a more developed expression of</w:t>
      </w:r>
      <w:r w:rsidR="00773B3C" w:rsidRPr="00A51861">
        <w:rPr>
          <w:rFonts w:ascii="Cambria" w:eastAsia="Calibri" w:hAnsi="Cambria" w:cs="Tahoma"/>
          <w:color w:val="000000"/>
          <w:sz w:val="20"/>
          <w:szCs w:val="20"/>
          <w:bdr w:val="none" w:sz="0" w:space="0" w:color="auto"/>
        </w:rPr>
        <w:t xml:space="preserve"> fundamental</w:t>
      </w:r>
      <w:r w:rsidR="00F00F54">
        <w:rPr>
          <w:rFonts w:ascii="Cambria" w:eastAsia="Calibri" w:hAnsi="Cambria" w:cs="Tahoma"/>
          <w:color w:val="000000"/>
          <w:sz w:val="20"/>
          <w:szCs w:val="20"/>
          <w:bdr w:val="none" w:sz="0" w:space="0" w:color="auto"/>
        </w:rPr>
        <w:t xml:space="preserve"> principl</w:t>
      </w:r>
      <w:r w:rsidR="00773B3C" w:rsidRPr="00A51861">
        <w:rPr>
          <w:rFonts w:ascii="Cambria" w:eastAsia="Calibri" w:hAnsi="Cambria" w:cs="Tahoma"/>
          <w:color w:val="000000"/>
          <w:sz w:val="20"/>
          <w:szCs w:val="20"/>
          <w:bdr w:val="none" w:sz="0" w:space="0" w:color="auto"/>
        </w:rPr>
        <w:t xml:space="preserve">es </w:t>
      </w:r>
      <w:r w:rsidR="00F00F54">
        <w:rPr>
          <w:rFonts w:ascii="Cambria" w:eastAsia="Calibri" w:hAnsi="Cambria" w:cs="Tahoma"/>
          <w:color w:val="000000"/>
          <w:sz w:val="20"/>
          <w:szCs w:val="20"/>
          <w:bdr w:val="none" w:sz="0" w:space="0" w:color="auto"/>
        </w:rPr>
        <w:t>enshrined in</w:t>
      </w:r>
      <w:r w:rsidR="009A4F91">
        <w:rPr>
          <w:rFonts w:ascii="Cambria" w:eastAsia="Calibri" w:hAnsi="Cambria" w:cs="Tahoma"/>
          <w:color w:val="000000"/>
          <w:sz w:val="20"/>
          <w:szCs w:val="20"/>
          <w:bdr w:val="none" w:sz="0" w:space="0" w:color="auto"/>
        </w:rPr>
        <w:t xml:space="preserve"> the </w:t>
      </w:r>
      <w:r w:rsidR="00A311C9">
        <w:rPr>
          <w:rFonts w:ascii="Cambria" w:eastAsia="Calibri" w:hAnsi="Cambria" w:cs="Tahoma"/>
          <w:color w:val="000000"/>
          <w:sz w:val="20"/>
          <w:szCs w:val="20"/>
          <w:bdr w:val="none" w:sz="0" w:space="0" w:color="auto"/>
        </w:rPr>
        <w:t>American Declaration</w:t>
      </w:r>
      <w:r w:rsidR="00773B3C" w:rsidRPr="00A51861">
        <w:rPr>
          <w:rFonts w:ascii="Cambria" w:eastAsia="Calibri" w:hAnsi="Cambria" w:cs="Tahoma"/>
          <w:color w:val="000000"/>
          <w:sz w:val="20"/>
          <w:szCs w:val="20"/>
          <w:bdr w:val="none" w:sz="0" w:space="0" w:color="auto"/>
        </w:rPr>
        <w:t xml:space="preserve">, </w:t>
      </w:r>
      <w:r w:rsidR="00F00F54">
        <w:rPr>
          <w:rFonts w:ascii="Cambria" w:eastAsia="Calibri" w:hAnsi="Cambria" w:cs="Tahoma"/>
          <w:color w:val="000000"/>
          <w:sz w:val="20"/>
          <w:szCs w:val="20"/>
          <w:bdr w:val="none" w:sz="0" w:space="0" w:color="auto"/>
        </w:rPr>
        <w:t>by referring to those who are lawfully in the territory of a State</w:t>
      </w:r>
      <w:r w:rsidR="00773B3C" w:rsidRPr="00A51861">
        <w:rPr>
          <w:rFonts w:ascii="Cambria" w:eastAsia="Calibri" w:hAnsi="Cambria" w:cs="Tahoma"/>
          <w:color w:val="000000"/>
          <w:sz w:val="20"/>
          <w:szCs w:val="20"/>
          <w:bdr w:val="none" w:sz="0" w:space="0" w:color="auto"/>
        </w:rPr>
        <w:t>,</w:t>
      </w:r>
      <w:r w:rsidR="00E92985">
        <w:rPr>
          <w:rFonts w:ascii="Cambria" w:eastAsia="Calibri" w:hAnsi="Cambria" w:cs="Tahoma"/>
          <w:color w:val="000000"/>
          <w:sz w:val="20"/>
          <w:szCs w:val="20"/>
          <w:bdr w:val="none" w:sz="0" w:space="0" w:color="auto"/>
        </w:rPr>
        <w:t xml:space="preserve"> and </w:t>
      </w:r>
      <w:r w:rsidR="00773B3C" w:rsidRPr="00A51861">
        <w:rPr>
          <w:rFonts w:ascii="Cambria" w:eastAsia="Calibri" w:hAnsi="Cambria" w:cs="Tahoma"/>
          <w:color w:val="000000"/>
          <w:sz w:val="20"/>
          <w:szCs w:val="20"/>
          <w:bdr w:val="none" w:sz="0" w:space="0" w:color="auto"/>
        </w:rPr>
        <w:t>no</w:t>
      </w:r>
      <w:r w:rsidR="00F00F54">
        <w:rPr>
          <w:rFonts w:ascii="Cambria" w:eastAsia="Calibri" w:hAnsi="Cambria" w:cs="Tahoma"/>
          <w:color w:val="000000"/>
          <w:sz w:val="20"/>
          <w:szCs w:val="20"/>
          <w:bdr w:val="none" w:sz="0" w:space="0" w:color="auto"/>
        </w:rPr>
        <w:t>t</w:t>
      </w:r>
      <w:r w:rsidR="00773B3C" w:rsidRPr="00A51861">
        <w:rPr>
          <w:rFonts w:ascii="Cambria" w:eastAsia="Calibri" w:hAnsi="Cambria" w:cs="Tahoma"/>
          <w:color w:val="000000"/>
          <w:sz w:val="20"/>
          <w:szCs w:val="20"/>
          <w:bdr w:val="none" w:sz="0" w:space="0" w:color="auto"/>
        </w:rPr>
        <w:t xml:space="preserve"> </w:t>
      </w:r>
      <w:r w:rsidR="00F00F54">
        <w:rPr>
          <w:rFonts w:ascii="Cambria" w:eastAsia="Calibri" w:hAnsi="Cambria" w:cs="Tahoma"/>
          <w:color w:val="000000"/>
          <w:sz w:val="20"/>
          <w:szCs w:val="20"/>
          <w:bdr w:val="none" w:sz="0" w:space="0" w:color="auto"/>
        </w:rPr>
        <w:t>only to those who hold that State’s nationality</w:t>
      </w:r>
      <w:r w:rsidR="00773B3C" w:rsidRPr="00A51861">
        <w:rPr>
          <w:rFonts w:ascii="Cambria" w:eastAsia="Calibri" w:hAnsi="Cambria" w:cs="Tahoma"/>
          <w:color w:val="000000"/>
          <w:sz w:val="20"/>
          <w:szCs w:val="20"/>
          <w:bdr w:val="none" w:sz="0" w:space="0" w:color="auto"/>
        </w:rPr>
        <w:t xml:space="preserve">. </w:t>
      </w:r>
    </w:p>
    <w:p w14:paraId="6C23C061" w14:textId="77777777" w:rsidR="00773B3C" w:rsidRPr="00A51861" w:rsidRDefault="00773B3C" w:rsidP="008E4D36">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Cambria" w:eastAsia="Calibri" w:hAnsi="Cambria" w:cs="Tahoma"/>
          <w:color w:val="000000"/>
          <w:sz w:val="20"/>
          <w:szCs w:val="20"/>
          <w:bdr w:val="none" w:sz="0" w:space="0" w:color="auto"/>
        </w:rPr>
      </w:pPr>
    </w:p>
    <w:p w14:paraId="32982DDE" w14:textId="6CBF691C" w:rsidR="00773B3C" w:rsidRPr="00A51861" w:rsidRDefault="00FB6E0D"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eastAsia="Calibri" w:hAnsi="Cambria" w:cs="Tahoma"/>
          <w:color w:val="000000"/>
          <w:sz w:val="20"/>
          <w:szCs w:val="20"/>
          <w:bdr w:val="none" w:sz="0" w:space="0" w:color="auto"/>
        </w:rPr>
      </w:pPr>
      <w:r>
        <w:rPr>
          <w:rFonts w:ascii="Cambria" w:eastAsia="Calibri" w:hAnsi="Cambria"/>
          <w:sz w:val="20"/>
          <w:szCs w:val="20"/>
          <w:bdr w:val="none" w:sz="0" w:space="0" w:color="auto"/>
        </w:rPr>
        <w:t>In this sense</w:t>
      </w:r>
      <w:r w:rsidR="00773B3C" w:rsidRPr="00A51861">
        <w:rPr>
          <w:rFonts w:ascii="Cambria" w:eastAsia="Calibri" w:hAnsi="Cambria"/>
          <w:sz w:val="20"/>
          <w:szCs w:val="20"/>
          <w:bdr w:val="none" w:sz="0" w:space="0" w:color="auto"/>
        </w:rPr>
        <w:t xml:space="preserve">, </w:t>
      </w:r>
      <w:r w:rsidR="00A51861" w:rsidRPr="00A51861">
        <w:rPr>
          <w:rFonts w:ascii="Cambria" w:eastAsia="Calibri" w:hAnsi="Cambria"/>
          <w:sz w:val="20"/>
          <w:szCs w:val="20"/>
          <w:bdr w:val="none" w:sz="0" w:space="0" w:color="auto"/>
        </w:rPr>
        <w:t>the IACHR</w:t>
      </w:r>
      <w:r w:rsidR="00773B3C" w:rsidRPr="00A51861">
        <w:rPr>
          <w:rFonts w:ascii="Cambria" w:eastAsia="Calibri" w:hAnsi="Cambria"/>
          <w:sz w:val="20"/>
          <w:szCs w:val="20"/>
          <w:bdr w:val="none" w:sz="0" w:space="0" w:color="auto"/>
        </w:rPr>
        <w:t xml:space="preserve"> </w:t>
      </w:r>
      <w:r w:rsidR="00A51861" w:rsidRPr="00A51861">
        <w:rPr>
          <w:rFonts w:ascii="Cambria" w:eastAsia="Calibri" w:hAnsi="Cambria"/>
          <w:sz w:val="20"/>
          <w:szCs w:val="20"/>
          <w:bdr w:val="none" w:sz="0" w:space="0" w:color="auto"/>
        </w:rPr>
        <w:t>observes that</w:t>
      </w:r>
      <w:r w:rsidR="00773B3C" w:rsidRPr="00A51861">
        <w:rPr>
          <w:rFonts w:ascii="Cambria" w:eastAsia="Calibri" w:hAnsi="Cambria"/>
          <w:sz w:val="20"/>
          <w:szCs w:val="20"/>
          <w:bdr w:val="none" w:sz="0" w:space="0" w:color="auto"/>
        </w:rPr>
        <w:t xml:space="preserve"> </w:t>
      </w:r>
      <w:r w:rsidR="00201280">
        <w:rPr>
          <w:rFonts w:ascii="Cambria" w:eastAsia="Calibri" w:hAnsi="Cambria"/>
          <w:sz w:val="20"/>
          <w:szCs w:val="20"/>
          <w:bdr w:val="none" w:sz="0" w:space="0" w:color="auto"/>
        </w:rPr>
        <w:t xml:space="preserve">in order to assess </w:t>
      </w:r>
      <w:r w:rsidR="009A4F91">
        <w:rPr>
          <w:rFonts w:ascii="Cambria" w:eastAsia="Calibri" w:hAnsi="Cambria"/>
          <w:sz w:val="20"/>
          <w:szCs w:val="20"/>
          <w:bdr w:val="none" w:sz="0" w:space="0" w:color="auto"/>
        </w:rPr>
        <w:t xml:space="preserve">the </w:t>
      </w:r>
      <w:r w:rsidR="00201280">
        <w:rPr>
          <w:rFonts w:ascii="Cambria" w:eastAsia="Calibri" w:hAnsi="Cambria"/>
          <w:sz w:val="20"/>
          <w:szCs w:val="20"/>
          <w:bdr w:val="none" w:sz="0" w:space="0" w:color="auto"/>
        </w:rPr>
        <w:t>application</w:t>
      </w:r>
      <w:r w:rsidR="004969F4">
        <w:rPr>
          <w:rFonts w:ascii="Cambria" w:eastAsia="Calibri" w:hAnsi="Cambria"/>
          <w:sz w:val="20"/>
          <w:szCs w:val="20"/>
          <w:bdr w:val="none" w:sz="0" w:space="0" w:color="auto"/>
        </w:rPr>
        <w:t xml:space="preserve"> of </w:t>
      </w:r>
      <w:r w:rsidR="0029564F">
        <w:rPr>
          <w:rFonts w:ascii="Cambria" w:eastAsia="Calibri" w:hAnsi="Cambria"/>
          <w:sz w:val="20"/>
          <w:szCs w:val="20"/>
          <w:bdr w:val="none" w:sz="0" w:space="0" w:color="auto"/>
        </w:rPr>
        <w:t>article</w:t>
      </w:r>
      <w:r w:rsidR="00773B3C" w:rsidRPr="00A51861">
        <w:rPr>
          <w:rFonts w:ascii="Cambria" w:eastAsia="Calibri" w:hAnsi="Cambria"/>
          <w:sz w:val="20"/>
          <w:szCs w:val="20"/>
          <w:bdr w:val="none" w:sz="0" w:space="0" w:color="auto"/>
        </w:rPr>
        <w:t xml:space="preserve"> VIII</w:t>
      </w:r>
      <w:r w:rsidR="00E92985">
        <w:rPr>
          <w:rFonts w:ascii="Cambria" w:eastAsia="Calibri" w:hAnsi="Cambria"/>
          <w:sz w:val="20"/>
          <w:szCs w:val="20"/>
          <w:bdr w:val="none" w:sz="0" w:space="0" w:color="auto"/>
        </w:rPr>
        <w:t xml:space="preserve"> of the </w:t>
      </w:r>
      <w:r w:rsidR="003F634D">
        <w:rPr>
          <w:rFonts w:ascii="Cambria" w:eastAsia="Calibri" w:hAnsi="Cambria"/>
          <w:sz w:val="20"/>
          <w:szCs w:val="20"/>
          <w:bdr w:val="none" w:sz="0" w:space="0" w:color="auto"/>
        </w:rPr>
        <w:t xml:space="preserve">American Declaration </w:t>
      </w:r>
      <w:r w:rsidR="00201280">
        <w:rPr>
          <w:rFonts w:ascii="Cambria" w:eastAsia="Calibri" w:hAnsi="Cambria"/>
          <w:sz w:val="20"/>
          <w:szCs w:val="20"/>
          <w:bdr w:val="none" w:sz="0" w:space="0" w:color="auto"/>
        </w:rPr>
        <w:t>on the</w:t>
      </w:r>
      <w:r w:rsidR="00773B3C" w:rsidRPr="00A51861">
        <w:rPr>
          <w:rFonts w:ascii="Cambria" w:eastAsia="Calibri" w:hAnsi="Cambria"/>
          <w:sz w:val="20"/>
          <w:szCs w:val="20"/>
          <w:bdr w:val="none" w:sz="0" w:space="0" w:color="auto"/>
        </w:rPr>
        <w:t xml:space="preserve"> </w:t>
      </w:r>
      <w:r w:rsidR="009B462E">
        <w:rPr>
          <w:rFonts w:ascii="Cambria" w:eastAsia="Calibri" w:hAnsi="Cambria"/>
          <w:sz w:val="20"/>
          <w:szCs w:val="20"/>
          <w:bdr w:val="none" w:sz="0" w:space="0" w:color="auto"/>
        </w:rPr>
        <w:t xml:space="preserve">right of </w:t>
      </w:r>
      <w:r w:rsidR="008333FF">
        <w:rPr>
          <w:rFonts w:ascii="Cambria" w:eastAsia="Calibri" w:hAnsi="Cambria"/>
          <w:sz w:val="20"/>
          <w:szCs w:val="20"/>
          <w:bdr w:val="none" w:sz="0" w:space="0" w:color="auto"/>
        </w:rPr>
        <w:t>residency</w:t>
      </w:r>
      <w:r w:rsidR="00E92985">
        <w:rPr>
          <w:rFonts w:ascii="Cambria" w:eastAsia="Calibri" w:hAnsi="Cambria"/>
          <w:sz w:val="20"/>
          <w:szCs w:val="20"/>
          <w:bdr w:val="none" w:sz="0" w:space="0" w:color="auto"/>
        </w:rPr>
        <w:t xml:space="preserve"> </w:t>
      </w:r>
      <w:r w:rsidR="00F00F54">
        <w:rPr>
          <w:rFonts w:ascii="Cambria" w:eastAsia="Calibri" w:hAnsi="Cambria"/>
          <w:sz w:val="20"/>
          <w:szCs w:val="20"/>
          <w:bdr w:val="none" w:sz="0" w:space="0" w:color="auto"/>
        </w:rPr>
        <w:t xml:space="preserve">and movement </w:t>
      </w:r>
      <w:r w:rsidR="00201280">
        <w:rPr>
          <w:rFonts w:ascii="Cambria" w:eastAsia="Calibri" w:hAnsi="Cambria"/>
          <w:sz w:val="20"/>
          <w:szCs w:val="20"/>
          <w:bdr w:val="none" w:sz="0" w:space="0" w:color="auto"/>
        </w:rPr>
        <w:t>in the concrete case</w:t>
      </w:r>
      <w:r w:rsidR="00773B3C" w:rsidRPr="00A51861">
        <w:rPr>
          <w:rFonts w:ascii="Cambria" w:eastAsia="Calibri" w:hAnsi="Cambria"/>
          <w:sz w:val="20"/>
          <w:szCs w:val="20"/>
          <w:bdr w:val="none" w:sz="0" w:space="0" w:color="auto"/>
        </w:rPr>
        <w:t>,</w:t>
      </w:r>
      <w:r w:rsidR="00D70A85">
        <w:rPr>
          <w:rFonts w:ascii="Cambria" w:eastAsia="Calibri" w:hAnsi="Cambria"/>
          <w:sz w:val="20"/>
          <w:szCs w:val="20"/>
          <w:bdr w:val="none" w:sz="0" w:space="0" w:color="auto"/>
        </w:rPr>
        <w:t xml:space="preserve"> </w:t>
      </w:r>
      <w:r w:rsidR="00201280">
        <w:rPr>
          <w:rFonts w:ascii="Cambria" w:eastAsia="Calibri" w:hAnsi="Cambria"/>
          <w:sz w:val="20"/>
          <w:szCs w:val="20"/>
          <w:bdr w:val="none" w:sz="0" w:space="0" w:color="auto"/>
        </w:rPr>
        <w:t>it is important</w:t>
      </w:r>
      <w:r w:rsidR="00773B3C" w:rsidRPr="00A51861">
        <w:rPr>
          <w:rFonts w:ascii="Cambria" w:eastAsia="Calibri" w:hAnsi="Cambria"/>
          <w:sz w:val="20"/>
          <w:szCs w:val="20"/>
          <w:bdr w:val="none" w:sz="0" w:space="0" w:color="auto"/>
        </w:rPr>
        <w:t xml:space="preserve"> </w:t>
      </w:r>
      <w:r w:rsidR="00201280">
        <w:rPr>
          <w:rFonts w:ascii="Cambria" w:eastAsia="Calibri" w:hAnsi="Cambria"/>
          <w:sz w:val="20"/>
          <w:szCs w:val="20"/>
          <w:bdr w:val="none" w:sz="0" w:space="0" w:color="auto"/>
        </w:rPr>
        <w:t>to bear in mind the development in terms</w:t>
      </w:r>
      <w:r w:rsidR="00E92985">
        <w:rPr>
          <w:rFonts w:ascii="Cambria" w:eastAsia="Calibri" w:hAnsi="Cambria"/>
          <w:sz w:val="20"/>
          <w:szCs w:val="20"/>
          <w:bdr w:val="none" w:sz="0" w:space="0" w:color="auto"/>
        </w:rPr>
        <w:t xml:space="preserve"> of </w:t>
      </w:r>
      <w:r w:rsidR="00EF4ED2">
        <w:rPr>
          <w:rFonts w:ascii="Cambria" w:eastAsia="Calibri" w:hAnsi="Cambria"/>
          <w:sz w:val="20"/>
          <w:szCs w:val="20"/>
          <w:bdr w:val="none" w:sz="0" w:space="0" w:color="auto"/>
        </w:rPr>
        <w:t>protection</w:t>
      </w:r>
      <w:r w:rsidR="00E92985">
        <w:rPr>
          <w:rFonts w:ascii="Cambria" w:eastAsia="Calibri" w:hAnsi="Cambria"/>
          <w:sz w:val="20"/>
          <w:szCs w:val="20"/>
          <w:bdr w:val="none" w:sz="0" w:space="0" w:color="auto"/>
        </w:rPr>
        <w:t xml:space="preserve"> </w:t>
      </w:r>
      <w:r w:rsidR="00201280">
        <w:rPr>
          <w:rFonts w:ascii="Cambria" w:eastAsia="Calibri" w:hAnsi="Cambria"/>
          <w:sz w:val="20"/>
          <w:szCs w:val="20"/>
          <w:bdr w:val="none" w:sz="0" w:space="0" w:color="auto"/>
        </w:rPr>
        <w:t xml:space="preserve">international </w:t>
      </w:r>
      <w:r w:rsidR="00E92985">
        <w:rPr>
          <w:rFonts w:ascii="Cambria" w:eastAsia="Calibri" w:hAnsi="Cambria"/>
          <w:sz w:val="20"/>
          <w:szCs w:val="20"/>
          <w:bdr w:val="none" w:sz="0" w:space="0" w:color="auto"/>
        </w:rPr>
        <w:t xml:space="preserve">of </w:t>
      </w:r>
      <w:r w:rsidR="00201280" w:rsidRPr="00A51861">
        <w:rPr>
          <w:rFonts w:ascii="Cambria" w:eastAsia="Calibri" w:hAnsi="Cambria"/>
          <w:sz w:val="20"/>
          <w:szCs w:val="20"/>
          <w:bdr w:val="none" w:sz="0" w:space="0" w:color="auto"/>
        </w:rPr>
        <w:t xml:space="preserve">migrant </w:t>
      </w:r>
      <w:r w:rsidR="00EC7A58">
        <w:rPr>
          <w:rFonts w:ascii="Cambria" w:eastAsia="Calibri" w:hAnsi="Cambria"/>
          <w:sz w:val="20"/>
          <w:szCs w:val="20"/>
          <w:bdr w:val="none" w:sz="0" w:space="0" w:color="auto"/>
        </w:rPr>
        <w:t>persons</w:t>
      </w:r>
      <w:r w:rsidR="00773B3C" w:rsidRPr="00A51861">
        <w:rPr>
          <w:rFonts w:ascii="Cambria" w:eastAsia="Calibri" w:hAnsi="Cambria"/>
          <w:sz w:val="20"/>
          <w:szCs w:val="20"/>
          <w:bdr w:val="none" w:sz="0" w:space="0" w:color="auto"/>
        </w:rPr>
        <w:t xml:space="preserve"> </w:t>
      </w:r>
      <w:r w:rsidR="00201280">
        <w:rPr>
          <w:rFonts w:ascii="Cambria" w:eastAsia="Calibri" w:hAnsi="Cambria"/>
          <w:sz w:val="20"/>
          <w:szCs w:val="20"/>
          <w:bdr w:val="none" w:sz="0" w:space="0" w:color="auto"/>
        </w:rPr>
        <w:t>in the</w:t>
      </w:r>
      <w:r w:rsidR="00773B3C" w:rsidRPr="00A51861">
        <w:rPr>
          <w:rFonts w:ascii="Cambria" w:eastAsia="Calibri" w:hAnsi="Cambria"/>
          <w:sz w:val="20"/>
          <w:szCs w:val="20"/>
          <w:bdr w:val="none" w:sz="0" w:space="0" w:color="auto"/>
        </w:rPr>
        <w:t xml:space="preserve"> </w:t>
      </w:r>
      <w:r w:rsidR="00E92985">
        <w:rPr>
          <w:rFonts w:ascii="Cambria" w:eastAsia="Calibri" w:hAnsi="Cambria"/>
          <w:sz w:val="20"/>
          <w:szCs w:val="20"/>
          <w:bdr w:val="none" w:sz="0" w:space="0" w:color="auto"/>
        </w:rPr>
        <w:t xml:space="preserve">Inter-American and </w:t>
      </w:r>
      <w:r w:rsidR="00773B3C" w:rsidRPr="00A51861">
        <w:rPr>
          <w:rFonts w:ascii="Cambria" w:eastAsia="Calibri" w:hAnsi="Cambria"/>
          <w:sz w:val="20"/>
          <w:szCs w:val="20"/>
          <w:bdr w:val="none" w:sz="0" w:space="0" w:color="auto"/>
        </w:rPr>
        <w:t>universal</w:t>
      </w:r>
      <w:r w:rsidR="00E92985">
        <w:rPr>
          <w:rFonts w:ascii="Cambria" w:eastAsia="Calibri" w:hAnsi="Cambria"/>
          <w:sz w:val="20"/>
          <w:szCs w:val="20"/>
          <w:bdr w:val="none" w:sz="0" w:space="0" w:color="auto"/>
        </w:rPr>
        <w:t xml:space="preserve"> </w:t>
      </w:r>
      <w:r w:rsidR="00201280">
        <w:rPr>
          <w:rFonts w:ascii="Cambria" w:eastAsia="Calibri" w:hAnsi="Cambria"/>
          <w:sz w:val="20"/>
          <w:szCs w:val="20"/>
          <w:bdr w:val="none" w:sz="0" w:space="0" w:color="auto"/>
        </w:rPr>
        <w:t xml:space="preserve">system </w:t>
      </w:r>
      <w:r w:rsidR="00E92985">
        <w:rPr>
          <w:rFonts w:ascii="Cambria" w:eastAsia="Calibri" w:hAnsi="Cambria"/>
          <w:sz w:val="20"/>
          <w:szCs w:val="20"/>
          <w:bdr w:val="none" w:sz="0" w:space="0" w:color="auto"/>
        </w:rPr>
        <w:t xml:space="preserve">of </w:t>
      </w:r>
      <w:r w:rsidR="00664D70">
        <w:rPr>
          <w:rFonts w:ascii="Cambria" w:eastAsia="Calibri" w:hAnsi="Cambria"/>
          <w:sz w:val="20"/>
          <w:szCs w:val="20"/>
          <w:bdr w:val="none" w:sz="0" w:space="0" w:color="auto"/>
        </w:rPr>
        <w:t>Human rights</w:t>
      </w:r>
      <w:r w:rsidR="00773B3C" w:rsidRPr="00A51861">
        <w:rPr>
          <w:rFonts w:ascii="Cambria" w:eastAsia="Calibri" w:hAnsi="Cambria"/>
          <w:sz w:val="20"/>
          <w:szCs w:val="20"/>
          <w:bdr w:val="none" w:sz="0" w:space="0" w:color="auto"/>
        </w:rPr>
        <w:t xml:space="preserve">, </w:t>
      </w:r>
      <w:r w:rsidR="00201280">
        <w:rPr>
          <w:rFonts w:ascii="Cambria" w:eastAsia="Calibri" w:hAnsi="Cambria"/>
          <w:sz w:val="20"/>
          <w:szCs w:val="20"/>
          <w:bdr w:val="none" w:sz="0" w:space="0" w:color="auto"/>
        </w:rPr>
        <w:t>in the sense that the States</w:t>
      </w:r>
      <w:r w:rsidR="00773B3C" w:rsidRPr="00A51861">
        <w:rPr>
          <w:rFonts w:ascii="Cambria" w:eastAsia="Calibri" w:hAnsi="Cambria"/>
          <w:sz w:val="20"/>
          <w:szCs w:val="20"/>
          <w:bdr w:val="none" w:sz="0" w:space="0" w:color="auto"/>
        </w:rPr>
        <w:t xml:space="preserve"> </w:t>
      </w:r>
      <w:r w:rsidR="00201280">
        <w:rPr>
          <w:rFonts w:ascii="Cambria" w:eastAsia="Calibri" w:hAnsi="Cambria"/>
          <w:sz w:val="20"/>
          <w:szCs w:val="20"/>
          <w:bdr w:val="none" w:sz="0" w:space="0" w:color="auto"/>
        </w:rPr>
        <w:t>are obliged to</w:t>
      </w:r>
      <w:r w:rsidR="00773B3C" w:rsidRPr="00A51861">
        <w:rPr>
          <w:rFonts w:ascii="Cambria" w:eastAsia="Calibri" w:hAnsi="Cambria"/>
          <w:sz w:val="20"/>
          <w:szCs w:val="20"/>
          <w:bdr w:val="none" w:sz="0" w:space="0" w:color="auto"/>
        </w:rPr>
        <w:t xml:space="preserve"> “</w:t>
      </w:r>
      <w:r w:rsidR="00201280">
        <w:rPr>
          <w:rFonts w:ascii="Cambria" w:eastAsia="Calibri" w:hAnsi="Cambria"/>
          <w:sz w:val="20"/>
          <w:szCs w:val="20"/>
          <w:bdr w:val="none" w:sz="0" w:space="0" w:color="auto"/>
        </w:rPr>
        <w:t>promote the</w:t>
      </w:r>
      <w:r w:rsidR="00773B3C" w:rsidRPr="00A51861">
        <w:rPr>
          <w:rFonts w:ascii="Cambria" w:eastAsia="Calibri" w:hAnsi="Cambria"/>
          <w:sz w:val="20"/>
          <w:szCs w:val="20"/>
          <w:bdr w:val="none" w:sz="0" w:space="0" w:color="auto"/>
        </w:rPr>
        <w:t xml:space="preserve"> </w:t>
      </w:r>
      <w:r w:rsidR="00201280">
        <w:rPr>
          <w:rFonts w:ascii="Cambria" w:hAnsi="Cambria"/>
          <w:color w:val="000000" w:themeColor="text1"/>
          <w:sz w:val="20"/>
          <w:szCs w:val="20"/>
        </w:rPr>
        <w:t>strengthening</w:t>
      </w:r>
      <w:r w:rsidR="00E92985">
        <w:rPr>
          <w:rFonts w:ascii="Cambria" w:eastAsia="Calibri" w:hAnsi="Cambria"/>
          <w:sz w:val="20"/>
          <w:szCs w:val="20"/>
          <w:bdr w:val="none" w:sz="0" w:space="0" w:color="auto"/>
        </w:rPr>
        <w:t xml:space="preserve"> of </w:t>
      </w:r>
      <w:r w:rsidR="00E668EE">
        <w:rPr>
          <w:rFonts w:ascii="Cambria" w:eastAsia="Calibri" w:hAnsi="Cambria"/>
          <w:sz w:val="20"/>
          <w:szCs w:val="20"/>
          <w:bdr w:val="none" w:sz="0" w:space="0" w:color="auto"/>
        </w:rPr>
        <w:t>h</w:t>
      </w:r>
      <w:r w:rsidR="00664D70">
        <w:rPr>
          <w:rFonts w:ascii="Cambria" w:eastAsia="Calibri" w:hAnsi="Cambria"/>
          <w:sz w:val="20"/>
          <w:szCs w:val="20"/>
          <w:bdr w:val="none" w:sz="0" w:space="0" w:color="auto"/>
        </w:rPr>
        <w:t>uman rights</w:t>
      </w:r>
      <w:r w:rsidR="00F4684B">
        <w:rPr>
          <w:rFonts w:ascii="Cambria" w:eastAsia="Calibri" w:hAnsi="Cambria"/>
          <w:sz w:val="20"/>
          <w:szCs w:val="20"/>
          <w:bdr w:val="none" w:sz="0" w:space="0" w:color="auto"/>
        </w:rPr>
        <w:t xml:space="preserve"> </w:t>
      </w:r>
      <w:r w:rsidR="00201280">
        <w:rPr>
          <w:rFonts w:ascii="Cambria" w:eastAsia="Calibri" w:hAnsi="Cambria"/>
          <w:sz w:val="20"/>
          <w:szCs w:val="20"/>
          <w:bdr w:val="none" w:sz="0" w:space="0" w:color="auto"/>
        </w:rPr>
        <w:t>as a</w:t>
      </w:r>
      <w:r w:rsidR="00773B3C" w:rsidRPr="00A51861">
        <w:rPr>
          <w:rFonts w:ascii="Cambria" w:eastAsia="Calibri" w:hAnsi="Cambria"/>
          <w:sz w:val="20"/>
          <w:szCs w:val="20"/>
          <w:bdr w:val="none" w:sz="0" w:space="0" w:color="auto"/>
        </w:rPr>
        <w:t xml:space="preserve"> central</w:t>
      </w:r>
      <w:r w:rsidR="00E92985">
        <w:rPr>
          <w:rFonts w:ascii="Cambria" w:eastAsia="Calibri" w:hAnsi="Cambria"/>
          <w:sz w:val="20"/>
          <w:szCs w:val="20"/>
          <w:bdr w:val="none" w:sz="0" w:space="0" w:color="auto"/>
        </w:rPr>
        <w:t xml:space="preserve"> </w:t>
      </w:r>
      <w:r w:rsidR="00201280" w:rsidRPr="00A51861">
        <w:rPr>
          <w:rFonts w:ascii="Cambria" w:eastAsia="Calibri" w:hAnsi="Cambria"/>
          <w:sz w:val="20"/>
          <w:szCs w:val="20"/>
          <w:bdr w:val="none" w:sz="0" w:space="0" w:color="auto"/>
        </w:rPr>
        <w:t xml:space="preserve">component </w:t>
      </w:r>
      <w:r w:rsidR="00E92985">
        <w:rPr>
          <w:rFonts w:ascii="Cambria" w:eastAsia="Calibri" w:hAnsi="Cambria"/>
          <w:sz w:val="20"/>
          <w:szCs w:val="20"/>
          <w:bdr w:val="none" w:sz="0" w:space="0" w:color="auto"/>
        </w:rPr>
        <w:t xml:space="preserve">of </w:t>
      </w:r>
      <w:r w:rsidR="00201280" w:rsidRPr="00A51861">
        <w:rPr>
          <w:rFonts w:ascii="Cambria" w:eastAsia="Calibri" w:hAnsi="Cambria"/>
          <w:sz w:val="20"/>
          <w:szCs w:val="20"/>
          <w:bdr w:val="none" w:sz="0" w:space="0" w:color="auto"/>
        </w:rPr>
        <w:t>migrat</w:t>
      </w:r>
      <w:r w:rsidR="00201280">
        <w:rPr>
          <w:rFonts w:ascii="Cambria" w:eastAsia="Calibri" w:hAnsi="Cambria"/>
          <w:sz w:val="20"/>
          <w:szCs w:val="20"/>
          <w:bdr w:val="none" w:sz="0" w:space="0" w:color="auto"/>
        </w:rPr>
        <w:t>ion policies</w:t>
      </w:r>
      <w:r w:rsidR="00E92985">
        <w:rPr>
          <w:rFonts w:ascii="Cambria" w:eastAsia="Calibri" w:hAnsi="Cambria"/>
          <w:sz w:val="20"/>
          <w:szCs w:val="20"/>
          <w:bdr w:val="none" w:sz="0" w:space="0" w:color="auto"/>
        </w:rPr>
        <w:t xml:space="preserve"> and </w:t>
      </w:r>
      <w:r w:rsidR="00201280" w:rsidRPr="00A51861">
        <w:rPr>
          <w:rFonts w:ascii="Cambria" w:eastAsia="Calibri" w:hAnsi="Cambria"/>
          <w:sz w:val="20"/>
          <w:szCs w:val="20"/>
          <w:bdr w:val="none" w:sz="0" w:space="0" w:color="auto"/>
        </w:rPr>
        <w:t>practices</w:t>
      </w:r>
      <w:r w:rsidR="00773B3C" w:rsidRPr="00A51861">
        <w:rPr>
          <w:rFonts w:ascii="Cambria" w:eastAsia="Calibri" w:hAnsi="Cambria"/>
          <w:sz w:val="20"/>
          <w:szCs w:val="20"/>
          <w:bdr w:val="none" w:sz="0" w:space="0" w:color="auto"/>
        </w:rPr>
        <w:t xml:space="preserve"> </w:t>
      </w:r>
      <w:r w:rsidR="00E92985">
        <w:rPr>
          <w:rFonts w:ascii="Cambria" w:eastAsia="Calibri" w:hAnsi="Cambria"/>
          <w:sz w:val="20"/>
          <w:szCs w:val="20"/>
          <w:bdr w:val="none" w:sz="0" w:space="0" w:color="auto"/>
        </w:rPr>
        <w:t xml:space="preserve">of </w:t>
      </w:r>
      <w:r w:rsidR="00201280">
        <w:rPr>
          <w:rFonts w:ascii="Cambria" w:eastAsia="Calibri" w:hAnsi="Cambria"/>
          <w:sz w:val="20"/>
          <w:szCs w:val="20"/>
          <w:bdr w:val="none" w:sz="0" w:space="0" w:color="auto"/>
        </w:rPr>
        <w:t>countries of origin</w:t>
      </w:r>
      <w:r w:rsidR="00773B3C" w:rsidRPr="00A51861">
        <w:rPr>
          <w:rFonts w:ascii="Cambria" w:eastAsia="Calibri" w:hAnsi="Cambria"/>
          <w:sz w:val="20"/>
          <w:szCs w:val="20"/>
          <w:bdr w:val="none" w:sz="0" w:space="0" w:color="auto"/>
        </w:rPr>
        <w:t>,</w:t>
      </w:r>
      <w:r w:rsidR="00E92985">
        <w:rPr>
          <w:rFonts w:ascii="Cambria" w:eastAsia="Calibri" w:hAnsi="Cambria"/>
          <w:sz w:val="20"/>
          <w:szCs w:val="20"/>
          <w:bdr w:val="none" w:sz="0" w:space="0" w:color="auto"/>
        </w:rPr>
        <w:t xml:space="preserve"> of </w:t>
      </w:r>
      <w:r w:rsidR="00201280">
        <w:rPr>
          <w:rFonts w:ascii="Cambria" w:eastAsia="Calibri" w:hAnsi="Cambria"/>
          <w:sz w:val="20"/>
          <w:szCs w:val="20"/>
          <w:bdr w:val="none" w:sz="0" w:space="0" w:color="auto"/>
        </w:rPr>
        <w:t>movement</w:t>
      </w:r>
      <w:r w:rsidR="00E92985">
        <w:rPr>
          <w:rFonts w:ascii="Cambria" w:eastAsia="Calibri" w:hAnsi="Cambria"/>
          <w:sz w:val="20"/>
          <w:szCs w:val="20"/>
          <w:bdr w:val="none" w:sz="0" w:space="0" w:color="auto"/>
        </w:rPr>
        <w:t xml:space="preserve"> and of </w:t>
      </w:r>
      <w:r w:rsidR="00201280">
        <w:rPr>
          <w:rFonts w:ascii="Cambria" w:eastAsia="Calibri" w:hAnsi="Cambria"/>
          <w:sz w:val="20"/>
          <w:szCs w:val="20"/>
          <w:bdr w:val="none" w:sz="0" w:space="0" w:color="auto"/>
        </w:rPr>
        <w:t>destination</w:t>
      </w:r>
      <w:r w:rsidR="00773B3C" w:rsidRPr="00A51861">
        <w:rPr>
          <w:rFonts w:ascii="Cambria" w:eastAsia="Calibri" w:hAnsi="Cambria"/>
          <w:sz w:val="20"/>
          <w:szCs w:val="20"/>
          <w:bdr w:val="none" w:sz="0" w:space="0" w:color="auto"/>
        </w:rPr>
        <w:t xml:space="preserve">, </w:t>
      </w:r>
      <w:r w:rsidR="00201280">
        <w:rPr>
          <w:rFonts w:ascii="Cambria" w:eastAsia="Calibri" w:hAnsi="Cambria"/>
          <w:sz w:val="20"/>
          <w:szCs w:val="20"/>
          <w:bdr w:val="none" w:sz="0" w:space="0" w:color="auto"/>
        </w:rPr>
        <w:t>ensuring</w:t>
      </w:r>
      <w:r w:rsidR="009A4F91">
        <w:rPr>
          <w:rFonts w:ascii="Cambria" w:eastAsia="Calibri" w:hAnsi="Cambria"/>
          <w:sz w:val="20"/>
          <w:szCs w:val="20"/>
          <w:bdr w:val="none" w:sz="0" w:space="0" w:color="auto"/>
        </w:rPr>
        <w:t xml:space="preserve"> the </w:t>
      </w:r>
      <w:r w:rsidR="00EF4ED2">
        <w:rPr>
          <w:rFonts w:ascii="Cambria" w:eastAsia="Calibri" w:hAnsi="Cambria"/>
          <w:sz w:val="20"/>
          <w:szCs w:val="20"/>
          <w:bdr w:val="none" w:sz="0" w:space="0" w:color="auto"/>
        </w:rPr>
        <w:t>protection</w:t>
      </w:r>
      <w:r w:rsidR="00E92985">
        <w:rPr>
          <w:rFonts w:ascii="Cambria" w:eastAsia="Calibri" w:hAnsi="Cambria"/>
          <w:sz w:val="20"/>
          <w:szCs w:val="20"/>
          <w:bdr w:val="none" w:sz="0" w:space="0" w:color="auto"/>
        </w:rPr>
        <w:t xml:space="preserve"> of </w:t>
      </w:r>
      <w:r w:rsidR="00201280">
        <w:rPr>
          <w:rFonts w:ascii="Cambria" w:eastAsia="Calibri" w:hAnsi="Cambria"/>
          <w:sz w:val="20"/>
          <w:szCs w:val="20"/>
          <w:bdr w:val="none" w:sz="0" w:space="0" w:color="auto"/>
        </w:rPr>
        <w:t xml:space="preserve">the </w:t>
      </w:r>
      <w:r w:rsidR="00664D70">
        <w:rPr>
          <w:rFonts w:ascii="Cambria" w:eastAsia="Calibri" w:hAnsi="Cambria"/>
          <w:sz w:val="20"/>
          <w:szCs w:val="20"/>
          <w:bdr w:val="none" w:sz="0" w:space="0" w:color="auto"/>
        </w:rPr>
        <w:t>Human rights</w:t>
      </w:r>
      <w:r w:rsidR="00F4684B">
        <w:rPr>
          <w:rFonts w:ascii="Cambria" w:eastAsia="Calibri" w:hAnsi="Cambria"/>
          <w:sz w:val="20"/>
          <w:szCs w:val="20"/>
          <w:bdr w:val="none" w:sz="0" w:space="0" w:color="auto"/>
        </w:rPr>
        <w:t xml:space="preserve"> </w:t>
      </w:r>
      <w:r w:rsidR="00E92985">
        <w:rPr>
          <w:rFonts w:ascii="Cambria" w:eastAsia="Calibri" w:hAnsi="Cambria"/>
          <w:sz w:val="20"/>
          <w:szCs w:val="20"/>
          <w:bdr w:val="none" w:sz="0" w:space="0" w:color="auto"/>
        </w:rPr>
        <w:t xml:space="preserve">of </w:t>
      </w:r>
      <w:r w:rsidR="00773B3C" w:rsidRPr="00A51861">
        <w:rPr>
          <w:rFonts w:ascii="Cambria" w:eastAsia="Calibri" w:hAnsi="Cambria"/>
          <w:sz w:val="20"/>
          <w:szCs w:val="20"/>
          <w:bdr w:val="none" w:sz="0" w:space="0" w:color="auto"/>
        </w:rPr>
        <w:t xml:space="preserve">migrants </w:t>
      </w:r>
      <w:r w:rsidR="00201280">
        <w:rPr>
          <w:rFonts w:ascii="Cambria" w:eastAsia="Calibri" w:hAnsi="Cambria"/>
          <w:sz w:val="20"/>
          <w:szCs w:val="20"/>
          <w:bdr w:val="none" w:sz="0" w:space="0" w:color="auto"/>
        </w:rPr>
        <w:t>in the legal system of each State</w:t>
      </w:r>
      <w:r w:rsidR="00773B3C" w:rsidRPr="00A51861">
        <w:rPr>
          <w:rFonts w:ascii="Cambria" w:eastAsia="Calibri" w:hAnsi="Cambria"/>
          <w:sz w:val="20"/>
          <w:szCs w:val="20"/>
          <w:bdr w:val="none" w:sz="0" w:space="0" w:color="auto"/>
        </w:rPr>
        <w:t xml:space="preserve">, </w:t>
      </w:r>
      <w:r w:rsidR="00201280">
        <w:rPr>
          <w:rFonts w:ascii="Cambria" w:eastAsia="Calibri" w:hAnsi="Cambria"/>
          <w:sz w:val="20"/>
          <w:szCs w:val="20"/>
          <w:bdr w:val="none" w:sz="0" w:space="0" w:color="auto"/>
        </w:rPr>
        <w:t>regardless of their</w:t>
      </w:r>
      <w:r w:rsidR="00773B3C" w:rsidRPr="00A51861">
        <w:rPr>
          <w:rFonts w:ascii="Cambria" w:eastAsia="Calibri" w:hAnsi="Cambria"/>
          <w:sz w:val="20"/>
          <w:szCs w:val="20"/>
          <w:bdr w:val="none" w:sz="0" w:space="0" w:color="auto"/>
        </w:rPr>
        <w:t xml:space="preserve"> </w:t>
      </w:r>
      <w:r w:rsidR="00201280" w:rsidRPr="00A51861">
        <w:rPr>
          <w:rFonts w:ascii="Cambria" w:eastAsia="Calibri" w:hAnsi="Cambria"/>
          <w:sz w:val="20"/>
          <w:szCs w:val="20"/>
          <w:bdr w:val="none" w:sz="0" w:space="0" w:color="auto"/>
        </w:rPr>
        <w:t>migrat</w:t>
      </w:r>
      <w:r w:rsidR="00201280">
        <w:rPr>
          <w:rFonts w:ascii="Cambria" w:eastAsia="Calibri" w:hAnsi="Cambria"/>
          <w:sz w:val="20"/>
          <w:szCs w:val="20"/>
          <w:bdr w:val="none" w:sz="0" w:space="0" w:color="auto"/>
        </w:rPr>
        <w:t>ion</w:t>
      </w:r>
      <w:r w:rsidR="00201280" w:rsidRPr="00A51861">
        <w:rPr>
          <w:rFonts w:ascii="Cambria" w:eastAsia="Calibri" w:hAnsi="Cambria"/>
          <w:sz w:val="20"/>
          <w:szCs w:val="20"/>
          <w:bdr w:val="none" w:sz="0" w:space="0" w:color="auto"/>
        </w:rPr>
        <w:t xml:space="preserve"> </w:t>
      </w:r>
      <w:r w:rsidR="00773B3C" w:rsidRPr="00A51861">
        <w:rPr>
          <w:rFonts w:ascii="Cambria" w:eastAsia="Calibri" w:hAnsi="Cambria"/>
          <w:sz w:val="20"/>
          <w:szCs w:val="20"/>
          <w:bdr w:val="none" w:sz="0" w:space="0" w:color="auto"/>
        </w:rPr>
        <w:t>condi</w:t>
      </w:r>
      <w:r w:rsidR="00201280">
        <w:rPr>
          <w:rFonts w:ascii="Cambria" w:eastAsia="Calibri" w:hAnsi="Cambria"/>
          <w:sz w:val="20"/>
          <w:szCs w:val="20"/>
          <w:bdr w:val="none" w:sz="0" w:space="0" w:color="auto"/>
        </w:rPr>
        <w:t>tio</w:t>
      </w:r>
      <w:r w:rsidR="00773B3C" w:rsidRPr="00A51861">
        <w:rPr>
          <w:rFonts w:ascii="Cambria" w:eastAsia="Calibri" w:hAnsi="Cambria"/>
          <w:sz w:val="20"/>
          <w:szCs w:val="20"/>
          <w:bdr w:val="none" w:sz="0" w:space="0" w:color="auto"/>
        </w:rPr>
        <w:t>n,</w:t>
      </w:r>
      <w:r w:rsidR="00E92985">
        <w:rPr>
          <w:rFonts w:ascii="Cambria" w:eastAsia="Calibri" w:hAnsi="Cambria"/>
          <w:sz w:val="20"/>
          <w:szCs w:val="20"/>
          <w:bdr w:val="none" w:sz="0" w:space="0" w:color="auto"/>
        </w:rPr>
        <w:t xml:space="preserve"> and </w:t>
      </w:r>
      <w:r w:rsidR="00201280">
        <w:rPr>
          <w:rFonts w:ascii="Cambria" w:eastAsia="Calibri" w:hAnsi="Cambria"/>
          <w:sz w:val="20"/>
          <w:szCs w:val="20"/>
          <w:bdr w:val="none" w:sz="0" w:space="0" w:color="auto"/>
        </w:rPr>
        <w:t>whichever their</w:t>
      </w:r>
      <w:r w:rsidR="00773B3C" w:rsidRPr="00A51861">
        <w:rPr>
          <w:rFonts w:ascii="Cambria" w:eastAsia="Calibri" w:hAnsi="Cambria"/>
          <w:sz w:val="20"/>
          <w:szCs w:val="20"/>
          <w:bdr w:val="none" w:sz="0" w:space="0" w:color="auto"/>
        </w:rPr>
        <w:t xml:space="preserve"> </w:t>
      </w:r>
      <w:r w:rsidR="00D64B7E">
        <w:rPr>
          <w:rFonts w:ascii="Cambria" w:eastAsia="Calibri" w:hAnsi="Cambria"/>
          <w:sz w:val="20"/>
          <w:szCs w:val="20"/>
          <w:bdr w:val="none" w:sz="0" w:space="0" w:color="auto"/>
        </w:rPr>
        <w:t>nationality</w:t>
      </w:r>
      <w:r w:rsidR="00773B3C" w:rsidRPr="00A51861">
        <w:rPr>
          <w:rFonts w:ascii="Cambria" w:eastAsia="Calibri" w:hAnsi="Cambria"/>
          <w:sz w:val="20"/>
          <w:szCs w:val="20"/>
          <w:bdr w:val="none" w:sz="0" w:space="0" w:color="auto"/>
        </w:rPr>
        <w:t xml:space="preserve">, </w:t>
      </w:r>
      <w:r w:rsidR="00201280" w:rsidRPr="00A51861">
        <w:rPr>
          <w:rFonts w:ascii="Cambria" w:eastAsia="Calibri" w:hAnsi="Cambria"/>
          <w:sz w:val="20"/>
          <w:szCs w:val="20"/>
          <w:bdr w:val="none" w:sz="0" w:space="0" w:color="auto"/>
        </w:rPr>
        <w:t>ethnic</w:t>
      </w:r>
      <w:r w:rsidR="00201280" w:rsidRPr="00201280">
        <w:rPr>
          <w:rFonts w:ascii="Cambria" w:eastAsia="Calibri" w:hAnsi="Cambria"/>
          <w:sz w:val="20"/>
          <w:szCs w:val="20"/>
          <w:bdr w:val="none" w:sz="0" w:space="0" w:color="auto"/>
        </w:rPr>
        <w:t xml:space="preserve"> </w:t>
      </w:r>
      <w:r w:rsidR="00201280" w:rsidRPr="00A51861">
        <w:rPr>
          <w:rFonts w:ascii="Cambria" w:eastAsia="Calibri" w:hAnsi="Cambria"/>
          <w:sz w:val="20"/>
          <w:szCs w:val="20"/>
          <w:bdr w:val="none" w:sz="0" w:space="0" w:color="auto"/>
        </w:rPr>
        <w:t>origin</w:t>
      </w:r>
      <w:r w:rsidR="00773B3C" w:rsidRPr="00A51861">
        <w:rPr>
          <w:rFonts w:ascii="Cambria" w:eastAsia="Calibri" w:hAnsi="Cambria"/>
          <w:sz w:val="20"/>
          <w:szCs w:val="20"/>
          <w:bdr w:val="none" w:sz="0" w:space="0" w:color="auto"/>
        </w:rPr>
        <w:t xml:space="preserve">, </w:t>
      </w:r>
      <w:r w:rsidR="00201280">
        <w:rPr>
          <w:rFonts w:ascii="Cambria" w:eastAsia="Calibri" w:hAnsi="Cambria"/>
          <w:sz w:val="20"/>
          <w:szCs w:val="20"/>
          <w:bdr w:val="none" w:sz="0" w:space="0" w:color="auto"/>
        </w:rPr>
        <w:t>gender</w:t>
      </w:r>
      <w:r w:rsidR="00E92985">
        <w:rPr>
          <w:rFonts w:ascii="Cambria" w:eastAsia="Calibri" w:hAnsi="Cambria"/>
          <w:sz w:val="20"/>
          <w:szCs w:val="20"/>
          <w:bdr w:val="none" w:sz="0" w:space="0" w:color="auto"/>
        </w:rPr>
        <w:t xml:space="preserve"> or </w:t>
      </w:r>
      <w:r w:rsidR="00201280">
        <w:rPr>
          <w:rFonts w:ascii="Cambria" w:eastAsia="Calibri" w:hAnsi="Cambria"/>
          <w:sz w:val="20"/>
          <w:szCs w:val="20"/>
          <w:bdr w:val="none" w:sz="0" w:space="0" w:color="auto"/>
        </w:rPr>
        <w:t>ag</w:t>
      </w:r>
      <w:r w:rsidR="00773B3C" w:rsidRPr="00A51861">
        <w:rPr>
          <w:rFonts w:ascii="Cambria" w:eastAsia="Calibri" w:hAnsi="Cambria"/>
          <w:sz w:val="20"/>
          <w:szCs w:val="20"/>
          <w:bdr w:val="none" w:sz="0" w:space="0" w:color="auto"/>
        </w:rPr>
        <w:t>e”</w:t>
      </w:r>
      <w:r w:rsidR="00773B3C" w:rsidRPr="00A51861">
        <w:rPr>
          <w:rFonts w:ascii="Cambria" w:eastAsia="Calibri" w:hAnsi="Cambria"/>
          <w:sz w:val="20"/>
          <w:szCs w:val="20"/>
          <w:bdr w:val="none" w:sz="0" w:space="0" w:color="auto"/>
          <w:vertAlign w:val="superscript"/>
        </w:rPr>
        <w:footnoteReference w:id="173"/>
      </w:r>
      <w:r w:rsidR="00773B3C" w:rsidRPr="00A51861">
        <w:rPr>
          <w:rFonts w:ascii="Cambria" w:eastAsia="Calibri" w:hAnsi="Cambria"/>
          <w:sz w:val="20"/>
          <w:szCs w:val="20"/>
          <w:bdr w:val="none" w:sz="0" w:space="0" w:color="auto"/>
        </w:rPr>
        <w:t>.</w:t>
      </w:r>
      <w:r w:rsidR="00FC257E">
        <w:rPr>
          <w:rFonts w:ascii="Cambria" w:eastAsia="Calibri" w:hAnsi="Cambria"/>
          <w:sz w:val="20"/>
          <w:szCs w:val="20"/>
          <w:bdr w:val="none" w:sz="0" w:space="0" w:color="auto"/>
        </w:rPr>
        <w:t xml:space="preserve"> Likewise, </w:t>
      </w:r>
      <w:r w:rsidR="00201280">
        <w:rPr>
          <w:rFonts w:ascii="Cambria" w:eastAsia="Calibri" w:hAnsi="Cambria"/>
          <w:sz w:val="20"/>
          <w:szCs w:val="20"/>
          <w:bdr w:val="none" w:sz="0" w:space="0" w:color="auto"/>
        </w:rPr>
        <w:t xml:space="preserve">they have </w:t>
      </w:r>
      <w:r w:rsidR="00773B3C" w:rsidRPr="00A51861">
        <w:rPr>
          <w:rFonts w:ascii="Cambria" w:eastAsia="Calibri" w:hAnsi="Cambria"/>
          <w:sz w:val="20"/>
          <w:szCs w:val="20"/>
          <w:bdr w:val="none" w:sz="0" w:space="0" w:color="auto"/>
        </w:rPr>
        <w:t>reitera</w:t>
      </w:r>
      <w:r w:rsidR="00201280">
        <w:rPr>
          <w:rFonts w:ascii="Cambria" w:eastAsia="Calibri" w:hAnsi="Cambria"/>
          <w:sz w:val="20"/>
          <w:szCs w:val="20"/>
          <w:bdr w:val="none" w:sz="0" w:space="0" w:color="auto"/>
        </w:rPr>
        <w:t>te</w:t>
      </w:r>
      <w:r w:rsidR="00773B3C" w:rsidRPr="00A51861">
        <w:rPr>
          <w:rFonts w:ascii="Cambria" w:eastAsia="Calibri" w:hAnsi="Cambria"/>
          <w:sz w:val="20"/>
          <w:szCs w:val="20"/>
          <w:bdr w:val="none" w:sz="0" w:space="0" w:color="auto"/>
        </w:rPr>
        <w:t xml:space="preserve">d </w:t>
      </w:r>
      <w:r w:rsidR="00201280">
        <w:rPr>
          <w:rFonts w:ascii="Cambria" w:eastAsia="Calibri" w:hAnsi="Cambria"/>
          <w:sz w:val="20"/>
          <w:szCs w:val="20"/>
          <w:bdr w:val="none" w:sz="0" w:space="0" w:color="auto"/>
        </w:rPr>
        <w:t>their commitment with</w:t>
      </w:r>
      <w:r w:rsidR="00773B3C" w:rsidRPr="00A51861">
        <w:rPr>
          <w:rFonts w:ascii="Cambria" w:eastAsia="Calibri" w:hAnsi="Cambria"/>
          <w:sz w:val="20"/>
          <w:szCs w:val="20"/>
          <w:bdr w:val="none" w:sz="0" w:space="0" w:color="auto"/>
        </w:rPr>
        <w:t xml:space="preserve"> </w:t>
      </w:r>
      <w:r w:rsidR="00EC7A58">
        <w:rPr>
          <w:rFonts w:ascii="Cambria" w:eastAsia="Calibri" w:hAnsi="Cambria"/>
          <w:sz w:val="20"/>
          <w:szCs w:val="20"/>
          <w:bdr w:val="none" w:sz="0" w:space="0" w:color="auto"/>
        </w:rPr>
        <w:t>persons</w:t>
      </w:r>
      <w:r w:rsidR="00773B3C" w:rsidRPr="00A51861">
        <w:rPr>
          <w:rFonts w:ascii="Cambria" w:eastAsia="Calibri" w:hAnsi="Cambria"/>
          <w:sz w:val="20"/>
          <w:szCs w:val="20"/>
          <w:bdr w:val="none" w:sz="0" w:space="0" w:color="auto"/>
        </w:rPr>
        <w:t xml:space="preserve"> </w:t>
      </w:r>
      <w:r w:rsidR="00201280">
        <w:rPr>
          <w:rFonts w:ascii="Cambria" w:eastAsia="Calibri" w:hAnsi="Cambria"/>
          <w:sz w:val="20"/>
          <w:szCs w:val="20"/>
          <w:bdr w:val="none" w:sz="0" w:space="0" w:color="auto"/>
        </w:rPr>
        <w:t>who have the right to</w:t>
      </w:r>
      <w:r w:rsidR="009A4F91">
        <w:rPr>
          <w:rFonts w:ascii="Cambria" w:eastAsia="Calibri" w:hAnsi="Cambria"/>
          <w:sz w:val="20"/>
          <w:szCs w:val="20"/>
          <w:bdr w:val="none" w:sz="0" w:space="0" w:color="auto"/>
        </w:rPr>
        <w:t xml:space="preserve"> </w:t>
      </w:r>
      <w:r w:rsidR="00EF4ED2">
        <w:rPr>
          <w:rFonts w:ascii="Cambria" w:eastAsia="Calibri" w:hAnsi="Cambria"/>
          <w:sz w:val="20"/>
          <w:szCs w:val="20"/>
          <w:bdr w:val="none" w:sz="0" w:space="0" w:color="auto"/>
        </w:rPr>
        <w:t>international protection</w:t>
      </w:r>
      <w:r w:rsidR="00E92985">
        <w:rPr>
          <w:rFonts w:ascii="Cambria" w:eastAsia="Calibri" w:hAnsi="Cambria"/>
          <w:sz w:val="20"/>
          <w:szCs w:val="20"/>
          <w:bdr w:val="none" w:sz="0" w:space="0" w:color="auto"/>
        </w:rPr>
        <w:t xml:space="preserve"> of </w:t>
      </w:r>
      <w:r w:rsidR="00201280">
        <w:rPr>
          <w:rFonts w:ascii="Cambria" w:eastAsia="Calibri" w:hAnsi="Cambria"/>
          <w:sz w:val="20"/>
          <w:szCs w:val="20"/>
          <w:bdr w:val="none" w:sz="0" w:space="0" w:color="auto"/>
        </w:rPr>
        <w:t>refugees in Latin America</w:t>
      </w:r>
      <w:r w:rsidR="00773B3C" w:rsidRPr="00A51861">
        <w:rPr>
          <w:rFonts w:ascii="Cambria" w:eastAsia="Calibri" w:hAnsi="Cambria"/>
          <w:sz w:val="20"/>
          <w:szCs w:val="20"/>
          <w:bdr w:val="none" w:sz="0" w:space="0" w:color="auto"/>
        </w:rPr>
        <w:t xml:space="preserve">. </w:t>
      </w:r>
      <w:r w:rsidR="00201280">
        <w:rPr>
          <w:rFonts w:ascii="Cambria" w:eastAsia="Calibri" w:hAnsi="Cambria"/>
          <w:sz w:val="20"/>
          <w:szCs w:val="20"/>
          <w:bdr w:val="none" w:sz="0" w:space="0" w:color="auto"/>
        </w:rPr>
        <w:t>The aforesaid involves the urgent need to</w:t>
      </w:r>
      <w:r w:rsidR="00E92985">
        <w:rPr>
          <w:rFonts w:ascii="Cambria" w:eastAsia="Calibri" w:hAnsi="Cambria"/>
          <w:sz w:val="20"/>
          <w:szCs w:val="20"/>
          <w:bdr w:val="none" w:sz="0" w:space="0" w:color="auto"/>
        </w:rPr>
        <w:t xml:space="preserve"> </w:t>
      </w:r>
      <w:r w:rsidR="00773B3C" w:rsidRPr="00A51861">
        <w:rPr>
          <w:rFonts w:ascii="Cambria" w:eastAsia="Calibri" w:hAnsi="Cambria"/>
          <w:sz w:val="20"/>
          <w:szCs w:val="20"/>
          <w:bdr w:val="none" w:sz="0" w:space="0" w:color="auto"/>
        </w:rPr>
        <w:t xml:space="preserve">adopt </w:t>
      </w:r>
      <w:r w:rsidR="002D6E83">
        <w:rPr>
          <w:rFonts w:ascii="Cambria" w:eastAsia="Calibri" w:hAnsi="Cambria"/>
          <w:sz w:val="20"/>
          <w:szCs w:val="20"/>
          <w:bdr w:val="none" w:sz="0" w:space="0" w:color="auto"/>
        </w:rPr>
        <w:t>a</w:t>
      </w:r>
      <w:r w:rsidR="00E92985">
        <w:rPr>
          <w:rFonts w:ascii="Cambria" w:eastAsia="Calibri" w:hAnsi="Cambria"/>
          <w:sz w:val="20"/>
          <w:szCs w:val="20"/>
          <w:bdr w:val="none" w:sz="0" w:space="0" w:color="auto"/>
        </w:rPr>
        <w:t xml:space="preserve"> </w:t>
      </w:r>
      <w:r w:rsidR="00664D70">
        <w:rPr>
          <w:rFonts w:ascii="Cambria" w:eastAsia="Calibri" w:hAnsi="Cambria"/>
          <w:sz w:val="20"/>
          <w:szCs w:val="20"/>
          <w:bdr w:val="none" w:sz="0" w:space="0" w:color="auto"/>
        </w:rPr>
        <w:t>Human rights</w:t>
      </w:r>
      <w:r w:rsidR="00F4684B">
        <w:rPr>
          <w:rFonts w:ascii="Cambria" w:eastAsia="Calibri" w:hAnsi="Cambria"/>
          <w:sz w:val="20"/>
          <w:szCs w:val="20"/>
          <w:bdr w:val="none" w:sz="0" w:space="0" w:color="auto"/>
        </w:rPr>
        <w:t xml:space="preserve"> </w:t>
      </w:r>
      <w:r w:rsidR="002D6E83">
        <w:rPr>
          <w:rFonts w:ascii="Cambria" w:eastAsia="Calibri" w:hAnsi="Cambria"/>
          <w:sz w:val="20"/>
          <w:szCs w:val="20"/>
          <w:bdr w:val="none" w:sz="0" w:space="0" w:color="auto"/>
        </w:rPr>
        <w:t xml:space="preserve">approach </w:t>
      </w:r>
      <w:r w:rsidR="00773B3C" w:rsidRPr="00A51861">
        <w:rPr>
          <w:rFonts w:ascii="Cambria" w:eastAsia="Calibri" w:hAnsi="Cambria"/>
          <w:sz w:val="20"/>
          <w:szCs w:val="20"/>
          <w:bdr w:val="none" w:sz="0" w:space="0" w:color="auto"/>
        </w:rPr>
        <w:lastRenderedPageBreak/>
        <w:t>co</w:t>
      </w:r>
      <w:r w:rsidR="002D6E83">
        <w:rPr>
          <w:rFonts w:ascii="Cambria" w:eastAsia="Calibri" w:hAnsi="Cambria"/>
          <w:sz w:val="20"/>
          <w:szCs w:val="20"/>
          <w:bdr w:val="none" w:sz="0" w:space="0" w:color="auto"/>
        </w:rPr>
        <w:t>ncerning migration policies</w:t>
      </w:r>
      <w:r w:rsidR="00E92985">
        <w:rPr>
          <w:rFonts w:ascii="Cambria" w:eastAsia="Calibri" w:hAnsi="Cambria"/>
          <w:sz w:val="20"/>
          <w:szCs w:val="20"/>
          <w:bdr w:val="none" w:sz="0" w:space="0" w:color="auto"/>
        </w:rPr>
        <w:t xml:space="preserve"> and </w:t>
      </w:r>
      <w:r w:rsidR="002D6E83">
        <w:rPr>
          <w:rFonts w:ascii="Cambria" w:eastAsia="Calibri" w:hAnsi="Cambria"/>
          <w:sz w:val="20"/>
          <w:szCs w:val="20"/>
          <w:bdr w:val="none" w:sz="0" w:space="0" w:color="auto"/>
        </w:rPr>
        <w:t>in regard to the needs of</w:t>
      </w:r>
      <w:r w:rsidR="00E92985">
        <w:rPr>
          <w:rFonts w:ascii="Cambria" w:eastAsia="Calibri" w:hAnsi="Cambria"/>
          <w:sz w:val="20"/>
          <w:szCs w:val="20"/>
          <w:bdr w:val="none" w:sz="0" w:space="0" w:color="auto"/>
        </w:rPr>
        <w:t xml:space="preserve"> </w:t>
      </w:r>
      <w:r w:rsidR="00EF4ED2">
        <w:rPr>
          <w:rFonts w:ascii="Cambria" w:eastAsia="Calibri" w:hAnsi="Cambria"/>
          <w:sz w:val="20"/>
          <w:szCs w:val="20"/>
          <w:bdr w:val="none" w:sz="0" w:space="0" w:color="auto"/>
        </w:rPr>
        <w:t>international protection</w:t>
      </w:r>
      <w:r w:rsidR="00773B3C" w:rsidRPr="00A51861">
        <w:rPr>
          <w:rFonts w:ascii="Cambria" w:eastAsia="Calibri" w:hAnsi="Cambria"/>
          <w:sz w:val="20"/>
          <w:szCs w:val="20"/>
          <w:bdr w:val="none" w:sz="0" w:space="0" w:color="auto"/>
          <w:vertAlign w:val="superscript"/>
        </w:rPr>
        <w:footnoteReference w:id="174"/>
      </w:r>
      <w:r w:rsidR="00773B3C" w:rsidRPr="00A51861">
        <w:rPr>
          <w:rFonts w:ascii="Cambria" w:eastAsia="Calibri" w:hAnsi="Cambria"/>
          <w:sz w:val="20"/>
          <w:szCs w:val="20"/>
          <w:bdr w:val="none" w:sz="0" w:space="0" w:color="auto"/>
        </w:rPr>
        <w:t xml:space="preserve">, </w:t>
      </w:r>
      <w:r w:rsidR="002D6E83">
        <w:rPr>
          <w:rFonts w:ascii="Cambria" w:eastAsia="Calibri" w:hAnsi="Cambria"/>
          <w:sz w:val="20"/>
          <w:szCs w:val="20"/>
          <w:bdr w:val="none" w:sz="0" w:space="0" w:color="auto"/>
        </w:rPr>
        <w:t>which undoubtedly must serve as a</w:t>
      </w:r>
      <w:r w:rsidR="00E92985">
        <w:rPr>
          <w:rFonts w:ascii="Cambria" w:eastAsia="Calibri" w:hAnsi="Cambria"/>
          <w:sz w:val="20"/>
          <w:szCs w:val="20"/>
          <w:bdr w:val="none" w:sz="0" w:space="0" w:color="auto"/>
        </w:rPr>
        <w:t xml:space="preserve"> </w:t>
      </w:r>
      <w:r w:rsidR="00773B3C" w:rsidRPr="00A51861">
        <w:rPr>
          <w:rFonts w:ascii="Cambria" w:eastAsia="Calibri" w:hAnsi="Cambria"/>
          <w:sz w:val="20"/>
          <w:szCs w:val="20"/>
          <w:bdr w:val="none" w:sz="0" w:space="0" w:color="auto"/>
        </w:rPr>
        <w:t>base</w:t>
      </w:r>
      <w:r w:rsidR="00E92985">
        <w:rPr>
          <w:rFonts w:ascii="Cambria" w:eastAsia="Calibri" w:hAnsi="Cambria"/>
          <w:sz w:val="20"/>
          <w:szCs w:val="20"/>
          <w:bdr w:val="none" w:sz="0" w:space="0" w:color="auto"/>
        </w:rPr>
        <w:t xml:space="preserve"> of </w:t>
      </w:r>
      <w:r w:rsidR="00AE6E54">
        <w:rPr>
          <w:rFonts w:ascii="Cambria" w:eastAsia="Calibri" w:hAnsi="Cambria"/>
          <w:sz w:val="20"/>
          <w:szCs w:val="20"/>
          <w:bdr w:val="none" w:sz="0" w:space="0" w:color="auto"/>
        </w:rPr>
        <w:t>interpretation</w:t>
      </w:r>
      <w:r w:rsidR="004969F4">
        <w:rPr>
          <w:rFonts w:ascii="Cambria" w:eastAsia="Calibri" w:hAnsi="Cambria"/>
          <w:sz w:val="20"/>
          <w:szCs w:val="20"/>
          <w:bdr w:val="none" w:sz="0" w:space="0" w:color="auto"/>
        </w:rPr>
        <w:t xml:space="preserve"> of the </w:t>
      </w:r>
      <w:r w:rsidR="009B462E">
        <w:rPr>
          <w:rFonts w:ascii="Cambria" w:eastAsia="Calibri" w:hAnsi="Cambria"/>
          <w:sz w:val="20"/>
          <w:szCs w:val="20"/>
          <w:bdr w:val="none" w:sz="0" w:space="0" w:color="auto"/>
        </w:rPr>
        <w:t xml:space="preserve">right of </w:t>
      </w:r>
      <w:r w:rsidR="008333FF">
        <w:rPr>
          <w:rFonts w:ascii="Cambria" w:eastAsia="Calibri" w:hAnsi="Cambria"/>
          <w:sz w:val="20"/>
          <w:szCs w:val="20"/>
          <w:bdr w:val="none" w:sz="0" w:space="0" w:color="auto"/>
        </w:rPr>
        <w:t>residency</w:t>
      </w:r>
      <w:r w:rsidR="00E92985">
        <w:rPr>
          <w:rFonts w:ascii="Cambria" w:eastAsia="Calibri" w:hAnsi="Cambria"/>
          <w:sz w:val="20"/>
          <w:szCs w:val="20"/>
          <w:bdr w:val="none" w:sz="0" w:space="0" w:color="auto"/>
        </w:rPr>
        <w:t xml:space="preserve"> </w:t>
      </w:r>
      <w:r w:rsidR="00F00F54">
        <w:rPr>
          <w:rFonts w:ascii="Cambria" w:eastAsia="Calibri" w:hAnsi="Cambria"/>
          <w:sz w:val="20"/>
          <w:szCs w:val="20"/>
          <w:bdr w:val="none" w:sz="0" w:space="0" w:color="auto"/>
        </w:rPr>
        <w:t xml:space="preserve">and movement </w:t>
      </w:r>
      <w:r w:rsidR="002D6E83">
        <w:rPr>
          <w:rFonts w:ascii="Cambria" w:eastAsia="Calibri" w:hAnsi="Cambria"/>
          <w:sz w:val="20"/>
          <w:szCs w:val="20"/>
          <w:bdr w:val="none" w:sz="0" w:space="0" w:color="auto"/>
        </w:rPr>
        <w:t>foreseen in</w:t>
      </w:r>
      <w:r w:rsidR="009A4F91">
        <w:rPr>
          <w:rFonts w:ascii="Cambria" w:eastAsia="Calibri" w:hAnsi="Cambria"/>
          <w:sz w:val="20"/>
          <w:szCs w:val="20"/>
          <w:bdr w:val="none" w:sz="0" w:space="0" w:color="auto"/>
        </w:rPr>
        <w:t xml:space="preserve"> </w:t>
      </w:r>
      <w:r w:rsidR="001937FB">
        <w:rPr>
          <w:rFonts w:ascii="Cambria" w:eastAsia="Calibri" w:hAnsi="Cambria"/>
          <w:sz w:val="20"/>
          <w:szCs w:val="20"/>
          <w:bdr w:val="none" w:sz="0" w:space="0" w:color="auto"/>
        </w:rPr>
        <w:t>the Declaration</w:t>
      </w:r>
      <w:r w:rsidR="00773B3C" w:rsidRPr="00A51861">
        <w:rPr>
          <w:rFonts w:ascii="Cambria" w:eastAsia="Calibri" w:hAnsi="Cambria"/>
          <w:sz w:val="20"/>
          <w:szCs w:val="20"/>
          <w:bdr w:val="none" w:sz="0" w:space="0" w:color="auto"/>
        </w:rPr>
        <w:t>,</w:t>
      </w:r>
      <w:r w:rsidR="00E92985">
        <w:rPr>
          <w:rFonts w:ascii="Cambria" w:eastAsia="Calibri" w:hAnsi="Cambria"/>
          <w:sz w:val="20"/>
          <w:szCs w:val="20"/>
          <w:bdr w:val="none" w:sz="0" w:space="0" w:color="auto"/>
        </w:rPr>
        <w:t xml:space="preserve"> </w:t>
      </w:r>
      <w:r w:rsidR="002D6E83">
        <w:rPr>
          <w:rFonts w:ascii="Cambria" w:eastAsia="Calibri" w:hAnsi="Cambria"/>
          <w:sz w:val="20"/>
          <w:szCs w:val="20"/>
          <w:bdr w:val="none" w:sz="0" w:space="0" w:color="auto"/>
        </w:rPr>
        <w:t>so that it is understood that its</w:t>
      </w:r>
      <w:r w:rsidR="00773B3C" w:rsidRPr="00A51861">
        <w:rPr>
          <w:rFonts w:ascii="Cambria" w:eastAsia="Calibri" w:hAnsi="Cambria"/>
          <w:sz w:val="20"/>
          <w:szCs w:val="20"/>
          <w:bdr w:val="none" w:sz="0" w:space="0" w:color="auto"/>
        </w:rPr>
        <w:t xml:space="preserve"> </w:t>
      </w:r>
      <w:r w:rsidR="00AE6E54">
        <w:rPr>
          <w:rFonts w:ascii="Cambria" w:eastAsia="Calibri" w:hAnsi="Cambria"/>
          <w:sz w:val="20"/>
          <w:szCs w:val="20"/>
          <w:bdr w:val="none" w:sz="0" w:space="0" w:color="auto"/>
        </w:rPr>
        <w:t>interpretation</w:t>
      </w:r>
      <w:r w:rsidR="00E92985">
        <w:rPr>
          <w:rFonts w:ascii="Cambria" w:eastAsia="Calibri" w:hAnsi="Cambria"/>
          <w:sz w:val="20"/>
          <w:szCs w:val="20"/>
          <w:bdr w:val="none" w:sz="0" w:space="0" w:color="auto"/>
        </w:rPr>
        <w:t xml:space="preserve"> and </w:t>
      </w:r>
      <w:r w:rsidR="002D6E83" w:rsidRPr="00A51861">
        <w:rPr>
          <w:rFonts w:ascii="Cambria" w:eastAsia="Calibri" w:hAnsi="Cambria"/>
          <w:sz w:val="20"/>
          <w:szCs w:val="20"/>
          <w:bdr w:val="none" w:sz="0" w:space="0" w:color="auto"/>
        </w:rPr>
        <w:t>application</w:t>
      </w:r>
      <w:r w:rsidR="00773B3C" w:rsidRPr="00A51861">
        <w:rPr>
          <w:rFonts w:ascii="Cambria" w:eastAsia="Calibri" w:hAnsi="Cambria"/>
          <w:sz w:val="20"/>
          <w:szCs w:val="20"/>
          <w:bdr w:val="none" w:sz="0" w:space="0" w:color="auto"/>
        </w:rPr>
        <w:t xml:space="preserve"> extensiv</w:t>
      </w:r>
      <w:r w:rsidR="002D6E83">
        <w:rPr>
          <w:rFonts w:ascii="Cambria" w:eastAsia="Calibri" w:hAnsi="Cambria"/>
          <w:sz w:val="20"/>
          <w:szCs w:val="20"/>
          <w:bdr w:val="none" w:sz="0" w:space="0" w:color="auto"/>
        </w:rPr>
        <w:t>e</w:t>
      </w:r>
      <w:r w:rsidR="0029564F">
        <w:rPr>
          <w:rFonts w:ascii="Cambria" w:eastAsia="Calibri" w:hAnsi="Cambria"/>
          <w:sz w:val="20"/>
          <w:szCs w:val="20"/>
          <w:bdr w:val="none" w:sz="0" w:space="0" w:color="auto"/>
        </w:rPr>
        <w:t xml:space="preserve">ly </w:t>
      </w:r>
      <w:r w:rsidR="002D6E83">
        <w:rPr>
          <w:rFonts w:ascii="Cambria" w:eastAsia="Calibri" w:hAnsi="Cambria"/>
          <w:sz w:val="20"/>
          <w:szCs w:val="20"/>
          <w:bdr w:val="none" w:sz="0" w:space="0" w:color="auto"/>
        </w:rPr>
        <w:t>in light</w:t>
      </w:r>
      <w:r w:rsidR="004969F4">
        <w:rPr>
          <w:rFonts w:ascii="Cambria" w:eastAsia="Calibri" w:hAnsi="Cambria"/>
          <w:sz w:val="20"/>
          <w:szCs w:val="20"/>
          <w:bdr w:val="none" w:sz="0" w:space="0" w:color="auto"/>
        </w:rPr>
        <w:t xml:space="preserve"> of the </w:t>
      </w:r>
      <w:r w:rsidR="009B462E">
        <w:rPr>
          <w:rFonts w:ascii="Cambria" w:eastAsia="Calibri" w:hAnsi="Cambria"/>
          <w:sz w:val="20"/>
          <w:szCs w:val="20"/>
          <w:bdr w:val="none" w:sz="0" w:space="0" w:color="auto"/>
        </w:rPr>
        <w:t xml:space="preserve">right of </w:t>
      </w:r>
      <w:r w:rsidR="00F00F54">
        <w:rPr>
          <w:rFonts w:ascii="Cambria" w:eastAsia="Calibri" w:hAnsi="Cambria"/>
          <w:sz w:val="20"/>
          <w:szCs w:val="20"/>
          <w:bdr w:val="none" w:sz="0" w:space="0" w:color="auto"/>
        </w:rPr>
        <w:t>movement</w:t>
      </w:r>
      <w:r w:rsidR="00E92985">
        <w:rPr>
          <w:rFonts w:ascii="Cambria" w:eastAsia="Calibri" w:hAnsi="Cambria"/>
          <w:sz w:val="20"/>
          <w:szCs w:val="20"/>
          <w:bdr w:val="none" w:sz="0" w:space="0" w:color="auto"/>
        </w:rPr>
        <w:t xml:space="preserve"> and </w:t>
      </w:r>
      <w:r w:rsidR="008333FF">
        <w:rPr>
          <w:rFonts w:ascii="Cambria" w:eastAsia="Calibri" w:hAnsi="Cambria"/>
          <w:sz w:val="20"/>
          <w:szCs w:val="20"/>
          <w:bdr w:val="none" w:sz="0" w:space="0" w:color="auto"/>
        </w:rPr>
        <w:t>residency</w:t>
      </w:r>
      <w:r w:rsidR="00773B3C" w:rsidRPr="00A51861">
        <w:rPr>
          <w:rFonts w:ascii="Cambria" w:eastAsia="Calibri" w:hAnsi="Cambria"/>
          <w:sz w:val="20"/>
          <w:szCs w:val="20"/>
          <w:bdr w:val="none" w:sz="0" w:space="0" w:color="auto"/>
        </w:rPr>
        <w:t xml:space="preserve"> </w:t>
      </w:r>
      <w:r w:rsidR="002D6E83">
        <w:rPr>
          <w:rFonts w:ascii="Cambria" w:eastAsia="Calibri" w:hAnsi="Cambria"/>
          <w:sz w:val="20"/>
          <w:szCs w:val="20"/>
          <w:bdr w:val="none" w:sz="0" w:space="0" w:color="auto"/>
        </w:rPr>
        <w:t>held in the</w:t>
      </w:r>
      <w:r w:rsidR="009A4F91">
        <w:rPr>
          <w:rFonts w:ascii="Cambria" w:eastAsia="Calibri" w:hAnsi="Cambria"/>
          <w:sz w:val="20"/>
          <w:szCs w:val="20"/>
          <w:bdr w:val="none" w:sz="0" w:space="0" w:color="auto"/>
        </w:rPr>
        <w:t xml:space="preserve"> </w:t>
      </w:r>
      <w:r w:rsidR="002D6E83">
        <w:rPr>
          <w:rFonts w:ascii="Cambria" w:eastAsia="Calibri" w:hAnsi="Cambria"/>
          <w:sz w:val="20"/>
          <w:szCs w:val="20"/>
          <w:bdr w:val="none" w:sz="0" w:space="0" w:color="auto"/>
        </w:rPr>
        <w:t>IACHR</w:t>
      </w:r>
      <w:r w:rsidR="00773B3C" w:rsidRPr="00A51861">
        <w:rPr>
          <w:rFonts w:ascii="Cambria" w:eastAsia="Calibri" w:hAnsi="Cambria"/>
          <w:sz w:val="20"/>
          <w:szCs w:val="20"/>
          <w:bdr w:val="none" w:sz="0" w:space="0" w:color="auto"/>
        </w:rPr>
        <w:t xml:space="preserve">. </w:t>
      </w:r>
      <w:r w:rsidR="002D6E83">
        <w:rPr>
          <w:rFonts w:ascii="Cambria" w:eastAsia="Calibri" w:hAnsi="Cambria"/>
          <w:sz w:val="20"/>
          <w:szCs w:val="20"/>
          <w:bdr w:val="none" w:sz="0" w:space="0" w:color="auto"/>
        </w:rPr>
        <w:t>In this sense</w:t>
      </w:r>
      <w:r w:rsidR="00773B3C" w:rsidRPr="00A51861">
        <w:rPr>
          <w:rFonts w:ascii="Cambria" w:eastAsia="Calibri" w:hAnsi="Cambria"/>
          <w:sz w:val="20"/>
          <w:szCs w:val="20"/>
          <w:bdr w:val="none" w:sz="0" w:space="0" w:color="auto"/>
        </w:rPr>
        <w:t xml:space="preserve">, </w:t>
      </w:r>
      <w:r w:rsidR="00E92985">
        <w:rPr>
          <w:rFonts w:ascii="Cambria" w:eastAsia="Calibri" w:hAnsi="Cambria"/>
          <w:sz w:val="20"/>
          <w:szCs w:val="20"/>
          <w:bdr w:val="none" w:sz="0" w:space="0" w:color="auto"/>
        </w:rPr>
        <w:t>the Inter-American Commission</w:t>
      </w:r>
      <w:r w:rsidR="00773B3C" w:rsidRPr="00A51861">
        <w:rPr>
          <w:rFonts w:ascii="Cambria" w:eastAsia="Calibri" w:hAnsi="Cambria"/>
          <w:sz w:val="20"/>
          <w:szCs w:val="20"/>
          <w:bdr w:val="none" w:sz="0" w:space="0" w:color="auto"/>
        </w:rPr>
        <w:t xml:space="preserve"> </w:t>
      </w:r>
      <w:r w:rsidR="002D6E83">
        <w:rPr>
          <w:rFonts w:ascii="Cambria" w:eastAsia="Calibri" w:hAnsi="Cambria"/>
          <w:sz w:val="20"/>
          <w:szCs w:val="20"/>
          <w:bdr w:val="none" w:sz="0" w:space="0" w:color="auto"/>
        </w:rPr>
        <w:t>in the</w:t>
      </w:r>
      <w:r w:rsidR="00773B3C" w:rsidRPr="00A51861">
        <w:rPr>
          <w:rFonts w:ascii="Cambria" w:eastAsia="Calibri" w:hAnsi="Cambria"/>
          <w:sz w:val="20"/>
          <w:szCs w:val="20"/>
          <w:bdr w:val="none" w:sz="0" w:space="0" w:color="auto"/>
        </w:rPr>
        <w:t xml:space="preserve"> </w:t>
      </w:r>
      <w:r w:rsidR="000D29E1">
        <w:rPr>
          <w:rFonts w:ascii="Cambria" w:eastAsia="Calibri" w:hAnsi="Cambria"/>
          <w:sz w:val="20"/>
          <w:szCs w:val="20"/>
          <w:bdr w:val="none" w:sz="0" w:space="0" w:color="auto"/>
        </w:rPr>
        <w:t>Inter-American</w:t>
      </w:r>
      <w:r w:rsidR="00773B3C" w:rsidRPr="00A51861">
        <w:rPr>
          <w:rFonts w:ascii="Cambria" w:eastAsia="Calibri" w:hAnsi="Cambria"/>
          <w:sz w:val="20"/>
          <w:szCs w:val="20"/>
          <w:bdr w:val="none" w:sz="0" w:space="0" w:color="auto"/>
        </w:rPr>
        <w:t xml:space="preserve"> </w:t>
      </w:r>
      <w:r w:rsidR="002D6E83" w:rsidRPr="00A51861">
        <w:rPr>
          <w:rFonts w:ascii="Cambria" w:eastAsia="Calibri" w:hAnsi="Cambria"/>
          <w:sz w:val="20"/>
          <w:szCs w:val="20"/>
          <w:bdr w:val="none" w:sz="0" w:space="0" w:color="auto"/>
        </w:rPr>
        <w:t>Princip</w:t>
      </w:r>
      <w:r w:rsidR="002D6E83">
        <w:rPr>
          <w:rFonts w:ascii="Cambria" w:eastAsia="Calibri" w:hAnsi="Cambria"/>
          <w:sz w:val="20"/>
          <w:szCs w:val="20"/>
          <w:bdr w:val="none" w:sz="0" w:space="0" w:color="auto"/>
        </w:rPr>
        <w:t>le</w:t>
      </w:r>
      <w:r w:rsidR="002D6E83" w:rsidRPr="00A51861">
        <w:rPr>
          <w:rFonts w:ascii="Cambria" w:eastAsia="Calibri" w:hAnsi="Cambria"/>
          <w:sz w:val="20"/>
          <w:szCs w:val="20"/>
          <w:bdr w:val="none" w:sz="0" w:space="0" w:color="auto"/>
        </w:rPr>
        <w:t xml:space="preserve">s </w:t>
      </w:r>
      <w:r w:rsidR="00664D70">
        <w:rPr>
          <w:rFonts w:ascii="Cambria" w:eastAsia="Calibri" w:hAnsi="Cambria"/>
          <w:sz w:val="20"/>
          <w:szCs w:val="20"/>
          <w:bdr w:val="none" w:sz="0" w:space="0" w:color="auto"/>
        </w:rPr>
        <w:t>on Human Rights</w:t>
      </w:r>
      <w:r w:rsidR="00E92985">
        <w:rPr>
          <w:rFonts w:ascii="Cambria" w:eastAsia="Calibri" w:hAnsi="Cambria"/>
          <w:sz w:val="20"/>
          <w:szCs w:val="20"/>
          <w:bdr w:val="none" w:sz="0" w:space="0" w:color="auto"/>
        </w:rPr>
        <w:t xml:space="preserve"> of </w:t>
      </w:r>
      <w:r w:rsidR="002D6E83">
        <w:rPr>
          <w:rFonts w:ascii="Cambria" w:eastAsia="Calibri" w:hAnsi="Cambria"/>
          <w:sz w:val="20"/>
          <w:szCs w:val="20"/>
          <w:bdr w:val="none" w:sz="0" w:space="0" w:color="auto"/>
        </w:rPr>
        <w:t xml:space="preserve">all </w:t>
      </w:r>
      <w:r w:rsidR="002D6E83" w:rsidRPr="00A51861">
        <w:rPr>
          <w:rFonts w:ascii="Cambria" w:eastAsia="Calibri" w:hAnsi="Cambria"/>
          <w:sz w:val="20"/>
          <w:szCs w:val="20"/>
          <w:bdr w:val="none" w:sz="0" w:space="0" w:color="auto"/>
        </w:rPr>
        <w:t>Migrant</w:t>
      </w:r>
      <w:r w:rsidR="002D6E83">
        <w:rPr>
          <w:rFonts w:ascii="Cambria" w:eastAsia="Calibri" w:hAnsi="Cambria"/>
          <w:sz w:val="20"/>
          <w:szCs w:val="20"/>
          <w:bdr w:val="none" w:sz="0" w:space="0" w:color="auto"/>
        </w:rPr>
        <w:t>s</w:t>
      </w:r>
      <w:r w:rsidR="00773B3C" w:rsidRPr="00A51861">
        <w:rPr>
          <w:rFonts w:ascii="Cambria" w:eastAsia="Calibri" w:hAnsi="Cambria"/>
          <w:sz w:val="20"/>
          <w:szCs w:val="20"/>
          <w:bdr w:val="none" w:sz="0" w:space="0" w:color="auto"/>
        </w:rPr>
        <w:t>, Refu</w:t>
      </w:r>
      <w:r w:rsidR="002D6E83">
        <w:rPr>
          <w:rFonts w:ascii="Cambria" w:eastAsia="Calibri" w:hAnsi="Cambria"/>
          <w:sz w:val="20"/>
          <w:szCs w:val="20"/>
          <w:bdr w:val="none" w:sz="0" w:space="0" w:color="auto"/>
        </w:rPr>
        <w:t>gee</w:t>
      </w:r>
      <w:r w:rsidR="00773B3C" w:rsidRPr="00A51861">
        <w:rPr>
          <w:rFonts w:ascii="Cambria" w:eastAsia="Calibri" w:hAnsi="Cambria"/>
          <w:sz w:val="20"/>
          <w:szCs w:val="20"/>
          <w:bdr w:val="none" w:sz="0" w:space="0" w:color="auto"/>
        </w:rPr>
        <w:t xml:space="preserve">s, </w:t>
      </w:r>
      <w:r w:rsidR="002D6E83">
        <w:rPr>
          <w:rFonts w:ascii="Cambria" w:eastAsia="Calibri" w:hAnsi="Cambria"/>
          <w:sz w:val="20"/>
          <w:szCs w:val="20"/>
          <w:bdr w:val="none" w:sz="0" w:space="0" w:color="auto"/>
        </w:rPr>
        <w:t>Stateless Persons and</w:t>
      </w:r>
      <w:r w:rsidR="002D6E83" w:rsidRPr="00A51861">
        <w:rPr>
          <w:rFonts w:ascii="Cambria" w:eastAsia="Calibri" w:hAnsi="Cambria"/>
          <w:sz w:val="20"/>
          <w:szCs w:val="20"/>
          <w:bdr w:val="none" w:sz="0" w:space="0" w:color="auto"/>
        </w:rPr>
        <w:t xml:space="preserve"> </w:t>
      </w:r>
      <w:r w:rsidR="00B4073F">
        <w:rPr>
          <w:rFonts w:ascii="Cambria" w:eastAsia="Calibri" w:hAnsi="Cambria"/>
          <w:sz w:val="20"/>
          <w:szCs w:val="20"/>
          <w:bdr w:val="none" w:sz="0" w:space="0" w:color="auto"/>
        </w:rPr>
        <w:t>Victim</w:t>
      </w:r>
      <w:r w:rsidR="00773B3C" w:rsidRPr="00A51861">
        <w:rPr>
          <w:rFonts w:ascii="Cambria" w:eastAsia="Calibri" w:hAnsi="Cambria"/>
          <w:sz w:val="20"/>
          <w:szCs w:val="20"/>
          <w:bdr w:val="none" w:sz="0" w:space="0" w:color="auto"/>
        </w:rPr>
        <w:t>s</w:t>
      </w:r>
      <w:r w:rsidR="00E92985">
        <w:rPr>
          <w:rFonts w:ascii="Cambria" w:eastAsia="Calibri" w:hAnsi="Cambria"/>
          <w:sz w:val="20"/>
          <w:szCs w:val="20"/>
          <w:bdr w:val="none" w:sz="0" w:space="0" w:color="auto"/>
        </w:rPr>
        <w:t xml:space="preserve"> of </w:t>
      </w:r>
      <w:r w:rsidR="002D6E83">
        <w:rPr>
          <w:rFonts w:ascii="Cambria" w:eastAsia="Calibri" w:hAnsi="Cambria"/>
          <w:sz w:val="20"/>
          <w:szCs w:val="20"/>
          <w:bdr w:val="none" w:sz="0" w:space="0" w:color="auto"/>
        </w:rPr>
        <w:t>human trafficking</w:t>
      </w:r>
      <w:r w:rsidR="00773B3C" w:rsidRPr="00A51861">
        <w:rPr>
          <w:rFonts w:ascii="Cambria" w:eastAsia="Calibri" w:hAnsi="Cambria"/>
          <w:sz w:val="20"/>
          <w:szCs w:val="20"/>
          <w:bdr w:val="none" w:sz="0" w:space="0" w:color="auto"/>
        </w:rPr>
        <w:t>, ha</w:t>
      </w:r>
      <w:r w:rsidR="002D6E83">
        <w:rPr>
          <w:rFonts w:ascii="Cambria" w:eastAsia="Calibri" w:hAnsi="Cambria"/>
          <w:sz w:val="20"/>
          <w:szCs w:val="20"/>
          <w:bdr w:val="none" w:sz="0" w:space="0" w:color="auto"/>
        </w:rPr>
        <w:t>s</w:t>
      </w:r>
      <w:r w:rsidR="00773B3C" w:rsidRPr="00A51861">
        <w:rPr>
          <w:rFonts w:ascii="Cambria" w:eastAsia="Calibri" w:hAnsi="Cambria"/>
          <w:sz w:val="20"/>
          <w:szCs w:val="20"/>
          <w:bdr w:val="none" w:sz="0" w:space="0" w:color="auto"/>
        </w:rPr>
        <w:t xml:space="preserve"> </w:t>
      </w:r>
      <w:r w:rsidR="002D6E83">
        <w:rPr>
          <w:rFonts w:ascii="Cambria" w:eastAsia="Calibri" w:hAnsi="Cambria"/>
          <w:sz w:val="20"/>
          <w:szCs w:val="20"/>
          <w:bdr w:val="none" w:sz="0" w:space="0" w:color="auto"/>
        </w:rPr>
        <w:t>recognized</w:t>
      </w:r>
      <w:r w:rsidR="009A4F91">
        <w:rPr>
          <w:rFonts w:ascii="Cambria" w:eastAsia="Calibri" w:hAnsi="Cambria"/>
          <w:sz w:val="20"/>
          <w:szCs w:val="20"/>
          <w:bdr w:val="none" w:sz="0" w:space="0" w:color="auto"/>
        </w:rPr>
        <w:t xml:space="preserve"> the </w:t>
      </w:r>
      <w:r w:rsidR="002D6E83" w:rsidRPr="00A51861">
        <w:rPr>
          <w:rFonts w:ascii="Cambria" w:eastAsia="Calibri" w:hAnsi="Cambria"/>
          <w:sz w:val="20"/>
          <w:szCs w:val="20"/>
          <w:bdr w:val="none" w:sz="0" w:space="0" w:color="auto"/>
        </w:rPr>
        <w:t>obligation</w:t>
      </w:r>
      <w:r w:rsidR="00E92985">
        <w:rPr>
          <w:rFonts w:ascii="Cambria" w:eastAsia="Calibri" w:hAnsi="Cambria"/>
          <w:sz w:val="20"/>
          <w:szCs w:val="20"/>
          <w:bdr w:val="none" w:sz="0" w:space="0" w:color="auto"/>
        </w:rPr>
        <w:t xml:space="preserve"> of </w:t>
      </w:r>
      <w:r w:rsidR="002D6E83">
        <w:rPr>
          <w:rFonts w:ascii="Cambria" w:eastAsia="Calibri" w:hAnsi="Cambria"/>
          <w:sz w:val="20"/>
          <w:szCs w:val="20"/>
          <w:bdr w:val="none" w:sz="0" w:space="0" w:color="auto"/>
        </w:rPr>
        <w:t>the States</w:t>
      </w:r>
      <w:r w:rsidR="00E92985">
        <w:rPr>
          <w:rFonts w:ascii="Cambria" w:eastAsia="Calibri" w:hAnsi="Cambria"/>
          <w:sz w:val="20"/>
          <w:szCs w:val="20"/>
          <w:bdr w:val="none" w:sz="0" w:space="0" w:color="auto"/>
        </w:rPr>
        <w:t xml:space="preserve"> </w:t>
      </w:r>
      <w:r w:rsidR="002D6E83">
        <w:rPr>
          <w:rFonts w:ascii="Cambria" w:eastAsia="Calibri" w:hAnsi="Cambria"/>
          <w:sz w:val="20"/>
          <w:szCs w:val="20"/>
          <w:bdr w:val="none" w:sz="0" w:space="0" w:color="auto"/>
        </w:rPr>
        <w:t>to</w:t>
      </w:r>
      <w:r w:rsidR="00E92985">
        <w:rPr>
          <w:rFonts w:ascii="Cambria" w:eastAsia="Calibri" w:hAnsi="Cambria"/>
          <w:sz w:val="20"/>
          <w:szCs w:val="20"/>
          <w:bdr w:val="none" w:sz="0" w:space="0" w:color="auto"/>
        </w:rPr>
        <w:t xml:space="preserve"> </w:t>
      </w:r>
      <w:r w:rsidR="002428C9">
        <w:rPr>
          <w:rFonts w:ascii="Cambria" w:eastAsia="Calibri" w:hAnsi="Cambria"/>
          <w:sz w:val="20"/>
          <w:szCs w:val="20"/>
          <w:bdr w:val="none" w:sz="0" w:space="0" w:color="auto"/>
        </w:rPr>
        <w:t>protect</w:t>
      </w:r>
      <w:r w:rsidR="00773B3C" w:rsidRPr="00A51861">
        <w:rPr>
          <w:rFonts w:ascii="Cambria" w:eastAsia="Calibri" w:hAnsi="Cambria"/>
          <w:sz w:val="20"/>
          <w:szCs w:val="20"/>
          <w:bdr w:val="none" w:sz="0" w:space="0" w:color="auto"/>
        </w:rPr>
        <w:t xml:space="preserve"> </w:t>
      </w:r>
      <w:r w:rsidR="002D6E83">
        <w:rPr>
          <w:rFonts w:ascii="Cambria" w:eastAsia="Calibri" w:hAnsi="Cambria"/>
          <w:sz w:val="20"/>
          <w:szCs w:val="20"/>
          <w:bdr w:val="none" w:sz="0" w:space="0" w:color="auto"/>
        </w:rPr>
        <w:t xml:space="preserve">the </w:t>
      </w:r>
      <w:r w:rsidR="004C5A00">
        <w:rPr>
          <w:rFonts w:ascii="Cambria" w:eastAsia="Calibri" w:hAnsi="Cambria"/>
          <w:sz w:val="20"/>
          <w:szCs w:val="20"/>
          <w:bdr w:val="none" w:sz="0" w:space="0" w:color="auto"/>
        </w:rPr>
        <w:t>Rights</w:t>
      </w:r>
      <w:r w:rsidR="002D6E83">
        <w:rPr>
          <w:rFonts w:ascii="Cambria" w:eastAsia="Calibri" w:hAnsi="Cambria"/>
          <w:sz w:val="20"/>
          <w:szCs w:val="20"/>
          <w:bdr w:val="none" w:sz="0" w:space="0" w:color="auto"/>
        </w:rPr>
        <w:t xml:space="preserve"> of all</w:t>
      </w:r>
      <w:r w:rsidR="00773B3C" w:rsidRPr="00A51861">
        <w:rPr>
          <w:rFonts w:ascii="Cambria" w:eastAsia="Calibri" w:hAnsi="Cambria"/>
          <w:sz w:val="20"/>
          <w:szCs w:val="20"/>
          <w:bdr w:val="none" w:sz="0" w:space="0" w:color="auto"/>
        </w:rPr>
        <w:t xml:space="preserve"> </w:t>
      </w:r>
      <w:r w:rsidR="00EC7A58">
        <w:rPr>
          <w:rFonts w:ascii="Cambria" w:eastAsia="Calibri" w:hAnsi="Cambria"/>
          <w:sz w:val="20"/>
          <w:szCs w:val="20"/>
          <w:bdr w:val="none" w:sz="0" w:space="0" w:color="auto"/>
        </w:rPr>
        <w:t>persons</w:t>
      </w:r>
      <w:r w:rsidR="00773B3C" w:rsidRPr="00A51861">
        <w:rPr>
          <w:rFonts w:ascii="Cambria" w:eastAsia="Calibri" w:hAnsi="Cambria"/>
          <w:sz w:val="20"/>
          <w:szCs w:val="20"/>
          <w:bdr w:val="none" w:sz="0" w:space="0" w:color="auto"/>
        </w:rPr>
        <w:t xml:space="preserve">, </w:t>
      </w:r>
      <w:r w:rsidR="002D6E83">
        <w:rPr>
          <w:rFonts w:ascii="Cambria" w:eastAsia="Calibri" w:hAnsi="Cambria"/>
          <w:sz w:val="20"/>
          <w:szCs w:val="20"/>
          <w:bdr w:val="none" w:sz="0" w:space="0" w:color="auto"/>
        </w:rPr>
        <w:t>regardless of their migration</w:t>
      </w:r>
      <w:r w:rsidR="00773B3C" w:rsidRPr="00A51861">
        <w:rPr>
          <w:rFonts w:ascii="Cambria" w:eastAsia="Calibri" w:hAnsi="Cambria"/>
          <w:sz w:val="20"/>
          <w:szCs w:val="20"/>
          <w:bdr w:val="none" w:sz="0" w:space="0" w:color="auto"/>
        </w:rPr>
        <w:t xml:space="preserve"> </w:t>
      </w:r>
      <w:r w:rsidR="00E92985">
        <w:rPr>
          <w:rFonts w:ascii="Cambria" w:eastAsia="Calibri" w:hAnsi="Cambria"/>
          <w:sz w:val="20"/>
          <w:szCs w:val="20"/>
          <w:bdr w:val="none" w:sz="0" w:space="0" w:color="auto"/>
        </w:rPr>
        <w:t>situation</w:t>
      </w:r>
      <w:r w:rsidR="00773B3C" w:rsidRPr="00A51861">
        <w:rPr>
          <w:rFonts w:ascii="Cambria" w:eastAsia="Calibri" w:hAnsi="Cambria"/>
          <w:sz w:val="20"/>
          <w:szCs w:val="20"/>
          <w:bdr w:val="none" w:sz="0" w:space="0" w:color="auto"/>
        </w:rPr>
        <w:t>,</w:t>
      </w:r>
      <w:r w:rsidR="00E92985">
        <w:rPr>
          <w:rFonts w:ascii="Cambria" w:eastAsia="Calibri" w:hAnsi="Cambria"/>
          <w:sz w:val="20"/>
          <w:szCs w:val="20"/>
          <w:bdr w:val="none" w:sz="0" w:space="0" w:color="auto"/>
        </w:rPr>
        <w:t xml:space="preserve"> </w:t>
      </w:r>
      <w:r w:rsidR="002D6E83">
        <w:rPr>
          <w:rFonts w:ascii="Cambria" w:eastAsia="Calibri" w:hAnsi="Cambria"/>
          <w:sz w:val="20"/>
          <w:szCs w:val="20"/>
          <w:bdr w:val="none" w:sz="0" w:space="0" w:color="auto"/>
        </w:rPr>
        <w:t>in accordance with the Charter</w:t>
      </w:r>
      <w:r w:rsidR="00E92985">
        <w:rPr>
          <w:rFonts w:ascii="Cambria" w:eastAsia="Calibri" w:hAnsi="Cambria"/>
          <w:sz w:val="20"/>
          <w:szCs w:val="20"/>
          <w:bdr w:val="none" w:sz="0" w:space="0" w:color="auto"/>
        </w:rPr>
        <w:t xml:space="preserve"> of the </w:t>
      </w:r>
      <w:r w:rsidR="002D6E83" w:rsidRPr="00A51861">
        <w:rPr>
          <w:rFonts w:ascii="Cambria" w:eastAsia="Calibri" w:hAnsi="Cambria"/>
          <w:sz w:val="20"/>
          <w:szCs w:val="20"/>
          <w:bdr w:val="none" w:sz="0" w:space="0" w:color="auto"/>
        </w:rPr>
        <w:t>Organization</w:t>
      </w:r>
      <w:r w:rsidR="00E92985">
        <w:rPr>
          <w:rFonts w:ascii="Cambria" w:eastAsia="Calibri" w:hAnsi="Cambria"/>
          <w:sz w:val="20"/>
          <w:szCs w:val="20"/>
          <w:bdr w:val="none" w:sz="0" w:space="0" w:color="auto"/>
        </w:rPr>
        <w:t xml:space="preserve"> of </w:t>
      </w:r>
      <w:r w:rsidR="002D6E83" w:rsidRPr="00A51861">
        <w:rPr>
          <w:rFonts w:ascii="Cambria" w:eastAsia="Calibri" w:hAnsi="Cambria"/>
          <w:sz w:val="20"/>
          <w:szCs w:val="20"/>
          <w:bdr w:val="none" w:sz="0" w:space="0" w:color="auto"/>
        </w:rPr>
        <w:t xml:space="preserve">American </w:t>
      </w:r>
      <w:r w:rsidR="002D6E83">
        <w:rPr>
          <w:rFonts w:ascii="Cambria" w:eastAsia="Calibri" w:hAnsi="Cambria"/>
          <w:sz w:val="20"/>
          <w:szCs w:val="20"/>
          <w:bdr w:val="none" w:sz="0" w:space="0" w:color="auto"/>
        </w:rPr>
        <w:t>States</w:t>
      </w:r>
      <w:r w:rsidR="00773B3C" w:rsidRPr="00A51861">
        <w:rPr>
          <w:rFonts w:ascii="Cambria" w:eastAsia="Calibri" w:hAnsi="Cambria"/>
          <w:sz w:val="20"/>
          <w:szCs w:val="20"/>
          <w:bdr w:val="none" w:sz="0" w:space="0" w:color="auto"/>
        </w:rPr>
        <w:t xml:space="preserve"> (OA</w:t>
      </w:r>
      <w:r w:rsidR="002D6E83">
        <w:rPr>
          <w:rFonts w:ascii="Cambria" w:eastAsia="Calibri" w:hAnsi="Cambria"/>
          <w:sz w:val="20"/>
          <w:szCs w:val="20"/>
          <w:bdr w:val="none" w:sz="0" w:space="0" w:color="auto"/>
        </w:rPr>
        <w:t>S</w:t>
      </w:r>
      <w:r w:rsidR="00773B3C" w:rsidRPr="00A51861">
        <w:rPr>
          <w:rFonts w:ascii="Cambria" w:eastAsia="Calibri" w:hAnsi="Cambria"/>
          <w:sz w:val="20"/>
          <w:szCs w:val="20"/>
          <w:bdr w:val="none" w:sz="0" w:space="0" w:color="auto"/>
        </w:rPr>
        <w:t>),</w:t>
      </w:r>
      <w:r w:rsidR="009A4F91">
        <w:rPr>
          <w:rFonts w:ascii="Cambria" w:eastAsia="Calibri" w:hAnsi="Cambria"/>
          <w:sz w:val="20"/>
          <w:szCs w:val="20"/>
          <w:bdr w:val="none" w:sz="0" w:space="0" w:color="auto"/>
        </w:rPr>
        <w:t xml:space="preserve"> the </w:t>
      </w:r>
      <w:r w:rsidR="003F634D">
        <w:rPr>
          <w:rFonts w:ascii="Cambria" w:eastAsia="Calibri" w:hAnsi="Cambria"/>
          <w:sz w:val="20"/>
          <w:szCs w:val="20"/>
          <w:bdr w:val="none" w:sz="0" w:space="0" w:color="auto"/>
        </w:rPr>
        <w:t xml:space="preserve">American Declaration </w:t>
      </w:r>
      <w:r w:rsidR="001937FB">
        <w:rPr>
          <w:rFonts w:ascii="Cambria" w:eastAsia="Calibri" w:hAnsi="Cambria"/>
          <w:sz w:val="20"/>
          <w:szCs w:val="20"/>
          <w:bdr w:val="none" w:sz="0" w:space="0" w:color="auto"/>
        </w:rPr>
        <w:t xml:space="preserve">of </w:t>
      </w:r>
      <w:r w:rsidR="004C5A00">
        <w:rPr>
          <w:rFonts w:ascii="Cambria" w:eastAsia="Calibri" w:hAnsi="Cambria"/>
          <w:sz w:val="20"/>
          <w:szCs w:val="20"/>
          <w:bdr w:val="none" w:sz="0" w:space="0" w:color="auto"/>
        </w:rPr>
        <w:t>Rights</w:t>
      </w:r>
      <w:r w:rsidR="001937FB">
        <w:rPr>
          <w:rFonts w:ascii="Cambria" w:eastAsia="Calibri" w:hAnsi="Cambria"/>
          <w:sz w:val="20"/>
          <w:szCs w:val="20"/>
          <w:bdr w:val="none" w:sz="0" w:space="0" w:color="auto"/>
        </w:rPr>
        <w:t xml:space="preserve"> and Duties of Man</w:t>
      </w:r>
      <w:r w:rsidR="00773B3C" w:rsidRPr="00A51861">
        <w:rPr>
          <w:rFonts w:ascii="Cambria" w:eastAsia="Calibri" w:hAnsi="Cambria"/>
          <w:sz w:val="20"/>
          <w:szCs w:val="20"/>
          <w:bdr w:val="none" w:sz="0" w:space="0" w:color="auto"/>
        </w:rPr>
        <w:t>,</w:t>
      </w:r>
      <w:r w:rsidR="009A4F91">
        <w:rPr>
          <w:rFonts w:ascii="Cambria" w:eastAsia="Calibri" w:hAnsi="Cambria"/>
          <w:sz w:val="20"/>
          <w:szCs w:val="20"/>
          <w:bdr w:val="none" w:sz="0" w:space="0" w:color="auto"/>
        </w:rPr>
        <w:t xml:space="preserve"> the </w:t>
      </w:r>
      <w:r w:rsidR="00B920CA">
        <w:rPr>
          <w:rFonts w:ascii="Cambria" w:eastAsia="Calibri" w:hAnsi="Cambria"/>
          <w:sz w:val="20"/>
          <w:szCs w:val="20"/>
          <w:bdr w:val="none" w:sz="0" w:space="0" w:color="auto"/>
        </w:rPr>
        <w:t>American Convention</w:t>
      </w:r>
      <w:r w:rsidR="00E92985">
        <w:rPr>
          <w:rFonts w:ascii="Cambria" w:eastAsia="Calibri" w:hAnsi="Cambria"/>
          <w:sz w:val="20"/>
          <w:szCs w:val="20"/>
          <w:bdr w:val="none" w:sz="0" w:space="0" w:color="auto"/>
        </w:rPr>
        <w:t xml:space="preserve"> and </w:t>
      </w:r>
      <w:r w:rsidR="002D6E83">
        <w:rPr>
          <w:rFonts w:ascii="Cambria" w:eastAsia="Calibri" w:hAnsi="Cambria"/>
          <w:sz w:val="20"/>
          <w:szCs w:val="20"/>
          <w:bdr w:val="none" w:sz="0" w:space="0" w:color="auto"/>
        </w:rPr>
        <w:t>other</w:t>
      </w:r>
      <w:r w:rsidR="00773B3C" w:rsidRPr="00A51861">
        <w:rPr>
          <w:rFonts w:ascii="Cambria" w:eastAsia="Calibri" w:hAnsi="Cambria"/>
          <w:sz w:val="20"/>
          <w:szCs w:val="20"/>
          <w:bdr w:val="none" w:sz="0" w:space="0" w:color="auto"/>
        </w:rPr>
        <w:t xml:space="preserve"> </w:t>
      </w:r>
      <w:r w:rsidR="00AA5556">
        <w:rPr>
          <w:rFonts w:ascii="Cambria" w:eastAsia="Calibri" w:hAnsi="Cambria"/>
          <w:sz w:val="20"/>
          <w:szCs w:val="20"/>
          <w:bdr w:val="none" w:sz="0" w:space="0" w:color="auto"/>
        </w:rPr>
        <w:t>instrument</w:t>
      </w:r>
      <w:r w:rsidR="00773B3C" w:rsidRPr="00A51861">
        <w:rPr>
          <w:rFonts w:ascii="Cambria" w:eastAsia="Calibri" w:hAnsi="Cambria"/>
          <w:sz w:val="20"/>
          <w:szCs w:val="20"/>
          <w:bdr w:val="none" w:sz="0" w:space="0" w:color="auto"/>
        </w:rPr>
        <w:t>s</w:t>
      </w:r>
      <w:r w:rsidR="004969F4">
        <w:rPr>
          <w:rFonts w:ascii="Cambria" w:eastAsia="Calibri" w:hAnsi="Cambria"/>
          <w:sz w:val="20"/>
          <w:szCs w:val="20"/>
          <w:bdr w:val="none" w:sz="0" w:space="0" w:color="auto"/>
        </w:rPr>
        <w:t xml:space="preserve"> of the </w:t>
      </w:r>
      <w:r w:rsidR="00E92985">
        <w:rPr>
          <w:rFonts w:ascii="Cambria" w:eastAsia="Calibri" w:hAnsi="Cambria"/>
          <w:sz w:val="20"/>
          <w:szCs w:val="20"/>
          <w:bdr w:val="none" w:sz="0" w:space="0" w:color="auto"/>
        </w:rPr>
        <w:t>Inter-American system</w:t>
      </w:r>
      <w:r w:rsidR="00773B3C" w:rsidRPr="00A51861">
        <w:rPr>
          <w:rFonts w:ascii="Cambria" w:eastAsia="Calibri" w:hAnsi="Cambria"/>
          <w:sz w:val="20"/>
          <w:szCs w:val="20"/>
          <w:bdr w:val="none" w:sz="0" w:space="0" w:color="auto"/>
          <w:vertAlign w:val="superscript"/>
        </w:rPr>
        <w:footnoteReference w:id="175"/>
      </w:r>
      <w:r w:rsidR="00773B3C" w:rsidRPr="00A51861">
        <w:rPr>
          <w:rFonts w:ascii="Cambria" w:eastAsia="Calibri" w:hAnsi="Cambria"/>
          <w:sz w:val="20"/>
          <w:szCs w:val="20"/>
          <w:bdr w:val="none" w:sz="0" w:space="0" w:color="auto"/>
        </w:rPr>
        <w:t xml:space="preserve">. </w:t>
      </w:r>
    </w:p>
    <w:p w14:paraId="13247564" w14:textId="77777777" w:rsidR="00773B3C" w:rsidRPr="00A51861" w:rsidRDefault="00773B3C" w:rsidP="008E4D36">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Cambria" w:eastAsia="Calibri" w:hAnsi="Cambria" w:cs="Tahoma"/>
          <w:color w:val="000000"/>
          <w:sz w:val="20"/>
          <w:szCs w:val="20"/>
          <w:bdr w:val="none" w:sz="0" w:space="0" w:color="auto"/>
        </w:rPr>
      </w:pPr>
    </w:p>
    <w:p w14:paraId="78B84BB3" w14:textId="3C93F581" w:rsidR="00773B3C" w:rsidRPr="00A51861" w:rsidRDefault="00337493"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eastAsia="Calibri" w:hAnsi="Cambria" w:cs="Tahoma"/>
          <w:color w:val="000000"/>
          <w:sz w:val="20"/>
          <w:szCs w:val="20"/>
          <w:bdr w:val="none" w:sz="0" w:space="0" w:color="auto"/>
        </w:rPr>
      </w:pPr>
      <w:r>
        <w:rPr>
          <w:rFonts w:ascii="Cambria" w:eastAsia="Calibri" w:hAnsi="Cambria"/>
          <w:sz w:val="20"/>
          <w:szCs w:val="20"/>
          <w:bdr w:val="none" w:sz="0" w:space="0" w:color="auto"/>
        </w:rPr>
        <w:t>On this matter</w:t>
      </w:r>
      <w:r w:rsidR="00773B3C" w:rsidRPr="00A51861">
        <w:rPr>
          <w:rFonts w:ascii="Cambria" w:eastAsia="Calibri" w:hAnsi="Cambria"/>
          <w:sz w:val="20"/>
          <w:szCs w:val="20"/>
          <w:bdr w:val="none" w:sz="0" w:space="0" w:color="auto"/>
        </w:rPr>
        <w:t xml:space="preserve">, </w:t>
      </w:r>
      <w:r w:rsidR="00A51861" w:rsidRPr="00A51861">
        <w:rPr>
          <w:rFonts w:ascii="Cambria" w:eastAsia="Calibri" w:hAnsi="Cambria"/>
          <w:sz w:val="20"/>
          <w:szCs w:val="20"/>
          <w:bdr w:val="none" w:sz="0" w:space="0" w:color="auto"/>
        </w:rPr>
        <w:t>the IACHR</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recognizes</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that</w:t>
      </w:r>
      <w:r w:rsidR="00773B3C" w:rsidRPr="00A51861">
        <w:rPr>
          <w:rFonts w:ascii="Cambria" w:eastAsia="Calibri" w:hAnsi="Cambria"/>
          <w:sz w:val="20"/>
          <w:szCs w:val="20"/>
          <w:bdr w:val="none" w:sz="0" w:space="0" w:color="auto"/>
        </w:rPr>
        <w:t xml:space="preserve"> </w:t>
      </w:r>
      <w:r w:rsidR="002D6E83">
        <w:rPr>
          <w:rFonts w:ascii="Cambria" w:eastAsia="Calibri" w:hAnsi="Cambria"/>
          <w:sz w:val="20"/>
          <w:szCs w:val="20"/>
          <w:bdr w:val="none" w:sz="0" w:space="0" w:color="auto"/>
        </w:rPr>
        <w:t>the States</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parties</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 xml:space="preserve">as a </w:t>
      </w:r>
      <w:r w:rsidR="00773B3C" w:rsidRPr="00A51861">
        <w:rPr>
          <w:rFonts w:ascii="Cambria" w:eastAsia="Calibri" w:hAnsi="Cambria"/>
          <w:sz w:val="20"/>
          <w:szCs w:val="20"/>
          <w:bdr w:val="none" w:sz="0" w:space="0" w:color="auto"/>
        </w:rPr>
        <w:t>cl</w:t>
      </w:r>
      <w:r w:rsidR="00347146">
        <w:rPr>
          <w:rFonts w:ascii="Cambria" w:eastAsia="Calibri" w:hAnsi="Cambria"/>
          <w:sz w:val="20"/>
          <w:szCs w:val="20"/>
          <w:bdr w:val="none" w:sz="0" w:space="0" w:color="auto"/>
        </w:rPr>
        <w:t>e</w:t>
      </w:r>
      <w:r w:rsidR="00773B3C" w:rsidRPr="00A51861">
        <w:rPr>
          <w:rFonts w:ascii="Cambria" w:eastAsia="Calibri" w:hAnsi="Cambria"/>
          <w:sz w:val="20"/>
          <w:szCs w:val="20"/>
          <w:bdr w:val="none" w:sz="0" w:space="0" w:color="auto"/>
        </w:rPr>
        <w:t>ar</w:t>
      </w:r>
      <w:r w:rsidR="0029564F">
        <w:rPr>
          <w:rFonts w:ascii="Cambria" w:eastAsia="Calibri" w:hAnsi="Cambria"/>
          <w:sz w:val="20"/>
          <w:szCs w:val="20"/>
          <w:bdr w:val="none" w:sz="0" w:space="0" w:color="auto"/>
        </w:rPr>
        <w:t xml:space="preserve">ly </w:t>
      </w:r>
      <w:r w:rsidR="00773B3C" w:rsidRPr="00A51861">
        <w:rPr>
          <w:rFonts w:ascii="Cambria" w:hAnsi="Cambria"/>
          <w:color w:val="000000" w:themeColor="text1"/>
          <w:sz w:val="20"/>
          <w:szCs w:val="20"/>
        </w:rPr>
        <w:t>establ</w:t>
      </w:r>
      <w:r w:rsidR="00347146">
        <w:rPr>
          <w:rFonts w:ascii="Cambria" w:hAnsi="Cambria"/>
          <w:color w:val="000000" w:themeColor="text1"/>
          <w:sz w:val="20"/>
          <w:szCs w:val="20"/>
        </w:rPr>
        <w:t>ished</w:t>
      </w:r>
      <w:r w:rsidR="00347146" w:rsidRPr="00347146">
        <w:rPr>
          <w:rFonts w:ascii="Cambria" w:eastAsia="Calibri" w:hAnsi="Cambria"/>
          <w:sz w:val="20"/>
          <w:szCs w:val="20"/>
          <w:bdr w:val="none" w:sz="0" w:space="0" w:color="auto"/>
        </w:rPr>
        <w:t xml:space="preserve"> </w:t>
      </w:r>
      <w:r w:rsidR="00347146">
        <w:rPr>
          <w:rFonts w:ascii="Cambria" w:eastAsia="Calibri" w:hAnsi="Cambria"/>
          <w:sz w:val="20"/>
          <w:szCs w:val="20"/>
          <w:bdr w:val="none" w:sz="0" w:space="0" w:color="auto"/>
        </w:rPr>
        <w:t>issue of international</w:t>
      </w:r>
      <w:r w:rsidR="00347146" w:rsidRPr="00A51861">
        <w:rPr>
          <w:rFonts w:ascii="Cambria" w:eastAsia="Calibri" w:hAnsi="Cambria"/>
          <w:sz w:val="20"/>
          <w:szCs w:val="20"/>
          <w:bdr w:val="none" w:sz="0" w:space="0" w:color="auto"/>
        </w:rPr>
        <w:t xml:space="preserve"> </w:t>
      </w:r>
      <w:r w:rsidR="00347146">
        <w:rPr>
          <w:rFonts w:ascii="Cambria" w:eastAsia="Calibri" w:hAnsi="Cambria"/>
          <w:sz w:val="20"/>
          <w:szCs w:val="20"/>
          <w:bdr w:val="none" w:sz="0" w:space="0" w:color="auto"/>
        </w:rPr>
        <w:t>law</w:t>
      </w:r>
      <w:r w:rsidR="00773B3C" w:rsidRPr="00A51861">
        <w:rPr>
          <w:rFonts w:ascii="Cambria" w:eastAsia="Calibri" w:hAnsi="Cambria"/>
          <w:sz w:val="20"/>
          <w:szCs w:val="20"/>
          <w:bdr w:val="none" w:sz="0" w:space="0" w:color="auto"/>
        </w:rPr>
        <w:t xml:space="preserve">, </w:t>
      </w:r>
      <w:r w:rsidR="00347146">
        <w:rPr>
          <w:rFonts w:ascii="Cambria" w:eastAsia="Calibri" w:hAnsi="Cambria"/>
          <w:sz w:val="20"/>
          <w:szCs w:val="20"/>
          <w:bdr w:val="none" w:sz="0" w:space="0" w:color="auto"/>
        </w:rPr>
        <w:t>have the right to control the entry</w:t>
      </w:r>
      <w:r w:rsidR="00773B3C" w:rsidRPr="00A51861">
        <w:rPr>
          <w:rFonts w:ascii="Cambria" w:eastAsia="Calibri" w:hAnsi="Cambria"/>
          <w:sz w:val="20"/>
          <w:szCs w:val="20"/>
          <w:bdr w:val="none" w:sz="0" w:space="0" w:color="auto"/>
        </w:rPr>
        <w:t xml:space="preserve">, </w:t>
      </w:r>
      <w:r w:rsidR="008333FF">
        <w:rPr>
          <w:rFonts w:ascii="Cambria" w:eastAsia="Calibri" w:hAnsi="Cambria"/>
          <w:sz w:val="20"/>
          <w:szCs w:val="20"/>
          <w:bdr w:val="none" w:sz="0" w:space="0" w:color="auto"/>
        </w:rPr>
        <w:t>residency</w:t>
      </w:r>
      <w:r w:rsidR="00E92985">
        <w:rPr>
          <w:rFonts w:ascii="Cambria" w:eastAsia="Calibri" w:hAnsi="Cambria"/>
          <w:sz w:val="20"/>
          <w:szCs w:val="20"/>
          <w:bdr w:val="none" w:sz="0" w:space="0" w:color="auto"/>
        </w:rPr>
        <w:t xml:space="preserve"> and </w:t>
      </w:r>
      <w:r w:rsidR="00103579">
        <w:rPr>
          <w:rFonts w:ascii="Cambria" w:eastAsia="Calibri" w:hAnsi="Cambria"/>
          <w:sz w:val="20"/>
          <w:szCs w:val="20"/>
          <w:bdr w:val="none" w:sz="0" w:space="0" w:color="auto"/>
        </w:rPr>
        <w:t xml:space="preserve">expulsion </w:t>
      </w:r>
      <w:r w:rsidR="00347146">
        <w:rPr>
          <w:rFonts w:ascii="Cambria" w:eastAsia="Calibri" w:hAnsi="Cambria"/>
          <w:sz w:val="20"/>
          <w:szCs w:val="20"/>
          <w:bdr w:val="none" w:sz="0" w:space="0" w:color="auto"/>
        </w:rPr>
        <w:t>of</w:t>
      </w:r>
      <w:r w:rsidR="00E92985">
        <w:rPr>
          <w:rFonts w:ascii="Cambria" w:eastAsia="Calibri" w:hAnsi="Cambria"/>
          <w:sz w:val="20"/>
          <w:szCs w:val="20"/>
          <w:bdr w:val="none" w:sz="0" w:space="0" w:color="auto"/>
        </w:rPr>
        <w:t xml:space="preserve"> </w:t>
      </w:r>
      <w:r w:rsidR="00347146">
        <w:rPr>
          <w:rFonts w:ascii="Cambria" w:eastAsia="Calibri" w:hAnsi="Cambria"/>
          <w:sz w:val="20"/>
          <w:szCs w:val="20"/>
          <w:bdr w:val="none" w:sz="0" w:space="0" w:color="auto"/>
        </w:rPr>
        <w:t>foreigners</w:t>
      </w:r>
      <w:r w:rsidR="00773B3C" w:rsidRPr="00A51861">
        <w:rPr>
          <w:rFonts w:ascii="Cambria" w:eastAsia="Calibri" w:hAnsi="Cambria"/>
          <w:sz w:val="20"/>
          <w:szCs w:val="20"/>
          <w:bdr w:val="none" w:sz="0" w:space="0" w:color="auto"/>
        </w:rPr>
        <w:t>.  </w:t>
      </w:r>
      <w:r w:rsidR="00376318">
        <w:rPr>
          <w:rFonts w:ascii="Cambria" w:eastAsia="Calibri" w:hAnsi="Cambria"/>
          <w:sz w:val="20"/>
          <w:szCs w:val="20"/>
          <w:bdr w:val="none" w:sz="0" w:space="0" w:color="auto"/>
        </w:rPr>
        <w:t>However</w:t>
      </w:r>
      <w:r w:rsidR="00773B3C" w:rsidRPr="00A51861">
        <w:rPr>
          <w:rFonts w:ascii="Cambria" w:eastAsia="Calibri" w:hAnsi="Cambria"/>
          <w:sz w:val="20"/>
          <w:szCs w:val="20"/>
          <w:bdr w:val="none" w:sz="0" w:space="0" w:color="auto"/>
        </w:rPr>
        <w:t xml:space="preserve">, </w:t>
      </w:r>
      <w:r w:rsidR="00347146">
        <w:rPr>
          <w:rFonts w:ascii="Cambria" w:eastAsia="Calibri" w:hAnsi="Cambria"/>
          <w:sz w:val="20"/>
          <w:szCs w:val="20"/>
          <w:bdr w:val="none" w:sz="0" w:space="0" w:color="auto"/>
        </w:rPr>
        <w:t xml:space="preserve">in the exercise </w:t>
      </w:r>
      <w:r w:rsidR="00E92985">
        <w:rPr>
          <w:rFonts w:ascii="Cambria" w:eastAsia="Calibri" w:hAnsi="Cambria"/>
          <w:sz w:val="20"/>
          <w:szCs w:val="20"/>
          <w:bdr w:val="none" w:sz="0" w:space="0" w:color="auto"/>
        </w:rPr>
        <w:t>of</w:t>
      </w:r>
      <w:r w:rsidR="00E64C43">
        <w:rPr>
          <w:rFonts w:ascii="Cambria" w:eastAsia="Calibri" w:hAnsi="Cambria"/>
          <w:sz w:val="20"/>
          <w:szCs w:val="20"/>
          <w:bdr w:val="none" w:sz="0" w:space="0" w:color="auto"/>
        </w:rPr>
        <w:t xml:space="preserve"> this </w:t>
      </w:r>
      <w:r w:rsidR="00E668EE">
        <w:rPr>
          <w:rFonts w:ascii="Cambria" w:eastAsia="Calibri" w:hAnsi="Cambria"/>
          <w:sz w:val="20"/>
          <w:szCs w:val="20"/>
          <w:bdr w:val="none" w:sz="0" w:space="0" w:color="auto"/>
        </w:rPr>
        <w:t>right</w:t>
      </w:r>
      <w:r w:rsidR="00773B3C" w:rsidRPr="00A51861">
        <w:rPr>
          <w:rFonts w:ascii="Cambria" w:eastAsia="Calibri" w:hAnsi="Cambria"/>
          <w:sz w:val="20"/>
          <w:szCs w:val="20"/>
          <w:bdr w:val="none" w:sz="0" w:space="0" w:color="auto"/>
        </w:rPr>
        <w:t xml:space="preserve"> </w:t>
      </w:r>
      <w:r w:rsidR="00347146">
        <w:rPr>
          <w:rFonts w:ascii="Cambria" w:eastAsia="Calibri" w:hAnsi="Cambria"/>
          <w:sz w:val="20"/>
          <w:szCs w:val="20"/>
          <w:bdr w:val="none" w:sz="0" w:space="0" w:color="auto"/>
        </w:rPr>
        <w:t>to expel</w:t>
      </w:r>
      <w:r w:rsidR="00773B3C" w:rsidRPr="00A51861">
        <w:rPr>
          <w:rFonts w:ascii="Cambria" w:eastAsia="Calibri" w:hAnsi="Cambria"/>
          <w:sz w:val="20"/>
          <w:szCs w:val="20"/>
          <w:bdr w:val="none" w:sz="0" w:space="0" w:color="auto"/>
        </w:rPr>
        <w:t xml:space="preserve"> </w:t>
      </w:r>
      <w:r w:rsidR="00347146">
        <w:rPr>
          <w:rFonts w:ascii="Cambria" w:eastAsia="Calibri" w:hAnsi="Cambria"/>
          <w:sz w:val="20"/>
          <w:szCs w:val="20"/>
          <w:bdr w:val="none" w:sz="0" w:space="0" w:color="auto"/>
        </w:rPr>
        <w:t>foreigners</w:t>
      </w:r>
      <w:r w:rsidR="00773B3C" w:rsidRPr="00A51861">
        <w:rPr>
          <w:rFonts w:ascii="Cambria" w:eastAsia="Calibri" w:hAnsi="Cambria"/>
          <w:sz w:val="20"/>
          <w:szCs w:val="20"/>
          <w:bdr w:val="none" w:sz="0" w:space="0" w:color="auto"/>
        </w:rPr>
        <w:t xml:space="preserve">, </w:t>
      </w:r>
      <w:r w:rsidR="002D6E83">
        <w:rPr>
          <w:rFonts w:ascii="Cambria" w:eastAsia="Calibri" w:hAnsi="Cambria"/>
          <w:sz w:val="20"/>
          <w:szCs w:val="20"/>
          <w:bdr w:val="none" w:sz="0" w:space="0" w:color="auto"/>
        </w:rPr>
        <w:t xml:space="preserve">the </w:t>
      </w:r>
      <w:r w:rsidR="00347146">
        <w:rPr>
          <w:rFonts w:ascii="Cambria" w:eastAsia="Calibri" w:hAnsi="Cambria"/>
          <w:sz w:val="20"/>
          <w:szCs w:val="20"/>
          <w:bdr w:val="none" w:sz="0" w:space="0" w:color="auto"/>
        </w:rPr>
        <w:t xml:space="preserve">member </w:t>
      </w:r>
      <w:r w:rsidR="002D6E83">
        <w:rPr>
          <w:rFonts w:ascii="Cambria" w:eastAsia="Calibri" w:hAnsi="Cambria"/>
          <w:sz w:val="20"/>
          <w:szCs w:val="20"/>
          <w:bdr w:val="none" w:sz="0" w:space="0" w:color="auto"/>
        </w:rPr>
        <w:t>States</w:t>
      </w:r>
      <w:r w:rsidR="00773B3C" w:rsidRPr="00A51861">
        <w:rPr>
          <w:rFonts w:ascii="Cambria" w:eastAsia="Calibri" w:hAnsi="Cambria"/>
          <w:sz w:val="20"/>
          <w:szCs w:val="20"/>
          <w:bdr w:val="none" w:sz="0" w:space="0" w:color="auto"/>
        </w:rPr>
        <w:t xml:space="preserve"> </w:t>
      </w:r>
      <w:r w:rsidR="00347146">
        <w:rPr>
          <w:rFonts w:ascii="Cambria" w:eastAsia="Calibri" w:hAnsi="Cambria"/>
          <w:sz w:val="20"/>
          <w:szCs w:val="20"/>
          <w:bdr w:val="none" w:sz="0" w:space="0" w:color="auto"/>
        </w:rPr>
        <w:t>must consider certain</w:t>
      </w:r>
      <w:r w:rsidR="00773B3C" w:rsidRPr="00A51861">
        <w:rPr>
          <w:rFonts w:ascii="Cambria" w:eastAsia="Calibri" w:hAnsi="Cambria"/>
          <w:sz w:val="20"/>
          <w:szCs w:val="20"/>
          <w:bdr w:val="none" w:sz="0" w:space="0" w:color="auto"/>
        </w:rPr>
        <w:t xml:space="preserve"> </w:t>
      </w:r>
      <w:r w:rsidR="00347146" w:rsidRPr="00A51861">
        <w:rPr>
          <w:rFonts w:ascii="Cambria" w:eastAsia="Calibri" w:hAnsi="Cambria"/>
          <w:sz w:val="20"/>
          <w:szCs w:val="20"/>
          <w:bdr w:val="none" w:sz="0" w:space="0" w:color="auto"/>
        </w:rPr>
        <w:t>protections</w:t>
      </w:r>
      <w:r w:rsidR="00773B3C" w:rsidRPr="00A51861">
        <w:rPr>
          <w:rFonts w:ascii="Cambria" w:eastAsia="Calibri" w:hAnsi="Cambria"/>
          <w:sz w:val="20"/>
          <w:szCs w:val="20"/>
          <w:bdr w:val="none" w:sz="0" w:space="0" w:color="auto"/>
        </w:rPr>
        <w:t xml:space="preserve"> </w:t>
      </w:r>
      <w:r w:rsidR="00347146">
        <w:rPr>
          <w:rFonts w:ascii="Cambria" w:eastAsia="Calibri" w:hAnsi="Cambria"/>
          <w:sz w:val="20"/>
          <w:szCs w:val="20"/>
          <w:bdr w:val="none" w:sz="0" w:space="0" w:color="auto"/>
        </w:rPr>
        <w:t>which enshrine</w:t>
      </w:r>
      <w:r w:rsidR="00773B3C" w:rsidRPr="00A51861">
        <w:rPr>
          <w:rFonts w:ascii="Cambria" w:eastAsia="Calibri" w:hAnsi="Cambria"/>
          <w:sz w:val="20"/>
          <w:szCs w:val="20"/>
          <w:bdr w:val="none" w:sz="0" w:space="0" w:color="auto"/>
        </w:rPr>
        <w:t xml:space="preserve"> fundamental</w:t>
      </w:r>
      <w:r w:rsidR="00347146">
        <w:rPr>
          <w:rFonts w:ascii="Cambria" w:eastAsia="Calibri" w:hAnsi="Cambria"/>
          <w:sz w:val="20"/>
          <w:szCs w:val="20"/>
          <w:bdr w:val="none" w:sz="0" w:space="0" w:color="auto"/>
        </w:rPr>
        <w:t xml:space="preserve"> valu</w:t>
      </w:r>
      <w:r w:rsidR="00773B3C" w:rsidRPr="00A51861">
        <w:rPr>
          <w:rFonts w:ascii="Cambria" w:eastAsia="Calibri" w:hAnsi="Cambria"/>
          <w:sz w:val="20"/>
          <w:szCs w:val="20"/>
          <w:bdr w:val="none" w:sz="0" w:space="0" w:color="auto"/>
        </w:rPr>
        <w:t>es</w:t>
      </w:r>
      <w:r w:rsidR="00E92985">
        <w:rPr>
          <w:rFonts w:ascii="Cambria" w:eastAsia="Calibri" w:hAnsi="Cambria"/>
          <w:sz w:val="20"/>
          <w:szCs w:val="20"/>
          <w:bdr w:val="none" w:sz="0" w:space="0" w:color="auto"/>
        </w:rPr>
        <w:t xml:space="preserve"> of </w:t>
      </w:r>
      <w:r w:rsidR="00347146">
        <w:rPr>
          <w:rFonts w:ascii="Cambria" w:eastAsia="Calibri" w:hAnsi="Cambria"/>
          <w:sz w:val="20"/>
          <w:szCs w:val="20"/>
          <w:bdr w:val="none" w:sz="0" w:space="0" w:color="auto"/>
        </w:rPr>
        <w:t>democratic</w:t>
      </w:r>
      <w:r w:rsidR="00347146" w:rsidRPr="00A51861">
        <w:rPr>
          <w:rFonts w:ascii="Cambria" w:eastAsia="Calibri" w:hAnsi="Cambria"/>
          <w:sz w:val="20"/>
          <w:szCs w:val="20"/>
          <w:bdr w:val="none" w:sz="0" w:space="0" w:color="auto"/>
        </w:rPr>
        <w:t xml:space="preserve"> </w:t>
      </w:r>
      <w:r w:rsidR="00773B3C" w:rsidRPr="00A51861">
        <w:rPr>
          <w:rFonts w:ascii="Cambria" w:eastAsia="Calibri" w:hAnsi="Cambria"/>
          <w:sz w:val="20"/>
          <w:szCs w:val="20"/>
          <w:bdr w:val="none" w:sz="0" w:space="0" w:color="auto"/>
        </w:rPr>
        <w:t>socie</w:t>
      </w:r>
      <w:r w:rsidR="00347146">
        <w:rPr>
          <w:rFonts w:ascii="Cambria" w:eastAsia="Calibri" w:hAnsi="Cambria"/>
          <w:sz w:val="20"/>
          <w:szCs w:val="20"/>
          <w:bdr w:val="none" w:sz="0" w:space="0" w:color="auto"/>
        </w:rPr>
        <w:t>ti</w:t>
      </w:r>
      <w:r w:rsidR="00773B3C" w:rsidRPr="00A51861">
        <w:rPr>
          <w:rFonts w:ascii="Cambria" w:eastAsia="Calibri" w:hAnsi="Cambria"/>
          <w:sz w:val="20"/>
          <w:szCs w:val="20"/>
          <w:bdr w:val="none" w:sz="0" w:space="0" w:color="auto"/>
        </w:rPr>
        <w:t>es</w:t>
      </w:r>
      <w:r w:rsidR="00680DA3">
        <w:rPr>
          <w:rFonts w:ascii="Cambria" w:eastAsia="Calibri" w:hAnsi="Cambria"/>
          <w:sz w:val="20"/>
          <w:szCs w:val="20"/>
          <w:bdr w:val="none" w:sz="0" w:space="0" w:color="auto"/>
        </w:rPr>
        <w:t>.  Th</w:t>
      </w:r>
      <w:r w:rsidR="00E92985">
        <w:rPr>
          <w:rFonts w:ascii="Cambria" w:eastAsia="Calibri" w:hAnsi="Cambria"/>
          <w:sz w:val="20"/>
          <w:szCs w:val="20"/>
          <w:bdr w:val="none" w:sz="0" w:space="0" w:color="auto"/>
        </w:rPr>
        <w:t>e Inter-American Commission</w:t>
      </w:r>
      <w:r w:rsidR="00773B3C" w:rsidRPr="00A51861">
        <w:rPr>
          <w:rFonts w:ascii="Cambria" w:eastAsia="Calibri" w:hAnsi="Cambria"/>
          <w:sz w:val="20"/>
          <w:szCs w:val="20"/>
          <w:bdr w:val="none" w:sz="0" w:space="0" w:color="auto"/>
        </w:rPr>
        <w:t xml:space="preserve"> </w:t>
      </w:r>
      <w:r w:rsidR="00680DA3">
        <w:rPr>
          <w:rFonts w:ascii="Cambria" w:eastAsia="Calibri" w:hAnsi="Cambria"/>
          <w:sz w:val="20"/>
          <w:szCs w:val="20"/>
          <w:bdr w:val="none" w:sz="0" w:space="0" w:color="auto"/>
        </w:rPr>
        <w:t xml:space="preserve">recognizes that each State </w:t>
      </w:r>
      <w:r w:rsidR="00773B3C" w:rsidRPr="00A51861">
        <w:rPr>
          <w:rFonts w:ascii="Cambria" w:eastAsia="Calibri" w:hAnsi="Cambria"/>
          <w:sz w:val="20"/>
          <w:szCs w:val="20"/>
          <w:bdr w:val="none" w:sz="0" w:space="0" w:color="auto"/>
        </w:rPr>
        <w:t>determin</w:t>
      </w:r>
      <w:r w:rsidR="00680DA3">
        <w:rPr>
          <w:rFonts w:ascii="Cambria" w:eastAsia="Calibri" w:hAnsi="Cambria"/>
          <w:sz w:val="20"/>
          <w:szCs w:val="20"/>
          <w:bdr w:val="none" w:sz="0" w:space="0" w:color="auto"/>
        </w:rPr>
        <w:t>es</w:t>
      </w:r>
      <w:r w:rsidR="00773B3C" w:rsidRPr="00A51861">
        <w:rPr>
          <w:rFonts w:ascii="Cambria" w:eastAsia="Calibri" w:hAnsi="Cambria"/>
          <w:sz w:val="20"/>
          <w:szCs w:val="20"/>
          <w:bdr w:val="none" w:sz="0" w:space="0" w:color="auto"/>
        </w:rPr>
        <w:t xml:space="preserve"> </w:t>
      </w:r>
      <w:r w:rsidR="00680DA3">
        <w:rPr>
          <w:rFonts w:ascii="Cambria" w:eastAsia="Calibri" w:hAnsi="Cambria"/>
          <w:sz w:val="20"/>
          <w:szCs w:val="20"/>
          <w:bdr w:val="none" w:sz="0" w:space="0" w:color="auto"/>
        </w:rPr>
        <w:t>its own</w:t>
      </w:r>
      <w:r w:rsidR="00E92985">
        <w:rPr>
          <w:rFonts w:ascii="Cambria" w:eastAsia="Calibri" w:hAnsi="Cambria"/>
          <w:sz w:val="20"/>
          <w:szCs w:val="20"/>
          <w:bdr w:val="none" w:sz="0" w:space="0" w:color="auto"/>
        </w:rPr>
        <w:t xml:space="preserve"> </w:t>
      </w:r>
      <w:r w:rsidR="00680DA3" w:rsidRPr="00A51861">
        <w:rPr>
          <w:rFonts w:ascii="Cambria" w:eastAsia="Calibri" w:hAnsi="Cambria"/>
          <w:sz w:val="20"/>
          <w:szCs w:val="20"/>
          <w:bdr w:val="none" w:sz="0" w:space="0" w:color="auto"/>
        </w:rPr>
        <w:t>immigration</w:t>
      </w:r>
      <w:r w:rsidR="00680DA3">
        <w:rPr>
          <w:rFonts w:ascii="Cambria" w:eastAsia="Calibri" w:hAnsi="Cambria"/>
          <w:sz w:val="20"/>
          <w:szCs w:val="20"/>
          <w:bdr w:val="none" w:sz="0" w:space="0" w:color="auto"/>
        </w:rPr>
        <w:t xml:space="preserve"> policies</w:t>
      </w:r>
      <w:r w:rsidR="00773B3C" w:rsidRPr="00A51861">
        <w:rPr>
          <w:rFonts w:ascii="Cambria" w:eastAsia="Calibri" w:hAnsi="Cambria"/>
          <w:sz w:val="20"/>
          <w:szCs w:val="20"/>
          <w:bdr w:val="none" w:sz="0" w:space="0" w:color="auto"/>
        </w:rPr>
        <w:t xml:space="preserve">, </w:t>
      </w:r>
      <w:r w:rsidR="00680DA3">
        <w:rPr>
          <w:rFonts w:ascii="Cambria" w:eastAsia="Calibri" w:hAnsi="Cambria"/>
          <w:sz w:val="20"/>
          <w:szCs w:val="20"/>
          <w:bdr w:val="none" w:sz="0" w:space="0" w:color="auto"/>
        </w:rPr>
        <w:t>although within limits which do not breach</w:t>
      </w:r>
      <w:r w:rsidR="00E92985">
        <w:rPr>
          <w:rFonts w:ascii="Cambria" w:eastAsia="Calibri" w:hAnsi="Cambria"/>
          <w:sz w:val="20"/>
          <w:szCs w:val="20"/>
          <w:bdr w:val="none" w:sz="0" w:space="0" w:color="auto"/>
        </w:rPr>
        <w:t xml:space="preserve"> </w:t>
      </w:r>
      <w:r w:rsidR="00680DA3">
        <w:rPr>
          <w:rFonts w:ascii="Cambria" w:eastAsia="Calibri" w:hAnsi="Cambria"/>
          <w:sz w:val="20"/>
          <w:szCs w:val="20"/>
          <w:bdr w:val="none" w:sz="0" w:space="0" w:color="auto"/>
        </w:rPr>
        <w:t xml:space="preserve">the </w:t>
      </w:r>
      <w:r w:rsidR="00E668EE">
        <w:rPr>
          <w:rFonts w:ascii="Cambria" w:eastAsia="Calibri" w:hAnsi="Cambria"/>
          <w:sz w:val="20"/>
          <w:szCs w:val="20"/>
          <w:bdr w:val="none" w:sz="0" w:space="0" w:color="auto"/>
        </w:rPr>
        <w:t>r</w:t>
      </w:r>
      <w:r w:rsidR="004C5A00">
        <w:rPr>
          <w:rFonts w:ascii="Cambria" w:eastAsia="Calibri" w:hAnsi="Cambria"/>
          <w:sz w:val="20"/>
          <w:szCs w:val="20"/>
          <w:bdr w:val="none" w:sz="0" w:space="0" w:color="auto"/>
        </w:rPr>
        <w:t>ights</w:t>
      </w:r>
      <w:r w:rsidR="00680DA3">
        <w:rPr>
          <w:rFonts w:ascii="Cambria" w:eastAsia="Calibri" w:hAnsi="Cambria"/>
          <w:sz w:val="20"/>
          <w:szCs w:val="20"/>
          <w:bdr w:val="none" w:sz="0" w:space="0" w:color="auto"/>
        </w:rPr>
        <w:t xml:space="preserve"> of citizens when leaving or entering the country</w:t>
      </w:r>
      <w:r w:rsidR="004969F4">
        <w:rPr>
          <w:rFonts w:ascii="Cambria" w:eastAsia="Calibri" w:hAnsi="Cambria"/>
          <w:sz w:val="20"/>
          <w:szCs w:val="20"/>
          <w:bdr w:val="none" w:sz="0" w:space="0" w:color="auto"/>
        </w:rPr>
        <w:t xml:space="preserve"> </w:t>
      </w:r>
      <w:r w:rsidR="00680DA3">
        <w:rPr>
          <w:rFonts w:ascii="Cambria" w:eastAsia="Calibri" w:hAnsi="Cambria"/>
          <w:sz w:val="20"/>
          <w:szCs w:val="20"/>
          <w:bdr w:val="none" w:sz="0" w:space="0" w:color="auto"/>
        </w:rPr>
        <w:t>or to settle in any part of their</w:t>
      </w:r>
      <w:r w:rsidR="00773B3C" w:rsidRPr="00A51861">
        <w:rPr>
          <w:rFonts w:ascii="Cambria" w:eastAsia="Calibri" w:hAnsi="Cambria"/>
          <w:sz w:val="20"/>
          <w:szCs w:val="20"/>
          <w:bdr w:val="none" w:sz="0" w:space="0" w:color="auto"/>
        </w:rPr>
        <w:t xml:space="preserve"> territor</w:t>
      </w:r>
      <w:r w:rsidR="00680DA3">
        <w:rPr>
          <w:rFonts w:ascii="Cambria" w:eastAsia="Calibri" w:hAnsi="Cambria"/>
          <w:sz w:val="20"/>
          <w:szCs w:val="20"/>
          <w:bdr w:val="none" w:sz="0" w:space="0" w:color="auto"/>
        </w:rPr>
        <w:t>y.  Th</w:t>
      </w:r>
      <w:r w:rsidR="00E64C43">
        <w:rPr>
          <w:rFonts w:ascii="Cambria" w:eastAsia="Calibri" w:hAnsi="Cambria"/>
          <w:sz w:val="20"/>
          <w:szCs w:val="20"/>
          <w:bdr w:val="none" w:sz="0" w:space="0" w:color="auto"/>
        </w:rPr>
        <w:t xml:space="preserve">is </w:t>
      </w:r>
      <w:r w:rsidR="00773B3C" w:rsidRPr="00A51861">
        <w:rPr>
          <w:rFonts w:ascii="Cambria" w:eastAsia="Calibri" w:hAnsi="Cambria"/>
          <w:sz w:val="20"/>
          <w:szCs w:val="20"/>
          <w:bdr w:val="none" w:sz="0" w:space="0" w:color="auto"/>
        </w:rPr>
        <w:t>po</w:t>
      </w:r>
      <w:r w:rsidR="00680DA3">
        <w:rPr>
          <w:rFonts w:ascii="Cambria" w:eastAsia="Calibri" w:hAnsi="Cambria"/>
          <w:sz w:val="20"/>
          <w:szCs w:val="20"/>
          <w:bdr w:val="none" w:sz="0" w:space="0" w:color="auto"/>
        </w:rPr>
        <w:t>licy</w:t>
      </w:r>
      <w:r w:rsidR="00E92985">
        <w:rPr>
          <w:rFonts w:ascii="Cambria" w:eastAsia="Calibri" w:hAnsi="Cambria"/>
          <w:sz w:val="20"/>
          <w:szCs w:val="20"/>
          <w:bdr w:val="none" w:sz="0" w:space="0" w:color="auto"/>
        </w:rPr>
        <w:t xml:space="preserve"> of </w:t>
      </w:r>
      <w:r w:rsidR="00680DA3">
        <w:rPr>
          <w:rFonts w:ascii="Cambria" w:eastAsia="Calibri" w:hAnsi="Cambria"/>
          <w:sz w:val="20"/>
          <w:szCs w:val="20"/>
          <w:bdr w:val="none" w:sz="0" w:space="0" w:color="auto"/>
        </w:rPr>
        <w:t>immigration</w:t>
      </w:r>
      <w:r w:rsidR="00773B3C" w:rsidRPr="00A51861">
        <w:rPr>
          <w:rFonts w:ascii="Cambria" w:eastAsia="Calibri" w:hAnsi="Cambria"/>
          <w:sz w:val="20"/>
          <w:szCs w:val="20"/>
          <w:bdr w:val="none" w:sz="0" w:space="0" w:color="auto"/>
        </w:rPr>
        <w:t xml:space="preserve"> </w:t>
      </w:r>
      <w:r w:rsidR="00680DA3">
        <w:rPr>
          <w:rFonts w:ascii="Cambria" w:eastAsia="Calibri" w:hAnsi="Cambria"/>
          <w:sz w:val="20"/>
          <w:szCs w:val="20"/>
          <w:bdr w:val="none" w:sz="0" w:space="0" w:color="auto"/>
        </w:rPr>
        <w:t>must grant</w:t>
      </w:r>
      <w:r w:rsidR="00773B3C" w:rsidRPr="00A51861">
        <w:rPr>
          <w:rFonts w:ascii="Cambria" w:eastAsia="Calibri" w:hAnsi="Cambria"/>
          <w:sz w:val="20"/>
          <w:szCs w:val="20"/>
          <w:bdr w:val="none" w:sz="0" w:space="0" w:color="auto"/>
        </w:rPr>
        <w:t xml:space="preserve"> </w:t>
      </w:r>
      <w:r w:rsidR="00680DA3">
        <w:rPr>
          <w:rFonts w:ascii="Cambria" w:eastAsia="Calibri" w:hAnsi="Cambria"/>
          <w:sz w:val="20"/>
          <w:szCs w:val="20"/>
          <w:bdr w:val="none" w:sz="0" w:space="0" w:color="auto"/>
        </w:rPr>
        <w:t>legal</w:t>
      </w:r>
      <w:r w:rsidR="00680DA3" w:rsidRPr="00A51861">
        <w:rPr>
          <w:rFonts w:ascii="Cambria" w:eastAsia="Calibri" w:hAnsi="Cambria"/>
          <w:sz w:val="20"/>
          <w:szCs w:val="20"/>
          <w:bdr w:val="none" w:sz="0" w:space="0" w:color="auto"/>
        </w:rPr>
        <w:t xml:space="preserve"> </w:t>
      </w:r>
      <w:r w:rsidR="00347146">
        <w:rPr>
          <w:rFonts w:ascii="Cambria" w:eastAsia="Calibri" w:hAnsi="Cambria"/>
          <w:sz w:val="20"/>
          <w:szCs w:val="20"/>
          <w:bdr w:val="none" w:sz="0" w:space="0" w:color="auto"/>
        </w:rPr>
        <w:t>foreigners</w:t>
      </w:r>
      <w:r w:rsidR="00773B3C" w:rsidRPr="00A51861">
        <w:rPr>
          <w:rFonts w:ascii="Cambria" w:eastAsia="Calibri" w:hAnsi="Cambria"/>
          <w:sz w:val="20"/>
          <w:szCs w:val="20"/>
          <w:bdr w:val="none" w:sz="0" w:space="0" w:color="auto"/>
        </w:rPr>
        <w:t xml:space="preserve"> </w:t>
      </w:r>
      <w:r w:rsidR="00680DA3">
        <w:rPr>
          <w:rFonts w:ascii="Cambria" w:eastAsia="Calibri" w:hAnsi="Cambria"/>
          <w:sz w:val="20"/>
          <w:szCs w:val="20"/>
          <w:bdr w:val="none" w:sz="0" w:space="0" w:color="auto"/>
        </w:rPr>
        <w:t xml:space="preserve">the juridical right to not being </w:t>
      </w:r>
      <w:r w:rsidR="00773B3C" w:rsidRPr="00A51861">
        <w:rPr>
          <w:rFonts w:ascii="Cambria" w:eastAsia="Calibri" w:hAnsi="Cambria"/>
          <w:sz w:val="20"/>
          <w:szCs w:val="20"/>
          <w:bdr w:val="none" w:sz="0" w:space="0" w:color="auto"/>
        </w:rPr>
        <w:t>deport</w:t>
      </w:r>
      <w:r w:rsidR="00680DA3">
        <w:rPr>
          <w:rFonts w:ascii="Cambria" w:eastAsia="Calibri" w:hAnsi="Cambria"/>
          <w:sz w:val="20"/>
          <w:szCs w:val="20"/>
          <w:bdr w:val="none" w:sz="0" w:space="0" w:color="auto"/>
        </w:rPr>
        <w:t>ed</w:t>
      </w:r>
      <w:r w:rsidR="00773B3C" w:rsidRPr="00A51861">
        <w:rPr>
          <w:rFonts w:ascii="Cambria" w:eastAsia="Calibri" w:hAnsi="Cambria"/>
          <w:sz w:val="20"/>
          <w:szCs w:val="20"/>
          <w:bdr w:val="none" w:sz="0" w:space="0" w:color="auto"/>
        </w:rPr>
        <w:t xml:space="preserve"> </w:t>
      </w:r>
      <w:r w:rsidR="00680DA3">
        <w:rPr>
          <w:rFonts w:ascii="Cambria" w:eastAsia="Calibri" w:hAnsi="Cambria"/>
          <w:sz w:val="20"/>
          <w:szCs w:val="20"/>
          <w:bdr w:val="none" w:sz="0" w:space="0" w:color="auto"/>
        </w:rPr>
        <w:t>without a</w:t>
      </w:r>
      <w:r w:rsidR="00773B3C" w:rsidRPr="00A51861">
        <w:rPr>
          <w:rFonts w:ascii="Cambria" w:eastAsia="Calibri" w:hAnsi="Cambria"/>
          <w:sz w:val="20"/>
          <w:szCs w:val="20"/>
          <w:bdr w:val="none" w:sz="0" w:space="0" w:color="auto"/>
        </w:rPr>
        <w:t xml:space="preserve"> </w:t>
      </w:r>
      <w:r w:rsidR="00680DA3" w:rsidRPr="00A51861">
        <w:rPr>
          <w:rFonts w:ascii="Cambria" w:eastAsia="Calibri" w:hAnsi="Cambria"/>
          <w:sz w:val="20"/>
          <w:szCs w:val="20"/>
          <w:bdr w:val="none" w:sz="0" w:space="0" w:color="auto"/>
        </w:rPr>
        <w:t xml:space="preserve">firm </w:t>
      </w:r>
      <w:r w:rsidR="00F92BA8">
        <w:rPr>
          <w:rFonts w:ascii="Cambria" w:eastAsia="Calibri" w:hAnsi="Cambria"/>
          <w:sz w:val="20"/>
          <w:szCs w:val="20"/>
          <w:bdr w:val="none" w:sz="0" w:space="0" w:color="auto"/>
        </w:rPr>
        <w:t xml:space="preserve">decision </w:t>
      </w:r>
      <w:r w:rsidR="00680DA3">
        <w:rPr>
          <w:rFonts w:ascii="Cambria" w:eastAsia="Calibri" w:hAnsi="Cambria"/>
          <w:sz w:val="20"/>
          <w:szCs w:val="20"/>
          <w:bdr w:val="none" w:sz="0" w:space="0" w:color="auto"/>
        </w:rPr>
        <w:t>supported by</w:t>
      </w:r>
      <w:r w:rsidR="009A4F91">
        <w:rPr>
          <w:rFonts w:ascii="Cambria" w:eastAsia="Calibri" w:hAnsi="Cambria"/>
          <w:sz w:val="20"/>
          <w:szCs w:val="20"/>
          <w:bdr w:val="none" w:sz="0" w:space="0" w:color="auto"/>
        </w:rPr>
        <w:t xml:space="preserve"> the </w:t>
      </w:r>
      <w:r w:rsidR="0029564F">
        <w:rPr>
          <w:rFonts w:ascii="Cambria" w:eastAsia="Calibri" w:hAnsi="Cambria"/>
          <w:sz w:val="20"/>
          <w:szCs w:val="20"/>
          <w:bdr w:val="none" w:sz="0" w:space="0" w:color="auto"/>
        </w:rPr>
        <w:t>law</w:t>
      </w:r>
      <w:r w:rsidR="00773B3C" w:rsidRPr="00A51861">
        <w:rPr>
          <w:rFonts w:ascii="Cambria" w:eastAsia="Calibri" w:hAnsi="Cambria"/>
          <w:sz w:val="20"/>
          <w:szCs w:val="20"/>
          <w:bdr w:val="none" w:sz="0" w:space="0" w:color="auto"/>
        </w:rPr>
        <w:t>,</w:t>
      </w:r>
      <w:r w:rsidR="00E92985">
        <w:rPr>
          <w:rFonts w:ascii="Cambria" w:eastAsia="Calibri" w:hAnsi="Cambria"/>
          <w:sz w:val="20"/>
          <w:szCs w:val="20"/>
          <w:bdr w:val="none" w:sz="0" w:space="0" w:color="auto"/>
        </w:rPr>
        <w:t xml:space="preserve"> and </w:t>
      </w:r>
      <w:r w:rsidR="00680DA3">
        <w:rPr>
          <w:rFonts w:ascii="Cambria" w:eastAsia="Calibri" w:hAnsi="Cambria"/>
          <w:sz w:val="20"/>
          <w:szCs w:val="20"/>
          <w:bdr w:val="none" w:sz="0" w:space="0" w:color="auto"/>
        </w:rPr>
        <w:t>must</w:t>
      </w:r>
      <w:r w:rsidR="00773B3C" w:rsidRPr="00A51861">
        <w:rPr>
          <w:rFonts w:ascii="Cambria" w:eastAsia="Calibri" w:hAnsi="Cambria"/>
          <w:sz w:val="20"/>
          <w:szCs w:val="20"/>
          <w:bdr w:val="none" w:sz="0" w:space="0" w:color="auto"/>
        </w:rPr>
        <w:t xml:space="preserve"> </w:t>
      </w:r>
      <w:r w:rsidR="00680DA3">
        <w:rPr>
          <w:rFonts w:ascii="Cambria" w:eastAsia="Calibri" w:hAnsi="Cambria"/>
          <w:sz w:val="20"/>
          <w:szCs w:val="20"/>
          <w:bdr w:val="none" w:sz="0" w:space="0" w:color="auto"/>
        </w:rPr>
        <w:t>forbid</w:t>
      </w:r>
      <w:r w:rsidR="009A4F91">
        <w:rPr>
          <w:rFonts w:ascii="Cambria" w:eastAsia="Calibri" w:hAnsi="Cambria"/>
          <w:sz w:val="20"/>
          <w:szCs w:val="20"/>
          <w:bdr w:val="none" w:sz="0" w:space="0" w:color="auto"/>
        </w:rPr>
        <w:t xml:space="preserve"> the </w:t>
      </w:r>
      <w:r w:rsidR="00680DA3" w:rsidRPr="00A51861">
        <w:rPr>
          <w:rFonts w:ascii="Cambria" w:eastAsia="Calibri" w:hAnsi="Cambria"/>
          <w:sz w:val="20"/>
          <w:szCs w:val="20"/>
          <w:bdr w:val="none" w:sz="0" w:space="0" w:color="auto"/>
        </w:rPr>
        <w:t>collective</w:t>
      </w:r>
      <w:r w:rsidR="00680DA3">
        <w:rPr>
          <w:rFonts w:ascii="Cambria" w:eastAsia="Calibri" w:hAnsi="Cambria"/>
          <w:sz w:val="20"/>
          <w:szCs w:val="20"/>
          <w:bdr w:val="none" w:sz="0" w:space="0" w:color="auto"/>
        </w:rPr>
        <w:t xml:space="preserve"> </w:t>
      </w:r>
      <w:r w:rsidR="00103579">
        <w:rPr>
          <w:rFonts w:ascii="Cambria" w:eastAsia="Calibri" w:hAnsi="Cambria"/>
          <w:sz w:val="20"/>
          <w:szCs w:val="20"/>
          <w:bdr w:val="none" w:sz="0" w:space="0" w:color="auto"/>
        </w:rPr>
        <w:t>expulsion</w:t>
      </w:r>
      <w:r w:rsidR="00773B3C" w:rsidRPr="00A51861">
        <w:rPr>
          <w:rFonts w:ascii="Cambria" w:eastAsia="Calibri" w:hAnsi="Cambria"/>
          <w:sz w:val="20"/>
          <w:szCs w:val="20"/>
          <w:bdr w:val="none" w:sz="0" w:space="0" w:color="auto"/>
        </w:rPr>
        <w:t xml:space="preserve"> </w:t>
      </w:r>
      <w:r w:rsidR="00E92985">
        <w:rPr>
          <w:rFonts w:ascii="Cambria" w:eastAsia="Calibri" w:hAnsi="Cambria"/>
          <w:sz w:val="20"/>
          <w:szCs w:val="20"/>
          <w:bdr w:val="none" w:sz="0" w:space="0" w:color="auto"/>
        </w:rPr>
        <w:t xml:space="preserve">of </w:t>
      </w:r>
      <w:r w:rsidR="00347146">
        <w:rPr>
          <w:rFonts w:ascii="Cambria" w:eastAsia="Calibri" w:hAnsi="Cambria"/>
          <w:sz w:val="20"/>
          <w:szCs w:val="20"/>
          <w:bdr w:val="none" w:sz="0" w:space="0" w:color="auto"/>
        </w:rPr>
        <w:t>foreigners</w:t>
      </w:r>
      <w:r w:rsidR="00773B3C" w:rsidRPr="00A51861">
        <w:rPr>
          <w:rFonts w:ascii="Cambria" w:eastAsia="Calibri" w:hAnsi="Cambria"/>
          <w:sz w:val="20"/>
          <w:szCs w:val="20"/>
          <w:bdr w:val="none" w:sz="0" w:space="0" w:color="auto"/>
        </w:rPr>
        <w:t xml:space="preserve">, </w:t>
      </w:r>
      <w:r w:rsidR="000E027A">
        <w:rPr>
          <w:rFonts w:ascii="Cambria" w:eastAsia="Calibri" w:hAnsi="Cambria"/>
          <w:sz w:val="20"/>
          <w:szCs w:val="20"/>
          <w:bdr w:val="none" w:sz="0" w:space="0" w:color="auto"/>
        </w:rPr>
        <w:t>regardless of their juridical status</w:t>
      </w:r>
      <w:r w:rsidR="00773B3C" w:rsidRPr="00A51861">
        <w:rPr>
          <w:rFonts w:ascii="Cambria" w:eastAsia="Calibri" w:hAnsi="Cambria"/>
          <w:sz w:val="20"/>
          <w:szCs w:val="20"/>
          <w:bdr w:val="none" w:sz="0" w:space="0" w:color="auto"/>
        </w:rPr>
        <w:t>.  </w:t>
      </w:r>
      <w:r w:rsidR="000E027A" w:rsidRPr="00A51861">
        <w:rPr>
          <w:rFonts w:ascii="Cambria" w:eastAsia="Calibri" w:hAnsi="Cambria"/>
          <w:sz w:val="20"/>
          <w:szCs w:val="20"/>
          <w:bdr w:val="none" w:sz="0" w:space="0" w:color="auto"/>
        </w:rPr>
        <w:t>Analog</w:t>
      </w:r>
      <w:r w:rsidR="000E027A">
        <w:rPr>
          <w:rFonts w:ascii="Cambria" w:eastAsia="Calibri" w:hAnsi="Cambria"/>
          <w:sz w:val="20"/>
          <w:szCs w:val="20"/>
          <w:bdr w:val="none" w:sz="0" w:space="0" w:color="auto"/>
        </w:rPr>
        <w:t>ousl</w:t>
      </w:r>
      <w:r w:rsidR="000E027A" w:rsidRPr="00A51861">
        <w:rPr>
          <w:rFonts w:ascii="Cambria" w:eastAsia="Calibri" w:hAnsi="Cambria"/>
          <w:sz w:val="20"/>
          <w:szCs w:val="20"/>
          <w:bdr w:val="none" w:sz="0" w:space="0" w:color="auto"/>
        </w:rPr>
        <w:t>y</w:t>
      </w:r>
      <w:r w:rsidR="00773B3C" w:rsidRPr="00A51861">
        <w:rPr>
          <w:rFonts w:ascii="Cambria" w:eastAsia="Calibri" w:hAnsi="Cambria"/>
          <w:sz w:val="20"/>
          <w:szCs w:val="20"/>
          <w:bdr w:val="none" w:sz="0" w:space="0" w:color="auto"/>
        </w:rPr>
        <w:t>,</w:t>
      </w:r>
      <w:r w:rsidR="009A4F91">
        <w:rPr>
          <w:rFonts w:ascii="Cambria" w:eastAsia="Calibri" w:hAnsi="Cambria"/>
          <w:sz w:val="20"/>
          <w:szCs w:val="20"/>
          <w:bdr w:val="none" w:sz="0" w:space="0" w:color="auto"/>
        </w:rPr>
        <w:t xml:space="preserve"> the </w:t>
      </w:r>
      <w:r w:rsidR="000E027A">
        <w:rPr>
          <w:rFonts w:ascii="Cambria" w:eastAsia="Calibri" w:hAnsi="Cambria"/>
          <w:sz w:val="20"/>
          <w:szCs w:val="20"/>
          <w:bdr w:val="none" w:sz="0" w:space="0" w:color="auto"/>
        </w:rPr>
        <w:t>immigration policy is to</w:t>
      </w:r>
      <w:r w:rsidR="00773B3C" w:rsidRPr="00A51861">
        <w:rPr>
          <w:rFonts w:ascii="Cambria" w:eastAsia="Calibri" w:hAnsi="Cambria"/>
          <w:sz w:val="20"/>
          <w:szCs w:val="20"/>
          <w:bdr w:val="none" w:sz="0" w:space="0" w:color="auto"/>
        </w:rPr>
        <w:t xml:space="preserve"> </w:t>
      </w:r>
      <w:r w:rsidR="009A4F91">
        <w:rPr>
          <w:rFonts w:ascii="Cambria" w:eastAsia="Calibri" w:hAnsi="Cambria"/>
          <w:sz w:val="20"/>
          <w:szCs w:val="20"/>
          <w:bdr w:val="none" w:sz="0" w:space="0" w:color="auto"/>
        </w:rPr>
        <w:t>ensure</w:t>
      </w:r>
      <w:r w:rsidR="00773B3C" w:rsidRPr="00A51861">
        <w:rPr>
          <w:rFonts w:ascii="Cambria" w:eastAsia="Calibri" w:hAnsi="Cambria"/>
          <w:sz w:val="20"/>
          <w:szCs w:val="20"/>
          <w:bdr w:val="none" w:sz="0" w:space="0" w:color="auto"/>
        </w:rPr>
        <w:t xml:space="preserve"> </w:t>
      </w:r>
      <w:r w:rsidR="000E027A">
        <w:rPr>
          <w:rFonts w:ascii="Cambria" w:eastAsia="Calibri" w:hAnsi="Cambria"/>
          <w:sz w:val="20"/>
          <w:szCs w:val="20"/>
          <w:bdr w:val="none" w:sz="0" w:space="0" w:color="auto"/>
        </w:rPr>
        <w:t>everyone an</w:t>
      </w:r>
      <w:r w:rsidR="00773B3C" w:rsidRPr="00A51861">
        <w:rPr>
          <w:rFonts w:ascii="Cambria" w:eastAsia="Calibri" w:hAnsi="Cambria"/>
          <w:sz w:val="20"/>
          <w:szCs w:val="20"/>
          <w:bdr w:val="none" w:sz="0" w:space="0" w:color="auto"/>
        </w:rPr>
        <w:t xml:space="preserve"> </w:t>
      </w:r>
      <w:r w:rsidR="000E027A" w:rsidRPr="00A51861">
        <w:rPr>
          <w:rFonts w:ascii="Cambria" w:eastAsia="Calibri" w:hAnsi="Cambria"/>
          <w:sz w:val="20"/>
          <w:szCs w:val="20"/>
          <w:bdr w:val="none" w:sz="0" w:space="0" w:color="auto"/>
        </w:rPr>
        <w:t xml:space="preserve">individual </w:t>
      </w:r>
      <w:r w:rsidR="00F92BA8">
        <w:rPr>
          <w:rFonts w:ascii="Cambria" w:eastAsia="Calibri" w:hAnsi="Cambria"/>
          <w:sz w:val="20"/>
          <w:szCs w:val="20"/>
          <w:bdr w:val="none" w:sz="0" w:space="0" w:color="auto"/>
        </w:rPr>
        <w:t xml:space="preserve">decision </w:t>
      </w:r>
      <w:r w:rsidR="000E027A">
        <w:rPr>
          <w:rFonts w:ascii="Cambria" w:eastAsia="Calibri" w:hAnsi="Cambria"/>
          <w:sz w:val="20"/>
          <w:szCs w:val="20"/>
          <w:bdr w:val="none" w:sz="0" w:space="0" w:color="auto"/>
        </w:rPr>
        <w:t>with the</w:t>
      </w:r>
      <w:r w:rsidR="00773B3C" w:rsidRPr="00A51861">
        <w:rPr>
          <w:rFonts w:ascii="Cambria" w:eastAsia="Calibri" w:hAnsi="Cambria"/>
          <w:sz w:val="20"/>
          <w:szCs w:val="20"/>
          <w:bdr w:val="none" w:sz="0" w:space="0" w:color="auto"/>
        </w:rPr>
        <w:t xml:space="preserve"> </w:t>
      </w:r>
      <w:r w:rsidR="009A4F91">
        <w:rPr>
          <w:rFonts w:ascii="Cambria" w:eastAsia="Calibri" w:hAnsi="Cambria"/>
          <w:sz w:val="20"/>
          <w:szCs w:val="20"/>
          <w:bdr w:val="none" w:sz="0" w:space="0" w:color="auto"/>
        </w:rPr>
        <w:t>guarantee</w:t>
      </w:r>
      <w:r w:rsidR="00773B3C" w:rsidRPr="00A51861">
        <w:rPr>
          <w:rFonts w:ascii="Cambria" w:eastAsia="Calibri" w:hAnsi="Cambria"/>
          <w:sz w:val="20"/>
          <w:szCs w:val="20"/>
          <w:bdr w:val="none" w:sz="0" w:space="0" w:color="auto"/>
        </w:rPr>
        <w:t>s</w:t>
      </w:r>
      <w:r w:rsidR="004969F4">
        <w:rPr>
          <w:rFonts w:ascii="Cambria" w:eastAsia="Calibri" w:hAnsi="Cambria"/>
          <w:sz w:val="20"/>
          <w:szCs w:val="20"/>
          <w:bdr w:val="none" w:sz="0" w:space="0" w:color="auto"/>
        </w:rPr>
        <w:t xml:space="preserve"> of the </w:t>
      </w:r>
      <w:r w:rsidR="00E92985">
        <w:rPr>
          <w:rFonts w:ascii="Cambria" w:eastAsia="Calibri" w:hAnsi="Cambria"/>
          <w:sz w:val="20"/>
          <w:szCs w:val="20"/>
          <w:bdr w:val="none" w:sz="0" w:space="0" w:color="auto"/>
        </w:rPr>
        <w:t>due process</w:t>
      </w:r>
      <w:r w:rsidR="00773B3C" w:rsidRPr="00A51861">
        <w:rPr>
          <w:rFonts w:ascii="Cambria" w:eastAsia="Calibri" w:hAnsi="Cambria"/>
          <w:sz w:val="20"/>
          <w:szCs w:val="20"/>
          <w:bdr w:val="none" w:sz="0" w:space="0" w:color="auto"/>
        </w:rPr>
        <w:t xml:space="preserve">; </w:t>
      </w:r>
      <w:r w:rsidR="000E027A">
        <w:rPr>
          <w:rFonts w:ascii="Cambria" w:eastAsia="Calibri" w:hAnsi="Cambria"/>
          <w:sz w:val="20"/>
          <w:szCs w:val="20"/>
          <w:bdr w:val="none" w:sz="0" w:space="0" w:color="auto"/>
        </w:rPr>
        <w:t>it must respect the right to life</w:t>
      </w:r>
      <w:r w:rsidR="00773B3C" w:rsidRPr="00A51861">
        <w:rPr>
          <w:rFonts w:ascii="Cambria" w:eastAsia="Calibri" w:hAnsi="Cambria"/>
          <w:sz w:val="20"/>
          <w:szCs w:val="20"/>
          <w:bdr w:val="none" w:sz="0" w:space="0" w:color="auto"/>
        </w:rPr>
        <w:t xml:space="preserve">, </w:t>
      </w:r>
      <w:r w:rsidR="000E027A">
        <w:rPr>
          <w:rFonts w:ascii="Cambria" w:eastAsia="Calibri" w:hAnsi="Cambria"/>
          <w:sz w:val="20"/>
          <w:szCs w:val="20"/>
          <w:bdr w:val="none" w:sz="0" w:space="0" w:color="auto"/>
        </w:rPr>
        <w:t>to</w:t>
      </w:r>
      <w:r w:rsidR="009A4F91">
        <w:rPr>
          <w:rFonts w:ascii="Cambria" w:eastAsia="Calibri" w:hAnsi="Cambria"/>
          <w:sz w:val="20"/>
          <w:szCs w:val="20"/>
          <w:bdr w:val="none" w:sz="0" w:space="0" w:color="auto"/>
        </w:rPr>
        <w:t xml:space="preserve"> </w:t>
      </w:r>
      <w:r w:rsidR="00986A65">
        <w:rPr>
          <w:rFonts w:ascii="Cambria" w:eastAsia="Calibri" w:hAnsi="Cambria"/>
          <w:sz w:val="20"/>
          <w:szCs w:val="20"/>
          <w:bdr w:val="none" w:sz="0" w:space="0" w:color="auto"/>
        </w:rPr>
        <w:t xml:space="preserve">physical </w:t>
      </w:r>
      <w:r w:rsidR="00E92985">
        <w:rPr>
          <w:rFonts w:ascii="Cambria" w:eastAsia="Calibri" w:hAnsi="Cambria"/>
          <w:sz w:val="20"/>
          <w:szCs w:val="20"/>
          <w:bdr w:val="none" w:sz="0" w:space="0" w:color="auto"/>
        </w:rPr>
        <w:t xml:space="preserve">and </w:t>
      </w:r>
      <w:r w:rsidR="00773B3C" w:rsidRPr="00A51861">
        <w:rPr>
          <w:rFonts w:ascii="Cambria" w:eastAsia="Calibri" w:hAnsi="Cambria"/>
          <w:sz w:val="20"/>
          <w:szCs w:val="20"/>
          <w:bdr w:val="none" w:sz="0" w:space="0" w:color="auto"/>
        </w:rPr>
        <w:t>mental</w:t>
      </w:r>
      <w:r w:rsidR="00E92985">
        <w:rPr>
          <w:rFonts w:ascii="Cambria" w:eastAsia="Calibri" w:hAnsi="Cambria"/>
          <w:sz w:val="20"/>
          <w:szCs w:val="20"/>
          <w:bdr w:val="none" w:sz="0" w:space="0" w:color="auto"/>
        </w:rPr>
        <w:t xml:space="preserve"> </w:t>
      </w:r>
      <w:r w:rsidR="000E027A">
        <w:rPr>
          <w:rFonts w:ascii="Cambria" w:eastAsia="Calibri" w:hAnsi="Cambria"/>
          <w:sz w:val="20"/>
          <w:szCs w:val="20"/>
          <w:bdr w:val="none" w:sz="0" w:space="0" w:color="auto"/>
        </w:rPr>
        <w:t xml:space="preserve">integrity </w:t>
      </w:r>
      <w:r w:rsidR="00E92985">
        <w:rPr>
          <w:rFonts w:ascii="Cambria" w:eastAsia="Calibri" w:hAnsi="Cambria"/>
          <w:sz w:val="20"/>
          <w:szCs w:val="20"/>
          <w:bdr w:val="none" w:sz="0" w:space="0" w:color="auto"/>
        </w:rPr>
        <w:t xml:space="preserve">and </w:t>
      </w:r>
      <w:r w:rsidR="000E027A">
        <w:rPr>
          <w:rFonts w:ascii="Cambria" w:eastAsia="Calibri" w:hAnsi="Cambria"/>
          <w:sz w:val="20"/>
          <w:szCs w:val="20"/>
          <w:bdr w:val="none" w:sz="0" w:space="0" w:color="auto"/>
        </w:rPr>
        <w:t>of the family</w:t>
      </w:r>
      <w:r w:rsidR="00773B3C" w:rsidRPr="00A51861">
        <w:rPr>
          <w:rFonts w:ascii="Cambria" w:eastAsia="Calibri" w:hAnsi="Cambria"/>
          <w:sz w:val="20"/>
          <w:szCs w:val="20"/>
          <w:bdr w:val="none" w:sz="0" w:space="0" w:color="auto"/>
          <w:vertAlign w:val="superscript"/>
        </w:rPr>
        <w:footnoteReference w:id="176"/>
      </w:r>
      <w:r w:rsidR="00773B3C" w:rsidRPr="00A51861">
        <w:rPr>
          <w:rFonts w:ascii="Cambria" w:eastAsia="Calibri" w:hAnsi="Cambria"/>
          <w:sz w:val="20"/>
          <w:szCs w:val="20"/>
          <w:bdr w:val="none" w:sz="0" w:space="0" w:color="auto"/>
        </w:rPr>
        <w:t>.</w:t>
      </w:r>
    </w:p>
    <w:p w14:paraId="513D1214" w14:textId="77777777" w:rsidR="00773B3C" w:rsidRPr="00A51861" w:rsidRDefault="00773B3C" w:rsidP="008E4D36">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Cambria" w:eastAsia="Calibri" w:hAnsi="Cambria" w:cs="Tahoma"/>
          <w:color w:val="000000"/>
          <w:sz w:val="20"/>
          <w:szCs w:val="20"/>
          <w:bdr w:val="none" w:sz="0" w:space="0" w:color="auto"/>
        </w:rPr>
      </w:pPr>
    </w:p>
    <w:p w14:paraId="2EEB7371" w14:textId="6545CF04" w:rsidR="00773B3C" w:rsidRPr="00A51861" w:rsidRDefault="00CB0928"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eastAsia="Calibri" w:hAnsi="Cambria" w:cs="Tahoma"/>
          <w:color w:val="000000"/>
          <w:sz w:val="20"/>
          <w:szCs w:val="20"/>
          <w:bdr w:val="none" w:sz="0" w:space="0" w:color="auto"/>
        </w:rPr>
      </w:pPr>
      <w:r>
        <w:rPr>
          <w:rFonts w:ascii="Cambria" w:eastAsia="Calibri" w:hAnsi="Cambria"/>
          <w:sz w:val="20"/>
          <w:szCs w:val="20"/>
          <w:bdr w:val="none" w:sz="0" w:space="0" w:color="auto"/>
        </w:rPr>
        <w:t>On similar cases</w:t>
      </w:r>
      <w:r w:rsidR="00773B3C" w:rsidRPr="00A51861">
        <w:rPr>
          <w:rFonts w:ascii="Cambria" w:eastAsia="Calibri" w:hAnsi="Cambria"/>
          <w:sz w:val="20"/>
          <w:szCs w:val="20"/>
          <w:bdr w:val="none" w:sz="0" w:space="0" w:color="auto"/>
        </w:rPr>
        <w:t xml:space="preserve">, </w:t>
      </w:r>
      <w:r w:rsidR="000E027A">
        <w:rPr>
          <w:rFonts w:ascii="Cambria" w:eastAsia="Calibri" w:hAnsi="Cambria"/>
          <w:sz w:val="20"/>
          <w:szCs w:val="20"/>
          <w:bdr w:val="none" w:sz="0" w:space="0" w:color="auto"/>
        </w:rPr>
        <w:t>concerning</w:t>
      </w:r>
      <w:r w:rsidR="00773B3C" w:rsidRPr="00A51861">
        <w:rPr>
          <w:rFonts w:ascii="Cambria" w:eastAsia="Calibri" w:hAnsi="Cambria"/>
          <w:sz w:val="20"/>
          <w:szCs w:val="20"/>
          <w:bdr w:val="none" w:sz="0" w:space="0" w:color="auto"/>
        </w:rPr>
        <w:t xml:space="preserve"> </w:t>
      </w:r>
      <w:r w:rsidR="00EC7A58">
        <w:rPr>
          <w:rFonts w:ascii="Cambria" w:eastAsia="Calibri" w:hAnsi="Cambria"/>
          <w:sz w:val="20"/>
          <w:szCs w:val="20"/>
          <w:bdr w:val="none" w:sz="0" w:space="0" w:color="auto"/>
        </w:rPr>
        <w:t>persons</w:t>
      </w:r>
      <w:r w:rsidR="00773B3C" w:rsidRPr="00A51861">
        <w:rPr>
          <w:rFonts w:ascii="Cambria" w:eastAsia="Calibri" w:hAnsi="Cambria"/>
          <w:sz w:val="20"/>
          <w:szCs w:val="20"/>
          <w:bdr w:val="none" w:sz="0" w:space="0" w:color="auto"/>
        </w:rPr>
        <w:t xml:space="preserve"> </w:t>
      </w:r>
      <w:r w:rsidR="000E027A">
        <w:rPr>
          <w:rFonts w:ascii="Cambria" w:eastAsia="Calibri" w:hAnsi="Cambria"/>
          <w:sz w:val="20"/>
          <w:szCs w:val="20"/>
          <w:bdr w:val="none" w:sz="0" w:space="0" w:color="auto"/>
        </w:rPr>
        <w:t>who</w:t>
      </w:r>
      <w:r w:rsidR="00773B3C" w:rsidRPr="00A51861">
        <w:rPr>
          <w:rFonts w:ascii="Cambria" w:eastAsia="Calibri" w:hAnsi="Cambria"/>
          <w:sz w:val="20"/>
          <w:szCs w:val="20"/>
          <w:bdr w:val="none" w:sz="0" w:space="0" w:color="auto"/>
        </w:rPr>
        <w:t xml:space="preserve"> </w:t>
      </w:r>
      <w:r w:rsidR="000E027A">
        <w:rPr>
          <w:rFonts w:ascii="Cambria" w:eastAsia="Calibri" w:hAnsi="Cambria"/>
          <w:sz w:val="20"/>
          <w:szCs w:val="20"/>
          <w:bdr w:val="none" w:sz="0" w:space="0" w:color="auto"/>
        </w:rPr>
        <w:t>having</w:t>
      </w:r>
      <w:r w:rsidR="009A4F91">
        <w:rPr>
          <w:rFonts w:ascii="Cambria" w:eastAsia="Calibri" w:hAnsi="Cambria"/>
          <w:sz w:val="20"/>
          <w:szCs w:val="20"/>
          <w:bdr w:val="none" w:sz="0" w:space="0" w:color="auto"/>
        </w:rPr>
        <w:t xml:space="preserve"> the </w:t>
      </w:r>
      <w:r w:rsidR="00773B3C" w:rsidRPr="00A51861">
        <w:rPr>
          <w:rFonts w:ascii="Cambria" w:eastAsia="Calibri" w:hAnsi="Cambria"/>
          <w:sz w:val="20"/>
          <w:szCs w:val="20"/>
          <w:bdr w:val="none" w:sz="0" w:space="0" w:color="auto"/>
        </w:rPr>
        <w:t xml:space="preserve">legal </w:t>
      </w:r>
      <w:r w:rsidR="000E027A">
        <w:rPr>
          <w:rFonts w:ascii="Cambria" w:eastAsia="Calibri" w:hAnsi="Cambria"/>
          <w:sz w:val="20"/>
          <w:szCs w:val="20"/>
          <w:bdr w:val="none" w:sz="0" w:space="0" w:color="auto"/>
        </w:rPr>
        <w:t>residency</w:t>
      </w:r>
      <w:r w:rsidR="000E027A" w:rsidRPr="00A51861">
        <w:rPr>
          <w:rFonts w:ascii="Cambria" w:eastAsia="Calibri" w:hAnsi="Cambria"/>
          <w:sz w:val="20"/>
          <w:szCs w:val="20"/>
          <w:bdr w:val="none" w:sz="0" w:space="0" w:color="auto"/>
        </w:rPr>
        <w:t xml:space="preserve"> </w:t>
      </w:r>
      <w:r w:rsidR="000E027A">
        <w:rPr>
          <w:rFonts w:ascii="Cambria" w:eastAsia="Calibri" w:hAnsi="Cambria"/>
          <w:sz w:val="20"/>
          <w:szCs w:val="20"/>
          <w:bdr w:val="none" w:sz="0" w:space="0" w:color="auto"/>
        </w:rPr>
        <w:t>in s State</w:t>
      </w:r>
      <w:r w:rsidR="00773B3C" w:rsidRPr="00A51861">
        <w:rPr>
          <w:rFonts w:ascii="Cambria" w:eastAsia="Calibri" w:hAnsi="Cambria"/>
          <w:sz w:val="20"/>
          <w:szCs w:val="20"/>
          <w:bdr w:val="none" w:sz="0" w:space="0" w:color="auto"/>
        </w:rPr>
        <w:t xml:space="preserve"> </w:t>
      </w:r>
      <w:r w:rsidR="000E027A">
        <w:rPr>
          <w:rFonts w:ascii="Cambria" w:eastAsia="Calibri" w:hAnsi="Cambria"/>
          <w:sz w:val="20"/>
          <w:szCs w:val="20"/>
          <w:bdr w:val="none" w:sz="0" w:space="0" w:color="auto"/>
        </w:rPr>
        <w:t>are subjected to proceedings of</w:t>
      </w:r>
      <w:r w:rsidR="00E92985">
        <w:rPr>
          <w:rFonts w:ascii="Cambria" w:eastAsia="Calibri" w:hAnsi="Cambria"/>
          <w:sz w:val="20"/>
          <w:szCs w:val="20"/>
          <w:bdr w:val="none" w:sz="0" w:space="0" w:color="auto"/>
        </w:rPr>
        <w:t xml:space="preserve"> </w:t>
      </w:r>
      <w:r w:rsidR="000E027A" w:rsidRPr="00A51861">
        <w:rPr>
          <w:rFonts w:ascii="Cambria" w:eastAsia="Calibri" w:hAnsi="Cambria"/>
          <w:sz w:val="20"/>
          <w:szCs w:val="20"/>
          <w:bdr w:val="none" w:sz="0" w:space="0" w:color="auto"/>
        </w:rPr>
        <w:t>deportations</w:t>
      </w:r>
      <w:r w:rsidR="00773B3C" w:rsidRPr="00A51861">
        <w:rPr>
          <w:rFonts w:ascii="Cambria" w:eastAsia="Calibri" w:hAnsi="Cambria"/>
          <w:sz w:val="20"/>
          <w:szCs w:val="20"/>
          <w:bdr w:val="none" w:sz="0" w:space="0" w:color="auto"/>
          <w:vertAlign w:val="superscript"/>
        </w:rPr>
        <w:footnoteReference w:id="177"/>
      </w:r>
      <w:r w:rsidR="00773B3C" w:rsidRPr="00A51861">
        <w:rPr>
          <w:rFonts w:ascii="Cambria" w:eastAsia="Calibri" w:hAnsi="Cambria"/>
          <w:sz w:val="20"/>
          <w:szCs w:val="20"/>
          <w:bdr w:val="none" w:sz="0" w:space="0" w:color="auto"/>
        </w:rPr>
        <w:t xml:space="preserve">, </w:t>
      </w:r>
      <w:r w:rsidR="00A51861" w:rsidRPr="00A51861">
        <w:rPr>
          <w:rFonts w:ascii="Cambria" w:eastAsia="Calibri" w:hAnsi="Cambria"/>
          <w:sz w:val="20"/>
          <w:szCs w:val="20"/>
          <w:bdr w:val="none" w:sz="0" w:space="0" w:color="auto"/>
        </w:rPr>
        <w:t>the IACHR</w:t>
      </w:r>
      <w:r w:rsidR="00773B3C" w:rsidRPr="00A51861">
        <w:rPr>
          <w:rFonts w:ascii="Cambria" w:eastAsia="Calibri" w:hAnsi="Cambria"/>
          <w:sz w:val="20"/>
          <w:szCs w:val="20"/>
          <w:bdr w:val="none" w:sz="0" w:space="0" w:color="auto"/>
        </w:rPr>
        <w:t xml:space="preserve"> ha</w:t>
      </w:r>
      <w:r w:rsidR="000E027A">
        <w:rPr>
          <w:rFonts w:ascii="Cambria" w:eastAsia="Calibri" w:hAnsi="Cambria"/>
          <w:sz w:val="20"/>
          <w:szCs w:val="20"/>
          <w:bdr w:val="none" w:sz="0" w:space="0" w:color="auto"/>
        </w:rPr>
        <w:t>s</w:t>
      </w:r>
      <w:r w:rsidR="00773B3C" w:rsidRPr="00A51861">
        <w:rPr>
          <w:rFonts w:ascii="Cambria" w:eastAsia="Calibri" w:hAnsi="Cambria"/>
          <w:sz w:val="20"/>
          <w:szCs w:val="20"/>
          <w:bdr w:val="none" w:sz="0" w:space="0" w:color="auto"/>
        </w:rPr>
        <w:t xml:space="preserve"> </w:t>
      </w:r>
      <w:r w:rsidR="000E027A">
        <w:rPr>
          <w:rFonts w:ascii="Cambria" w:eastAsia="Calibri" w:hAnsi="Cambria"/>
          <w:sz w:val="20"/>
          <w:szCs w:val="20"/>
          <w:bdr w:val="none" w:sz="0" w:space="0" w:color="auto"/>
        </w:rPr>
        <w:t xml:space="preserve">held that </w:t>
      </w:r>
      <w:r w:rsidR="00773B3C" w:rsidRPr="00A51861">
        <w:rPr>
          <w:rFonts w:ascii="Cambria" w:eastAsia="Calibri" w:hAnsi="Cambria"/>
          <w:sz w:val="20"/>
          <w:szCs w:val="20"/>
          <w:bdr w:val="none" w:sz="0" w:space="0" w:color="auto"/>
        </w:rPr>
        <w:t>“</w:t>
      </w:r>
      <w:r w:rsidR="0029564F">
        <w:rPr>
          <w:rFonts w:ascii="Cambria" w:eastAsia="Calibri" w:hAnsi="Cambria"/>
          <w:sz w:val="20"/>
          <w:szCs w:val="20"/>
          <w:bdr w:val="none" w:sz="0" w:space="0" w:color="auto"/>
        </w:rPr>
        <w:t>article</w:t>
      </w:r>
      <w:r w:rsidR="00773B3C" w:rsidRPr="00A51861">
        <w:rPr>
          <w:rFonts w:ascii="Cambria" w:eastAsia="Calibri" w:hAnsi="Cambria"/>
          <w:sz w:val="20"/>
          <w:szCs w:val="20"/>
          <w:bdr w:val="none" w:sz="0" w:space="0" w:color="auto"/>
        </w:rPr>
        <w:t xml:space="preserve"> XVIII estab</w:t>
      </w:r>
      <w:r w:rsidR="000E027A">
        <w:rPr>
          <w:rFonts w:ascii="Cambria" w:eastAsia="Calibri" w:hAnsi="Cambria"/>
          <w:sz w:val="20"/>
          <w:szCs w:val="20"/>
          <w:bdr w:val="none" w:sz="0" w:space="0" w:color="auto"/>
        </w:rPr>
        <w:t>lish</w:t>
      </w:r>
      <w:r w:rsidR="00773B3C" w:rsidRPr="00A51861">
        <w:rPr>
          <w:rFonts w:ascii="Cambria" w:eastAsia="Calibri" w:hAnsi="Cambria"/>
          <w:sz w:val="20"/>
          <w:szCs w:val="20"/>
          <w:bdr w:val="none" w:sz="0" w:space="0" w:color="auto"/>
        </w:rPr>
        <w:t>e</w:t>
      </w:r>
      <w:r w:rsidR="000E027A">
        <w:rPr>
          <w:rFonts w:ascii="Cambria" w:eastAsia="Calibri" w:hAnsi="Cambria"/>
          <w:sz w:val="20"/>
          <w:szCs w:val="20"/>
          <w:bdr w:val="none" w:sz="0" w:space="0" w:color="auto"/>
        </w:rPr>
        <w:t>s</w:t>
      </w:r>
      <w:r w:rsidR="00773B3C" w:rsidRPr="00A51861">
        <w:rPr>
          <w:rFonts w:ascii="Cambria" w:eastAsia="Calibri" w:hAnsi="Cambria"/>
          <w:sz w:val="20"/>
          <w:szCs w:val="20"/>
          <w:bdr w:val="none" w:sz="0" w:space="0" w:color="auto"/>
        </w:rPr>
        <w:t xml:space="preserve"> </w:t>
      </w:r>
      <w:r w:rsidR="000E027A">
        <w:rPr>
          <w:rFonts w:ascii="Cambria" w:eastAsia="Calibri" w:hAnsi="Cambria"/>
          <w:sz w:val="20"/>
          <w:szCs w:val="20"/>
          <w:bdr w:val="none" w:sz="0" w:space="0" w:color="auto"/>
        </w:rPr>
        <w:t>a</w:t>
      </w:r>
      <w:r w:rsidR="00773B3C" w:rsidRPr="00A51861">
        <w:rPr>
          <w:rFonts w:ascii="Cambria" w:eastAsia="Calibri" w:hAnsi="Cambria"/>
          <w:sz w:val="20"/>
          <w:szCs w:val="20"/>
          <w:bdr w:val="none" w:sz="0" w:space="0" w:color="auto"/>
        </w:rPr>
        <w:t xml:space="preserve"> fundamental </w:t>
      </w:r>
      <w:r w:rsidR="000E027A">
        <w:rPr>
          <w:rFonts w:ascii="Cambria" w:eastAsia="Calibri" w:hAnsi="Cambria"/>
          <w:sz w:val="20"/>
          <w:szCs w:val="20"/>
          <w:bdr w:val="none" w:sz="0" w:space="0" w:color="auto"/>
        </w:rPr>
        <w:t>role for the Courts of a State</w:t>
      </w:r>
      <w:r w:rsidR="00773B3C" w:rsidRPr="00A51861">
        <w:rPr>
          <w:rFonts w:ascii="Cambria" w:eastAsia="Calibri" w:hAnsi="Cambria"/>
          <w:sz w:val="20"/>
          <w:szCs w:val="20"/>
          <w:bdr w:val="none" w:sz="0" w:space="0" w:color="auto"/>
        </w:rPr>
        <w:t>,</w:t>
      </w:r>
      <w:r w:rsidR="00E92985">
        <w:rPr>
          <w:rFonts w:ascii="Cambria" w:eastAsia="Calibri" w:hAnsi="Cambria"/>
          <w:sz w:val="20"/>
          <w:szCs w:val="20"/>
          <w:bdr w:val="none" w:sz="0" w:space="0" w:color="auto"/>
        </w:rPr>
        <w:t xml:space="preserve"> </w:t>
      </w:r>
      <w:r w:rsidR="000E027A">
        <w:rPr>
          <w:rFonts w:ascii="Cambria" w:eastAsia="Calibri" w:hAnsi="Cambria"/>
          <w:sz w:val="20"/>
          <w:szCs w:val="20"/>
          <w:bdr w:val="none" w:sz="0" w:space="0" w:color="auto"/>
        </w:rPr>
        <w:t>of ensuring</w:t>
      </w:r>
      <w:r w:rsidR="00E92985">
        <w:rPr>
          <w:rFonts w:ascii="Cambria" w:eastAsia="Calibri" w:hAnsi="Cambria"/>
          <w:sz w:val="20"/>
          <w:szCs w:val="20"/>
          <w:bdr w:val="none" w:sz="0" w:space="0" w:color="auto"/>
        </w:rPr>
        <w:t xml:space="preserve"> and </w:t>
      </w:r>
      <w:r w:rsidR="002428C9">
        <w:rPr>
          <w:rFonts w:ascii="Cambria" w:eastAsia="Calibri" w:hAnsi="Cambria"/>
          <w:sz w:val="20"/>
          <w:szCs w:val="20"/>
          <w:bdr w:val="none" w:sz="0" w:space="0" w:color="auto"/>
        </w:rPr>
        <w:t>protect</w:t>
      </w:r>
      <w:r w:rsidR="000E027A">
        <w:rPr>
          <w:rFonts w:ascii="Cambria" w:eastAsia="Calibri" w:hAnsi="Cambria"/>
          <w:sz w:val="20"/>
          <w:szCs w:val="20"/>
          <w:bdr w:val="none" w:sz="0" w:space="0" w:color="auto"/>
        </w:rPr>
        <w:t>ing</w:t>
      </w:r>
      <w:r w:rsidR="00E64C43">
        <w:rPr>
          <w:rFonts w:ascii="Cambria" w:eastAsia="Calibri" w:hAnsi="Cambria"/>
          <w:sz w:val="20"/>
          <w:szCs w:val="20"/>
          <w:bdr w:val="none" w:sz="0" w:space="0" w:color="auto"/>
        </w:rPr>
        <w:t xml:space="preserve"> these </w:t>
      </w:r>
      <w:r w:rsidR="000E027A">
        <w:rPr>
          <w:rFonts w:ascii="Cambria" w:eastAsia="Calibri" w:hAnsi="Cambria"/>
          <w:sz w:val="20"/>
          <w:szCs w:val="20"/>
          <w:bdr w:val="none" w:sz="0" w:space="0" w:color="auto"/>
        </w:rPr>
        <w:t xml:space="preserve">basic </w:t>
      </w:r>
      <w:r w:rsidR="00E668EE">
        <w:rPr>
          <w:rFonts w:ascii="Cambria" w:eastAsia="Calibri" w:hAnsi="Cambria"/>
          <w:sz w:val="20"/>
          <w:szCs w:val="20"/>
          <w:bdr w:val="none" w:sz="0" w:space="0" w:color="auto"/>
        </w:rPr>
        <w:t>r</w:t>
      </w:r>
      <w:r w:rsidR="004C5A00">
        <w:rPr>
          <w:rFonts w:ascii="Cambria" w:eastAsia="Calibri" w:hAnsi="Cambria"/>
          <w:sz w:val="20"/>
          <w:szCs w:val="20"/>
          <w:bdr w:val="none" w:sz="0" w:space="0" w:color="auto"/>
        </w:rPr>
        <w:t>ights</w:t>
      </w:r>
      <w:r w:rsidR="00773B3C" w:rsidRPr="00A51861">
        <w:rPr>
          <w:rFonts w:ascii="Cambria" w:eastAsia="Calibri" w:hAnsi="Cambria"/>
          <w:sz w:val="20"/>
          <w:szCs w:val="20"/>
          <w:bdr w:val="none" w:sz="0" w:space="0" w:color="auto"/>
        </w:rPr>
        <w:t xml:space="preserve">, </w:t>
      </w:r>
      <w:r w:rsidR="000E027A">
        <w:rPr>
          <w:rFonts w:ascii="Cambria" w:eastAsia="Calibri" w:hAnsi="Cambria"/>
          <w:sz w:val="20"/>
          <w:szCs w:val="20"/>
          <w:bdr w:val="none" w:sz="0" w:space="0" w:color="auto"/>
        </w:rPr>
        <w:t>role which must also be</w:t>
      </w:r>
      <w:r w:rsidR="00773B3C" w:rsidRPr="00A51861">
        <w:rPr>
          <w:rFonts w:ascii="Cambria" w:eastAsia="Calibri" w:hAnsi="Cambria"/>
          <w:sz w:val="20"/>
          <w:szCs w:val="20"/>
          <w:bdr w:val="none" w:sz="0" w:space="0" w:color="auto"/>
        </w:rPr>
        <w:t xml:space="preserve"> </w:t>
      </w:r>
      <w:r w:rsidR="00E64C43">
        <w:rPr>
          <w:rFonts w:ascii="Cambria" w:eastAsia="Calibri" w:hAnsi="Cambria"/>
          <w:sz w:val="20"/>
          <w:szCs w:val="20"/>
          <w:bdr w:val="none" w:sz="0" w:space="0" w:color="auto"/>
        </w:rPr>
        <w:t>effective</w:t>
      </w:r>
      <w:r w:rsidR="00773B3C" w:rsidRPr="00A51861">
        <w:rPr>
          <w:rFonts w:ascii="Cambria" w:eastAsia="Calibri" w:hAnsi="Cambria"/>
          <w:sz w:val="20"/>
          <w:szCs w:val="20"/>
          <w:bdr w:val="none" w:sz="0" w:space="0" w:color="auto"/>
        </w:rPr>
        <w:t>”</w:t>
      </w:r>
      <w:r w:rsidR="00773B3C" w:rsidRPr="00A51861">
        <w:rPr>
          <w:rFonts w:ascii="Cambria" w:eastAsia="Calibri" w:hAnsi="Cambria"/>
          <w:sz w:val="20"/>
          <w:szCs w:val="20"/>
          <w:bdr w:val="none" w:sz="0" w:space="0" w:color="auto"/>
          <w:vertAlign w:val="superscript"/>
        </w:rPr>
        <w:footnoteReference w:id="178"/>
      </w:r>
      <w:r w:rsidR="00773B3C" w:rsidRPr="00A51861">
        <w:rPr>
          <w:rFonts w:ascii="Cambria" w:eastAsia="Calibri" w:hAnsi="Cambria"/>
          <w:sz w:val="20"/>
          <w:szCs w:val="20"/>
          <w:bdr w:val="none" w:sz="0" w:space="0" w:color="auto"/>
        </w:rPr>
        <w:t xml:space="preserve">.  </w:t>
      </w:r>
      <w:r w:rsidR="000E027A">
        <w:rPr>
          <w:rFonts w:ascii="Cambria" w:eastAsia="Calibri" w:hAnsi="Cambria"/>
          <w:sz w:val="20"/>
          <w:szCs w:val="20"/>
          <w:bdr w:val="none" w:sz="0" w:space="0" w:color="auto"/>
        </w:rPr>
        <w:t>In the case of</w:t>
      </w:r>
      <w:r w:rsidR="00E92985">
        <w:rPr>
          <w:rFonts w:ascii="Cambria" w:eastAsia="Calibri" w:hAnsi="Cambria"/>
          <w:sz w:val="20"/>
          <w:szCs w:val="20"/>
          <w:bdr w:val="none" w:sz="0" w:space="0" w:color="auto"/>
        </w:rPr>
        <w:t xml:space="preserve"> </w:t>
      </w:r>
      <w:r w:rsidR="00773B3C" w:rsidRPr="00A51861">
        <w:rPr>
          <w:rFonts w:ascii="Cambria" w:eastAsia="Calibri" w:hAnsi="Cambria"/>
          <w:sz w:val="20"/>
          <w:szCs w:val="20"/>
          <w:bdr w:val="none" w:sz="0" w:space="0" w:color="auto"/>
        </w:rPr>
        <w:t xml:space="preserve">Rafael </w:t>
      </w:r>
      <w:r w:rsidR="00773B3C" w:rsidRPr="00A51861">
        <w:rPr>
          <w:rFonts w:ascii="Cambria" w:hAnsi="Cambria"/>
          <w:color w:val="000000" w:themeColor="text1"/>
          <w:sz w:val="20"/>
          <w:szCs w:val="20"/>
        </w:rPr>
        <w:t>Ferrer</w:t>
      </w:r>
      <w:r w:rsidR="00773B3C" w:rsidRPr="00A51861">
        <w:rPr>
          <w:rFonts w:ascii="Cambria" w:eastAsia="Calibri" w:hAnsi="Cambria"/>
          <w:sz w:val="20"/>
          <w:szCs w:val="20"/>
          <w:bdr w:val="none" w:sz="0" w:space="0" w:color="auto"/>
        </w:rPr>
        <w:t xml:space="preserve">-Mazorra, </w:t>
      </w:r>
      <w:r w:rsidR="00E92985">
        <w:rPr>
          <w:rFonts w:ascii="Cambria" w:eastAsia="Calibri" w:hAnsi="Cambria"/>
          <w:sz w:val="20"/>
          <w:szCs w:val="20"/>
          <w:bdr w:val="none" w:sz="0" w:space="0" w:color="auto"/>
        </w:rPr>
        <w:t>the Inter-American Commission</w:t>
      </w:r>
      <w:r w:rsidR="00773B3C" w:rsidRPr="00A51861">
        <w:rPr>
          <w:rFonts w:ascii="Cambria" w:eastAsia="Calibri" w:hAnsi="Cambria"/>
          <w:sz w:val="20"/>
          <w:szCs w:val="20"/>
          <w:bdr w:val="none" w:sz="0" w:space="0" w:color="auto"/>
        </w:rPr>
        <w:t xml:space="preserve"> conclu</w:t>
      </w:r>
      <w:r w:rsidR="000E027A">
        <w:rPr>
          <w:rFonts w:ascii="Cambria" w:eastAsia="Calibri" w:hAnsi="Cambria"/>
          <w:sz w:val="20"/>
          <w:szCs w:val="20"/>
          <w:bdr w:val="none" w:sz="0" w:space="0" w:color="auto"/>
        </w:rPr>
        <w:t>ded</w:t>
      </w:r>
      <w:r w:rsidR="00773B3C" w:rsidRPr="00A51861">
        <w:rPr>
          <w:rFonts w:ascii="Cambria" w:eastAsia="Calibri" w:hAnsi="Cambria"/>
          <w:sz w:val="20"/>
          <w:szCs w:val="20"/>
          <w:bdr w:val="none" w:sz="0" w:space="0" w:color="auto"/>
        </w:rPr>
        <w:t xml:space="preserve"> </w:t>
      </w:r>
      <w:r w:rsidR="000E027A">
        <w:rPr>
          <w:rFonts w:ascii="Cambria" w:eastAsia="Calibri" w:hAnsi="Cambria"/>
          <w:sz w:val="20"/>
          <w:szCs w:val="20"/>
          <w:bdr w:val="none" w:sz="0" w:space="0" w:color="auto"/>
        </w:rPr>
        <w:t>that</w:t>
      </w:r>
      <w:r w:rsidR="00773B3C" w:rsidRPr="00A51861">
        <w:rPr>
          <w:rFonts w:ascii="Cambria" w:eastAsia="Calibri" w:hAnsi="Cambria"/>
          <w:sz w:val="20"/>
          <w:szCs w:val="20"/>
          <w:bdr w:val="none" w:sz="0" w:space="0" w:color="auto"/>
        </w:rPr>
        <w:t xml:space="preserve"> </w:t>
      </w:r>
      <w:r w:rsidR="000E027A">
        <w:rPr>
          <w:rFonts w:ascii="Cambria" w:eastAsia="Calibri" w:hAnsi="Cambria"/>
          <w:sz w:val="20"/>
          <w:szCs w:val="20"/>
          <w:bdr w:val="none" w:sz="0" w:space="0" w:color="auto"/>
        </w:rPr>
        <w:t>when a State</w:t>
      </w:r>
      <w:r w:rsidR="00773B3C" w:rsidRPr="00A51861">
        <w:rPr>
          <w:rFonts w:ascii="Cambria" w:eastAsia="Calibri" w:hAnsi="Cambria"/>
          <w:sz w:val="20"/>
          <w:szCs w:val="20"/>
          <w:bdr w:val="none" w:sz="0" w:space="0" w:color="auto"/>
        </w:rPr>
        <w:t xml:space="preserve"> </w:t>
      </w:r>
      <w:r w:rsidR="000E027A">
        <w:rPr>
          <w:rFonts w:ascii="Cambria" w:eastAsia="Calibri" w:hAnsi="Cambria"/>
          <w:sz w:val="20"/>
          <w:szCs w:val="20"/>
          <w:bdr w:val="none" w:sz="0" w:space="0" w:color="auto"/>
        </w:rPr>
        <w:t>does not provide a suitable and</w:t>
      </w:r>
      <w:r w:rsidR="00E92985">
        <w:rPr>
          <w:rFonts w:ascii="Cambria" w:eastAsia="Calibri" w:hAnsi="Cambria"/>
          <w:sz w:val="20"/>
          <w:szCs w:val="20"/>
          <w:bdr w:val="none" w:sz="0" w:space="0" w:color="auto"/>
        </w:rPr>
        <w:t xml:space="preserve"> </w:t>
      </w:r>
      <w:r w:rsidR="00E64C43">
        <w:rPr>
          <w:rFonts w:ascii="Cambria" w:eastAsia="Calibri" w:hAnsi="Cambria"/>
          <w:sz w:val="20"/>
          <w:szCs w:val="20"/>
          <w:bdr w:val="none" w:sz="0" w:space="0" w:color="auto"/>
        </w:rPr>
        <w:t>effective</w:t>
      </w:r>
      <w:r w:rsidR="00773B3C" w:rsidRPr="00A51861">
        <w:rPr>
          <w:rFonts w:ascii="Cambria" w:eastAsia="Calibri" w:hAnsi="Cambria"/>
          <w:sz w:val="20"/>
          <w:szCs w:val="20"/>
          <w:bdr w:val="none" w:sz="0" w:space="0" w:color="auto"/>
        </w:rPr>
        <w:t xml:space="preserve"> </w:t>
      </w:r>
      <w:r w:rsidR="000E027A">
        <w:rPr>
          <w:rFonts w:ascii="Cambria" w:eastAsia="Calibri" w:hAnsi="Cambria"/>
          <w:sz w:val="20"/>
          <w:szCs w:val="20"/>
          <w:bdr w:val="none" w:sz="0" w:space="0" w:color="auto"/>
        </w:rPr>
        <w:t>remedy for a</w:t>
      </w:r>
      <w:r w:rsidR="00773B3C" w:rsidRPr="00A51861">
        <w:rPr>
          <w:rFonts w:ascii="Cambria" w:eastAsia="Calibri" w:hAnsi="Cambria"/>
          <w:sz w:val="20"/>
          <w:szCs w:val="20"/>
          <w:bdr w:val="none" w:sz="0" w:space="0" w:color="auto"/>
        </w:rPr>
        <w:t xml:space="preserve"> </w:t>
      </w:r>
      <w:r w:rsidR="004E1083">
        <w:rPr>
          <w:rFonts w:ascii="Cambria" w:eastAsia="Calibri" w:hAnsi="Cambria"/>
          <w:sz w:val="20"/>
          <w:szCs w:val="20"/>
          <w:bdr w:val="none" w:sz="0" w:space="0" w:color="auto"/>
        </w:rPr>
        <w:t>violation</w:t>
      </w:r>
      <w:r w:rsidR="00E92985">
        <w:rPr>
          <w:rFonts w:ascii="Cambria" w:eastAsia="Calibri" w:hAnsi="Cambria"/>
          <w:sz w:val="20"/>
          <w:szCs w:val="20"/>
          <w:bdr w:val="none" w:sz="0" w:space="0" w:color="auto"/>
        </w:rPr>
        <w:t xml:space="preserve"> of </w:t>
      </w:r>
      <w:r w:rsidR="000E027A">
        <w:rPr>
          <w:rFonts w:ascii="Cambria" w:eastAsia="Calibri" w:hAnsi="Cambria"/>
          <w:sz w:val="20"/>
          <w:szCs w:val="20"/>
          <w:bdr w:val="none" w:sz="0" w:space="0" w:color="auto"/>
        </w:rPr>
        <w:t>a</w:t>
      </w:r>
      <w:r w:rsidR="00773B3C" w:rsidRPr="00A51861">
        <w:rPr>
          <w:rFonts w:ascii="Cambria" w:eastAsia="Calibri" w:hAnsi="Cambria"/>
          <w:sz w:val="20"/>
          <w:szCs w:val="20"/>
          <w:bdr w:val="none" w:sz="0" w:space="0" w:color="auto"/>
        </w:rPr>
        <w:t xml:space="preserve"> </w:t>
      </w:r>
      <w:r w:rsidR="000E027A">
        <w:rPr>
          <w:rFonts w:ascii="Cambria" w:eastAsia="Calibri" w:hAnsi="Cambria"/>
          <w:sz w:val="20"/>
          <w:szCs w:val="20"/>
          <w:bdr w:val="none" w:sz="0" w:space="0" w:color="auto"/>
        </w:rPr>
        <w:t>fundamental right consecrated under the</w:t>
      </w:r>
      <w:r w:rsidR="009A4F91">
        <w:rPr>
          <w:rFonts w:ascii="Cambria" w:eastAsia="Calibri" w:hAnsi="Cambria"/>
          <w:sz w:val="20"/>
          <w:szCs w:val="20"/>
          <w:bdr w:val="none" w:sz="0" w:space="0" w:color="auto"/>
        </w:rPr>
        <w:t xml:space="preserve"> </w:t>
      </w:r>
      <w:r w:rsidR="00A311C9">
        <w:rPr>
          <w:rFonts w:ascii="Cambria" w:eastAsia="Calibri" w:hAnsi="Cambria"/>
          <w:sz w:val="20"/>
          <w:szCs w:val="20"/>
          <w:bdr w:val="none" w:sz="0" w:space="0" w:color="auto"/>
        </w:rPr>
        <w:t>American Declaration</w:t>
      </w:r>
      <w:r w:rsidR="00773B3C" w:rsidRPr="00A51861">
        <w:rPr>
          <w:rFonts w:ascii="Cambria" w:eastAsia="Calibri" w:hAnsi="Cambria"/>
          <w:sz w:val="20"/>
          <w:szCs w:val="20"/>
          <w:bdr w:val="none" w:sz="0" w:space="0" w:color="auto"/>
        </w:rPr>
        <w:t xml:space="preserve">, </w:t>
      </w:r>
      <w:r w:rsidR="000E027A">
        <w:rPr>
          <w:rFonts w:ascii="Cambria" w:eastAsia="Calibri" w:hAnsi="Cambria"/>
          <w:sz w:val="20"/>
          <w:szCs w:val="20"/>
          <w:bdr w:val="none" w:sz="0" w:space="0" w:color="auto"/>
        </w:rPr>
        <w:t>said deficiency</w:t>
      </w:r>
      <w:r w:rsidR="00773B3C" w:rsidRPr="00A51861">
        <w:rPr>
          <w:rFonts w:ascii="Cambria" w:eastAsia="Calibri" w:hAnsi="Cambria"/>
          <w:sz w:val="20"/>
          <w:szCs w:val="20"/>
          <w:bdr w:val="none" w:sz="0" w:space="0" w:color="auto"/>
        </w:rPr>
        <w:t xml:space="preserve"> crea</w:t>
      </w:r>
      <w:r w:rsidR="000E027A">
        <w:rPr>
          <w:rFonts w:ascii="Cambria" w:eastAsia="Calibri" w:hAnsi="Cambria"/>
          <w:sz w:val="20"/>
          <w:szCs w:val="20"/>
          <w:bdr w:val="none" w:sz="0" w:space="0" w:color="auto"/>
        </w:rPr>
        <w:t>tes</w:t>
      </w:r>
      <w:r w:rsidR="00773B3C" w:rsidRPr="00A51861">
        <w:rPr>
          <w:rFonts w:ascii="Cambria" w:eastAsia="Calibri" w:hAnsi="Cambria"/>
          <w:sz w:val="20"/>
          <w:szCs w:val="20"/>
          <w:bdr w:val="none" w:sz="0" w:space="0" w:color="auto"/>
        </w:rPr>
        <w:t xml:space="preserve"> a </w:t>
      </w:r>
      <w:r w:rsidR="004E1083">
        <w:rPr>
          <w:rFonts w:ascii="Cambria" w:eastAsia="Calibri" w:hAnsi="Cambria"/>
          <w:sz w:val="20"/>
          <w:szCs w:val="20"/>
          <w:bdr w:val="none" w:sz="0" w:space="0" w:color="auto"/>
        </w:rPr>
        <w:t>violation</w:t>
      </w:r>
      <w:r w:rsidR="00773B3C" w:rsidRPr="00A51861">
        <w:rPr>
          <w:rFonts w:ascii="Cambria" w:eastAsia="Calibri" w:hAnsi="Cambria"/>
          <w:sz w:val="20"/>
          <w:szCs w:val="20"/>
          <w:bdr w:val="none" w:sz="0" w:space="0" w:color="auto"/>
        </w:rPr>
        <w:t xml:space="preserve"> independ</w:t>
      </w:r>
      <w:r w:rsidR="000E027A">
        <w:rPr>
          <w:rFonts w:ascii="Cambria" w:eastAsia="Calibri" w:hAnsi="Cambria"/>
          <w:sz w:val="20"/>
          <w:szCs w:val="20"/>
          <w:bdr w:val="none" w:sz="0" w:space="0" w:color="auto"/>
        </w:rPr>
        <w:t>ent</w:t>
      </w:r>
      <w:r w:rsidR="00E92985">
        <w:rPr>
          <w:rFonts w:ascii="Cambria" w:eastAsia="Calibri" w:hAnsi="Cambria"/>
          <w:sz w:val="20"/>
          <w:szCs w:val="20"/>
          <w:bdr w:val="none" w:sz="0" w:space="0" w:color="auto"/>
        </w:rPr>
        <w:t xml:space="preserve"> </w:t>
      </w:r>
      <w:r w:rsidR="000E027A">
        <w:rPr>
          <w:rFonts w:ascii="Cambria" w:eastAsia="Calibri" w:hAnsi="Cambria"/>
          <w:sz w:val="20"/>
          <w:szCs w:val="20"/>
          <w:bdr w:val="none" w:sz="0" w:space="0" w:color="auto"/>
        </w:rPr>
        <w:t>from a right to</w:t>
      </w:r>
      <w:r w:rsidR="009A4F91">
        <w:rPr>
          <w:rFonts w:ascii="Cambria" w:eastAsia="Calibri" w:hAnsi="Cambria"/>
          <w:sz w:val="20"/>
          <w:szCs w:val="20"/>
          <w:bdr w:val="none" w:sz="0" w:space="0" w:color="auto"/>
        </w:rPr>
        <w:t xml:space="preserve"> </w:t>
      </w:r>
      <w:r w:rsidR="000E027A" w:rsidRPr="00A51861">
        <w:rPr>
          <w:rFonts w:ascii="Cambria" w:eastAsia="Calibri" w:hAnsi="Cambria"/>
          <w:sz w:val="20"/>
          <w:szCs w:val="20"/>
          <w:bdr w:val="none" w:sz="0" w:space="0" w:color="auto"/>
        </w:rPr>
        <w:t xml:space="preserve">judicial </w:t>
      </w:r>
      <w:r w:rsidR="00EF4ED2">
        <w:rPr>
          <w:rFonts w:ascii="Cambria" w:eastAsia="Calibri" w:hAnsi="Cambria"/>
          <w:sz w:val="20"/>
          <w:szCs w:val="20"/>
          <w:bdr w:val="none" w:sz="0" w:space="0" w:color="auto"/>
        </w:rPr>
        <w:t>protection</w:t>
      </w:r>
      <w:r w:rsidR="00773B3C" w:rsidRPr="00A51861">
        <w:rPr>
          <w:rFonts w:ascii="Cambria" w:eastAsia="Calibri" w:hAnsi="Cambria"/>
          <w:sz w:val="20"/>
          <w:szCs w:val="20"/>
          <w:bdr w:val="none" w:sz="0" w:space="0" w:color="auto"/>
        </w:rPr>
        <w:t xml:space="preserve"> </w:t>
      </w:r>
      <w:r w:rsidR="000E027A">
        <w:rPr>
          <w:rFonts w:ascii="Cambria" w:eastAsia="Calibri" w:hAnsi="Cambria"/>
          <w:sz w:val="20"/>
          <w:szCs w:val="20"/>
          <w:bdr w:val="none" w:sz="0" w:space="0" w:color="auto"/>
        </w:rPr>
        <w:t>conceived by</w:t>
      </w:r>
      <w:r w:rsidR="00773B3C" w:rsidRPr="00A51861">
        <w:rPr>
          <w:rFonts w:ascii="Cambria" w:eastAsia="Calibri" w:hAnsi="Cambria"/>
          <w:sz w:val="20"/>
          <w:szCs w:val="20"/>
          <w:bdr w:val="none" w:sz="0" w:space="0" w:color="auto"/>
        </w:rPr>
        <w:t xml:space="preserve"> </w:t>
      </w:r>
      <w:r w:rsidR="0029564F">
        <w:rPr>
          <w:rFonts w:ascii="Cambria" w:eastAsia="Calibri" w:hAnsi="Cambria"/>
          <w:sz w:val="20"/>
          <w:szCs w:val="20"/>
          <w:bdr w:val="none" w:sz="0" w:space="0" w:color="auto"/>
        </w:rPr>
        <w:t>Article</w:t>
      </w:r>
      <w:r w:rsidR="00773B3C" w:rsidRPr="00A51861">
        <w:rPr>
          <w:rFonts w:ascii="Cambria" w:eastAsia="Calibri" w:hAnsi="Cambria"/>
          <w:sz w:val="20"/>
          <w:szCs w:val="20"/>
          <w:bdr w:val="none" w:sz="0" w:space="0" w:color="auto"/>
        </w:rPr>
        <w:t xml:space="preserve"> XVIII</w:t>
      </w:r>
      <w:r w:rsidR="00E92985">
        <w:rPr>
          <w:rFonts w:ascii="Cambria" w:eastAsia="Calibri" w:hAnsi="Cambria"/>
          <w:sz w:val="20"/>
          <w:szCs w:val="20"/>
          <w:bdr w:val="none" w:sz="0" w:space="0" w:color="auto"/>
        </w:rPr>
        <w:t xml:space="preserve"> of the </w:t>
      </w:r>
      <w:r w:rsidR="00A311C9">
        <w:rPr>
          <w:rFonts w:ascii="Cambria" w:eastAsia="Calibri" w:hAnsi="Cambria"/>
          <w:sz w:val="20"/>
          <w:szCs w:val="20"/>
          <w:bdr w:val="none" w:sz="0" w:space="0" w:color="auto"/>
        </w:rPr>
        <w:t>American Declaration</w:t>
      </w:r>
      <w:r w:rsidR="00773B3C" w:rsidRPr="00A51861">
        <w:rPr>
          <w:rFonts w:ascii="Cambria" w:eastAsia="Calibri" w:hAnsi="Cambria"/>
          <w:sz w:val="20"/>
          <w:szCs w:val="20"/>
          <w:bdr w:val="none" w:sz="0" w:space="0" w:color="auto"/>
          <w:vertAlign w:val="superscript"/>
        </w:rPr>
        <w:footnoteReference w:id="179"/>
      </w:r>
      <w:r w:rsidR="00773B3C" w:rsidRPr="00A51861">
        <w:rPr>
          <w:rFonts w:ascii="Cambria" w:eastAsia="Calibri" w:hAnsi="Cambria"/>
          <w:sz w:val="20"/>
          <w:szCs w:val="20"/>
          <w:bdr w:val="none" w:sz="0" w:space="0" w:color="auto"/>
        </w:rPr>
        <w:t xml:space="preserve">.  </w:t>
      </w:r>
    </w:p>
    <w:p w14:paraId="19B8784A" w14:textId="77777777" w:rsidR="00773B3C" w:rsidRPr="00A51861" w:rsidRDefault="00773B3C" w:rsidP="008E4D36">
      <w:pPr>
        <w:ind w:left="720"/>
        <w:rPr>
          <w:rFonts w:ascii="Cambria" w:eastAsia="Cambria" w:hAnsi="Cambria" w:cs="Cambria"/>
          <w:color w:val="000000"/>
          <w:sz w:val="20"/>
          <w:szCs w:val="20"/>
          <w:u w:color="000000"/>
          <w:lang w:eastAsia="es-ES"/>
        </w:rPr>
      </w:pPr>
    </w:p>
    <w:p w14:paraId="54EB783D" w14:textId="50048763" w:rsidR="00773B3C" w:rsidRPr="00A51861" w:rsidRDefault="000E027A"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eastAsia="Calibri" w:hAnsi="Cambria" w:cs="Tahoma"/>
          <w:color w:val="000000"/>
          <w:sz w:val="20"/>
          <w:szCs w:val="20"/>
          <w:bdr w:val="none" w:sz="0" w:space="0" w:color="auto"/>
        </w:rPr>
      </w:pPr>
      <w:r>
        <w:rPr>
          <w:rFonts w:ascii="Cambria" w:eastAsia="Calibri" w:hAnsi="Cambria"/>
          <w:sz w:val="20"/>
          <w:szCs w:val="20"/>
          <w:bdr w:val="none" w:sz="0" w:space="0" w:color="auto"/>
        </w:rPr>
        <w:t>In regard to</w:t>
      </w:r>
      <w:r w:rsidR="00773B3C" w:rsidRPr="00A51861">
        <w:rPr>
          <w:rFonts w:ascii="Cambria" w:eastAsia="Calibri" w:hAnsi="Cambria"/>
          <w:sz w:val="20"/>
          <w:szCs w:val="20"/>
          <w:bdr w:val="none" w:sz="0" w:space="0" w:color="auto"/>
        </w:rPr>
        <w:t xml:space="preserve"> </w:t>
      </w:r>
      <w:r w:rsidR="0029564F">
        <w:rPr>
          <w:rFonts w:ascii="Cambria" w:eastAsia="Calibri" w:hAnsi="Cambria"/>
          <w:sz w:val="20"/>
          <w:szCs w:val="20"/>
          <w:bdr w:val="none" w:sz="0" w:space="0" w:color="auto"/>
        </w:rPr>
        <w:t>article</w:t>
      </w:r>
      <w:r w:rsidR="00773B3C" w:rsidRPr="00A51861">
        <w:rPr>
          <w:rFonts w:ascii="Cambria" w:eastAsia="Calibri" w:hAnsi="Cambria"/>
          <w:sz w:val="20"/>
          <w:szCs w:val="20"/>
          <w:bdr w:val="none" w:sz="0" w:space="0" w:color="auto"/>
        </w:rPr>
        <w:t xml:space="preserve"> XXVI</w:t>
      </w:r>
      <w:r w:rsidR="00E92985">
        <w:rPr>
          <w:rFonts w:ascii="Cambria" w:eastAsia="Calibri" w:hAnsi="Cambria"/>
          <w:sz w:val="20"/>
          <w:szCs w:val="20"/>
          <w:bdr w:val="none" w:sz="0" w:space="0" w:color="auto"/>
        </w:rPr>
        <w:t xml:space="preserve"> of the </w:t>
      </w:r>
      <w:r w:rsidR="00A311C9">
        <w:rPr>
          <w:rFonts w:ascii="Cambria" w:eastAsia="Calibri" w:hAnsi="Cambria"/>
          <w:sz w:val="20"/>
          <w:szCs w:val="20"/>
          <w:bdr w:val="none" w:sz="0" w:space="0" w:color="auto"/>
        </w:rPr>
        <w:t>American Declaration</w:t>
      </w:r>
      <w:r w:rsidR="00773B3C" w:rsidRPr="00A51861">
        <w:rPr>
          <w:rFonts w:ascii="Cambria" w:eastAsia="Calibri" w:hAnsi="Cambria"/>
          <w:sz w:val="20"/>
          <w:szCs w:val="20"/>
          <w:bdr w:val="none" w:sz="0" w:space="0" w:color="auto"/>
        </w:rPr>
        <w:t xml:space="preserve">, </w:t>
      </w:r>
      <w:r w:rsidR="00A51861" w:rsidRPr="00A51861">
        <w:rPr>
          <w:rFonts w:ascii="Cambria" w:eastAsia="Calibri" w:hAnsi="Cambria"/>
          <w:sz w:val="20"/>
          <w:szCs w:val="20"/>
          <w:bdr w:val="none" w:sz="0" w:space="0" w:color="auto"/>
        </w:rPr>
        <w:t>the IACHR</w:t>
      </w:r>
      <w:r w:rsidR="00773B3C" w:rsidRPr="00A51861">
        <w:rPr>
          <w:rFonts w:ascii="Cambria" w:eastAsia="Calibri" w:hAnsi="Cambria"/>
          <w:sz w:val="20"/>
          <w:szCs w:val="20"/>
          <w:bdr w:val="none" w:sz="0" w:space="0" w:color="auto"/>
        </w:rPr>
        <w:t xml:space="preserve"> ha</w:t>
      </w:r>
      <w:r>
        <w:rPr>
          <w:rFonts w:ascii="Cambria" w:eastAsia="Calibri" w:hAnsi="Cambria"/>
          <w:sz w:val="20"/>
          <w:szCs w:val="20"/>
          <w:bdr w:val="none" w:sz="0" w:space="0" w:color="auto"/>
        </w:rPr>
        <w:t>s</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implemented</w:t>
      </w:r>
      <w:r w:rsidR="00E64C43">
        <w:rPr>
          <w:rFonts w:ascii="Cambria" w:eastAsia="Calibri" w:hAnsi="Cambria"/>
          <w:sz w:val="20"/>
          <w:szCs w:val="20"/>
          <w:bdr w:val="none" w:sz="0" w:space="0" w:color="auto"/>
        </w:rPr>
        <w:t xml:space="preserve"> this </w:t>
      </w:r>
      <w:r w:rsidR="00FA2E7B">
        <w:rPr>
          <w:rFonts w:ascii="Cambria" w:eastAsia="Calibri" w:hAnsi="Cambria"/>
          <w:sz w:val="20"/>
          <w:szCs w:val="20"/>
          <w:bdr w:val="none" w:sz="0" w:space="0" w:color="auto"/>
        </w:rPr>
        <w:t>provision</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on certain civil proceedings</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which include a</w:t>
      </w:r>
      <w:r w:rsidR="00773B3C" w:rsidRPr="00A51861">
        <w:rPr>
          <w:rFonts w:ascii="Cambria" w:eastAsia="Calibri" w:hAnsi="Cambria"/>
          <w:sz w:val="20"/>
          <w:szCs w:val="20"/>
          <w:bdr w:val="none" w:sz="0" w:space="0" w:color="auto"/>
        </w:rPr>
        <w:t xml:space="preserve"> po</w:t>
      </w:r>
      <w:r>
        <w:rPr>
          <w:rFonts w:ascii="Cambria" w:eastAsia="Calibri" w:hAnsi="Cambria"/>
          <w:sz w:val="20"/>
          <w:szCs w:val="20"/>
          <w:bdr w:val="none" w:sz="0" w:space="0" w:color="auto"/>
        </w:rPr>
        <w:t>s</w:t>
      </w:r>
      <w:r w:rsidR="00773B3C" w:rsidRPr="00A51861">
        <w:rPr>
          <w:rFonts w:ascii="Cambria" w:eastAsia="Calibri" w:hAnsi="Cambria"/>
          <w:sz w:val="20"/>
          <w:szCs w:val="20"/>
          <w:bdr w:val="none" w:sz="0" w:space="0" w:color="auto"/>
        </w:rPr>
        <w:t xml:space="preserve">sible </w:t>
      </w:r>
      <w:r>
        <w:rPr>
          <w:rFonts w:ascii="Cambria" w:eastAsia="Calibri" w:hAnsi="Cambria"/>
          <w:sz w:val="20"/>
          <w:szCs w:val="20"/>
          <w:bdr w:val="none" w:sz="0" w:space="0" w:color="auto"/>
        </w:rPr>
        <w:t>punishment</w:t>
      </w:r>
      <w:r w:rsidR="00E92985">
        <w:rPr>
          <w:rFonts w:ascii="Cambria" w:eastAsia="Calibri" w:hAnsi="Cambria"/>
          <w:sz w:val="20"/>
          <w:szCs w:val="20"/>
          <w:bdr w:val="none" w:sz="0" w:space="0" w:color="auto"/>
        </w:rPr>
        <w:t xml:space="preserve"> </w:t>
      </w:r>
      <w:r w:rsidR="00061015">
        <w:rPr>
          <w:rFonts w:ascii="Cambria" w:eastAsia="Calibri" w:hAnsi="Cambria"/>
          <w:sz w:val="20"/>
          <w:szCs w:val="20"/>
          <w:bdr w:val="none" w:sz="0" w:space="0" w:color="auto"/>
        </w:rPr>
        <w:t>that</w:t>
      </w:r>
      <w:r w:rsidR="00E92985">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comes from a previous criminal sentence</w:t>
      </w:r>
      <w:r w:rsidR="00773B3C" w:rsidRPr="00A51861">
        <w:rPr>
          <w:rFonts w:ascii="Cambria" w:eastAsia="Calibri" w:hAnsi="Cambria"/>
          <w:sz w:val="20"/>
          <w:szCs w:val="20"/>
          <w:bdr w:val="none" w:sz="0" w:space="0" w:color="auto"/>
          <w:vertAlign w:val="superscript"/>
        </w:rPr>
        <w:footnoteReference w:id="180"/>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I</w:t>
      </w:r>
      <w:r w:rsidR="00773B3C" w:rsidRPr="00A51861">
        <w:rPr>
          <w:rFonts w:ascii="Cambria" w:eastAsia="Calibri" w:hAnsi="Cambria"/>
          <w:sz w:val="20"/>
          <w:szCs w:val="20"/>
          <w:bdr w:val="none" w:sz="0" w:space="0" w:color="auto"/>
        </w:rPr>
        <w:t xml:space="preserve">n </w:t>
      </w:r>
      <w:r>
        <w:rPr>
          <w:rFonts w:ascii="Cambria" w:eastAsia="Calibri" w:hAnsi="Cambria"/>
          <w:sz w:val="20"/>
          <w:szCs w:val="20"/>
          <w:bdr w:val="none" w:sz="0" w:space="0" w:color="auto"/>
        </w:rPr>
        <w:t>the</w:t>
      </w:r>
      <w:r w:rsidR="00773B3C" w:rsidRPr="00A51861">
        <w:rPr>
          <w:rFonts w:ascii="Cambria" w:eastAsia="Calibri" w:hAnsi="Cambria"/>
          <w:sz w:val="20"/>
          <w:szCs w:val="20"/>
          <w:bdr w:val="none" w:sz="0" w:space="0" w:color="auto"/>
        </w:rPr>
        <w:t xml:space="preserve"> cas</w:t>
      </w:r>
      <w:r>
        <w:rPr>
          <w:rFonts w:ascii="Cambria" w:eastAsia="Calibri" w:hAnsi="Cambria"/>
          <w:sz w:val="20"/>
          <w:szCs w:val="20"/>
          <w:bdr w:val="none" w:sz="0" w:space="0" w:color="auto"/>
        </w:rPr>
        <w:t>e</w:t>
      </w:r>
      <w:r w:rsidR="00E92985">
        <w:rPr>
          <w:rFonts w:ascii="Cambria" w:eastAsia="Calibri" w:hAnsi="Cambria"/>
          <w:sz w:val="20"/>
          <w:szCs w:val="20"/>
          <w:bdr w:val="none" w:sz="0" w:space="0" w:color="auto"/>
        </w:rPr>
        <w:t xml:space="preserve"> of </w:t>
      </w:r>
      <w:r w:rsidR="00773B3C" w:rsidRPr="00A51861">
        <w:rPr>
          <w:rFonts w:ascii="Cambria" w:eastAsia="Calibri" w:hAnsi="Cambria"/>
          <w:sz w:val="20"/>
          <w:szCs w:val="20"/>
          <w:bdr w:val="none" w:sz="0" w:space="0" w:color="auto"/>
        </w:rPr>
        <w:t xml:space="preserve">Andrea Mortlock, </w:t>
      </w:r>
      <w:r>
        <w:rPr>
          <w:rFonts w:ascii="Cambria" w:eastAsia="Calibri" w:hAnsi="Cambria"/>
          <w:sz w:val="20"/>
          <w:szCs w:val="20"/>
          <w:bdr w:val="none" w:sz="0" w:space="0" w:color="auto"/>
        </w:rPr>
        <w:t>which corresponded to a</w:t>
      </w:r>
      <w:r w:rsidR="00773B3C" w:rsidRPr="00A51861">
        <w:rPr>
          <w:rFonts w:ascii="Cambria" w:eastAsia="Calibri" w:hAnsi="Cambria"/>
          <w:sz w:val="20"/>
          <w:szCs w:val="20"/>
          <w:bdr w:val="none" w:sz="0" w:space="0" w:color="auto"/>
        </w:rPr>
        <w:t xml:space="preserve"> </w:t>
      </w:r>
      <w:r w:rsidR="00B4073F">
        <w:rPr>
          <w:rFonts w:ascii="Cambria" w:eastAsia="Calibri" w:hAnsi="Cambria"/>
          <w:sz w:val="20"/>
          <w:szCs w:val="20"/>
          <w:bdr w:val="none" w:sz="0" w:space="0" w:color="auto"/>
        </w:rPr>
        <w:t>victim</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in</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proceedings</w:t>
      </w:r>
      <w:r w:rsidR="00E92985">
        <w:rPr>
          <w:rFonts w:ascii="Cambria" w:eastAsia="Calibri" w:hAnsi="Cambria"/>
          <w:sz w:val="20"/>
          <w:szCs w:val="20"/>
          <w:bdr w:val="none" w:sz="0" w:space="0" w:color="auto"/>
        </w:rPr>
        <w:t xml:space="preserve"> of </w:t>
      </w:r>
      <w:r>
        <w:rPr>
          <w:rFonts w:ascii="Cambria" w:eastAsia="Calibri" w:hAnsi="Cambria"/>
          <w:sz w:val="20"/>
          <w:szCs w:val="20"/>
          <w:bdr w:val="none" w:sz="0" w:space="0" w:color="auto"/>
        </w:rPr>
        <w:t>deportation</w:t>
      </w:r>
      <w:r w:rsidR="00773B3C" w:rsidRPr="00A51861">
        <w:rPr>
          <w:rFonts w:ascii="Cambria" w:eastAsia="Calibri" w:hAnsi="Cambria"/>
          <w:sz w:val="20"/>
          <w:szCs w:val="20"/>
          <w:bdr w:val="none" w:sz="0" w:space="0" w:color="auto"/>
        </w:rPr>
        <w:t xml:space="preserve">, </w:t>
      </w:r>
      <w:r w:rsidR="00E92985">
        <w:rPr>
          <w:rFonts w:ascii="Cambria" w:eastAsia="Calibri" w:hAnsi="Cambria"/>
          <w:sz w:val="20"/>
          <w:szCs w:val="20"/>
          <w:bdr w:val="none" w:sz="0" w:space="0" w:color="auto"/>
        </w:rPr>
        <w:t>the Inter-American Commission</w:t>
      </w:r>
      <w:r w:rsidR="00773B3C" w:rsidRPr="00A51861">
        <w:rPr>
          <w:rFonts w:ascii="Cambria" w:eastAsia="Calibri" w:hAnsi="Cambria"/>
          <w:sz w:val="20"/>
          <w:szCs w:val="20"/>
          <w:bdr w:val="none" w:sz="0" w:space="0" w:color="auto"/>
        </w:rPr>
        <w:t xml:space="preserve"> declar</w:t>
      </w:r>
      <w:r>
        <w:rPr>
          <w:rFonts w:ascii="Cambria" w:eastAsia="Calibri" w:hAnsi="Cambria"/>
          <w:sz w:val="20"/>
          <w:szCs w:val="20"/>
          <w:bdr w:val="none" w:sz="0" w:space="0" w:color="auto"/>
        </w:rPr>
        <w:t>ed</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that</w:t>
      </w:r>
      <w:r w:rsidR="00773B3C" w:rsidRPr="00A51861">
        <w:rPr>
          <w:rFonts w:ascii="Cambria" w:eastAsia="Calibri" w:hAnsi="Cambria"/>
          <w:sz w:val="20"/>
          <w:szCs w:val="20"/>
          <w:bdr w:val="none" w:sz="0" w:space="0" w:color="auto"/>
        </w:rPr>
        <w:t xml:space="preserve"> “</w:t>
      </w:r>
      <w:r w:rsidR="004C5A00">
        <w:rPr>
          <w:rFonts w:ascii="Cambria" w:eastAsia="Calibri" w:hAnsi="Cambria"/>
          <w:sz w:val="20"/>
          <w:szCs w:val="20"/>
          <w:bdr w:val="none" w:sz="0" w:space="0" w:color="auto"/>
        </w:rPr>
        <w:t>denying the</w:t>
      </w:r>
      <w:r w:rsidR="009A4F91">
        <w:rPr>
          <w:rFonts w:ascii="Cambria" w:eastAsia="Calibri" w:hAnsi="Cambria"/>
          <w:sz w:val="20"/>
          <w:szCs w:val="20"/>
          <w:bdr w:val="none" w:sz="0" w:space="0" w:color="auto"/>
        </w:rPr>
        <w:t xml:space="preserve"> </w:t>
      </w:r>
      <w:r w:rsidR="00EF4ED2">
        <w:rPr>
          <w:rFonts w:ascii="Cambria" w:eastAsia="Calibri" w:hAnsi="Cambria"/>
          <w:sz w:val="20"/>
          <w:szCs w:val="20"/>
          <w:bdr w:val="none" w:sz="0" w:space="0" w:color="auto"/>
        </w:rPr>
        <w:t>protection</w:t>
      </w:r>
      <w:r w:rsidR="004969F4">
        <w:rPr>
          <w:rFonts w:ascii="Cambria" w:eastAsia="Calibri" w:hAnsi="Cambria"/>
          <w:sz w:val="20"/>
          <w:szCs w:val="20"/>
          <w:bdr w:val="none" w:sz="0" w:space="0" w:color="auto"/>
        </w:rPr>
        <w:t xml:space="preserve"> of </w:t>
      </w:r>
      <w:r w:rsidR="0029564F">
        <w:rPr>
          <w:rFonts w:ascii="Cambria" w:eastAsia="Calibri" w:hAnsi="Cambria"/>
          <w:sz w:val="20"/>
          <w:szCs w:val="20"/>
          <w:bdr w:val="none" w:sz="0" w:space="0" w:color="auto"/>
        </w:rPr>
        <w:t>article</w:t>
      </w:r>
      <w:r w:rsidR="00773B3C" w:rsidRPr="00A51861">
        <w:rPr>
          <w:rFonts w:ascii="Cambria" w:eastAsia="Calibri" w:hAnsi="Cambria"/>
          <w:sz w:val="20"/>
          <w:szCs w:val="20"/>
          <w:bdr w:val="none" w:sz="0" w:space="0" w:color="auto"/>
        </w:rPr>
        <w:t xml:space="preserve"> XXVI </w:t>
      </w:r>
      <w:r w:rsidR="004C5A00">
        <w:rPr>
          <w:rFonts w:ascii="Cambria" w:eastAsia="Calibri" w:hAnsi="Cambria"/>
          <w:sz w:val="20"/>
          <w:szCs w:val="20"/>
          <w:bdr w:val="none" w:sz="0" w:space="0" w:color="auto"/>
        </w:rPr>
        <w:t xml:space="preserve">to an alleged victim </w:t>
      </w:r>
      <w:r w:rsidR="00773B3C" w:rsidRPr="00A51861">
        <w:rPr>
          <w:rFonts w:ascii="Cambria" w:eastAsia="Calibri" w:hAnsi="Cambria"/>
          <w:sz w:val="20"/>
          <w:szCs w:val="20"/>
          <w:bdr w:val="none" w:sz="0" w:space="0" w:color="auto"/>
        </w:rPr>
        <w:t>simpl</w:t>
      </w:r>
      <w:r w:rsidR="0029564F">
        <w:rPr>
          <w:rFonts w:ascii="Cambria" w:eastAsia="Calibri" w:hAnsi="Cambria"/>
          <w:sz w:val="20"/>
          <w:szCs w:val="20"/>
          <w:bdr w:val="none" w:sz="0" w:space="0" w:color="auto"/>
        </w:rPr>
        <w:t xml:space="preserve">y </w:t>
      </w:r>
      <w:r w:rsidR="004C5A00">
        <w:rPr>
          <w:rFonts w:ascii="Cambria" w:eastAsia="Calibri" w:hAnsi="Cambria"/>
          <w:sz w:val="20"/>
          <w:szCs w:val="20"/>
          <w:bdr w:val="none" w:sz="0" w:space="0" w:color="auto"/>
        </w:rPr>
        <w:t>by virtue of the nature of</w:t>
      </w:r>
      <w:r w:rsidR="00E92985">
        <w:rPr>
          <w:rFonts w:ascii="Cambria" w:eastAsia="Calibri" w:hAnsi="Cambria"/>
          <w:sz w:val="20"/>
          <w:szCs w:val="20"/>
          <w:bdr w:val="none" w:sz="0" w:space="0" w:color="auto"/>
        </w:rPr>
        <w:t xml:space="preserve"> </w:t>
      </w:r>
      <w:r w:rsidR="00680DA3">
        <w:rPr>
          <w:rFonts w:ascii="Cambria" w:eastAsia="Calibri" w:hAnsi="Cambria"/>
          <w:sz w:val="20"/>
          <w:szCs w:val="20"/>
          <w:bdr w:val="none" w:sz="0" w:space="0" w:color="auto"/>
        </w:rPr>
        <w:t>immigration</w:t>
      </w:r>
      <w:r w:rsidR="00773B3C" w:rsidRPr="00A51861">
        <w:rPr>
          <w:rFonts w:ascii="Cambria" w:eastAsia="Calibri" w:hAnsi="Cambria"/>
          <w:sz w:val="20"/>
          <w:szCs w:val="20"/>
          <w:bdr w:val="none" w:sz="0" w:space="0" w:color="auto"/>
        </w:rPr>
        <w:t xml:space="preserve"> </w:t>
      </w:r>
      <w:r w:rsidR="004C5A00">
        <w:rPr>
          <w:rFonts w:ascii="Cambria" w:eastAsia="Calibri" w:hAnsi="Cambria"/>
          <w:sz w:val="20"/>
          <w:szCs w:val="20"/>
          <w:bdr w:val="none" w:sz="0" w:space="0" w:color="auto"/>
        </w:rPr>
        <w:t>procedures would counter the very core of</w:t>
      </w:r>
      <w:r w:rsidR="00E64C43">
        <w:rPr>
          <w:rFonts w:ascii="Cambria" w:eastAsia="Calibri" w:hAnsi="Cambria"/>
          <w:sz w:val="20"/>
          <w:szCs w:val="20"/>
          <w:bdr w:val="none" w:sz="0" w:space="0" w:color="auto"/>
        </w:rPr>
        <w:t xml:space="preserve"> this </w:t>
      </w:r>
      <w:r w:rsidR="00FA2E7B">
        <w:rPr>
          <w:rFonts w:ascii="Cambria" w:eastAsia="Calibri" w:hAnsi="Cambria"/>
          <w:sz w:val="20"/>
          <w:szCs w:val="20"/>
          <w:bdr w:val="none" w:sz="0" w:space="0" w:color="auto"/>
        </w:rPr>
        <w:t>provision</w:t>
      </w:r>
      <w:r w:rsidR="00E92985">
        <w:rPr>
          <w:rFonts w:ascii="Cambria" w:eastAsia="Calibri" w:hAnsi="Cambria"/>
          <w:sz w:val="20"/>
          <w:szCs w:val="20"/>
          <w:bdr w:val="none" w:sz="0" w:space="0" w:color="auto"/>
        </w:rPr>
        <w:t xml:space="preserve"> and </w:t>
      </w:r>
      <w:r w:rsidR="004C5A00">
        <w:rPr>
          <w:rFonts w:ascii="Cambria" w:eastAsia="Calibri" w:hAnsi="Cambria"/>
          <w:sz w:val="20"/>
          <w:szCs w:val="20"/>
          <w:bdr w:val="none" w:sz="0" w:space="0" w:color="auto"/>
        </w:rPr>
        <w:t>its purpose of examining</w:t>
      </w:r>
      <w:r w:rsidR="00E92985">
        <w:rPr>
          <w:rFonts w:ascii="Cambria" w:eastAsia="Calibri" w:hAnsi="Cambria"/>
          <w:sz w:val="20"/>
          <w:szCs w:val="20"/>
          <w:bdr w:val="none" w:sz="0" w:space="0" w:color="auto"/>
        </w:rPr>
        <w:t xml:space="preserve"> </w:t>
      </w:r>
      <w:r w:rsidR="004C5A00">
        <w:rPr>
          <w:rFonts w:ascii="Cambria" w:eastAsia="Calibri" w:hAnsi="Cambria"/>
          <w:sz w:val="20"/>
          <w:szCs w:val="20"/>
          <w:bdr w:val="none" w:sz="0" w:space="0" w:color="auto"/>
        </w:rPr>
        <w:t>closely the procedures through which</w:t>
      </w:r>
      <w:r w:rsidR="00773B3C" w:rsidRPr="00A51861">
        <w:rPr>
          <w:rFonts w:ascii="Cambria" w:eastAsia="Calibri" w:hAnsi="Cambria"/>
          <w:sz w:val="20"/>
          <w:szCs w:val="20"/>
          <w:bdr w:val="none" w:sz="0" w:space="0" w:color="auto"/>
        </w:rPr>
        <w:t xml:space="preserve"> </w:t>
      </w:r>
      <w:r w:rsidR="004C5A00">
        <w:rPr>
          <w:rFonts w:ascii="Cambria" w:eastAsia="Calibri" w:hAnsi="Cambria"/>
          <w:sz w:val="20"/>
          <w:szCs w:val="20"/>
          <w:bdr w:val="none" w:sz="0" w:space="0" w:color="auto"/>
        </w:rPr>
        <w:t>Rights</w:t>
      </w:r>
      <w:r w:rsidR="00773B3C" w:rsidRPr="00A51861">
        <w:rPr>
          <w:rFonts w:ascii="Cambria" w:eastAsia="Calibri" w:hAnsi="Cambria"/>
          <w:sz w:val="20"/>
          <w:szCs w:val="20"/>
          <w:bdr w:val="none" w:sz="0" w:space="0" w:color="auto"/>
        </w:rPr>
        <w:t xml:space="preserve">, </w:t>
      </w:r>
      <w:r w:rsidR="004C5A00">
        <w:rPr>
          <w:rFonts w:ascii="Cambria" w:eastAsia="Calibri" w:hAnsi="Cambria"/>
          <w:sz w:val="20"/>
          <w:szCs w:val="20"/>
          <w:bdr w:val="none" w:sz="0" w:space="0" w:color="auto"/>
        </w:rPr>
        <w:t>liberties</w:t>
      </w:r>
      <w:r w:rsidR="00E92985">
        <w:rPr>
          <w:rFonts w:ascii="Cambria" w:eastAsia="Calibri" w:hAnsi="Cambria"/>
          <w:sz w:val="20"/>
          <w:szCs w:val="20"/>
          <w:bdr w:val="none" w:sz="0" w:space="0" w:color="auto"/>
        </w:rPr>
        <w:t xml:space="preserve"> and </w:t>
      </w:r>
      <w:r w:rsidR="004C5A00">
        <w:rPr>
          <w:rFonts w:ascii="Cambria" w:eastAsia="Calibri" w:hAnsi="Cambria"/>
          <w:sz w:val="20"/>
          <w:szCs w:val="20"/>
          <w:bdr w:val="none" w:sz="0" w:space="0" w:color="auto"/>
        </w:rPr>
        <w:t xml:space="preserve">the wellbeing of </w:t>
      </w:r>
      <w:r w:rsidR="00EC7A58">
        <w:rPr>
          <w:rFonts w:ascii="Cambria" w:eastAsia="Calibri" w:hAnsi="Cambria"/>
          <w:sz w:val="20"/>
          <w:szCs w:val="20"/>
          <w:bdr w:val="none" w:sz="0" w:space="0" w:color="auto"/>
        </w:rPr>
        <w:t>persons</w:t>
      </w:r>
      <w:r w:rsidR="00773B3C" w:rsidRPr="00A51861">
        <w:rPr>
          <w:rFonts w:ascii="Cambria" w:eastAsia="Calibri" w:hAnsi="Cambria"/>
          <w:sz w:val="20"/>
          <w:szCs w:val="20"/>
          <w:bdr w:val="none" w:sz="0" w:space="0" w:color="auto"/>
        </w:rPr>
        <w:t xml:space="preserve"> </w:t>
      </w:r>
      <w:r w:rsidR="004C5A00">
        <w:rPr>
          <w:rFonts w:ascii="Cambria" w:eastAsia="Calibri" w:hAnsi="Cambria"/>
          <w:sz w:val="20"/>
          <w:szCs w:val="20"/>
          <w:bdr w:val="none" w:sz="0" w:space="0" w:color="auto"/>
        </w:rPr>
        <w:t>are established under the</w:t>
      </w:r>
      <w:r w:rsidR="009A4F91">
        <w:rPr>
          <w:rFonts w:ascii="Cambria" w:eastAsia="Calibri" w:hAnsi="Cambria"/>
          <w:sz w:val="20"/>
          <w:szCs w:val="20"/>
          <w:bdr w:val="none" w:sz="0" w:space="0" w:color="auto"/>
        </w:rPr>
        <w:t xml:space="preserve"> </w:t>
      </w:r>
      <w:r w:rsidR="004C5A00">
        <w:rPr>
          <w:rFonts w:ascii="Cambria" w:eastAsia="Calibri" w:hAnsi="Cambria"/>
          <w:sz w:val="20"/>
          <w:szCs w:val="20"/>
          <w:bdr w:val="none" w:sz="0" w:space="0" w:color="auto"/>
        </w:rPr>
        <w:t>jurisdiction</w:t>
      </w:r>
      <w:r w:rsidR="00773B3C" w:rsidRPr="00A51861">
        <w:rPr>
          <w:rFonts w:ascii="Cambria" w:eastAsia="Calibri" w:hAnsi="Cambria"/>
          <w:sz w:val="20"/>
          <w:szCs w:val="20"/>
          <w:bdr w:val="none" w:sz="0" w:space="0" w:color="auto"/>
        </w:rPr>
        <w:t xml:space="preserve"> </w:t>
      </w:r>
      <w:r w:rsidR="00F92BA8">
        <w:rPr>
          <w:rFonts w:ascii="Cambria" w:eastAsia="Calibri" w:hAnsi="Cambria"/>
          <w:sz w:val="20"/>
          <w:szCs w:val="20"/>
          <w:bdr w:val="none" w:sz="0" w:space="0" w:color="auto"/>
        </w:rPr>
        <w:t>of the State</w:t>
      </w:r>
      <w:r w:rsidR="00773B3C" w:rsidRPr="00A51861">
        <w:rPr>
          <w:rFonts w:ascii="Cambria" w:eastAsia="Calibri" w:hAnsi="Cambria"/>
          <w:sz w:val="20"/>
          <w:szCs w:val="20"/>
          <w:bdr w:val="none" w:sz="0" w:space="0" w:color="auto"/>
        </w:rPr>
        <w:t>”</w:t>
      </w:r>
      <w:r w:rsidR="00773B3C" w:rsidRPr="00A51861">
        <w:rPr>
          <w:rFonts w:ascii="Cambria" w:eastAsia="Calibri" w:hAnsi="Cambria"/>
          <w:sz w:val="20"/>
          <w:szCs w:val="20"/>
          <w:bdr w:val="none" w:sz="0" w:space="0" w:color="auto"/>
          <w:vertAlign w:val="superscript"/>
        </w:rPr>
        <w:footnoteReference w:id="181"/>
      </w:r>
      <w:r w:rsidR="00773B3C" w:rsidRPr="00A51861">
        <w:rPr>
          <w:rFonts w:ascii="Cambria" w:eastAsia="Calibri" w:hAnsi="Cambria"/>
          <w:sz w:val="20"/>
          <w:szCs w:val="20"/>
          <w:bdr w:val="none" w:sz="0" w:space="0" w:color="auto"/>
        </w:rPr>
        <w:t xml:space="preserve">.  </w:t>
      </w:r>
      <w:r w:rsidR="004C5A00">
        <w:rPr>
          <w:rFonts w:ascii="Cambria" w:eastAsia="Calibri" w:hAnsi="Cambria"/>
          <w:sz w:val="20"/>
          <w:szCs w:val="20"/>
          <w:bdr w:val="none" w:sz="0" w:space="0" w:color="auto"/>
        </w:rPr>
        <w:t>Thus</w:t>
      </w:r>
      <w:r w:rsidR="00773B3C" w:rsidRPr="00A51861">
        <w:rPr>
          <w:rFonts w:ascii="Cambria" w:eastAsia="Calibri" w:hAnsi="Cambria"/>
          <w:sz w:val="20"/>
          <w:szCs w:val="20"/>
          <w:bdr w:val="none" w:sz="0" w:space="0" w:color="auto"/>
        </w:rPr>
        <w:t xml:space="preserve">, </w:t>
      </w:r>
      <w:r w:rsidR="00A51861" w:rsidRPr="00A51861">
        <w:rPr>
          <w:rFonts w:ascii="Cambria" w:eastAsia="Calibri" w:hAnsi="Cambria"/>
          <w:sz w:val="20"/>
          <w:szCs w:val="20"/>
          <w:bdr w:val="none" w:sz="0" w:space="0" w:color="auto"/>
        </w:rPr>
        <w:t>the IACHR</w:t>
      </w:r>
      <w:r w:rsidR="00773B3C" w:rsidRPr="00A51861">
        <w:rPr>
          <w:rFonts w:ascii="Cambria" w:eastAsia="Calibri" w:hAnsi="Cambria"/>
          <w:sz w:val="20"/>
          <w:szCs w:val="20"/>
          <w:bdr w:val="none" w:sz="0" w:space="0" w:color="auto"/>
        </w:rPr>
        <w:t xml:space="preserve"> ha</w:t>
      </w:r>
      <w:r w:rsidR="004C5A00">
        <w:rPr>
          <w:rFonts w:ascii="Cambria" w:eastAsia="Calibri" w:hAnsi="Cambria"/>
          <w:sz w:val="20"/>
          <w:szCs w:val="20"/>
          <w:bdr w:val="none" w:sz="0" w:space="0" w:color="auto"/>
        </w:rPr>
        <w:t>s</w:t>
      </w:r>
      <w:r w:rsidR="00773B3C" w:rsidRPr="00A51861">
        <w:rPr>
          <w:rFonts w:ascii="Cambria" w:eastAsia="Calibri" w:hAnsi="Cambria"/>
          <w:sz w:val="20"/>
          <w:szCs w:val="20"/>
          <w:bdr w:val="none" w:sz="0" w:space="0" w:color="auto"/>
        </w:rPr>
        <w:t xml:space="preserve"> </w:t>
      </w:r>
      <w:r w:rsidR="004C5A00">
        <w:rPr>
          <w:rFonts w:ascii="Cambria" w:eastAsia="Calibri" w:hAnsi="Cambria"/>
          <w:sz w:val="20"/>
          <w:szCs w:val="20"/>
          <w:bdr w:val="none" w:sz="0" w:space="0" w:color="auto"/>
        </w:rPr>
        <w:t>referred that the</w:t>
      </w:r>
      <w:r w:rsidR="00773B3C" w:rsidRPr="00A51861">
        <w:rPr>
          <w:rFonts w:ascii="Cambria" w:eastAsia="Calibri" w:hAnsi="Cambria"/>
          <w:sz w:val="20"/>
          <w:szCs w:val="20"/>
          <w:bdr w:val="none" w:sz="0" w:space="0" w:color="auto"/>
        </w:rPr>
        <w:t xml:space="preserve"> </w:t>
      </w:r>
      <w:r w:rsidR="004C5A00" w:rsidRPr="00A51861">
        <w:rPr>
          <w:rFonts w:ascii="Cambria" w:eastAsia="Calibri" w:hAnsi="Cambria"/>
          <w:sz w:val="20"/>
          <w:szCs w:val="20"/>
          <w:bdr w:val="none" w:sz="0" w:space="0" w:color="auto"/>
        </w:rPr>
        <w:t>protections</w:t>
      </w:r>
      <w:r w:rsidR="00773B3C" w:rsidRPr="00A51861">
        <w:rPr>
          <w:rFonts w:ascii="Cambria" w:eastAsia="Calibri" w:hAnsi="Cambria"/>
          <w:sz w:val="20"/>
          <w:szCs w:val="20"/>
          <w:bdr w:val="none" w:sz="0" w:space="0" w:color="auto"/>
        </w:rPr>
        <w:t xml:space="preserve"> </w:t>
      </w:r>
      <w:r w:rsidR="004C5A00">
        <w:rPr>
          <w:rFonts w:ascii="Cambria" w:eastAsia="Calibri" w:hAnsi="Cambria"/>
          <w:sz w:val="20"/>
          <w:szCs w:val="20"/>
          <w:bdr w:val="none" w:sz="0" w:space="0" w:color="auto"/>
        </w:rPr>
        <w:t>provided by</w:t>
      </w:r>
      <w:r w:rsidR="00773B3C" w:rsidRPr="00A51861">
        <w:rPr>
          <w:rFonts w:ascii="Cambria" w:eastAsia="Calibri" w:hAnsi="Cambria"/>
          <w:sz w:val="20"/>
          <w:szCs w:val="20"/>
          <w:bdr w:val="none" w:sz="0" w:space="0" w:color="auto"/>
        </w:rPr>
        <w:t xml:space="preserve"> </w:t>
      </w:r>
      <w:r w:rsidR="0029564F">
        <w:rPr>
          <w:rFonts w:ascii="Cambria" w:eastAsia="Calibri" w:hAnsi="Cambria"/>
          <w:sz w:val="20"/>
          <w:szCs w:val="20"/>
          <w:bdr w:val="none" w:sz="0" w:space="0" w:color="auto"/>
        </w:rPr>
        <w:t>article</w:t>
      </w:r>
      <w:r w:rsidR="00773B3C" w:rsidRPr="00A51861">
        <w:rPr>
          <w:rFonts w:ascii="Cambria" w:eastAsia="Calibri" w:hAnsi="Cambria"/>
          <w:sz w:val="20"/>
          <w:szCs w:val="20"/>
          <w:bdr w:val="none" w:sz="0" w:space="0" w:color="auto"/>
        </w:rPr>
        <w:t xml:space="preserve"> XXVI</w:t>
      </w:r>
      <w:r w:rsidR="00E92985">
        <w:rPr>
          <w:rFonts w:ascii="Cambria" w:eastAsia="Calibri" w:hAnsi="Cambria"/>
          <w:sz w:val="20"/>
          <w:szCs w:val="20"/>
          <w:bdr w:val="none" w:sz="0" w:space="0" w:color="auto"/>
        </w:rPr>
        <w:t xml:space="preserve"> of the </w:t>
      </w:r>
      <w:r w:rsidR="003F634D">
        <w:rPr>
          <w:rFonts w:ascii="Cambria" w:eastAsia="Calibri" w:hAnsi="Cambria"/>
          <w:sz w:val="20"/>
          <w:szCs w:val="20"/>
          <w:bdr w:val="none" w:sz="0" w:space="0" w:color="auto"/>
        </w:rPr>
        <w:t xml:space="preserve">American Declaration </w:t>
      </w:r>
      <w:r w:rsidR="004C5A00">
        <w:rPr>
          <w:rFonts w:ascii="Cambria" w:eastAsia="Calibri" w:hAnsi="Cambria"/>
          <w:sz w:val="20"/>
          <w:szCs w:val="20"/>
          <w:bdr w:val="none" w:sz="0" w:space="0" w:color="auto"/>
        </w:rPr>
        <w:t>are</w:t>
      </w:r>
      <w:r w:rsidR="00773B3C" w:rsidRPr="00A51861">
        <w:rPr>
          <w:rFonts w:ascii="Cambria" w:eastAsia="Calibri" w:hAnsi="Cambria"/>
          <w:sz w:val="20"/>
          <w:szCs w:val="20"/>
          <w:bdr w:val="none" w:sz="0" w:space="0" w:color="auto"/>
        </w:rPr>
        <w:t xml:space="preserve"> especial</w:t>
      </w:r>
      <w:r w:rsidR="0029564F">
        <w:rPr>
          <w:rFonts w:ascii="Cambria" w:eastAsia="Calibri" w:hAnsi="Cambria"/>
          <w:sz w:val="20"/>
          <w:szCs w:val="20"/>
          <w:bdr w:val="none" w:sz="0" w:space="0" w:color="auto"/>
        </w:rPr>
        <w:t xml:space="preserve">ly </w:t>
      </w:r>
      <w:r w:rsidR="00773B3C" w:rsidRPr="00A51861">
        <w:rPr>
          <w:rFonts w:ascii="Cambria" w:eastAsia="Calibri" w:hAnsi="Cambria"/>
          <w:sz w:val="20"/>
          <w:szCs w:val="20"/>
          <w:bdr w:val="none" w:sz="0" w:space="0" w:color="auto"/>
        </w:rPr>
        <w:t xml:space="preserve">relevant </w:t>
      </w:r>
      <w:r w:rsidR="004C5A00">
        <w:rPr>
          <w:rFonts w:ascii="Cambria" w:eastAsia="Calibri" w:hAnsi="Cambria"/>
          <w:sz w:val="20"/>
          <w:szCs w:val="20"/>
          <w:bdr w:val="none" w:sz="0" w:space="0" w:color="auto"/>
        </w:rPr>
        <w:t>for the study o</w:t>
      </w:r>
      <w:r w:rsidR="00E92985">
        <w:rPr>
          <w:rFonts w:ascii="Cambria" w:eastAsia="Calibri" w:hAnsi="Cambria"/>
          <w:sz w:val="20"/>
          <w:szCs w:val="20"/>
          <w:bdr w:val="none" w:sz="0" w:space="0" w:color="auto"/>
        </w:rPr>
        <w:t xml:space="preserve">f </w:t>
      </w:r>
      <w:r w:rsidR="00680DA3">
        <w:rPr>
          <w:rFonts w:ascii="Cambria" w:eastAsia="Calibri" w:hAnsi="Cambria"/>
          <w:sz w:val="20"/>
          <w:szCs w:val="20"/>
          <w:bdr w:val="none" w:sz="0" w:space="0" w:color="auto"/>
        </w:rPr>
        <w:t>immigration</w:t>
      </w:r>
      <w:r w:rsidR="00773B3C" w:rsidRPr="00A51861">
        <w:rPr>
          <w:rFonts w:ascii="Cambria" w:eastAsia="Calibri" w:hAnsi="Cambria"/>
          <w:sz w:val="20"/>
          <w:szCs w:val="20"/>
          <w:bdr w:val="none" w:sz="0" w:space="0" w:color="auto"/>
        </w:rPr>
        <w:t xml:space="preserve"> </w:t>
      </w:r>
      <w:r w:rsidR="004C5A00">
        <w:rPr>
          <w:rFonts w:ascii="Cambria" w:eastAsia="Calibri" w:hAnsi="Cambria"/>
          <w:sz w:val="20"/>
          <w:szCs w:val="20"/>
          <w:bdr w:val="none" w:sz="0" w:space="0" w:color="auto"/>
        </w:rPr>
        <w:t xml:space="preserve">procedures which include a sanction </w:t>
      </w:r>
      <w:r w:rsidR="00E92985">
        <w:rPr>
          <w:rFonts w:ascii="Cambria" w:eastAsia="Calibri" w:hAnsi="Cambria"/>
          <w:sz w:val="20"/>
          <w:szCs w:val="20"/>
          <w:bdr w:val="none" w:sz="0" w:space="0" w:color="auto"/>
        </w:rPr>
        <w:t xml:space="preserve">of </w:t>
      </w:r>
      <w:r>
        <w:rPr>
          <w:rFonts w:ascii="Cambria" w:eastAsia="Calibri" w:hAnsi="Cambria"/>
          <w:sz w:val="20"/>
          <w:szCs w:val="20"/>
          <w:bdr w:val="none" w:sz="0" w:space="0" w:color="auto"/>
        </w:rPr>
        <w:t>deportation</w:t>
      </w:r>
      <w:r w:rsidR="00773B3C" w:rsidRPr="00A51861">
        <w:rPr>
          <w:rFonts w:ascii="Cambria" w:eastAsia="Calibri" w:hAnsi="Cambria"/>
          <w:sz w:val="20"/>
          <w:szCs w:val="20"/>
          <w:bdr w:val="none" w:sz="0" w:space="0" w:color="auto"/>
          <w:vertAlign w:val="superscript"/>
        </w:rPr>
        <w:footnoteReference w:id="182"/>
      </w:r>
      <w:r w:rsidR="00773B3C" w:rsidRPr="00A51861">
        <w:rPr>
          <w:rFonts w:ascii="Cambria" w:eastAsia="Calibri" w:hAnsi="Cambria"/>
          <w:sz w:val="20"/>
          <w:szCs w:val="20"/>
          <w:bdr w:val="none" w:sz="0" w:space="0" w:color="auto"/>
        </w:rPr>
        <w:t xml:space="preserve">.  </w:t>
      </w:r>
    </w:p>
    <w:p w14:paraId="68708F54" w14:textId="77777777" w:rsidR="00773B3C" w:rsidRPr="00A51861" w:rsidRDefault="00773B3C" w:rsidP="008E4D36">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Cambria" w:eastAsia="Calibri" w:hAnsi="Cambria" w:cs="Tahoma"/>
          <w:color w:val="000000"/>
          <w:sz w:val="20"/>
          <w:szCs w:val="20"/>
          <w:bdr w:val="none" w:sz="0" w:space="0" w:color="auto"/>
        </w:rPr>
      </w:pPr>
    </w:p>
    <w:p w14:paraId="41377B2F" w14:textId="7154FB7A" w:rsidR="00773B3C" w:rsidRPr="00A51861" w:rsidRDefault="004C5A00"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eastAsia="Calibri" w:hAnsi="Cambria" w:cs="Tahoma"/>
          <w:color w:val="000000"/>
          <w:sz w:val="20"/>
          <w:szCs w:val="20"/>
          <w:bdr w:val="none" w:sz="0" w:space="0" w:color="auto"/>
        </w:rPr>
      </w:pPr>
      <w:r>
        <w:rPr>
          <w:rFonts w:ascii="Cambria" w:eastAsia="Calibri" w:hAnsi="Cambria"/>
          <w:sz w:val="20"/>
          <w:szCs w:val="20"/>
          <w:bdr w:val="none" w:sz="0" w:space="0" w:color="auto"/>
        </w:rPr>
        <w:t>In regard to this point</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in the</w:t>
      </w:r>
      <w:r w:rsidR="00773B3C" w:rsidRPr="00A51861">
        <w:rPr>
          <w:rFonts w:ascii="Cambria" w:eastAsia="Calibri" w:hAnsi="Cambria"/>
          <w:sz w:val="20"/>
          <w:szCs w:val="20"/>
          <w:bdr w:val="none" w:sz="0" w:space="0" w:color="auto"/>
        </w:rPr>
        <w:t xml:space="preserve"> universal</w:t>
      </w:r>
      <w:r w:rsidR="00E92985">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 xml:space="preserve">system </w:t>
      </w:r>
      <w:r w:rsidR="00E92985">
        <w:rPr>
          <w:rFonts w:ascii="Cambria" w:eastAsia="Calibri" w:hAnsi="Cambria"/>
          <w:sz w:val="20"/>
          <w:szCs w:val="20"/>
          <w:bdr w:val="none" w:sz="0" w:space="0" w:color="auto"/>
        </w:rPr>
        <w:t xml:space="preserve">of </w:t>
      </w:r>
      <w:r w:rsidR="00EF4ED2">
        <w:rPr>
          <w:rFonts w:ascii="Cambria" w:eastAsia="Calibri" w:hAnsi="Cambria"/>
          <w:sz w:val="20"/>
          <w:szCs w:val="20"/>
          <w:bdr w:val="none" w:sz="0" w:space="0" w:color="auto"/>
        </w:rPr>
        <w:t>protection</w:t>
      </w:r>
      <w:r w:rsidR="00E92985">
        <w:rPr>
          <w:rFonts w:ascii="Cambria" w:eastAsia="Calibri" w:hAnsi="Cambria"/>
          <w:sz w:val="20"/>
          <w:szCs w:val="20"/>
          <w:bdr w:val="none" w:sz="0" w:space="0" w:color="auto"/>
        </w:rPr>
        <w:t xml:space="preserve"> of </w:t>
      </w:r>
      <w:r w:rsidR="00E668EE">
        <w:rPr>
          <w:rFonts w:ascii="Cambria" w:eastAsia="Calibri" w:hAnsi="Cambria"/>
          <w:sz w:val="20"/>
          <w:szCs w:val="20"/>
          <w:bdr w:val="none" w:sz="0" w:space="0" w:color="auto"/>
        </w:rPr>
        <w:t>h</w:t>
      </w:r>
      <w:r w:rsidR="00664D70">
        <w:rPr>
          <w:rFonts w:ascii="Cambria" w:eastAsia="Calibri" w:hAnsi="Cambria"/>
          <w:sz w:val="20"/>
          <w:szCs w:val="20"/>
          <w:bdr w:val="none" w:sz="0" w:space="0" w:color="auto"/>
        </w:rPr>
        <w:t xml:space="preserve">uman </w:t>
      </w:r>
      <w:r w:rsidR="00E668EE">
        <w:rPr>
          <w:rFonts w:ascii="Cambria" w:eastAsia="Calibri" w:hAnsi="Cambria"/>
          <w:sz w:val="20"/>
          <w:szCs w:val="20"/>
          <w:bdr w:val="none" w:sz="0" w:space="0" w:color="auto"/>
        </w:rPr>
        <w:t>r</w:t>
      </w:r>
      <w:r w:rsidR="00664D70">
        <w:rPr>
          <w:rFonts w:ascii="Cambria" w:eastAsia="Calibri" w:hAnsi="Cambria"/>
          <w:sz w:val="20"/>
          <w:szCs w:val="20"/>
          <w:bdr w:val="none" w:sz="0" w:space="0" w:color="auto"/>
        </w:rPr>
        <w:t>ights</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 xml:space="preserve">the </w:t>
      </w:r>
      <w:r w:rsidR="00664D70">
        <w:rPr>
          <w:rFonts w:ascii="Cambria" w:eastAsia="Calibri" w:hAnsi="Cambria"/>
          <w:sz w:val="20"/>
          <w:szCs w:val="20"/>
          <w:bdr w:val="none" w:sz="0" w:space="0" w:color="auto"/>
        </w:rPr>
        <w:t xml:space="preserve">Human </w:t>
      </w:r>
      <w:r w:rsidR="00E668EE">
        <w:rPr>
          <w:rFonts w:ascii="Cambria" w:eastAsia="Calibri" w:hAnsi="Cambria"/>
          <w:sz w:val="20"/>
          <w:szCs w:val="20"/>
          <w:bdr w:val="none" w:sz="0" w:space="0" w:color="auto"/>
        </w:rPr>
        <w:t>R</w:t>
      </w:r>
      <w:r w:rsidR="00664D70">
        <w:rPr>
          <w:rFonts w:ascii="Cambria" w:eastAsia="Calibri" w:hAnsi="Cambria"/>
          <w:sz w:val="20"/>
          <w:szCs w:val="20"/>
          <w:bdr w:val="none" w:sz="0" w:space="0" w:color="auto"/>
        </w:rPr>
        <w:t>ights</w:t>
      </w:r>
      <w:r>
        <w:rPr>
          <w:rFonts w:ascii="Cambria" w:eastAsia="Calibri" w:hAnsi="Cambria"/>
          <w:sz w:val="20"/>
          <w:szCs w:val="20"/>
          <w:bdr w:val="none" w:sz="0" w:space="0" w:color="auto"/>
        </w:rPr>
        <w:t xml:space="preserve"> Committee</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when</w:t>
      </w:r>
      <w:r w:rsidR="00773B3C" w:rsidRPr="00A51861">
        <w:rPr>
          <w:rFonts w:ascii="Cambria" w:eastAsia="Calibri" w:hAnsi="Cambria"/>
          <w:sz w:val="20"/>
          <w:szCs w:val="20"/>
          <w:bdr w:val="none" w:sz="0" w:space="0" w:color="auto"/>
        </w:rPr>
        <w:t xml:space="preserve"> interpret</w:t>
      </w:r>
      <w:r>
        <w:rPr>
          <w:rFonts w:ascii="Cambria" w:eastAsia="Calibri" w:hAnsi="Cambria"/>
          <w:sz w:val="20"/>
          <w:szCs w:val="20"/>
          <w:bdr w:val="none" w:sz="0" w:space="0" w:color="auto"/>
        </w:rPr>
        <w:t xml:space="preserve">ing article </w:t>
      </w:r>
      <w:r w:rsidR="00773B3C" w:rsidRPr="00A51861">
        <w:rPr>
          <w:rFonts w:ascii="Cambria" w:eastAsia="Calibri" w:hAnsi="Cambria"/>
          <w:sz w:val="20"/>
          <w:szCs w:val="20"/>
          <w:bdr w:val="none" w:sz="0" w:space="0" w:color="auto"/>
        </w:rPr>
        <w:t>13</w:t>
      </w:r>
      <w:r w:rsidR="004969F4">
        <w:rPr>
          <w:rFonts w:ascii="Cambria" w:eastAsia="Calibri" w:hAnsi="Cambria"/>
          <w:sz w:val="20"/>
          <w:szCs w:val="20"/>
          <w:bdr w:val="none" w:sz="0" w:space="0" w:color="auto"/>
        </w:rPr>
        <w:t xml:space="preserve"> of the </w:t>
      </w:r>
      <w:r>
        <w:rPr>
          <w:rFonts w:ascii="Cambria" w:eastAsia="Calibri" w:hAnsi="Cambria"/>
          <w:sz w:val="20"/>
          <w:szCs w:val="20"/>
          <w:bdr w:val="none" w:sz="0" w:space="0" w:color="auto"/>
        </w:rPr>
        <w:t>International Covenant on Civil and Political Rights</w:t>
      </w:r>
      <w:r w:rsidR="00773B3C" w:rsidRPr="00A51861">
        <w:rPr>
          <w:rFonts w:ascii="Cambria" w:eastAsia="Calibri" w:hAnsi="Cambria"/>
          <w:sz w:val="20"/>
          <w:szCs w:val="20"/>
          <w:bdr w:val="none" w:sz="0" w:space="0" w:color="auto"/>
        </w:rPr>
        <w:t>, determin</w:t>
      </w:r>
      <w:r>
        <w:rPr>
          <w:rFonts w:ascii="Cambria" w:eastAsia="Calibri" w:hAnsi="Cambria"/>
          <w:sz w:val="20"/>
          <w:szCs w:val="20"/>
          <w:bdr w:val="none" w:sz="0" w:space="0" w:color="auto"/>
        </w:rPr>
        <w:t>ed</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that</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the rights set forth in</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said</w:t>
      </w:r>
      <w:r w:rsidR="00773B3C" w:rsidRPr="00A51861">
        <w:rPr>
          <w:rFonts w:ascii="Cambria" w:eastAsia="Calibri" w:hAnsi="Cambria"/>
          <w:sz w:val="20"/>
          <w:szCs w:val="20"/>
          <w:bdr w:val="none" w:sz="0" w:space="0" w:color="auto"/>
        </w:rPr>
        <w:t xml:space="preserve">] </w:t>
      </w:r>
      <w:r w:rsidR="0029564F">
        <w:rPr>
          <w:rFonts w:ascii="Cambria" w:eastAsia="Calibri" w:hAnsi="Cambria"/>
          <w:sz w:val="20"/>
          <w:szCs w:val="20"/>
          <w:bdr w:val="none" w:sz="0" w:space="0" w:color="auto"/>
        </w:rPr>
        <w:t>article</w:t>
      </w:r>
      <w:r w:rsidR="00773B3C" w:rsidRPr="00A51861">
        <w:rPr>
          <w:rFonts w:ascii="Cambria" w:eastAsia="Calibri" w:hAnsi="Cambria"/>
          <w:sz w:val="20"/>
          <w:szCs w:val="20"/>
          <w:bdr w:val="none" w:sz="0" w:space="0" w:color="auto"/>
        </w:rPr>
        <w:t xml:space="preserve"> 13 </w:t>
      </w:r>
      <w:r>
        <w:rPr>
          <w:rFonts w:ascii="Cambria" w:eastAsia="Calibri" w:hAnsi="Cambria"/>
          <w:sz w:val="20"/>
          <w:szCs w:val="20"/>
          <w:bdr w:val="none" w:sz="0" w:space="0" w:color="auto"/>
        </w:rPr>
        <w:t>only protect</w:t>
      </w:r>
      <w:r w:rsidR="00773B3C" w:rsidRPr="00A51861">
        <w:rPr>
          <w:rFonts w:ascii="Cambria" w:eastAsia="Calibri" w:hAnsi="Cambria"/>
          <w:sz w:val="20"/>
          <w:szCs w:val="20"/>
          <w:bdr w:val="none" w:sz="0" w:space="0" w:color="auto"/>
        </w:rPr>
        <w:t xml:space="preserve"> </w:t>
      </w:r>
      <w:r w:rsidR="00347146">
        <w:rPr>
          <w:rFonts w:ascii="Cambria" w:eastAsia="Calibri" w:hAnsi="Cambria"/>
          <w:sz w:val="20"/>
          <w:szCs w:val="20"/>
          <w:bdr w:val="none" w:sz="0" w:space="0" w:color="auto"/>
        </w:rPr>
        <w:t>foreigners</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found unlawfully in the</w:t>
      </w:r>
      <w:r w:rsidR="00CB4E23">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 xml:space="preserve">territory of </w:t>
      </w:r>
      <w:r w:rsidR="00CB4E23">
        <w:rPr>
          <w:rFonts w:ascii="Cambria" w:eastAsia="Calibri" w:hAnsi="Cambria"/>
          <w:sz w:val="20"/>
          <w:szCs w:val="20"/>
          <w:bdr w:val="none" w:sz="0" w:space="0" w:color="auto"/>
        </w:rPr>
        <w:t>a Sta</w:t>
      </w:r>
      <w:r>
        <w:rPr>
          <w:rFonts w:ascii="Cambria" w:eastAsia="Calibri" w:hAnsi="Cambria"/>
          <w:sz w:val="20"/>
          <w:szCs w:val="20"/>
          <w:bdr w:val="none" w:sz="0" w:space="0" w:color="auto"/>
        </w:rPr>
        <w:t xml:space="preserve">te </w:t>
      </w:r>
      <w:r>
        <w:rPr>
          <w:rFonts w:ascii="Cambria" w:eastAsia="Calibri" w:hAnsi="Cambria"/>
          <w:sz w:val="20"/>
          <w:szCs w:val="20"/>
          <w:bdr w:val="none" w:sz="0" w:space="0" w:color="auto"/>
        </w:rPr>
        <w:lastRenderedPageBreak/>
        <w:t>party</w:t>
      </w:r>
      <w:r w:rsidR="00E92985">
        <w:rPr>
          <w:rFonts w:ascii="Cambria" w:eastAsia="Calibri" w:hAnsi="Cambria"/>
          <w:sz w:val="20"/>
          <w:szCs w:val="20"/>
          <w:bdr w:val="none" w:sz="0" w:space="0" w:color="auto"/>
        </w:rPr>
        <w:t xml:space="preserve"> </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 xml:space="preserve">Nonetheless, if the contested </w:t>
      </w:r>
      <w:r w:rsidR="00B8762F">
        <w:rPr>
          <w:rFonts w:ascii="Cambria" w:eastAsia="Calibri" w:hAnsi="Cambria"/>
          <w:sz w:val="20"/>
          <w:szCs w:val="20"/>
          <w:bdr w:val="none" w:sz="0" w:space="0" w:color="auto"/>
        </w:rPr>
        <w:t>subject</w:t>
      </w:r>
      <w:r>
        <w:rPr>
          <w:rFonts w:ascii="Cambria" w:eastAsia="Calibri" w:hAnsi="Cambria"/>
          <w:sz w:val="20"/>
          <w:szCs w:val="20"/>
          <w:bdr w:val="none" w:sz="0" w:space="0" w:color="auto"/>
        </w:rPr>
        <w:t xml:space="preserve"> is the legality</w:t>
      </w:r>
      <w:r w:rsidR="00E92985">
        <w:rPr>
          <w:rFonts w:ascii="Cambria" w:eastAsia="Calibri" w:hAnsi="Cambria"/>
          <w:sz w:val="20"/>
          <w:szCs w:val="20"/>
          <w:bdr w:val="none" w:sz="0" w:space="0" w:color="auto"/>
        </w:rPr>
        <w:t xml:space="preserve"> </w:t>
      </w:r>
      <w:r w:rsidR="00B8762F">
        <w:rPr>
          <w:rFonts w:ascii="Cambria" w:eastAsia="Calibri" w:hAnsi="Cambria"/>
          <w:sz w:val="20"/>
          <w:szCs w:val="20"/>
          <w:bdr w:val="none" w:sz="0" w:space="0" w:color="auto"/>
        </w:rPr>
        <w:t>of his or her entry or permanence</w:t>
      </w:r>
      <w:r w:rsidR="00773B3C" w:rsidRPr="00A51861">
        <w:rPr>
          <w:rFonts w:ascii="Cambria" w:eastAsia="Calibri" w:hAnsi="Cambria"/>
          <w:sz w:val="20"/>
          <w:szCs w:val="20"/>
          <w:bdr w:val="none" w:sz="0" w:space="0" w:color="auto"/>
        </w:rPr>
        <w:t xml:space="preserve">, </w:t>
      </w:r>
      <w:r w:rsidR="00B8762F">
        <w:rPr>
          <w:rFonts w:ascii="Cambria" w:eastAsia="Calibri" w:hAnsi="Cambria"/>
          <w:sz w:val="20"/>
          <w:szCs w:val="20"/>
          <w:bdr w:val="none" w:sz="0" w:space="0" w:color="auto"/>
        </w:rPr>
        <w:t>every</w:t>
      </w:r>
      <w:r w:rsidR="00773B3C" w:rsidRPr="00A51861">
        <w:rPr>
          <w:rFonts w:ascii="Cambria" w:eastAsia="Calibri" w:hAnsi="Cambria"/>
          <w:sz w:val="20"/>
          <w:szCs w:val="20"/>
          <w:bdr w:val="none" w:sz="0" w:space="0" w:color="auto"/>
        </w:rPr>
        <w:t xml:space="preserve"> </w:t>
      </w:r>
      <w:r w:rsidR="00F92BA8">
        <w:rPr>
          <w:rFonts w:ascii="Cambria" w:eastAsia="Calibri" w:hAnsi="Cambria"/>
          <w:sz w:val="20"/>
          <w:szCs w:val="20"/>
          <w:bdr w:val="none" w:sz="0" w:space="0" w:color="auto"/>
        </w:rPr>
        <w:t xml:space="preserve">decision </w:t>
      </w:r>
      <w:r w:rsidR="00B8762F">
        <w:rPr>
          <w:rFonts w:ascii="Cambria" w:eastAsia="Calibri" w:hAnsi="Cambria"/>
          <w:sz w:val="20"/>
          <w:szCs w:val="20"/>
          <w:bdr w:val="none" w:sz="0" w:space="0" w:color="auto"/>
        </w:rPr>
        <w:t>on this matter</w:t>
      </w:r>
      <w:r w:rsidR="00773B3C" w:rsidRPr="00A51861">
        <w:rPr>
          <w:rFonts w:ascii="Cambria" w:eastAsia="Calibri" w:hAnsi="Cambria"/>
          <w:sz w:val="20"/>
          <w:szCs w:val="20"/>
          <w:bdr w:val="none" w:sz="0" w:space="0" w:color="auto"/>
        </w:rPr>
        <w:t xml:space="preserve"> </w:t>
      </w:r>
      <w:r w:rsidR="00B8762F">
        <w:rPr>
          <w:rFonts w:ascii="Cambria" w:eastAsia="Calibri" w:hAnsi="Cambria"/>
          <w:sz w:val="20"/>
          <w:szCs w:val="20"/>
          <w:bdr w:val="none" w:sz="0" w:space="0" w:color="auto"/>
        </w:rPr>
        <w:t>which concludes with</w:t>
      </w:r>
      <w:r w:rsidR="00773B3C" w:rsidRPr="00A51861">
        <w:rPr>
          <w:rFonts w:ascii="Cambria" w:eastAsia="Calibri" w:hAnsi="Cambria"/>
          <w:sz w:val="20"/>
          <w:szCs w:val="20"/>
          <w:bdr w:val="none" w:sz="0" w:space="0" w:color="auto"/>
        </w:rPr>
        <w:t xml:space="preserve"> </w:t>
      </w:r>
      <w:r w:rsidR="00103579">
        <w:rPr>
          <w:rFonts w:ascii="Cambria" w:eastAsia="Calibri" w:hAnsi="Cambria"/>
          <w:sz w:val="20"/>
          <w:szCs w:val="20"/>
          <w:bdr w:val="none" w:sz="0" w:space="0" w:color="auto"/>
        </w:rPr>
        <w:t>expulsion</w:t>
      </w:r>
      <w:r w:rsidR="00E92985">
        <w:rPr>
          <w:rFonts w:ascii="Cambria" w:eastAsia="Calibri" w:hAnsi="Cambria"/>
          <w:sz w:val="20"/>
          <w:szCs w:val="20"/>
          <w:bdr w:val="none" w:sz="0" w:space="0" w:color="auto"/>
        </w:rPr>
        <w:t xml:space="preserve"> or </w:t>
      </w:r>
      <w:r w:rsidR="000E027A">
        <w:rPr>
          <w:rFonts w:ascii="Cambria" w:eastAsia="Calibri" w:hAnsi="Cambria"/>
          <w:sz w:val="20"/>
          <w:szCs w:val="20"/>
          <w:bdr w:val="none" w:sz="0" w:space="0" w:color="auto"/>
        </w:rPr>
        <w:t>deportation</w:t>
      </w:r>
      <w:r w:rsidR="00773B3C" w:rsidRPr="00A51861">
        <w:rPr>
          <w:rFonts w:ascii="Cambria" w:eastAsia="Calibri" w:hAnsi="Cambria"/>
          <w:sz w:val="20"/>
          <w:szCs w:val="20"/>
          <w:bdr w:val="none" w:sz="0" w:space="0" w:color="auto"/>
        </w:rPr>
        <w:t xml:space="preserve"> </w:t>
      </w:r>
      <w:r w:rsidR="00B8762F">
        <w:rPr>
          <w:rFonts w:ascii="Cambria" w:eastAsia="Calibri" w:hAnsi="Cambria"/>
          <w:sz w:val="20"/>
          <w:szCs w:val="20"/>
          <w:bdr w:val="none" w:sz="0" w:space="0" w:color="auto"/>
        </w:rPr>
        <w:t>must adapt to the</w:t>
      </w:r>
      <w:r w:rsidR="00773B3C" w:rsidRPr="00A51861">
        <w:rPr>
          <w:rFonts w:ascii="Cambria" w:eastAsia="Calibri" w:hAnsi="Cambria"/>
          <w:sz w:val="20"/>
          <w:szCs w:val="20"/>
          <w:bdr w:val="none" w:sz="0" w:space="0" w:color="auto"/>
        </w:rPr>
        <w:t xml:space="preserve"> </w:t>
      </w:r>
      <w:r w:rsidR="005D0AC1">
        <w:rPr>
          <w:rFonts w:ascii="Cambria" w:eastAsia="Calibri" w:hAnsi="Cambria"/>
          <w:sz w:val="20"/>
          <w:szCs w:val="20"/>
          <w:bdr w:val="none" w:sz="0" w:space="0" w:color="auto"/>
        </w:rPr>
        <w:t>foreseen in</w:t>
      </w:r>
      <w:r>
        <w:rPr>
          <w:rFonts w:ascii="Cambria" w:eastAsia="Calibri" w:hAnsi="Cambria"/>
          <w:sz w:val="20"/>
          <w:szCs w:val="20"/>
          <w:bdr w:val="none" w:sz="0" w:space="0" w:color="auto"/>
        </w:rPr>
        <w:t xml:space="preserve"> article </w:t>
      </w:r>
      <w:r w:rsidR="00773B3C" w:rsidRPr="00A51861">
        <w:rPr>
          <w:rFonts w:ascii="Cambria" w:eastAsia="Calibri" w:hAnsi="Cambria"/>
          <w:sz w:val="20"/>
          <w:szCs w:val="20"/>
          <w:bdr w:val="none" w:sz="0" w:space="0" w:color="auto"/>
        </w:rPr>
        <w:t>13”</w:t>
      </w:r>
      <w:r w:rsidR="00773B3C" w:rsidRPr="00A51861">
        <w:rPr>
          <w:rFonts w:ascii="Cambria" w:eastAsia="Calibri" w:hAnsi="Cambria"/>
          <w:sz w:val="20"/>
          <w:szCs w:val="20"/>
          <w:bdr w:val="none" w:sz="0" w:space="0" w:color="auto"/>
          <w:vertAlign w:val="superscript"/>
        </w:rPr>
        <w:footnoteReference w:id="183"/>
      </w:r>
      <w:r w:rsidR="00773B3C" w:rsidRPr="00A51861">
        <w:rPr>
          <w:rFonts w:ascii="Cambria" w:eastAsia="Calibri" w:hAnsi="Cambria"/>
          <w:sz w:val="20"/>
          <w:szCs w:val="20"/>
          <w:bdr w:val="none" w:sz="0" w:space="0" w:color="auto"/>
        </w:rPr>
        <w:t>;</w:t>
      </w:r>
      <w:r w:rsidR="00D70A85">
        <w:rPr>
          <w:rFonts w:ascii="Cambria" w:eastAsia="Calibri" w:hAnsi="Cambria"/>
          <w:sz w:val="20"/>
          <w:szCs w:val="20"/>
          <w:bdr w:val="none" w:sz="0" w:space="0" w:color="auto"/>
        </w:rPr>
        <w:t xml:space="preserve"> </w:t>
      </w:r>
      <w:r w:rsidR="00B8762F">
        <w:rPr>
          <w:rFonts w:ascii="Cambria" w:eastAsia="Calibri" w:hAnsi="Cambria"/>
          <w:sz w:val="20"/>
          <w:szCs w:val="20"/>
          <w:bdr w:val="none" w:sz="0" w:space="0" w:color="auto"/>
        </w:rPr>
        <w:t>which means</w:t>
      </w:r>
      <w:r w:rsidR="00773B3C" w:rsidRPr="00A51861">
        <w:rPr>
          <w:rFonts w:ascii="Cambria" w:eastAsia="Calibri" w:hAnsi="Cambria"/>
          <w:sz w:val="20"/>
          <w:szCs w:val="20"/>
          <w:bdr w:val="none" w:sz="0" w:space="0" w:color="auto"/>
        </w:rPr>
        <w:t xml:space="preserve">, </w:t>
      </w:r>
      <w:r w:rsidR="00B8762F">
        <w:rPr>
          <w:rFonts w:ascii="Cambria" w:eastAsia="Calibri" w:hAnsi="Cambria"/>
          <w:sz w:val="20"/>
          <w:szCs w:val="20"/>
          <w:bdr w:val="none" w:sz="0" w:space="0" w:color="auto"/>
        </w:rPr>
        <w:t>it must comply with the following</w:t>
      </w:r>
      <w:r w:rsidR="00773B3C" w:rsidRPr="00A51861">
        <w:rPr>
          <w:rFonts w:ascii="Cambria" w:eastAsia="Calibri" w:hAnsi="Cambria"/>
          <w:sz w:val="20"/>
          <w:szCs w:val="20"/>
          <w:bdr w:val="none" w:sz="0" w:space="0" w:color="auto"/>
        </w:rPr>
        <w:t xml:space="preserve"> </w:t>
      </w:r>
      <w:r w:rsidR="009A4F91">
        <w:rPr>
          <w:rFonts w:ascii="Cambria" w:eastAsia="Calibri" w:hAnsi="Cambria"/>
          <w:sz w:val="20"/>
          <w:szCs w:val="20"/>
          <w:bdr w:val="none" w:sz="0" w:space="0" w:color="auto"/>
        </w:rPr>
        <w:t>guarantee</w:t>
      </w:r>
      <w:r w:rsidR="00773B3C" w:rsidRPr="00A51861">
        <w:rPr>
          <w:rFonts w:ascii="Cambria" w:eastAsia="Calibri" w:hAnsi="Cambria"/>
          <w:sz w:val="20"/>
          <w:szCs w:val="20"/>
          <w:bdr w:val="none" w:sz="0" w:space="0" w:color="auto"/>
        </w:rPr>
        <w:t xml:space="preserve">s: i) </w:t>
      </w:r>
      <w:r w:rsidR="00B8762F">
        <w:rPr>
          <w:rFonts w:ascii="Cambria" w:eastAsia="Calibri" w:hAnsi="Cambria"/>
          <w:sz w:val="20"/>
          <w:szCs w:val="20"/>
          <w:bdr w:val="none" w:sz="0" w:space="0" w:color="auto"/>
        </w:rPr>
        <w:t>a foreigner may only be expelled in</w:t>
      </w:r>
      <w:r w:rsidR="00773B3C" w:rsidRPr="00A51861">
        <w:rPr>
          <w:rFonts w:ascii="Cambria" w:eastAsia="Calibri" w:hAnsi="Cambria"/>
          <w:sz w:val="20"/>
          <w:szCs w:val="20"/>
          <w:bdr w:val="none" w:sz="0" w:space="0" w:color="auto"/>
        </w:rPr>
        <w:t xml:space="preserve"> </w:t>
      </w:r>
      <w:r w:rsidR="00B8762F">
        <w:rPr>
          <w:rFonts w:ascii="Cambria" w:eastAsia="Calibri" w:hAnsi="Cambria"/>
          <w:sz w:val="20"/>
          <w:szCs w:val="20"/>
          <w:bdr w:val="none" w:sz="0" w:space="0" w:color="auto"/>
        </w:rPr>
        <w:t>compliance of a</w:t>
      </w:r>
      <w:r w:rsidR="00773B3C" w:rsidRPr="00A51861">
        <w:rPr>
          <w:rFonts w:ascii="Cambria" w:eastAsia="Calibri" w:hAnsi="Cambria"/>
          <w:sz w:val="20"/>
          <w:szCs w:val="20"/>
          <w:bdr w:val="none" w:sz="0" w:space="0" w:color="auto"/>
        </w:rPr>
        <w:t xml:space="preserve"> </w:t>
      </w:r>
      <w:r w:rsidR="00F92BA8">
        <w:rPr>
          <w:rFonts w:ascii="Cambria" w:eastAsia="Calibri" w:hAnsi="Cambria"/>
          <w:sz w:val="20"/>
          <w:szCs w:val="20"/>
          <w:bdr w:val="none" w:sz="0" w:space="0" w:color="auto"/>
        </w:rPr>
        <w:t xml:space="preserve">decision </w:t>
      </w:r>
      <w:r w:rsidR="00773B3C" w:rsidRPr="00A51861">
        <w:rPr>
          <w:rFonts w:ascii="Cambria" w:eastAsia="Calibri" w:hAnsi="Cambria"/>
          <w:sz w:val="20"/>
          <w:szCs w:val="20"/>
          <w:bdr w:val="none" w:sz="0" w:space="0" w:color="auto"/>
        </w:rPr>
        <w:t>adopt</w:t>
      </w:r>
      <w:r w:rsidR="00B8762F">
        <w:rPr>
          <w:rFonts w:ascii="Cambria" w:eastAsia="Calibri" w:hAnsi="Cambria"/>
          <w:sz w:val="20"/>
          <w:szCs w:val="20"/>
          <w:bdr w:val="none" w:sz="0" w:space="0" w:color="auto"/>
        </w:rPr>
        <w:t>ed</w:t>
      </w:r>
      <w:r w:rsidR="00773B3C" w:rsidRPr="00A51861">
        <w:rPr>
          <w:rFonts w:ascii="Cambria" w:eastAsia="Calibri" w:hAnsi="Cambria"/>
          <w:sz w:val="20"/>
          <w:szCs w:val="20"/>
          <w:bdr w:val="none" w:sz="0" w:space="0" w:color="auto"/>
        </w:rPr>
        <w:t xml:space="preserve"> </w:t>
      </w:r>
      <w:r w:rsidR="00B8762F">
        <w:rPr>
          <w:rFonts w:ascii="Cambria" w:eastAsia="Calibri" w:hAnsi="Cambria"/>
          <w:sz w:val="20"/>
          <w:szCs w:val="20"/>
          <w:bdr w:val="none" w:sz="0" w:space="0" w:color="auto"/>
        </w:rPr>
        <w:t>pursuant to</w:t>
      </w:r>
      <w:r w:rsidR="009A4F91">
        <w:rPr>
          <w:rFonts w:ascii="Cambria" w:eastAsia="Calibri" w:hAnsi="Cambria"/>
          <w:sz w:val="20"/>
          <w:szCs w:val="20"/>
          <w:bdr w:val="none" w:sz="0" w:space="0" w:color="auto"/>
        </w:rPr>
        <w:t xml:space="preserve"> the </w:t>
      </w:r>
      <w:r w:rsidR="0029564F">
        <w:rPr>
          <w:rFonts w:ascii="Cambria" w:eastAsia="Calibri" w:hAnsi="Cambria"/>
          <w:sz w:val="20"/>
          <w:szCs w:val="20"/>
          <w:bdr w:val="none" w:sz="0" w:space="0" w:color="auto"/>
        </w:rPr>
        <w:t>law</w:t>
      </w:r>
      <w:r w:rsidR="00773B3C" w:rsidRPr="00A51861">
        <w:rPr>
          <w:rFonts w:ascii="Cambria" w:eastAsia="Calibri" w:hAnsi="Cambria"/>
          <w:sz w:val="20"/>
          <w:szCs w:val="20"/>
          <w:bdr w:val="none" w:sz="0" w:space="0" w:color="auto"/>
        </w:rPr>
        <w:t>,</w:t>
      </w:r>
      <w:r w:rsidR="00E92985">
        <w:rPr>
          <w:rFonts w:ascii="Cambria" w:eastAsia="Calibri" w:hAnsi="Cambria"/>
          <w:sz w:val="20"/>
          <w:szCs w:val="20"/>
          <w:bdr w:val="none" w:sz="0" w:space="0" w:color="auto"/>
        </w:rPr>
        <w:t xml:space="preserve"> and </w:t>
      </w:r>
      <w:r w:rsidR="00773B3C" w:rsidRPr="00A51861">
        <w:rPr>
          <w:rFonts w:ascii="Cambria" w:eastAsia="Calibri" w:hAnsi="Cambria"/>
          <w:sz w:val="20"/>
          <w:szCs w:val="20"/>
          <w:bdr w:val="none" w:sz="0" w:space="0" w:color="auto"/>
        </w:rPr>
        <w:t xml:space="preserve">ii) </w:t>
      </w:r>
      <w:r w:rsidR="00B8762F">
        <w:rPr>
          <w:rFonts w:ascii="Cambria" w:eastAsia="Calibri" w:hAnsi="Cambria"/>
          <w:sz w:val="20"/>
          <w:szCs w:val="20"/>
          <w:bdr w:val="none" w:sz="0" w:space="0" w:color="auto"/>
        </w:rPr>
        <w:t>said foreigner must me enabled to</w:t>
      </w:r>
      <w:r w:rsidR="009A4F91">
        <w:rPr>
          <w:rFonts w:ascii="Cambria" w:eastAsia="Calibri" w:hAnsi="Cambria"/>
          <w:sz w:val="20"/>
          <w:szCs w:val="20"/>
          <w:bdr w:val="none" w:sz="0" w:space="0" w:color="auto"/>
        </w:rPr>
        <w:t xml:space="preserve"> the </w:t>
      </w:r>
      <w:r w:rsidR="00B8762F" w:rsidRPr="00A51861">
        <w:rPr>
          <w:rFonts w:ascii="Cambria" w:eastAsia="Calibri" w:hAnsi="Cambria"/>
          <w:sz w:val="20"/>
          <w:szCs w:val="20"/>
          <w:bdr w:val="none" w:sz="0" w:space="0" w:color="auto"/>
        </w:rPr>
        <w:t>possibil</w:t>
      </w:r>
      <w:r w:rsidR="00B8762F">
        <w:rPr>
          <w:rFonts w:ascii="Cambria" w:eastAsia="Calibri" w:hAnsi="Cambria"/>
          <w:sz w:val="20"/>
          <w:szCs w:val="20"/>
          <w:bdr w:val="none" w:sz="0" w:space="0" w:color="auto"/>
        </w:rPr>
        <w:t>ity</w:t>
      </w:r>
      <w:r w:rsidR="00FA2E7B">
        <w:rPr>
          <w:rFonts w:ascii="Cambria" w:eastAsia="Calibri" w:hAnsi="Cambria"/>
          <w:sz w:val="20"/>
          <w:szCs w:val="20"/>
          <w:bdr w:val="none" w:sz="0" w:space="0" w:color="auto"/>
        </w:rPr>
        <w:t xml:space="preserve"> </w:t>
      </w:r>
      <w:r w:rsidR="00B8762F">
        <w:rPr>
          <w:rFonts w:ascii="Cambria" w:eastAsia="Calibri" w:hAnsi="Cambria"/>
          <w:sz w:val="20"/>
          <w:szCs w:val="20"/>
          <w:bdr w:val="none" w:sz="0" w:space="0" w:color="auto"/>
        </w:rPr>
        <w:t>of</w:t>
      </w:r>
      <w:r w:rsidR="00773B3C" w:rsidRPr="00A51861">
        <w:rPr>
          <w:rFonts w:ascii="Cambria" w:eastAsia="Calibri" w:hAnsi="Cambria"/>
          <w:sz w:val="20"/>
          <w:szCs w:val="20"/>
          <w:bdr w:val="none" w:sz="0" w:space="0" w:color="auto"/>
        </w:rPr>
        <w:t>: a) expo</w:t>
      </w:r>
      <w:r w:rsidR="00B8762F">
        <w:rPr>
          <w:rFonts w:ascii="Cambria" w:eastAsia="Calibri" w:hAnsi="Cambria"/>
          <w:sz w:val="20"/>
          <w:szCs w:val="20"/>
          <w:bdr w:val="none" w:sz="0" w:space="0" w:color="auto"/>
        </w:rPr>
        <w:t>sing</w:t>
      </w:r>
      <w:r w:rsidR="00773B3C" w:rsidRPr="00A51861">
        <w:rPr>
          <w:rFonts w:ascii="Cambria" w:eastAsia="Calibri" w:hAnsi="Cambria"/>
          <w:sz w:val="20"/>
          <w:szCs w:val="20"/>
          <w:bdr w:val="none" w:sz="0" w:space="0" w:color="auto"/>
        </w:rPr>
        <w:t xml:space="preserve"> </w:t>
      </w:r>
      <w:r w:rsidR="00B8762F">
        <w:rPr>
          <w:rFonts w:ascii="Cambria" w:eastAsia="Calibri" w:hAnsi="Cambria"/>
          <w:sz w:val="20"/>
          <w:szCs w:val="20"/>
          <w:bdr w:val="none" w:sz="0" w:space="0" w:color="auto"/>
        </w:rPr>
        <w:t>the</w:t>
      </w:r>
      <w:r w:rsidR="00773B3C" w:rsidRPr="00A51861">
        <w:rPr>
          <w:rFonts w:ascii="Cambria" w:eastAsia="Calibri" w:hAnsi="Cambria"/>
          <w:sz w:val="20"/>
          <w:szCs w:val="20"/>
          <w:bdr w:val="none" w:sz="0" w:space="0" w:color="auto"/>
        </w:rPr>
        <w:t xml:space="preserve"> </w:t>
      </w:r>
      <w:r w:rsidR="00D70A85">
        <w:rPr>
          <w:rFonts w:ascii="Cambria" w:eastAsia="Calibri" w:hAnsi="Cambria"/>
          <w:sz w:val="20"/>
          <w:szCs w:val="20"/>
          <w:bdr w:val="none" w:sz="0" w:space="0" w:color="auto"/>
        </w:rPr>
        <w:t>reasons</w:t>
      </w:r>
      <w:r w:rsidR="00773B3C" w:rsidRPr="00A51861">
        <w:rPr>
          <w:rFonts w:ascii="Cambria" w:eastAsia="Calibri" w:hAnsi="Cambria"/>
          <w:sz w:val="20"/>
          <w:szCs w:val="20"/>
          <w:bdr w:val="none" w:sz="0" w:space="0" w:color="auto"/>
        </w:rPr>
        <w:t xml:space="preserve"> </w:t>
      </w:r>
      <w:r w:rsidR="00B8762F">
        <w:rPr>
          <w:rFonts w:ascii="Cambria" w:eastAsia="Calibri" w:hAnsi="Cambria"/>
          <w:sz w:val="20"/>
          <w:szCs w:val="20"/>
          <w:bdr w:val="none" w:sz="0" w:space="0" w:color="auto"/>
        </w:rPr>
        <w:t>which aid him or her</w:t>
      </w:r>
      <w:r w:rsidR="00773B3C" w:rsidRPr="00A51861">
        <w:rPr>
          <w:rFonts w:ascii="Cambria" w:eastAsia="Calibri" w:hAnsi="Cambria"/>
          <w:sz w:val="20"/>
          <w:szCs w:val="20"/>
          <w:bdr w:val="none" w:sz="0" w:space="0" w:color="auto"/>
        </w:rPr>
        <w:t xml:space="preserve"> </w:t>
      </w:r>
      <w:r w:rsidR="006E255A">
        <w:rPr>
          <w:rFonts w:ascii="Cambria" w:eastAsia="Calibri" w:hAnsi="Cambria"/>
          <w:sz w:val="20"/>
          <w:szCs w:val="20"/>
          <w:bdr w:val="none" w:sz="0" w:space="0" w:color="auto"/>
        </w:rPr>
        <w:t xml:space="preserve">against </w:t>
      </w:r>
      <w:r w:rsidR="00B8762F">
        <w:rPr>
          <w:rFonts w:ascii="Cambria" w:eastAsia="Calibri" w:hAnsi="Cambria"/>
          <w:sz w:val="20"/>
          <w:szCs w:val="20"/>
          <w:bdr w:val="none" w:sz="0" w:space="0" w:color="auto"/>
        </w:rPr>
        <w:t xml:space="preserve">the </w:t>
      </w:r>
      <w:r w:rsidR="00103579">
        <w:rPr>
          <w:rFonts w:ascii="Cambria" w:eastAsia="Calibri" w:hAnsi="Cambria"/>
          <w:sz w:val="20"/>
          <w:szCs w:val="20"/>
          <w:bdr w:val="none" w:sz="0" w:space="0" w:color="auto"/>
        </w:rPr>
        <w:t>expulsion</w:t>
      </w:r>
      <w:r w:rsidR="00773B3C" w:rsidRPr="00A51861">
        <w:rPr>
          <w:rFonts w:ascii="Cambria" w:eastAsia="Calibri" w:hAnsi="Cambria"/>
          <w:sz w:val="20"/>
          <w:szCs w:val="20"/>
          <w:bdr w:val="none" w:sz="0" w:space="0" w:color="auto"/>
        </w:rPr>
        <w:t xml:space="preserve">; b) </w:t>
      </w:r>
      <w:r w:rsidR="00B8762F">
        <w:rPr>
          <w:rFonts w:ascii="Cambria" w:eastAsia="Calibri" w:hAnsi="Cambria"/>
          <w:sz w:val="20"/>
          <w:szCs w:val="20"/>
          <w:bdr w:val="none" w:sz="0" w:space="0" w:color="auto"/>
        </w:rPr>
        <w:t>submitting the case to review</w:t>
      </w:r>
      <w:r w:rsidR="00773B3C" w:rsidRPr="00A51861">
        <w:rPr>
          <w:rFonts w:ascii="Cambria" w:eastAsia="Calibri" w:hAnsi="Cambria"/>
          <w:sz w:val="20"/>
          <w:szCs w:val="20"/>
          <w:bdr w:val="none" w:sz="0" w:space="0" w:color="auto"/>
        </w:rPr>
        <w:t xml:space="preserve"> </w:t>
      </w:r>
      <w:r w:rsidR="00B8762F">
        <w:rPr>
          <w:rFonts w:ascii="Cambria" w:eastAsia="Calibri" w:hAnsi="Cambria"/>
          <w:sz w:val="20"/>
          <w:szCs w:val="20"/>
          <w:bdr w:val="none" w:sz="0" w:space="0" w:color="auto"/>
        </w:rPr>
        <w:t>before the</w:t>
      </w:r>
      <w:r w:rsidR="009A4F91">
        <w:rPr>
          <w:rFonts w:ascii="Cambria" w:eastAsia="Calibri" w:hAnsi="Cambria"/>
          <w:sz w:val="20"/>
          <w:szCs w:val="20"/>
          <w:bdr w:val="none" w:sz="0" w:space="0" w:color="auto"/>
        </w:rPr>
        <w:t xml:space="preserve"> </w:t>
      </w:r>
      <w:r w:rsidR="00B8762F">
        <w:rPr>
          <w:rFonts w:ascii="Cambria" w:eastAsia="Calibri" w:hAnsi="Cambria"/>
          <w:sz w:val="20"/>
          <w:szCs w:val="20"/>
          <w:bdr w:val="none" w:sz="0" w:space="0" w:color="auto"/>
        </w:rPr>
        <w:t>competent authority</w:t>
      </w:r>
      <w:r w:rsidR="00773B3C" w:rsidRPr="00A51861">
        <w:rPr>
          <w:rFonts w:ascii="Cambria" w:eastAsia="Calibri" w:hAnsi="Cambria"/>
          <w:sz w:val="20"/>
          <w:szCs w:val="20"/>
          <w:bdr w:val="none" w:sz="0" w:space="0" w:color="auto"/>
        </w:rPr>
        <w:t>,</w:t>
      </w:r>
      <w:r w:rsidR="00E92985">
        <w:rPr>
          <w:rFonts w:ascii="Cambria" w:eastAsia="Calibri" w:hAnsi="Cambria"/>
          <w:sz w:val="20"/>
          <w:szCs w:val="20"/>
          <w:bdr w:val="none" w:sz="0" w:space="0" w:color="auto"/>
        </w:rPr>
        <w:t xml:space="preserve"> and </w:t>
      </w:r>
      <w:r w:rsidR="00773B3C" w:rsidRPr="00A51861">
        <w:rPr>
          <w:rFonts w:ascii="Cambria" w:eastAsia="Calibri" w:hAnsi="Cambria"/>
          <w:sz w:val="20"/>
          <w:szCs w:val="20"/>
          <w:bdr w:val="none" w:sz="0" w:space="0" w:color="auto"/>
        </w:rPr>
        <w:t xml:space="preserve">c) </w:t>
      </w:r>
      <w:r w:rsidR="00B8762F">
        <w:rPr>
          <w:rFonts w:ascii="Cambria" w:eastAsia="Calibri" w:hAnsi="Cambria"/>
          <w:sz w:val="20"/>
          <w:szCs w:val="20"/>
          <w:bdr w:val="none" w:sz="0" w:space="0" w:color="auto"/>
        </w:rPr>
        <w:t>having representation before them in said pursuit</w:t>
      </w:r>
      <w:r w:rsidR="00773B3C" w:rsidRPr="00A51861">
        <w:rPr>
          <w:rFonts w:ascii="Cambria" w:eastAsia="Calibri" w:hAnsi="Cambria"/>
          <w:sz w:val="20"/>
          <w:szCs w:val="20"/>
          <w:bdr w:val="none" w:sz="0" w:space="0" w:color="auto"/>
          <w:vertAlign w:val="superscript"/>
        </w:rPr>
        <w:footnoteReference w:id="184"/>
      </w:r>
      <w:r w:rsidR="00773B3C" w:rsidRPr="00A51861">
        <w:rPr>
          <w:rFonts w:ascii="Cambria" w:eastAsia="Calibri" w:hAnsi="Cambria"/>
          <w:sz w:val="20"/>
          <w:szCs w:val="20"/>
          <w:bdr w:val="none" w:sz="0" w:space="0" w:color="auto"/>
        </w:rPr>
        <w:t xml:space="preserve">. </w:t>
      </w:r>
    </w:p>
    <w:p w14:paraId="087D829C" w14:textId="77777777" w:rsidR="00773B3C" w:rsidRPr="00A51861" w:rsidRDefault="00773B3C" w:rsidP="008E4D36">
      <w:pPr>
        <w:ind w:left="720"/>
        <w:rPr>
          <w:rFonts w:ascii="Cambria" w:eastAsia="Cambria" w:hAnsi="Cambria" w:cs="Cambria"/>
          <w:color w:val="000000"/>
          <w:sz w:val="20"/>
          <w:szCs w:val="20"/>
          <w:u w:color="000000"/>
          <w:lang w:eastAsia="es-ES"/>
        </w:rPr>
      </w:pPr>
    </w:p>
    <w:p w14:paraId="5208478E" w14:textId="4393A30D" w:rsidR="00773B3C" w:rsidRPr="00A51861" w:rsidRDefault="00D7409A"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eastAsia="Calibri" w:hAnsi="Cambria" w:cs="Tahoma"/>
          <w:color w:val="000000"/>
          <w:sz w:val="20"/>
          <w:szCs w:val="20"/>
          <w:bdr w:val="none" w:sz="0" w:space="0" w:color="auto"/>
        </w:rPr>
      </w:pPr>
      <w:r>
        <w:rPr>
          <w:rFonts w:ascii="Cambria" w:eastAsia="Calibri" w:hAnsi="Cambria"/>
          <w:sz w:val="20"/>
          <w:szCs w:val="20"/>
          <w:bdr w:val="none" w:sz="0" w:space="0" w:color="auto"/>
        </w:rPr>
        <w:t>In addition</w:t>
      </w:r>
      <w:r w:rsidR="00773B3C" w:rsidRPr="00A51861">
        <w:rPr>
          <w:rFonts w:ascii="Cambria" w:eastAsia="Calibri" w:hAnsi="Cambria"/>
          <w:sz w:val="20"/>
          <w:szCs w:val="20"/>
          <w:bdr w:val="none" w:sz="0" w:space="0" w:color="auto"/>
        </w:rPr>
        <w:t xml:space="preserve">, </w:t>
      </w:r>
      <w:r w:rsidR="00E92985">
        <w:rPr>
          <w:rFonts w:ascii="Cambria" w:eastAsia="Calibri" w:hAnsi="Cambria"/>
          <w:sz w:val="20"/>
          <w:szCs w:val="20"/>
          <w:bdr w:val="none" w:sz="0" w:space="0" w:color="auto"/>
        </w:rPr>
        <w:t xml:space="preserve">the </w:t>
      </w:r>
      <w:r w:rsidRPr="00A51861">
        <w:rPr>
          <w:rFonts w:ascii="Cambria" w:eastAsia="Calibri" w:hAnsi="Cambria"/>
          <w:sz w:val="20"/>
          <w:szCs w:val="20"/>
          <w:bdr w:val="none" w:sz="0" w:space="0" w:color="auto"/>
        </w:rPr>
        <w:t>African</w:t>
      </w:r>
      <w:r>
        <w:rPr>
          <w:rFonts w:ascii="Cambria" w:eastAsia="Calibri" w:hAnsi="Cambria"/>
          <w:sz w:val="20"/>
          <w:szCs w:val="20"/>
          <w:bdr w:val="none" w:sz="0" w:space="0" w:color="auto"/>
        </w:rPr>
        <w:t xml:space="preserve"> </w:t>
      </w:r>
      <w:r w:rsidR="00E92985">
        <w:rPr>
          <w:rFonts w:ascii="Cambria" w:eastAsia="Calibri" w:hAnsi="Cambria"/>
          <w:sz w:val="20"/>
          <w:szCs w:val="20"/>
          <w:bdr w:val="none" w:sz="0" w:space="0" w:color="auto"/>
        </w:rPr>
        <w:t>Commission</w:t>
      </w:r>
      <w:r w:rsidR="00773B3C" w:rsidRPr="00A51861">
        <w:rPr>
          <w:rFonts w:ascii="Cambria" w:eastAsia="Calibri" w:hAnsi="Cambria"/>
          <w:sz w:val="20"/>
          <w:szCs w:val="20"/>
          <w:bdr w:val="none" w:sz="0" w:space="0" w:color="auto"/>
        </w:rPr>
        <w:t xml:space="preserve"> </w:t>
      </w:r>
      <w:r w:rsidR="00E92985">
        <w:rPr>
          <w:rFonts w:ascii="Cambria" w:eastAsia="Calibri" w:hAnsi="Cambria"/>
          <w:sz w:val="20"/>
          <w:szCs w:val="20"/>
          <w:bdr w:val="none" w:sz="0" w:space="0" w:color="auto"/>
        </w:rPr>
        <w:t>o</w:t>
      </w:r>
      <w:r>
        <w:rPr>
          <w:rFonts w:ascii="Cambria" w:eastAsia="Calibri" w:hAnsi="Cambria"/>
          <w:sz w:val="20"/>
          <w:szCs w:val="20"/>
          <w:bdr w:val="none" w:sz="0" w:space="0" w:color="auto"/>
        </w:rPr>
        <w:t>n</w:t>
      </w:r>
      <w:r w:rsidR="00E92985">
        <w:rPr>
          <w:rFonts w:ascii="Cambria" w:eastAsia="Calibri" w:hAnsi="Cambria"/>
          <w:sz w:val="20"/>
          <w:szCs w:val="20"/>
          <w:bdr w:val="none" w:sz="0" w:space="0" w:color="auto"/>
        </w:rPr>
        <w:t xml:space="preserve"> </w:t>
      </w:r>
      <w:r w:rsidR="00201280">
        <w:rPr>
          <w:rFonts w:ascii="Cambria" w:eastAsia="Calibri" w:hAnsi="Cambria"/>
          <w:sz w:val="20"/>
          <w:szCs w:val="20"/>
          <w:bdr w:val="none" w:sz="0" w:space="0" w:color="auto"/>
        </w:rPr>
        <w:t xml:space="preserve">Human </w:t>
      </w:r>
      <w:r w:rsidR="00E92985">
        <w:rPr>
          <w:rFonts w:ascii="Cambria" w:eastAsia="Calibri" w:hAnsi="Cambria"/>
          <w:sz w:val="20"/>
          <w:szCs w:val="20"/>
          <w:bdr w:val="none" w:sz="0" w:space="0" w:color="auto"/>
        </w:rPr>
        <w:t xml:space="preserve">and </w:t>
      </w:r>
      <w:r>
        <w:rPr>
          <w:rFonts w:ascii="Cambria" w:eastAsia="Calibri" w:hAnsi="Cambria"/>
          <w:sz w:val="20"/>
          <w:szCs w:val="20"/>
          <w:bdr w:val="none" w:sz="0" w:space="0" w:color="auto"/>
        </w:rPr>
        <w:t>Peoples’</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 xml:space="preserve">Rights </w:t>
      </w:r>
      <w:r w:rsidR="00773B3C" w:rsidRPr="00A51861">
        <w:rPr>
          <w:rFonts w:ascii="Cambria" w:eastAsia="Calibri" w:hAnsi="Cambria"/>
          <w:sz w:val="20"/>
          <w:szCs w:val="20"/>
          <w:bdr w:val="none" w:sz="0" w:space="0" w:color="auto"/>
        </w:rPr>
        <w:t>ha</w:t>
      </w:r>
      <w:r>
        <w:rPr>
          <w:rFonts w:ascii="Cambria" w:eastAsia="Calibri" w:hAnsi="Cambria"/>
          <w:sz w:val="20"/>
          <w:szCs w:val="20"/>
          <w:bdr w:val="none" w:sz="0" w:space="0" w:color="auto"/>
        </w:rPr>
        <w:t>s</w:t>
      </w:r>
      <w:r w:rsidR="00773B3C" w:rsidRPr="00A51861">
        <w:rPr>
          <w:rFonts w:ascii="Cambria" w:eastAsia="Calibri" w:hAnsi="Cambria"/>
          <w:sz w:val="20"/>
          <w:szCs w:val="20"/>
          <w:bdr w:val="none" w:sz="0" w:space="0" w:color="auto"/>
        </w:rPr>
        <w:t xml:space="preserve"> </w:t>
      </w:r>
      <w:r w:rsidR="001D1D61">
        <w:rPr>
          <w:rFonts w:ascii="Cambria" w:eastAsia="Calibri" w:hAnsi="Cambria"/>
          <w:sz w:val="20"/>
          <w:szCs w:val="20"/>
          <w:bdr w:val="none" w:sz="0" w:space="0" w:color="auto"/>
        </w:rPr>
        <w:t>considered</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that</w:t>
      </w:r>
      <w:r w:rsidR="00773B3C" w:rsidRPr="00A51861">
        <w:rPr>
          <w:rFonts w:ascii="Cambria" w:eastAsia="Calibri" w:hAnsi="Cambria"/>
          <w:sz w:val="20"/>
          <w:szCs w:val="20"/>
          <w:bdr w:val="none" w:sz="0" w:space="0" w:color="auto"/>
        </w:rPr>
        <w:t xml:space="preserve"> “(…)</w:t>
      </w:r>
      <w:r w:rsidR="00D70A85">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 xml:space="preserve">it </w:t>
      </w:r>
      <w:r w:rsidR="00D70A85">
        <w:rPr>
          <w:rFonts w:ascii="Cambria" w:eastAsia="Calibri" w:hAnsi="Cambria"/>
          <w:sz w:val="20"/>
          <w:szCs w:val="20"/>
          <w:bdr w:val="none" w:sz="0" w:space="0" w:color="auto"/>
        </w:rPr>
        <w:t xml:space="preserve">is </w:t>
      </w:r>
      <w:r w:rsidRPr="00A51861">
        <w:rPr>
          <w:rFonts w:ascii="Cambria" w:eastAsia="Calibri" w:hAnsi="Cambria"/>
          <w:sz w:val="20"/>
          <w:szCs w:val="20"/>
          <w:bdr w:val="none" w:sz="0" w:space="0" w:color="auto"/>
        </w:rPr>
        <w:t>unacceptable</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 xml:space="preserve">to </w:t>
      </w:r>
      <w:r w:rsidR="00773B3C" w:rsidRPr="00A51861">
        <w:rPr>
          <w:rFonts w:ascii="Cambria" w:eastAsia="Calibri" w:hAnsi="Cambria"/>
          <w:sz w:val="20"/>
          <w:szCs w:val="20"/>
          <w:bdr w:val="none" w:sz="0" w:space="0" w:color="auto"/>
        </w:rPr>
        <w:t xml:space="preserve">deport </w:t>
      </w:r>
      <w:r w:rsidR="00773B3C" w:rsidRPr="00A51861">
        <w:rPr>
          <w:rFonts w:ascii="Cambria" w:hAnsi="Cambria"/>
          <w:color w:val="000000" w:themeColor="text1"/>
          <w:sz w:val="20"/>
          <w:szCs w:val="20"/>
        </w:rPr>
        <w:t>individu</w:t>
      </w:r>
      <w:r>
        <w:rPr>
          <w:rFonts w:ascii="Cambria" w:hAnsi="Cambria"/>
          <w:color w:val="000000" w:themeColor="text1"/>
          <w:sz w:val="20"/>
          <w:szCs w:val="20"/>
        </w:rPr>
        <w:t>al</w:t>
      </w:r>
      <w:r w:rsidR="00773B3C" w:rsidRPr="00A51861">
        <w:rPr>
          <w:rFonts w:ascii="Cambria" w:hAnsi="Cambria"/>
          <w:color w:val="000000" w:themeColor="text1"/>
          <w:sz w:val="20"/>
          <w:szCs w:val="20"/>
        </w:rPr>
        <w:t>s</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without offering them</w:t>
      </w:r>
      <w:r w:rsidR="009A4F91">
        <w:rPr>
          <w:rFonts w:ascii="Cambria" w:eastAsia="Calibri" w:hAnsi="Cambria"/>
          <w:sz w:val="20"/>
          <w:szCs w:val="20"/>
          <w:bdr w:val="none" w:sz="0" w:space="0" w:color="auto"/>
        </w:rPr>
        <w:t xml:space="preserve"> the </w:t>
      </w:r>
      <w:r w:rsidRPr="00A51861">
        <w:rPr>
          <w:rFonts w:ascii="Cambria" w:eastAsia="Calibri" w:hAnsi="Cambria"/>
          <w:sz w:val="20"/>
          <w:szCs w:val="20"/>
          <w:bdr w:val="none" w:sz="0" w:space="0" w:color="auto"/>
        </w:rPr>
        <w:t>possibil</w:t>
      </w:r>
      <w:r>
        <w:rPr>
          <w:rFonts w:ascii="Cambria" w:eastAsia="Calibri" w:hAnsi="Cambria"/>
          <w:sz w:val="20"/>
          <w:szCs w:val="20"/>
          <w:bdr w:val="none" w:sz="0" w:space="0" w:color="auto"/>
        </w:rPr>
        <w:t>ity</w:t>
      </w:r>
      <w:r w:rsidR="00FA2E7B">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to argue their case</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before</w:t>
      </w:r>
      <w:r w:rsidR="00773B3C" w:rsidRPr="00A51861">
        <w:rPr>
          <w:rFonts w:ascii="Cambria" w:eastAsia="Calibri" w:hAnsi="Cambria"/>
          <w:sz w:val="20"/>
          <w:szCs w:val="20"/>
          <w:bdr w:val="none" w:sz="0" w:space="0" w:color="auto"/>
        </w:rPr>
        <w:t xml:space="preserve"> </w:t>
      </w:r>
      <w:r w:rsidR="00D70A85">
        <w:rPr>
          <w:rFonts w:ascii="Cambria" w:eastAsia="Calibri" w:hAnsi="Cambria"/>
          <w:sz w:val="20"/>
          <w:szCs w:val="20"/>
          <w:bdr w:val="none" w:sz="0" w:space="0" w:color="auto"/>
        </w:rPr>
        <w:t>competent</w:t>
      </w:r>
      <w:r w:rsidRPr="00D7409A">
        <w:rPr>
          <w:rFonts w:ascii="Cambria" w:eastAsia="Calibri" w:hAnsi="Cambria"/>
          <w:sz w:val="20"/>
          <w:szCs w:val="20"/>
          <w:bdr w:val="none" w:sz="0" w:space="0" w:color="auto"/>
        </w:rPr>
        <w:t xml:space="preserve"> </w:t>
      </w:r>
      <w:r w:rsidRPr="00A51861">
        <w:rPr>
          <w:rFonts w:ascii="Cambria" w:eastAsia="Calibri" w:hAnsi="Cambria"/>
          <w:sz w:val="20"/>
          <w:szCs w:val="20"/>
          <w:bdr w:val="none" w:sz="0" w:space="0" w:color="auto"/>
        </w:rPr>
        <w:t>national</w:t>
      </w:r>
      <w:r>
        <w:rPr>
          <w:rFonts w:ascii="Cambria" w:eastAsia="Calibri" w:hAnsi="Cambria"/>
          <w:sz w:val="20"/>
          <w:szCs w:val="20"/>
          <w:bdr w:val="none" w:sz="0" w:space="0" w:color="auto"/>
        </w:rPr>
        <w:t xml:space="preserve"> court</w:t>
      </w:r>
      <w:r w:rsidRPr="00A51861">
        <w:rPr>
          <w:rFonts w:ascii="Cambria" w:eastAsia="Calibri" w:hAnsi="Cambria"/>
          <w:sz w:val="20"/>
          <w:szCs w:val="20"/>
          <w:bdr w:val="none" w:sz="0" w:space="0" w:color="auto"/>
        </w:rPr>
        <w:t>s</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since that is contrary</w:t>
      </w:r>
      <w:r w:rsidR="00D70A85">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to the spirit</w:t>
      </w:r>
      <w:r w:rsidR="00E92985">
        <w:rPr>
          <w:rFonts w:ascii="Cambria" w:eastAsia="Calibri" w:hAnsi="Cambria"/>
          <w:sz w:val="20"/>
          <w:szCs w:val="20"/>
          <w:bdr w:val="none" w:sz="0" w:space="0" w:color="auto"/>
        </w:rPr>
        <w:t xml:space="preserve"> and </w:t>
      </w:r>
      <w:r w:rsidR="00773B3C" w:rsidRPr="00A51861">
        <w:rPr>
          <w:rFonts w:ascii="Cambria" w:eastAsia="Calibri" w:hAnsi="Cambria"/>
          <w:sz w:val="20"/>
          <w:szCs w:val="20"/>
          <w:bdr w:val="none" w:sz="0" w:space="0" w:color="auto"/>
        </w:rPr>
        <w:t>text</w:t>
      </w:r>
      <w:r w:rsidR="00E92985">
        <w:rPr>
          <w:rFonts w:ascii="Cambria" w:eastAsia="Calibri" w:hAnsi="Cambria"/>
          <w:sz w:val="20"/>
          <w:szCs w:val="20"/>
          <w:bdr w:val="none" w:sz="0" w:space="0" w:color="auto"/>
        </w:rPr>
        <w:t xml:space="preserve"> of the </w:t>
      </w:r>
      <w:r w:rsidRPr="00A51861">
        <w:rPr>
          <w:rFonts w:ascii="Cambria" w:eastAsia="Calibri" w:hAnsi="Cambria"/>
          <w:sz w:val="20"/>
          <w:szCs w:val="20"/>
          <w:bdr w:val="none" w:sz="0" w:space="0" w:color="auto"/>
        </w:rPr>
        <w:t>African</w:t>
      </w:r>
      <w:r>
        <w:rPr>
          <w:rFonts w:ascii="Cambria" w:eastAsia="Calibri" w:hAnsi="Cambria"/>
          <w:sz w:val="20"/>
          <w:szCs w:val="20"/>
          <w:bdr w:val="none" w:sz="0" w:space="0" w:color="auto"/>
        </w:rPr>
        <w:t xml:space="preserve"> Charter</w:t>
      </w:r>
      <w:r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on Human and Peoples’</w:t>
      </w:r>
      <w:r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 xml:space="preserve">Rights </w:t>
      </w:r>
      <w:r w:rsidR="00E92985">
        <w:rPr>
          <w:rFonts w:ascii="Cambria" w:eastAsia="Calibri" w:hAnsi="Cambria"/>
          <w:sz w:val="20"/>
          <w:szCs w:val="20"/>
          <w:bdr w:val="none" w:sz="0" w:space="0" w:color="auto"/>
        </w:rPr>
        <w:t>and</w:t>
      </w:r>
      <w:r w:rsidR="004969F4">
        <w:rPr>
          <w:rFonts w:ascii="Cambria" w:eastAsia="Calibri" w:hAnsi="Cambria"/>
          <w:sz w:val="20"/>
          <w:szCs w:val="20"/>
          <w:bdr w:val="none" w:sz="0" w:space="0" w:color="auto"/>
        </w:rPr>
        <w:t xml:space="preserve"> of </w:t>
      </w:r>
      <w:r w:rsidR="00EF4ED2">
        <w:rPr>
          <w:rFonts w:ascii="Cambria" w:eastAsia="Calibri" w:hAnsi="Cambria"/>
          <w:sz w:val="20"/>
          <w:szCs w:val="20"/>
          <w:bdr w:val="none" w:sz="0" w:space="0" w:color="auto"/>
        </w:rPr>
        <w:t>international</w:t>
      </w:r>
      <w:r w:rsidRPr="00D7409A">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law</w:t>
      </w:r>
      <w:r w:rsidR="00773B3C" w:rsidRPr="00A51861">
        <w:rPr>
          <w:rFonts w:ascii="Cambria" w:eastAsia="Calibri" w:hAnsi="Cambria"/>
          <w:sz w:val="20"/>
          <w:szCs w:val="20"/>
          <w:bdr w:val="none" w:sz="0" w:space="0" w:color="auto"/>
        </w:rPr>
        <w:t>”</w:t>
      </w:r>
      <w:r w:rsidR="00773B3C" w:rsidRPr="00A51861">
        <w:rPr>
          <w:rFonts w:ascii="Cambria" w:eastAsia="Calibri" w:hAnsi="Cambria"/>
          <w:sz w:val="20"/>
          <w:szCs w:val="20"/>
          <w:bdr w:val="none" w:sz="0" w:space="0" w:color="auto"/>
          <w:vertAlign w:val="superscript"/>
        </w:rPr>
        <w:footnoteReference w:id="185"/>
      </w:r>
      <w:r w:rsidR="00773B3C" w:rsidRPr="00A51861">
        <w:rPr>
          <w:rFonts w:ascii="Cambria" w:eastAsia="Calibri" w:hAnsi="Cambria"/>
          <w:sz w:val="20"/>
          <w:szCs w:val="20"/>
          <w:bdr w:val="none" w:sz="0" w:space="0" w:color="auto"/>
        </w:rPr>
        <w:t>.</w:t>
      </w:r>
    </w:p>
    <w:p w14:paraId="22ADE4DC" w14:textId="77777777" w:rsidR="00773B3C" w:rsidRPr="00A51861" w:rsidRDefault="00773B3C" w:rsidP="008E4D36">
      <w:pPr>
        <w:ind w:left="720"/>
        <w:rPr>
          <w:rFonts w:ascii="Cambria" w:eastAsia="Cambria" w:hAnsi="Cambria" w:cs="Cambria"/>
          <w:color w:val="000000"/>
          <w:sz w:val="20"/>
          <w:szCs w:val="20"/>
          <w:u w:color="000000"/>
          <w:lang w:eastAsia="es-ES"/>
        </w:rPr>
      </w:pPr>
    </w:p>
    <w:p w14:paraId="04319056" w14:textId="77AEDD00" w:rsidR="00773B3C" w:rsidRPr="00A51861" w:rsidRDefault="00F92BA8"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eastAsia="Calibri" w:hAnsi="Cambria" w:cs="Tahoma"/>
          <w:color w:val="000000"/>
          <w:sz w:val="20"/>
          <w:szCs w:val="20"/>
          <w:bdr w:val="none" w:sz="0" w:space="0" w:color="auto"/>
        </w:rPr>
      </w:pPr>
      <w:r>
        <w:rPr>
          <w:rFonts w:ascii="Cambria" w:eastAsia="Calibri" w:hAnsi="Cambria"/>
          <w:sz w:val="20"/>
          <w:szCs w:val="20"/>
          <w:bdr w:val="none" w:sz="0" w:space="0" w:color="auto"/>
        </w:rPr>
        <w:t xml:space="preserve">Likewise, </w:t>
      </w:r>
      <w:r w:rsidR="00061015">
        <w:rPr>
          <w:rFonts w:ascii="Cambria" w:eastAsia="Calibri" w:hAnsi="Cambria"/>
          <w:sz w:val="20"/>
          <w:szCs w:val="20"/>
          <w:bdr w:val="none" w:sz="0" w:space="0" w:color="auto"/>
        </w:rPr>
        <w:t>regarding</w:t>
      </w:r>
      <w:r w:rsidR="00CB4E23">
        <w:rPr>
          <w:rFonts w:ascii="Cambria" w:eastAsia="Calibri" w:hAnsi="Cambria"/>
          <w:sz w:val="20"/>
          <w:szCs w:val="20"/>
          <w:bdr w:val="none" w:sz="0" w:space="0" w:color="auto"/>
        </w:rPr>
        <w:t xml:space="preserve"> the</w:t>
      </w:r>
      <w:r w:rsidR="00E92985">
        <w:rPr>
          <w:rFonts w:ascii="Cambria" w:eastAsia="Calibri" w:hAnsi="Cambria"/>
          <w:sz w:val="20"/>
          <w:szCs w:val="20"/>
          <w:bdr w:val="none" w:sz="0" w:space="0" w:color="auto"/>
        </w:rPr>
        <w:t xml:space="preserve"> due process</w:t>
      </w:r>
      <w:r w:rsidR="00773B3C" w:rsidRPr="00A51861">
        <w:rPr>
          <w:rFonts w:ascii="Cambria" w:eastAsia="Calibri" w:hAnsi="Cambria"/>
          <w:sz w:val="20"/>
          <w:szCs w:val="20"/>
          <w:bdr w:val="none" w:sz="0" w:space="0" w:color="auto"/>
        </w:rPr>
        <w:t xml:space="preserve"> </w:t>
      </w:r>
      <w:r w:rsidR="00CB4E23">
        <w:rPr>
          <w:rFonts w:ascii="Cambria" w:eastAsia="Calibri" w:hAnsi="Cambria"/>
          <w:sz w:val="20"/>
          <w:szCs w:val="20"/>
          <w:bdr w:val="none" w:sz="0" w:space="0" w:color="auto"/>
        </w:rPr>
        <w:t>which State acts must follow</w:t>
      </w:r>
      <w:r w:rsidR="00773B3C" w:rsidRPr="00A51861">
        <w:rPr>
          <w:rFonts w:ascii="Cambria" w:eastAsia="Calibri" w:hAnsi="Cambria"/>
          <w:sz w:val="20"/>
          <w:szCs w:val="20"/>
          <w:bdr w:val="none" w:sz="0" w:space="0" w:color="auto"/>
        </w:rPr>
        <w:t xml:space="preserve"> </w:t>
      </w:r>
      <w:r w:rsidR="00CB4E23">
        <w:rPr>
          <w:rFonts w:ascii="Cambria" w:eastAsia="Calibri" w:hAnsi="Cambria"/>
          <w:sz w:val="20"/>
          <w:szCs w:val="20"/>
          <w:bdr w:val="none" w:sz="0" w:space="0" w:color="auto"/>
        </w:rPr>
        <w:t>that may impact</w:t>
      </w:r>
      <w:r w:rsidR="00773B3C" w:rsidRPr="00A51861">
        <w:rPr>
          <w:rFonts w:ascii="Cambria" w:eastAsia="Calibri" w:hAnsi="Cambria"/>
          <w:sz w:val="20"/>
          <w:szCs w:val="20"/>
          <w:bdr w:val="none" w:sz="0" w:space="0" w:color="auto"/>
        </w:rPr>
        <w:t xml:space="preserve"> </w:t>
      </w:r>
      <w:r w:rsidR="00CB4E23">
        <w:rPr>
          <w:rFonts w:ascii="Cambria" w:eastAsia="Calibri" w:hAnsi="Cambria"/>
          <w:sz w:val="20"/>
          <w:szCs w:val="20"/>
          <w:bdr w:val="none" w:sz="0" w:space="0" w:color="auto"/>
        </w:rPr>
        <w:t>o</w:t>
      </w:r>
      <w:r w:rsidR="00773B3C" w:rsidRPr="00A51861">
        <w:rPr>
          <w:rFonts w:ascii="Cambria" w:eastAsia="Calibri" w:hAnsi="Cambria"/>
          <w:sz w:val="20"/>
          <w:szCs w:val="20"/>
          <w:bdr w:val="none" w:sz="0" w:space="0" w:color="auto"/>
        </w:rPr>
        <w:t>n</w:t>
      </w:r>
      <w:r w:rsidR="009A4F91">
        <w:rPr>
          <w:rFonts w:ascii="Cambria" w:eastAsia="Calibri" w:hAnsi="Cambria"/>
          <w:sz w:val="20"/>
          <w:szCs w:val="20"/>
          <w:bdr w:val="none" w:sz="0" w:space="0" w:color="auto"/>
        </w:rPr>
        <w:t xml:space="preserve"> the </w:t>
      </w:r>
      <w:r w:rsidR="00D64B7E">
        <w:rPr>
          <w:rFonts w:ascii="Cambria" w:eastAsia="Calibri" w:hAnsi="Cambria"/>
          <w:sz w:val="20"/>
          <w:szCs w:val="20"/>
          <w:bdr w:val="none" w:sz="0" w:space="0" w:color="auto"/>
        </w:rPr>
        <w:t>nationality</w:t>
      </w:r>
      <w:r w:rsidR="00E92985">
        <w:rPr>
          <w:rFonts w:ascii="Cambria" w:eastAsia="Calibri" w:hAnsi="Cambria"/>
          <w:sz w:val="20"/>
          <w:szCs w:val="20"/>
          <w:bdr w:val="none" w:sz="0" w:space="0" w:color="auto"/>
        </w:rPr>
        <w:t xml:space="preserve"> of </w:t>
      </w:r>
      <w:r w:rsidR="00773B3C" w:rsidRPr="00A51861">
        <w:rPr>
          <w:rFonts w:ascii="Cambria" w:eastAsia="Calibri" w:hAnsi="Cambria"/>
          <w:sz w:val="20"/>
          <w:szCs w:val="20"/>
          <w:bdr w:val="none" w:sz="0" w:space="0" w:color="auto"/>
        </w:rPr>
        <w:t xml:space="preserve">a </w:t>
      </w:r>
      <w:r w:rsidR="00773B3C" w:rsidRPr="00A51861">
        <w:rPr>
          <w:rFonts w:ascii="Cambria" w:hAnsi="Cambria"/>
          <w:color w:val="000000" w:themeColor="text1"/>
          <w:sz w:val="20"/>
          <w:szCs w:val="20"/>
        </w:rPr>
        <w:t>person</w:t>
      </w:r>
      <w:r w:rsidR="00773B3C" w:rsidRPr="00A51861">
        <w:rPr>
          <w:rFonts w:ascii="Cambria" w:eastAsia="Calibri" w:hAnsi="Cambria"/>
          <w:sz w:val="20"/>
          <w:szCs w:val="20"/>
          <w:bdr w:val="none" w:sz="0" w:space="0" w:color="auto"/>
        </w:rPr>
        <w:t xml:space="preserve">, </w:t>
      </w:r>
      <w:r w:rsidR="00E92985">
        <w:rPr>
          <w:rFonts w:ascii="Cambria" w:eastAsia="Calibri" w:hAnsi="Cambria"/>
          <w:sz w:val="20"/>
          <w:szCs w:val="20"/>
          <w:bdr w:val="none" w:sz="0" w:space="0" w:color="auto"/>
        </w:rPr>
        <w:t>the Commission and</w:t>
      </w:r>
      <w:r w:rsidR="009A4F91">
        <w:rPr>
          <w:rFonts w:ascii="Cambria" w:eastAsia="Calibri" w:hAnsi="Cambria"/>
          <w:sz w:val="20"/>
          <w:szCs w:val="20"/>
          <w:bdr w:val="none" w:sz="0" w:space="0" w:color="auto"/>
        </w:rPr>
        <w:t xml:space="preserve"> the </w:t>
      </w:r>
      <w:r w:rsidR="00B04009">
        <w:rPr>
          <w:rFonts w:ascii="Cambria" w:eastAsia="Calibri" w:hAnsi="Cambria"/>
          <w:sz w:val="20"/>
          <w:szCs w:val="20"/>
          <w:bdr w:val="none" w:sz="0" w:space="0" w:color="auto"/>
        </w:rPr>
        <w:t>Inter-American Court</w:t>
      </w:r>
      <w:r w:rsidR="00773B3C" w:rsidRPr="00A51861">
        <w:rPr>
          <w:rFonts w:ascii="Cambria" w:eastAsia="Calibri" w:hAnsi="Cambria"/>
          <w:sz w:val="20"/>
          <w:szCs w:val="20"/>
          <w:bdr w:val="none" w:sz="0" w:space="0" w:color="auto"/>
        </w:rPr>
        <w:t xml:space="preserve"> ha</w:t>
      </w:r>
      <w:r w:rsidR="00CB4E23">
        <w:rPr>
          <w:rFonts w:ascii="Cambria" w:eastAsia="Calibri" w:hAnsi="Cambria"/>
          <w:sz w:val="20"/>
          <w:szCs w:val="20"/>
          <w:bdr w:val="none" w:sz="0" w:space="0" w:color="auto"/>
        </w:rPr>
        <w:t>ve</w:t>
      </w:r>
      <w:r w:rsidR="00773B3C" w:rsidRPr="00A51861">
        <w:rPr>
          <w:rFonts w:ascii="Cambria" w:eastAsia="Calibri" w:hAnsi="Cambria"/>
          <w:sz w:val="20"/>
          <w:szCs w:val="20"/>
          <w:bdr w:val="none" w:sz="0" w:space="0" w:color="auto"/>
        </w:rPr>
        <w:t xml:space="preserve"> </w:t>
      </w:r>
      <w:r w:rsidR="00CB4E23">
        <w:rPr>
          <w:rFonts w:ascii="Cambria" w:eastAsia="Calibri" w:hAnsi="Cambria"/>
          <w:sz w:val="20"/>
          <w:szCs w:val="20"/>
          <w:bdr w:val="none" w:sz="0" w:space="0" w:color="auto"/>
        </w:rPr>
        <w:t>held</w:t>
      </w:r>
      <w:r w:rsidR="00773B3C" w:rsidRPr="00A51861">
        <w:rPr>
          <w:rFonts w:ascii="Cambria" w:eastAsia="Calibri" w:hAnsi="Cambria"/>
          <w:sz w:val="20"/>
          <w:szCs w:val="20"/>
          <w:bdr w:val="none" w:sz="0" w:space="0" w:color="auto"/>
        </w:rPr>
        <w:t xml:space="preserve"> </w:t>
      </w:r>
      <w:r w:rsidR="00CB4E23">
        <w:rPr>
          <w:rFonts w:ascii="Cambria" w:eastAsia="Calibri" w:hAnsi="Cambria"/>
          <w:sz w:val="20"/>
          <w:szCs w:val="20"/>
          <w:bdr w:val="none" w:sz="0" w:space="0" w:color="auto"/>
        </w:rPr>
        <w:t>that</w:t>
      </w:r>
      <w:r w:rsidR="00773B3C" w:rsidRPr="00A51861">
        <w:rPr>
          <w:rFonts w:ascii="Cambria" w:eastAsia="Calibri" w:hAnsi="Cambria"/>
          <w:sz w:val="20"/>
          <w:szCs w:val="20"/>
          <w:bdr w:val="none" w:sz="0" w:space="0" w:color="auto"/>
        </w:rPr>
        <w:t xml:space="preserve"> </w:t>
      </w:r>
      <w:r w:rsidR="00CB4E23">
        <w:rPr>
          <w:rFonts w:ascii="Cambria" w:eastAsia="Calibri" w:hAnsi="Cambria"/>
          <w:sz w:val="20"/>
          <w:szCs w:val="20"/>
          <w:bdr w:val="none" w:sz="0" w:space="0" w:color="auto"/>
        </w:rPr>
        <w:t>said</w:t>
      </w:r>
      <w:r w:rsidR="00773B3C" w:rsidRPr="00A51861">
        <w:rPr>
          <w:rFonts w:ascii="Cambria" w:eastAsia="Calibri" w:hAnsi="Cambria"/>
          <w:sz w:val="20"/>
          <w:szCs w:val="20"/>
          <w:bdr w:val="none" w:sz="0" w:space="0" w:color="auto"/>
        </w:rPr>
        <w:t xml:space="preserve"> </w:t>
      </w:r>
      <w:r w:rsidR="009A4F91">
        <w:rPr>
          <w:rFonts w:ascii="Cambria" w:eastAsia="Calibri" w:hAnsi="Cambria"/>
          <w:sz w:val="20"/>
          <w:szCs w:val="20"/>
          <w:bdr w:val="none" w:sz="0" w:space="0" w:color="auto"/>
        </w:rPr>
        <w:t>guarantee</w:t>
      </w:r>
      <w:r w:rsidR="00773B3C" w:rsidRPr="00A51861">
        <w:rPr>
          <w:rFonts w:ascii="Cambria" w:eastAsia="Calibri" w:hAnsi="Cambria"/>
          <w:sz w:val="20"/>
          <w:szCs w:val="20"/>
          <w:bdr w:val="none" w:sz="0" w:space="0" w:color="auto"/>
        </w:rPr>
        <w:t xml:space="preserve">s </w:t>
      </w:r>
      <w:r w:rsidR="00CB4E23">
        <w:rPr>
          <w:rFonts w:ascii="Cambria" w:eastAsia="Calibri" w:hAnsi="Cambria"/>
          <w:sz w:val="20"/>
          <w:szCs w:val="20"/>
          <w:bdr w:val="none" w:sz="0" w:space="0" w:color="auto"/>
        </w:rPr>
        <w:t>set forth</w:t>
      </w:r>
      <w:r w:rsidR="00773B3C" w:rsidRPr="00A51861">
        <w:rPr>
          <w:rFonts w:ascii="Cambria" w:eastAsia="Calibri" w:hAnsi="Cambria"/>
          <w:sz w:val="20"/>
          <w:szCs w:val="20"/>
          <w:bdr w:val="none" w:sz="0" w:space="0" w:color="auto"/>
        </w:rPr>
        <w:t xml:space="preserve"> </w:t>
      </w:r>
      <w:r w:rsidR="00CB4E23">
        <w:rPr>
          <w:rFonts w:ascii="Cambria" w:eastAsia="Calibri" w:hAnsi="Cambria"/>
          <w:sz w:val="20"/>
          <w:szCs w:val="20"/>
          <w:bdr w:val="none" w:sz="0" w:space="0" w:color="auto"/>
        </w:rPr>
        <w:t>i</w:t>
      </w:r>
      <w:r w:rsidR="00773B3C" w:rsidRPr="00A51861">
        <w:rPr>
          <w:rFonts w:ascii="Cambria" w:eastAsia="Calibri" w:hAnsi="Cambria"/>
          <w:sz w:val="20"/>
          <w:szCs w:val="20"/>
          <w:bdr w:val="none" w:sz="0" w:space="0" w:color="auto"/>
        </w:rPr>
        <w:t>n</w:t>
      </w:r>
      <w:r w:rsidR="004C5A00">
        <w:rPr>
          <w:rFonts w:ascii="Cambria" w:eastAsia="Calibri" w:hAnsi="Cambria"/>
          <w:sz w:val="20"/>
          <w:szCs w:val="20"/>
          <w:bdr w:val="none" w:sz="0" w:space="0" w:color="auto"/>
        </w:rPr>
        <w:t xml:space="preserve"> article </w:t>
      </w:r>
      <w:r w:rsidR="00773B3C" w:rsidRPr="00A51861">
        <w:rPr>
          <w:rFonts w:ascii="Cambria" w:eastAsia="Calibri" w:hAnsi="Cambria"/>
          <w:sz w:val="20"/>
          <w:szCs w:val="20"/>
          <w:bdr w:val="none" w:sz="0" w:space="0" w:color="auto"/>
        </w:rPr>
        <w:t>8.1</w:t>
      </w:r>
      <w:r w:rsidR="00E92985">
        <w:rPr>
          <w:rFonts w:ascii="Cambria" w:eastAsia="Calibri" w:hAnsi="Cambria"/>
          <w:sz w:val="20"/>
          <w:szCs w:val="20"/>
          <w:bdr w:val="none" w:sz="0" w:space="0" w:color="auto"/>
        </w:rPr>
        <w:t xml:space="preserve"> of the </w:t>
      </w:r>
      <w:r w:rsidR="00CB4E23" w:rsidRPr="00A51861">
        <w:rPr>
          <w:rFonts w:ascii="Cambria" w:eastAsia="Calibri" w:hAnsi="Cambria"/>
          <w:sz w:val="20"/>
          <w:szCs w:val="20"/>
          <w:bdr w:val="none" w:sz="0" w:space="0" w:color="auto"/>
        </w:rPr>
        <w:t>Convention</w:t>
      </w:r>
      <w:r w:rsidR="00773B3C" w:rsidRPr="00A51861">
        <w:rPr>
          <w:rFonts w:ascii="Cambria" w:eastAsia="Calibri" w:hAnsi="Cambria"/>
          <w:sz w:val="20"/>
          <w:szCs w:val="20"/>
          <w:bdr w:val="none" w:sz="0" w:space="0" w:color="auto"/>
        </w:rPr>
        <w:t xml:space="preserve">, </w:t>
      </w:r>
      <w:r w:rsidR="00CB4E23">
        <w:rPr>
          <w:rFonts w:ascii="Cambria" w:eastAsia="Calibri" w:hAnsi="Cambria"/>
          <w:sz w:val="20"/>
          <w:szCs w:val="20"/>
          <w:bdr w:val="none" w:sz="0" w:space="0" w:color="auto"/>
        </w:rPr>
        <w:t xml:space="preserve">including the right to </w:t>
      </w:r>
      <w:r w:rsidR="00CB4E23" w:rsidRPr="00A51861">
        <w:rPr>
          <w:rFonts w:ascii="Cambria" w:eastAsia="Calibri" w:hAnsi="Cambria"/>
          <w:sz w:val="20"/>
          <w:szCs w:val="20"/>
          <w:bdr w:val="none" w:sz="0" w:space="0" w:color="auto"/>
        </w:rPr>
        <w:t>sufficient motivation</w:t>
      </w:r>
      <w:r w:rsidR="00773B3C" w:rsidRPr="00A51861">
        <w:rPr>
          <w:rFonts w:ascii="Cambria" w:eastAsia="Calibri" w:hAnsi="Cambria"/>
          <w:sz w:val="20"/>
          <w:szCs w:val="20"/>
          <w:bdr w:val="none" w:sz="0" w:space="0" w:color="auto"/>
        </w:rPr>
        <w:t xml:space="preserve"> </w:t>
      </w:r>
      <w:r w:rsidR="00CB4E23">
        <w:rPr>
          <w:rFonts w:ascii="Cambria" w:eastAsia="Calibri" w:hAnsi="Cambria"/>
          <w:sz w:val="20"/>
          <w:szCs w:val="20"/>
          <w:bdr w:val="none" w:sz="0" w:space="0" w:color="auto"/>
        </w:rPr>
        <w:t>as one of the due</w:t>
      </w:r>
      <w:r w:rsidR="00773B3C" w:rsidRPr="00A51861">
        <w:rPr>
          <w:rFonts w:ascii="Cambria" w:eastAsia="Calibri" w:hAnsi="Cambria"/>
          <w:sz w:val="20"/>
          <w:szCs w:val="20"/>
          <w:bdr w:val="none" w:sz="0" w:space="0" w:color="auto"/>
        </w:rPr>
        <w:t xml:space="preserve"> </w:t>
      </w:r>
      <w:r w:rsidR="009A4F91">
        <w:rPr>
          <w:rFonts w:ascii="Cambria" w:eastAsia="Calibri" w:hAnsi="Cambria"/>
          <w:sz w:val="20"/>
          <w:szCs w:val="20"/>
          <w:bdr w:val="none" w:sz="0" w:space="0" w:color="auto"/>
        </w:rPr>
        <w:t>guarantee</w:t>
      </w:r>
      <w:r w:rsidR="00773B3C" w:rsidRPr="00A51861">
        <w:rPr>
          <w:rFonts w:ascii="Cambria" w:eastAsia="Calibri" w:hAnsi="Cambria"/>
          <w:sz w:val="20"/>
          <w:szCs w:val="20"/>
          <w:bdr w:val="none" w:sz="0" w:space="0" w:color="auto"/>
        </w:rPr>
        <w:t xml:space="preserve">s </w:t>
      </w:r>
      <w:r w:rsidR="00CB4E23">
        <w:rPr>
          <w:rFonts w:ascii="Cambria" w:eastAsia="Calibri" w:hAnsi="Cambria"/>
          <w:sz w:val="20"/>
          <w:szCs w:val="20"/>
          <w:bdr w:val="none" w:sz="0" w:space="0" w:color="auto"/>
        </w:rPr>
        <w:t xml:space="preserve">referred in such </w:t>
      </w:r>
      <w:r w:rsidR="00FA2E7B">
        <w:rPr>
          <w:rFonts w:ascii="Cambria" w:eastAsia="Calibri" w:hAnsi="Cambria"/>
          <w:sz w:val="20"/>
          <w:szCs w:val="20"/>
          <w:bdr w:val="none" w:sz="0" w:space="0" w:color="auto"/>
        </w:rPr>
        <w:t>provision</w:t>
      </w:r>
      <w:r w:rsidR="00773B3C" w:rsidRPr="00A51861">
        <w:rPr>
          <w:rFonts w:ascii="Cambria" w:eastAsia="Calibri" w:hAnsi="Cambria"/>
          <w:sz w:val="20"/>
          <w:szCs w:val="20"/>
          <w:bdr w:val="none" w:sz="0" w:space="0" w:color="auto"/>
        </w:rPr>
        <w:t xml:space="preserve">, </w:t>
      </w:r>
      <w:r w:rsidR="00CB4E23">
        <w:rPr>
          <w:rFonts w:ascii="Cambria" w:eastAsia="Calibri" w:hAnsi="Cambria"/>
          <w:sz w:val="20"/>
          <w:szCs w:val="20"/>
          <w:bdr w:val="none" w:sz="0" w:space="0" w:color="auto"/>
        </w:rPr>
        <w:t>they apply over the entire process of</w:t>
      </w:r>
      <w:r w:rsidR="00E92985">
        <w:rPr>
          <w:rFonts w:ascii="Cambria" w:eastAsia="Calibri" w:hAnsi="Cambria"/>
          <w:sz w:val="20"/>
          <w:szCs w:val="20"/>
          <w:bdr w:val="none" w:sz="0" w:space="0" w:color="auto"/>
        </w:rPr>
        <w:t xml:space="preserve"> </w:t>
      </w:r>
      <w:r w:rsidR="00CB4E23" w:rsidRPr="00A51861">
        <w:rPr>
          <w:rFonts w:ascii="Cambria" w:eastAsia="Calibri" w:hAnsi="Cambria"/>
          <w:sz w:val="20"/>
          <w:szCs w:val="20"/>
          <w:bdr w:val="none" w:sz="0" w:space="0" w:color="auto"/>
        </w:rPr>
        <w:t>determination</w:t>
      </w:r>
      <w:r w:rsidR="00E92985">
        <w:rPr>
          <w:rFonts w:ascii="Cambria" w:eastAsia="Calibri" w:hAnsi="Cambria"/>
          <w:sz w:val="20"/>
          <w:szCs w:val="20"/>
          <w:bdr w:val="none" w:sz="0" w:space="0" w:color="auto"/>
        </w:rPr>
        <w:t xml:space="preserve"> of </w:t>
      </w:r>
      <w:r w:rsidR="00CB4E23">
        <w:rPr>
          <w:rFonts w:ascii="Cambria" w:eastAsia="Calibri" w:hAnsi="Cambria"/>
          <w:sz w:val="20"/>
          <w:szCs w:val="20"/>
          <w:bdr w:val="none" w:sz="0" w:space="0" w:color="auto"/>
        </w:rPr>
        <w:t>rights</w:t>
      </w:r>
      <w:r w:rsidR="00773B3C" w:rsidRPr="00A51861">
        <w:rPr>
          <w:rFonts w:ascii="Cambria" w:eastAsia="Calibri" w:hAnsi="Cambria"/>
          <w:sz w:val="20"/>
          <w:szCs w:val="20"/>
          <w:bdr w:val="none" w:sz="0" w:space="0" w:color="auto"/>
        </w:rPr>
        <w:t xml:space="preserve">. </w:t>
      </w:r>
      <w:r w:rsidR="00CB4E23">
        <w:rPr>
          <w:rFonts w:ascii="Cambria" w:eastAsia="Calibri" w:hAnsi="Cambria"/>
          <w:sz w:val="20"/>
          <w:szCs w:val="20"/>
          <w:bdr w:val="none" w:sz="0" w:space="0" w:color="auto"/>
        </w:rPr>
        <w:t>Also</w:t>
      </w:r>
      <w:r w:rsidR="00773B3C" w:rsidRPr="00A51861">
        <w:rPr>
          <w:rFonts w:ascii="Cambria" w:eastAsia="Calibri" w:hAnsi="Cambria"/>
          <w:sz w:val="20"/>
          <w:szCs w:val="20"/>
          <w:bdr w:val="none" w:sz="0" w:space="0" w:color="auto"/>
        </w:rPr>
        <w:t xml:space="preserve">, </w:t>
      </w:r>
      <w:r w:rsidR="00CB4E23">
        <w:rPr>
          <w:rFonts w:ascii="Cambria" w:eastAsia="Calibri" w:hAnsi="Cambria"/>
          <w:sz w:val="20"/>
          <w:szCs w:val="20"/>
          <w:bdr w:val="none" w:sz="0" w:space="0" w:color="auto"/>
        </w:rPr>
        <w:t>the bodies</w:t>
      </w:r>
      <w:r w:rsidR="004969F4">
        <w:rPr>
          <w:rFonts w:ascii="Cambria" w:eastAsia="Calibri" w:hAnsi="Cambria"/>
          <w:sz w:val="20"/>
          <w:szCs w:val="20"/>
          <w:bdr w:val="none" w:sz="0" w:space="0" w:color="auto"/>
        </w:rPr>
        <w:t xml:space="preserve"> of the </w:t>
      </w:r>
      <w:r w:rsidR="00CB4E23">
        <w:rPr>
          <w:rFonts w:ascii="Cambria" w:eastAsia="Calibri" w:hAnsi="Cambria"/>
          <w:sz w:val="20"/>
          <w:szCs w:val="20"/>
          <w:bdr w:val="none" w:sz="0" w:space="0" w:color="auto"/>
        </w:rPr>
        <w:t>system have understood that</w:t>
      </w:r>
      <w:r w:rsidR="00773B3C" w:rsidRPr="00A51861">
        <w:rPr>
          <w:rFonts w:ascii="Cambria" w:eastAsia="Calibri" w:hAnsi="Cambria"/>
          <w:sz w:val="20"/>
          <w:szCs w:val="20"/>
          <w:bdr w:val="none" w:sz="0" w:space="0" w:color="auto"/>
        </w:rPr>
        <w:t xml:space="preserve"> </w:t>
      </w:r>
      <w:r w:rsidR="00CB4E23">
        <w:rPr>
          <w:rFonts w:ascii="Cambria" w:eastAsia="Calibri" w:hAnsi="Cambria"/>
          <w:sz w:val="20"/>
          <w:szCs w:val="20"/>
          <w:bdr w:val="none" w:sz="0" w:space="0" w:color="auto"/>
        </w:rPr>
        <w:t>when actions have a punishing content</w:t>
      </w:r>
      <w:r w:rsidR="00773B3C" w:rsidRPr="00A51861">
        <w:rPr>
          <w:rFonts w:ascii="Cambria" w:eastAsia="Calibri" w:hAnsi="Cambria"/>
          <w:sz w:val="20"/>
          <w:szCs w:val="20"/>
          <w:bdr w:val="none" w:sz="0" w:space="0" w:color="auto"/>
        </w:rPr>
        <w:t xml:space="preserve">, </w:t>
      </w:r>
      <w:r w:rsidR="00CB4E23">
        <w:rPr>
          <w:rFonts w:ascii="Cambria" w:eastAsia="Calibri" w:hAnsi="Cambria"/>
          <w:sz w:val="20"/>
          <w:szCs w:val="20"/>
          <w:bdr w:val="none" w:sz="0" w:space="0" w:color="auto"/>
        </w:rPr>
        <w:t>the</w:t>
      </w:r>
      <w:r w:rsidR="00773B3C" w:rsidRPr="00A51861">
        <w:rPr>
          <w:rFonts w:ascii="Cambria" w:eastAsia="Calibri" w:hAnsi="Cambria"/>
          <w:sz w:val="20"/>
          <w:szCs w:val="20"/>
          <w:bdr w:val="none" w:sz="0" w:space="0" w:color="auto"/>
        </w:rPr>
        <w:t xml:space="preserve"> </w:t>
      </w:r>
      <w:r w:rsidR="00CB4E23">
        <w:rPr>
          <w:rFonts w:ascii="Cambria" w:eastAsia="Calibri" w:hAnsi="Cambria"/>
          <w:sz w:val="20"/>
          <w:szCs w:val="20"/>
          <w:bdr w:val="none" w:sz="0" w:space="0" w:color="auto"/>
        </w:rPr>
        <w:t>guarantee</w:t>
      </w:r>
      <w:r w:rsidR="00CB4E23" w:rsidRPr="00A51861">
        <w:rPr>
          <w:rFonts w:ascii="Cambria" w:eastAsia="Calibri" w:hAnsi="Cambria"/>
          <w:sz w:val="20"/>
          <w:szCs w:val="20"/>
          <w:bdr w:val="none" w:sz="0" w:space="0" w:color="auto"/>
        </w:rPr>
        <w:t xml:space="preserve">s </w:t>
      </w:r>
      <w:r w:rsidR="00CB4E23">
        <w:rPr>
          <w:rFonts w:ascii="Cambria" w:eastAsia="Calibri" w:hAnsi="Cambria"/>
          <w:sz w:val="20"/>
          <w:szCs w:val="20"/>
          <w:bdr w:val="none" w:sz="0" w:space="0" w:color="auto"/>
        </w:rPr>
        <w:t xml:space="preserve">contained in </w:t>
      </w:r>
      <w:r w:rsidR="004C5A00">
        <w:rPr>
          <w:rFonts w:ascii="Cambria" w:eastAsia="Calibri" w:hAnsi="Cambria"/>
          <w:sz w:val="20"/>
          <w:szCs w:val="20"/>
          <w:bdr w:val="none" w:sz="0" w:space="0" w:color="auto"/>
        </w:rPr>
        <w:t xml:space="preserve">article </w:t>
      </w:r>
      <w:r w:rsidR="00773B3C" w:rsidRPr="00A51861">
        <w:rPr>
          <w:rFonts w:ascii="Cambria" w:eastAsia="Calibri" w:hAnsi="Cambria"/>
          <w:sz w:val="20"/>
          <w:szCs w:val="20"/>
          <w:bdr w:val="none" w:sz="0" w:space="0" w:color="auto"/>
        </w:rPr>
        <w:t>8.2</w:t>
      </w:r>
      <w:r w:rsidR="00E92985">
        <w:rPr>
          <w:rFonts w:ascii="Cambria" w:eastAsia="Calibri" w:hAnsi="Cambria"/>
          <w:sz w:val="20"/>
          <w:szCs w:val="20"/>
          <w:bdr w:val="none" w:sz="0" w:space="0" w:color="auto"/>
        </w:rPr>
        <w:t xml:space="preserve"> of the </w:t>
      </w:r>
      <w:r w:rsidR="00CB4E23" w:rsidRPr="00A51861">
        <w:rPr>
          <w:rFonts w:ascii="Cambria" w:eastAsia="Calibri" w:hAnsi="Cambria"/>
          <w:sz w:val="20"/>
          <w:szCs w:val="20"/>
          <w:bdr w:val="none" w:sz="0" w:space="0" w:color="auto"/>
        </w:rPr>
        <w:t>Convention</w:t>
      </w:r>
      <w:r w:rsidR="00CB4E23">
        <w:rPr>
          <w:rFonts w:ascii="Cambria" w:eastAsia="Calibri" w:hAnsi="Cambria"/>
          <w:sz w:val="20"/>
          <w:szCs w:val="20"/>
          <w:bdr w:val="none" w:sz="0" w:space="0" w:color="auto"/>
        </w:rPr>
        <w:t xml:space="preserve"> must be respected </w:t>
      </w:r>
      <w:r w:rsidR="00CB4E23" w:rsidRPr="00A51861">
        <w:rPr>
          <w:rFonts w:ascii="Cambria" w:eastAsia="Calibri" w:hAnsi="Cambria"/>
          <w:i/>
          <w:iCs/>
          <w:sz w:val="20"/>
          <w:szCs w:val="20"/>
          <w:bdr w:val="none" w:sz="0" w:space="0" w:color="auto"/>
        </w:rPr>
        <w:t>mutatis mutandis</w:t>
      </w:r>
      <w:r w:rsidR="00CB4E23">
        <w:rPr>
          <w:rFonts w:ascii="Cambria" w:eastAsia="Calibri" w:hAnsi="Cambria"/>
          <w:sz w:val="20"/>
          <w:szCs w:val="20"/>
          <w:bdr w:val="none" w:sz="0" w:space="0" w:color="auto"/>
        </w:rPr>
        <w:t xml:space="preserve"> as well.</w:t>
      </w:r>
      <w:r w:rsidR="00E92985">
        <w:rPr>
          <w:rFonts w:ascii="Cambria" w:eastAsia="Calibri" w:hAnsi="Cambria"/>
          <w:sz w:val="20"/>
          <w:szCs w:val="20"/>
          <w:bdr w:val="none" w:sz="0" w:space="0" w:color="auto"/>
        </w:rPr>
        <w:t xml:space="preserve"> </w:t>
      </w:r>
      <w:r w:rsidR="00CB4E23">
        <w:rPr>
          <w:rFonts w:ascii="Cambria" w:eastAsia="Calibri" w:hAnsi="Cambria"/>
          <w:sz w:val="20"/>
          <w:szCs w:val="20"/>
          <w:bdr w:val="none" w:sz="0" w:space="0" w:color="auto"/>
        </w:rPr>
        <w:t>T</w:t>
      </w:r>
      <w:r w:rsidR="00A51861" w:rsidRPr="00A51861">
        <w:rPr>
          <w:rFonts w:ascii="Cambria" w:eastAsia="Calibri" w:hAnsi="Cambria"/>
          <w:sz w:val="20"/>
          <w:szCs w:val="20"/>
          <w:bdr w:val="none" w:sz="0" w:space="0" w:color="auto"/>
        </w:rPr>
        <w:t>he IACHR</w:t>
      </w:r>
      <w:r w:rsidR="00773B3C" w:rsidRPr="00A51861">
        <w:rPr>
          <w:rFonts w:ascii="Cambria" w:eastAsia="Calibri" w:hAnsi="Cambria"/>
          <w:sz w:val="20"/>
          <w:szCs w:val="20"/>
          <w:bdr w:val="none" w:sz="0" w:space="0" w:color="auto"/>
        </w:rPr>
        <w:t xml:space="preserve"> </w:t>
      </w:r>
      <w:r w:rsidR="00CB4E23">
        <w:rPr>
          <w:rFonts w:ascii="Cambria" w:eastAsia="Calibri" w:hAnsi="Cambria"/>
          <w:sz w:val="20"/>
          <w:szCs w:val="20"/>
          <w:bdr w:val="none" w:sz="0" w:space="0" w:color="auto"/>
        </w:rPr>
        <w:t>therefore notes</w:t>
      </w:r>
      <w:r w:rsidR="00773B3C" w:rsidRPr="00A51861">
        <w:rPr>
          <w:rFonts w:ascii="Cambria" w:eastAsia="Calibri" w:hAnsi="Cambria"/>
          <w:sz w:val="20"/>
          <w:szCs w:val="20"/>
          <w:bdr w:val="none" w:sz="0" w:space="0" w:color="auto"/>
        </w:rPr>
        <w:t xml:space="preserve"> </w:t>
      </w:r>
      <w:r w:rsidR="00CB4E23">
        <w:rPr>
          <w:rFonts w:ascii="Cambria" w:eastAsia="Calibri" w:hAnsi="Cambria"/>
          <w:sz w:val="20"/>
          <w:szCs w:val="20"/>
          <w:bdr w:val="none" w:sz="0" w:space="0" w:color="auto"/>
        </w:rPr>
        <w:t>that if the aim</w:t>
      </w:r>
      <w:r w:rsidR="00FA2E7B">
        <w:rPr>
          <w:rFonts w:ascii="Cambria" w:eastAsia="Calibri" w:hAnsi="Cambria"/>
          <w:sz w:val="20"/>
          <w:szCs w:val="20"/>
          <w:bdr w:val="none" w:sz="0" w:space="0" w:color="auto"/>
        </w:rPr>
        <w:t xml:space="preserve"> </w:t>
      </w:r>
      <w:r w:rsidR="004969F4">
        <w:rPr>
          <w:rFonts w:ascii="Cambria" w:eastAsia="Calibri" w:hAnsi="Cambria"/>
          <w:sz w:val="20"/>
          <w:szCs w:val="20"/>
          <w:bdr w:val="none" w:sz="0" w:space="0" w:color="auto"/>
        </w:rPr>
        <w:t xml:space="preserve">of the </w:t>
      </w:r>
      <w:r w:rsidR="00773B3C" w:rsidRPr="00A51861">
        <w:rPr>
          <w:rFonts w:ascii="Cambria" w:eastAsia="Calibri" w:hAnsi="Cambria"/>
          <w:sz w:val="20"/>
          <w:szCs w:val="20"/>
          <w:bdr w:val="none" w:sz="0" w:space="0" w:color="auto"/>
        </w:rPr>
        <w:t>proces</w:t>
      </w:r>
      <w:r w:rsidR="00CB4E23">
        <w:rPr>
          <w:rFonts w:ascii="Cambria" w:eastAsia="Calibri" w:hAnsi="Cambria"/>
          <w:sz w:val="20"/>
          <w:szCs w:val="20"/>
          <w:bdr w:val="none" w:sz="0" w:space="0" w:color="auto"/>
        </w:rPr>
        <w:t>s</w:t>
      </w:r>
      <w:r w:rsidR="00D70A85">
        <w:rPr>
          <w:rFonts w:ascii="Cambria" w:eastAsia="Calibri" w:hAnsi="Cambria"/>
          <w:sz w:val="20"/>
          <w:szCs w:val="20"/>
          <w:bdr w:val="none" w:sz="0" w:space="0" w:color="auto"/>
        </w:rPr>
        <w:t xml:space="preserve"> is </w:t>
      </w:r>
      <w:r w:rsidR="00CB4E23">
        <w:rPr>
          <w:rFonts w:ascii="Cambria" w:eastAsia="Calibri" w:hAnsi="Cambria"/>
          <w:sz w:val="20"/>
          <w:szCs w:val="20"/>
          <w:bdr w:val="none" w:sz="0" w:space="0" w:color="auto"/>
        </w:rPr>
        <w:t>to contest</w:t>
      </w:r>
      <w:r w:rsidR="009A4F91">
        <w:rPr>
          <w:rFonts w:ascii="Cambria" w:eastAsia="Calibri" w:hAnsi="Cambria"/>
          <w:sz w:val="20"/>
          <w:szCs w:val="20"/>
          <w:bdr w:val="none" w:sz="0" w:space="0" w:color="auto"/>
        </w:rPr>
        <w:t xml:space="preserve"> the </w:t>
      </w:r>
      <w:r w:rsidR="00773B3C" w:rsidRPr="00A51861">
        <w:rPr>
          <w:rFonts w:ascii="Cambria" w:eastAsia="Calibri" w:hAnsi="Cambria"/>
          <w:sz w:val="20"/>
          <w:szCs w:val="20"/>
          <w:bdr w:val="none" w:sz="0" w:space="0" w:color="auto"/>
        </w:rPr>
        <w:t>legali</w:t>
      </w:r>
      <w:r w:rsidR="00FA2E7B">
        <w:rPr>
          <w:rFonts w:ascii="Cambria" w:eastAsia="Calibri" w:hAnsi="Cambria"/>
          <w:sz w:val="20"/>
          <w:szCs w:val="20"/>
          <w:bdr w:val="none" w:sz="0" w:space="0" w:color="auto"/>
        </w:rPr>
        <w:t xml:space="preserve">ty </w:t>
      </w:r>
      <w:r w:rsidR="00E92985">
        <w:rPr>
          <w:rFonts w:ascii="Cambria" w:eastAsia="Calibri" w:hAnsi="Cambria"/>
          <w:sz w:val="20"/>
          <w:szCs w:val="20"/>
          <w:bdr w:val="none" w:sz="0" w:space="0" w:color="auto"/>
        </w:rPr>
        <w:t xml:space="preserve">of the </w:t>
      </w:r>
      <w:r w:rsidR="004969F4">
        <w:rPr>
          <w:rFonts w:ascii="Cambria" w:eastAsia="Calibri" w:hAnsi="Cambria"/>
          <w:sz w:val="20"/>
          <w:szCs w:val="20"/>
          <w:bdr w:val="none" w:sz="0" w:space="0" w:color="auto"/>
        </w:rPr>
        <w:t xml:space="preserve">permanence </w:t>
      </w:r>
      <w:r w:rsidR="00E92985">
        <w:rPr>
          <w:rFonts w:ascii="Cambria" w:eastAsia="Calibri" w:hAnsi="Cambria"/>
          <w:sz w:val="20"/>
          <w:szCs w:val="20"/>
          <w:bdr w:val="none" w:sz="0" w:space="0" w:color="auto"/>
        </w:rPr>
        <w:t xml:space="preserve">of </w:t>
      </w:r>
      <w:r w:rsidR="00DD4DB2">
        <w:rPr>
          <w:rFonts w:ascii="Cambria" w:eastAsia="Calibri" w:hAnsi="Cambria"/>
          <w:sz w:val="20"/>
          <w:szCs w:val="20"/>
          <w:bdr w:val="none" w:sz="0" w:space="0" w:color="auto"/>
        </w:rPr>
        <w:t>a</w:t>
      </w:r>
      <w:r w:rsidR="00773B3C" w:rsidRPr="00A51861">
        <w:rPr>
          <w:rFonts w:ascii="Cambria" w:eastAsia="Calibri" w:hAnsi="Cambria"/>
          <w:sz w:val="20"/>
          <w:szCs w:val="20"/>
          <w:bdr w:val="none" w:sz="0" w:space="0" w:color="auto"/>
        </w:rPr>
        <w:t xml:space="preserve"> person</w:t>
      </w:r>
      <w:r w:rsidR="00DD4DB2">
        <w:rPr>
          <w:rFonts w:ascii="Cambria" w:eastAsia="Calibri" w:hAnsi="Cambria"/>
          <w:sz w:val="20"/>
          <w:szCs w:val="20"/>
          <w:bdr w:val="none" w:sz="0" w:space="0" w:color="auto"/>
        </w:rPr>
        <w:t xml:space="preserve"> in the country</w:t>
      </w:r>
      <w:r w:rsidR="00773B3C" w:rsidRPr="00A51861">
        <w:rPr>
          <w:rFonts w:ascii="Cambria" w:eastAsia="Calibri" w:hAnsi="Cambria"/>
          <w:sz w:val="20"/>
          <w:szCs w:val="20"/>
          <w:bdr w:val="none" w:sz="0" w:space="0" w:color="auto"/>
        </w:rPr>
        <w:t>,</w:t>
      </w:r>
      <w:r w:rsidR="00E92985">
        <w:rPr>
          <w:rFonts w:ascii="Cambria" w:eastAsia="Calibri" w:hAnsi="Cambria"/>
          <w:sz w:val="20"/>
          <w:szCs w:val="20"/>
          <w:bdr w:val="none" w:sz="0" w:space="0" w:color="auto"/>
        </w:rPr>
        <w:t xml:space="preserve"> and </w:t>
      </w:r>
      <w:r w:rsidR="00773B3C" w:rsidRPr="00A51861">
        <w:rPr>
          <w:rFonts w:ascii="Cambria" w:eastAsia="Calibri" w:hAnsi="Cambria"/>
          <w:sz w:val="20"/>
          <w:szCs w:val="20"/>
          <w:bdr w:val="none" w:sz="0" w:space="0" w:color="auto"/>
        </w:rPr>
        <w:t xml:space="preserve">order </w:t>
      </w:r>
      <w:r w:rsidR="00DD4DB2">
        <w:rPr>
          <w:rFonts w:ascii="Cambria" w:eastAsia="Calibri" w:hAnsi="Cambria"/>
          <w:sz w:val="20"/>
          <w:szCs w:val="20"/>
          <w:bdr w:val="none" w:sz="0" w:space="0" w:color="auto"/>
        </w:rPr>
        <w:t>his or her</w:t>
      </w:r>
      <w:r w:rsidR="00773B3C" w:rsidRPr="00A51861">
        <w:rPr>
          <w:rFonts w:ascii="Cambria" w:eastAsia="Calibri" w:hAnsi="Cambria"/>
          <w:sz w:val="20"/>
          <w:szCs w:val="20"/>
          <w:bdr w:val="none" w:sz="0" w:space="0" w:color="auto"/>
        </w:rPr>
        <w:t xml:space="preserve"> </w:t>
      </w:r>
      <w:r w:rsidR="00103579">
        <w:rPr>
          <w:rFonts w:ascii="Cambria" w:eastAsia="Calibri" w:hAnsi="Cambria"/>
          <w:sz w:val="20"/>
          <w:szCs w:val="20"/>
          <w:bdr w:val="none" w:sz="0" w:space="0" w:color="auto"/>
        </w:rPr>
        <w:t>expulsion</w:t>
      </w:r>
      <w:r w:rsidR="00773B3C" w:rsidRPr="00A51861">
        <w:rPr>
          <w:rFonts w:ascii="Cambria" w:eastAsia="Calibri" w:hAnsi="Cambria"/>
          <w:sz w:val="20"/>
          <w:szCs w:val="20"/>
          <w:bdr w:val="none" w:sz="0" w:space="0" w:color="auto"/>
        </w:rPr>
        <w:t xml:space="preserve">, </w:t>
      </w:r>
      <w:r w:rsidR="00DD4DB2">
        <w:rPr>
          <w:rFonts w:ascii="Cambria" w:eastAsia="Calibri" w:hAnsi="Cambria"/>
          <w:sz w:val="20"/>
          <w:szCs w:val="20"/>
          <w:bdr w:val="none" w:sz="0" w:space="0" w:color="auto"/>
        </w:rPr>
        <w:t>the same</w:t>
      </w:r>
      <w:r w:rsidR="00773B3C" w:rsidRPr="00A51861">
        <w:rPr>
          <w:rFonts w:ascii="Cambria" w:eastAsia="Calibri" w:hAnsi="Cambria"/>
          <w:sz w:val="20"/>
          <w:szCs w:val="20"/>
          <w:bdr w:val="none" w:sz="0" w:space="0" w:color="auto"/>
        </w:rPr>
        <w:t xml:space="preserve"> </w:t>
      </w:r>
      <w:r w:rsidR="009A4F91">
        <w:rPr>
          <w:rFonts w:ascii="Cambria" w:eastAsia="Calibri" w:hAnsi="Cambria"/>
          <w:sz w:val="20"/>
          <w:szCs w:val="20"/>
          <w:bdr w:val="none" w:sz="0" w:space="0" w:color="auto"/>
        </w:rPr>
        <w:t>guarantee</w:t>
      </w:r>
      <w:r w:rsidR="00773B3C" w:rsidRPr="00A51861">
        <w:rPr>
          <w:rFonts w:ascii="Cambria" w:eastAsia="Calibri" w:hAnsi="Cambria"/>
          <w:sz w:val="20"/>
          <w:szCs w:val="20"/>
          <w:bdr w:val="none" w:sz="0" w:space="0" w:color="auto"/>
        </w:rPr>
        <w:t xml:space="preserve">s </w:t>
      </w:r>
      <w:r w:rsidR="00DD4DB2">
        <w:rPr>
          <w:rFonts w:ascii="Cambria" w:eastAsia="Calibri" w:hAnsi="Cambria"/>
          <w:sz w:val="20"/>
          <w:szCs w:val="20"/>
          <w:bdr w:val="none" w:sz="0" w:space="0" w:color="auto"/>
        </w:rPr>
        <w:t>are</w:t>
      </w:r>
      <w:r w:rsidR="00773B3C" w:rsidRPr="00A51861">
        <w:rPr>
          <w:rFonts w:ascii="Cambria" w:eastAsia="Calibri" w:hAnsi="Cambria"/>
          <w:sz w:val="20"/>
          <w:szCs w:val="20"/>
          <w:bdr w:val="none" w:sz="0" w:space="0" w:color="auto"/>
        </w:rPr>
        <w:t xml:space="preserve"> </w:t>
      </w:r>
      <w:r w:rsidR="00DD4DB2" w:rsidRPr="00A51861">
        <w:rPr>
          <w:rFonts w:ascii="Cambria" w:eastAsia="Calibri" w:hAnsi="Cambria"/>
          <w:sz w:val="20"/>
          <w:szCs w:val="20"/>
          <w:bdr w:val="none" w:sz="0" w:space="0" w:color="auto"/>
        </w:rPr>
        <w:t>applicable</w:t>
      </w:r>
      <w:r w:rsidR="00773B3C" w:rsidRPr="00A51861">
        <w:rPr>
          <w:rFonts w:ascii="Cambria" w:eastAsia="Calibri" w:hAnsi="Cambria"/>
          <w:sz w:val="20"/>
          <w:szCs w:val="20"/>
          <w:bdr w:val="none" w:sz="0" w:space="0" w:color="auto"/>
          <w:vertAlign w:val="superscript"/>
        </w:rPr>
        <w:footnoteReference w:id="186"/>
      </w:r>
      <w:r w:rsidR="00773B3C" w:rsidRPr="00A51861">
        <w:rPr>
          <w:rFonts w:ascii="Cambria" w:eastAsia="Calibri" w:hAnsi="Cambria"/>
          <w:sz w:val="20"/>
          <w:szCs w:val="20"/>
          <w:bdr w:val="none" w:sz="0" w:space="0" w:color="auto"/>
        </w:rPr>
        <w:t>.</w:t>
      </w:r>
    </w:p>
    <w:p w14:paraId="7C7AE07F" w14:textId="77777777" w:rsidR="00773B3C" w:rsidRPr="00A51861" w:rsidRDefault="00773B3C" w:rsidP="008E4D36">
      <w:pPr>
        <w:ind w:left="720"/>
        <w:rPr>
          <w:rFonts w:ascii="Cambria" w:eastAsia="Cambria" w:hAnsi="Cambria" w:cs="Cambria"/>
          <w:color w:val="000000"/>
          <w:sz w:val="20"/>
          <w:szCs w:val="20"/>
          <w:u w:color="000000"/>
          <w:lang w:eastAsia="es-ES"/>
        </w:rPr>
      </w:pPr>
    </w:p>
    <w:p w14:paraId="11035D41" w14:textId="32C7E6D8" w:rsidR="00773B3C" w:rsidRPr="00A51861" w:rsidRDefault="00DD4DB2"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eastAsia="Calibri" w:hAnsi="Cambria" w:cs="Tahoma"/>
          <w:color w:val="000000"/>
          <w:sz w:val="20"/>
          <w:szCs w:val="20"/>
          <w:bdr w:val="none" w:sz="0" w:space="0" w:color="auto"/>
        </w:rPr>
      </w:pPr>
      <w:r>
        <w:rPr>
          <w:rFonts w:ascii="Cambria" w:eastAsia="Calibri" w:hAnsi="Cambria"/>
          <w:sz w:val="20"/>
          <w:szCs w:val="20"/>
          <w:bdr w:val="none" w:sz="0" w:space="0" w:color="auto"/>
        </w:rPr>
        <w:t>In cases</w:t>
      </w:r>
      <w:r w:rsidR="00E92985">
        <w:rPr>
          <w:rFonts w:ascii="Cambria" w:eastAsia="Calibri" w:hAnsi="Cambria"/>
          <w:sz w:val="20"/>
          <w:szCs w:val="20"/>
          <w:bdr w:val="none" w:sz="0" w:space="0" w:color="auto"/>
        </w:rPr>
        <w:t xml:space="preserve"> of </w:t>
      </w:r>
      <w:r w:rsidR="00103579">
        <w:rPr>
          <w:rFonts w:ascii="Cambria" w:eastAsia="Calibri" w:hAnsi="Cambria"/>
          <w:sz w:val="20"/>
          <w:szCs w:val="20"/>
          <w:bdr w:val="none" w:sz="0" w:space="0" w:color="auto"/>
        </w:rPr>
        <w:t xml:space="preserve">expulsion </w:t>
      </w:r>
      <w:r>
        <w:rPr>
          <w:rFonts w:ascii="Cambria" w:eastAsia="Calibri" w:hAnsi="Cambria"/>
          <w:sz w:val="20"/>
          <w:szCs w:val="20"/>
          <w:bdr w:val="none" w:sz="0" w:space="0" w:color="auto"/>
        </w:rPr>
        <w:t>of</w:t>
      </w:r>
      <w:r w:rsidR="00E92985">
        <w:rPr>
          <w:rFonts w:ascii="Cambria" w:eastAsia="Calibri" w:hAnsi="Cambria"/>
          <w:sz w:val="20"/>
          <w:szCs w:val="20"/>
          <w:bdr w:val="none" w:sz="0" w:space="0" w:color="auto"/>
        </w:rPr>
        <w:t xml:space="preserve"> </w:t>
      </w:r>
      <w:r w:rsidR="00347146">
        <w:rPr>
          <w:rFonts w:ascii="Cambria" w:eastAsia="Calibri" w:hAnsi="Cambria"/>
          <w:sz w:val="20"/>
          <w:szCs w:val="20"/>
          <w:bdr w:val="none" w:sz="0" w:space="0" w:color="auto"/>
        </w:rPr>
        <w:t>foreigners</w:t>
      </w:r>
      <w:r w:rsidR="00773B3C" w:rsidRPr="00A51861">
        <w:rPr>
          <w:rFonts w:ascii="Cambria" w:eastAsia="Calibri" w:hAnsi="Cambria"/>
          <w:sz w:val="20"/>
          <w:szCs w:val="20"/>
          <w:bdr w:val="none" w:sz="0" w:space="0" w:color="auto"/>
        </w:rPr>
        <w:t>,</w:t>
      </w:r>
      <w:r w:rsidR="009A4F91">
        <w:rPr>
          <w:rFonts w:ascii="Cambria" w:eastAsia="Calibri" w:hAnsi="Cambria"/>
          <w:sz w:val="20"/>
          <w:szCs w:val="20"/>
          <w:bdr w:val="none" w:sz="0" w:space="0" w:color="auto"/>
        </w:rPr>
        <w:t xml:space="preserve"> the </w:t>
      </w:r>
      <w:r>
        <w:rPr>
          <w:rFonts w:ascii="Cambria" w:eastAsia="Calibri" w:hAnsi="Cambria"/>
          <w:sz w:val="20"/>
          <w:szCs w:val="20"/>
          <w:bdr w:val="none" w:sz="0" w:space="0" w:color="auto"/>
        </w:rPr>
        <w:t>jurisprudence</w:t>
      </w:r>
      <w:r w:rsidR="00E92985">
        <w:rPr>
          <w:rFonts w:ascii="Cambria" w:eastAsia="Calibri" w:hAnsi="Cambria"/>
          <w:sz w:val="20"/>
          <w:szCs w:val="20"/>
          <w:bdr w:val="none" w:sz="0" w:space="0" w:color="auto"/>
        </w:rPr>
        <w:t xml:space="preserve"> of </w:t>
      </w:r>
      <w:r w:rsidR="00806D1B">
        <w:rPr>
          <w:rFonts w:ascii="Cambria" w:eastAsia="Calibri" w:hAnsi="Cambria"/>
          <w:sz w:val="20"/>
          <w:szCs w:val="20"/>
          <w:bdr w:val="none" w:sz="0" w:space="0" w:color="auto"/>
        </w:rPr>
        <w:t xml:space="preserve">the Court </w:t>
      </w:r>
      <w:r w:rsidR="00773B3C" w:rsidRPr="00A51861">
        <w:rPr>
          <w:rFonts w:ascii="Cambria" w:eastAsia="Calibri" w:hAnsi="Cambria" w:cs="Tahoma"/>
          <w:color w:val="000000"/>
          <w:sz w:val="20"/>
          <w:szCs w:val="20"/>
          <w:bdr w:val="none" w:sz="0" w:space="0" w:color="auto"/>
        </w:rPr>
        <w:t>ha</w:t>
      </w:r>
      <w:r>
        <w:rPr>
          <w:rFonts w:ascii="Cambria" w:eastAsia="Calibri" w:hAnsi="Cambria" w:cs="Tahoma"/>
          <w:color w:val="000000"/>
          <w:sz w:val="20"/>
          <w:szCs w:val="20"/>
          <w:bdr w:val="none" w:sz="0" w:space="0" w:color="auto"/>
        </w:rPr>
        <w:t>s</w:t>
      </w:r>
      <w:r w:rsidR="00773B3C" w:rsidRPr="00A51861">
        <w:rPr>
          <w:rFonts w:ascii="Cambria" w:eastAsia="Calibri" w:hAnsi="Cambria" w:cs="Tahoma"/>
          <w:color w:val="000000"/>
          <w:sz w:val="20"/>
          <w:szCs w:val="20"/>
          <w:bdr w:val="none" w:sz="0" w:space="0" w:color="auto"/>
        </w:rPr>
        <w:t xml:space="preserve"> </w:t>
      </w:r>
      <w:r>
        <w:rPr>
          <w:rFonts w:ascii="Cambria" w:eastAsia="Calibri" w:hAnsi="Cambria" w:cs="Tahoma"/>
          <w:color w:val="000000"/>
          <w:sz w:val="20"/>
          <w:szCs w:val="20"/>
          <w:bdr w:val="none" w:sz="0" w:space="0" w:color="auto"/>
        </w:rPr>
        <w:t>emphasized</w:t>
      </w:r>
      <w:r w:rsidR="009A4F91">
        <w:rPr>
          <w:rFonts w:ascii="Cambria" w:eastAsia="Calibri" w:hAnsi="Cambria" w:cs="Tahoma"/>
          <w:color w:val="000000"/>
          <w:sz w:val="20"/>
          <w:szCs w:val="20"/>
          <w:bdr w:val="none" w:sz="0" w:space="0" w:color="auto"/>
        </w:rPr>
        <w:t xml:space="preserve"> the </w:t>
      </w:r>
      <w:r w:rsidRPr="00A51861">
        <w:rPr>
          <w:rFonts w:ascii="Cambria" w:eastAsia="Calibri" w:hAnsi="Cambria" w:cs="Tahoma"/>
          <w:color w:val="000000"/>
          <w:sz w:val="20"/>
          <w:szCs w:val="20"/>
          <w:bdr w:val="none" w:sz="0" w:space="0" w:color="auto"/>
        </w:rPr>
        <w:t>obligation</w:t>
      </w:r>
      <w:r w:rsidR="00E92985">
        <w:rPr>
          <w:rFonts w:ascii="Cambria" w:eastAsia="Calibri" w:hAnsi="Cambria" w:cs="Tahoma"/>
          <w:color w:val="000000"/>
          <w:sz w:val="20"/>
          <w:szCs w:val="20"/>
          <w:bdr w:val="none" w:sz="0" w:space="0" w:color="auto"/>
        </w:rPr>
        <w:t xml:space="preserve"> of </w:t>
      </w:r>
      <w:r w:rsidR="002D6E83">
        <w:rPr>
          <w:rFonts w:ascii="Cambria" w:eastAsia="Calibri" w:hAnsi="Cambria" w:cs="Tahoma"/>
          <w:color w:val="000000"/>
          <w:sz w:val="20"/>
          <w:szCs w:val="20"/>
          <w:bdr w:val="none" w:sz="0" w:space="0" w:color="auto"/>
        </w:rPr>
        <w:t>the States</w:t>
      </w:r>
      <w:r w:rsidR="00E92985">
        <w:rPr>
          <w:rFonts w:ascii="Cambria" w:eastAsia="Calibri" w:hAnsi="Cambria" w:cs="Tahoma"/>
          <w:color w:val="000000"/>
          <w:sz w:val="20"/>
          <w:szCs w:val="20"/>
          <w:bdr w:val="none" w:sz="0" w:space="0" w:color="auto"/>
        </w:rPr>
        <w:t xml:space="preserve"> </w:t>
      </w:r>
      <w:r>
        <w:rPr>
          <w:rFonts w:ascii="Cambria" w:eastAsia="Calibri" w:hAnsi="Cambria" w:cs="Tahoma"/>
          <w:color w:val="000000"/>
          <w:sz w:val="20"/>
          <w:szCs w:val="20"/>
          <w:bdr w:val="none" w:sz="0" w:space="0" w:color="auto"/>
        </w:rPr>
        <w:t>to conduct</w:t>
      </w:r>
      <w:r w:rsidR="00773B3C" w:rsidRPr="00A51861">
        <w:rPr>
          <w:rFonts w:ascii="Cambria" w:eastAsia="Calibri" w:hAnsi="Cambria" w:cs="Tahoma"/>
          <w:color w:val="000000"/>
          <w:sz w:val="20"/>
          <w:szCs w:val="20"/>
          <w:bdr w:val="none" w:sz="0" w:space="0" w:color="auto"/>
        </w:rPr>
        <w:t xml:space="preserve"> individual</w:t>
      </w:r>
      <w:r>
        <w:rPr>
          <w:rFonts w:ascii="Cambria" w:eastAsia="Calibri" w:hAnsi="Cambria" w:cs="Tahoma"/>
          <w:color w:val="000000"/>
          <w:sz w:val="20"/>
          <w:szCs w:val="20"/>
          <w:bdr w:val="none" w:sz="0" w:space="0" w:color="auto"/>
        </w:rPr>
        <w:t xml:space="preserve"> proceeding</w:t>
      </w:r>
      <w:r w:rsidR="00773B3C" w:rsidRPr="00A51861">
        <w:rPr>
          <w:rFonts w:ascii="Cambria" w:eastAsia="Calibri" w:hAnsi="Cambria" w:cs="Tahoma"/>
          <w:color w:val="000000"/>
          <w:sz w:val="20"/>
          <w:szCs w:val="20"/>
          <w:bdr w:val="none" w:sz="0" w:space="0" w:color="auto"/>
        </w:rPr>
        <w:t xml:space="preserve">s </w:t>
      </w:r>
      <w:r>
        <w:rPr>
          <w:rFonts w:ascii="Cambria" w:eastAsia="Calibri" w:hAnsi="Cambria" w:cs="Tahoma"/>
          <w:color w:val="000000"/>
          <w:sz w:val="20"/>
          <w:szCs w:val="20"/>
          <w:bdr w:val="none" w:sz="0" w:space="0" w:color="auto"/>
        </w:rPr>
        <w:t>which assess the</w:t>
      </w:r>
      <w:r w:rsidR="00773B3C" w:rsidRPr="00A51861">
        <w:rPr>
          <w:rFonts w:ascii="Cambria" w:eastAsia="Calibri" w:hAnsi="Cambria" w:cs="Tahoma"/>
          <w:color w:val="000000"/>
          <w:sz w:val="20"/>
          <w:szCs w:val="20"/>
          <w:bdr w:val="none" w:sz="0" w:space="0" w:color="auto"/>
        </w:rPr>
        <w:t xml:space="preserve"> </w:t>
      </w:r>
      <w:r w:rsidRPr="00A51861">
        <w:rPr>
          <w:rFonts w:ascii="Cambria" w:eastAsia="Calibri" w:hAnsi="Cambria" w:cs="Tahoma"/>
          <w:color w:val="000000"/>
          <w:sz w:val="20"/>
          <w:szCs w:val="20"/>
          <w:bdr w:val="none" w:sz="0" w:space="0" w:color="auto"/>
        </w:rPr>
        <w:t>specific</w:t>
      </w:r>
      <w:r>
        <w:rPr>
          <w:rFonts w:ascii="Cambria" w:eastAsia="Calibri" w:hAnsi="Cambria" w:cs="Tahoma"/>
          <w:color w:val="000000"/>
          <w:sz w:val="20"/>
          <w:szCs w:val="20"/>
          <w:bdr w:val="none" w:sz="0" w:space="0" w:color="auto"/>
        </w:rPr>
        <w:t xml:space="preserve"> </w:t>
      </w:r>
      <w:r w:rsidRPr="00A51861">
        <w:rPr>
          <w:rFonts w:ascii="Cambria" w:eastAsia="Calibri" w:hAnsi="Cambria" w:cs="Tahoma"/>
          <w:color w:val="000000"/>
          <w:sz w:val="20"/>
          <w:szCs w:val="20"/>
          <w:bdr w:val="none" w:sz="0" w:space="0" w:color="auto"/>
        </w:rPr>
        <w:t>conditions</w:t>
      </w:r>
      <w:r w:rsidR="00773B3C" w:rsidRPr="00A51861">
        <w:rPr>
          <w:rFonts w:ascii="Cambria" w:eastAsia="Calibri" w:hAnsi="Cambria" w:cs="Tahoma"/>
          <w:color w:val="000000"/>
          <w:sz w:val="20"/>
          <w:szCs w:val="20"/>
          <w:bdr w:val="none" w:sz="0" w:space="0" w:color="auto"/>
        </w:rPr>
        <w:t xml:space="preserve"> </w:t>
      </w:r>
      <w:r>
        <w:rPr>
          <w:rFonts w:ascii="Cambria" w:eastAsia="Calibri" w:hAnsi="Cambria" w:cs="Tahoma"/>
          <w:color w:val="000000"/>
          <w:sz w:val="20"/>
          <w:szCs w:val="20"/>
          <w:bdr w:val="none" w:sz="0" w:space="0" w:color="auto"/>
        </w:rPr>
        <w:t>of persons who are subjected to proceedings</w:t>
      </w:r>
      <w:r w:rsidR="00773B3C" w:rsidRPr="00A51861">
        <w:rPr>
          <w:rFonts w:ascii="Cambria" w:eastAsia="Calibri" w:hAnsi="Cambria" w:cs="Tahoma"/>
          <w:color w:val="000000"/>
          <w:sz w:val="20"/>
          <w:szCs w:val="20"/>
          <w:bdr w:val="none" w:sz="0" w:space="0" w:color="auto"/>
        </w:rPr>
        <w:t xml:space="preserve">, </w:t>
      </w:r>
      <w:r>
        <w:rPr>
          <w:rFonts w:ascii="Cambria" w:eastAsia="Calibri" w:hAnsi="Cambria" w:cs="Tahoma"/>
          <w:color w:val="000000"/>
          <w:sz w:val="20"/>
          <w:szCs w:val="20"/>
          <w:bdr w:val="none" w:sz="0" w:space="0" w:color="auto"/>
        </w:rPr>
        <w:t>to analyze their</w:t>
      </w:r>
      <w:r w:rsidR="00773B3C" w:rsidRPr="00A51861">
        <w:rPr>
          <w:rFonts w:ascii="Cambria" w:eastAsia="Calibri" w:hAnsi="Cambria" w:cs="Tahoma"/>
          <w:color w:val="000000"/>
          <w:sz w:val="20"/>
          <w:szCs w:val="20"/>
          <w:bdr w:val="none" w:sz="0" w:space="0" w:color="auto"/>
        </w:rPr>
        <w:t xml:space="preserve"> </w:t>
      </w:r>
      <w:r w:rsidR="00E92985">
        <w:rPr>
          <w:rFonts w:ascii="Cambria" w:eastAsia="Calibri" w:hAnsi="Cambria" w:cs="Tahoma"/>
          <w:color w:val="000000"/>
          <w:sz w:val="20"/>
          <w:szCs w:val="20"/>
          <w:bdr w:val="none" w:sz="0" w:space="0" w:color="auto"/>
        </w:rPr>
        <w:t>situation</w:t>
      </w:r>
      <w:r w:rsidR="00773B3C" w:rsidRPr="00A51861">
        <w:rPr>
          <w:rFonts w:ascii="Cambria" w:eastAsia="Calibri" w:hAnsi="Cambria" w:cs="Tahoma"/>
          <w:color w:val="000000"/>
          <w:sz w:val="20"/>
          <w:szCs w:val="20"/>
          <w:bdr w:val="none" w:sz="0" w:space="0" w:color="auto"/>
        </w:rPr>
        <w:t xml:space="preserve"> </w:t>
      </w:r>
      <w:r>
        <w:rPr>
          <w:rFonts w:ascii="Cambria" w:eastAsia="Calibri" w:hAnsi="Cambria" w:cs="Tahoma"/>
          <w:color w:val="000000"/>
          <w:sz w:val="20"/>
          <w:szCs w:val="20"/>
          <w:bdr w:val="none" w:sz="0" w:space="0" w:color="auto"/>
        </w:rPr>
        <w:t>in the country where they shall be</w:t>
      </w:r>
      <w:r w:rsidR="00773B3C" w:rsidRPr="00A51861">
        <w:rPr>
          <w:rFonts w:ascii="Cambria" w:eastAsia="Calibri" w:hAnsi="Cambria" w:cs="Tahoma"/>
          <w:color w:val="000000"/>
          <w:sz w:val="20"/>
          <w:szCs w:val="20"/>
          <w:bdr w:val="none" w:sz="0" w:space="0" w:color="auto"/>
        </w:rPr>
        <w:t xml:space="preserve"> deport</w:t>
      </w:r>
      <w:r>
        <w:rPr>
          <w:rFonts w:ascii="Cambria" w:eastAsia="Calibri" w:hAnsi="Cambria" w:cs="Tahoma"/>
          <w:color w:val="000000"/>
          <w:sz w:val="20"/>
          <w:szCs w:val="20"/>
          <w:bdr w:val="none" w:sz="0" w:space="0" w:color="auto"/>
        </w:rPr>
        <w:t>ed</w:t>
      </w:r>
      <w:r w:rsidR="00E92985">
        <w:rPr>
          <w:rFonts w:ascii="Cambria" w:eastAsia="Calibri" w:hAnsi="Cambria" w:cs="Tahoma"/>
          <w:color w:val="000000"/>
          <w:sz w:val="20"/>
          <w:szCs w:val="20"/>
          <w:bdr w:val="none" w:sz="0" w:space="0" w:color="auto"/>
        </w:rPr>
        <w:t xml:space="preserve"> and that the </w:t>
      </w:r>
      <w:r w:rsidR="00F92BA8">
        <w:rPr>
          <w:rFonts w:ascii="Cambria" w:eastAsia="Calibri" w:hAnsi="Cambria" w:cs="Tahoma"/>
          <w:color w:val="000000"/>
          <w:sz w:val="20"/>
          <w:szCs w:val="20"/>
          <w:bdr w:val="none" w:sz="0" w:space="0" w:color="auto"/>
        </w:rPr>
        <w:t xml:space="preserve">decision </w:t>
      </w:r>
      <w:r>
        <w:rPr>
          <w:rFonts w:ascii="Cambria" w:eastAsia="Calibri" w:hAnsi="Cambria" w:cs="Tahoma"/>
          <w:color w:val="000000"/>
          <w:sz w:val="20"/>
          <w:szCs w:val="20"/>
          <w:bdr w:val="none" w:sz="0" w:space="0" w:color="auto"/>
        </w:rPr>
        <w:t>not be based on a</w:t>
      </w:r>
      <w:r w:rsidR="00773B3C" w:rsidRPr="00A51861">
        <w:rPr>
          <w:rFonts w:ascii="Cambria" w:eastAsia="Calibri" w:hAnsi="Cambria" w:cs="Tahoma"/>
          <w:color w:val="000000"/>
          <w:sz w:val="20"/>
          <w:szCs w:val="20"/>
          <w:bdr w:val="none" w:sz="0" w:space="0" w:color="auto"/>
        </w:rPr>
        <w:t xml:space="preserve"> </w:t>
      </w:r>
      <w:r w:rsidR="00B920CA">
        <w:rPr>
          <w:rFonts w:ascii="Cambria" w:eastAsia="Calibri" w:hAnsi="Cambria" w:cs="Tahoma"/>
          <w:color w:val="000000"/>
          <w:sz w:val="20"/>
          <w:szCs w:val="20"/>
          <w:bdr w:val="none" w:sz="0" w:space="0" w:color="auto"/>
        </w:rPr>
        <w:t xml:space="preserve">criterion </w:t>
      </w:r>
      <w:r w:rsidR="00E92985">
        <w:rPr>
          <w:rFonts w:ascii="Cambria" w:eastAsia="Calibri" w:hAnsi="Cambria" w:cs="Tahoma"/>
          <w:color w:val="000000"/>
          <w:sz w:val="20"/>
          <w:szCs w:val="20"/>
          <w:bdr w:val="none" w:sz="0" w:space="0" w:color="auto"/>
        </w:rPr>
        <w:t xml:space="preserve">of </w:t>
      </w:r>
      <w:r w:rsidRPr="00A51861">
        <w:rPr>
          <w:rFonts w:ascii="Cambria" w:eastAsia="Calibri" w:hAnsi="Cambria" w:cs="Tahoma"/>
          <w:color w:val="000000"/>
          <w:sz w:val="20"/>
          <w:szCs w:val="20"/>
          <w:bdr w:val="none" w:sz="0" w:space="0" w:color="auto"/>
        </w:rPr>
        <w:t>discrimination</w:t>
      </w:r>
      <w:r w:rsidR="00773B3C" w:rsidRPr="00A51861">
        <w:rPr>
          <w:rFonts w:ascii="Cambria" w:eastAsia="Calibri" w:hAnsi="Cambria" w:cs="Tahoma"/>
          <w:color w:val="000000"/>
          <w:sz w:val="20"/>
          <w:szCs w:val="20"/>
          <w:bdr w:val="none" w:sz="0" w:space="0" w:color="auto"/>
          <w:vertAlign w:val="superscript"/>
        </w:rPr>
        <w:footnoteReference w:id="187"/>
      </w:r>
      <w:r w:rsidR="00773B3C" w:rsidRPr="00A51861">
        <w:rPr>
          <w:rFonts w:ascii="Cambria" w:eastAsia="Calibri" w:hAnsi="Cambria" w:cs="Tahoma"/>
          <w:color w:val="000000"/>
          <w:sz w:val="20"/>
          <w:szCs w:val="20"/>
          <w:bdr w:val="none" w:sz="0" w:space="0" w:color="auto"/>
        </w:rPr>
        <w:t>.</w:t>
      </w:r>
      <w:r w:rsidR="00773B3C" w:rsidRPr="00A51861">
        <w:rPr>
          <w:rFonts w:ascii="Cambria" w:hAnsi="Cambria" w:cs="Tahoma"/>
          <w:color w:val="000000"/>
          <w:sz w:val="20"/>
          <w:szCs w:val="20"/>
        </w:rPr>
        <w:t xml:space="preserve"> </w:t>
      </w:r>
    </w:p>
    <w:p w14:paraId="491D367E" w14:textId="77777777" w:rsidR="00302496" w:rsidRPr="00A51861" w:rsidRDefault="00302496" w:rsidP="008E4D36">
      <w:pPr>
        <w:pStyle w:val="ListParagraph"/>
        <w:rPr>
          <w:rFonts w:eastAsia="Calibri" w:cs="Tahoma"/>
          <w:sz w:val="20"/>
          <w:szCs w:val="20"/>
          <w:bdr w:val="none" w:sz="0" w:space="0" w:color="auto"/>
        </w:rPr>
      </w:pPr>
    </w:p>
    <w:p w14:paraId="00C05C3D" w14:textId="0334A1AD" w:rsidR="00E41CAE" w:rsidRPr="00A51861" w:rsidRDefault="00DD4DB2"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eastAsia="Calibri" w:hAnsi="Cambria" w:cs="Tahoma"/>
          <w:color w:val="000000"/>
          <w:sz w:val="20"/>
          <w:szCs w:val="20"/>
          <w:bdr w:val="none" w:sz="0" w:space="0" w:color="auto"/>
        </w:rPr>
      </w:pPr>
      <w:r>
        <w:rPr>
          <w:rFonts w:ascii="Cambria" w:eastAsia="Calibri" w:hAnsi="Cambria" w:cs="Tahoma"/>
          <w:color w:val="000000"/>
          <w:sz w:val="20"/>
          <w:szCs w:val="20"/>
          <w:bdr w:val="none" w:sz="0" w:space="0" w:color="auto"/>
        </w:rPr>
        <w:t xml:space="preserve">The Inter-American </w:t>
      </w:r>
      <w:r w:rsidR="00B04009">
        <w:rPr>
          <w:rFonts w:ascii="Cambria" w:eastAsia="Calibri" w:hAnsi="Cambria" w:cs="Tahoma"/>
          <w:color w:val="000000"/>
          <w:sz w:val="20"/>
          <w:szCs w:val="20"/>
          <w:bdr w:val="none" w:sz="0" w:space="0" w:color="auto"/>
        </w:rPr>
        <w:t>Court</w:t>
      </w:r>
      <w:r w:rsidR="00E41CAE" w:rsidRPr="00A51861">
        <w:rPr>
          <w:rFonts w:ascii="Cambria" w:eastAsia="Calibri" w:hAnsi="Cambria" w:cs="Tahoma"/>
          <w:color w:val="000000"/>
          <w:sz w:val="20"/>
          <w:szCs w:val="20"/>
          <w:bdr w:val="none" w:sz="0" w:space="0" w:color="auto"/>
        </w:rPr>
        <w:t xml:space="preserve"> ha</w:t>
      </w:r>
      <w:r>
        <w:rPr>
          <w:rFonts w:ascii="Cambria" w:eastAsia="Calibri" w:hAnsi="Cambria" w:cs="Tahoma"/>
          <w:color w:val="000000"/>
          <w:sz w:val="20"/>
          <w:szCs w:val="20"/>
          <w:bdr w:val="none" w:sz="0" w:space="0" w:color="auto"/>
        </w:rPr>
        <w:t>s</w:t>
      </w:r>
      <w:r w:rsidR="00E41CAE" w:rsidRPr="00A51861">
        <w:rPr>
          <w:rFonts w:ascii="Cambria" w:eastAsia="Calibri" w:hAnsi="Cambria" w:cs="Tahoma"/>
          <w:color w:val="000000"/>
          <w:sz w:val="20"/>
          <w:szCs w:val="20"/>
          <w:bdr w:val="none" w:sz="0" w:space="0" w:color="auto"/>
        </w:rPr>
        <w:t xml:space="preserve"> </w:t>
      </w:r>
      <w:r>
        <w:rPr>
          <w:rFonts w:ascii="Cambria" w:eastAsia="Calibri" w:hAnsi="Cambria" w:cs="Tahoma"/>
          <w:color w:val="000000"/>
          <w:sz w:val="20"/>
          <w:szCs w:val="20"/>
          <w:bdr w:val="none" w:sz="0" w:space="0" w:color="auto"/>
        </w:rPr>
        <w:t>referred</w:t>
      </w:r>
      <w:r w:rsidR="00E41CAE" w:rsidRPr="00A51861">
        <w:rPr>
          <w:rFonts w:ascii="Cambria" w:eastAsia="Calibri" w:hAnsi="Cambria" w:cs="Tahoma"/>
          <w:color w:val="000000"/>
          <w:sz w:val="20"/>
          <w:szCs w:val="20"/>
          <w:bdr w:val="none" w:sz="0" w:space="0" w:color="auto"/>
        </w:rPr>
        <w:t xml:space="preserve"> </w:t>
      </w:r>
      <w:r>
        <w:rPr>
          <w:rFonts w:ascii="Cambria" w:eastAsia="Calibri" w:hAnsi="Cambria" w:cs="Tahoma"/>
          <w:color w:val="000000"/>
          <w:sz w:val="20"/>
          <w:szCs w:val="20"/>
          <w:bdr w:val="none" w:sz="0" w:space="0" w:color="auto"/>
        </w:rPr>
        <w:t>that according to the set forth in</w:t>
      </w:r>
      <w:r w:rsidR="009A4F91">
        <w:rPr>
          <w:rFonts w:ascii="Cambria" w:eastAsia="Calibri" w:hAnsi="Cambria" w:cs="Tahoma"/>
          <w:color w:val="000000"/>
          <w:sz w:val="20"/>
          <w:szCs w:val="20"/>
          <w:bdr w:val="none" w:sz="0" w:space="0" w:color="auto"/>
        </w:rPr>
        <w:t xml:space="preserve"> the </w:t>
      </w:r>
      <w:r w:rsidR="00CB4E23">
        <w:rPr>
          <w:rFonts w:ascii="Cambria" w:eastAsia="Calibri" w:hAnsi="Cambria" w:cs="Tahoma"/>
          <w:color w:val="000000"/>
          <w:sz w:val="20"/>
          <w:szCs w:val="20"/>
          <w:bdr w:val="none" w:sz="0" w:space="0" w:color="auto"/>
        </w:rPr>
        <w:t>Convention</w:t>
      </w:r>
      <w:r w:rsidR="00E41CAE" w:rsidRPr="00A51861">
        <w:rPr>
          <w:rFonts w:ascii="Cambria" w:eastAsia="Calibri" w:hAnsi="Cambria" w:cs="Tahoma"/>
          <w:color w:val="000000"/>
          <w:sz w:val="20"/>
          <w:szCs w:val="20"/>
          <w:bdr w:val="none" w:sz="0" w:space="0" w:color="auto"/>
        </w:rPr>
        <w:t xml:space="preserve"> </w:t>
      </w:r>
      <w:r>
        <w:rPr>
          <w:rFonts w:ascii="Cambria" w:eastAsia="Calibri" w:hAnsi="Cambria" w:cs="Tahoma"/>
          <w:bCs/>
          <w:color w:val="000000"/>
          <w:sz w:val="20"/>
          <w:szCs w:val="20"/>
          <w:bdr w:val="none" w:sz="0" w:space="0" w:color="auto"/>
        </w:rPr>
        <w:t>on the Status of Refugees</w:t>
      </w:r>
      <w:r w:rsidR="00E92985">
        <w:rPr>
          <w:rFonts w:ascii="Cambria" w:eastAsia="Calibri" w:hAnsi="Cambria" w:cs="Tahoma"/>
          <w:bCs/>
          <w:color w:val="000000"/>
          <w:sz w:val="20"/>
          <w:szCs w:val="20"/>
          <w:bdr w:val="none" w:sz="0" w:space="0" w:color="auto"/>
        </w:rPr>
        <w:t xml:space="preserve"> of </w:t>
      </w:r>
      <w:r w:rsidR="00E41CAE" w:rsidRPr="00A51861">
        <w:rPr>
          <w:rFonts w:ascii="Cambria" w:eastAsia="Calibri" w:hAnsi="Cambria" w:cs="Tahoma"/>
          <w:bCs/>
          <w:color w:val="000000"/>
          <w:sz w:val="20"/>
          <w:szCs w:val="20"/>
          <w:bdr w:val="none" w:sz="0" w:space="0" w:color="auto"/>
        </w:rPr>
        <w:t>1951</w:t>
      </w:r>
      <w:r w:rsidR="00590144" w:rsidRPr="00A51861">
        <w:rPr>
          <w:rStyle w:val="FootnoteReference"/>
          <w:rFonts w:ascii="Cambria" w:eastAsia="Calibri" w:hAnsi="Cambria" w:cs="Tahoma"/>
          <w:bCs/>
          <w:color w:val="000000"/>
          <w:sz w:val="20"/>
          <w:szCs w:val="20"/>
          <w:bdr w:val="none" w:sz="0" w:space="0" w:color="auto"/>
        </w:rPr>
        <w:footnoteReference w:id="188"/>
      </w:r>
      <w:r w:rsidR="00590144" w:rsidRPr="00A51861">
        <w:rPr>
          <w:rFonts w:ascii="Cambria" w:eastAsia="Calibri" w:hAnsi="Cambria" w:cs="Tahoma"/>
          <w:bCs/>
          <w:color w:val="000000"/>
          <w:sz w:val="20"/>
          <w:szCs w:val="20"/>
          <w:bdr w:val="none" w:sz="0" w:space="0" w:color="auto"/>
        </w:rPr>
        <w:t>:</w:t>
      </w:r>
    </w:p>
    <w:p w14:paraId="6E9F492E" w14:textId="77777777" w:rsidR="00E41CAE" w:rsidRPr="00A51861" w:rsidRDefault="00E41CAE" w:rsidP="008E4D36">
      <w:pPr>
        <w:pStyle w:val="ListParagraph"/>
        <w:rPr>
          <w:rFonts w:asciiTheme="majorHAnsi" w:hAnsiTheme="majorHAnsi"/>
          <w:sz w:val="20"/>
          <w:szCs w:val="20"/>
        </w:rPr>
      </w:pPr>
    </w:p>
    <w:p w14:paraId="6FC74C51" w14:textId="0A87831F" w:rsidR="00E41CAE" w:rsidRPr="00A51861" w:rsidRDefault="00E41CAE" w:rsidP="008E4D36">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eastAsia="Calibri" w:hAnsiTheme="majorHAnsi" w:cs="Tahoma"/>
          <w:color w:val="000000"/>
          <w:sz w:val="18"/>
          <w:szCs w:val="20"/>
          <w:bdr w:val="none" w:sz="0" w:space="0" w:color="auto"/>
        </w:rPr>
      </w:pPr>
      <w:r w:rsidRPr="00A51861">
        <w:rPr>
          <w:rFonts w:asciiTheme="majorHAnsi" w:hAnsiTheme="majorHAnsi"/>
          <w:sz w:val="18"/>
          <w:szCs w:val="20"/>
        </w:rPr>
        <w:t xml:space="preserve">(…) </w:t>
      </w:r>
      <w:r w:rsidR="00DD4DB2">
        <w:rPr>
          <w:rFonts w:asciiTheme="majorHAnsi" w:eastAsia="Calibri" w:hAnsiTheme="majorHAnsi" w:cs="Tahoma"/>
          <w:bCs/>
          <w:color w:val="000000"/>
          <w:sz w:val="18"/>
          <w:szCs w:val="20"/>
          <w:bdr w:val="none" w:sz="0" w:space="0" w:color="auto"/>
        </w:rPr>
        <w:t>a</w:t>
      </w:r>
      <w:r w:rsidRPr="00A51861">
        <w:rPr>
          <w:rFonts w:asciiTheme="majorHAnsi" w:eastAsia="Calibri" w:hAnsiTheme="majorHAnsi" w:cs="Tahoma"/>
          <w:bCs/>
          <w:color w:val="000000"/>
          <w:sz w:val="18"/>
          <w:szCs w:val="20"/>
          <w:bdr w:val="none" w:sz="0" w:space="0" w:color="auto"/>
        </w:rPr>
        <w:t xml:space="preserve"> </w:t>
      </w:r>
      <w:r w:rsidR="00EC7A58">
        <w:rPr>
          <w:rFonts w:asciiTheme="majorHAnsi" w:eastAsia="Calibri" w:hAnsiTheme="majorHAnsi" w:cs="Tahoma"/>
          <w:bCs/>
          <w:color w:val="000000"/>
          <w:sz w:val="18"/>
          <w:szCs w:val="20"/>
          <w:bdr w:val="none" w:sz="0" w:space="0" w:color="auto"/>
        </w:rPr>
        <w:t>person</w:t>
      </w:r>
      <w:r w:rsidR="00D70A85">
        <w:rPr>
          <w:rFonts w:asciiTheme="majorHAnsi" w:eastAsia="Calibri" w:hAnsiTheme="majorHAnsi" w:cs="Tahoma"/>
          <w:bCs/>
          <w:color w:val="000000"/>
          <w:sz w:val="18"/>
          <w:szCs w:val="20"/>
          <w:bdr w:val="none" w:sz="0" w:space="0" w:color="auto"/>
        </w:rPr>
        <w:t xml:space="preserve"> </w:t>
      </w:r>
      <w:r w:rsidR="00DD4DB2">
        <w:rPr>
          <w:rFonts w:asciiTheme="majorHAnsi" w:eastAsia="Calibri" w:hAnsiTheme="majorHAnsi" w:cs="Tahoma"/>
          <w:bCs/>
          <w:color w:val="000000"/>
          <w:sz w:val="18"/>
          <w:szCs w:val="20"/>
          <w:bdr w:val="none" w:sz="0" w:space="0" w:color="auto"/>
        </w:rPr>
        <w:t>is a refugee as soon as he or she</w:t>
      </w:r>
      <w:r w:rsidRPr="00A51861">
        <w:rPr>
          <w:rFonts w:asciiTheme="majorHAnsi" w:eastAsia="Calibri" w:hAnsiTheme="majorHAnsi" w:cs="Tahoma"/>
          <w:bCs/>
          <w:color w:val="000000"/>
          <w:sz w:val="18"/>
          <w:szCs w:val="20"/>
          <w:bdr w:val="none" w:sz="0" w:space="0" w:color="auto"/>
        </w:rPr>
        <w:t xml:space="preserve"> </w:t>
      </w:r>
      <w:r w:rsidR="00DD4DB2">
        <w:rPr>
          <w:rFonts w:asciiTheme="majorHAnsi" w:eastAsia="Calibri" w:hAnsiTheme="majorHAnsi" w:cs="Tahoma"/>
          <w:bCs/>
          <w:color w:val="000000"/>
          <w:sz w:val="18"/>
          <w:szCs w:val="20"/>
          <w:bdr w:val="none" w:sz="0" w:space="0" w:color="auto"/>
        </w:rPr>
        <w:t>fulfills the</w:t>
      </w:r>
      <w:r w:rsidRPr="00A51861">
        <w:rPr>
          <w:rFonts w:asciiTheme="majorHAnsi" w:eastAsia="Calibri" w:hAnsiTheme="majorHAnsi" w:cs="Tahoma"/>
          <w:bCs/>
          <w:color w:val="000000"/>
          <w:sz w:val="18"/>
          <w:szCs w:val="20"/>
          <w:bdr w:val="none" w:sz="0" w:space="0" w:color="auto"/>
        </w:rPr>
        <w:t xml:space="preserve"> </w:t>
      </w:r>
      <w:r w:rsidR="00EC7A58">
        <w:rPr>
          <w:rFonts w:asciiTheme="majorHAnsi" w:eastAsia="Calibri" w:hAnsiTheme="majorHAnsi" w:cs="Tahoma"/>
          <w:bCs/>
          <w:color w:val="000000"/>
          <w:sz w:val="18"/>
          <w:szCs w:val="20"/>
          <w:bdr w:val="none" w:sz="0" w:space="0" w:color="auto"/>
        </w:rPr>
        <w:t>requirement</w:t>
      </w:r>
      <w:r w:rsidRPr="00A51861">
        <w:rPr>
          <w:rFonts w:asciiTheme="majorHAnsi" w:eastAsia="Calibri" w:hAnsiTheme="majorHAnsi" w:cs="Tahoma"/>
          <w:bCs/>
          <w:color w:val="000000"/>
          <w:sz w:val="18"/>
          <w:szCs w:val="20"/>
          <w:bdr w:val="none" w:sz="0" w:space="0" w:color="auto"/>
        </w:rPr>
        <w:t xml:space="preserve">s </w:t>
      </w:r>
      <w:r w:rsidR="004E09A3">
        <w:rPr>
          <w:rFonts w:asciiTheme="majorHAnsi" w:eastAsia="Calibri" w:hAnsiTheme="majorHAnsi" w:cs="Tahoma"/>
          <w:bCs/>
          <w:color w:val="000000"/>
          <w:sz w:val="18"/>
          <w:szCs w:val="20"/>
          <w:bdr w:val="none" w:sz="0" w:space="0" w:color="auto"/>
        </w:rPr>
        <w:t>enunciated in the</w:t>
      </w:r>
      <w:r w:rsidR="009A4F91">
        <w:rPr>
          <w:rFonts w:asciiTheme="majorHAnsi" w:eastAsia="Calibri" w:hAnsiTheme="majorHAnsi" w:cs="Tahoma"/>
          <w:bCs/>
          <w:color w:val="000000"/>
          <w:sz w:val="18"/>
          <w:szCs w:val="20"/>
          <w:bdr w:val="none" w:sz="0" w:space="0" w:color="auto"/>
        </w:rPr>
        <w:t xml:space="preserve"> </w:t>
      </w:r>
      <w:r w:rsidR="004E09A3" w:rsidRPr="00A51861">
        <w:rPr>
          <w:rFonts w:asciiTheme="majorHAnsi" w:eastAsia="Calibri" w:hAnsiTheme="majorHAnsi" w:cs="Tahoma"/>
          <w:bCs/>
          <w:color w:val="000000"/>
          <w:sz w:val="18"/>
          <w:szCs w:val="20"/>
          <w:bdr w:val="none" w:sz="0" w:space="0" w:color="auto"/>
        </w:rPr>
        <w:t>definition</w:t>
      </w:r>
      <w:r w:rsidRPr="00A51861">
        <w:rPr>
          <w:rFonts w:asciiTheme="majorHAnsi" w:eastAsia="Calibri" w:hAnsiTheme="majorHAnsi" w:cs="Tahoma"/>
          <w:bCs/>
          <w:color w:val="000000"/>
          <w:sz w:val="18"/>
          <w:szCs w:val="20"/>
          <w:bdr w:val="none" w:sz="0" w:space="0" w:color="auto"/>
        </w:rPr>
        <w:t xml:space="preserve">, </w:t>
      </w:r>
      <w:r w:rsidR="004E09A3">
        <w:rPr>
          <w:rFonts w:asciiTheme="majorHAnsi" w:eastAsia="Calibri" w:hAnsiTheme="majorHAnsi" w:cs="Tahoma"/>
          <w:bCs/>
          <w:color w:val="000000"/>
          <w:sz w:val="18"/>
          <w:szCs w:val="20"/>
          <w:bdr w:val="none" w:sz="0" w:space="0" w:color="auto"/>
        </w:rPr>
        <w:t>which necessarily occurs</w:t>
      </w:r>
      <w:r w:rsidRPr="00A51861">
        <w:rPr>
          <w:rFonts w:asciiTheme="majorHAnsi" w:eastAsia="Calibri" w:hAnsiTheme="majorHAnsi" w:cs="Tahoma"/>
          <w:bCs/>
          <w:color w:val="000000"/>
          <w:sz w:val="18"/>
          <w:szCs w:val="20"/>
          <w:bdr w:val="none" w:sz="0" w:space="0" w:color="auto"/>
        </w:rPr>
        <w:t xml:space="preserve"> </w:t>
      </w:r>
      <w:r w:rsidR="004E09A3">
        <w:rPr>
          <w:rFonts w:asciiTheme="majorHAnsi" w:eastAsia="Calibri" w:hAnsiTheme="majorHAnsi" w:cs="Tahoma"/>
          <w:bCs/>
          <w:color w:val="000000"/>
          <w:sz w:val="18"/>
          <w:szCs w:val="20"/>
          <w:bdr w:val="none" w:sz="0" w:space="0" w:color="auto"/>
        </w:rPr>
        <w:t xml:space="preserve">before his or her </w:t>
      </w:r>
      <w:r w:rsidR="004E09A3" w:rsidRPr="00A51861">
        <w:rPr>
          <w:rFonts w:asciiTheme="majorHAnsi" w:eastAsia="Calibri" w:hAnsiTheme="majorHAnsi" w:cs="Tahoma"/>
          <w:bCs/>
          <w:color w:val="000000"/>
          <w:sz w:val="18"/>
          <w:szCs w:val="20"/>
          <w:bdr w:val="none" w:sz="0" w:space="0" w:color="auto"/>
        </w:rPr>
        <w:t>condition</w:t>
      </w:r>
      <w:r w:rsidR="004E09A3">
        <w:rPr>
          <w:rFonts w:asciiTheme="majorHAnsi" w:eastAsia="Calibri" w:hAnsiTheme="majorHAnsi" w:cs="Tahoma"/>
          <w:bCs/>
          <w:color w:val="000000"/>
          <w:sz w:val="18"/>
          <w:szCs w:val="20"/>
          <w:bdr w:val="none" w:sz="0" w:space="0" w:color="auto"/>
        </w:rPr>
        <w:t xml:space="preserve"> of </w:t>
      </w:r>
      <w:r w:rsidR="004E09A3" w:rsidRPr="00A51861">
        <w:rPr>
          <w:rFonts w:asciiTheme="majorHAnsi" w:eastAsia="Calibri" w:hAnsiTheme="majorHAnsi" w:cs="Tahoma"/>
          <w:bCs/>
          <w:color w:val="000000"/>
          <w:sz w:val="18"/>
          <w:szCs w:val="20"/>
          <w:bdr w:val="none" w:sz="0" w:space="0" w:color="auto"/>
        </w:rPr>
        <w:t>refug</w:t>
      </w:r>
      <w:r w:rsidR="004E09A3">
        <w:rPr>
          <w:rFonts w:asciiTheme="majorHAnsi" w:eastAsia="Calibri" w:hAnsiTheme="majorHAnsi" w:cs="Tahoma"/>
          <w:bCs/>
          <w:color w:val="000000"/>
          <w:sz w:val="18"/>
          <w:szCs w:val="20"/>
          <w:bdr w:val="none" w:sz="0" w:space="0" w:color="auto"/>
        </w:rPr>
        <w:t>ee is</w:t>
      </w:r>
      <w:r w:rsidRPr="00A51861">
        <w:rPr>
          <w:rFonts w:asciiTheme="majorHAnsi" w:eastAsia="Calibri" w:hAnsiTheme="majorHAnsi" w:cs="Tahoma"/>
          <w:bCs/>
          <w:color w:val="000000"/>
          <w:sz w:val="18"/>
          <w:szCs w:val="20"/>
          <w:bdr w:val="none" w:sz="0" w:space="0" w:color="auto"/>
        </w:rPr>
        <w:t xml:space="preserve"> formal</w:t>
      </w:r>
      <w:r w:rsidR="0029564F">
        <w:rPr>
          <w:rFonts w:asciiTheme="majorHAnsi" w:eastAsia="Calibri" w:hAnsiTheme="majorHAnsi" w:cs="Tahoma"/>
          <w:bCs/>
          <w:color w:val="000000"/>
          <w:sz w:val="18"/>
          <w:szCs w:val="20"/>
          <w:bdr w:val="none" w:sz="0" w:space="0" w:color="auto"/>
        </w:rPr>
        <w:t>ly</w:t>
      </w:r>
      <w:r w:rsidR="004E09A3" w:rsidRPr="004E09A3">
        <w:rPr>
          <w:rFonts w:asciiTheme="majorHAnsi" w:eastAsia="Calibri" w:hAnsiTheme="majorHAnsi" w:cs="Tahoma"/>
          <w:bCs/>
          <w:color w:val="000000"/>
          <w:sz w:val="18"/>
          <w:szCs w:val="20"/>
          <w:bdr w:val="none" w:sz="0" w:space="0" w:color="auto"/>
        </w:rPr>
        <w:t xml:space="preserve"> </w:t>
      </w:r>
      <w:r w:rsidR="004E09A3" w:rsidRPr="00A51861">
        <w:rPr>
          <w:rFonts w:asciiTheme="majorHAnsi" w:eastAsia="Calibri" w:hAnsiTheme="majorHAnsi" w:cs="Tahoma"/>
          <w:bCs/>
          <w:color w:val="000000"/>
          <w:sz w:val="18"/>
          <w:szCs w:val="20"/>
          <w:bdr w:val="none" w:sz="0" w:space="0" w:color="auto"/>
        </w:rPr>
        <w:t>determine</w:t>
      </w:r>
      <w:r w:rsidR="004E09A3">
        <w:rPr>
          <w:rFonts w:asciiTheme="majorHAnsi" w:eastAsia="Calibri" w:hAnsiTheme="majorHAnsi" w:cs="Tahoma"/>
          <w:bCs/>
          <w:color w:val="000000"/>
          <w:sz w:val="18"/>
          <w:szCs w:val="20"/>
          <w:bdr w:val="none" w:sz="0" w:space="0" w:color="auto"/>
        </w:rPr>
        <w:t>d</w:t>
      </w:r>
      <w:r w:rsidRPr="00A51861">
        <w:rPr>
          <w:rFonts w:asciiTheme="majorHAnsi" w:eastAsia="Calibri" w:hAnsiTheme="majorHAnsi" w:cs="Tahoma"/>
          <w:bCs/>
          <w:color w:val="000000"/>
          <w:sz w:val="18"/>
          <w:szCs w:val="20"/>
          <w:bdr w:val="none" w:sz="0" w:space="0" w:color="auto"/>
        </w:rPr>
        <w:t xml:space="preserve">. </w:t>
      </w:r>
      <w:r w:rsidR="004E09A3">
        <w:rPr>
          <w:rFonts w:asciiTheme="majorHAnsi" w:eastAsia="Calibri" w:hAnsiTheme="majorHAnsi" w:cs="Tahoma"/>
          <w:bCs/>
          <w:color w:val="000000"/>
          <w:sz w:val="18"/>
          <w:szCs w:val="20"/>
          <w:bdr w:val="none" w:sz="0" w:space="0" w:color="auto"/>
        </w:rPr>
        <w:t>Thus</w:t>
      </w:r>
      <w:r w:rsidRPr="00A51861">
        <w:rPr>
          <w:rFonts w:asciiTheme="majorHAnsi" w:eastAsia="Calibri" w:hAnsiTheme="majorHAnsi" w:cs="Tahoma"/>
          <w:bCs/>
          <w:color w:val="000000"/>
          <w:sz w:val="18"/>
          <w:szCs w:val="20"/>
          <w:bdr w:val="none" w:sz="0" w:space="0" w:color="auto"/>
        </w:rPr>
        <w:t xml:space="preserve">, </w:t>
      </w:r>
      <w:r w:rsidR="004E09A3">
        <w:rPr>
          <w:rFonts w:asciiTheme="majorHAnsi" w:eastAsia="Calibri" w:hAnsiTheme="majorHAnsi" w:cs="Tahoma"/>
          <w:bCs/>
          <w:color w:val="000000"/>
          <w:sz w:val="18"/>
          <w:szCs w:val="20"/>
          <w:bdr w:val="none" w:sz="0" w:space="0" w:color="auto"/>
        </w:rPr>
        <w:t>the recognition</w:t>
      </w:r>
      <w:r w:rsidR="00E92985">
        <w:rPr>
          <w:rFonts w:asciiTheme="majorHAnsi" w:eastAsia="Calibri" w:hAnsiTheme="majorHAnsi" w:cs="Tahoma"/>
          <w:bCs/>
          <w:color w:val="000000"/>
          <w:sz w:val="18"/>
          <w:szCs w:val="20"/>
          <w:bdr w:val="none" w:sz="0" w:space="0" w:color="auto"/>
        </w:rPr>
        <w:t xml:space="preserve"> of the </w:t>
      </w:r>
      <w:r w:rsidR="004E09A3" w:rsidRPr="00A51861">
        <w:rPr>
          <w:rFonts w:asciiTheme="majorHAnsi" w:eastAsia="Calibri" w:hAnsiTheme="majorHAnsi" w:cs="Tahoma"/>
          <w:bCs/>
          <w:color w:val="000000"/>
          <w:sz w:val="18"/>
          <w:szCs w:val="20"/>
          <w:bdr w:val="none" w:sz="0" w:space="0" w:color="auto"/>
        </w:rPr>
        <w:t>condition</w:t>
      </w:r>
      <w:r w:rsidR="00E92985">
        <w:rPr>
          <w:rFonts w:asciiTheme="majorHAnsi" w:eastAsia="Calibri" w:hAnsiTheme="majorHAnsi" w:cs="Tahoma"/>
          <w:bCs/>
          <w:color w:val="000000"/>
          <w:sz w:val="18"/>
          <w:szCs w:val="20"/>
          <w:bdr w:val="none" w:sz="0" w:space="0" w:color="auto"/>
        </w:rPr>
        <w:t xml:space="preserve"> of </w:t>
      </w:r>
      <w:r w:rsidR="004E09A3">
        <w:rPr>
          <w:rFonts w:asciiTheme="majorHAnsi" w:eastAsia="Calibri" w:hAnsiTheme="majorHAnsi" w:cs="Tahoma"/>
          <w:bCs/>
          <w:color w:val="000000"/>
          <w:sz w:val="18"/>
          <w:szCs w:val="20"/>
          <w:bdr w:val="none" w:sz="0" w:space="0" w:color="auto"/>
        </w:rPr>
        <w:t>refugee</w:t>
      </w:r>
      <w:r w:rsidR="00E92985">
        <w:rPr>
          <w:rFonts w:asciiTheme="majorHAnsi" w:eastAsia="Calibri" w:hAnsiTheme="majorHAnsi" w:cs="Tahoma"/>
          <w:bCs/>
          <w:color w:val="000000"/>
          <w:sz w:val="18"/>
          <w:szCs w:val="20"/>
          <w:bdr w:val="none" w:sz="0" w:space="0" w:color="auto"/>
        </w:rPr>
        <w:t xml:space="preserve"> of </w:t>
      </w:r>
      <w:r w:rsidRPr="00A51861">
        <w:rPr>
          <w:rFonts w:asciiTheme="majorHAnsi" w:eastAsia="Calibri" w:hAnsiTheme="majorHAnsi" w:cs="Tahoma"/>
          <w:bCs/>
          <w:color w:val="000000"/>
          <w:sz w:val="18"/>
          <w:szCs w:val="20"/>
          <w:bdr w:val="none" w:sz="0" w:space="0" w:color="auto"/>
        </w:rPr>
        <w:t xml:space="preserve">a </w:t>
      </w:r>
      <w:r w:rsidR="00EC7A58">
        <w:rPr>
          <w:rFonts w:asciiTheme="majorHAnsi" w:eastAsia="Calibri" w:hAnsiTheme="majorHAnsi" w:cs="Tahoma"/>
          <w:bCs/>
          <w:color w:val="000000"/>
          <w:sz w:val="18"/>
          <w:szCs w:val="20"/>
          <w:bdr w:val="none" w:sz="0" w:space="0" w:color="auto"/>
        </w:rPr>
        <w:t xml:space="preserve">person </w:t>
      </w:r>
      <w:r w:rsidR="004E09A3">
        <w:rPr>
          <w:rFonts w:asciiTheme="majorHAnsi" w:eastAsia="Calibri" w:hAnsiTheme="majorHAnsi" w:cs="Tahoma"/>
          <w:bCs/>
          <w:color w:val="000000"/>
          <w:sz w:val="18"/>
          <w:szCs w:val="20"/>
          <w:bdr w:val="none" w:sz="0" w:space="0" w:color="auto"/>
        </w:rPr>
        <w:t>is not constitutive</w:t>
      </w:r>
      <w:r w:rsidRPr="00A51861">
        <w:rPr>
          <w:rFonts w:asciiTheme="majorHAnsi" w:eastAsia="Calibri" w:hAnsiTheme="majorHAnsi" w:cs="Tahoma"/>
          <w:bCs/>
          <w:color w:val="000000"/>
          <w:sz w:val="18"/>
          <w:szCs w:val="20"/>
          <w:bdr w:val="none" w:sz="0" w:space="0" w:color="auto"/>
        </w:rPr>
        <w:t xml:space="preserve">, </w:t>
      </w:r>
      <w:r w:rsidR="004E09A3">
        <w:rPr>
          <w:rFonts w:asciiTheme="majorHAnsi" w:eastAsia="Calibri" w:hAnsiTheme="majorHAnsi" w:cs="Tahoma"/>
          <w:bCs/>
          <w:color w:val="000000"/>
          <w:sz w:val="18"/>
          <w:szCs w:val="20"/>
          <w:bdr w:val="none" w:sz="0" w:space="0" w:color="auto"/>
        </w:rPr>
        <w:t>but</w:t>
      </w:r>
      <w:r w:rsidRPr="00A51861">
        <w:rPr>
          <w:rFonts w:asciiTheme="majorHAnsi" w:eastAsia="Calibri" w:hAnsiTheme="majorHAnsi" w:cs="Tahoma"/>
          <w:bCs/>
          <w:color w:val="000000"/>
          <w:sz w:val="18"/>
          <w:szCs w:val="20"/>
          <w:bdr w:val="none" w:sz="0" w:space="0" w:color="auto"/>
        </w:rPr>
        <w:t xml:space="preserve"> declarativ</w:t>
      </w:r>
      <w:r w:rsidR="004E09A3">
        <w:rPr>
          <w:rFonts w:asciiTheme="majorHAnsi" w:eastAsia="Calibri" w:hAnsiTheme="majorHAnsi" w:cs="Tahoma"/>
          <w:bCs/>
          <w:color w:val="000000"/>
          <w:sz w:val="18"/>
          <w:szCs w:val="20"/>
          <w:bdr w:val="none" w:sz="0" w:space="0" w:color="auto"/>
        </w:rPr>
        <w:t>e</w:t>
      </w:r>
      <w:r w:rsidRPr="00A51861">
        <w:rPr>
          <w:rFonts w:asciiTheme="majorHAnsi" w:eastAsia="Calibri" w:hAnsiTheme="majorHAnsi" w:cs="Tahoma"/>
          <w:bCs/>
          <w:color w:val="000000"/>
          <w:sz w:val="18"/>
          <w:szCs w:val="20"/>
          <w:bdr w:val="none" w:sz="0" w:space="0" w:color="auto"/>
        </w:rPr>
        <w:t xml:space="preserve">. </w:t>
      </w:r>
      <w:r w:rsidR="004E09A3">
        <w:rPr>
          <w:rFonts w:asciiTheme="majorHAnsi" w:eastAsia="Calibri" w:hAnsiTheme="majorHAnsi" w:cs="Tahoma"/>
          <w:bCs/>
          <w:color w:val="000000"/>
          <w:sz w:val="18"/>
          <w:szCs w:val="20"/>
          <w:bdr w:val="none" w:sz="0" w:space="0" w:color="auto"/>
        </w:rPr>
        <w:t>He or she does not acquire the status</w:t>
      </w:r>
      <w:r w:rsidR="00E92985">
        <w:rPr>
          <w:rFonts w:asciiTheme="majorHAnsi" w:eastAsia="Calibri" w:hAnsiTheme="majorHAnsi" w:cs="Tahoma"/>
          <w:bCs/>
          <w:color w:val="000000"/>
          <w:sz w:val="18"/>
          <w:szCs w:val="20"/>
          <w:bdr w:val="none" w:sz="0" w:space="0" w:color="auto"/>
        </w:rPr>
        <w:t xml:space="preserve"> of </w:t>
      </w:r>
      <w:r w:rsidR="004E09A3">
        <w:rPr>
          <w:rFonts w:asciiTheme="majorHAnsi" w:eastAsia="Calibri" w:hAnsiTheme="majorHAnsi" w:cs="Tahoma"/>
          <w:bCs/>
          <w:color w:val="000000"/>
          <w:sz w:val="18"/>
          <w:szCs w:val="20"/>
          <w:bdr w:val="none" w:sz="0" w:space="0" w:color="auto"/>
        </w:rPr>
        <w:t>refugee</w:t>
      </w:r>
      <w:r w:rsidRPr="00A51861">
        <w:rPr>
          <w:rFonts w:asciiTheme="majorHAnsi" w:eastAsia="Calibri" w:hAnsiTheme="majorHAnsi" w:cs="Tahoma"/>
          <w:bCs/>
          <w:color w:val="000000"/>
          <w:sz w:val="18"/>
          <w:szCs w:val="20"/>
          <w:bdr w:val="none" w:sz="0" w:space="0" w:color="auto"/>
        </w:rPr>
        <w:t xml:space="preserve"> </w:t>
      </w:r>
      <w:r w:rsidR="004E09A3">
        <w:rPr>
          <w:rFonts w:asciiTheme="majorHAnsi" w:eastAsia="Calibri" w:hAnsiTheme="majorHAnsi" w:cs="Tahoma"/>
          <w:bCs/>
          <w:color w:val="000000"/>
          <w:sz w:val="18"/>
          <w:szCs w:val="20"/>
          <w:bdr w:val="none" w:sz="0" w:space="0" w:color="auto"/>
        </w:rPr>
        <w:t>by virtue</w:t>
      </w:r>
      <w:r w:rsidR="004969F4">
        <w:rPr>
          <w:rFonts w:asciiTheme="majorHAnsi" w:eastAsia="Calibri" w:hAnsiTheme="majorHAnsi" w:cs="Tahoma"/>
          <w:bCs/>
          <w:color w:val="000000"/>
          <w:sz w:val="18"/>
          <w:szCs w:val="20"/>
          <w:bdr w:val="none" w:sz="0" w:space="0" w:color="auto"/>
        </w:rPr>
        <w:t xml:space="preserve"> of the </w:t>
      </w:r>
      <w:r w:rsidR="004E09A3">
        <w:rPr>
          <w:rFonts w:asciiTheme="majorHAnsi" w:eastAsia="Calibri" w:hAnsiTheme="majorHAnsi" w:cs="Tahoma"/>
          <w:bCs/>
          <w:color w:val="000000"/>
          <w:sz w:val="18"/>
          <w:szCs w:val="20"/>
          <w:bdr w:val="none" w:sz="0" w:space="0" w:color="auto"/>
        </w:rPr>
        <w:t>recognition</w:t>
      </w:r>
      <w:r w:rsidRPr="00A51861">
        <w:rPr>
          <w:rFonts w:asciiTheme="majorHAnsi" w:eastAsia="Calibri" w:hAnsiTheme="majorHAnsi" w:cs="Tahoma"/>
          <w:bCs/>
          <w:color w:val="000000"/>
          <w:sz w:val="18"/>
          <w:szCs w:val="20"/>
          <w:bdr w:val="none" w:sz="0" w:space="0" w:color="auto"/>
        </w:rPr>
        <w:t xml:space="preserve">, </w:t>
      </w:r>
      <w:r w:rsidR="004E09A3">
        <w:rPr>
          <w:rFonts w:asciiTheme="majorHAnsi" w:eastAsia="Calibri" w:hAnsiTheme="majorHAnsi" w:cs="Tahoma"/>
          <w:bCs/>
          <w:color w:val="000000"/>
          <w:sz w:val="18"/>
          <w:szCs w:val="20"/>
          <w:bdr w:val="none" w:sz="0" w:space="0" w:color="auto"/>
        </w:rPr>
        <w:t>but said</w:t>
      </w:r>
      <w:r w:rsidRPr="00A51861">
        <w:rPr>
          <w:rFonts w:asciiTheme="majorHAnsi" w:eastAsia="Calibri" w:hAnsiTheme="majorHAnsi" w:cs="Tahoma"/>
          <w:bCs/>
          <w:color w:val="000000"/>
          <w:sz w:val="18"/>
          <w:szCs w:val="20"/>
          <w:bdr w:val="none" w:sz="0" w:space="0" w:color="auto"/>
        </w:rPr>
        <w:t xml:space="preserve"> </w:t>
      </w:r>
      <w:r w:rsidR="004E09A3" w:rsidRPr="00A51861">
        <w:rPr>
          <w:rFonts w:asciiTheme="majorHAnsi" w:eastAsia="Calibri" w:hAnsiTheme="majorHAnsi" w:cs="Tahoma"/>
          <w:bCs/>
          <w:color w:val="000000"/>
          <w:sz w:val="18"/>
          <w:szCs w:val="20"/>
          <w:bdr w:val="none" w:sz="0" w:space="0" w:color="auto"/>
        </w:rPr>
        <w:t>condition</w:t>
      </w:r>
      <w:r w:rsidRPr="00A51861">
        <w:rPr>
          <w:rFonts w:asciiTheme="majorHAnsi" w:eastAsia="Calibri" w:hAnsiTheme="majorHAnsi" w:cs="Tahoma"/>
          <w:bCs/>
          <w:color w:val="000000"/>
          <w:sz w:val="18"/>
          <w:szCs w:val="20"/>
          <w:bdr w:val="none" w:sz="0" w:space="0" w:color="auto"/>
        </w:rPr>
        <w:t xml:space="preserve"> </w:t>
      </w:r>
      <w:r w:rsidR="004E09A3">
        <w:rPr>
          <w:rFonts w:asciiTheme="majorHAnsi" w:eastAsia="Calibri" w:hAnsiTheme="majorHAnsi" w:cs="Tahoma"/>
          <w:bCs/>
          <w:color w:val="000000"/>
          <w:sz w:val="18"/>
          <w:szCs w:val="20"/>
          <w:bdr w:val="none" w:sz="0" w:space="0" w:color="auto"/>
        </w:rPr>
        <w:t>is recognized for the</w:t>
      </w:r>
      <w:r w:rsidR="005F6157">
        <w:rPr>
          <w:rFonts w:asciiTheme="majorHAnsi" w:eastAsia="Calibri" w:hAnsiTheme="majorHAnsi" w:cs="Tahoma"/>
          <w:bCs/>
          <w:color w:val="000000"/>
          <w:sz w:val="18"/>
          <w:szCs w:val="20"/>
          <w:bdr w:val="none" w:sz="0" w:space="0" w:color="auto"/>
        </w:rPr>
        <w:t xml:space="preserve"> fact</w:t>
      </w:r>
      <w:r w:rsidR="00E92985">
        <w:rPr>
          <w:rFonts w:asciiTheme="majorHAnsi" w:eastAsia="Calibri" w:hAnsiTheme="majorHAnsi" w:cs="Tahoma"/>
          <w:bCs/>
          <w:color w:val="000000"/>
          <w:sz w:val="18"/>
          <w:szCs w:val="20"/>
          <w:bdr w:val="none" w:sz="0" w:space="0" w:color="auto"/>
        </w:rPr>
        <w:t xml:space="preserve"> of </w:t>
      </w:r>
      <w:r w:rsidR="004E09A3">
        <w:rPr>
          <w:rFonts w:asciiTheme="majorHAnsi" w:eastAsia="Calibri" w:hAnsiTheme="majorHAnsi" w:cs="Tahoma"/>
          <w:bCs/>
          <w:color w:val="000000"/>
          <w:sz w:val="18"/>
          <w:szCs w:val="20"/>
          <w:bdr w:val="none" w:sz="0" w:space="0" w:color="auto"/>
        </w:rPr>
        <w:t>being a</w:t>
      </w:r>
      <w:r w:rsidRPr="00A51861">
        <w:rPr>
          <w:rFonts w:asciiTheme="majorHAnsi" w:eastAsia="Calibri" w:hAnsiTheme="majorHAnsi" w:cs="Tahoma"/>
          <w:bCs/>
          <w:color w:val="000000"/>
          <w:sz w:val="18"/>
          <w:szCs w:val="20"/>
          <w:bdr w:val="none" w:sz="0" w:space="0" w:color="auto"/>
        </w:rPr>
        <w:t xml:space="preserve"> </w:t>
      </w:r>
      <w:r w:rsidR="004E09A3">
        <w:rPr>
          <w:rFonts w:asciiTheme="majorHAnsi" w:eastAsia="Calibri" w:hAnsiTheme="majorHAnsi" w:cs="Tahoma"/>
          <w:bCs/>
          <w:color w:val="000000"/>
          <w:sz w:val="18"/>
          <w:szCs w:val="20"/>
          <w:bdr w:val="none" w:sz="0" w:space="0" w:color="auto"/>
        </w:rPr>
        <w:t>refugee</w:t>
      </w:r>
      <w:r w:rsidRPr="00A51861">
        <w:rPr>
          <w:rStyle w:val="FootnoteReference"/>
          <w:rFonts w:asciiTheme="majorHAnsi" w:eastAsia="Calibri" w:hAnsiTheme="majorHAnsi" w:cs="Tahoma"/>
          <w:bCs/>
          <w:color w:val="000000"/>
          <w:sz w:val="18"/>
          <w:szCs w:val="20"/>
          <w:bdr w:val="none" w:sz="0" w:space="0" w:color="auto"/>
        </w:rPr>
        <w:footnoteReference w:id="189"/>
      </w:r>
      <w:r w:rsidRPr="00A51861">
        <w:rPr>
          <w:rFonts w:asciiTheme="majorHAnsi" w:eastAsia="Calibri" w:hAnsiTheme="majorHAnsi" w:cs="Tahoma"/>
          <w:bCs/>
          <w:color w:val="000000"/>
          <w:sz w:val="18"/>
          <w:szCs w:val="20"/>
          <w:bdr w:val="none" w:sz="0" w:space="0" w:color="auto"/>
        </w:rPr>
        <w:t>.</w:t>
      </w:r>
      <w:r w:rsidRPr="00A51861">
        <w:rPr>
          <w:rFonts w:asciiTheme="majorHAnsi" w:hAnsiTheme="majorHAnsi"/>
          <w:sz w:val="18"/>
          <w:szCs w:val="20"/>
        </w:rPr>
        <w:t xml:space="preserve"> </w:t>
      </w:r>
      <w:r w:rsidR="00590144" w:rsidRPr="00A51861">
        <w:rPr>
          <w:rFonts w:asciiTheme="majorHAnsi" w:hAnsiTheme="majorHAnsi"/>
          <w:sz w:val="18"/>
          <w:szCs w:val="20"/>
        </w:rPr>
        <w:t xml:space="preserve">(…) </w:t>
      </w:r>
      <w:r w:rsidR="004E09A3">
        <w:rPr>
          <w:rFonts w:asciiTheme="majorHAnsi" w:eastAsia="Calibri" w:hAnsiTheme="majorHAnsi" w:cs="Tahoma"/>
          <w:bCs/>
          <w:color w:val="000000"/>
          <w:sz w:val="18"/>
          <w:szCs w:val="20"/>
          <w:bdr w:val="none" w:sz="0" w:space="0" w:color="auto"/>
        </w:rPr>
        <w:t xml:space="preserve">Given the </w:t>
      </w:r>
      <w:r w:rsidR="004E09A3" w:rsidRPr="00A51861">
        <w:rPr>
          <w:rFonts w:asciiTheme="majorHAnsi" w:eastAsia="Calibri" w:hAnsiTheme="majorHAnsi" w:cs="Tahoma"/>
          <w:bCs/>
          <w:color w:val="000000"/>
          <w:sz w:val="18"/>
          <w:szCs w:val="20"/>
          <w:bdr w:val="none" w:sz="0" w:space="0" w:color="auto"/>
        </w:rPr>
        <w:t>declarativ</w:t>
      </w:r>
      <w:r w:rsidR="004E09A3">
        <w:rPr>
          <w:rFonts w:asciiTheme="majorHAnsi" w:eastAsia="Calibri" w:hAnsiTheme="majorHAnsi" w:cs="Tahoma"/>
          <w:bCs/>
          <w:color w:val="000000"/>
          <w:sz w:val="18"/>
          <w:szCs w:val="20"/>
          <w:bdr w:val="none" w:sz="0" w:space="0" w:color="auto"/>
        </w:rPr>
        <w:t>e character</w:t>
      </w:r>
      <w:r w:rsidRPr="00A51861">
        <w:rPr>
          <w:rFonts w:asciiTheme="majorHAnsi" w:eastAsia="Calibri" w:hAnsiTheme="majorHAnsi" w:cs="Tahoma"/>
          <w:bCs/>
          <w:color w:val="000000"/>
          <w:sz w:val="18"/>
          <w:szCs w:val="20"/>
          <w:bdr w:val="none" w:sz="0" w:space="0" w:color="auto"/>
        </w:rPr>
        <w:t xml:space="preserve"> </w:t>
      </w:r>
      <w:r w:rsidR="00E92985">
        <w:rPr>
          <w:rFonts w:asciiTheme="majorHAnsi" w:eastAsia="Calibri" w:hAnsiTheme="majorHAnsi" w:cs="Tahoma"/>
          <w:bCs/>
          <w:color w:val="000000"/>
          <w:sz w:val="18"/>
          <w:szCs w:val="20"/>
          <w:bdr w:val="none" w:sz="0" w:space="0" w:color="auto"/>
        </w:rPr>
        <w:t xml:space="preserve">of the </w:t>
      </w:r>
      <w:r w:rsidR="004E09A3" w:rsidRPr="00A51861">
        <w:rPr>
          <w:rFonts w:asciiTheme="majorHAnsi" w:eastAsia="Calibri" w:hAnsiTheme="majorHAnsi" w:cs="Tahoma"/>
          <w:bCs/>
          <w:color w:val="000000"/>
          <w:sz w:val="18"/>
          <w:szCs w:val="20"/>
          <w:bdr w:val="none" w:sz="0" w:space="0" w:color="auto"/>
        </w:rPr>
        <w:t>determination</w:t>
      </w:r>
      <w:r w:rsidR="00E92985">
        <w:rPr>
          <w:rFonts w:asciiTheme="majorHAnsi" w:eastAsia="Calibri" w:hAnsiTheme="majorHAnsi" w:cs="Tahoma"/>
          <w:bCs/>
          <w:color w:val="000000"/>
          <w:sz w:val="18"/>
          <w:szCs w:val="20"/>
          <w:bdr w:val="none" w:sz="0" w:space="0" w:color="auto"/>
        </w:rPr>
        <w:t xml:space="preserve"> of the </w:t>
      </w:r>
      <w:r w:rsidR="004E09A3" w:rsidRPr="00A51861">
        <w:rPr>
          <w:rFonts w:asciiTheme="majorHAnsi" w:eastAsia="Calibri" w:hAnsiTheme="majorHAnsi" w:cs="Tahoma"/>
          <w:bCs/>
          <w:color w:val="000000"/>
          <w:sz w:val="18"/>
          <w:szCs w:val="20"/>
          <w:bdr w:val="none" w:sz="0" w:space="0" w:color="auto"/>
        </w:rPr>
        <w:t>condition</w:t>
      </w:r>
      <w:r w:rsidR="00E92985">
        <w:rPr>
          <w:rFonts w:asciiTheme="majorHAnsi" w:eastAsia="Calibri" w:hAnsiTheme="majorHAnsi" w:cs="Tahoma"/>
          <w:bCs/>
          <w:color w:val="000000"/>
          <w:sz w:val="18"/>
          <w:szCs w:val="20"/>
          <w:bdr w:val="none" w:sz="0" w:space="0" w:color="auto"/>
        </w:rPr>
        <w:t xml:space="preserve"> of </w:t>
      </w:r>
      <w:r w:rsidR="004E09A3">
        <w:rPr>
          <w:rFonts w:asciiTheme="majorHAnsi" w:eastAsia="Calibri" w:hAnsiTheme="majorHAnsi" w:cs="Tahoma"/>
          <w:bCs/>
          <w:color w:val="000000"/>
          <w:sz w:val="18"/>
          <w:szCs w:val="20"/>
          <w:bdr w:val="none" w:sz="0" w:space="0" w:color="auto"/>
        </w:rPr>
        <w:t>refugee</w:t>
      </w:r>
      <w:r w:rsidRPr="00A51861">
        <w:rPr>
          <w:rFonts w:asciiTheme="majorHAnsi" w:eastAsia="Calibri" w:hAnsiTheme="majorHAnsi" w:cs="Tahoma"/>
          <w:bCs/>
          <w:color w:val="000000"/>
          <w:sz w:val="18"/>
          <w:szCs w:val="20"/>
          <w:bdr w:val="none" w:sz="0" w:space="0" w:color="auto"/>
        </w:rPr>
        <w:t>,</w:t>
      </w:r>
      <w:r w:rsidR="00E92985">
        <w:rPr>
          <w:rFonts w:asciiTheme="majorHAnsi" w:eastAsia="Calibri" w:hAnsiTheme="majorHAnsi" w:cs="Tahoma"/>
          <w:bCs/>
          <w:color w:val="000000"/>
          <w:sz w:val="18"/>
          <w:szCs w:val="20"/>
          <w:bdr w:val="none" w:sz="0" w:space="0" w:color="auto"/>
        </w:rPr>
        <w:t xml:space="preserve"> and </w:t>
      </w:r>
      <w:r w:rsidR="004E09A3">
        <w:rPr>
          <w:rFonts w:asciiTheme="majorHAnsi" w:eastAsia="Calibri" w:hAnsiTheme="majorHAnsi" w:cs="Tahoma"/>
          <w:bCs/>
          <w:color w:val="000000"/>
          <w:sz w:val="18"/>
          <w:szCs w:val="20"/>
          <w:bdr w:val="none" w:sz="0" w:space="0" w:color="auto"/>
        </w:rPr>
        <w:t>even with the</w:t>
      </w:r>
      <w:r w:rsidRPr="00A51861">
        <w:rPr>
          <w:rFonts w:asciiTheme="majorHAnsi" w:eastAsia="Calibri" w:hAnsiTheme="majorHAnsi" w:cs="Tahoma"/>
          <w:bCs/>
          <w:color w:val="000000"/>
          <w:sz w:val="18"/>
          <w:szCs w:val="20"/>
          <w:bdr w:val="none" w:sz="0" w:space="0" w:color="auto"/>
        </w:rPr>
        <w:t xml:space="preserve"> important</w:t>
      </w:r>
      <w:r w:rsidR="004E09A3">
        <w:rPr>
          <w:rFonts w:asciiTheme="majorHAnsi" w:eastAsia="Calibri" w:hAnsiTheme="majorHAnsi" w:cs="Tahoma"/>
          <w:bCs/>
          <w:color w:val="000000"/>
          <w:sz w:val="18"/>
          <w:szCs w:val="20"/>
          <w:bdr w:val="none" w:sz="0" w:space="0" w:color="auto"/>
        </w:rPr>
        <w:t xml:space="preserve"> </w:t>
      </w:r>
      <w:r w:rsidRPr="00A51861">
        <w:rPr>
          <w:rFonts w:asciiTheme="majorHAnsi" w:eastAsia="Calibri" w:hAnsiTheme="majorHAnsi" w:cs="Tahoma"/>
          <w:bCs/>
          <w:color w:val="000000"/>
          <w:sz w:val="18"/>
          <w:szCs w:val="20"/>
          <w:bdr w:val="none" w:sz="0" w:space="0" w:color="auto"/>
        </w:rPr>
        <w:t>rol</w:t>
      </w:r>
      <w:r w:rsidR="004E09A3">
        <w:rPr>
          <w:rFonts w:asciiTheme="majorHAnsi" w:eastAsia="Calibri" w:hAnsiTheme="majorHAnsi" w:cs="Tahoma"/>
          <w:bCs/>
          <w:color w:val="000000"/>
          <w:sz w:val="18"/>
          <w:szCs w:val="20"/>
          <w:bdr w:val="none" w:sz="0" w:space="0" w:color="auto"/>
        </w:rPr>
        <w:t>e granted to</w:t>
      </w:r>
      <w:r w:rsidR="008E2F10">
        <w:rPr>
          <w:rFonts w:asciiTheme="majorHAnsi" w:eastAsia="Calibri" w:hAnsiTheme="majorHAnsi" w:cs="Tahoma"/>
          <w:bCs/>
          <w:color w:val="000000"/>
          <w:sz w:val="18"/>
          <w:szCs w:val="20"/>
          <w:bdr w:val="none" w:sz="0" w:space="0" w:color="auto"/>
        </w:rPr>
        <w:t xml:space="preserve"> HCUNR</w:t>
      </w:r>
      <w:r w:rsidRPr="00A51861">
        <w:rPr>
          <w:rFonts w:asciiTheme="majorHAnsi" w:eastAsia="Calibri" w:hAnsiTheme="majorHAnsi" w:cs="Tahoma"/>
          <w:bCs/>
          <w:color w:val="000000"/>
          <w:sz w:val="18"/>
          <w:szCs w:val="20"/>
          <w:bdr w:val="none" w:sz="0" w:space="0" w:color="auto"/>
        </w:rPr>
        <w:t xml:space="preserve"> </w:t>
      </w:r>
      <w:r w:rsidR="004E09A3">
        <w:rPr>
          <w:rFonts w:asciiTheme="majorHAnsi" w:eastAsia="Calibri" w:hAnsiTheme="majorHAnsi" w:cs="Tahoma"/>
          <w:bCs/>
          <w:color w:val="000000"/>
          <w:sz w:val="18"/>
          <w:szCs w:val="20"/>
          <w:bdr w:val="none" w:sz="0" w:space="0" w:color="auto"/>
        </w:rPr>
        <w:t xml:space="preserve">in the </w:t>
      </w:r>
      <w:r w:rsidR="00940530">
        <w:rPr>
          <w:rFonts w:asciiTheme="majorHAnsi" w:eastAsia="Calibri" w:hAnsiTheme="majorHAnsi" w:cs="Tahoma"/>
          <w:bCs/>
          <w:color w:val="000000"/>
          <w:sz w:val="18"/>
          <w:szCs w:val="20"/>
          <w:bdr w:val="none" w:sz="0" w:space="0" w:color="auto"/>
        </w:rPr>
        <w:t>context</w:t>
      </w:r>
      <w:r w:rsidR="00E92985">
        <w:rPr>
          <w:rFonts w:asciiTheme="majorHAnsi" w:eastAsia="Calibri" w:hAnsiTheme="majorHAnsi" w:cs="Tahoma"/>
          <w:bCs/>
          <w:color w:val="000000"/>
          <w:sz w:val="18"/>
          <w:szCs w:val="20"/>
          <w:bdr w:val="none" w:sz="0" w:space="0" w:color="auto"/>
        </w:rPr>
        <w:t xml:space="preserve"> of </w:t>
      </w:r>
      <w:r w:rsidR="00EF4ED2">
        <w:rPr>
          <w:rFonts w:asciiTheme="majorHAnsi" w:eastAsia="Calibri" w:hAnsiTheme="majorHAnsi" w:cs="Tahoma"/>
          <w:bCs/>
          <w:color w:val="000000"/>
          <w:sz w:val="18"/>
          <w:szCs w:val="20"/>
          <w:bdr w:val="none" w:sz="0" w:space="0" w:color="auto"/>
        </w:rPr>
        <w:t>international protection</w:t>
      </w:r>
      <w:r w:rsidRPr="00A51861">
        <w:rPr>
          <w:rFonts w:asciiTheme="majorHAnsi" w:eastAsia="Calibri" w:hAnsiTheme="majorHAnsi" w:cs="Tahoma"/>
          <w:bCs/>
          <w:color w:val="000000"/>
          <w:sz w:val="18"/>
          <w:szCs w:val="20"/>
          <w:bdr w:val="none" w:sz="0" w:space="0" w:color="auto"/>
        </w:rPr>
        <w:t>,</w:t>
      </w:r>
      <w:r w:rsidR="00D70A85">
        <w:rPr>
          <w:rFonts w:asciiTheme="majorHAnsi" w:eastAsia="Calibri" w:hAnsiTheme="majorHAnsi" w:cs="Tahoma"/>
          <w:bCs/>
          <w:color w:val="000000"/>
          <w:sz w:val="18"/>
          <w:szCs w:val="20"/>
          <w:bdr w:val="none" w:sz="0" w:space="0" w:color="auto"/>
        </w:rPr>
        <w:t xml:space="preserve"> </w:t>
      </w:r>
      <w:r w:rsidR="004E09A3">
        <w:rPr>
          <w:rFonts w:asciiTheme="majorHAnsi" w:eastAsia="Calibri" w:hAnsiTheme="majorHAnsi" w:cs="Tahoma"/>
          <w:bCs/>
          <w:color w:val="000000"/>
          <w:sz w:val="18"/>
          <w:szCs w:val="20"/>
          <w:bdr w:val="none" w:sz="0" w:space="0" w:color="auto"/>
        </w:rPr>
        <w:t>it is the States Parties to</w:t>
      </w:r>
      <w:r w:rsidR="009A4F91">
        <w:rPr>
          <w:rFonts w:asciiTheme="majorHAnsi" w:eastAsia="Calibri" w:hAnsiTheme="majorHAnsi" w:cs="Tahoma"/>
          <w:bCs/>
          <w:color w:val="000000"/>
          <w:sz w:val="18"/>
          <w:szCs w:val="20"/>
          <w:bdr w:val="none" w:sz="0" w:space="0" w:color="auto"/>
        </w:rPr>
        <w:t xml:space="preserve"> the </w:t>
      </w:r>
      <w:r w:rsidR="00CB4E23">
        <w:rPr>
          <w:rFonts w:asciiTheme="majorHAnsi" w:eastAsia="Calibri" w:hAnsiTheme="majorHAnsi" w:cs="Tahoma"/>
          <w:bCs/>
          <w:color w:val="000000"/>
          <w:sz w:val="18"/>
          <w:szCs w:val="20"/>
          <w:bdr w:val="none" w:sz="0" w:space="0" w:color="auto"/>
        </w:rPr>
        <w:t>Convention</w:t>
      </w:r>
      <w:r w:rsidR="00E92985">
        <w:rPr>
          <w:rFonts w:asciiTheme="majorHAnsi" w:eastAsia="Calibri" w:hAnsiTheme="majorHAnsi" w:cs="Tahoma"/>
          <w:bCs/>
          <w:color w:val="000000"/>
          <w:sz w:val="18"/>
          <w:szCs w:val="20"/>
          <w:bdr w:val="none" w:sz="0" w:space="0" w:color="auto"/>
        </w:rPr>
        <w:t xml:space="preserve"> of </w:t>
      </w:r>
      <w:r w:rsidRPr="00A51861">
        <w:rPr>
          <w:rFonts w:asciiTheme="majorHAnsi" w:eastAsia="Calibri" w:hAnsiTheme="majorHAnsi" w:cs="Tahoma"/>
          <w:bCs/>
          <w:color w:val="000000"/>
          <w:sz w:val="18"/>
          <w:szCs w:val="20"/>
          <w:bdr w:val="none" w:sz="0" w:space="0" w:color="auto"/>
        </w:rPr>
        <w:t>1951,</w:t>
      </w:r>
      <w:r w:rsidR="00E92985">
        <w:rPr>
          <w:rFonts w:asciiTheme="majorHAnsi" w:eastAsia="Calibri" w:hAnsiTheme="majorHAnsi" w:cs="Tahoma"/>
          <w:bCs/>
          <w:color w:val="000000"/>
          <w:sz w:val="18"/>
          <w:szCs w:val="20"/>
          <w:bdr w:val="none" w:sz="0" w:space="0" w:color="auto"/>
        </w:rPr>
        <w:t xml:space="preserve"> </w:t>
      </w:r>
      <w:r w:rsidR="004E09A3">
        <w:rPr>
          <w:rFonts w:asciiTheme="majorHAnsi" w:eastAsia="Calibri" w:hAnsiTheme="majorHAnsi" w:cs="Tahoma"/>
          <w:bCs/>
          <w:color w:val="000000"/>
          <w:sz w:val="18"/>
          <w:szCs w:val="20"/>
          <w:bdr w:val="none" w:sz="0" w:space="0" w:color="auto"/>
        </w:rPr>
        <w:t>in priority</w:t>
      </w:r>
      <w:r w:rsidRPr="00A51861">
        <w:rPr>
          <w:rFonts w:asciiTheme="majorHAnsi" w:eastAsia="Calibri" w:hAnsiTheme="majorHAnsi" w:cs="Tahoma"/>
          <w:bCs/>
          <w:color w:val="000000"/>
          <w:sz w:val="18"/>
          <w:szCs w:val="20"/>
          <w:bdr w:val="none" w:sz="0" w:space="0" w:color="auto"/>
        </w:rPr>
        <w:t xml:space="preserve">, </w:t>
      </w:r>
      <w:r w:rsidR="004E09A3">
        <w:rPr>
          <w:rFonts w:asciiTheme="majorHAnsi" w:eastAsia="Calibri" w:hAnsiTheme="majorHAnsi" w:cs="Tahoma"/>
          <w:bCs/>
          <w:color w:val="000000"/>
          <w:sz w:val="18"/>
          <w:szCs w:val="20"/>
          <w:bdr w:val="none" w:sz="0" w:space="0" w:color="auto"/>
        </w:rPr>
        <w:lastRenderedPageBreak/>
        <w:t>who are responsible for the recognition of said</w:t>
      </w:r>
      <w:r w:rsidRPr="00A51861">
        <w:rPr>
          <w:rFonts w:asciiTheme="majorHAnsi" w:eastAsia="Calibri" w:hAnsiTheme="majorHAnsi" w:cs="Tahoma"/>
          <w:bCs/>
          <w:color w:val="000000"/>
          <w:sz w:val="18"/>
          <w:szCs w:val="20"/>
          <w:bdr w:val="none" w:sz="0" w:space="0" w:color="auto"/>
        </w:rPr>
        <w:t xml:space="preserve"> </w:t>
      </w:r>
      <w:r w:rsidR="004E09A3" w:rsidRPr="00A51861">
        <w:rPr>
          <w:rFonts w:asciiTheme="majorHAnsi" w:eastAsia="Calibri" w:hAnsiTheme="majorHAnsi" w:cs="Tahoma"/>
          <w:bCs/>
          <w:color w:val="000000"/>
          <w:sz w:val="18"/>
          <w:szCs w:val="20"/>
          <w:bdr w:val="none" w:sz="0" w:space="0" w:color="auto"/>
        </w:rPr>
        <w:t>condition</w:t>
      </w:r>
      <w:r w:rsidRPr="00A51861">
        <w:rPr>
          <w:rFonts w:asciiTheme="majorHAnsi" w:eastAsia="Calibri" w:hAnsiTheme="majorHAnsi" w:cs="Tahoma"/>
          <w:bCs/>
          <w:color w:val="000000"/>
          <w:sz w:val="18"/>
          <w:szCs w:val="20"/>
          <w:bdr w:val="none" w:sz="0" w:space="0" w:color="auto"/>
        </w:rPr>
        <w:t xml:space="preserve">, </w:t>
      </w:r>
      <w:r w:rsidR="004E09A3">
        <w:rPr>
          <w:rFonts w:asciiTheme="majorHAnsi" w:eastAsia="Calibri" w:hAnsiTheme="majorHAnsi" w:cs="Tahoma"/>
          <w:bCs/>
          <w:color w:val="000000"/>
          <w:sz w:val="18"/>
          <w:szCs w:val="20"/>
          <w:bdr w:val="none" w:sz="0" w:space="0" w:color="auto"/>
        </w:rPr>
        <w:t>by means of fair and</w:t>
      </w:r>
      <w:r w:rsidR="00E92985">
        <w:rPr>
          <w:rFonts w:asciiTheme="majorHAnsi" w:eastAsia="Calibri" w:hAnsiTheme="majorHAnsi" w:cs="Tahoma"/>
          <w:bCs/>
          <w:color w:val="000000"/>
          <w:sz w:val="18"/>
          <w:szCs w:val="20"/>
          <w:bdr w:val="none" w:sz="0" w:space="0" w:color="auto"/>
        </w:rPr>
        <w:t xml:space="preserve"> </w:t>
      </w:r>
      <w:r w:rsidR="004E09A3" w:rsidRPr="00A51861">
        <w:rPr>
          <w:rFonts w:asciiTheme="majorHAnsi" w:eastAsia="Calibri" w:hAnsiTheme="majorHAnsi" w:cs="Tahoma"/>
          <w:bCs/>
          <w:color w:val="000000"/>
          <w:sz w:val="18"/>
          <w:szCs w:val="20"/>
          <w:bdr w:val="none" w:sz="0" w:space="0" w:color="auto"/>
        </w:rPr>
        <w:t>efficient</w:t>
      </w:r>
      <w:r w:rsidR="00590144" w:rsidRPr="00A51861">
        <w:rPr>
          <w:rFonts w:asciiTheme="majorHAnsi" w:eastAsia="Calibri" w:hAnsiTheme="majorHAnsi" w:cs="Tahoma"/>
          <w:bCs/>
          <w:color w:val="000000"/>
          <w:sz w:val="18"/>
          <w:szCs w:val="20"/>
          <w:bdr w:val="none" w:sz="0" w:space="0" w:color="auto"/>
        </w:rPr>
        <w:t xml:space="preserve"> </w:t>
      </w:r>
      <w:r w:rsidR="004E09A3">
        <w:rPr>
          <w:rFonts w:asciiTheme="majorHAnsi" w:eastAsia="Calibri" w:hAnsiTheme="majorHAnsi" w:cs="Tahoma"/>
          <w:bCs/>
          <w:color w:val="000000"/>
          <w:sz w:val="18"/>
          <w:szCs w:val="20"/>
          <w:bdr w:val="none" w:sz="0" w:space="0" w:color="auto"/>
        </w:rPr>
        <w:t>procedures conductive to said purpose</w:t>
      </w:r>
      <w:r w:rsidR="00590144" w:rsidRPr="00A51861">
        <w:rPr>
          <w:rStyle w:val="FootnoteReference"/>
          <w:rFonts w:asciiTheme="majorHAnsi" w:eastAsia="Calibri" w:hAnsiTheme="majorHAnsi" w:cs="Tahoma"/>
          <w:bCs/>
          <w:color w:val="000000"/>
          <w:sz w:val="18"/>
          <w:szCs w:val="20"/>
          <w:bdr w:val="none" w:sz="0" w:space="0" w:color="auto"/>
        </w:rPr>
        <w:footnoteReference w:id="190"/>
      </w:r>
      <w:r w:rsidRPr="00A51861">
        <w:rPr>
          <w:rFonts w:asciiTheme="majorHAnsi" w:eastAsia="Calibri" w:hAnsiTheme="majorHAnsi" w:cs="Tahoma"/>
          <w:bCs/>
          <w:color w:val="000000"/>
          <w:sz w:val="18"/>
          <w:szCs w:val="20"/>
          <w:bdr w:val="none" w:sz="0" w:space="0" w:color="auto"/>
        </w:rPr>
        <w:t>.</w:t>
      </w:r>
    </w:p>
    <w:p w14:paraId="4BC7A64D" w14:textId="77777777" w:rsidR="00E41CAE" w:rsidRPr="00A51861" w:rsidRDefault="00E41CAE" w:rsidP="008E4D36">
      <w:pPr>
        <w:pStyle w:val="ListParagraph"/>
        <w:rPr>
          <w:rFonts w:eastAsia="Calibri"/>
          <w:sz w:val="20"/>
          <w:szCs w:val="20"/>
          <w:bdr w:val="none" w:sz="0" w:space="0" w:color="auto"/>
        </w:rPr>
      </w:pPr>
    </w:p>
    <w:p w14:paraId="4543C0F2" w14:textId="5BBAA286" w:rsidR="00302496" w:rsidRPr="00A51861" w:rsidRDefault="008D3BDD"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eastAsia="Calibri" w:hAnsi="Cambria" w:cs="Tahoma"/>
          <w:color w:val="000000"/>
          <w:sz w:val="20"/>
          <w:szCs w:val="20"/>
          <w:bdr w:val="none" w:sz="0" w:space="0" w:color="auto"/>
        </w:rPr>
      </w:pPr>
      <w:r w:rsidRPr="00A51861">
        <w:rPr>
          <w:rFonts w:ascii="Cambria" w:eastAsia="Calibri" w:hAnsi="Cambria"/>
          <w:sz w:val="20"/>
          <w:szCs w:val="20"/>
          <w:bdr w:val="none" w:sz="0" w:space="0" w:color="auto"/>
        </w:rPr>
        <w:t>Final</w:t>
      </w:r>
      <w:r w:rsidR="00F92BA8">
        <w:rPr>
          <w:rFonts w:ascii="Cambria" w:eastAsia="Calibri" w:hAnsi="Cambria"/>
          <w:sz w:val="20"/>
          <w:szCs w:val="20"/>
          <w:bdr w:val="none" w:sz="0" w:space="0" w:color="auto"/>
        </w:rPr>
        <w:t>ly</w:t>
      </w:r>
      <w:r w:rsidR="00302496" w:rsidRPr="00A51861">
        <w:rPr>
          <w:rFonts w:ascii="Cambria" w:eastAsia="Calibri" w:hAnsi="Cambria"/>
          <w:sz w:val="20"/>
          <w:szCs w:val="20"/>
          <w:bdr w:val="none" w:sz="0" w:space="0" w:color="auto"/>
        </w:rPr>
        <w:t>,</w:t>
      </w:r>
      <w:r w:rsidR="00E92985">
        <w:rPr>
          <w:rFonts w:ascii="Cambria" w:eastAsia="Calibri" w:hAnsi="Cambria"/>
          <w:sz w:val="20"/>
          <w:szCs w:val="20"/>
          <w:bdr w:val="none" w:sz="0" w:space="0" w:color="auto"/>
        </w:rPr>
        <w:t xml:space="preserve"> </w:t>
      </w:r>
      <w:r w:rsidR="005617BA">
        <w:rPr>
          <w:rFonts w:ascii="Cambria" w:eastAsia="Calibri" w:hAnsi="Cambria"/>
          <w:sz w:val="20"/>
          <w:szCs w:val="20"/>
          <w:bdr w:val="none" w:sz="0" w:space="0" w:color="auto"/>
        </w:rPr>
        <w:t>in accordance with the</w:t>
      </w:r>
      <w:r w:rsidR="00302496" w:rsidRPr="00A51861">
        <w:rPr>
          <w:rFonts w:ascii="Cambria" w:eastAsia="Calibri" w:hAnsi="Cambria"/>
          <w:sz w:val="20"/>
          <w:szCs w:val="20"/>
          <w:bdr w:val="none" w:sz="0" w:space="0" w:color="auto"/>
        </w:rPr>
        <w:t xml:space="preserve"> </w:t>
      </w:r>
      <w:r w:rsidR="005617BA">
        <w:rPr>
          <w:rFonts w:ascii="Cambria" w:eastAsia="Calibri" w:hAnsi="Cambria"/>
          <w:sz w:val="20"/>
          <w:szCs w:val="20"/>
          <w:bdr w:val="none" w:sz="0" w:space="0" w:color="auto"/>
        </w:rPr>
        <w:t>international</w:t>
      </w:r>
      <w:r w:rsidR="005617BA" w:rsidRPr="00A51861">
        <w:rPr>
          <w:rFonts w:ascii="Cambria" w:eastAsia="Calibri" w:hAnsi="Cambria"/>
          <w:sz w:val="20"/>
          <w:szCs w:val="20"/>
          <w:bdr w:val="none" w:sz="0" w:space="0" w:color="auto"/>
        </w:rPr>
        <w:t xml:space="preserve"> </w:t>
      </w:r>
      <w:r w:rsidR="00302496" w:rsidRPr="00A51861">
        <w:rPr>
          <w:rFonts w:ascii="Cambria" w:eastAsia="Calibri" w:hAnsi="Cambria"/>
          <w:i/>
          <w:sz w:val="20"/>
          <w:szCs w:val="20"/>
          <w:bdr w:val="none" w:sz="0" w:space="0" w:color="auto"/>
        </w:rPr>
        <w:t>corpus juris</w:t>
      </w:r>
      <w:r w:rsidR="00302496" w:rsidRPr="00A51861">
        <w:rPr>
          <w:rFonts w:ascii="Cambria" w:eastAsia="Calibri" w:hAnsi="Cambria"/>
          <w:sz w:val="20"/>
          <w:szCs w:val="20"/>
          <w:bdr w:val="none" w:sz="0" w:space="0" w:color="auto"/>
        </w:rPr>
        <w:t xml:space="preserve"> </w:t>
      </w:r>
      <w:r w:rsidR="005617BA">
        <w:rPr>
          <w:rFonts w:ascii="Cambria" w:eastAsia="Calibri" w:hAnsi="Cambria"/>
          <w:sz w:val="20"/>
          <w:szCs w:val="20"/>
          <w:bdr w:val="none" w:sz="0" w:space="0" w:color="auto"/>
        </w:rPr>
        <w:t>applicable for</w:t>
      </w:r>
      <w:r w:rsidR="00302496" w:rsidRPr="00A51861">
        <w:rPr>
          <w:rFonts w:ascii="Cambria" w:eastAsia="Calibri" w:hAnsi="Cambria"/>
          <w:sz w:val="20"/>
          <w:szCs w:val="20"/>
          <w:bdr w:val="none" w:sz="0" w:space="0" w:color="auto"/>
        </w:rPr>
        <w:t xml:space="preserve"> </w:t>
      </w:r>
      <w:r w:rsidR="005617BA">
        <w:rPr>
          <w:rFonts w:ascii="Cambria" w:eastAsia="Calibri" w:hAnsi="Cambria"/>
          <w:sz w:val="20"/>
          <w:szCs w:val="20"/>
          <w:bdr w:val="none" w:sz="0" w:space="0" w:color="auto"/>
        </w:rPr>
        <w:t>migrant persons</w:t>
      </w:r>
      <w:r w:rsidR="00302496" w:rsidRPr="00A51861">
        <w:rPr>
          <w:rFonts w:ascii="Cambria" w:eastAsia="Calibri" w:hAnsi="Cambria"/>
          <w:sz w:val="20"/>
          <w:szCs w:val="20"/>
          <w:bdr w:val="none" w:sz="0" w:space="0" w:color="auto"/>
        </w:rPr>
        <w:t xml:space="preserve">, </w:t>
      </w:r>
      <w:r w:rsidR="005617BA">
        <w:rPr>
          <w:rFonts w:ascii="Cambria" w:eastAsia="Calibri" w:hAnsi="Cambria"/>
          <w:sz w:val="20"/>
          <w:szCs w:val="20"/>
          <w:bdr w:val="none" w:sz="0" w:space="0" w:color="auto"/>
        </w:rPr>
        <w:t>the</w:t>
      </w:r>
      <w:r w:rsidR="00302496" w:rsidRPr="00A51861">
        <w:rPr>
          <w:rFonts w:ascii="Cambria" w:eastAsia="Calibri" w:hAnsi="Cambria"/>
          <w:sz w:val="20"/>
          <w:szCs w:val="20"/>
          <w:bdr w:val="none" w:sz="0" w:space="0" w:color="auto"/>
        </w:rPr>
        <w:t xml:space="preserve"> </w:t>
      </w:r>
      <w:r w:rsidR="00E92985">
        <w:rPr>
          <w:rFonts w:ascii="Cambria" w:eastAsia="Calibri" w:hAnsi="Cambria"/>
          <w:sz w:val="20"/>
          <w:szCs w:val="20"/>
          <w:bdr w:val="none" w:sz="0" w:space="0" w:color="auto"/>
        </w:rPr>
        <w:t>Inter-American system</w:t>
      </w:r>
      <w:r w:rsidR="00302496" w:rsidRPr="00A51861">
        <w:rPr>
          <w:rFonts w:ascii="Cambria" w:eastAsia="Calibri" w:hAnsi="Cambria"/>
          <w:sz w:val="20"/>
          <w:szCs w:val="20"/>
          <w:bdr w:val="none" w:sz="0" w:space="0" w:color="auto"/>
        </w:rPr>
        <w:t xml:space="preserve"> </w:t>
      </w:r>
      <w:r w:rsidR="005617BA">
        <w:rPr>
          <w:rFonts w:ascii="Cambria" w:eastAsia="Calibri" w:hAnsi="Cambria"/>
          <w:sz w:val="20"/>
          <w:szCs w:val="20"/>
          <w:bdr w:val="none" w:sz="0" w:space="0" w:color="auto"/>
        </w:rPr>
        <w:t>recognizes the</w:t>
      </w:r>
      <w:r w:rsidR="00302496" w:rsidRPr="00A51861">
        <w:rPr>
          <w:rFonts w:ascii="Cambria" w:eastAsia="Calibri" w:hAnsi="Cambria"/>
          <w:sz w:val="20"/>
          <w:szCs w:val="20"/>
          <w:bdr w:val="none" w:sz="0" w:space="0" w:color="auto"/>
        </w:rPr>
        <w:t xml:space="preserve"> </w:t>
      </w:r>
      <w:r w:rsidR="009B462E">
        <w:rPr>
          <w:rFonts w:ascii="Cambria" w:eastAsia="Calibri" w:hAnsi="Cambria"/>
          <w:sz w:val="20"/>
          <w:szCs w:val="20"/>
          <w:bdr w:val="none" w:sz="0" w:space="0" w:color="auto"/>
        </w:rPr>
        <w:t xml:space="preserve">right of </w:t>
      </w:r>
      <w:r w:rsidR="005617BA">
        <w:rPr>
          <w:rFonts w:ascii="Cambria" w:eastAsia="Calibri" w:hAnsi="Cambria"/>
          <w:sz w:val="20"/>
          <w:szCs w:val="20"/>
          <w:bdr w:val="none" w:sz="0" w:space="0" w:color="auto"/>
        </w:rPr>
        <w:t>any foreign person</w:t>
      </w:r>
      <w:r w:rsidR="00302496" w:rsidRPr="00A51861">
        <w:rPr>
          <w:rFonts w:ascii="Cambria" w:eastAsia="Calibri" w:hAnsi="Cambria"/>
          <w:sz w:val="20"/>
          <w:szCs w:val="20"/>
          <w:bdr w:val="none" w:sz="0" w:space="0" w:color="auto"/>
        </w:rPr>
        <w:t>,</w:t>
      </w:r>
      <w:r w:rsidR="00E92985">
        <w:rPr>
          <w:rFonts w:ascii="Cambria" w:eastAsia="Calibri" w:hAnsi="Cambria"/>
          <w:sz w:val="20"/>
          <w:szCs w:val="20"/>
          <w:bdr w:val="none" w:sz="0" w:space="0" w:color="auto"/>
        </w:rPr>
        <w:t xml:space="preserve"> and </w:t>
      </w:r>
      <w:r w:rsidR="00302496" w:rsidRPr="00A51861">
        <w:rPr>
          <w:rFonts w:ascii="Cambria" w:eastAsia="Calibri" w:hAnsi="Cambria"/>
          <w:sz w:val="20"/>
          <w:szCs w:val="20"/>
          <w:bdr w:val="none" w:sz="0" w:space="0" w:color="auto"/>
        </w:rPr>
        <w:t xml:space="preserve">no </w:t>
      </w:r>
      <w:r w:rsidR="005617BA">
        <w:rPr>
          <w:rFonts w:ascii="Cambria" w:eastAsia="Calibri" w:hAnsi="Cambria"/>
          <w:sz w:val="20"/>
          <w:szCs w:val="20"/>
          <w:bdr w:val="none" w:sz="0" w:space="0" w:color="auto"/>
        </w:rPr>
        <w:t>only</w:t>
      </w:r>
      <w:r w:rsidR="0029564F">
        <w:rPr>
          <w:rFonts w:ascii="Cambria" w:eastAsia="Calibri" w:hAnsi="Cambria"/>
          <w:sz w:val="20"/>
          <w:szCs w:val="20"/>
          <w:bdr w:val="none" w:sz="0" w:space="0" w:color="auto"/>
        </w:rPr>
        <w:t xml:space="preserve"> </w:t>
      </w:r>
      <w:r w:rsidR="005617BA">
        <w:rPr>
          <w:rFonts w:ascii="Cambria" w:eastAsia="Calibri" w:hAnsi="Cambria"/>
          <w:sz w:val="20"/>
          <w:szCs w:val="20"/>
          <w:bdr w:val="none" w:sz="0" w:space="0" w:color="auto"/>
        </w:rPr>
        <w:t>for isolated persons</w:t>
      </w:r>
      <w:r w:rsidR="00E92985">
        <w:rPr>
          <w:rFonts w:ascii="Cambria" w:eastAsia="Calibri" w:hAnsi="Cambria"/>
          <w:sz w:val="20"/>
          <w:szCs w:val="20"/>
          <w:bdr w:val="none" w:sz="0" w:space="0" w:color="auto"/>
        </w:rPr>
        <w:t xml:space="preserve"> or </w:t>
      </w:r>
      <w:r w:rsidR="004E09A3">
        <w:rPr>
          <w:rFonts w:ascii="Cambria" w:eastAsia="Calibri" w:hAnsi="Cambria"/>
          <w:sz w:val="20"/>
          <w:szCs w:val="20"/>
          <w:bdr w:val="none" w:sz="0" w:space="0" w:color="auto"/>
        </w:rPr>
        <w:t>refugee</w:t>
      </w:r>
      <w:r w:rsidR="00302496" w:rsidRPr="00A51861">
        <w:rPr>
          <w:rFonts w:ascii="Cambria" w:eastAsia="Calibri" w:hAnsi="Cambria"/>
          <w:sz w:val="20"/>
          <w:szCs w:val="20"/>
          <w:bdr w:val="none" w:sz="0" w:space="0" w:color="auto"/>
        </w:rPr>
        <w:t xml:space="preserve">s, </w:t>
      </w:r>
      <w:r w:rsidR="00053FF6">
        <w:rPr>
          <w:rFonts w:ascii="Cambria" w:eastAsia="Calibri" w:hAnsi="Cambria"/>
          <w:sz w:val="20"/>
          <w:szCs w:val="20"/>
          <w:bdr w:val="none" w:sz="0" w:space="0" w:color="auto"/>
        </w:rPr>
        <w:t>to</w:t>
      </w:r>
      <w:r w:rsidR="009A4F91">
        <w:rPr>
          <w:rFonts w:ascii="Cambria" w:eastAsia="Calibri" w:hAnsi="Cambria"/>
          <w:sz w:val="20"/>
          <w:szCs w:val="20"/>
          <w:bdr w:val="none" w:sz="0" w:space="0" w:color="auto"/>
        </w:rPr>
        <w:t xml:space="preserve"> the </w:t>
      </w:r>
      <w:r w:rsidR="00302496" w:rsidRPr="00A51861">
        <w:rPr>
          <w:rFonts w:ascii="Cambria" w:eastAsia="Calibri" w:hAnsi="Cambria"/>
          <w:sz w:val="20"/>
          <w:szCs w:val="20"/>
          <w:bdr w:val="none" w:sz="0" w:space="0" w:color="auto"/>
        </w:rPr>
        <w:t>no</w:t>
      </w:r>
      <w:r w:rsidR="00053FF6">
        <w:rPr>
          <w:rFonts w:ascii="Cambria" w:eastAsia="Calibri" w:hAnsi="Cambria"/>
          <w:sz w:val="20"/>
          <w:szCs w:val="20"/>
          <w:bdr w:val="none" w:sz="0" w:space="0" w:color="auto"/>
        </w:rPr>
        <w:t>n-undue return when their lives</w:t>
      </w:r>
      <w:r w:rsidR="00302496" w:rsidRPr="00A51861">
        <w:rPr>
          <w:rFonts w:ascii="Cambria" w:eastAsia="Calibri" w:hAnsi="Cambria"/>
          <w:sz w:val="20"/>
          <w:szCs w:val="20"/>
          <w:bdr w:val="none" w:sz="0" w:space="0" w:color="auto"/>
        </w:rPr>
        <w:t>, integri</w:t>
      </w:r>
      <w:r w:rsidR="00FA2E7B">
        <w:rPr>
          <w:rFonts w:ascii="Cambria" w:eastAsia="Calibri" w:hAnsi="Cambria"/>
          <w:sz w:val="20"/>
          <w:szCs w:val="20"/>
          <w:bdr w:val="none" w:sz="0" w:space="0" w:color="auto"/>
        </w:rPr>
        <w:t xml:space="preserve">ty </w:t>
      </w:r>
      <w:r w:rsidR="00B47E06">
        <w:rPr>
          <w:rFonts w:ascii="Cambria" w:eastAsia="Calibri" w:hAnsi="Cambria"/>
          <w:sz w:val="20"/>
          <w:szCs w:val="20"/>
          <w:bdr w:val="none" w:sz="0" w:space="0" w:color="auto"/>
        </w:rPr>
        <w:t xml:space="preserve">and/or </w:t>
      </w:r>
      <w:r w:rsidR="00302496" w:rsidRPr="00A51861">
        <w:rPr>
          <w:rFonts w:ascii="Cambria" w:eastAsia="Calibri" w:hAnsi="Cambria"/>
          <w:sz w:val="20"/>
          <w:szCs w:val="20"/>
          <w:bdr w:val="none" w:sz="0" w:space="0" w:color="auto"/>
        </w:rPr>
        <w:t>libert</w:t>
      </w:r>
      <w:r w:rsidR="00053FF6">
        <w:rPr>
          <w:rFonts w:ascii="Cambria" w:eastAsia="Calibri" w:hAnsi="Cambria"/>
          <w:sz w:val="20"/>
          <w:szCs w:val="20"/>
          <w:bdr w:val="none" w:sz="0" w:space="0" w:color="auto"/>
        </w:rPr>
        <w:t>y</w:t>
      </w:r>
      <w:r w:rsidR="00302496" w:rsidRPr="00A51861">
        <w:rPr>
          <w:rFonts w:ascii="Cambria" w:eastAsia="Calibri" w:hAnsi="Cambria"/>
          <w:sz w:val="20"/>
          <w:szCs w:val="20"/>
          <w:bdr w:val="none" w:sz="0" w:space="0" w:color="auto"/>
        </w:rPr>
        <w:t xml:space="preserve"> </w:t>
      </w:r>
      <w:r w:rsidR="00053FF6">
        <w:rPr>
          <w:rFonts w:ascii="Cambria" w:eastAsia="Calibri" w:hAnsi="Cambria"/>
          <w:sz w:val="20"/>
          <w:szCs w:val="20"/>
          <w:bdr w:val="none" w:sz="0" w:space="0" w:color="auto"/>
        </w:rPr>
        <w:t>be at risk of</w:t>
      </w:r>
      <w:r w:rsidR="00E92985">
        <w:rPr>
          <w:rFonts w:ascii="Cambria" w:eastAsia="Calibri" w:hAnsi="Cambria"/>
          <w:sz w:val="20"/>
          <w:szCs w:val="20"/>
          <w:bdr w:val="none" w:sz="0" w:space="0" w:color="auto"/>
        </w:rPr>
        <w:t xml:space="preserve"> </w:t>
      </w:r>
      <w:r w:rsidR="004E1083">
        <w:rPr>
          <w:rFonts w:ascii="Cambria" w:eastAsia="Calibri" w:hAnsi="Cambria"/>
          <w:sz w:val="20"/>
          <w:szCs w:val="20"/>
          <w:bdr w:val="none" w:sz="0" w:space="0" w:color="auto"/>
        </w:rPr>
        <w:t>violation</w:t>
      </w:r>
      <w:r w:rsidR="00302496" w:rsidRPr="00A51861">
        <w:rPr>
          <w:rFonts w:ascii="Cambria" w:eastAsia="Calibri" w:hAnsi="Cambria"/>
          <w:sz w:val="20"/>
          <w:szCs w:val="20"/>
          <w:bdr w:val="none" w:sz="0" w:space="0" w:color="auto"/>
        </w:rPr>
        <w:t xml:space="preserve">, </w:t>
      </w:r>
      <w:r w:rsidR="00053FF6">
        <w:rPr>
          <w:rFonts w:ascii="Cambria" w:eastAsia="Calibri" w:hAnsi="Cambria"/>
          <w:sz w:val="20"/>
          <w:szCs w:val="20"/>
          <w:bdr w:val="none" w:sz="0" w:space="0" w:color="auto"/>
        </w:rPr>
        <w:t>no matter their legal status</w:t>
      </w:r>
      <w:r w:rsidR="00302496" w:rsidRPr="00A51861">
        <w:rPr>
          <w:rFonts w:ascii="Cambria" w:eastAsia="Calibri" w:hAnsi="Cambria"/>
          <w:sz w:val="20"/>
          <w:szCs w:val="20"/>
          <w:bdr w:val="none" w:sz="0" w:space="0" w:color="auto"/>
        </w:rPr>
        <w:t xml:space="preserve"> </w:t>
      </w:r>
      <w:r w:rsidR="00E92985">
        <w:rPr>
          <w:rFonts w:ascii="Cambria" w:eastAsia="Calibri" w:hAnsi="Cambria"/>
          <w:sz w:val="20"/>
          <w:szCs w:val="20"/>
          <w:bdr w:val="none" w:sz="0" w:space="0" w:color="auto"/>
        </w:rPr>
        <w:t xml:space="preserve">or </w:t>
      </w:r>
      <w:r w:rsidR="00302496" w:rsidRPr="00A51861">
        <w:rPr>
          <w:rFonts w:ascii="Cambria" w:eastAsia="Calibri" w:hAnsi="Cambria"/>
          <w:sz w:val="20"/>
          <w:szCs w:val="20"/>
          <w:bdr w:val="none" w:sz="0" w:space="0" w:color="auto"/>
        </w:rPr>
        <w:t>migrator</w:t>
      </w:r>
      <w:r w:rsidR="00053FF6">
        <w:rPr>
          <w:rFonts w:ascii="Cambria" w:eastAsia="Calibri" w:hAnsi="Cambria"/>
          <w:sz w:val="20"/>
          <w:szCs w:val="20"/>
          <w:bdr w:val="none" w:sz="0" w:space="0" w:color="auto"/>
        </w:rPr>
        <w:t>y</w:t>
      </w:r>
      <w:r w:rsidR="00302496" w:rsidRPr="00A51861">
        <w:rPr>
          <w:rFonts w:ascii="Cambria" w:eastAsia="Calibri" w:hAnsi="Cambria"/>
          <w:sz w:val="20"/>
          <w:szCs w:val="20"/>
          <w:bdr w:val="none" w:sz="0" w:space="0" w:color="auto"/>
        </w:rPr>
        <w:t xml:space="preserve"> </w:t>
      </w:r>
      <w:r w:rsidR="00053FF6" w:rsidRPr="00A51861">
        <w:rPr>
          <w:rFonts w:ascii="Cambria" w:eastAsia="Calibri" w:hAnsi="Cambria"/>
          <w:sz w:val="20"/>
          <w:szCs w:val="20"/>
          <w:bdr w:val="none" w:sz="0" w:space="0" w:color="auto"/>
        </w:rPr>
        <w:t xml:space="preserve">condition </w:t>
      </w:r>
      <w:r w:rsidR="00053FF6">
        <w:rPr>
          <w:rFonts w:ascii="Cambria" w:eastAsia="Calibri" w:hAnsi="Cambria"/>
          <w:sz w:val="20"/>
          <w:szCs w:val="20"/>
          <w:bdr w:val="none" w:sz="0" w:space="0" w:color="auto"/>
        </w:rPr>
        <w:t>in the country at where they are</w:t>
      </w:r>
      <w:r w:rsidR="00302496" w:rsidRPr="00A51861">
        <w:rPr>
          <w:rFonts w:ascii="Cambria" w:eastAsia="Calibri" w:hAnsi="Cambria"/>
          <w:sz w:val="20"/>
          <w:szCs w:val="20"/>
          <w:bdr w:val="none" w:sz="0" w:space="0" w:color="auto"/>
          <w:vertAlign w:val="superscript"/>
        </w:rPr>
        <w:footnoteReference w:id="191"/>
      </w:r>
      <w:r w:rsidR="00302496" w:rsidRPr="00A51861">
        <w:rPr>
          <w:rFonts w:ascii="Cambria" w:eastAsia="Calibri" w:hAnsi="Cambria"/>
          <w:sz w:val="20"/>
          <w:szCs w:val="20"/>
          <w:bdr w:val="none" w:sz="0" w:space="0" w:color="auto"/>
        </w:rPr>
        <w:t>.</w:t>
      </w:r>
      <w:r w:rsidR="00E92985">
        <w:rPr>
          <w:rFonts w:ascii="Cambria" w:eastAsia="Calibri" w:hAnsi="Cambria" w:cs="Tahoma"/>
          <w:color w:val="000000"/>
          <w:sz w:val="20"/>
          <w:szCs w:val="20"/>
          <w:bdr w:val="none" w:sz="0" w:space="0" w:color="auto"/>
        </w:rPr>
        <w:t xml:space="preserve"> </w:t>
      </w:r>
      <w:r w:rsidR="00053FF6">
        <w:rPr>
          <w:rFonts w:ascii="Cambria" w:eastAsia="Calibri" w:hAnsi="Cambria" w:cs="Tahoma"/>
          <w:color w:val="000000"/>
          <w:sz w:val="20"/>
          <w:szCs w:val="20"/>
          <w:bdr w:val="none" w:sz="0" w:space="0" w:color="auto"/>
        </w:rPr>
        <w:t>This way</w:t>
      </w:r>
      <w:r w:rsidR="00302496" w:rsidRPr="00A51861">
        <w:rPr>
          <w:rFonts w:ascii="Cambria" w:eastAsia="Calibri" w:hAnsi="Cambria"/>
          <w:sz w:val="20"/>
          <w:szCs w:val="20"/>
          <w:bdr w:val="none" w:sz="0" w:space="0" w:color="auto"/>
        </w:rPr>
        <w:t xml:space="preserve">, </w:t>
      </w:r>
      <w:r w:rsidR="00053FF6">
        <w:rPr>
          <w:rFonts w:ascii="Cambria" w:eastAsia="Calibri" w:hAnsi="Cambria"/>
          <w:sz w:val="20"/>
          <w:szCs w:val="20"/>
          <w:bdr w:val="none" w:sz="0" w:space="0" w:color="auto"/>
        </w:rPr>
        <w:t xml:space="preserve">it </w:t>
      </w:r>
      <w:r w:rsidR="00302496" w:rsidRPr="00A51861">
        <w:rPr>
          <w:rFonts w:ascii="Cambria" w:eastAsia="Calibri" w:hAnsi="Cambria"/>
          <w:sz w:val="20"/>
          <w:szCs w:val="20"/>
          <w:bdr w:val="none" w:sz="0" w:space="0" w:color="auto"/>
        </w:rPr>
        <w:t>ha</w:t>
      </w:r>
      <w:r w:rsidR="00053FF6">
        <w:rPr>
          <w:rFonts w:ascii="Cambria" w:eastAsia="Calibri" w:hAnsi="Cambria"/>
          <w:sz w:val="20"/>
          <w:szCs w:val="20"/>
          <w:bdr w:val="none" w:sz="0" w:space="0" w:color="auto"/>
        </w:rPr>
        <w:t>s</w:t>
      </w:r>
      <w:r w:rsidR="00302496" w:rsidRPr="00A51861">
        <w:rPr>
          <w:rFonts w:ascii="Cambria" w:eastAsia="Calibri" w:hAnsi="Cambria"/>
          <w:sz w:val="20"/>
          <w:szCs w:val="20"/>
          <w:bdr w:val="none" w:sz="0" w:space="0" w:color="auto"/>
        </w:rPr>
        <w:t xml:space="preserve"> refer</w:t>
      </w:r>
      <w:r w:rsidR="00053FF6">
        <w:rPr>
          <w:rFonts w:ascii="Cambria" w:eastAsia="Calibri" w:hAnsi="Cambria"/>
          <w:sz w:val="20"/>
          <w:szCs w:val="20"/>
          <w:bdr w:val="none" w:sz="0" w:space="0" w:color="auto"/>
        </w:rPr>
        <w:t>red</w:t>
      </w:r>
      <w:r w:rsidR="00302496" w:rsidRPr="00A51861">
        <w:rPr>
          <w:rFonts w:ascii="Cambria" w:eastAsia="Calibri" w:hAnsi="Cambria"/>
          <w:sz w:val="20"/>
          <w:szCs w:val="20"/>
          <w:bdr w:val="none" w:sz="0" w:space="0" w:color="auto"/>
        </w:rPr>
        <w:t xml:space="preserve"> </w:t>
      </w:r>
      <w:r w:rsidR="00053FF6">
        <w:rPr>
          <w:rFonts w:ascii="Cambria" w:eastAsia="Calibri" w:hAnsi="Cambria"/>
          <w:sz w:val="20"/>
          <w:szCs w:val="20"/>
          <w:bdr w:val="none" w:sz="0" w:space="0" w:color="auto"/>
        </w:rPr>
        <w:t>that when a foreigner</w:t>
      </w:r>
      <w:r w:rsidR="00302496" w:rsidRPr="00A51861">
        <w:rPr>
          <w:rFonts w:ascii="Cambria" w:eastAsia="Calibri" w:hAnsi="Cambria"/>
          <w:sz w:val="20"/>
          <w:szCs w:val="20"/>
          <w:bdr w:val="none" w:sz="0" w:space="0" w:color="auto"/>
        </w:rPr>
        <w:t xml:space="preserve"> </w:t>
      </w:r>
      <w:r w:rsidR="00053FF6">
        <w:rPr>
          <w:rFonts w:ascii="Cambria" w:eastAsia="Calibri" w:hAnsi="Cambria"/>
          <w:sz w:val="20"/>
          <w:szCs w:val="20"/>
          <w:bdr w:val="none" w:sz="0" w:space="0" w:color="auto"/>
        </w:rPr>
        <w:t>claims before a</w:t>
      </w:r>
      <w:r w:rsidR="005617BA">
        <w:rPr>
          <w:rFonts w:ascii="Cambria" w:eastAsia="Calibri" w:hAnsi="Cambria"/>
          <w:sz w:val="20"/>
          <w:szCs w:val="20"/>
          <w:bdr w:val="none" w:sz="0" w:space="0" w:color="auto"/>
        </w:rPr>
        <w:t xml:space="preserve"> State </w:t>
      </w:r>
      <w:r w:rsidR="00053FF6">
        <w:rPr>
          <w:rFonts w:ascii="Cambria" w:eastAsia="Calibri" w:hAnsi="Cambria"/>
          <w:sz w:val="20"/>
          <w:szCs w:val="20"/>
          <w:bdr w:val="none" w:sz="0" w:space="0" w:color="auto"/>
        </w:rPr>
        <w:t>a risk in case of returning</w:t>
      </w:r>
      <w:r w:rsidR="00302496" w:rsidRPr="00A51861">
        <w:rPr>
          <w:rFonts w:ascii="Cambria" w:eastAsia="Calibri" w:hAnsi="Cambria"/>
          <w:sz w:val="20"/>
          <w:szCs w:val="20"/>
          <w:bdr w:val="none" w:sz="0" w:space="0" w:color="auto"/>
        </w:rPr>
        <w:t xml:space="preserve">, </w:t>
      </w:r>
      <w:r w:rsidR="00053FF6">
        <w:rPr>
          <w:rFonts w:ascii="Cambria" w:eastAsia="Calibri" w:hAnsi="Cambria"/>
          <w:sz w:val="20"/>
          <w:szCs w:val="20"/>
          <w:bdr w:val="none" w:sz="0" w:space="0" w:color="auto"/>
        </w:rPr>
        <w:t xml:space="preserve">the competent </w:t>
      </w:r>
      <w:r w:rsidR="00940530">
        <w:rPr>
          <w:rFonts w:ascii="Cambria" w:eastAsia="Calibri" w:hAnsi="Cambria"/>
          <w:sz w:val="20"/>
          <w:szCs w:val="20"/>
          <w:bdr w:val="none" w:sz="0" w:space="0" w:color="auto"/>
        </w:rPr>
        <w:t>authorities</w:t>
      </w:r>
      <w:r w:rsidR="00302496" w:rsidRPr="00A51861">
        <w:rPr>
          <w:rFonts w:ascii="Cambria" w:eastAsia="Calibri" w:hAnsi="Cambria"/>
          <w:sz w:val="20"/>
          <w:szCs w:val="20"/>
          <w:bdr w:val="none" w:sz="0" w:space="0" w:color="auto"/>
        </w:rPr>
        <w:t xml:space="preserve"> </w:t>
      </w:r>
      <w:r w:rsidR="00E92985">
        <w:rPr>
          <w:rFonts w:ascii="Cambria" w:eastAsia="Calibri" w:hAnsi="Cambria"/>
          <w:sz w:val="20"/>
          <w:szCs w:val="20"/>
          <w:bdr w:val="none" w:sz="0" w:space="0" w:color="auto"/>
        </w:rPr>
        <w:t xml:space="preserve">of </w:t>
      </w:r>
      <w:r w:rsidR="00053FF6">
        <w:rPr>
          <w:rFonts w:ascii="Cambria" w:eastAsia="Calibri" w:hAnsi="Cambria"/>
          <w:sz w:val="20"/>
          <w:szCs w:val="20"/>
          <w:bdr w:val="none" w:sz="0" w:space="0" w:color="auto"/>
        </w:rPr>
        <w:t>said</w:t>
      </w:r>
      <w:r w:rsidR="00302496" w:rsidRPr="00A51861">
        <w:rPr>
          <w:rFonts w:ascii="Cambria" w:eastAsia="Calibri" w:hAnsi="Cambria"/>
          <w:sz w:val="20"/>
          <w:szCs w:val="20"/>
          <w:bdr w:val="none" w:sz="0" w:space="0" w:color="auto"/>
        </w:rPr>
        <w:t xml:space="preserve"> </w:t>
      </w:r>
      <w:r w:rsidR="00053FF6">
        <w:rPr>
          <w:rFonts w:ascii="Cambria" w:eastAsia="Calibri" w:hAnsi="Cambria"/>
          <w:sz w:val="20"/>
          <w:szCs w:val="20"/>
          <w:bdr w:val="none" w:sz="0" w:space="0" w:color="auto"/>
        </w:rPr>
        <w:t>State</w:t>
      </w:r>
      <w:r w:rsidR="00302496" w:rsidRPr="00A51861">
        <w:rPr>
          <w:rFonts w:ascii="Cambria" w:eastAsia="Calibri" w:hAnsi="Cambria"/>
          <w:sz w:val="20"/>
          <w:szCs w:val="20"/>
          <w:bdr w:val="none" w:sz="0" w:space="0" w:color="auto"/>
        </w:rPr>
        <w:t xml:space="preserve"> </w:t>
      </w:r>
      <w:r w:rsidR="00053FF6">
        <w:rPr>
          <w:rFonts w:ascii="Cambria" w:eastAsia="Calibri" w:hAnsi="Cambria"/>
          <w:sz w:val="20"/>
          <w:szCs w:val="20"/>
          <w:bdr w:val="none" w:sz="0" w:space="0" w:color="auto"/>
        </w:rPr>
        <w:t>shall</w:t>
      </w:r>
      <w:r w:rsidR="00302496" w:rsidRPr="00A51861">
        <w:rPr>
          <w:rFonts w:ascii="Cambria" w:eastAsia="Calibri" w:hAnsi="Cambria"/>
          <w:sz w:val="20"/>
          <w:szCs w:val="20"/>
          <w:bdr w:val="none" w:sz="0" w:space="0" w:color="auto"/>
        </w:rPr>
        <w:t xml:space="preserve">, </w:t>
      </w:r>
      <w:r w:rsidR="00053FF6">
        <w:rPr>
          <w:rFonts w:ascii="Cambria" w:eastAsia="Calibri" w:hAnsi="Cambria"/>
          <w:sz w:val="20"/>
          <w:szCs w:val="20"/>
          <w:bdr w:val="none" w:sz="0" w:space="0" w:color="auto"/>
        </w:rPr>
        <w:t>at least</w:t>
      </w:r>
      <w:r w:rsidR="00302496" w:rsidRPr="00A51861">
        <w:rPr>
          <w:rFonts w:ascii="Cambria" w:eastAsia="Calibri" w:hAnsi="Cambria"/>
          <w:sz w:val="20"/>
          <w:szCs w:val="20"/>
          <w:bdr w:val="none" w:sz="0" w:space="0" w:color="auto"/>
        </w:rPr>
        <w:t xml:space="preserve">, </w:t>
      </w:r>
      <w:r w:rsidR="00053FF6">
        <w:rPr>
          <w:rFonts w:ascii="Cambria" w:eastAsia="Calibri" w:hAnsi="Cambria"/>
          <w:sz w:val="20"/>
          <w:szCs w:val="20"/>
          <w:bdr w:val="none" w:sz="0" w:space="0" w:color="auto"/>
        </w:rPr>
        <w:t>interview</w:t>
      </w:r>
      <w:r w:rsidR="009A4F91">
        <w:rPr>
          <w:rFonts w:ascii="Cambria" w:eastAsia="Calibri" w:hAnsi="Cambria"/>
          <w:sz w:val="20"/>
          <w:szCs w:val="20"/>
          <w:bdr w:val="none" w:sz="0" w:space="0" w:color="auto"/>
        </w:rPr>
        <w:t xml:space="preserve"> the </w:t>
      </w:r>
      <w:r w:rsidR="00EC7A58">
        <w:rPr>
          <w:rFonts w:ascii="Cambria" w:eastAsia="Calibri" w:hAnsi="Cambria"/>
          <w:sz w:val="20"/>
          <w:szCs w:val="20"/>
          <w:bdr w:val="none" w:sz="0" w:space="0" w:color="auto"/>
        </w:rPr>
        <w:t xml:space="preserve">person </w:t>
      </w:r>
      <w:r w:rsidR="00E92985">
        <w:rPr>
          <w:rFonts w:ascii="Cambria" w:eastAsia="Calibri" w:hAnsi="Cambria"/>
          <w:sz w:val="20"/>
          <w:szCs w:val="20"/>
          <w:bdr w:val="none" w:sz="0" w:space="0" w:color="auto"/>
        </w:rPr>
        <w:t xml:space="preserve">and </w:t>
      </w:r>
      <w:r w:rsidR="00053FF6">
        <w:rPr>
          <w:rFonts w:ascii="Cambria" w:eastAsia="Calibri" w:hAnsi="Cambria"/>
          <w:sz w:val="20"/>
          <w:szCs w:val="20"/>
          <w:bdr w:val="none" w:sz="0" w:space="0" w:color="auto"/>
        </w:rPr>
        <w:t>conduct a prior or</w:t>
      </w:r>
      <w:r w:rsidR="00E92985">
        <w:rPr>
          <w:rFonts w:ascii="Cambria" w:eastAsia="Calibri" w:hAnsi="Cambria"/>
          <w:sz w:val="20"/>
          <w:szCs w:val="20"/>
          <w:bdr w:val="none" w:sz="0" w:space="0" w:color="auto"/>
        </w:rPr>
        <w:t xml:space="preserve"> </w:t>
      </w:r>
      <w:r w:rsidR="00302496" w:rsidRPr="00A51861">
        <w:rPr>
          <w:rFonts w:ascii="Cambria" w:eastAsia="Calibri" w:hAnsi="Cambria"/>
          <w:sz w:val="20"/>
          <w:szCs w:val="20"/>
          <w:bdr w:val="none" w:sz="0" w:space="0" w:color="auto"/>
        </w:rPr>
        <w:t>preliminar</w:t>
      </w:r>
      <w:r w:rsidR="00053FF6">
        <w:rPr>
          <w:rFonts w:ascii="Cambria" w:eastAsia="Calibri" w:hAnsi="Cambria"/>
          <w:sz w:val="20"/>
          <w:szCs w:val="20"/>
          <w:bdr w:val="none" w:sz="0" w:space="0" w:color="auto"/>
        </w:rPr>
        <w:t>y assessment</w:t>
      </w:r>
      <w:r w:rsidR="00302496" w:rsidRPr="00A51861">
        <w:rPr>
          <w:rFonts w:ascii="Cambria" w:eastAsia="Calibri" w:hAnsi="Cambria"/>
          <w:sz w:val="20"/>
          <w:szCs w:val="20"/>
          <w:bdr w:val="none" w:sz="0" w:space="0" w:color="auto"/>
        </w:rPr>
        <w:t xml:space="preserve">, </w:t>
      </w:r>
      <w:r w:rsidR="00053FF6">
        <w:rPr>
          <w:rFonts w:ascii="Cambria" w:eastAsia="Calibri" w:hAnsi="Cambria"/>
          <w:sz w:val="20"/>
          <w:szCs w:val="20"/>
          <w:bdr w:val="none" w:sz="0" w:space="0" w:color="auto"/>
        </w:rPr>
        <w:t>so as to</w:t>
      </w:r>
      <w:r w:rsidR="00E92985">
        <w:rPr>
          <w:rFonts w:ascii="Cambria" w:eastAsia="Calibri" w:hAnsi="Cambria"/>
          <w:sz w:val="20"/>
          <w:szCs w:val="20"/>
          <w:bdr w:val="none" w:sz="0" w:space="0" w:color="auto"/>
        </w:rPr>
        <w:t xml:space="preserve"> </w:t>
      </w:r>
      <w:r w:rsidR="00302496" w:rsidRPr="00A51861">
        <w:rPr>
          <w:rFonts w:ascii="Cambria" w:eastAsia="Calibri" w:hAnsi="Cambria"/>
          <w:sz w:val="20"/>
          <w:szCs w:val="20"/>
          <w:bdr w:val="none" w:sz="0" w:space="0" w:color="auto"/>
        </w:rPr>
        <w:t>determin</w:t>
      </w:r>
      <w:r w:rsidR="00053FF6">
        <w:rPr>
          <w:rFonts w:ascii="Cambria" w:eastAsia="Calibri" w:hAnsi="Cambria"/>
          <w:sz w:val="20"/>
          <w:szCs w:val="20"/>
          <w:bdr w:val="none" w:sz="0" w:space="0" w:color="auto"/>
        </w:rPr>
        <w:t>e</w:t>
      </w:r>
      <w:r w:rsidR="00302496" w:rsidRPr="00A51861">
        <w:rPr>
          <w:rFonts w:ascii="Cambria" w:eastAsia="Calibri" w:hAnsi="Cambria"/>
          <w:sz w:val="20"/>
          <w:szCs w:val="20"/>
          <w:bdr w:val="none" w:sz="0" w:space="0" w:color="auto"/>
        </w:rPr>
        <w:t xml:space="preserve"> </w:t>
      </w:r>
      <w:r w:rsidR="00053FF6">
        <w:rPr>
          <w:rFonts w:ascii="Cambria" w:eastAsia="Calibri" w:hAnsi="Cambria"/>
          <w:sz w:val="20"/>
          <w:szCs w:val="20"/>
          <w:bdr w:val="none" w:sz="0" w:space="0" w:color="auto"/>
        </w:rPr>
        <w:t>whether said risk exists</w:t>
      </w:r>
      <w:r w:rsidR="00302496" w:rsidRPr="00A51861">
        <w:rPr>
          <w:rFonts w:ascii="Cambria" w:eastAsia="Calibri" w:hAnsi="Cambria"/>
          <w:sz w:val="20"/>
          <w:szCs w:val="20"/>
          <w:bdr w:val="none" w:sz="0" w:space="0" w:color="auto"/>
        </w:rPr>
        <w:t xml:space="preserve"> </w:t>
      </w:r>
      <w:r w:rsidR="00053FF6">
        <w:rPr>
          <w:rFonts w:ascii="Cambria" w:eastAsia="Calibri" w:hAnsi="Cambria"/>
          <w:sz w:val="20"/>
          <w:szCs w:val="20"/>
          <w:bdr w:val="none" w:sz="0" w:space="0" w:color="auto"/>
        </w:rPr>
        <w:t>in case</w:t>
      </w:r>
      <w:r w:rsidR="00E92985">
        <w:rPr>
          <w:rFonts w:ascii="Cambria" w:eastAsia="Calibri" w:hAnsi="Cambria"/>
          <w:sz w:val="20"/>
          <w:szCs w:val="20"/>
          <w:bdr w:val="none" w:sz="0" w:space="0" w:color="auto"/>
        </w:rPr>
        <w:t xml:space="preserve"> of </w:t>
      </w:r>
      <w:r w:rsidR="00103579">
        <w:rPr>
          <w:rFonts w:ascii="Cambria" w:eastAsia="Calibri" w:hAnsi="Cambria"/>
          <w:sz w:val="20"/>
          <w:szCs w:val="20"/>
          <w:bdr w:val="none" w:sz="0" w:space="0" w:color="auto"/>
        </w:rPr>
        <w:t>expulsion</w:t>
      </w:r>
      <w:r w:rsidR="001D1D61">
        <w:rPr>
          <w:rFonts w:ascii="Cambria" w:eastAsia="Calibri" w:hAnsi="Cambria"/>
          <w:sz w:val="20"/>
          <w:szCs w:val="20"/>
          <w:bdr w:val="none" w:sz="0" w:space="0" w:color="auto"/>
        </w:rPr>
        <w:t>. Th</w:t>
      </w:r>
      <w:r w:rsidR="009A4F91">
        <w:rPr>
          <w:rFonts w:ascii="Cambria" w:eastAsia="Calibri" w:hAnsi="Cambria"/>
          <w:sz w:val="20"/>
          <w:szCs w:val="20"/>
          <w:bdr w:val="none" w:sz="0" w:space="0" w:color="auto"/>
        </w:rPr>
        <w:t>is</w:t>
      </w:r>
      <w:r w:rsidR="00E64C43">
        <w:rPr>
          <w:rFonts w:ascii="Cambria" w:eastAsia="Calibri" w:hAnsi="Cambria"/>
          <w:sz w:val="20"/>
          <w:szCs w:val="20"/>
          <w:bdr w:val="none" w:sz="0" w:space="0" w:color="auto"/>
        </w:rPr>
        <w:t xml:space="preserve"> </w:t>
      </w:r>
      <w:r w:rsidR="005617BA">
        <w:rPr>
          <w:rFonts w:ascii="Cambria" w:eastAsia="Calibri" w:hAnsi="Cambria"/>
          <w:sz w:val="20"/>
          <w:szCs w:val="20"/>
          <w:bdr w:val="none" w:sz="0" w:space="0" w:color="auto"/>
        </w:rPr>
        <w:t xml:space="preserve">implies </w:t>
      </w:r>
      <w:r w:rsidR="00053FF6">
        <w:rPr>
          <w:rFonts w:ascii="Cambria" w:eastAsia="Calibri" w:hAnsi="Cambria"/>
          <w:sz w:val="20"/>
          <w:szCs w:val="20"/>
          <w:bdr w:val="none" w:sz="0" w:space="0" w:color="auto"/>
        </w:rPr>
        <w:t>respecting the minimum</w:t>
      </w:r>
      <w:r w:rsidR="00302496" w:rsidRPr="00A51861">
        <w:rPr>
          <w:rFonts w:ascii="Cambria" w:eastAsia="Calibri" w:hAnsi="Cambria"/>
          <w:sz w:val="20"/>
          <w:szCs w:val="20"/>
          <w:bdr w:val="none" w:sz="0" w:space="0" w:color="auto"/>
        </w:rPr>
        <w:t xml:space="preserve"> </w:t>
      </w:r>
      <w:r w:rsidR="009A4F91">
        <w:rPr>
          <w:rFonts w:ascii="Cambria" w:eastAsia="Calibri" w:hAnsi="Cambria"/>
          <w:sz w:val="20"/>
          <w:szCs w:val="20"/>
          <w:bdr w:val="none" w:sz="0" w:space="0" w:color="auto"/>
        </w:rPr>
        <w:t>guarantee</w:t>
      </w:r>
      <w:r w:rsidR="00302496" w:rsidRPr="00A51861">
        <w:rPr>
          <w:rFonts w:ascii="Cambria" w:eastAsia="Calibri" w:hAnsi="Cambria"/>
          <w:sz w:val="20"/>
          <w:szCs w:val="20"/>
          <w:bdr w:val="none" w:sz="0" w:space="0" w:color="auto"/>
        </w:rPr>
        <w:t xml:space="preserve">s </w:t>
      </w:r>
      <w:r w:rsidR="00053FF6">
        <w:rPr>
          <w:rFonts w:ascii="Cambria" w:eastAsia="Calibri" w:hAnsi="Cambria"/>
          <w:sz w:val="20"/>
          <w:szCs w:val="20"/>
          <w:bdr w:val="none" w:sz="0" w:space="0" w:color="auto"/>
        </w:rPr>
        <w:t>referred</w:t>
      </w:r>
      <w:r w:rsidR="00302496" w:rsidRPr="00A51861">
        <w:rPr>
          <w:rFonts w:ascii="Cambria" w:eastAsia="Calibri" w:hAnsi="Cambria"/>
          <w:sz w:val="20"/>
          <w:szCs w:val="20"/>
          <w:bdr w:val="none" w:sz="0" w:space="0" w:color="auto"/>
        </w:rPr>
        <w:t xml:space="preserve">, </w:t>
      </w:r>
      <w:r w:rsidR="00053FF6">
        <w:rPr>
          <w:rFonts w:ascii="Cambria" w:eastAsia="Calibri" w:hAnsi="Cambria"/>
          <w:sz w:val="20"/>
          <w:szCs w:val="20"/>
          <w:bdr w:val="none" w:sz="0" w:space="0" w:color="auto"/>
        </w:rPr>
        <w:t xml:space="preserve">as part of the due </w:t>
      </w:r>
      <w:r w:rsidR="00302496" w:rsidRPr="00A51861">
        <w:rPr>
          <w:rFonts w:ascii="Cambria" w:eastAsia="Calibri" w:hAnsi="Cambria"/>
          <w:sz w:val="20"/>
          <w:szCs w:val="20"/>
          <w:bdr w:val="none" w:sz="0" w:space="0" w:color="auto"/>
        </w:rPr>
        <w:t>op</w:t>
      </w:r>
      <w:r w:rsidR="00053FF6">
        <w:rPr>
          <w:rFonts w:ascii="Cambria" w:eastAsia="Calibri" w:hAnsi="Cambria"/>
          <w:sz w:val="20"/>
          <w:szCs w:val="20"/>
          <w:bdr w:val="none" w:sz="0" w:space="0" w:color="auto"/>
        </w:rPr>
        <w:t>p</w:t>
      </w:r>
      <w:r w:rsidR="00302496" w:rsidRPr="00A51861">
        <w:rPr>
          <w:rFonts w:ascii="Cambria" w:eastAsia="Calibri" w:hAnsi="Cambria"/>
          <w:sz w:val="20"/>
          <w:szCs w:val="20"/>
          <w:bdr w:val="none" w:sz="0" w:space="0" w:color="auto"/>
        </w:rPr>
        <w:t>ortuni</w:t>
      </w:r>
      <w:r w:rsidR="00FA2E7B">
        <w:rPr>
          <w:rFonts w:ascii="Cambria" w:eastAsia="Calibri" w:hAnsi="Cambria"/>
          <w:sz w:val="20"/>
          <w:szCs w:val="20"/>
          <w:bdr w:val="none" w:sz="0" w:space="0" w:color="auto"/>
        </w:rPr>
        <w:t xml:space="preserve">ty </w:t>
      </w:r>
      <w:r w:rsidR="00456935">
        <w:rPr>
          <w:rFonts w:ascii="Cambria" w:eastAsia="Calibri" w:hAnsi="Cambria"/>
          <w:sz w:val="20"/>
          <w:szCs w:val="20"/>
          <w:bdr w:val="none" w:sz="0" w:space="0" w:color="auto"/>
        </w:rPr>
        <w:t>to</w:t>
      </w:r>
      <w:r w:rsidR="00E92985">
        <w:rPr>
          <w:rFonts w:ascii="Cambria" w:eastAsia="Calibri" w:hAnsi="Cambria"/>
          <w:sz w:val="20"/>
          <w:szCs w:val="20"/>
          <w:bdr w:val="none" w:sz="0" w:space="0" w:color="auto"/>
        </w:rPr>
        <w:t xml:space="preserve"> </w:t>
      </w:r>
      <w:r w:rsidR="00302496" w:rsidRPr="00A51861">
        <w:rPr>
          <w:rFonts w:ascii="Cambria" w:eastAsia="Calibri" w:hAnsi="Cambria"/>
          <w:sz w:val="20"/>
          <w:szCs w:val="20"/>
          <w:bdr w:val="none" w:sz="0" w:space="0" w:color="auto"/>
        </w:rPr>
        <w:t>expo</w:t>
      </w:r>
      <w:r w:rsidR="00456935">
        <w:rPr>
          <w:rFonts w:ascii="Cambria" w:eastAsia="Calibri" w:hAnsi="Cambria"/>
          <w:sz w:val="20"/>
          <w:szCs w:val="20"/>
          <w:bdr w:val="none" w:sz="0" w:space="0" w:color="auto"/>
        </w:rPr>
        <w:t>s</w:t>
      </w:r>
      <w:r w:rsidR="00302496" w:rsidRPr="00A51861">
        <w:rPr>
          <w:rFonts w:ascii="Cambria" w:eastAsia="Calibri" w:hAnsi="Cambria"/>
          <w:sz w:val="20"/>
          <w:szCs w:val="20"/>
          <w:bdr w:val="none" w:sz="0" w:space="0" w:color="auto"/>
        </w:rPr>
        <w:t xml:space="preserve">e </w:t>
      </w:r>
      <w:r w:rsidR="00456935">
        <w:rPr>
          <w:rFonts w:ascii="Cambria" w:eastAsia="Calibri" w:hAnsi="Cambria"/>
          <w:sz w:val="20"/>
          <w:szCs w:val="20"/>
          <w:bdr w:val="none" w:sz="0" w:space="0" w:color="auto"/>
        </w:rPr>
        <w:t>the</w:t>
      </w:r>
      <w:r w:rsidR="00302496" w:rsidRPr="00A51861">
        <w:rPr>
          <w:rFonts w:ascii="Cambria" w:eastAsia="Calibri" w:hAnsi="Cambria"/>
          <w:sz w:val="20"/>
          <w:szCs w:val="20"/>
          <w:bdr w:val="none" w:sz="0" w:space="0" w:color="auto"/>
        </w:rPr>
        <w:t xml:space="preserve"> </w:t>
      </w:r>
      <w:r w:rsidR="00D70A85">
        <w:rPr>
          <w:rFonts w:ascii="Cambria" w:eastAsia="Calibri" w:hAnsi="Cambria"/>
          <w:sz w:val="20"/>
          <w:szCs w:val="20"/>
          <w:bdr w:val="none" w:sz="0" w:space="0" w:color="auto"/>
        </w:rPr>
        <w:t>reasons</w:t>
      </w:r>
      <w:r w:rsidR="00302496" w:rsidRPr="00A51861">
        <w:rPr>
          <w:rFonts w:ascii="Cambria" w:eastAsia="Calibri" w:hAnsi="Cambria"/>
          <w:sz w:val="20"/>
          <w:szCs w:val="20"/>
          <w:bdr w:val="none" w:sz="0" w:space="0" w:color="auto"/>
        </w:rPr>
        <w:t xml:space="preserve"> </w:t>
      </w:r>
      <w:r w:rsidR="00456935">
        <w:rPr>
          <w:rFonts w:ascii="Cambria" w:eastAsia="Calibri" w:hAnsi="Cambria"/>
          <w:sz w:val="20"/>
          <w:szCs w:val="20"/>
          <w:bdr w:val="none" w:sz="0" w:space="0" w:color="auto"/>
        </w:rPr>
        <w:t>which aid him or her</w:t>
      </w:r>
      <w:r w:rsidR="00302496" w:rsidRPr="00A51861">
        <w:rPr>
          <w:rFonts w:ascii="Cambria" w:eastAsia="Calibri" w:hAnsi="Cambria"/>
          <w:sz w:val="20"/>
          <w:szCs w:val="20"/>
          <w:bdr w:val="none" w:sz="0" w:space="0" w:color="auto"/>
        </w:rPr>
        <w:t xml:space="preserve"> </w:t>
      </w:r>
      <w:r w:rsidR="006E255A">
        <w:rPr>
          <w:rFonts w:ascii="Cambria" w:eastAsia="Calibri" w:hAnsi="Cambria"/>
          <w:sz w:val="20"/>
          <w:szCs w:val="20"/>
          <w:bdr w:val="none" w:sz="0" w:space="0" w:color="auto"/>
        </w:rPr>
        <w:t xml:space="preserve">against </w:t>
      </w:r>
      <w:r w:rsidR="00456935">
        <w:rPr>
          <w:rFonts w:ascii="Cambria" w:eastAsia="Calibri" w:hAnsi="Cambria"/>
          <w:sz w:val="20"/>
          <w:szCs w:val="20"/>
          <w:bdr w:val="none" w:sz="0" w:space="0" w:color="auto"/>
        </w:rPr>
        <w:t>his or her</w:t>
      </w:r>
      <w:r w:rsidR="00302496" w:rsidRPr="00A51861">
        <w:rPr>
          <w:rFonts w:ascii="Cambria" w:eastAsia="Calibri" w:hAnsi="Cambria"/>
          <w:sz w:val="20"/>
          <w:szCs w:val="20"/>
          <w:bdr w:val="none" w:sz="0" w:space="0" w:color="auto"/>
        </w:rPr>
        <w:t xml:space="preserve"> </w:t>
      </w:r>
      <w:r w:rsidR="00103579">
        <w:rPr>
          <w:rFonts w:ascii="Cambria" w:eastAsia="Calibri" w:hAnsi="Cambria"/>
          <w:sz w:val="20"/>
          <w:szCs w:val="20"/>
          <w:bdr w:val="none" w:sz="0" w:space="0" w:color="auto"/>
        </w:rPr>
        <w:t>expulsion</w:t>
      </w:r>
      <w:r w:rsidR="00302496" w:rsidRPr="00A51861">
        <w:rPr>
          <w:rFonts w:ascii="Cambria" w:eastAsia="Calibri" w:hAnsi="Cambria"/>
          <w:sz w:val="20"/>
          <w:szCs w:val="20"/>
          <w:bdr w:val="none" w:sz="0" w:space="0" w:color="auto"/>
        </w:rPr>
        <w:t xml:space="preserve"> </w:t>
      </w:r>
      <w:r w:rsidR="00456935">
        <w:rPr>
          <w:rFonts w:ascii="Cambria" w:eastAsia="Calibri" w:hAnsi="Cambria"/>
          <w:sz w:val="20"/>
          <w:szCs w:val="20"/>
          <w:bdr w:val="none" w:sz="0" w:space="0" w:color="auto"/>
        </w:rPr>
        <w:t>and</w:t>
      </w:r>
      <w:r w:rsidR="00302496" w:rsidRPr="00A51861">
        <w:rPr>
          <w:rFonts w:ascii="Cambria" w:eastAsia="Calibri" w:hAnsi="Cambria"/>
          <w:sz w:val="20"/>
          <w:szCs w:val="20"/>
          <w:bdr w:val="none" w:sz="0" w:space="0" w:color="auto"/>
        </w:rPr>
        <w:t xml:space="preserve">, </w:t>
      </w:r>
      <w:r w:rsidR="00456935">
        <w:rPr>
          <w:rFonts w:ascii="Cambria" w:eastAsia="Calibri" w:hAnsi="Cambria"/>
          <w:sz w:val="20"/>
          <w:szCs w:val="20"/>
          <w:bdr w:val="none" w:sz="0" w:space="0" w:color="auto"/>
        </w:rPr>
        <w:t>should said risk be confirmed</w:t>
      </w:r>
      <w:r w:rsidR="00302496" w:rsidRPr="00A51861">
        <w:rPr>
          <w:rFonts w:ascii="Cambria" w:eastAsia="Calibri" w:hAnsi="Cambria"/>
          <w:sz w:val="20"/>
          <w:szCs w:val="20"/>
          <w:bdr w:val="none" w:sz="0" w:space="0" w:color="auto"/>
        </w:rPr>
        <w:t xml:space="preserve">, </w:t>
      </w:r>
      <w:r w:rsidR="00456935">
        <w:rPr>
          <w:rFonts w:ascii="Cambria" w:eastAsia="Calibri" w:hAnsi="Cambria"/>
          <w:sz w:val="20"/>
          <w:szCs w:val="20"/>
          <w:bdr w:val="none" w:sz="0" w:space="0" w:color="auto"/>
        </w:rPr>
        <w:t xml:space="preserve">he or she should not be sent back to his or her country of </w:t>
      </w:r>
      <w:r w:rsidR="00302496" w:rsidRPr="00A51861">
        <w:rPr>
          <w:rFonts w:ascii="Cambria" w:eastAsia="Calibri" w:hAnsi="Cambria"/>
          <w:sz w:val="20"/>
          <w:szCs w:val="20"/>
          <w:bdr w:val="none" w:sz="0" w:space="0" w:color="auto"/>
        </w:rPr>
        <w:t>orig</w:t>
      </w:r>
      <w:r w:rsidR="00456935">
        <w:rPr>
          <w:rFonts w:ascii="Cambria" w:eastAsia="Calibri" w:hAnsi="Cambria"/>
          <w:sz w:val="20"/>
          <w:szCs w:val="20"/>
          <w:bdr w:val="none" w:sz="0" w:space="0" w:color="auto"/>
        </w:rPr>
        <w:t>i</w:t>
      </w:r>
      <w:r w:rsidR="00302496" w:rsidRPr="00A51861">
        <w:rPr>
          <w:rFonts w:ascii="Cambria" w:eastAsia="Calibri" w:hAnsi="Cambria"/>
          <w:sz w:val="20"/>
          <w:szCs w:val="20"/>
          <w:bdr w:val="none" w:sz="0" w:space="0" w:color="auto"/>
        </w:rPr>
        <w:t>n</w:t>
      </w:r>
      <w:r w:rsidR="00E92985">
        <w:rPr>
          <w:rFonts w:ascii="Cambria" w:eastAsia="Calibri" w:hAnsi="Cambria"/>
          <w:sz w:val="20"/>
          <w:szCs w:val="20"/>
          <w:bdr w:val="none" w:sz="0" w:space="0" w:color="auto"/>
        </w:rPr>
        <w:t xml:space="preserve"> or </w:t>
      </w:r>
      <w:r w:rsidR="00456935">
        <w:rPr>
          <w:rFonts w:ascii="Cambria" w:eastAsia="Calibri" w:hAnsi="Cambria"/>
          <w:sz w:val="20"/>
          <w:szCs w:val="20"/>
          <w:bdr w:val="none" w:sz="0" w:space="0" w:color="auto"/>
        </w:rPr>
        <w:t>where said risk exists</w:t>
      </w:r>
      <w:r w:rsidR="00302496" w:rsidRPr="00A51861">
        <w:rPr>
          <w:rFonts w:ascii="Cambria" w:eastAsia="Calibri" w:hAnsi="Cambria"/>
          <w:sz w:val="20"/>
          <w:szCs w:val="20"/>
          <w:bdr w:val="none" w:sz="0" w:space="0" w:color="auto"/>
          <w:vertAlign w:val="superscript"/>
        </w:rPr>
        <w:footnoteReference w:id="192"/>
      </w:r>
      <w:r w:rsidR="00302496" w:rsidRPr="00A51861">
        <w:rPr>
          <w:rFonts w:ascii="Cambria" w:eastAsia="Calibri" w:hAnsi="Cambria"/>
          <w:sz w:val="20"/>
          <w:szCs w:val="20"/>
          <w:bdr w:val="none" w:sz="0" w:space="0" w:color="auto"/>
        </w:rPr>
        <w:t xml:space="preserve">. </w:t>
      </w:r>
    </w:p>
    <w:p w14:paraId="534DF01C" w14:textId="77777777" w:rsidR="00302496" w:rsidRPr="00A51861" w:rsidRDefault="00302496" w:rsidP="008E4D36">
      <w:pPr>
        <w:pStyle w:val="ListParagraph"/>
        <w:rPr>
          <w:rFonts w:eastAsia="Calibri" w:cs="Tahoma"/>
          <w:sz w:val="20"/>
          <w:szCs w:val="20"/>
          <w:bdr w:val="none" w:sz="0" w:space="0" w:color="auto"/>
        </w:rPr>
      </w:pPr>
    </w:p>
    <w:p w14:paraId="70014719" w14:textId="24346BC1" w:rsidR="00302496" w:rsidRPr="00A51861" w:rsidRDefault="009D0644" w:rsidP="003E54CE">
      <w:pPr>
        <w:pStyle w:val="Heading3"/>
        <w:keepNext/>
        <w:numPr>
          <w:ilvl w:val="0"/>
          <w:numId w:val="67"/>
        </w:numPr>
        <w:spacing w:line="240" w:lineRule="auto"/>
        <w:jc w:val="left"/>
        <w:rPr>
          <w:bdr w:val="none" w:sz="0" w:space="0" w:color="auto"/>
          <w:lang w:val="en-US"/>
        </w:rPr>
      </w:pPr>
      <w:bookmarkStart w:id="27" w:name="_Toc196383491"/>
      <w:r w:rsidRPr="00A51861">
        <w:rPr>
          <w:bdr w:val="none" w:sz="0" w:space="0" w:color="auto"/>
          <w:lang w:val="en-US"/>
        </w:rPr>
        <w:t>Analysis</w:t>
      </w:r>
      <w:r w:rsidR="004969F4">
        <w:rPr>
          <w:bdr w:val="none" w:sz="0" w:space="0" w:color="auto"/>
          <w:lang w:val="en-US"/>
        </w:rPr>
        <w:t xml:space="preserve"> of the </w:t>
      </w:r>
      <w:r w:rsidRPr="00A51861">
        <w:rPr>
          <w:bdr w:val="none" w:sz="0" w:space="0" w:color="auto"/>
          <w:lang w:val="en-US"/>
        </w:rPr>
        <w:t>concrete</w:t>
      </w:r>
      <w:r>
        <w:rPr>
          <w:bdr w:val="none" w:sz="0" w:space="0" w:color="auto"/>
          <w:lang w:val="en-US"/>
        </w:rPr>
        <w:t xml:space="preserve"> </w:t>
      </w:r>
      <w:r w:rsidRPr="00A51861">
        <w:rPr>
          <w:bdr w:val="none" w:sz="0" w:space="0" w:color="auto"/>
          <w:lang w:val="en-US"/>
        </w:rPr>
        <w:t>case</w:t>
      </w:r>
      <w:r w:rsidR="00302496" w:rsidRPr="00A51861">
        <w:rPr>
          <w:bdr w:val="none" w:sz="0" w:space="0" w:color="auto"/>
          <w:lang w:val="en-US"/>
        </w:rPr>
        <w:t xml:space="preserve"> </w:t>
      </w:r>
      <w:r w:rsidR="00E92985">
        <w:rPr>
          <w:bdr w:val="none" w:sz="0" w:space="0" w:color="auto"/>
          <w:lang w:val="en-US"/>
        </w:rPr>
        <w:t xml:space="preserve">of </w:t>
      </w:r>
      <w:r>
        <w:rPr>
          <w:bdr w:val="none" w:sz="0" w:space="0" w:color="auto"/>
          <w:lang w:val="en-US"/>
        </w:rPr>
        <w:t xml:space="preserve">Mr. </w:t>
      </w:r>
      <w:r w:rsidR="00302496" w:rsidRPr="00A51861">
        <w:rPr>
          <w:bdr w:val="none" w:sz="0" w:space="0" w:color="auto"/>
          <w:lang w:val="en-US"/>
        </w:rPr>
        <w:t xml:space="preserve">Julio César </w:t>
      </w:r>
      <w:r w:rsidR="00B01A54">
        <w:rPr>
          <w:bdr w:val="none" w:sz="0" w:space="0" w:color="auto"/>
          <w:lang w:val="en-US"/>
        </w:rPr>
        <w:t xml:space="preserve">Rito de los Santos </w:t>
      </w:r>
      <w:r w:rsidR="00E92985">
        <w:rPr>
          <w:bdr w:val="none" w:sz="0" w:space="0" w:color="auto"/>
          <w:lang w:val="en-US"/>
        </w:rPr>
        <w:t xml:space="preserve">and </w:t>
      </w:r>
      <w:r>
        <w:rPr>
          <w:bdr w:val="none" w:sz="0" w:space="0" w:color="auto"/>
          <w:lang w:val="en-US"/>
        </w:rPr>
        <w:t xml:space="preserve">Mr. </w:t>
      </w:r>
      <w:r w:rsidR="00302496" w:rsidRPr="00A51861">
        <w:rPr>
          <w:bdr w:val="none" w:sz="0" w:space="0" w:color="auto"/>
          <w:lang w:val="en-US"/>
        </w:rPr>
        <w:t>Hugo Daniel Ferreira</w:t>
      </w:r>
      <w:bookmarkEnd w:id="27"/>
    </w:p>
    <w:p w14:paraId="7C117D9E" w14:textId="77777777" w:rsidR="00773B3C" w:rsidRPr="00A51861" w:rsidRDefault="00773B3C" w:rsidP="008E4D36">
      <w:pPr>
        <w:ind w:left="720"/>
        <w:rPr>
          <w:rFonts w:ascii="Cambria" w:eastAsia="Cambria" w:hAnsi="Cambria" w:cs="Cambria"/>
          <w:color w:val="000000"/>
          <w:sz w:val="20"/>
          <w:szCs w:val="20"/>
          <w:u w:color="000000"/>
          <w:lang w:eastAsia="es-ES"/>
        </w:rPr>
      </w:pPr>
    </w:p>
    <w:p w14:paraId="460D1A32" w14:textId="30C0E448" w:rsidR="00694118" w:rsidRPr="00A51861" w:rsidRDefault="009D0644"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Calibri" w:hAnsiTheme="majorHAnsi"/>
          <w:sz w:val="20"/>
          <w:szCs w:val="20"/>
          <w:bdr w:val="none" w:sz="0" w:space="0" w:color="auto"/>
        </w:rPr>
      </w:pPr>
      <w:r>
        <w:rPr>
          <w:rFonts w:asciiTheme="majorHAnsi" w:eastAsia="Calibri" w:hAnsiTheme="majorHAnsi"/>
          <w:sz w:val="20"/>
          <w:szCs w:val="20"/>
          <w:bdr w:val="none" w:sz="0" w:space="0" w:color="auto"/>
        </w:rPr>
        <w:t xml:space="preserve">In the case under </w:t>
      </w:r>
      <w:r w:rsidR="00315AFE">
        <w:rPr>
          <w:rFonts w:asciiTheme="majorHAnsi" w:eastAsia="Calibri" w:hAnsiTheme="majorHAnsi"/>
          <w:sz w:val="20"/>
          <w:szCs w:val="20"/>
          <w:bdr w:val="none" w:sz="0" w:space="0" w:color="auto"/>
        </w:rPr>
        <w:t>study,</w:t>
      </w:r>
      <w:r w:rsidR="00773B3C" w:rsidRPr="00A51861">
        <w:rPr>
          <w:rFonts w:asciiTheme="majorHAnsi" w:eastAsia="Calibri" w:hAnsiTheme="majorHAnsi"/>
          <w:sz w:val="20"/>
          <w:szCs w:val="20"/>
          <w:bdr w:val="none" w:sz="0" w:space="0" w:color="auto"/>
        </w:rPr>
        <w:t xml:space="preserve"> </w:t>
      </w:r>
      <w:r>
        <w:rPr>
          <w:rFonts w:asciiTheme="majorHAnsi" w:eastAsia="Calibri" w:hAnsiTheme="majorHAnsi"/>
          <w:sz w:val="20"/>
          <w:szCs w:val="20"/>
          <w:bdr w:val="none" w:sz="0" w:space="0" w:color="auto"/>
        </w:rPr>
        <w:t xml:space="preserve">it is </w:t>
      </w:r>
      <w:r w:rsidR="00A51861" w:rsidRPr="00A51861">
        <w:rPr>
          <w:rFonts w:asciiTheme="majorHAnsi" w:eastAsia="Calibri" w:hAnsiTheme="majorHAnsi"/>
          <w:sz w:val="20"/>
          <w:szCs w:val="20"/>
          <w:bdr w:val="none" w:sz="0" w:space="0" w:color="auto"/>
        </w:rPr>
        <w:t>observe</w:t>
      </w:r>
      <w:r>
        <w:rPr>
          <w:rFonts w:asciiTheme="majorHAnsi" w:eastAsia="Calibri" w:hAnsiTheme="majorHAnsi"/>
          <w:sz w:val="20"/>
          <w:szCs w:val="20"/>
          <w:bdr w:val="none" w:sz="0" w:space="0" w:color="auto"/>
        </w:rPr>
        <w:t>d</w:t>
      </w:r>
      <w:r w:rsidR="00A51861" w:rsidRPr="00A51861">
        <w:rPr>
          <w:rFonts w:asciiTheme="majorHAnsi" w:eastAsia="Calibri" w:hAnsiTheme="majorHAnsi"/>
          <w:sz w:val="20"/>
          <w:szCs w:val="20"/>
          <w:bdr w:val="none" w:sz="0" w:space="0" w:color="auto"/>
        </w:rPr>
        <w:t xml:space="preserve"> that</w:t>
      </w:r>
      <w:r w:rsidR="00773B3C" w:rsidRPr="00A51861">
        <w:rPr>
          <w:rFonts w:asciiTheme="majorHAnsi" w:eastAsia="Calibri" w:hAnsiTheme="majorHAnsi"/>
          <w:sz w:val="20"/>
          <w:szCs w:val="20"/>
          <w:bdr w:val="none" w:sz="0" w:space="0" w:color="auto"/>
        </w:rPr>
        <w:t xml:space="preserve"> </w:t>
      </w:r>
      <w:r w:rsidRPr="00A51861">
        <w:rPr>
          <w:rFonts w:asciiTheme="majorHAnsi" w:eastAsia="Calibri" w:hAnsiTheme="majorHAnsi"/>
          <w:sz w:val="20"/>
          <w:szCs w:val="20"/>
          <w:bdr w:val="none" w:sz="0" w:space="0" w:color="auto"/>
        </w:rPr>
        <w:t>resolutions</w:t>
      </w:r>
      <w:r w:rsidR="00773B3C" w:rsidRPr="00A51861">
        <w:rPr>
          <w:rFonts w:asciiTheme="majorHAnsi" w:eastAsia="Calibri" w:hAnsiTheme="majorHAnsi"/>
          <w:sz w:val="20"/>
          <w:szCs w:val="20"/>
          <w:bdr w:val="none" w:sz="0" w:space="0" w:color="auto"/>
        </w:rPr>
        <w:t xml:space="preserve"> No. 3840</w:t>
      </w:r>
      <w:r w:rsidR="00E92985">
        <w:rPr>
          <w:rFonts w:asciiTheme="majorHAnsi" w:eastAsia="Calibri" w:hAnsiTheme="majorHAnsi"/>
          <w:sz w:val="20"/>
          <w:szCs w:val="20"/>
          <w:bdr w:val="none" w:sz="0" w:space="0" w:color="auto"/>
        </w:rPr>
        <w:t xml:space="preserve"> and </w:t>
      </w:r>
      <w:r w:rsidR="00773B3C" w:rsidRPr="00A51861">
        <w:rPr>
          <w:rFonts w:asciiTheme="majorHAnsi" w:eastAsia="Calibri" w:hAnsiTheme="majorHAnsi"/>
          <w:sz w:val="20"/>
          <w:szCs w:val="20"/>
          <w:bdr w:val="none" w:sz="0" w:space="0" w:color="auto"/>
        </w:rPr>
        <w:t>8207</w:t>
      </w:r>
      <w:r w:rsidR="00E92985">
        <w:rPr>
          <w:rFonts w:asciiTheme="majorHAnsi" w:eastAsia="Calibri" w:hAnsiTheme="majorHAnsi"/>
          <w:sz w:val="20"/>
          <w:szCs w:val="20"/>
          <w:bdr w:val="none" w:sz="0" w:space="0" w:color="auto"/>
        </w:rPr>
        <w:t xml:space="preserve"> of the </w:t>
      </w:r>
      <w:r w:rsidR="00B90CEF">
        <w:rPr>
          <w:rFonts w:asciiTheme="majorHAnsi" w:eastAsia="Calibri" w:hAnsiTheme="majorHAnsi"/>
          <w:sz w:val="20"/>
          <w:szCs w:val="20"/>
          <w:bdr w:val="none" w:sz="0" w:space="0" w:color="auto"/>
        </w:rPr>
        <w:t xml:space="preserve">National Directorate of Migrations </w:t>
      </w:r>
      <w:r w:rsidR="00315AFE">
        <w:rPr>
          <w:rFonts w:asciiTheme="majorHAnsi" w:eastAsia="Calibri" w:hAnsiTheme="majorHAnsi"/>
          <w:sz w:val="20"/>
          <w:szCs w:val="20"/>
          <w:bdr w:val="none" w:sz="0" w:space="0" w:color="auto"/>
        </w:rPr>
        <w:t>as it shall be corroborated below</w:t>
      </w:r>
      <w:r w:rsidR="00E41CAE" w:rsidRPr="00A51861">
        <w:rPr>
          <w:rFonts w:asciiTheme="majorHAnsi" w:eastAsia="Calibri" w:hAnsiTheme="majorHAnsi"/>
          <w:sz w:val="20"/>
          <w:szCs w:val="20"/>
          <w:bdr w:val="none" w:sz="0" w:space="0" w:color="auto"/>
        </w:rPr>
        <w:t xml:space="preserve">, </w:t>
      </w:r>
      <w:r w:rsidR="00315AFE">
        <w:rPr>
          <w:rFonts w:asciiTheme="majorHAnsi" w:eastAsia="Calibri" w:hAnsiTheme="majorHAnsi"/>
          <w:sz w:val="20"/>
          <w:szCs w:val="20"/>
          <w:bdr w:val="none" w:sz="0" w:space="0" w:color="auto"/>
        </w:rPr>
        <w:t>were issued without compliance of the</w:t>
      </w:r>
      <w:r w:rsidR="00773B3C" w:rsidRPr="00A51861">
        <w:rPr>
          <w:rFonts w:asciiTheme="majorHAnsi" w:eastAsia="Calibri" w:hAnsiTheme="majorHAnsi"/>
          <w:sz w:val="20"/>
          <w:szCs w:val="20"/>
          <w:bdr w:val="none" w:sz="0" w:space="0" w:color="auto"/>
        </w:rPr>
        <w:t xml:space="preserve"> </w:t>
      </w:r>
      <w:r w:rsidR="00315AFE">
        <w:rPr>
          <w:rFonts w:asciiTheme="majorHAnsi" w:eastAsia="Calibri" w:hAnsiTheme="majorHAnsi"/>
          <w:sz w:val="20"/>
          <w:szCs w:val="20"/>
          <w:bdr w:val="none" w:sz="0" w:space="0" w:color="auto"/>
        </w:rPr>
        <w:t xml:space="preserve">minimum </w:t>
      </w:r>
      <w:r w:rsidR="009A4F91">
        <w:rPr>
          <w:rFonts w:asciiTheme="majorHAnsi" w:eastAsia="Calibri" w:hAnsiTheme="majorHAnsi"/>
          <w:sz w:val="20"/>
          <w:szCs w:val="20"/>
          <w:bdr w:val="none" w:sz="0" w:space="0" w:color="auto"/>
        </w:rPr>
        <w:t>guarantee</w:t>
      </w:r>
      <w:r w:rsidR="00773B3C" w:rsidRPr="00A51861">
        <w:rPr>
          <w:rFonts w:asciiTheme="majorHAnsi" w:eastAsia="Calibri" w:hAnsiTheme="majorHAnsi"/>
          <w:sz w:val="20"/>
          <w:szCs w:val="20"/>
          <w:bdr w:val="none" w:sz="0" w:space="0" w:color="auto"/>
        </w:rPr>
        <w:t xml:space="preserve">s </w:t>
      </w:r>
      <w:r w:rsidR="00315AFE">
        <w:rPr>
          <w:rFonts w:asciiTheme="majorHAnsi" w:eastAsia="Calibri" w:hAnsiTheme="majorHAnsi"/>
          <w:sz w:val="20"/>
          <w:szCs w:val="20"/>
          <w:bdr w:val="none" w:sz="0" w:space="0" w:color="auto"/>
        </w:rPr>
        <w:t>to be offered in this kind of processes</w:t>
      </w:r>
      <w:r w:rsidR="00E92985">
        <w:rPr>
          <w:rFonts w:asciiTheme="majorHAnsi" w:eastAsia="Calibri" w:hAnsiTheme="majorHAnsi"/>
          <w:sz w:val="20"/>
          <w:szCs w:val="20"/>
          <w:bdr w:val="none" w:sz="0" w:space="0" w:color="auto"/>
        </w:rPr>
        <w:t xml:space="preserve"> </w:t>
      </w:r>
      <w:r w:rsidR="00315AFE">
        <w:rPr>
          <w:rFonts w:asciiTheme="majorHAnsi" w:eastAsia="Calibri" w:hAnsiTheme="majorHAnsi"/>
          <w:sz w:val="20"/>
          <w:szCs w:val="20"/>
          <w:bdr w:val="none" w:sz="0" w:space="0" w:color="auto"/>
        </w:rPr>
        <w:t xml:space="preserve">so they would adhere to the </w:t>
      </w:r>
      <w:r w:rsidR="00E92985">
        <w:rPr>
          <w:rFonts w:asciiTheme="majorHAnsi" w:eastAsia="Calibri" w:hAnsiTheme="majorHAnsi"/>
          <w:sz w:val="20"/>
          <w:szCs w:val="20"/>
          <w:bdr w:val="none" w:sz="0" w:space="0" w:color="auto"/>
        </w:rPr>
        <w:t xml:space="preserve">of </w:t>
      </w:r>
      <w:r w:rsidR="00315AFE">
        <w:rPr>
          <w:rFonts w:asciiTheme="majorHAnsi" w:eastAsia="Calibri" w:hAnsiTheme="majorHAnsi"/>
          <w:sz w:val="20"/>
          <w:szCs w:val="20"/>
          <w:bdr w:val="none" w:sz="0" w:space="0" w:color="auto"/>
        </w:rPr>
        <w:t>terms of the referred standards</w:t>
      </w:r>
      <w:r w:rsidR="00773B3C" w:rsidRPr="00A51861">
        <w:rPr>
          <w:rFonts w:asciiTheme="majorHAnsi" w:eastAsia="Calibri" w:hAnsiTheme="majorHAnsi"/>
          <w:sz w:val="20"/>
          <w:szCs w:val="20"/>
          <w:bdr w:val="none" w:sz="0" w:space="0" w:color="auto"/>
        </w:rPr>
        <w:t xml:space="preserve">. </w:t>
      </w:r>
    </w:p>
    <w:p w14:paraId="7FB2DD7B" w14:textId="77777777" w:rsidR="00694118" w:rsidRPr="00A51861" w:rsidRDefault="00694118" w:rsidP="008E4D36">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Theme="majorHAnsi" w:eastAsia="Calibri" w:hAnsiTheme="majorHAnsi"/>
          <w:sz w:val="20"/>
          <w:szCs w:val="20"/>
          <w:bdr w:val="none" w:sz="0" w:space="0" w:color="auto"/>
        </w:rPr>
      </w:pPr>
    </w:p>
    <w:p w14:paraId="0BE7B86A" w14:textId="7ACDFD19" w:rsidR="00E17215" w:rsidRPr="00A51861" w:rsidRDefault="00315AFE"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Calibri" w:hAnsiTheme="majorHAnsi"/>
          <w:sz w:val="20"/>
          <w:szCs w:val="20"/>
          <w:bdr w:val="none" w:sz="0" w:space="0" w:color="auto"/>
        </w:rPr>
      </w:pPr>
      <w:r>
        <w:rPr>
          <w:rFonts w:asciiTheme="majorHAnsi" w:eastAsia="Calibri" w:hAnsiTheme="majorHAnsi"/>
          <w:sz w:val="20"/>
          <w:szCs w:val="20"/>
          <w:bdr w:val="none" w:sz="0" w:space="0" w:color="auto"/>
        </w:rPr>
        <w:t>I</w:t>
      </w:r>
      <w:r w:rsidR="00694118" w:rsidRPr="00A51861">
        <w:rPr>
          <w:rFonts w:asciiTheme="majorHAnsi" w:eastAsia="Calibri" w:hAnsiTheme="majorHAnsi"/>
          <w:sz w:val="20"/>
          <w:szCs w:val="20"/>
          <w:bdr w:val="none" w:sz="0" w:space="0" w:color="auto"/>
        </w:rPr>
        <w:t xml:space="preserve">n particular, </w:t>
      </w:r>
      <w:r w:rsidR="00414B18">
        <w:rPr>
          <w:rFonts w:asciiTheme="majorHAnsi" w:eastAsia="Calibri" w:hAnsiTheme="majorHAnsi"/>
          <w:sz w:val="20"/>
          <w:szCs w:val="20"/>
          <w:bdr w:val="none" w:sz="0" w:space="0" w:color="auto"/>
        </w:rPr>
        <w:t>it is</w:t>
      </w:r>
      <w:r w:rsidR="00694118" w:rsidRPr="00A51861">
        <w:rPr>
          <w:rFonts w:asciiTheme="majorHAnsi" w:eastAsia="Calibri" w:hAnsiTheme="majorHAnsi"/>
          <w:sz w:val="20"/>
          <w:szCs w:val="20"/>
          <w:bdr w:val="none" w:sz="0" w:space="0" w:color="auto"/>
        </w:rPr>
        <w:t xml:space="preserve"> </w:t>
      </w:r>
      <w:r w:rsidR="00A51861" w:rsidRPr="00A51861">
        <w:rPr>
          <w:rFonts w:asciiTheme="majorHAnsi" w:eastAsia="Calibri" w:hAnsiTheme="majorHAnsi"/>
          <w:sz w:val="20"/>
          <w:szCs w:val="20"/>
          <w:bdr w:val="none" w:sz="0" w:space="0" w:color="auto"/>
        </w:rPr>
        <w:t>observe</w:t>
      </w:r>
      <w:r w:rsidR="00414B18">
        <w:rPr>
          <w:rFonts w:asciiTheme="majorHAnsi" w:eastAsia="Calibri" w:hAnsiTheme="majorHAnsi"/>
          <w:sz w:val="20"/>
          <w:szCs w:val="20"/>
          <w:bdr w:val="none" w:sz="0" w:space="0" w:color="auto"/>
        </w:rPr>
        <w:t>d</w:t>
      </w:r>
      <w:r w:rsidR="00A51861" w:rsidRPr="00A51861">
        <w:rPr>
          <w:rFonts w:asciiTheme="majorHAnsi" w:eastAsia="Calibri" w:hAnsiTheme="majorHAnsi"/>
          <w:sz w:val="20"/>
          <w:szCs w:val="20"/>
          <w:bdr w:val="none" w:sz="0" w:space="0" w:color="auto"/>
        </w:rPr>
        <w:t xml:space="preserve"> that</w:t>
      </w:r>
      <w:r w:rsidR="00694118" w:rsidRPr="00A51861">
        <w:rPr>
          <w:rFonts w:asciiTheme="majorHAnsi" w:eastAsia="Calibri" w:hAnsiTheme="majorHAnsi"/>
          <w:sz w:val="20"/>
          <w:szCs w:val="20"/>
          <w:bdr w:val="none" w:sz="0" w:space="0" w:color="auto"/>
        </w:rPr>
        <w:t xml:space="preserve"> </w:t>
      </w:r>
      <w:r w:rsidR="00414B18">
        <w:rPr>
          <w:rFonts w:asciiTheme="majorHAnsi" w:eastAsia="Calibri" w:hAnsiTheme="majorHAnsi"/>
          <w:sz w:val="20"/>
          <w:szCs w:val="20"/>
          <w:bdr w:val="none" w:sz="0" w:space="0" w:color="auto"/>
        </w:rPr>
        <w:t>there is no proof</w:t>
      </w:r>
      <w:r w:rsidR="00694118" w:rsidRPr="00A51861">
        <w:rPr>
          <w:rFonts w:asciiTheme="majorHAnsi" w:eastAsia="Calibri" w:hAnsiTheme="majorHAnsi"/>
          <w:sz w:val="20"/>
          <w:szCs w:val="20"/>
          <w:bdr w:val="none" w:sz="0" w:space="0" w:color="auto"/>
        </w:rPr>
        <w:t xml:space="preserve"> -</w:t>
      </w:r>
      <w:r w:rsidR="00414B18">
        <w:rPr>
          <w:rFonts w:asciiTheme="majorHAnsi" w:eastAsia="Calibri" w:hAnsiTheme="majorHAnsi"/>
          <w:sz w:val="20"/>
          <w:szCs w:val="20"/>
          <w:bdr w:val="none" w:sz="0" w:space="0" w:color="auto"/>
        </w:rPr>
        <w:t xml:space="preserve">nor was it addressed by </w:t>
      </w:r>
      <w:r w:rsidR="00F92BA8">
        <w:rPr>
          <w:rFonts w:asciiTheme="majorHAnsi" w:eastAsia="Calibri" w:hAnsiTheme="majorHAnsi"/>
          <w:sz w:val="20"/>
          <w:szCs w:val="20"/>
          <w:bdr w:val="none" w:sz="0" w:space="0" w:color="auto"/>
        </w:rPr>
        <w:t>the State</w:t>
      </w:r>
      <w:r w:rsidR="00694118" w:rsidRPr="00A51861">
        <w:rPr>
          <w:rFonts w:asciiTheme="majorHAnsi" w:eastAsia="Calibri" w:hAnsiTheme="majorHAnsi"/>
          <w:sz w:val="20"/>
          <w:szCs w:val="20"/>
          <w:bdr w:val="none" w:sz="0" w:space="0" w:color="auto"/>
        </w:rPr>
        <w:t>-,</w:t>
      </w:r>
      <w:r w:rsidR="00E92985">
        <w:rPr>
          <w:rFonts w:asciiTheme="majorHAnsi" w:eastAsia="Calibri" w:hAnsiTheme="majorHAnsi"/>
          <w:sz w:val="20"/>
          <w:szCs w:val="20"/>
          <w:bdr w:val="none" w:sz="0" w:space="0" w:color="auto"/>
        </w:rPr>
        <w:t xml:space="preserve"> </w:t>
      </w:r>
      <w:r w:rsidR="00414B18">
        <w:rPr>
          <w:rFonts w:asciiTheme="majorHAnsi" w:eastAsia="Calibri" w:hAnsiTheme="majorHAnsi"/>
          <w:sz w:val="20"/>
          <w:szCs w:val="20"/>
          <w:bdr w:val="none" w:sz="0" w:space="0" w:color="auto"/>
        </w:rPr>
        <w:t>that</w:t>
      </w:r>
      <w:r w:rsidR="00694118" w:rsidRPr="00A51861">
        <w:rPr>
          <w:rFonts w:asciiTheme="majorHAnsi" w:eastAsia="Calibri" w:hAnsiTheme="majorHAnsi"/>
          <w:sz w:val="20"/>
          <w:szCs w:val="20"/>
          <w:bdr w:val="none" w:sz="0" w:space="0" w:color="auto"/>
        </w:rPr>
        <w:t xml:space="preserve"> </w:t>
      </w:r>
      <w:r w:rsidR="002835FC" w:rsidRPr="00A51861">
        <w:rPr>
          <w:rFonts w:asciiTheme="majorHAnsi" w:eastAsia="Calibri" w:hAnsiTheme="majorHAnsi"/>
          <w:sz w:val="20"/>
          <w:szCs w:val="20"/>
          <w:bdr w:val="none" w:sz="0" w:space="0" w:color="auto"/>
        </w:rPr>
        <w:t xml:space="preserve">the alleged victims </w:t>
      </w:r>
      <w:r w:rsidR="00414B18">
        <w:rPr>
          <w:rFonts w:asciiTheme="majorHAnsi" w:eastAsia="Calibri" w:hAnsiTheme="majorHAnsi"/>
          <w:sz w:val="20"/>
          <w:szCs w:val="20"/>
          <w:bdr w:val="none" w:sz="0" w:space="0" w:color="auto"/>
        </w:rPr>
        <w:t>had received a prior</w:t>
      </w:r>
      <w:r w:rsidR="00694118" w:rsidRPr="00A51861">
        <w:rPr>
          <w:rFonts w:asciiTheme="majorHAnsi" w:eastAsia="Calibri" w:hAnsiTheme="majorHAnsi"/>
          <w:sz w:val="20"/>
          <w:szCs w:val="20"/>
          <w:bdr w:val="none" w:sz="0" w:space="0" w:color="auto"/>
        </w:rPr>
        <w:t xml:space="preserve"> </w:t>
      </w:r>
      <w:r w:rsidR="00414B18">
        <w:rPr>
          <w:rFonts w:asciiTheme="majorHAnsi" w:eastAsia="Calibri" w:hAnsiTheme="majorHAnsi"/>
          <w:sz w:val="20"/>
          <w:szCs w:val="20"/>
          <w:bdr w:val="none" w:sz="0" w:space="0" w:color="auto"/>
        </w:rPr>
        <w:t xml:space="preserve">and </w:t>
      </w:r>
      <w:r w:rsidR="00414B18" w:rsidRPr="00A51861">
        <w:rPr>
          <w:rFonts w:asciiTheme="majorHAnsi" w:eastAsia="Calibri" w:hAnsiTheme="majorHAnsi"/>
          <w:sz w:val="20"/>
          <w:szCs w:val="20"/>
          <w:bdr w:val="none" w:sz="0" w:space="0" w:color="auto"/>
        </w:rPr>
        <w:t>deta</w:t>
      </w:r>
      <w:r w:rsidR="00414B18">
        <w:rPr>
          <w:rFonts w:asciiTheme="majorHAnsi" w:eastAsia="Calibri" w:hAnsiTheme="majorHAnsi"/>
          <w:sz w:val="20"/>
          <w:szCs w:val="20"/>
          <w:bdr w:val="none" w:sz="0" w:space="0" w:color="auto"/>
        </w:rPr>
        <w:t xml:space="preserve">iled </w:t>
      </w:r>
      <w:r w:rsidR="00414B18" w:rsidRPr="00A51861">
        <w:rPr>
          <w:rFonts w:asciiTheme="majorHAnsi" w:eastAsia="Calibri" w:hAnsiTheme="majorHAnsi"/>
          <w:sz w:val="20"/>
          <w:szCs w:val="20"/>
          <w:bdr w:val="none" w:sz="0" w:space="0" w:color="auto"/>
        </w:rPr>
        <w:t>communication</w:t>
      </w:r>
      <w:r w:rsidR="00694118" w:rsidRPr="00A51861">
        <w:rPr>
          <w:rFonts w:asciiTheme="majorHAnsi" w:eastAsia="Calibri" w:hAnsiTheme="majorHAnsi"/>
          <w:sz w:val="20"/>
          <w:szCs w:val="20"/>
          <w:bdr w:val="none" w:sz="0" w:space="0" w:color="auto"/>
        </w:rPr>
        <w:t xml:space="preserve"> </w:t>
      </w:r>
      <w:r w:rsidR="00E668EE">
        <w:rPr>
          <w:rFonts w:asciiTheme="majorHAnsi" w:eastAsia="Calibri" w:hAnsiTheme="majorHAnsi"/>
          <w:sz w:val="20"/>
          <w:szCs w:val="20"/>
          <w:bdr w:val="none" w:sz="0" w:space="0" w:color="auto"/>
        </w:rPr>
        <w:t>to</w:t>
      </w:r>
      <w:r w:rsidR="004969F4">
        <w:rPr>
          <w:rFonts w:asciiTheme="majorHAnsi" w:eastAsia="Calibri" w:hAnsiTheme="majorHAnsi"/>
          <w:sz w:val="20"/>
          <w:szCs w:val="20"/>
          <w:bdr w:val="none" w:sz="0" w:space="0" w:color="auto"/>
        </w:rPr>
        <w:t xml:space="preserve"> the </w:t>
      </w:r>
      <w:r w:rsidR="00694118" w:rsidRPr="00A51861">
        <w:rPr>
          <w:rFonts w:asciiTheme="majorHAnsi" w:eastAsia="Calibri" w:hAnsiTheme="majorHAnsi"/>
          <w:sz w:val="20"/>
          <w:szCs w:val="20"/>
          <w:bdr w:val="none" w:sz="0" w:space="0" w:color="auto"/>
        </w:rPr>
        <w:t>proced</w:t>
      </w:r>
      <w:r w:rsidR="00414B18">
        <w:rPr>
          <w:rFonts w:asciiTheme="majorHAnsi" w:eastAsia="Calibri" w:hAnsiTheme="majorHAnsi"/>
          <w:sz w:val="20"/>
          <w:szCs w:val="20"/>
          <w:bdr w:val="none" w:sz="0" w:space="0" w:color="auto"/>
        </w:rPr>
        <w:t>ure</w:t>
      </w:r>
      <w:r w:rsidR="00694118" w:rsidRPr="00A51861">
        <w:rPr>
          <w:rFonts w:asciiTheme="majorHAnsi" w:eastAsia="Calibri" w:hAnsiTheme="majorHAnsi"/>
          <w:sz w:val="20"/>
          <w:szCs w:val="20"/>
          <w:bdr w:val="none" w:sz="0" w:space="0" w:color="auto"/>
        </w:rPr>
        <w:t xml:space="preserve"> </w:t>
      </w:r>
      <w:r w:rsidR="00414B18">
        <w:rPr>
          <w:rFonts w:asciiTheme="majorHAnsi" w:eastAsia="Calibri" w:hAnsiTheme="majorHAnsi"/>
          <w:sz w:val="20"/>
          <w:szCs w:val="20"/>
          <w:bdr w:val="none" w:sz="0" w:space="0" w:color="auto"/>
        </w:rPr>
        <w:t>for the</w:t>
      </w:r>
      <w:r w:rsidR="009A4F91">
        <w:rPr>
          <w:rFonts w:asciiTheme="majorHAnsi" w:eastAsia="Calibri" w:hAnsiTheme="majorHAnsi"/>
          <w:sz w:val="20"/>
          <w:szCs w:val="20"/>
          <w:bdr w:val="none" w:sz="0" w:space="0" w:color="auto"/>
        </w:rPr>
        <w:t xml:space="preserve"> </w:t>
      </w:r>
      <w:r w:rsidR="00414B18">
        <w:rPr>
          <w:rFonts w:asciiTheme="majorHAnsi" w:eastAsia="Calibri" w:hAnsiTheme="majorHAnsi"/>
          <w:sz w:val="20"/>
          <w:szCs w:val="20"/>
          <w:bdr w:val="none" w:sz="0" w:space="0" w:color="auto"/>
        </w:rPr>
        <w:t xml:space="preserve">determination </w:t>
      </w:r>
      <w:r w:rsidR="00E92985">
        <w:rPr>
          <w:rFonts w:asciiTheme="majorHAnsi" w:eastAsia="Calibri" w:hAnsiTheme="majorHAnsi"/>
          <w:sz w:val="20"/>
          <w:szCs w:val="20"/>
          <w:bdr w:val="none" w:sz="0" w:space="0" w:color="auto"/>
        </w:rPr>
        <w:t xml:space="preserve">of </w:t>
      </w:r>
      <w:r w:rsidR="00414B18">
        <w:rPr>
          <w:rFonts w:asciiTheme="majorHAnsi" w:eastAsia="Calibri" w:hAnsiTheme="majorHAnsi"/>
          <w:sz w:val="20"/>
          <w:szCs w:val="20"/>
          <w:bdr w:val="none" w:sz="0" w:space="0" w:color="auto"/>
        </w:rPr>
        <w:t>their</w:t>
      </w:r>
      <w:r w:rsidR="00694118" w:rsidRPr="00A51861">
        <w:rPr>
          <w:rFonts w:asciiTheme="majorHAnsi" w:eastAsia="Calibri" w:hAnsiTheme="majorHAnsi"/>
          <w:sz w:val="20"/>
          <w:szCs w:val="20"/>
          <w:bdr w:val="none" w:sz="0" w:space="0" w:color="auto"/>
        </w:rPr>
        <w:t xml:space="preserve"> </w:t>
      </w:r>
      <w:r w:rsidR="00414B18">
        <w:rPr>
          <w:rFonts w:asciiTheme="majorHAnsi" w:eastAsia="Calibri" w:hAnsiTheme="majorHAnsi"/>
          <w:sz w:val="20"/>
          <w:szCs w:val="20"/>
          <w:bdr w:val="none" w:sz="0" w:space="0" w:color="auto"/>
        </w:rPr>
        <w:t>juridical situation</w:t>
      </w:r>
      <w:r w:rsidR="00694118" w:rsidRPr="00A51861">
        <w:rPr>
          <w:rFonts w:asciiTheme="majorHAnsi" w:eastAsia="Calibri" w:hAnsiTheme="majorHAnsi"/>
          <w:sz w:val="20"/>
          <w:szCs w:val="20"/>
          <w:bdr w:val="none" w:sz="0" w:space="0" w:color="auto"/>
        </w:rPr>
        <w:t xml:space="preserve">. </w:t>
      </w:r>
      <w:r w:rsidR="00414B18">
        <w:rPr>
          <w:rFonts w:asciiTheme="majorHAnsi" w:eastAsia="Calibri" w:hAnsiTheme="majorHAnsi"/>
          <w:sz w:val="20"/>
          <w:szCs w:val="20"/>
          <w:bdr w:val="none" w:sz="0" w:space="0" w:color="auto"/>
        </w:rPr>
        <w:t>There is no record either of them</w:t>
      </w:r>
      <w:r w:rsidR="00694118" w:rsidRPr="00A51861">
        <w:rPr>
          <w:rFonts w:asciiTheme="majorHAnsi" w:eastAsia="Calibri" w:hAnsiTheme="majorHAnsi"/>
          <w:sz w:val="20"/>
          <w:szCs w:val="20"/>
          <w:bdr w:val="none" w:sz="0" w:space="0" w:color="auto"/>
        </w:rPr>
        <w:t xml:space="preserve"> </w:t>
      </w:r>
      <w:r w:rsidR="00BE5683">
        <w:rPr>
          <w:rFonts w:asciiTheme="majorHAnsi" w:eastAsia="Calibri" w:hAnsiTheme="majorHAnsi"/>
          <w:sz w:val="20"/>
          <w:szCs w:val="20"/>
          <w:bdr w:val="none" w:sz="0" w:space="0" w:color="auto"/>
        </w:rPr>
        <w:t>participat</w:t>
      </w:r>
      <w:r w:rsidR="00414B18">
        <w:rPr>
          <w:rFonts w:asciiTheme="majorHAnsi" w:eastAsia="Calibri" w:hAnsiTheme="majorHAnsi"/>
          <w:sz w:val="20"/>
          <w:szCs w:val="20"/>
          <w:bdr w:val="none" w:sz="0" w:space="0" w:color="auto"/>
        </w:rPr>
        <w:t>ing</w:t>
      </w:r>
      <w:r w:rsidR="00694118" w:rsidRPr="00A51861">
        <w:rPr>
          <w:rFonts w:asciiTheme="majorHAnsi" w:eastAsia="Calibri" w:hAnsiTheme="majorHAnsi"/>
          <w:sz w:val="20"/>
          <w:szCs w:val="20"/>
          <w:bdr w:val="none" w:sz="0" w:space="0" w:color="auto"/>
        </w:rPr>
        <w:t xml:space="preserve"> </w:t>
      </w:r>
      <w:r w:rsidR="00414B18">
        <w:rPr>
          <w:rFonts w:asciiTheme="majorHAnsi" w:eastAsia="Calibri" w:hAnsiTheme="majorHAnsi"/>
          <w:sz w:val="20"/>
          <w:szCs w:val="20"/>
          <w:bdr w:val="none" w:sz="0" w:space="0" w:color="auto"/>
        </w:rPr>
        <w:t>in the process</w:t>
      </w:r>
      <w:r w:rsidR="00694118" w:rsidRPr="00A51861">
        <w:rPr>
          <w:rFonts w:asciiTheme="majorHAnsi" w:eastAsia="Calibri" w:hAnsiTheme="majorHAnsi"/>
          <w:sz w:val="20"/>
          <w:szCs w:val="20"/>
          <w:bdr w:val="none" w:sz="0" w:space="0" w:color="auto"/>
        </w:rPr>
        <w:t xml:space="preserve">, </w:t>
      </w:r>
      <w:r w:rsidR="00414B18">
        <w:rPr>
          <w:rFonts w:asciiTheme="majorHAnsi" w:eastAsia="Calibri" w:hAnsiTheme="majorHAnsi"/>
          <w:sz w:val="20"/>
          <w:szCs w:val="20"/>
          <w:bdr w:val="none" w:sz="0" w:space="0" w:color="auto"/>
        </w:rPr>
        <w:t xml:space="preserve">having </w:t>
      </w:r>
      <w:r w:rsidR="009A4F91">
        <w:rPr>
          <w:rFonts w:asciiTheme="majorHAnsi" w:eastAsia="Calibri" w:hAnsiTheme="majorHAnsi"/>
          <w:sz w:val="20"/>
          <w:szCs w:val="20"/>
          <w:bdr w:val="none" w:sz="0" w:space="0" w:color="auto"/>
        </w:rPr>
        <w:t xml:space="preserve">the </w:t>
      </w:r>
      <w:r w:rsidR="00414B18">
        <w:rPr>
          <w:rFonts w:asciiTheme="majorHAnsi" w:eastAsia="Calibri" w:hAnsiTheme="majorHAnsi"/>
          <w:sz w:val="20"/>
          <w:szCs w:val="20"/>
          <w:bdr w:val="none" w:sz="0" w:space="0" w:color="auto"/>
        </w:rPr>
        <w:t>possibility of being even heard so as to</w:t>
      </w:r>
      <w:r w:rsidR="00694118" w:rsidRPr="00A51861">
        <w:rPr>
          <w:rFonts w:asciiTheme="majorHAnsi" w:eastAsia="Calibri" w:hAnsiTheme="majorHAnsi"/>
          <w:sz w:val="20"/>
          <w:szCs w:val="20"/>
          <w:bdr w:val="none" w:sz="0" w:space="0" w:color="auto"/>
        </w:rPr>
        <w:t xml:space="preserve"> present </w:t>
      </w:r>
      <w:r w:rsidR="00414B18">
        <w:rPr>
          <w:rFonts w:asciiTheme="majorHAnsi" w:eastAsia="Calibri" w:hAnsiTheme="majorHAnsi"/>
          <w:sz w:val="20"/>
          <w:szCs w:val="20"/>
          <w:bdr w:val="none" w:sz="0" w:space="0" w:color="auto"/>
        </w:rPr>
        <w:t>their</w:t>
      </w:r>
      <w:r w:rsidR="00694118" w:rsidRPr="00A51861">
        <w:rPr>
          <w:rFonts w:asciiTheme="majorHAnsi" w:eastAsia="Calibri" w:hAnsiTheme="majorHAnsi"/>
          <w:sz w:val="20"/>
          <w:szCs w:val="20"/>
          <w:bdr w:val="none" w:sz="0" w:space="0" w:color="auto"/>
        </w:rPr>
        <w:t xml:space="preserve"> </w:t>
      </w:r>
      <w:r w:rsidR="00414B18">
        <w:rPr>
          <w:rFonts w:asciiTheme="majorHAnsi" w:eastAsia="Calibri" w:hAnsiTheme="majorHAnsi"/>
          <w:sz w:val="20"/>
          <w:szCs w:val="20"/>
          <w:bdr w:val="none" w:sz="0" w:space="0" w:color="auto"/>
        </w:rPr>
        <w:t>corresponding</w:t>
      </w:r>
      <w:r w:rsidR="00694118" w:rsidRPr="00A51861">
        <w:rPr>
          <w:rFonts w:asciiTheme="majorHAnsi" w:eastAsia="Calibri" w:hAnsiTheme="majorHAnsi"/>
          <w:sz w:val="20"/>
          <w:szCs w:val="20"/>
          <w:bdr w:val="none" w:sz="0" w:space="0" w:color="auto"/>
        </w:rPr>
        <w:t xml:space="preserve"> </w:t>
      </w:r>
      <w:r w:rsidR="00414B18">
        <w:rPr>
          <w:rFonts w:asciiTheme="majorHAnsi" w:eastAsia="Calibri" w:hAnsiTheme="majorHAnsi"/>
          <w:sz w:val="20"/>
          <w:szCs w:val="20"/>
          <w:bdr w:val="none" w:sz="0" w:space="0" w:color="auto"/>
        </w:rPr>
        <w:t>defense</w:t>
      </w:r>
      <w:r w:rsidR="00694118" w:rsidRPr="00A51861">
        <w:rPr>
          <w:rFonts w:asciiTheme="majorHAnsi" w:eastAsia="Calibri" w:hAnsiTheme="majorHAnsi"/>
          <w:sz w:val="20"/>
          <w:szCs w:val="20"/>
          <w:bdr w:val="none" w:sz="0" w:space="0" w:color="auto"/>
        </w:rPr>
        <w:t xml:space="preserve">s, </w:t>
      </w:r>
      <w:r w:rsidR="00414B18">
        <w:rPr>
          <w:rFonts w:asciiTheme="majorHAnsi" w:eastAsia="Calibri" w:hAnsiTheme="majorHAnsi"/>
          <w:sz w:val="20"/>
          <w:szCs w:val="20"/>
          <w:bdr w:val="none" w:sz="0" w:space="0" w:color="auto"/>
        </w:rPr>
        <w:t xml:space="preserve">nor did they have legal representation </w:t>
      </w:r>
      <w:r w:rsidR="00E92985">
        <w:rPr>
          <w:rFonts w:asciiTheme="majorHAnsi" w:eastAsia="Calibri" w:hAnsiTheme="majorHAnsi"/>
          <w:sz w:val="20"/>
          <w:szCs w:val="20"/>
          <w:bdr w:val="none" w:sz="0" w:space="0" w:color="auto"/>
        </w:rPr>
        <w:t xml:space="preserve">or </w:t>
      </w:r>
      <w:r w:rsidR="00414B18">
        <w:rPr>
          <w:rFonts w:asciiTheme="majorHAnsi" w:eastAsia="Calibri" w:hAnsiTheme="majorHAnsi"/>
          <w:sz w:val="20"/>
          <w:szCs w:val="20"/>
          <w:bdr w:val="none" w:sz="0" w:space="0" w:color="auto"/>
        </w:rPr>
        <w:t>counseling</w:t>
      </w:r>
      <w:r w:rsidR="00694118" w:rsidRPr="00A51861">
        <w:rPr>
          <w:rFonts w:asciiTheme="majorHAnsi" w:eastAsia="Calibri" w:hAnsiTheme="majorHAnsi"/>
          <w:sz w:val="20"/>
          <w:szCs w:val="20"/>
          <w:bdr w:val="none" w:sz="0" w:space="0" w:color="auto"/>
        </w:rPr>
        <w:t>.</w:t>
      </w:r>
      <w:r w:rsidR="00E92985">
        <w:rPr>
          <w:rFonts w:asciiTheme="majorHAnsi" w:eastAsia="Calibri" w:hAnsiTheme="majorHAnsi"/>
          <w:sz w:val="20"/>
          <w:szCs w:val="20"/>
          <w:bdr w:val="none" w:sz="0" w:space="0" w:color="auto"/>
        </w:rPr>
        <w:t xml:space="preserve"> </w:t>
      </w:r>
      <w:r w:rsidR="00964D74">
        <w:rPr>
          <w:rFonts w:asciiTheme="majorHAnsi" w:eastAsia="Calibri" w:hAnsiTheme="majorHAnsi"/>
          <w:sz w:val="20"/>
          <w:szCs w:val="20"/>
          <w:bdr w:val="none" w:sz="0" w:space="0" w:color="auto"/>
        </w:rPr>
        <w:t>In</w:t>
      </w:r>
      <w:r w:rsidR="005F6157">
        <w:rPr>
          <w:rFonts w:asciiTheme="majorHAnsi" w:eastAsia="Calibri" w:hAnsiTheme="majorHAnsi"/>
          <w:sz w:val="20"/>
          <w:szCs w:val="20"/>
          <w:bdr w:val="none" w:sz="0" w:space="0" w:color="auto"/>
        </w:rPr>
        <w:t xml:space="preserve"> fact</w:t>
      </w:r>
      <w:r w:rsidR="00694118" w:rsidRPr="00A51861">
        <w:rPr>
          <w:rFonts w:asciiTheme="majorHAnsi" w:eastAsia="Calibri" w:hAnsiTheme="majorHAnsi"/>
          <w:sz w:val="20"/>
          <w:szCs w:val="20"/>
          <w:bdr w:val="none" w:sz="0" w:space="0" w:color="auto"/>
        </w:rPr>
        <w:t>,</w:t>
      </w:r>
      <w:r w:rsidR="009A4F91">
        <w:rPr>
          <w:rFonts w:asciiTheme="majorHAnsi" w:eastAsia="Calibri" w:hAnsiTheme="majorHAnsi"/>
          <w:sz w:val="20"/>
          <w:szCs w:val="20"/>
          <w:bdr w:val="none" w:sz="0" w:space="0" w:color="auto"/>
        </w:rPr>
        <w:t xml:space="preserve"> the </w:t>
      </w:r>
      <w:r w:rsidR="00964D74">
        <w:rPr>
          <w:rFonts w:asciiTheme="majorHAnsi" w:eastAsia="Calibri" w:hAnsiTheme="majorHAnsi"/>
          <w:sz w:val="20"/>
          <w:szCs w:val="20"/>
          <w:bdr w:val="none" w:sz="0" w:space="0" w:color="auto"/>
        </w:rPr>
        <w:t>only</w:t>
      </w:r>
      <w:r w:rsidR="00694118" w:rsidRPr="00A51861">
        <w:rPr>
          <w:rFonts w:asciiTheme="majorHAnsi" w:eastAsia="Calibri" w:hAnsiTheme="majorHAnsi"/>
          <w:sz w:val="20"/>
          <w:szCs w:val="20"/>
          <w:bdr w:val="none" w:sz="0" w:space="0" w:color="auto"/>
        </w:rPr>
        <w:t xml:space="preserve"> </w:t>
      </w:r>
      <w:r w:rsidR="00964D74" w:rsidRPr="00A51861">
        <w:rPr>
          <w:rFonts w:asciiTheme="majorHAnsi" w:eastAsia="Calibri" w:hAnsiTheme="majorHAnsi"/>
          <w:sz w:val="20"/>
          <w:szCs w:val="20"/>
          <w:bdr w:val="none" w:sz="0" w:space="0" w:color="auto"/>
        </w:rPr>
        <w:t>intervention</w:t>
      </w:r>
      <w:r w:rsidR="00694118" w:rsidRPr="00A51861">
        <w:rPr>
          <w:rFonts w:asciiTheme="majorHAnsi" w:eastAsia="Calibri" w:hAnsiTheme="majorHAnsi"/>
          <w:sz w:val="20"/>
          <w:szCs w:val="20"/>
          <w:bdr w:val="none" w:sz="0" w:space="0" w:color="auto"/>
        </w:rPr>
        <w:t xml:space="preserve"> </w:t>
      </w:r>
      <w:r w:rsidR="00964D74">
        <w:rPr>
          <w:rFonts w:asciiTheme="majorHAnsi" w:eastAsia="Calibri" w:hAnsiTheme="majorHAnsi"/>
          <w:sz w:val="20"/>
          <w:szCs w:val="20"/>
          <w:bdr w:val="none" w:sz="0" w:space="0" w:color="auto"/>
        </w:rPr>
        <w:t>noted in the proceedings by those being subjected to it</w:t>
      </w:r>
      <w:r w:rsidR="00694118" w:rsidRPr="00A51861">
        <w:rPr>
          <w:rFonts w:asciiTheme="majorHAnsi" w:eastAsia="Calibri" w:hAnsiTheme="majorHAnsi"/>
          <w:sz w:val="20"/>
          <w:szCs w:val="20"/>
          <w:bdr w:val="none" w:sz="0" w:space="0" w:color="auto"/>
        </w:rPr>
        <w:t xml:space="preserve">, </w:t>
      </w:r>
      <w:r w:rsidR="00964D74">
        <w:rPr>
          <w:rFonts w:asciiTheme="majorHAnsi" w:eastAsia="Calibri" w:hAnsiTheme="majorHAnsi"/>
          <w:sz w:val="20"/>
          <w:szCs w:val="20"/>
          <w:bdr w:val="none" w:sz="0" w:space="0" w:color="auto"/>
        </w:rPr>
        <w:t>was after the</w:t>
      </w:r>
      <w:r w:rsidR="009A4F91">
        <w:rPr>
          <w:rFonts w:asciiTheme="majorHAnsi" w:eastAsia="Calibri" w:hAnsiTheme="majorHAnsi"/>
          <w:sz w:val="20"/>
          <w:szCs w:val="20"/>
          <w:bdr w:val="none" w:sz="0" w:space="0" w:color="auto"/>
        </w:rPr>
        <w:t xml:space="preserve"> </w:t>
      </w:r>
      <w:r w:rsidR="00103579">
        <w:rPr>
          <w:rFonts w:asciiTheme="majorHAnsi" w:eastAsia="Calibri" w:hAnsiTheme="majorHAnsi"/>
          <w:sz w:val="20"/>
          <w:szCs w:val="20"/>
          <w:bdr w:val="none" w:sz="0" w:space="0" w:color="auto"/>
        </w:rPr>
        <w:t>expulsion</w:t>
      </w:r>
      <w:r w:rsidR="00694118" w:rsidRPr="00A51861">
        <w:rPr>
          <w:rFonts w:asciiTheme="majorHAnsi" w:eastAsia="Calibri" w:hAnsiTheme="majorHAnsi"/>
          <w:sz w:val="20"/>
          <w:szCs w:val="20"/>
          <w:bdr w:val="none" w:sz="0" w:space="0" w:color="auto"/>
        </w:rPr>
        <w:t xml:space="preserve"> </w:t>
      </w:r>
      <w:r w:rsidR="00964D74">
        <w:rPr>
          <w:rFonts w:asciiTheme="majorHAnsi" w:eastAsia="Calibri" w:hAnsiTheme="majorHAnsi"/>
          <w:sz w:val="20"/>
          <w:szCs w:val="20"/>
          <w:bdr w:val="none" w:sz="0" w:space="0" w:color="auto"/>
        </w:rPr>
        <w:t xml:space="preserve">of </w:t>
      </w:r>
      <w:r w:rsidR="00BD093F">
        <w:rPr>
          <w:rFonts w:asciiTheme="majorHAnsi" w:eastAsia="Calibri" w:hAnsiTheme="majorHAnsi"/>
          <w:sz w:val="20"/>
          <w:szCs w:val="20"/>
          <w:bdr w:val="none" w:sz="0" w:space="0" w:color="auto"/>
        </w:rPr>
        <w:t xml:space="preserve">Mr. </w:t>
      </w:r>
      <w:r w:rsidR="00694118" w:rsidRPr="00A51861">
        <w:rPr>
          <w:rFonts w:asciiTheme="majorHAnsi" w:eastAsia="Calibri" w:hAnsiTheme="majorHAnsi"/>
          <w:sz w:val="20"/>
          <w:szCs w:val="20"/>
          <w:bdr w:val="none" w:sz="0" w:space="0" w:color="auto"/>
        </w:rPr>
        <w:t>Hugo Daniel Ferreira</w:t>
      </w:r>
      <w:r w:rsidR="00964D74">
        <w:rPr>
          <w:rFonts w:asciiTheme="majorHAnsi" w:eastAsia="Calibri" w:hAnsiTheme="majorHAnsi"/>
          <w:sz w:val="20"/>
          <w:szCs w:val="20"/>
          <w:bdr w:val="none" w:sz="0" w:space="0" w:color="auto"/>
        </w:rPr>
        <w:t xml:space="preserve"> had already been ordered</w:t>
      </w:r>
      <w:r w:rsidR="00694118" w:rsidRPr="00A51861">
        <w:rPr>
          <w:rFonts w:asciiTheme="majorHAnsi" w:eastAsia="Calibri" w:hAnsiTheme="majorHAnsi"/>
          <w:sz w:val="20"/>
          <w:szCs w:val="20"/>
          <w:bdr w:val="none" w:sz="0" w:space="0" w:color="auto"/>
        </w:rPr>
        <w:t xml:space="preserve">, </w:t>
      </w:r>
      <w:r w:rsidR="00964D74">
        <w:rPr>
          <w:rFonts w:asciiTheme="majorHAnsi" w:eastAsia="Calibri" w:hAnsiTheme="majorHAnsi"/>
          <w:sz w:val="20"/>
          <w:szCs w:val="20"/>
          <w:bdr w:val="none" w:sz="0" w:space="0" w:color="auto"/>
        </w:rPr>
        <w:t>when he filed an appeal which was</w:t>
      </w:r>
      <w:r w:rsidR="00694118" w:rsidRPr="00A51861">
        <w:rPr>
          <w:rFonts w:asciiTheme="majorHAnsi" w:eastAsia="Calibri" w:hAnsiTheme="majorHAnsi"/>
          <w:sz w:val="20"/>
          <w:szCs w:val="20"/>
          <w:bdr w:val="none" w:sz="0" w:space="0" w:color="auto"/>
        </w:rPr>
        <w:t xml:space="preserve"> </w:t>
      </w:r>
      <w:r w:rsidR="00964D74">
        <w:rPr>
          <w:rFonts w:asciiTheme="majorHAnsi" w:eastAsia="Calibri" w:hAnsiTheme="majorHAnsi"/>
          <w:sz w:val="20"/>
          <w:szCs w:val="20"/>
          <w:bdr w:val="none" w:sz="0" w:space="0" w:color="auto"/>
        </w:rPr>
        <w:t>dismissed under the</w:t>
      </w:r>
      <w:r w:rsidR="00694118" w:rsidRPr="00A51861">
        <w:rPr>
          <w:rFonts w:asciiTheme="majorHAnsi" w:eastAsia="Calibri" w:hAnsiTheme="majorHAnsi"/>
          <w:sz w:val="20"/>
          <w:szCs w:val="20"/>
          <w:bdr w:val="none" w:sz="0" w:space="0" w:color="auto"/>
        </w:rPr>
        <w:t xml:space="preserve"> argument</w:t>
      </w:r>
      <w:r w:rsidR="00964D74">
        <w:rPr>
          <w:rFonts w:asciiTheme="majorHAnsi" w:eastAsia="Calibri" w:hAnsiTheme="majorHAnsi"/>
          <w:sz w:val="20"/>
          <w:szCs w:val="20"/>
          <w:bdr w:val="none" w:sz="0" w:space="0" w:color="auto"/>
        </w:rPr>
        <w:t xml:space="preserve"> that he had failed</w:t>
      </w:r>
      <w:r w:rsidR="00694118" w:rsidRPr="00A51861">
        <w:rPr>
          <w:rFonts w:asciiTheme="majorHAnsi" w:eastAsia="Calibri" w:hAnsiTheme="majorHAnsi"/>
          <w:sz w:val="20"/>
          <w:szCs w:val="20"/>
          <w:bdr w:val="none" w:sz="0" w:space="0" w:color="auto"/>
        </w:rPr>
        <w:t xml:space="preserve"> </w:t>
      </w:r>
      <w:r w:rsidR="00964D74">
        <w:rPr>
          <w:rFonts w:asciiTheme="majorHAnsi" w:eastAsia="Calibri" w:hAnsiTheme="majorHAnsi"/>
          <w:sz w:val="20"/>
          <w:szCs w:val="20"/>
          <w:bdr w:val="none" w:sz="0" w:space="0" w:color="auto"/>
        </w:rPr>
        <w:t>on evidential burden</w:t>
      </w:r>
      <w:r w:rsidR="00694118" w:rsidRPr="00A51861">
        <w:rPr>
          <w:rFonts w:asciiTheme="majorHAnsi" w:eastAsia="Calibri" w:hAnsiTheme="majorHAnsi"/>
          <w:sz w:val="20"/>
          <w:szCs w:val="20"/>
          <w:bdr w:val="none" w:sz="0" w:space="0" w:color="auto"/>
        </w:rPr>
        <w:t xml:space="preserve"> </w:t>
      </w:r>
      <w:r w:rsidR="00964D74">
        <w:rPr>
          <w:rFonts w:asciiTheme="majorHAnsi" w:eastAsia="Calibri" w:hAnsiTheme="majorHAnsi"/>
          <w:sz w:val="20"/>
          <w:szCs w:val="20"/>
          <w:bdr w:val="none" w:sz="0" w:space="0" w:color="auto"/>
        </w:rPr>
        <w:t>to</w:t>
      </w:r>
      <w:r w:rsidR="00694118" w:rsidRPr="00A51861">
        <w:rPr>
          <w:rFonts w:asciiTheme="majorHAnsi" w:eastAsia="Calibri" w:hAnsiTheme="majorHAnsi"/>
          <w:sz w:val="20"/>
          <w:szCs w:val="20"/>
          <w:bdr w:val="none" w:sz="0" w:space="0" w:color="auto"/>
        </w:rPr>
        <w:t xml:space="preserve"> demo</w:t>
      </w:r>
      <w:r w:rsidR="00964D74">
        <w:rPr>
          <w:rFonts w:asciiTheme="majorHAnsi" w:eastAsia="Calibri" w:hAnsiTheme="majorHAnsi"/>
          <w:sz w:val="20"/>
          <w:szCs w:val="20"/>
          <w:bdr w:val="none" w:sz="0" w:space="0" w:color="auto"/>
        </w:rPr>
        <w:t>n</w:t>
      </w:r>
      <w:r w:rsidR="00694118" w:rsidRPr="00A51861">
        <w:rPr>
          <w:rFonts w:asciiTheme="majorHAnsi" w:eastAsia="Calibri" w:hAnsiTheme="majorHAnsi"/>
          <w:sz w:val="20"/>
          <w:szCs w:val="20"/>
          <w:bdr w:val="none" w:sz="0" w:space="0" w:color="auto"/>
        </w:rPr>
        <w:t>stra</w:t>
      </w:r>
      <w:r w:rsidR="00964D74">
        <w:rPr>
          <w:rFonts w:asciiTheme="majorHAnsi" w:eastAsia="Calibri" w:hAnsiTheme="majorHAnsi"/>
          <w:sz w:val="20"/>
          <w:szCs w:val="20"/>
          <w:bdr w:val="none" w:sz="0" w:space="0" w:color="auto"/>
        </w:rPr>
        <w:t>te</w:t>
      </w:r>
      <w:r w:rsidR="00694118" w:rsidRPr="00A51861">
        <w:rPr>
          <w:rFonts w:asciiTheme="majorHAnsi" w:eastAsia="Calibri" w:hAnsiTheme="majorHAnsi"/>
          <w:sz w:val="20"/>
          <w:szCs w:val="20"/>
          <w:bdr w:val="none" w:sz="0" w:space="0" w:color="auto"/>
        </w:rPr>
        <w:t xml:space="preserve"> </w:t>
      </w:r>
      <w:r w:rsidR="00964D74">
        <w:rPr>
          <w:rFonts w:asciiTheme="majorHAnsi" w:eastAsia="Calibri" w:hAnsiTheme="majorHAnsi"/>
          <w:sz w:val="20"/>
          <w:szCs w:val="20"/>
          <w:bdr w:val="none" w:sz="0" w:space="0" w:color="auto"/>
        </w:rPr>
        <w:t>with</w:t>
      </w:r>
      <w:r w:rsidR="00694118" w:rsidRPr="00A51861">
        <w:rPr>
          <w:rFonts w:asciiTheme="majorHAnsi" w:eastAsia="Calibri" w:hAnsiTheme="majorHAnsi"/>
          <w:sz w:val="20"/>
          <w:szCs w:val="20"/>
          <w:bdr w:val="none" w:sz="0" w:space="0" w:color="auto"/>
        </w:rPr>
        <w:t xml:space="preserve"> original</w:t>
      </w:r>
      <w:r w:rsidR="00964D74" w:rsidRPr="00964D74">
        <w:rPr>
          <w:rFonts w:asciiTheme="majorHAnsi" w:eastAsia="Calibri" w:hAnsiTheme="majorHAnsi"/>
          <w:sz w:val="20"/>
          <w:szCs w:val="20"/>
          <w:bdr w:val="none" w:sz="0" w:space="0" w:color="auto"/>
        </w:rPr>
        <w:t xml:space="preserve"> </w:t>
      </w:r>
      <w:r w:rsidR="00964D74">
        <w:rPr>
          <w:rFonts w:asciiTheme="majorHAnsi" w:eastAsia="Calibri" w:hAnsiTheme="majorHAnsi"/>
          <w:sz w:val="20"/>
          <w:szCs w:val="20"/>
          <w:bdr w:val="none" w:sz="0" w:space="0" w:color="auto"/>
        </w:rPr>
        <w:t>documents</w:t>
      </w:r>
      <w:r w:rsidR="00694118" w:rsidRPr="00A51861">
        <w:rPr>
          <w:rFonts w:asciiTheme="majorHAnsi" w:eastAsia="Calibri" w:hAnsiTheme="majorHAnsi"/>
          <w:sz w:val="20"/>
          <w:szCs w:val="20"/>
          <w:bdr w:val="none" w:sz="0" w:space="0" w:color="auto"/>
        </w:rPr>
        <w:t xml:space="preserve">, </w:t>
      </w:r>
      <w:r w:rsidR="00964D74">
        <w:rPr>
          <w:rFonts w:asciiTheme="majorHAnsi" w:eastAsia="Calibri" w:hAnsiTheme="majorHAnsi"/>
          <w:sz w:val="20"/>
          <w:szCs w:val="20"/>
          <w:bdr w:val="none" w:sz="0" w:space="0" w:color="auto"/>
        </w:rPr>
        <w:t>that he had been acquitted of the</w:t>
      </w:r>
      <w:r w:rsidR="00E92985">
        <w:rPr>
          <w:rFonts w:asciiTheme="majorHAnsi" w:eastAsia="Calibri" w:hAnsiTheme="majorHAnsi"/>
          <w:sz w:val="20"/>
          <w:szCs w:val="20"/>
          <w:bdr w:val="none" w:sz="0" w:space="0" w:color="auto"/>
        </w:rPr>
        <w:t xml:space="preserve"> </w:t>
      </w:r>
      <w:r w:rsidR="00964D74">
        <w:rPr>
          <w:rFonts w:asciiTheme="majorHAnsi" w:eastAsia="Calibri" w:hAnsiTheme="majorHAnsi"/>
          <w:sz w:val="20"/>
          <w:szCs w:val="20"/>
          <w:bdr w:val="none" w:sz="0" w:space="0" w:color="auto"/>
        </w:rPr>
        <w:t>case followed against him</w:t>
      </w:r>
      <w:r w:rsidR="00CB0928">
        <w:rPr>
          <w:rFonts w:asciiTheme="majorHAnsi" w:eastAsia="Calibri" w:hAnsiTheme="majorHAnsi"/>
          <w:sz w:val="20"/>
          <w:szCs w:val="20"/>
          <w:bdr w:val="none" w:sz="0" w:space="0" w:color="auto"/>
        </w:rPr>
        <w:t xml:space="preserve"> against </w:t>
      </w:r>
      <w:r w:rsidR="00964D74">
        <w:rPr>
          <w:rFonts w:asciiTheme="majorHAnsi" w:eastAsia="Calibri" w:hAnsiTheme="majorHAnsi"/>
          <w:sz w:val="20"/>
          <w:szCs w:val="20"/>
          <w:bdr w:val="none" w:sz="0" w:space="0" w:color="auto"/>
        </w:rPr>
        <w:t xml:space="preserve">on account of </w:t>
      </w:r>
      <w:r w:rsidR="00964D74" w:rsidRPr="00A51861">
        <w:rPr>
          <w:rFonts w:asciiTheme="majorHAnsi" w:eastAsia="Calibri" w:hAnsiTheme="majorHAnsi"/>
          <w:sz w:val="20"/>
          <w:szCs w:val="20"/>
          <w:bdr w:val="none" w:sz="0" w:space="0" w:color="auto"/>
        </w:rPr>
        <w:t>contravention</w:t>
      </w:r>
      <w:r w:rsidR="00694118" w:rsidRPr="00A51861">
        <w:rPr>
          <w:rFonts w:asciiTheme="majorHAnsi" w:eastAsia="Calibri" w:hAnsiTheme="majorHAnsi"/>
          <w:sz w:val="20"/>
          <w:szCs w:val="20"/>
          <w:bdr w:val="none" w:sz="0" w:space="0" w:color="auto"/>
        </w:rPr>
        <w:t xml:space="preserve">. </w:t>
      </w:r>
      <w:r w:rsidR="00964D74">
        <w:rPr>
          <w:rFonts w:asciiTheme="majorHAnsi" w:eastAsia="Calibri" w:hAnsiTheme="majorHAnsi"/>
          <w:sz w:val="20"/>
          <w:szCs w:val="20"/>
          <w:bdr w:val="none" w:sz="0" w:space="0" w:color="auto"/>
        </w:rPr>
        <w:t>In this sense</w:t>
      </w:r>
      <w:r w:rsidR="00694118" w:rsidRPr="00A51861">
        <w:rPr>
          <w:rFonts w:asciiTheme="majorHAnsi" w:eastAsia="Calibri" w:hAnsiTheme="majorHAnsi"/>
          <w:sz w:val="20"/>
          <w:szCs w:val="20"/>
          <w:bdr w:val="none" w:sz="0" w:space="0" w:color="auto"/>
        </w:rPr>
        <w:t xml:space="preserve">, </w:t>
      </w:r>
      <w:r w:rsidR="00E92985">
        <w:rPr>
          <w:rFonts w:asciiTheme="majorHAnsi" w:eastAsia="Calibri" w:hAnsiTheme="majorHAnsi"/>
          <w:sz w:val="20"/>
          <w:szCs w:val="20"/>
          <w:bdr w:val="none" w:sz="0" w:space="0" w:color="auto"/>
        </w:rPr>
        <w:t>the Commission</w:t>
      </w:r>
      <w:r w:rsidR="00773B3C" w:rsidRPr="00A51861">
        <w:rPr>
          <w:rFonts w:asciiTheme="majorHAnsi" w:eastAsia="Calibri" w:hAnsiTheme="majorHAnsi"/>
          <w:sz w:val="20"/>
          <w:szCs w:val="20"/>
          <w:bdr w:val="none" w:sz="0" w:space="0" w:color="auto"/>
        </w:rPr>
        <w:t xml:space="preserve"> </w:t>
      </w:r>
      <w:r w:rsidR="00A51861" w:rsidRPr="00A51861">
        <w:rPr>
          <w:rFonts w:asciiTheme="majorHAnsi" w:eastAsia="Calibri" w:hAnsiTheme="majorHAnsi"/>
          <w:sz w:val="20"/>
          <w:szCs w:val="20"/>
          <w:bdr w:val="none" w:sz="0" w:space="0" w:color="auto"/>
        </w:rPr>
        <w:t>considers that</w:t>
      </w:r>
      <w:r w:rsidR="009A4F91">
        <w:rPr>
          <w:rFonts w:asciiTheme="majorHAnsi" w:eastAsia="Calibri" w:hAnsiTheme="majorHAnsi"/>
          <w:sz w:val="20"/>
          <w:szCs w:val="20"/>
          <w:bdr w:val="none" w:sz="0" w:space="0" w:color="auto"/>
        </w:rPr>
        <w:t xml:space="preserve"> the </w:t>
      </w:r>
      <w:r w:rsidR="00964D74" w:rsidRPr="00A51861">
        <w:rPr>
          <w:rFonts w:asciiTheme="majorHAnsi" w:eastAsia="Calibri" w:hAnsiTheme="majorHAnsi"/>
          <w:sz w:val="20"/>
          <w:szCs w:val="20"/>
          <w:bdr w:val="none" w:sz="0" w:space="0" w:color="auto"/>
        </w:rPr>
        <w:t>administrativ</w:t>
      </w:r>
      <w:r w:rsidR="00964D74">
        <w:rPr>
          <w:rFonts w:asciiTheme="majorHAnsi" w:eastAsia="Calibri" w:hAnsiTheme="majorHAnsi"/>
          <w:sz w:val="20"/>
          <w:szCs w:val="20"/>
          <w:bdr w:val="none" w:sz="0" w:space="0" w:color="auto"/>
        </w:rPr>
        <w:t xml:space="preserve">e </w:t>
      </w:r>
      <w:r w:rsidR="000A3625">
        <w:rPr>
          <w:rFonts w:asciiTheme="majorHAnsi" w:eastAsia="Calibri" w:hAnsiTheme="majorHAnsi"/>
          <w:sz w:val="20"/>
          <w:szCs w:val="20"/>
          <w:bdr w:val="none" w:sz="0" w:space="0" w:color="auto"/>
        </w:rPr>
        <w:t>authority</w:t>
      </w:r>
      <w:r w:rsidR="00773B3C" w:rsidRPr="00A51861">
        <w:rPr>
          <w:rFonts w:asciiTheme="majorHAnsi" w:eastAsia="Calibri" w:hAnsiTheme="majorHAnsi"/>
          <w:sz w:val="20"/>
          <w:szCs w:val="20"/>
          <w:bdr w:val="none" w:sz="0" w:space="0" w:color="auto"/>
        </w:rPr>
        <w:t xml:space="preserve"> </w:t>
      </w:r>
      <w:r w:rsidR="00964D74">
        <w:rPr>
          <w:rFonts w:asciiTheme="majorHAnsi" w:eastAsia="Calibri" w:hAnsiTheme="majorHAnsi"/>
          <w:sz w:val="20"/>
          <w:szCs w:val="20"/>
          <w:bdr w:val="none" w:sz="0" w:space="0" w:color="auto"/>
        </w:rPr>
        <w:t>failed to ensure the</w:t>
      </w:r>
      <w:r w:rsidR="00773B3C" w:rsidRPr="00A51861">
        <w:rPr>
          <w:rFonts w:asciiTheme="majorHAnsi" w:eastAsia="Calibri" w:hAnsiTheme="majorHAnsi"/>
          <w:sz w:val="20"/>
          <w:szCs w:val="20"/>
          <w:bdr w:val="none" w:sz="0" w:space="0" w:color="auto"/>
        </w:rPr>
        <w:t xml:space="preserve"> </w:t>
      </w:r>
      <w:r w:rsidR="009A4F91">
        <w:rPr>
          <w:rFonts w:asciiTheme="majorHAnsi" w:eastAsia="Calibri" w:hAnsiTheme="majorHAnsi"/>
          <w:sz w:val="20"/>
          <w:szCs w:val="20"/>
          <w:bdr w:val="none" w:sz="0" w:space="0" w:color="auto"/>
        </w:rPr>
        <w:t>guarantee</w:t>
      </w:r>
      <w:r w:rsidR="00773B3C" w:rsidRPr="00A51861">
        <w:rPr>
          <w:rFonts w:asciiTheme="majorHAnsi" w:eastAsia="Calibri" w:hAnsiTheme="majorHAnsi"/>
          <w:sz w:val="20"/>
          <w:szCs w:val="20"/>
          <w:bdr w:val="none" w:sz="0" w:space="0" w:color="auto"/>
        </w:rPr>
        <w:t xml:space="preserve">s </w:t>
      </w:r>
      <w:r w:rsidR="00964D74">
        <w:rPr>
          <w:rFonts w:asciiTheme="majorHAnsi" w:eastAsia="Calibri" w:hAnsiTheme="majorHAnsi"/>
          <w:sz w:val="20"/>
          <w:szCs w:val="20"/>
          <w:bdr w:val="none" w:sz="0" w:space="0" w:color="auto"/>
        </w:rPr>
        <w:t>set forth in</w:t>
      </w:r>
      <w:r w:rsidR="00773B3C" w:rsidRPr="00A51861">
        <w:rPr>
          <w:rFonts w:asciiTheme="majorHAnsi" w:eastAsia="Calibri" w:hAnsiTheme="majorHAnsi"/>
          <w:sz w:val="20"/>
          <w:szCs w:val="20"/>
          <w:bdr w:val="none" w:sz="0" w:space="0" w:color="auto"/>
        </w:rPr>
        <w:t xml:space="preserve"> </w:t>
      </w:r>
      <w:r w:rsidR="0029564F">
        <w:rPr>
          <w:rFonts w:asciiTheme="majorHAnsi" w:eastAsia="Calibri" w:hAnsiTheme="majorHAnsi"/>
          <w:sz w:val="20"/>
          <w:szCs w:val="20"/>
          <w:bdr w:val="none" w:sz="0" w:space="0" w:color="auto"/>
        </w:rPr>
        <w:t>article</w:t>
      </w:r>
      <w:r w:rsidR="00773B3C" w:rsidRPr="00A51861">
        <w:rPr>
          <w:rFonts w:asciiTheme="majorHAnsi" w:eastAsia="Calibri" w:hAnsiTheme="majorHAnsi"/>
          <w:sz w:val="20"/>
          <w:szCs w:val="20"/>
          <w:bdr w:val="none" w:sz="0" w:space="0" w:color="auto"/>
        </w:rPr>
        <w:t>s XVIII</w:t>
      </w:r>
      <w:r w:rsidR="00E92985">
        <w:rPr>
          <w:rFonts w:asciiTheme="majorHAnsi" w:eastAsia="Calibri" w:hAnsiTheme="majorHAnsi"/>
          <w:sz w:val="20"/>
          <w:szCs w:val="20"/>
          <w:bdr w:val="none" w:sz="0" w:space="0" w:color="auto"/>
        </w:rPr>
        <w:t xml:space="preserve"> and </w:t>
      </w:r>
      <w:r w:rsidR="00773B3C" w:rsidRPr="00A51861">
        <w:rPr>
          <w:rFonts w:asciiTheme="majorHAnsi" w:eastAsia="Calibri" w:hAnsiTheme="majorHAnsi"/>
          <w:sz w:val="20"/>
          <w:szCs w:val="20"/>
          <w:bdr w:val="none" w:sz="0" w:space="0" w:color="auto"/>
        </w:rPr>
        <w:t>XXVI</w:t>
      </w:r>
      <w:r w:rsidR="00E92985">
        <w:rPr>
          <w:rFonts w:asciiTheme="majorHAnsi" w:eastAsia="Calibri" w:hAnsiTheme="majorHAnsi"/>
          <w:sz w:val="20"/>
          <w:szCs w:val="20"/>
          <w:bdr w:val="none" w:sz="0" w:space="0" w:color="auto"/>
        </w:rPr>
        <w:t xml:space="preserve"> of the </w:t>
      </w:r>
      <w:r w:rsidR="003F634D">
        <w:rPr>
          <w:rFonts w:asciiTheme="majorHAnsi" w:eastAsia="Calibri" w:hAnsiTheme="majorHAnsi"/>
          <w:sz w:val="20"/>
          <w:szCs w:val="20"/>
          <w:bdr w:val="none" w:sz="0" w:space="0" w:color="auto"/>
        </w:rPr>
        <w:t xml:space="preserve">American Declaration </w:t>
      </w:r>
      <w:r w:rsidR="00964D74">
        <w:rPr>
          <w:rFonts w:asciiTheme="majorHAnsi" w:eastAsia="Calibri" w:hAnsiTheme="majorHAnsi"/>
          <w:sz w:val="20"/>
          <w:szCs w:val="20"/>
          <w:bdr w:val="none" w:sz="0" w:space="0" w:color="auto"/>
        </w:rPr>
        <w:t>in the terms specified via</w:t>
      </w:r>
      <w:r w:rsidR="009A4F91">
        <w:rPr>
          <w:rFonts w:asciiTheme="majorHAnsi" w:eastAsia="Calibri" w:hAnsiTheme="majorHAnsi"/>
          <w:sz w:val="20"/>
          <w:szCs w:val="20"/>
          <w:bdr w:val="none" w:sz="0" w:space="0" w:color="auto"/>
        </w:rPr>
        <w:t xml:space="preserve"> the </w:t>
      </w:r>
      <w:r w:rsidR="00E92985">
        <w:rPr>
          <w:rFonts w:asciiTheme="majorHAnsi" w:eastAsia="Calibri" w:hAnsiTheme="majorHAnsi"/>
          <w:sz w:val="20"/>
          <w:szCs w:val="20"/>
          <w:bdr w:val="none" w:sz="0" w:space="0" w:color="auto"/>
        </w:rPr>
        <w:t xml:space="preserve">Inter-American </w:t>
      </w:r>
      <w:r w:rsidR="00964D74">
        <w:rPr>
          <w:rFonts w:asciiTheme="majorHAnsi" w:eastAsia="Calibri" w:hAnsiTheme="majorHAnsi"/>
          <w:sz w:val="20"/>
          <w:szCs w:val="20"/>
          <w:bdr w:val="none" w:sz="0" w:space="0" w:color="auto"/>
        </w:rPr>
        <w:t>jurisprudence</w:t>
      </w:r>
      <w:r w:rsidR="00964D74" w:rsidRPr="00A51861">
        <w:rPr>
          <w:rFonts w:asciiTheme="majorHAnsi" w:eastAsia="Calibri" w:hAnsiTheme="majorHAnsi"/>
          <w:sz w:val="20"/>
          <w:szCs w:val="20"/>
          <w:bdr w:val="none" w:sz="0" w:space="0" w:color="auto"/>
        </w:rPr>
        <w:t xml:space="preserve"> </w:t>
      </w:r>
      <w:r w:rsidR="00E92985">
        <w:rPr>
          <w:rFonts w:asciiTheme="majorHAnsi" w:eastAsia="Calibri" w:hAnsiTheme="majorHAnsi"/>
          <w:sz w:val="20"/>
          <w:szCs w:val="20"/>
          <w:bdr w:val="none" w:sz="0" w:space="0" w:color="auto"/>
        </w:rPr>
        <w:t xml:space="preserve">and </w:t>
      </w:r>
      <w:r w:rsidR="00964D74">
        <w:rPr>
          <w:rFonts w:asciiTheme="majorHAnsi" w:eastAsia="Calibri" w:hAnsiTheme="majorHAnsi"/>
          <w:sz w:val="20"/>
          <w:szCs w:val="20"/>
          <w:bdr w:val="none" w:sz="0" w:space="0" w:color="auto"/>
        </w:rPr>
        <w:t>that it</w:t>
      </w:r>
      <w:r w:rsidR="00773B3C" w:rsidRPr="00A51861">
        <w:rPr>
          <w:rFonts w:asciiTheme="majorHAnsi" w:eastAsia="Calibri" w:hAnsiTheme="majorHAnsi"/>
          <w:sz w:val="20"/>
          <w:szCs w:val="20"/>
          <w:bdr w:val="none" w:sz="0" w:space="0" w:color="auto"/>
        </w:rPr>
        <w:t xml:space="preserve"> ha</w:t>
      </w:r>
      <w:r w:rsidR="00964D74">
        <w:rPr>
          <w:rFonts w:asciiTheme="majorHAnsi" w:eastAsia="Calibri" w:hAnsiTheme="majorHAnsi"/>
          <w:sz w:val="20"/>
          <w:szCs w:val="20"/>
          <w:bdr w:val="none" w:sz="0" w:space="0" w:color="auto"/>
        </w:rPr>
        <w:t>s</w:t>
      </w:r>
      <w:r w:rsidR="00773B3C" w:rsidRPr="00A51861">
        <w:rPr>
          <w:rFonts w:asciiTheme="majorHAnsi" w:eastAsia="Calibri" w:hAnsiTheme="majorHAnsi"/>
          <w:sz w:val="20"/>
          <w:szCs w:val="20"/>
          <w:bdr w:val="none" w:sz="0" w:space="0" w:color="auto"/>
        </w:rPr>
        <w:t xml:space="preserve"> </w:t>
      </w:r>
      <w:r w:rsidR="00964D74">
        <w:rPr>
          <w:rFonts w:asciiTheme="majorHAnsi" w:eastAsia="Calibri" w:hAnsiTheme="majorHAnsi"/>
          <w:sz w:val="20"/>
          <w:szCs w:val="20"/>
          <w:bdr w:val="none" w:sz="0" w:space="0" w:color="auto"/>
        </w:rPr>
        <w:t>system</w:t>
      </w:r>
      <w:r w:rsidR="00964D74" w:rsidRPr="00A51861">
        <w:rPr>
          <w:rFonts w:asciiTheme="majorHAnsi" w:eastAsia="Calibri" w:hAnsiTheme="majorHAnsi"/>
          <w:sz w:val="20"/>
          <w:szCs w:val="20"/>
          <w:bdr w:val="none" w:sz="0" w:space="0" w:color="auto"/>
        </w:rPr>
        <w:t>atized</w:t>
      </w:r>
      <w:r w:rsidR="00773B3C" w:rsidRPr="00A51861">
        <w:rPr>
          <w:rFonts w:asciiTheme="majorHAnsi" w:eastAsia="Calibri" w:hAnsiTheme="majorHAnsi"/>
          <w:sz w:val="20"/>
          <w:szCs w:val="20"/>
          <w:bdr w:val="none" w:sz="0" w:space="0" w:color="auto"/>
        </w:rPr>
        <w:t xml:space="preserve"> </w:t>
      </w:r>
      <w:r w:rsidR="00E92985">
        <w:rPr>
          <w:rFonts w:asciiTheme="majorHAnsi" w:eastAsia="Calibri" w:hAnsiTheme="majorHAnsi"/>
          <w:sz w:val="20"/>
          <w:szCs w:val="20"/>
          <w:bdr w:val="none" w:sz="0" w:space="0" w:color="auto"/>
        </w:rPr>
        <w:t>the Commission</w:t>
      </w:r>
      <w:r w:rsidR="00773B3C" w:rsidRPr="00A51861">
        <w:rPr>
          <w:rFonts w:asciiTheme="majorHAnsi" w:eastAsia="Calibri" w:hAnsiTheme="majorHAnsi"/>
          <w:sz w:val="20"/>
          <w:szCs w:val="20"/>
          <w:bdr w:val="none" w:sz="0" w:space="0" w:color="auto"/>
        </w:rPr>
        <w:t xml:space="preserve"> </w:t>
      </w:r>
      <w:r w:rsidR="00964D74">
        <w:rPr>
          <w:rFonts w:asciiTheme="majorHAnsi" w:eastAsia="Calibri" w:hAnsiTheme="majorHAnsi"/>
          <w:sz w:val="20"/>
          <w:szCs w:val="20"/>
          <w:bdr w:val="none" w:sz="0" w:space="0" w:color="auto"/>
        </w:rPr>
        <w:t xml:space="preserve">on the </w:t>
      </w:r>
      <w:r w:rsidR="00964D74">
        <w:rPr>
          <w:rFonts w:asciiTheme="majorHAnsi" w:eastAsia="Calibri" w:hAnsiTheme="majorHAnsi"/>
          <w:iCs/>
          <w:sz w:val="20"/>
          <w:szCs w:val="20"/>
          <w:bdr w:val="none" w:sz="0" w:space="0" w:color="auto"/>
        </w:rPr>
        <w:t>Human Mobility Report</w:t>
      </w:r>
      <w:r w:rsidR="00773B3C" w:rsidRPr="00A51861">
        <w:rPr>
          <w:rFonts w:asciiTheme="majorHAnsi" w:eastAsia="Calibri" w:hAnsiTheme="majorHAnsi"/>
          <w:sz w:val="20"/>
          <w:szCs w:val="20"/>
          <w:bdr w:val="none" w:sz="0" w:space="0" w:color="auto"/>
          <w:vertAlign w:val="superscript"/>
        </w:rPr>
        <w:footnoteReference w:id="193"/>
      </w:r>
      <w:r w:rsidR="00773B3C" w:rsidRPr="00A51861">
        <w:rPr>
          <w:rFonts w:asciiTheme="majorHAnsi" w:eastAsia="Calibri" w:hAnsiTheme="majorHAnsi"/>
          <w:sz w:val="20"/>
          <w:szCs w:val="20"/>
          <w:bdr w:val="none" w:sz="0" w:space="0" w:color="auto"/>
        </w:rPr>
        <w:t xml:space="preserve">.  </w:t>
      </w:r>
    </w:p>
    <w:p w14:paraId="539A7061" w14:textId="77777777" w:rsidR="007C46FA" w:rsidRPr="00A51861" w:rsidRDefault="007C46FA" w:rsidP="008E4D3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mbria" w:hAnsiTheme="majorHAnsi" w:cs="Cambria"/>
          <w:color w:val="000000"/>
          <w:sz w:val="20"/>
          <w:szCs w:val="20"/>
          <w:u w:color="000000"/>
          <w:lang w:eastAsia="es-ES"/>
        </w:rPr>
      </w:pPr>
    </w:p>
    <w:p w14:paraId="66D62A14" w14:textId="1A6591CD" w:rsidR="000F52DA" w:rsidRPr="00A51861" w:rsidRDefault="00B90CEF"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Calibri" w:hAnsiTheme="majorHAnsi" w:cs="Tahoma"/>
          <w:color w:val="000000"/>
          <w:sz w:val="20"/>
          <w:szCs w:val="20"/>
          <w:bdr w:val="none" w:sz="0" w:space="0" w:color="auto"/>
        </w:rPr>
      </w:pPr>
      <w:r>
        <w:rPr>
          <w:rFonts w:asciiTheme="majorHAnsi" w:eastAsia="Calibri" w:hAnsiTheme="majorHAnsi"/>
          <w:sz w:val="20"/>
          <w:szCs w:val="20"/>
          <w:bdr w:val="none" w:sz="0" w:space="0" w:color="auto"/>
        </w:rPr>
        <w:t xml:space="preserve">Likewise, </w:t>
      </w:r>
      <w:r w:rsidR="00964D74">
        <w:rPr>
          <w:rFonts w:asciiTheme="majorHAnsi" w:eastAsia="Calibri" w:hAnsiTheme="majorHAnsi"/>
          <w:sz w:val="20"/>
          <w:szCs w:val="20"/>
          <w:bdr w:val="none" w:sz="0" w:space="0" w:color="auto"/>
        </w:rPr>
        <w:t>i</w:t>
      </w:r>
      <w:r w:rsidR="00980C18" w:rsidRPr="00A51861">
        <w:rPr>
          <w:rFonts w:asciiTheme="majorHAnsi" w:eastAsia="Calibri" w:hAnsiTheme="majorHAnsi"/>
          <w:sz w:val="20"/>
          <w:szCs w:val="20"/>
          <w:bdr w:val="none" w:sz="0" w:space="0" w:color="auto"/>
        </w:rPr>
        <w:t xml:space="preserve">n </w:t>
      </w:r>
      <w:r w:rsidR="00E64C43">
        <w:rPr>
          <w:rFonts w:asciiTheme="majorHAnsi" w:eastAsia="Calibri" w:hAnsiTheme="majorHAnsi"/>
          <w:sz w:val="20"/>
          <w:szCs w:val="20"/>
          <w:bdr w:val="none" w:sz="0" w:space="0" w:color="auto"/>
        </w:rPr>
        <w:t>this case</w:t>
      </w:r>
      <w:r w:rsidR="00302496" w:rsidRPr="00A51861">
        <w:rPr>
          <w:rFonts w:asciiTheme="majorHAnsi" w:eastAsia="Calibri" w:hAnsiTheme="majorHAnsi"/>
          <w:sz w:val="20"/>
          <w:szCs w:val="20"/>
          <w:bdr w:val="none" w:sz="0" w:space="0" w:color="auto"/>
        </w:rPr>
        <w:t xml:space="preserve"> </w:t>
      </w:r>
      <w:r w:rsidR="00964D74">
        <w:rPr>
          <w:rFonts w:asciiTheme="majorHAnsi" w:eastAsia="Calibri" w:hAnsiTheme="majorHAnsi"/>
          <w:sz w:val="20"/>
          <w:szCs w:val="20"/>
          <w:bdr w:val="none" w:sz="0" w:space="0" w:color="auto"/>
        </w:rPr>
        <w:t xml:space="preserve">it is observed </w:t>
      </w:r>
      <w:r w:rsidR="00A51861" w:rsidRPr="00A51861">
        <w:rPr>
          <w:rFonts w:asciiTheme="majorHAnsi" w:eastAsia="Calibri" w:hAnsiTheme="majorHAnsi"/>
          <w:sz w:val="20"/>
          <w:szCs w:val="20"/>
          <w:bdr w:val="none" w:sz="0" w:space="0" w:color="auto"/>
        </w:rPr>
        <w:t>that</w:t>
      </w:r>
      <w:r w:rsidR="00773B3C" w:rsidRPr="00A51861">
        <w:rPr>
          <w:rFonts w:asciiTheme="majorHAnsi" w:eastAsia="Calibri" w:hAnsiTheme="majorHAnsi"/>
          <w:sz w:val="20"/>
          <w:szCs w:val="20"/>
          <w:bdr w:val="none" w:sz="0" w:space="0" w:color="auto"/>
        </w:rPr>
        <w:t xml:space="preserve"> </w:t>
      </w:r>
      <w:r w:rsidR="00376318">
        <w:rPr>
          <w:rFonts w:asciiTheme="majorHAnsi" w:eastAsia="Calibri" w:hAnsiTheme="majorHAnsi"/>
          <w:sz w:val="20"/>
          <w:szCs w:val="20"/>
          <w:bdr w:val="none" w:sz="0" w:space="0" w:color="auto"/>
        </w:rPr>
        <w:t xml:space="preserve">the decision </w:t>
      </w:r>
      <w:r w:rsidR="00E92985">
        <w:rPr>
          <w:rFonts w:asciiTheme="majorHAnsi" w:eastAsia="Calibri" w:hAnsiTheme="majorHAnsi"/>
          <w:sz w:val="20"/>
          <w:szCs w:val="20"/>
          <w:bdr w:val="none" w:sz="0" w:space="0" w:color="auto"/>
        </w:rPr>
        <w:t xml:space="preserve">of </w:t>
      </w:r>
      <w:r w:rsidR="00103579">
        <w:rPr>
          <w:rFonts w:asciiTheme="majorHAnsi" w:eastAsia="Calibri" w:hAnsiTheme="majorHAnsi"/>
          <w:sz w:val="20"/>
          <w:szCs w:val="20"/>
          <w:bdr w:val="none" w:sz="0" w:space="0" w:color="auto"/>
        </w:rPr>
        <w:t>expulsion</w:t>
      </w:r>
      <w:r w:rsidR="00773B3C" w:rsidRPr="00A51861">
        <w:rPr>
          <w:rFonts w:asciiTheme="majorHAnsi" w:eastAsia="Calibri" w:hAnsiTheme="majorHAnsi"/>
          <w:sz w:val="20"/>
          <w:szCs w:val="20"/>
          <w:bdr w:val="none" w:sz="0" w:space="0" w:color="auto"/>
        </w:rPr>
        <w:t xml:space="preserve"> </w:t>
      </w:r>
      <w:r w:rsidR="00964D74">
        <w:rPr>
          <w:rFonts w:asciiTheme="majorHAnsi" w:eastAsia="Calibri" w:hAnsiTheme="majorHAnsi"/>
          <w:sz w:val="20"/>
          <w:szCs w:val="20"/>
          <w:bdr w:val="none" w:sz="0" w:space="0" w:color="auto"/>
        </w:rPr>
        <w:t>to the country of origin</w:t>
      </w:r>
      <w:r w:rsidR="00E92985">
        <w:rPr>
          <w:rFonts w:asciiTheme="majorHAnsi" w:eastAsia="Calibri" w:hAnsiTheme="majorHAnsi"/>
          <w:sz w:val="20"/>
          <w:szCs w:val="20"/>
          <w:bdr w:val="none" w:sz="0" w:space="0" w:color="auto"/>
        </w:rPr>
        <w:t xml:space="preserve"> of </w:t>
      </w:r>
      <w:r w:rsidR="00964D74">
        <w:rPr>
          <w:rFonts w:asciiTheme="majorHAnsi" w:eastAsia="Calibri" w:hAnsiTheme="majorHAnsi"/>
          <w:sz w:val="20"/>
          <w:szCs w:val="20"/>
          <w:bdr w:val="none" w:sz="0" w:space="0" w:color="auto"/>
        </w:rPr>
        <w:t>Mr. Hugo Daniel and Mr. Julio César</w:t>
      </w:r>
      <w:r w:rsidR="00773B3C" w:rsidRPr="00A51861">
        <w:rPr>
          <w:rFonts w:asciiTheme="majorHAnsi" w:eastAsia="Calibri" w:hAnsiTheme="majorHAnsi"/>
          <w:sz w:val="20"/>
          <w:szCs w:val="20"/>
          <w:bdr w:val="none" w:sz="0" w:space="0" w:color="auto"/>
        </w:rPr>
        <w:t xml:space="preserve">, </w:t>
      </w:r>
      <w:r w:rsidR="003A2A80">
        <w:rPr>
          <w:rFonts w:asciiTheme="majorHAnsi" w:eastAsia="Calibri" w:hAnsiTheme="majorHAnsi"/>
          <w:sz w:val="20"/>
          <w:szCs w:val="20"/>
          <w:bdr w:val="none" w:sz="0" w:space="0" w:color="auto"/>
        </w:rPr>
        <w:t>was provided without analyzing his</w:t>
      </w:r>
      <w:r w:rsidR="00773B3C" w:rsidRPr="00A51861">
        <w:rPr>
          <w:rFonts w:asciiTheme="majorHAnsi" w:eastAsia="Calibri" w:hAnsiTheme="majorHAnsi"/>
          <w:sz w:val="20"/>
          <w:szCs w:val="20"/>
          <w:bdr w:val="none" w:sz="0" w:space="0" w:color="auto"/>
        </w:rPr>
        <w:t xml:space="preserve"> </w:t>
      </w:r>
      <w:r w:rsidR="00E92985">
        <w:rPr>
          <w:rFonts w:asciiTheme="majorHAnsi" w:eastAsia="Calibri" w:hAnsiTheme="majorHAnsi"/>
          <w:sz w:val="20"/>
          <w:szCs w:val="20"/>
          <w:bdr w:val="none" w:sz="0" w:space="0" w:color="auto"/>
        </w:rPr>
        <w:t>situation</w:t>
      </w:r>
      <w:r w:rsidR="00773B3C" w:rsidRPr="00A51861">
        <w:rPr>
          <w:rFonts w:asciiTheme="majorHAnsi" w:eastAsia="Calibri" w:hAnsiTheme="majorHAnsi"/>
          <w:sz w:val="20"/>
          <w:szCs w:val="20"/>
          <w:bdr w:val="none" w:sz="0" w:space="0" w:color="auto"/>
        </w:rPr>
        <w:t xml:space="preserve"> </w:t>
      </w:r>
      <w:r w:rsidR="003A2A80">
        <w:rPr>
          <w:rFonts w:asciiTheme="majorHAnsi" w:eastAsia="Calibri" w:hAnsiTheme="majorHAnsi"/>
          <w:sz w:val="20"/>
          <w:szCs w:val="20"/>
          <w:bdr w:val="none" w:sz="0" w:space="0" w:color="auto"/>
        </w:rPr>
        <w:t>i</w:t>
      </w:r>
      <w:r w:rsidR="00773B3C" w:rsidRPr="00A51861">
        <w:rPr>
          <w:rFonts w:asciiTheme="majorHAnsi" w:eastAsia="Calibri" w:hAnsiTheme="majorHAnsi"/>
          <w:sz w:val="20"/>
          <w:szCs w:val="20"/>
          <w:bdr w:val="none" w:sz="0" w:space="0" w:color="auto"/>
        </w:rPr>
        <w:t xml:space="preserve">n Uruguay, </w:t>
      </w:r>
      <w:r w:rsidR="003A2A80">
        <w:rPr>
          <w:rFonts w:asciiTheme="majorHAnsi" w:eastAsia="Calibri" w:hAnsiTheme="majorHAnsi"/>
          <w:sz w:val="20"/>
          <w:szCs w:val="20"/>
          <w:bdr w:val="none" w:sz="0" w:space="0" w:color="auto"/>
        </w:rPr>
        <w:t xml:space="preserve">country to which they would be </w:t>
      </w:r>
      <w:r w:rsidR="00773B3C" w:rsidRPr="00A51861">
        <w:rPr>
          <w:rFonts w:asciiTheme="majorHAnsi" w:eastAsia="Calibri" w:hAnsiTheme="majorHAnsi"/>
          <w:sz w:val="20"/>
          <w:szCs w:val="20"/>
          <w:bdr w:val="none" w:sz="0" w:space="0" w:color="auto"/>
        </w:rPr>
        <w:t>deport</w:t>
      </w:r>
      <w:r w:rsidR="003A2A80">
        <w:rPr>
          <w:rFonts w:asciiTheme="majorHAnsi" w:eastAsia="Calibri" w:hAnsiTheme="majorHAnsi"/>
          <w:sz w:val="20"/>
          <w:szCs w:val="20"/>
          <w:bdr w:val="none" w:sz="0" w:space="0" w:color="auto"/>
        </w:rPr>
        <w:t>e</w:t>
      </w:r>
      <w:r w:rsidR="00773B3C" w:rsidRPr="00A51861">
        <w:rPr>
          <w:rFonts w:asciiTheme="majorHAnsi" w:eastAsia="Calibri" w:hAnsiTheme="majorHAnsi"/>
          <w:sz w:val="20"/>
          <w:szCs w:val="20"/>
          <w:bdr w:val="none" w:sz="0" w:space="0" w:color="auto"/>
        </w:rPr>
        <w:t>d</w:t>
      </w:r>
      <w:r w:rsidR="003A2A80">
        <w:rPr>
          <w:rFonts w:asciiTheme="majorHAnsi" w:eastAsia="Calibri" w:hAnsiTheme="majorHAnsi"/>
          <w:sz w:val="20"/>
          <w:szCs w:val="20"/>
          <w:bdr w:val="none" w:sz="0" w:space="0" w:color="auto"/>
        </w:rPr>
        <w:t xml:space="preserve"> if not received in another </w:t>
      </w:r>
      <w:r w:rsidR="00934FDF">
        <w:rPr>
          <w:rFonts w:asciiTheme="majorHAnsi" w:eastAsia="Calibri" w:hAnsiTheme="majorHAnsi"/>
          <w:sz w:val="20"/>
          <w:szCs w:val="20"/>
          <w:bdr w:val="none" w:sz="0" w:space="0" w:color="auto"/>
        </w:rPr>
        <w:t>State</w:t>
      </w:r>
      <w:r w:rsidR="00773B3C" w:rsidRPr="00A51861">
        <w:rPr>
          <w:rFonts w:asciiTheme="majorHAnsi" w:eastAsia="Calibri" w:hAnsiTheme="majorHAnsi"/>
          <w:sz w:val="20"/>
          <w:szCs w:val="20"/>
          <w:bdr w:val="none" w:sz="0" w:space="0" w:color="auto"/>
        </w:rPr>
        <w:t xml:space="preserve">, </w:t>
      </w:r>
      <w:r w:rsidR="003A2A80">
        <w:rPr>
          <w:rFonts w:asciiTheme="majorHAnsi" w:eastAsia="Calibri" w:hAnsiTheme="majorHAnsi"/>
          <w:sz w:val="20"/>
          <w:szCs w:val="20"/>
          <w:bdr w:val="none" w:sz="0" w:space="0" w:color="auto"/>
        </w:rPr>
        <w:t>nor their special needs for</w:t>
      </w:r>
      <w:r w:rsidR="00E92985">
        <w:rPr>
          <w:rFonts w:asciiTheme="majorHAnsi" w:eastAsia="Calibri" w:hAnsiTheme="majorHAnsi"/>
          <w:sz w:val="20"/>
          <w:szCs w:val="20"/>
          <w:bdr w:val="none" w:sz="0" w:space="0" w:color="auto"/>
        </w:rPr>
        <w:t xml:space="preserve"> </w:t>
      </w:r>
      <w:r w:rsidR="00EF4ED2">
        <w:rPr>
          <w:rFonts w:asciiTheme="majorHAnsi" w:eastAsia="Calibri" w:hAnsiTheme="majorHAnsi"/>
          <w:sz w:val="20"/>
          <w:szCs w:val="20"/>
          <w:bdr w:val="none" w:sz="0" w:space="0" w:color="auto"/>
        </w:rPr>
        <w:t>protection</w:t>
      </w:r>
      <w:r w:rsidR="00773B3C" w:rsidRPr="00A51861">
        <w:rPr>
          <w:rFonts w:asciiTheme="majorHAnsi" w:eastAsia="Calibri" w:hAnsiTheme="majorHAnsi"/>
          <w:sz w:val="20"/>
          <w:szCs w:val="20"/>
          <w:bdr w:val="none" w:sz="0" w:space="0" w:color="auto"/>
        </w:rPr>
        <w:t xml:space="preserve">. </w:t>
      </w:r>
      <w:r w:rsidR="003A2A80">
        <w:rPr>
          <w:rFonts w:asciiTheme="majorHAnsi" w:eastAsia="Calibri" w:hAnsiTheme="majorHAnsi"/>
          <w:sz w:val="20"/>
          <w:szCs w:val="20"/>
          <w:bdr w:val="none" w:sz="0" w:space="0" w:color="auto"/>
        </w:rPr>
        <w:t>By not respecting the minimum</w:t>
      </w:r>
      <w:r w:rsidR="00773B3C" w:rsidRPr="00A51861">
        <w:rPr>
          <w:rFonts w:asciiTheme="majorHAnsi" w:eastAsia="Calibri" w:hAnsiTheme="majorHAnsi"/>
          <w:sz w:val="20"/>
          <w:szCs w:val="20"/>
          <w:bdr w:val="none" w:sz="0" w:space="0" w:color="auto"/>
        </w:rPr>
        <w:t xml:space="preserve"> </w:t>
      </w:r>
      <w:r w:rsidR="009A4F91">
        <w:rPr>
          <w:rFonts w:asciiTheme="majorHAnsi" w:eastAsia="Calibri" w:hAnsiTheme="majorHAnsi"/>
          <w:sz w:val="20"/>
          <w:szCs w:val="20"/>
          <w:bdr w:val="none" w:sz="0" w:space="0" w:color="auto"/>
        </w:rPr>
        <w:t>guarantee</w:t>
      </w:r>
      <w:r w:rsidR="00773B3C" w:rsidRPr="00A51861">
        <w:rPr>
          <w:rFonts w:asciiTheme="majorHAnsi" w:eastAsia="Calibri" w:hAnsiTheme="majorHAnsi"/>
          <w:sz w:val="20"/>
          <w:szCs w:val="20"/>
          <w:bdr w:val="none" w:sz="0" w:space="0" w:color="auto"/>
        </w:rPr>
        <w:t xml:space="preserve">s </w:t>
      </w:r>
      <w:r w:rsidR="003A2A80">
        <w:rPr>
          <w:rFonts w:asciiTheme="majorHAnsi" w:eastAsia="Calibri" w:hAnsiTheme="majorHAnsi"/>
          <w:sz w:val="20"/>
          <w:szCs w:val="20"/>
          <w:bdr w:val="none" w:sz="0" w:space="0" w:color="auto"/>
        </w:rPr>
        <w:t xml:space="preserve">referred to above on proceedings </w:t>
      </w:r>
      <w:r w:rsidR="00E92985">
        <w:rPr>
          <w:rFonts w:asciiTheme="majorHAnsi" w:eastAsia="Calibri" w:hAnsiTheme="majorHAnsi"/>
          <w:sz w:val="20"/>
          <w:szCs w:val="20"/>
          <w:bdr w:val="none" w:sz="0" w:space="0" w:color="auto"/>
        </w:rPr>
        <w:t xml:space="preserve">of </w:t>
      </w:r>
      <w:r w:rsidR="00103579">
        <w:rPr>
          <w:rFonts w:asciiTheme="majorHAnsi" w:eastAsia="Calibri" w:hAnsiTheme="majorHAnsi"/>
          <w:sz w:val="20"/>
          <w:szCs w:val="20"/>
          <w:bdr w:val="none" w:sz="0" w:space="0" w:color="auto"/>
        </w:rPr>
        <w:t>expulsion</w:t>
      </w:r>
      <w:r w:rsidR="00773B3C" w:rsidRPr="00A51861">
        <w:rPr>
          <w:rFonts w:asciiTheme="majorHAnsi" w:eastAsia="Calibri" w:hAnsiTheme="majorHAnsi"/>
          <w:sz w:val="20"/>
          <w:szCs w:val="20"/>
          <w:bdr w:val="none" w:sz="0" w:space="0" w:color="auto"/>
        </w:rPr>
        <w:t xml:space="preserve">, </w:t>
      </w:r>
      <w:r w:rsidR="00A51861" w:rsidRPr="00A51861">
        <w:rPr>
          <w:rFonts w:asciiTheme="majorHAnsi" w:eastAsia="Calibri" w:hAnsiTheme="majorHAnsi"/>
          <w:sz w:val="20"/>
          <w:szCs w:val="20"/>
          <w:bdr w:val="none" w:sz="0" w:space="0" w:color="auto"/>
        </w:rPr>
        <w:t>the IACHR</w:t>
      </w:r>
      <w:r w:rsidR="00773B3C" w:rsidRPr="00A51861">
        <w:rPr>
          <w:rFonts w:asciiTheme="majorHAnsi" w:eastAsia="Calibri" w:hAnsiTheme="majorHAnsi"/>
          <w:sz w:val="20"/>
          <w:szCs w:val="20"/>
          <w:bdr w:val="none" w:sz="0" w:space="0" w:color="auto"/>
        </w:rPr>
        <w:t xml:space="preserve"> </w:t>
      </w:r>
      <w:r w:rsidR="003A2A80">
        <w:rPr>
          <w:rFonts w:asciiTheme="majorHAnsi" w:eastAsia="Calibri" w:hAnsiTheme="majorHAnsi"/>
          <w:sz w:val="20"/>
          <w:szCs w:val="20"/>
          <w:bdr w:val="none" w:sz="0" w:space="0" w:color="auto"/>
        </w:rPr>
        <w:t>sees that they were not granted the due</w:t>
      </w:r>
      <w:r w:rsidR="00773B3C" w:rsidRPr="00A51861">
        <w:rPr>
          <w:rFonts w:asciiTheme="majorHAnsi" w:eastAsia="Calibri" w:hAnsiTheme="majorHAnsi"/>
          <w:sz w:val="20"/>
          <w:szCs w:val="20"/>
          <w:bdr w:val="none" w:sz="0" w:space="0" w:color="auto"/>
        </w:rPr>
        <w:t xml:space="preserve"> op</w:t>
      </w:r>
      <w:r w:rsidR="003A2A80">
        <w:rPr>
          <w:rFonts w:asciiTheme="majorHAnsi" w:eastAsia="Calibri" w:hAnsiTheme="majorHAnsi"/>
          <w:sz w:val="20"/>
          <w:szCs w:val="20"/>
          <w:bdr w:val="none" w:sz="0" w:space="0" w:color="auto"/>
        </w:rPr>
        <w:t>p</w:t>
      </w:r>
      <w:r w:rsidR="00773B3C" w:rsidRPr="00A51861">
        <w:rPr>
          <w:rFonts w:asciiTheme="majorHAnsi" w:eastAsia="Calibri" w:hAnsiTheme="majorHAnsi"/>
          <w:sz w:val="20"/>
          <w:szCs w:val="20"/>
          <w:bdr w:val="none" w:sz="0" w:space="0" w:color="auto"/>
        </w:rPr>
        <w:t>ortuni</w:t>
      </w:r>
      <w:r w:rsidR="00FA2E7B">
        <w:rPr>
          <w:rFonts w:asciiTheme="majorHAnsi" w:eastAsia="Calibri" w:hAnsiTheme="majorHAnsi"/>
          <w:sz w:val="20"/>
          <w:szCs w:val="20"/>
          <w:bdr w:val="none" w:sz="0" w:space="0" w:color="auto"/>
        </w:rPr>
        <w:t xml:space="preserve">ty </w:t>
      </w:r>
      <w:r w:rsidR="003A2A80">
        <w:rPr>
          <w:rFonts w:asciiTheme="majorHAnsi" w:eastAsia="Calibri" w:hAnsiTheme="majorHAnsi"/>
          <w:sz w:val="20"/>
          <w:szCs w:val="20"/>
          <w:bdr w:val="none" w:sz="0" w:space="0" w:color="auto"/>
        </w:rPr>
        <w:t>to expose the</w:t>
      </w:r>
      <w:r w:rsidR="00773B3C" w:rsidRPr="00A51861">
        <w:rPr>
          <w:rFonts w:asciiTheme="majorHAnsi" w:eastAsia="Calibri" w:hAnsiTheme="majorHAnsi"/>
          <w:sz w:val="20"/>
          <w:szCs w:val="20"/>
          <w:bdr w:val="none" w:sz="0" w:space="0" w:color="auto"/>
        </w:rPr>
        <w:t xml:space="preserve"> </w:t>
      </w:r>
      <w:r w:rsidR="00D70A85">
        <w:rPr>
          <w:rFonts w:asciiTheme="majorHAnsi" w:eastAsia="Calibri" w:hAnsiTheme="majorHAnsi"/>
          <w:sz w:val="20"/>
          <w:szCs w:val="20"/>
          <w:bdr w:val="none" w:sz="0" w:space="0" w:color="auto"/>
        </w:rPr>
        <w:t>reasons</w:t>
      </w:r>
      <w:r w:rsidR="00773B3C" w:rsidRPr="00A51861">
        <w:rPr>
          <w:rFonts w:asciiTheme="majorHAnsi" w:eastAsia="Calibri" w:hAnsiTheme="majorHAnsi"/>
          <w:sz w:val="20"/>
          <w:szCs w:val="20"/>
          <w:bdr w:val="none" w:sz="0" w:space="0" w:color="auto"/>
        </w:rPr>
        <w:t xml:space="preserve"> </w:t>
      </w:r>
      <w:r w:rsidR="003A2A80">
        <w:rPr>
          <w:rFonts w:asciiTheme="majorHAnsi" w:eastAsia="Calibri" w:hAnsiTheme="majorHAnsi"/>
          <w:sz w:val="20"/>
          <w:szCs w:val="20"/>
          <w:bdr w:val="none" w:sz="0" w:space="0" w:color="auto"/>
        </w:rPr>
        <w:t>which aided them</w:t>
      </w:r>
      <w:r w:rsidR="00773B3C" w:rsidRPr="00A51861">
        <w:rPr>
          <w:rFonts w:asciiTheme="majorHAnsi" w:eastAsia="Calibri" w:hAnsiTheme="majorHAnsi"/>
          <w:sz w:val="20"/>
          <w:szCs w:val="20"/>
          <w:bdr w:val="none" w:sz="0" w:space="0" w:color="auto"/>
        </w:rPr>
        <w:t xml:space="preserve"> </w:t>
      </w:r>
      <w:r w:rsidR="006E255A">
        <w:rPr>
          <w:rFonts w:asciiTheme="majorHAnsi" w:eastAsia="Calibri" w:hAnsiTheme="majorHAnsi"/>
          <w:sz w:val="20"/>
          <w:szCs w:val="20"/>
          <w:bdr w:val="none" w:sz="0" w:space="0" w:color="auto"/>
        </w:rPr>
        <w:t xml:space="preserve">against </w:t>
      </w:r>
      <w:r w:rsidR="003A2A80">
        <w:rPr>
          <w:rFonts w:asciiTheme="majorHAnsi" w:eastAsia="Calibri" w:hAnsiTheme="majorHAnsi"/>
          <w:sz w:val="20"/>
          <w:szCs w:val="20"/>
          <w:bdr w:val="none" w:sz="0" w:space="0" w:color="auto"/>
        </w:rPr>
        <w:t>their</w:t>
      </w:r>
      <w:r w:rsidR="00773B3C" w:rsidRPr="00A51861">
        <w:rPr>
          <w:rFonts w:asciiTheme="majorHAnsi" w:eastAsia="Calibri" w:hAnsiTheme="majorHAnsi"/>
          <w:sz w:val="20"/>
          <w:szCs w:val="20"/>
          <w:bdr w:val="none" w:sz="0" w:space="0" w:color="auto"/>
        </w:rPr>
        <w:t xml:space="preserve"> </w:t>
      </w:r>
      <w:r w:rsidR="00103579">
        <w:rPr>
          <w:rFonts w:asciiTheme="majorHAnsi" w:eastAsia="Calibri" w:hAnsiTheme="majorHAnsi"/>
          <w:sz w:val="20"/>
          <w:szCs w:val="20"/>
          <w:bdr w:val="none" w:sz="0" w:space="0" w:color="auto"/>
        </w:rPr>
        <w:t>expulsion</w:t>
      </w:r>
      <w:r w:rsidR="00E92985">
        <w:rPr>
          <w:rFonts w:asciiTheme="majorHAnsi" w:eastAsia="Calibri" w:hAnsiTheme="majorHAnsi"/>
          <w:sz w:val="20"/>
          <w:szCs w:val="20"/>
          <w:bdr w:val="none" w:sz="0" w:space="0" w:color="auto"/>
        </w:rPr>
        <w:t xml:space="preserve"> and </w:t>
      </w:r>
      <w:r w:rsidR="003A2A80">
        <w:rPr>
          <w:rFonts w:asciiTheme="majorHAnsi" w:eastAsia="Calibri" w:hAnsiTheme="majorHAnsi"/>
          <w:sz w:val="20"/>
          <w:szCs w:val="20"/>
          <w:bdr w:val="none" w:sz="0" w:space="0" w:color="auto"/>
        </w:rPr>
        <w:t>their</w:t>
      </w:r>
      <w:r w:rsidR="00773B3C" w:rsidRPr="00A51861">
        <w:rPr>
          <w:rFonts w:asciiTheme="majorHAnsi" w:eastAsia="Calibri" w:hAnsiTheme="majorHAnsi"/>
          <w:sz w:val="20"/>
          <w:szCs w:val="20"/>
          <w:bdr w:val="none" w:sz="0" w:space="0" w:color="auto"/>
        </w:rPr>
        <w:t xml:space="preserve"> particular </w:t>
      </w:r>
      <w:r w:rsidR="00E92985">
        <w:rPr>
          <w:rFonts w:asciiTheme="majorHAnsi" w:eastAsia="Calibri" w:hAnsiTheme="majorHAnsi"/>
          <w:sz w:val="20"/>
          <w:szCs w:val="20"/>
          <w:bdr w:val="none" w:sz="0" w:space="0" w:color="auto"/>
        </w:rPr>
        <w:t xml:space="preserve">situation of </w:t>
      </w:r>
      <w:r w:rsidR="003A2A80">
        <w:rPr>
          <w:rFonts w:asciiTheme="majorHAnsi" w:eastAsia="Calibri" w:hAnsiTheme="majorHAnsi"/>
          <w:sz w:val="20"/>
          <w:szCs w:val="20"/>
          <w:bdr w:val="none" w:sz="0" w:space="0" w:color="auto"/>
        </w:rPr>
        <w:t>risk</w:t>
      </w:r>
      <w:r w:rsidR="00E92985">
        <w:rPr>
          <w:rFonts w:asciiTheme="majorHAnsi" w:eastAsia="Calibri" w:hAnsiTheme="majorHAnsi"/>
          <w:sz w:val="20"/>
          <w:szCs w:val="20"/>
          <w:bdr w:val="none" w:sz="0" w:space="0" w:color="auto"/>
        </w:rPr>
        <w:t xml:space="preserve"> of </w:t>
      </w:r>
      <w:r w:rsidR="003A2A80">
        <w:rPr>
          <w:rFonts w:asciiTheme="majorHAnsi" w:eastAsia="Calibri" w:hAnsiTheme="majorHAnsi"/>
          <w:sz w:val="20"/>
          <w:szCs w:val="20"/>
          <w:bdr w:val="none" w:sz="0" w:space="0" w:color="auto"/>
        </w:rPr>
        <w:t>returning to the country from where they had escaped. In fact</w:t>
      </w:r>
      <w:r w:rsidR="00773B3C" w:rsidRPr="00A51861">
        <w:rPr>
          <w:rFonts w:asciiTheme="majorHAnsi" w:eastAsia="Calibri" w:hAnsiTheme="majorHAnsi"/>
          <w:sz w:val="20"/>
          <w:szCs w:val="20"/>
          <w:bdr w:val="none" w:sz="0" w:space="0" w:color="auto"/>
        </w:rPr>
        <w:t xml:space="preserve">, </w:t>
      </w:r>
      <w:r w:rsidR="003A2A80">
        <w:rPr>
          <w:rFonts w:asciiTheme="majorHAnsi" w:eastAsia="Calibri" w:hAnsiTheme="majorHAnsi"/>
          <w:sz w:val="20"/>
          <w:szCs w:val="20"/>
          <w:bdr w:val="none" w:sz="0" w:space="0" w:color="auto"/>
        </w:rPr>
        <w:t>the proceedings completely omitted the fact that</w:t>
      </w:r>
      <w:r w:rsidR="00773B3C" w:rsidRPr="00A51861">
        <w:rPr>
          <w:rFonts w:asciiTheme="majorHAnsi" w:eastAsia="Calibri" w:hAnsiTheme="majorHAnsi"/>
          <w:sz w:val="20"/>
          <w:szCs w:val="20"/>
          <w:bdr w:val="none" w:sz="0" w:space="0" w:color="auto"/>
        </w:rPr>
        <w:t xml:space="preserve"> </w:t>
      </w:r>
      <w:r w:rsidR="002835FC" w:rsidRPr="00A51861">
        <w:rPr>
          <w:rFonts w:asciiTheme="majorHAnsi" w:eastAsia="Calibri" w:hAnsiTheme="majorHAnsi"/>
          <w:sz w:val="20"/>
          <w:szCs w:val="20"/>
          <w:bdr w:val="none" w:sz="0" w:space="0" w:color="auto"/>
        </w:rPr>
        <w:t xml:space="preserve">the alleged victims </w:t>
      </w:r>
      <w:r w:rsidR="003A2A80">
        <w:rPr>
          <w:rFonts w:asciiTheme="majorHAnsi" w:eastAsia="Calibri" w:hAnsiTheme="majorHAnsi"/>
          <w:sz w:val="20"/>
          <w:szCs w:val="20"/>
          <w:bdr w:val="none" w:sz="0" w:space="0" w:color="auto"/>
        </w:rPr>
        <w:t>were under</w:t>
      </w:r>
      <w:r w:rsidR="009A4F91">
        <w:rPr>
          <w:rFonts w:asciiTheme="majorHAnsi" w:eastAsia="Calibri" w:hAnsiTheme="majorHAnsi"/>
          <w:sz w:val="20"/>
          <w:szCs w:val="20"/>
          <w:bdr w:val="none" w:sz="0" w:space="0" w:color="auto"/>
        </w:rPr>
        <w:t xml:space="preserve"> the </w:t>
      </w:r>
      <w:r w:rsidR="00EF4ED2">
        <w:rPr>
          <w:rFonts w:asciiTheme="majorHAnsi" w:eastAsia="Calibri" w:hAnsiTheme="majorHAnsi"/>
          <w:sz w:val="20"/>
          <w:szCs w:val="20"/>
          <w:bdr w:val="none" w:sz="0" w:space="0" w:color="auto"/>
        </w:rPr>
        <w:t>protection</w:t>
      </w:r>
      <w:r w:rsidR="004969F4">
        <w:rPr>
          <w:rFonts w:asciiTheme="majorHAnsi" w:eastAsia="Calibri" w:hAnsiTheme="majorHAnsi"/>
          <w:sz w:val="20"/>
          <w:szCs w:val="20"/>
          <w:bdr w:val="none" w:sz="0" w:space="0" w:color="auto"/>
        </w:rPr>
        <w:t xml:space="preserve"> of the</w:t>
      </w:r>
      <w:r w:rsidR="008E2F10">
        <w:rPr>
          <w:rFonts w:asciiTheme="majorHAnsi" w:eastAsia="Calibri" w:hAnsiTheme="majorHAnsi"/>
          <w:sz w:val="20"/>
          <w:szCs w:val="20"/>
          <w:bdr w:val="none" w:sz="0" w:space="0" w:color="auto"/>
        </w:rPr>
        <w:t xml:space="preserve"> HCUNR</w:t>
      </w:r>
      <w:r w:rsidR="00773B3C" w:rsidRPr="00A51861">
        <w:rPr>
          <w:rFonts w:asciiTheme="majorHAnsi" w:eastAsia="Calibri" w:hAnsiTheme="majorHAnsi"/>
          <w:sz w:val="20"/>
          <w:szCs w:val="20"/>
          <w:bdr w:val="none" w:sz="0" w:space="0" w:color="auto"/>
        </w:rPr>
        <w:t xml:space="preserve">, </w:t>
      </w:r>
      <w:r w:rsidR="00E92985">
        <w:rPr>
          <w:rFonts w:asciiTheme="majorHAnsi" w:eastAsia="Calibri" w:hAnsiTheme="majorHAnsi"/>
          <w:sz w:val="20"/>
          <w:szCs w:val="20"/>
          <w:bdr w:val="none" w:sz="0" w:space="0" w:color="auto"/>
        </w:rPr>
        <w:t>situation</w:t>
      </w:r>
      <w:r w:rsidR="00773B3C" w:rsidRPr="00A51861">
        <w:rPr>
          <w:rFonts w:asciiTheme="majorHAnsi" w:eastAsia="Calibri" w:hAnsiTheme="majorHAnsi"/>
          <w:sz w:val="20"/>
          <w:szCs w:val="20"/>
          <w:bdr w:val="none" w:sz="0" w:space="0" w:color="auto"/>
        </w:rPr>
        <w:t xml:space="preserve"> </w:t>
      </w:r>
      <w:r w:rsidR="003A2A80">
        <w:rPr>
          <w:rFonts w:asciiTheme="majorHAnsi" w:eastAsia="Calibri" w:hAnsiTheme="majorHAnsi"/>
          <w:sz w:val="20"/>
          <w:szCs w:val="20"/>
          <w:bdr w:val="none" w:sz="0" w:space="0" w:color="auto"/>
        </w:rPr>
        <w:t>informed by</w:t>
      </w:r>
      <w:r w:rsidR="00773B3C" w:rsidRPr="00A51861">
        <w:rPr>
          <w:rFonts w:asciiTheme="majorHAnsi" w:eastAsia="Calibri" w:hAnsiTheme="majorHAnsi"/>
          <w:sz w:val="20"/>
          <w:szCs w:val="20"/>
          <w:bdr w:val="none" w:sz="0" w:space="0" w:color="auto"/>
        </w:rPr>
        <w:t xml:space="preserve"> </w:t>
      </w:r>
      <w:r w:rsidR="00A51861" w:rsidRPr="00A51861">
        <w:rPr>
          <w:rFonts w:asciiTheme="majorHAnsi" w:eastAsia="Calibri" w:hAnsiTheme="majorHAnsi"/>
          <w:sz w:val="20"/>
          <w:szCs w:val="20"/>
          <w:bdr w:val="none" w:sz="0" w:space="0" w:color="auto"/>
        </w:rPr>
        <w:t xml:space="preserve">Mr. </w:t>
      </w:r>
      <w:r w:rsidR="00773B3C" w:rsidRPr="00A51861">
        <w:rPr>
          <w:rFonts w:asciiTheme="majorHAnsi" w:eastAsia="Calibri" w:hAnsiTheme="majorHAnsi"/>
          <w:sz w:val="20"/>
          <w:szCs w:val="20"/>
          <w:bdr w:val="none" w:sz="0" w:space="0" w:color="auto"/>
        </w:rPr>
        <w:t xml:space="preserve">Hugo Daniel </w:t>
      </w:r>
      <w:r w:rsidR="003A2A80">
        <w:rPr>
          <w:rFonts w:asciiTheme="majorHAnsi" w:eastAsia="Calibri" w:hAnsiTheme="majorHAnsi"/>
          <w:sz w:val="20"/>
          <w:szCs w:val="20"/>
          <w:bdr w:val="none" w:sz="0" w:space="0" w:color="auto"/>
        </w:rPr>
        <w:t>in the appeal he filed</w:t>
      </w:r>
      <w:r w:rsidR="00CB0928">
        <w:rPr>
          <w:rFonts w:asciiTheme="majorHAnsi" w:eastAsia="Calibri" w:hAnsiTheme="majorHAnsi"/>
          <w:sz w:val="20"/>
          <w:szCs w:val="20"/>
          <w:bdr w:val="none" w:sz="0" w:space="0" w:color="auto"/>
        </w:rPr>
        <w:t xml:space="preserve"> against</w:t>
      </w:r>
      <w:r w:rsidR="009A4F91">
        <w:rPr>
          <w:rFonts w:asciiTheme="majorHAnsi" w:eastAsia="Calibri" w:hAnsiTheme="majorHAnsi"/>
          <w:sz w:val="20"/>
          <w:szCs w:val="20"/>
          <w:bdr w:val="none" w:sz="0" w:space="0" w:color="auto"/>
        </w:rPr>
        <w:t xml:space="preserve"> the </w:t>
      </w:r>
      <w:r w:rsidR="00773B3C" w:rsidRPr="00A51861">
        <w:rPr>
          <w:rFonts w:asciiTheme="majorHAnsi" w:eastAsia="Calibri" w:hAnsiTheme="majorHAnsi"/>
          <w:sz w:val="20"/>
          <w:szCs w:val="20"/>
          <w:bdr w:val="none" w:sz="0" w:space="0" w:color="auto"/>
        </w:rPr>
        <w:t>orde</w:t>
      </w:r>
      <w:r w:rsidR="003A2A80">
        <w:rPr>
          <w:rFonts w:asciiTheme="majorHAnsi" w:eastAsia="Calibri" w:hAnsiTheme="majorHAnsi"/>
          <w:sz w:val="20"/>
          <w:szCs w:val="20"/>
          <w:bdr w:val="none" w:sz="0" w:space="0" w:color="auto"/>
        </w:rPr>
        <w:t>r</w:t>
      </w:r>
      <w:r w:rsidR="00E92985">
        <w:rPr>
          <w:rFonts w:asciiTheme="majorHAnsi" w:eastAsia="Calibri" w:hAnsiTheme="majorHAnsi"/>
          <w:sz w:val="20"/>
          <w:szCs w:val="20"/>
          <w:bdr w:val="none" w:sz="0" w:space="0" w:color="auto"/>
        </w:rPr>
        <w:t xml:space="preserve"> of </w:t>
      </w:r>
      <w:r w:rsidR="00103579">
        <w:rPr>
          <w:rFonts w:asciiTheme="majorHAnsi" w:eastAsia="Calibri" w:hAnsiTheme="majorHAnsi"/>
          <w:sz w:val="20"/>
          <w:szCs w:val="20"/>
          <w:bdr w:val="none" w:sz="0" w:space="0" w:color="auto"/>
        </w:rPr>
        <w:t>expulsion</w:t>
      </w:r>
      <w:r w:rsidR="00773B3C" w:rsidRPr="00A51861">
        <w:rPr>
          <w:rFonts w:asciiTheme="majorHAnsi" w:eastAsia="Calibri" w:hAnsiTheme="majorHAnsi"/>
          <w:sz w:val="20"/>
          <w:szCs w:val="20"/>
          <w:bdr w:val="none" w:sz="0" w:space="0" w:color="auto"/>
        </w:rPr>
        <w:t>,</w:t>
      </w:r>
      <w:r w:rsidR="009A4F91">
        <w:rPr>
          <w:rFonts w:asciiTheme="majorHAnsi" w:eastAsia="Calibri" w:hAnsiTheme="majorHAnsi"/>
          <w:sz w:val="20"/>
          <w:szCs w:val="20"/>
          <w:bdr w:val="none" w:sz="0" w:space="0" w:color="auto"/>
        </w:rPr>
        <w:t xml:space="preserve"> </w:t>
      </w:r>
      <w:r w:rsidR="003A2A80">
        <w:rPr>
          <w:rFonts w:asciiTheme="majorHAnsi" w:eastAsia="Calibri" w:hAnsiTheme="majorHAnsi"/>
          <w:sz w:val="20"/>
          <w:szCs w:val="20"/>
          <w:bdr w:val="none" w:sz="0" w:space="0" w:color="auto"/>
        </w:rPr>
        <w:t xml:space="preserve">which </w:t>
      </w:r>
      <w:r w:rsidR="00773B3C" w:rsidRPr="00A51861">
        <w:rPr>
          <w:rFonts w:asciiTheme="majorHAnsi" w:eastAsia="Calibri" w:hAnsiTheme="majorHAnsi"/>
          <w:sz w:val="20"/>
          <w:szCs w:val="20"/>
          <w:bdr w:val="none" w:sz="0" w:space="0" w:color="auto"/>
        </w:rPr>
        <w:t>final</w:t>
      </w:r>
      <w:r w:rsidR="0029564F">
        <w:rPr>
          <w:rFonts w:asciiTheme="majorHAnsi" w:eastAsia="Calibri" w:hAnsiTheme="majorHAnsi"/>
          <w:sz w:val="20"/>
          <w:szCs w:val="20"/>
          <w:bdr w:val="none" w:sz="0" w:space="0" w:color="auto"/>
        </w:rPr>
        <w:t xml:space="preserve">ly </w:t>
      </w:r>
      <w:r w:rsidR="003A2A80">
        <w:rPr>
          <w:rFonts w:asciiTheme="majorHAnsi" w:eastAsia="Calibri" w:hAnsiTheme="majorHAnsi"/>
          <w:sz w:val="20"/>
          <w:szCs w:val="20"/>
          <w:bdr w:val="none" w:sz="0" w:space="0" w:color="auto"/>
        </w:rPr>
        <w:t>remained firm</w:t>
      </w:r>
      <w:r w:rsidR="00773B3C" w:rsidRPr="00A51861">
        <w:rPr>
          <w:rFonts w:asciiTheme="majorHAnsi" w:eastAsia="Calibri" w:hAnsiTheme="majorHAnsi"/>
          <w:sz w:val="20"/>
          <w:szCs w:val="20"/>
          <w:bdr w:val="none" w:sz="0" w:space="0" w:color="auto"/>
        </w:rPr>
        <w:t xml:space="preserve"> </w:t>
      </w:r>
      <w:r w:rsidR="003A2A80">
        <w:rPr>
          <w:rFonts w:asciiTheme="majorHAnsi" w:eastAsia="Calibri" w:hAnsiTheme="majorHAnsi"/>
          <w:sz w:val="20"/>
          <w:szCs w:val="20"/>
          <w:bdr w:val="none" w:sz="0" w:space="0" w:color="auto"/>
        </w:rPr>
        <w:t>without</w:t>
      </w:r>
      <w:r w:rsidR="00E64C43">
        <w:rPr>
          <w:rFonts w:asciiTheme="majorHAnsi" w:eastAsia="Calibri" w:hAnsiTheme="majorHAnsi"/>
          <w:sz w:val="20"/>
          <w:szCs w:val="20"/>
          <w:bdr w:val="none" w:sz="0" w:space="0" w:color="auto"/>
        </w:rPr>
        <w:t xml:space="preserve"> this </w:t>
      </w:r>
      <w:r w:rsidR="003A2A80">
        <w:rPr>
          <w:rFonts w:asciiTheme="majorHAnsi" w:eastAsia="Calibri" w:hAnsiTheme="majorHAnsi"/>
          <w:sz w:val="20"/>
          <w:szCs w:val="20"/>
          <w:bdr w:val="none" w:sz="0" w:space="0" w:color="auto"/>
        </w:rPr>
        <w:t>matter being even reviewed</w:t>
      </w:r>
      <w:r w:rsidR="00773B3C" w:rsidRPr="00A51861">
        <w:rPr>
          <w:rFonts w:asciiTheme="majorHAnsi" w:eastAsia="Calibri" w:hAnsiTheme="majorHAnsi"/>
          <w:sz w:val="20"/>
          <w:szCs w:val="20"/>
          <w:bdr w:val="none" w:sz="0" w:space="0" w:color="auto"/>
        </w:rPr>
        <w:t xml:space="preserve">. </w:t>
      </w:r>
      <w:r w:rsidR="003A2A80">
        <w:rPr>
          <w:rFonts w:asciiTheme="majorHAnsi" w:eastAsia="Calibri" w:hAnsiTheme="majorHAnsi"/>
          <w:sz w:val="20"/>
          <w:szCs w:val="20"/>
          <w:bdr w:val="none" w:sz="0" w:space="0" w:color="auto"/>
        </w:rPr>
        <w:t>Also,</w:t>
      </w:r>
      <w:r w:rsidR="00980C18" w:rsidRPr="00A51861">
        <w:rPr>
          <w:rFonts w:asciiTheme="majorHAnsi" w:eastAsia="Calibri" w:hAnsiTheme="majorHAnsi"/>
          <w:sz w:val="20"/>
          <w:szCs w:val="20"/>
          <w:bdr w:val="none" w:sz="0" w:space="0" w:color="auto"/>
        </w:rPr>
        <w:t xml:space="preserve"> </w:t>
      </w:r>
      <w:r w:rsidR="00F92BA8">
        <w:rPr>
          <w:rFonts w:asciiTheme="majorHAnsi" w:eastAsia="Calibri" w:hAnsiTheme="majorHAnsi"/>
          <w:sz w:val="20"/>
          <w:szCs w:val="20"/>
          <w:bdr w:val="none" w:sz="0" w:space="0" w:color="auto"/>
        </w:rPr>
        <w:t>the State</w:t>
      </w:r>
      <w:r w:rsidR="00980C18" w:rsidRPr="00A51861">
        <w:rPr>
          <w:rFonts w:asciiTheme="majorHAnsi" w:eastAsia="Calibri" w:hAnsiTheme="majorHAnsi"/>
          <w:sz w:val="20"/>
          <w:szCs w:val="20"/>
          <w:bdr w:val="none" w:sz="0" w:space="0" w:color="auto"/>
        </w:rPr>
        <w:t xml:space="preserve"> </w:t>
      </w:r>
      <w:r w:rsidR="003A2A80">
        <w:rPr>
          <w:rFonts w:asciiTheme="majorHAnsi" w:eastAsia="Calibri" w:hAnsiTheme="majorHAnsi"/>
          <w:sz w:val="20"/>
          <w:szCs w:val="20"/>
          <w:bdr w:val="none" w:sz="0" w:space="0" w:color="auto"/>
        </w:rPr>
        <w:t>should have been aware that</w:t>
      </w:r>
      <w:r w:rsidR="0083716D" w:rsidRPr="00A51861">
        <w:rPr>
          <w:rFonts w:asciiTheme="majorHAnsi" w:eastAsia="Calibri" w:hAnsiTheme="majorHAnsi"/>
          <w:sz w:val="20"/>
          <w:szCs w:val="20"/>
          <w:bdr w:val="none" w:sz="0" w:space="0" w:color="auto"/>
        </w:rPr>
        <w:t xml:space="preserve"> </w:t>
      </w:r>
      <w:r w:rsidR="002835FC" w:rsidRPr="00A51861">
        <w:rPr>
          <w:rFonts w:asciiTheme="majorHAnsi" w:eastAsia="Calibri" w:hAnsiTheme="majorHAnsi"/>
          <w:sz w:val="20"/>
          <w:szCs w:val="20"/>
          <w:bdr w:val="none" w:sz="0" w:space="0" w:color="auto"/>
        </w:rPr>
        <w:t xml:space="preserve">the alleged victims </w:t>
      </w:r>
      <w:r w:rsidR="003A2A80">
        <w:rPr>
          <w:rFonts w:asciiTheme="majorHAnsi" w:eastAsia="Calibri" w:hAnsiTheme="majorHAnsi"/>
          <w:sz w:val="20"/>
          <w:szCs w:val="20"/>
          <w:bdr w:val="none" w:sz="0" w:space="0" w:color="auto"/>
        </w:rPr>
        <w:t xml:space="preserve">were under </w:t>
      </w:r>
      <w:r w:rsidR="009A4F91">
        <w:rPr>
          <w:rFonts w:asciiTheme="majorHAnsi" w:eastAsia="Calibri" w:hAnsiTheme="majorHAnsi"/>
          <w:sz w:val="20"/>
          <w:szCs w:val="20"/>
          <w:bdr w:val="none" w:sz="0" w:space="0" w:color="auto"/>
        </w:rPr>
        <w:t xml:space="preserve">the </w:t>
      </w:r>
      <w:r w:rsidR="00EF4ED2">
        <w:rPr>
          <w:rFonts w:asciiTheme="majorHAnsi" w:eastAsia="Calibri" w:hAnsiTheme="majorHAnsi"/>
          <w:sz w:val="20"/>
          <w:szCs w:val="20"/>
          <w:bdr w:val="none" w:sz="0" w:space="0" w:color="auto"/>
        </w:rPr>
        <w:t>protection</w:t>
      </w:r>
      <w:r w:rsidR="004969F4">
        <w:rPr>
          <w:rFonts w:asciiTheme="majorHAnsi" w:eastAsia="Calibri" w:hAnsiTheme="majorHAnsi"/>
          <w:sz w:val="20"/>
          <w:szCs w:val="20"/>
          <w:bdr w:val="none" w:sz="0" w:space="0" w:color="auto"/>
        </w:rPr>
        <w:t xml:space="preserve"> of the</w:t>
      </w:r>
      <w:r w:rsidR="008E2F10">
        <w:rPr>
          <w:rFonts w:asciiTheme="majorHAnsi" w:eastAsia="Calibri" w:hAnsiTheme="majorHAnsi"/>
          <w:sz w:val="20"/>
          <w:szCs w:val="20"/>
          <w:bdr w:val="none" w:sz="0" w:space="0" w:color="auto"/>
        </w:rPr>
        <w:t xml:space="preserve"> HCUNR</w:t>
      </w:r>
      <w:r w:rsidR="0083716D" w:rsidRPr="00A51861">
        <w:rPr>
          <w:rFonts w:asciiTheme="majorHAnsi" w:eastAsia="Calibri" w:hAnsiTheme="majorHAnsi"/>
          <w:sz w:val="20"/>
          <w:szCs w:val="20"/>
          <w:bdr w:val="none" w:sz="0" w:space="0" w:color="auto"/>
        </w:rPr>
        <w:t xml:space="preserve">, </w:t>
      </w:r>
      <w:r w:rsidR="003A2A80">
        <w:rPr>
          <w:rFonts w:asciiTheme="majorHAnsi" w:eastAsia="Calibri" w:hAnsiTheme="majorHAnsi"/>
          <w:sz w:val="20"/>
          <w:szCs w:val="20"/>
          <w:bdr w:val="none" w:sz="0" w:space="0" w:color="auto"/>
        </w:rPr>
        <w:t>since it was by its</w:t>
      </w:r>
      <w:r w:rsidR="0083716D" w:rsidRPr="00A51861">
        <w:rPr>
          <w:rFonts w:asciiTheme="majorHAnsi" w:eastAsia="Calibri" w:hAnsiTheme="majorHAnsi"/>
          <w:sz w:val="20"/>
          <w:szCs w:val="20"/>
          <w:bdr w:val="none" w:sz="0" w:space="0" w:color="auto"/>
        </w:rPr>
        <w:t xml:space="preserve"> </w:t>
      </w:r>
      <w:r w:rsidR="003A2A80" w:rsidRPr="00A51861">
        <w:rPr>
          <w:rFonts w:asciiTheme="majorHAnsi" w:eastAsia="Calibri" w:hAnsiTheme="majorHAnsi"/>
          <w:sz w:val="20"/>
          <w:szCs w:val="20"/>
          <w:bdr w:val="none" w:sz="0" w:space="0" w:color="auto"/>
        </w:rPr>
        <w:t>intercession</w:t>
      </w:r>
      <w:r w:rsidR="0083716D" w:rsidRPr="00A51861">
        <w:rPr>
          <w:rFonts w:asciiTheme="majorHAnsi" w:eastAsia="Calibri" w:hAnsiTheme="majorHAnsi"/>
          <w:sz w:val="20"/>
          <w:szCs w:val="20"/>
          <w:bdr w:val="none" w:sz="0" w:space="0" w:color="auto"/>
        </w:rPr>
        <w:t xml:space="preserve"> </w:t>
      </w:r>
      <w:r w:rsidR="003A2A80">
        <w:rPr>
          <w:rFonts w:asciiTheme="majorHAnsi" w:eastAsia="Calibri" w:hAnsiTheme="majorHAnsi"/>
          <w:sz w:val="20"/>
          <w:szCs w:val="20"/>
          <w:bdr w:val="none" w:sz="0" w:space="0" w:color="auto"/>
        </w:rPr>
        <w:t>that the safe-guard passes were requested</w:t>
      </w:r>
      <w:r w:rsidR="0083716D" w:rsidRPr="00A51861">
        <w:rPr>
          <w:rFonts w:asciiTheme="majorHAnsi" w:eastAsia="Calibri" w:hAnsiTheme="majorHAnsi"/>
          <w:sz w:val="20"/>
          <w:szCs w:val="20"/>
          <w:bdr w:val="none" w:sz="0" w:space="0" w:color="auto"/>
        </w:rPr>
        <w:t xml:space="preserve"> </w:t>
      </w:r>
      <w:r w:rsidR="003A2A80">
        <w:rPr>
          <w:rFonts w:asciiTheme="majorHAnsi" w:eastAsia="Calibri" w:hAnsiTheme="majorHAnsi"/>
          <w:sz w:val="20"/>
          <w:szCs w:val="20"/>
          <w:bdr w:val="none" w:sz="0" w:space="0" w:color="auto"/>
        </w:rPr>
        <w:t>for their departure of the country</w:t>
      </w:r>
      <w:r w:rsidR="00E92985">
        <w:rPr>
          <w:rFonts w:asciiTheme="majorHAnsi" w:eastAsia="Calibri" w:hAnsiTheme="majorHAnsi"/>
          <w:sz w:val="20"/>
          <w:szCs w:val="20"/>
          <w:bdr w:val="none" w:sz="0" w:space="0" w:color="auto"/>
        </w:rPr>
        <w:t xml:space="preserve"> and </w:t>
      </w:r>
      <w:r w:rsidR="003A2A80">
        <w:rPr>
          <w:rFonts w:asciiTheme="majorHAnsi" w:eastAsia="Calibri" w:hAnsiTheme="majorHAnsi"/>
          <w:sz w:val="20"/>
          <w:szCs w:val="20"/>
          <w:bdr w:val="none" w:sz="0" w:space="0" w:color="auto"/>
        </w:rPr>
        <w:t>that said departure</w:t>
      </w:r>
      <w:r w:rsidR="004969F4">
        <w:rPr>
          <w:rFonts w:asciiTheme="majorHAnsi" w:eastAsia="Calibri" w:hAnsiTheme="majorHAnsi"/>
          <w:sz w:val="20"/>
          <w:szCs w:val="20"/>
          <w:bdr w:val="none" w:sz="0" w:space="0" w:color="auto"/>
        </w:rPr>
        <w:t xml:space="preserve"> </w:t>
      </w:r>
      <w:r w:rsidR="003A2A80">
        <w:rPr>
          <w:rFonts w:asciiTheme="majorHAnsi" w:eastAsia="Calibri" w:hAnsiTheme="majorHAnsi"/>
          <w:sz w:val="20"/>
          <w:szCs w:val="20"/>
          <w:bdr w:val="none" w:sz="0" w:space="0" w:color="auto"/>
        </w:rPr>
        <w:t>was conducted under its sponsorship and accompanying</w:t>
      </w:r>
      <w:r w:rsidR="00E17215" w:rsidRPr="00A51861">
        <w:rPr>
          <w:rFonts w:asciiTheme="majorHAnsi" w:eastAsia="Calibri" w:hAnsiTheme="majorHAnsi"/>
          <w:sz w:val="20"/>
          <w:szCs w:val="20"/>
          <w:bdr w:val="none" w:sz="0" w:space="0" w:color="auto"/>
        </w:rPr>
        <w:t>.</w:t>
      </w:r>
      <w:r w:rsidR="00E17215" w:rsidRPr="00A51861">
        <w:rPr>
          <w:rFonts w:asciiTheme="majorHAnsi" w:eastAsia="Calibri" w:hAnsiTheme="majorHAnsi" w:cs="Tahoma"/>
          <w:color w:val="000000"/>
          <w:sz w:val="20"/>
          <w:szCs w:val="20"/>
          <w:bdr w:val="none" w:sz="0" w:space="0" w:color="auto"/>
        </w:rPr>
        <w:t xml:space="preserve"> </w:t>
      </w:r>
      <w:r w:rsidR="003A2A80">
        <w:rPr>
          <w:rFonts w:asciiTheme="majorHAnsi" w:eastAsia="Calibri" w:hAnsiTheme="majorHAnsi"/>
          <w:sz w:val="20"/>
          <w:szCs w:val="20"/>
          <w:bdr w:val="none" w:sz="0" w:space="0" w:color="auto"/>
        </w:rPr>
        <w:t>The abovesaid</w:t>
      </w:r>
      <w:r w:rsidR="00773B3C" w:rsidRPr="00A51861">
        <w:rPr>
          <w:rFonts w:asciiTheme="majorHAnsi" w:eastAsia="Calibri" w:hAnsiTheme="majorHAnsi"/>
          <w:sz w:val="20"/>
          <w:szCs w:val="20"/>
          <w:bdr w:val="none" w:sz="0" w:space="0" w:color="auto"/>
        </w:rPr>
        <w:t xml:space="preserve">, </w:t>
      </w:r>
      <w:r w:rsidR="003A2A80">
        <w:rPr>
          <w:rFonts w:asciiTheme="majorHAnsi" w:eastAsia="Calibri" w:hAnsiTheme="majorHAnsi"/>
          <w:sz w:val="20"/>
          <w:szCs w:val="20"/>
          <w:bdr w:val="none" w:sz="0" w:space="0" w:color="auto"/>
        </w:rPr>
        <w:t>would imply that</w:t>
      </w:r>
      <w:r w:rsidR="00773B3C" w:rsidRPr="00A51861">
        <w:rPr>
          <w:rFonts w:asciiTheme="majorHAnsi" w:eastAsia="Calibri" w:hAnsiTheme="majorHAnsi"/>
          <w:sz w:val="20"/>
          <w:szCs w:val="20"/>
          <w:bdr w:val="none" w:sz="0" w:space="0" w:color="auto"/>
        </w:rPr>
        <w:t xml:space="preserve"> </w:t>
      </w:r>
      <w:r w:rsidR="00F92BA8">
        <w:rPr>
          <w:rFonts w:asciiTheme="majorHAnsi" w:eastAsia="Calibri" w:hAnsiTheme="majorHAnsi"/>
          <w:sz w:val="20"/>
          <w:szCs w:val="20"/>
          <w:bdr w:val="none" w:sz="0" w:space="0" w:color="auto"/>
        </w:rPr>
        <w:t>the Argentine State</w:t>
      </w:r>
      <w:r w:rsidR="00773B3C" w:rsidRPr="00A51861">
        <w:rPr>
          <w:rFonts w:asciiTheme="majorHAnsi" w:eastAsia="Calibri" w:hAnsiTheme="majorHAnsi"/>
          <w:sz w:val="20"/>
          <w:szCs w:val="20"/>
          <w:bdr w:val="none" w:sz="0" w:space="0" w:color="auto"/>
        </w:rPr>
        <w:t xml:space="preserve"> </w:t>
      </w:r>
      <w:r w:rsidR="003A2A80">
        <w:rPr>
          <w:rFonts w:asciiTheme="majorHAnsi" w:eastAsia="Calibri" w:hAnsiTheme="majorHAnsi"/>
          <w:sz w:val="20"/>
          <w:szCs w:val="20"/>
          <w:bdr w:val="none" w:sz="0" w:space="0" w:color="auto"/>
        </w:rPr>
        <w:t>also breached its</w:t>
      </w:r>
      <w:r w:rsidR="009A4F91">
        <w:rPr>
          <w:rFonts w:asciiTheme="majorHAnsi" w:eastAsia="Calibri" w:hAnsiTheme="majorHAnsi"/>
          <w:sz w:val="20"/>
          <w:szCs w:val="20"/>
          <w:bdr w:val="none" w:sz="0" w:space="0" w:color="auto"/>
        </w:rPr>
        <w:t xml:space="preserve"> </w:t>
      </w:r>
      <w:r w:rsidR="003A2A80" w:rsidRPr="00A51861">
        <w:rPr>
          <w:rFonts w:asciiTheme="majorHAnsi" w:eastAsia="Calibri" w:hAnsiTheme="majorHAnsi"/>
          <w:sz w:val="20"/>
          <w:szCs w:val="20"/>
          <w:bdr w:val="none" w:sz="0" w:space="0" w:color="auto"/>
        </w:rPr>
        <w:t>obligation</w:t>
      </w:r>
      <w:r w:rsidR="00E92985">
        <w:rPr>
          <w:rFonts w:asciiTheme="majorHAnsi" w:eastAsia="Calibri" w:hAnsiTheme="majorHAnsi"/>
          <w:sz w:val="20"/>
          <w:szCs w:val="20"/>
          <w:bdr w:val="none" w:sz="0" w:space="0" w:color="auto"/>
        </w:rPr>
        <w:t xml:space="preserve"> of </w:t>
      </w:r>
      <w:r w:rsidR="00773B3C" w:rsidRPr="00A51861">
        <w:rPr>
          <w:rFonts w:asciiTheme="majorHAnsi" w:eastAsia="Calibri" w:hAnsiTheme="majorHAnsi"/>
          <w:sz w:val="20"/>
          <w:szCs w:val="20"/>
          <w:bdr w:val="none" w:sz="0" w:space="0" w:color="auto"/>
        </w:rPr>
        <w:t>no</w:t>
      </w:r>
      <w:r w:rsidR="00444893">
        <w:rPr>
          <w:rFonts w:asciiTheme="majorHAnsi" w:eastAsia="Calibri" w:hAnsiTheme="majorHAnsi"/>
          <w:sz w:val="20"/>
          <w:szCs w:val="20"/>
          <w:bdr w:val="none" w:sz="0" w:space="0" w:color="auto"/>
        </w:rPr>
        <w:t>n-</w:t>
      </w:r>
      <w:r w:rsidR="003A2A80">
        <w:rPr>
          <w:rFonts w:asciiTheme="majorHAnsi" w:eastAsia="Calibri" w:hAnsiTheme="majorHAnsi"/>
          <w:sz w:val="20"/>
          <w:szCs w:val="20"/>
          <w:bdr w:val="none" w:sz="0" w:space="0" w:color="auto"/>
        </w:rPr>
        <w:t>re</w:t>
      </w:r>
      <w:r w:rsidR="00444893">
        <w:rPr>
          <w:rFonts w:asciiTheme="majorHAnsi" w:eastAsia="Calibri" w:hAnsiTheme="majorHAnsi"/>
          <w:sz w:val="20"/>
          <w:szCs w:val="20"/>
          <w:bdr w:val="none" w:sz="0" w:space="0" w:color="auto"/>
        </w:rPr>
        <w:t>foulment</w:t>
      </w:r>
      <w:r w:rsidR="00773B3C" w:rsidRPr="00A51861">
        <w:rPr>
          <w:rFonts w:asciiTheme="majorHAnsi" w:eastAsia="Calibri" w:hAnsiTheme="majorHAnsi"/>
          <w:sz w:val="20"/>
          <w:szCs w:val="20"/>
          <w:bdr w:val="none" w:sz="0" w:space="0" w:color="auto"/>
        </w:rPr>
        <w:t xml:space="preserve">, </w:t>
      </w:r>
      <w:r w:rsidR="003A2A80">
        <w:rPr>
          <w:rFonts w:asciiTheme="majorHAnsi" w:eastAsia="Calibri" w:hAnsiTheme="majorHAnsi"/>
          <w:sz w:val="20"/>
          <w:szCs w:val="20"/>
          <w:bdr w:val="none" w:sz="0" w:space="0" w:color="auto"/>
        </w:rPr>
        <w:t>in regard to Mr.</w:t>
      </w:r>
      <w:r w:rsidR="00B01A54">
        <w:rPr>
          <w:rFonts w:asciiTheme="majorHAnsi" w:eastAsia="Calibri" w:hAnsiTheme="majorHAnsi"/>
          <w:sz w:val="20"/>
          <w:szCs w:val="20"/>
          <w:bdr w:val="none" w:sz="0" w:space="0" w:color="auto"/>
        </w:rPr>
        <w:t xml:space="preserve"> de los Santos </w:t>
      </w:r>
      <w:r w:rsidR="00E92985">
        <w:rPr>
          <w:rFonts w:asciiTheme="majorHAnsi" w:eastAsia="Calibri" w:hAnsiTheme="majorHAnsi"/>
          <w:sz w:val="20"/>
          <w:szCs w:val="20"/>
          <w:bdr w:val="none" w:sz="0" w:space="0" w:color="auto"/>
        </w:rPr>
        <w:t xml:space="preserve">and </w:t>
      </w:r>
      <w:r w:rsidR="003A2A80">
        <w:rPr>
          <w:rFonts w:asciiTheme="majorHAnsi" w:eastAsia="Calibri" w:hAnsiTheme="majorHAnsi"/>
          <w:sz w:val="20"/>
          <w:szCs w:val="20"/>
          <w:bdr w:val="none" w:sz="0" w:space="0" w:color="auto"/>
        </w:rPr>
        <w:t xml:space="preserve">Mr. </w:t>
      </w:r>
      <w:r w:rsidR="00773B3C" w:rsidRPr="00A51861">
        <w:rPr>
          <w:rFonts w:asciiTheme="majorHAnsi" w:eastAsia="Calibri" w:hAnsiTheme="majorHAnsi"/>
          <w:sz w:val="20"/>
          <w:szCs w:val="20"/>
          <w:bdr w:val="none" w:sz="0" w:space="0" w:color="auto"/>
        </w:rPr>
        <w:t>Fer</w:t>
      </w:r>
      <w:r w:rsidR="000F52DA" w:rsidRPr="00A51861">
        <w:rPr>
          <w:rFonts w:asciiTheme="majorHAnsi" w:eastAsia="Calibri" w:hAnsiTheme="majorHAnsi"/>
          <w:sz w:val="20"/>
          <w:szCs w:val="20"/>
          <w:bdr w:val="none" w:sz="0" w:space="0" w:color="auto"/>
        </w:rPr>
        <w:t xml:space="preserve">reira, </w:t>
      </w:r>
      <w:r w:rsidR="003A2A80">
        <w:rPr>
          <w:rFonts w:asciiTheme="majorHAnsi" w:eastAsia="Calibri" w:hAnsiTheme="majorHAnsi"/>
          <w:sz w:val="20"/>
          <w:szCs w:val="20"/>
          <w:bdr w:val="none" w:sz="0" w:space="0" w:color="auto"/>
        </w:rPr>
        <w:t>by ordering their</w:t>
      </w:r>
      <w:r w:rsidR="000F52DA" w:rsidRPr="00A51861">
        <w:rPr>
          <w:rFonts w:asciiTheme="majorHAnsi" w:eastAsia="Calibri" w:hAnsiTheme="majorHAnsi"/>
          <w:sz w:val="20"/>
          <w:szCs w:val="20"/>
          <w:bdr w:val="none" w:sz="0" w:space="0" w:color="auto"/>
        </w:rPr>
        <w:t xml:space="preserve"> </w:t>
      </w:r>
      <w:r w:rsidR="00103579">
        <w:rPr>
          <w:rFonts w:asciiTheme="majorHAnsi" w:eastAsia="Calibri" w:hAnsiTheme="majorHAnsi"/>
          <w:sz w:val="20"/>
          <w:szCs w:val="20"/>
          <w:bdr w:val="none" w:sz="0" w:space="0" w:color="auto"/>
        </w:rPr>
        <w:t>expulsion</w:t>
      </w:r>
      <w:r w:rsidR="000F52DA" w:rsidRPr="00A51861">
        <w:rPr>
          <w:rFonts w:asciiTheme="majorHAnsi" w:eastAsia="Calibri" w:hAnsiTheme="majorHAnsi"/>
          <w:sz w:val="20"/>
          <w:szCs w:val="20"/>
          <w:bdr w:val="none" w:sz="0" w:space="0" w:color="auto"/>
        </w:rPr>
        <w:t>.</w:t>
      </w:r>
    </w:p>
    <w:p w14:paraId="4119303C" w14:textId="77777777" w:rsidR="000F52DA" w:rsidRPr="00A51861" w:rsidRDefault="000F52DA" w:rsidP="008E4D36">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Theme="majorHAnsi" w:eastAsia="Calibri" w:hAnsiTheme="majorHAnsi" w:cs="Tahoma"/>
          <w:color w:val="000000"/>
          <w:sz w:val="20"/>
          <w:szCs w:val="20"/>
          <w:bdr w:val="none" w:sz="0" w:space="0" w:color="auto"/>
        </w:rPr>
      </w:pPr>
    </w:p>
    <w:p w14:paraId="7E5C4802" w14:textId="185B1738" w:rsidR="00980C18" w:rsidRPr="00A51861" w:rsidRDefault="007057A5"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Calibri" w:hAnsiTheme="majorHAnsi" w:cs="Tahoma"/>
          <w:color w:val="000000"/>
          <w:sz w:val="20"/>
          <w:szCs w:val="20"/>
          <w:bdr w:val="none" w:sz="0" w:space="0" w:color="auto"/>
        </w:rPr>
      </w:pPr>
      <w:r>
        <w:rPr>
          <w:rFonts w:asciiTheme="majorHAnsi" w:eastAsia="Calibri" w:hAnsiTheme="majorHAnsi" w:cs="Tahoma"/>
          <w:color w:val="000000"/>
          <w:sz w:val="20"/>
          <w:szCs w:val="20"/>
          <w:bdr w:val="none" w:sz="0" w:space="0" w:color="auto"/>
        </w:rPr>
        <w:t>In this sense</w:t>
      </w:r>
      <w:r w:rsidR="000F52DA" w:rsidRPr="00A51861">
        <w:rPr>
          <w:rFonts w:asciiTheme="majorHAnsi" w:eastAsia="Calibri" w:hAnsiTheme="majorHAnsi" w:cs="Tahoma"/>
          <w:color w:val="000000"/>
          <w:sz w:val="20"/>
          <w:szCs w:val="20"/>
          <w:bdr w:val="none" w:sz="0" w:space="0" w:color="auto"/>
        </w:rPr>
        <w:t xml:space="preserve">, </w:t>
      </w:r>
      <w:r w:rsidR="00E92985">
        <w:rPr>
          <w:rFonts w:asciiTheme="majorHAnsi" w:eastAsia="Calibri" w:hAnsiTheme="majorHAnsi" w:cs="Tahoma"/>
          <w:color w:val="000000"/>
          <w:sz w:val="20"/>
          <w:szCs w:val="20"/>
          <w:bdr w:val="none" w:sz="0" w:space="0" w:color="auto"/>
        </w:rPr>
        <w:t>the Commission</w:t>
      </w:r>
      <w:r w:rsidR="000F52DA" w:rsidRPr="00A51861">
        <w:rPr>
          <w:rFonts w:asciiTheme="majorHAnsi" w:eastAsia="Calibri" w:hAnsiTheme="majorHAnsi" w:cs="Tahoma"/>
          <w:color w:val="000000"/>
          <w:sz w:val="20"/>
          <w:szCs w:val="20"/>
          <w:bdr w:val="none" w:sz="0" w:space="0" w:color="auto"/>
        </w:rPr>
        <w:t xml:space="preserve"> </w:t>
      </w:r>
      <w:r w:rsidR="00A51861" w:rsidRPr="00A51861">
        <w:rPr>
          <w:rFonts w:asciiTheme="majorHAnsi" w:eastAsia="Calibri" w:hAnsiTheme="majorHAnsi" w:cs="Tahoma"/>
          <w:color w:val="000000"/>
          <w:sz w:val="20"/>
          <w:szCs w:val="20"/>
          <w:bdr w:val="none" w:sz="0" w:space="0" w:color="auto"/>
        </w:rPr>
        <w:t>considers that</w:t>
      </w:r>
      <w:r w:rsidR="009A4F91">
        <w:rPr>
          <w:rFonts w:asciiTheme="majorHAnsi" w:eastAsia="Calibri" w:hAnsiTheme="majorHAnsi" w:cs="Tahoma"/>
          <w:color w:val="000000"/>
          <w:sz w:val="20"/>
          <w:szCs w:val="20"/>
          <w:bdr w:val="none" w:sz="0" w:space="0" w:color="auto"/>
        </w:rPr>
        <w:t xml:space="preserve"> the </w:t>
      </w:r>
      <w:r w:rsidRPr="00A51861">
        <w:rPr>
          <w:rFonts w:asciiTheme="majorHAnsi" w:eastAsia="Calibri" w:hAnsiTheme="majorHAnsi" w:cs="Tahoma"/>
          <w:color w:val="000000"/>
          <w:sz w:val="20"/>
          <w:szCs w:val="20"/>
          <w:bdr w:val="none" w:sz="0" w:space="0" w:color="auto"/>
        </w:rPr>
        <w:t>inobservance</w:t>
      </w:r>
      <w:r w:rsidR="00E92985">
        <w:rPr>
          <w:rFonts w:asciiTheme="majorHAnsi" w:eastAsia="Calibri" w:hAnsiTheme="majorHAnsi" w:cs="Tahoma"/>
          <w:color w:val="000000"/>
          <w:sz w:val="20"/>
          <w:szCs w:val="20"/>
          <w:bdr w:val="none" w:sz="0" w:space="0" w:color="auto"/>
        </w:rPr>
        <w:t xml:space="preserve"> of </w:t>
      </w:r>
      <w:r>
        <w:rPr>
          <w:rFonts w:asciiTheme="majorHAnsi" w:eastAsia="Calibri" w:hAnsiTheme="majorHAnsi" w:cs="Tahoma"/>
          <w:color w:val="000000"/>
          <w:sz w:val="20"/>
          <w:szCs w:val="20"/>
          <w:bdr w:val="none" w:sz="0" w:space="0" w:color="auto"/>
        </w:rPr>
        <w:t>the</w:t>
      </w:r>
      <w:r w:rsidR="000F52DA" w:rsidRPr="00A51861">
        <w:rPr>
          <w:rFonts w:asciiTheme="majorHAnsi" w:eastAsia="Calibri" w:hAnsiTheme="majorHAnsi" w:cs="Tahoma"/>
          <w:color w:val="000000"/>
          <w:sz w:val="20"/>
          <w:szCs w:val="20"/>
          <w:bdr w:val="none" w:sz="0" w:space="0" w:color="auto"/>
        </w:rPr>
        <w:t xml:space="preserve"> </w:t>
      </w:r>
      <w:r w:rsidR="009A4F91">
        <w:rPr>
          <w:rFonts w:asciiTheme="majorHAnsi" w:eastAsia="Calibri" w:hAnsiTheme="majorHAnsi" w:cs="Tahoma"/>
          <w:color w:val="000000"/>
          <w:sz w:val="20"/>
          <w:szCs w:val="20"/>
          <w:bdr w:val="none" w:sz="0" w:space="0" w:color="auto"/>
        </w:rPr>
        <w:t>guarantee</w:t>
      </w:r>
      <w:r w:rsidR="000F52DA" w:rsidRPr="00A51861">
        <w:rPr>
          <w:rFonts w:asciiTheme="majorHAnsi" w:eastAsia="Calibri" w:hAnsiTheme="majorHAnsi" w:cs="Tahoma"/>
          <w:color w:val="000000"/>
          <w:sz w:val="20"/>
          <w:szCs w:val="20"/>
          <w:bdr w:val="none" w:sz="0" w:space="0" w:color="auto"/>
        </w:rPr>
        <w:t>s</w:t>
      </w:r>
      <w:r w:rsidR="00E92985">
        <w:rPr>
          <w:rFonts w:asciiTheme="majorHAnsi" w:eastAsia="Calibri" w:hAnsiTheme="majorHAnsi" w:cs="Tahoma"/>
          <w:color w:val="000000"/>
          <w:sz w:val="20"/>
          <w:szCs w:val="20"/>
          <w:bdr w:val="none" w:sz="0" w:space="0" w:color="auto"/>
        </w:rPr>
        <w:t xml:space="preserve"> of </w:t>
      </w:r>
      <w:r>
        <w:rPr>
          <w:rFonts w:asciiTheme="majorHAnsi" w:eastAsia="Calibri" w:hAnsiTheme="majorHAnsi" w:cs="Tahoma"/>
          <w:color w:val="000000"/>
          <w:sz w:val="20"/>
          <w:szCs w:val="20"/>
          <w:bdr w:val="none" w:sz="0" w:space="0" w:color="auto"/>
        </w:rPr>
        <w:t>the rights to</w:t>
      </w:r>
      <w:r w:rsidR="00E92985">
        <w:rPr>
          <w:rFonts w:asciiTheme="majorHAnsi" w:eastAsia="Calibri" w:hAnsiTheme="majorHAnsi" w:cs="Tahoma"/>
          <w:color w:val="000000"/>
          <w:sz w:val="20"/>
          <w:szCs w:val="20"/>
          <w:bdr w:val="none" w:sz="0" w:space="0" w:color="auto"/>
        </w:rPr>
        <w:t xml:space="preserve"> </w:t>
      </w:r>
      <w:r w:rsidR="001937FB">
        <w:rPr>
          <w:rFonts w:asciiTheme="majorHAnsi" w:eastAsia="Calibri" w:hAnsiTheme="majorHAnsi" w:cs="Tahoma"/>
          <w:color w:val="000000"/>
          <w:sz w:val="20"/>
          <w:szCs w:val="20"/>
          <w:bdr w:val="none" w:sz="0" w:space="0" w:color="auto"/>
        </w:rPr>
        <w:t>justice</w:t>
      </w:r>
      <w:r w:rsidR="00E92985">
        <w:rPr>
          <w:rFonts w:asciiTheme="majorHAnsi" w:eastAsia="Calibri" w:hAnsiTheme="majorHAnsi" w:cs="Tahoma"/>
          <w:color w:val="000000"/>
          <w:sz w:val="20"/>
          <w:szCs w:val="20"/>
          <w:bdr w:val="none" w:sz="0" w:space="0" w:color="auto"/>
        </w:rPr>
        <w:t xml:space="preserve"> and </w:t>
      </w:r>
      <w:r>
        <w:rPr>
          <w:rFonts w:asciiTheme="majorHAnsi" w:eastAsia="Calibri" w:hAnsiTheme="majorHAnsi" w:cs="Tahoma"/>
          <w:color w:val="000000"/>
          <w:sz w:val="20"/>
          <w:szCs w:val="20"/>
          <w:bdr w:val="none" w:sz="0" w:space="0" w:color="auto"/>
        </w:rPr>
        <w:t>to due process was</w:t>
      </w:r>
      <w:r w:rsidR="000F52DA" w:rsidRPr="00A51861">
        <w:rPr>
          <w:rFonts w:asciiTheme="majorHAnsi" w:eastAsia="Calibri" w:hAnsiTheme="majorHAnsi" w:cs="Tahoma"/>
          <w:color w:val="000000"/>
          <w:sz w:val="20"/>
          <w:szCs w:val="20"/>
          <w:bdr w:val="none" w:sz="0" w:space="0" w:color="auto"/>
        </w:rPr>
        <w:t xml:space="preserve"> especial</w:t>
      </w:r>
      <w:r w:rsidR="0029564F">
        <w:rPr>
          <w:rFonts w:asciiTheme="majorHAnsi" w:eastAsia="Calibri" w:hAnsiTheme="majorHAnsi" w:cs="Tahoma"/>
          <w:color w:val="000000"/>
          <w:sz w:val="20"/>
          <w:szCs w:val="20"/>
          <w:bdr w:val="none" w:sz="0" w:space="0" w:color="auto"/>
        </w:rPr>
        <w:t xml:space="preserve">ly </w:t>
      </w:r>
      <w:r>
        <w:rPr>
          <w:rFonts w:asciiTheme="majorHAnsi" w:eastAsia="Calibri" w:hAnsiTheme="majorHAnsi" w:cs="Tahoma"/>
          <w:color w:val="000000"/>
          <w:sz w:val="20"/>
          <w:szCs w:val="20"/>
          <w:bdr w:val="none" w:sz="0" w:space="0" w:color="auto"/>
        </w:rPr>
        <w:t>serious</w:t>
      </w:r>
      <w:r w:rsidR="000F52DA" w:rsidRPr="00A51861">
        <w:rPr>
          <w:rFonts w:asciiTheme="majorHAnsi" w:eastAsia="Calibri" w:hAnsiTheme="majorHAnsi" w:cs="Tahoma"/>
          <w:color w:val="000000"/>
          <w:sz w:val="20"/>
          <w:szCs w:val="20"/>
          <w:bdr w:val="none" w:sz="0" w:space="0" w:color="auto"/>
        </w:rPr>
        <w:t xml:space="preserve"> </w:t>
      </w:r>
      <w:r>
        <w:rPr>
          <w:rFonts w:asciiTheme="majorHAnsi" w:eastAsia="Calibri" w:hAnsiTheme="majorHAnsi" w:cs="Tahoma"/>
          <w:color w:val="000000"/>
          <w:sz w:val="20"/>
          <w:szCs w:val="20"/>
          <w:bdr w:val="none" w:sz="0" w:space="0" w:color="auto"/>
        </w:rPr>
        <w:t>i</w:t>
      </w:r>
      <w:r w:rsidR="000F52DA" w:rsidRPr="00A51861">
        <w:rPr>
          <w:rFonts w:asciiTheme="majorHAnsi" w:eastAsia="Calibri" w:hAnsiTheme="majorHAnsi" w:cs="Tahoma"/>
          <w:color w:val="000000"/>
          <w:sz w:val="20"/>
          <w:szCs w:val="20"/>
          <w:bdr w:val="none" w:sz="0" w:space="0" w:color="auto"/>
        </w:rPr>
        <w:t xml:space="preserve">n </w:t>
      </w:r>
      <w:r w:rsidR="00E64C43">
        <w:rPr>
          <w:rFonts w:asciiTheme="majorHAnsi" w:eastAsia="Calibri" w:hAnsiTheme="majorHAnsi" w:cs="Tahoma"/>
          <w:color w:val="000000"/>
          <w:sz w:val="20"/>
          <w:szCs w:val="20"/>
          <w:bdr w:val="none" w:sz="0" w:space="0" w:color="auto"/>
        </w:rPr>
        <w:t>this case</w:t>
      </w:r>
      <w:r w:rsidR="000F52DA" w:rsidRPr="00A51861">
        <w:rPr>
          <w:rFonts w:asciiTheme="majorHAnsi" w:eastAsia="Calibri" w:hAnsiTheme="majorHAnsi" w:cs="Tahoma"/>
          <w:color w:val="000000"/>
          <w:sz w:val="20"/>
          <w:szCs w:val="20"/>
          <w:bdr w:val="none" w:sz="0" w:space="0" w:color="auto"/>
        </w:rPr>
        <w:t xml:space="preserve">, </w:t>
      </w:r>
      <w:r>
        <w:rPr>
          <w:rFonts w:asciiTheme="majorHAnsi" w:eastAsia="Calibri" w:hAnsiTheme="majorHAnsi" w:cs="Tahoma"/>
          <w:color w:val="000000"/>
          <w:sz w:val="20"/>
          <w:szCs w:val="20"/>
          <w:bdr w:val="none" w:sz="0" w:space="0" w:color="auto"/>
        </w:rPr>
        <w:t>since due to this,</w:t>
      </w:r>
      <w:r w:rsidR="000F52DA" w:rsidRPr="00A51861">
        <w:rPr>
          <w:rFonts w:asciiTheme="majorHAnsi" w:eastAsia="Calibri" w:hAnsiTheme="majorHAnsi" w:cs="Tahoma"/>
          <w:color w:val="000000"/>
          <w:sz w:val="20"/>
          <w:szCs w:val="20"/>
          <w:bdr w:val="none" w:sz="0" w:space="0" w:color="auto"/>
        </w:rPr>
        <w:t xml:space="preserve"> </w:t>
      </w:r>
      <w:r w:rsidR="00F92BA8">
        <w:rPr>
          <w:rFonts w:asciiTheme="majorHAnsi" w:eastAsia="Calibri" w:hAnsiTheme="majorHAnsi" w:cs="Tahoma"/>
          <w:color w:val="000000"/>
          <w:sz w:val="20"/>
          <w:szCs w:val="20"/>
          <w:bdr w:val="none" w:sz="0" w:space="0" w:color="auto"/>
        </w:rPr>
        <w:t>the State</w:t>
      </w:r>
      <w:r w:rsidR="000F52DA" w:rsidRPr="00A51861">
        <w:rPr>
          <w:rFonts w:asciiTheme="majorHAnsi" w:eastAsia="Calibri" w:hAnsiTheme="majorHAnsi" w:cs="Tahoma"/>
          <w:color w:val="000000"/>
          <w:sz w:val="20"/>
          <w:szCs w:val="20"/>
          <w:bdr w:val="none" w:sz="0" w:space="0" w:color="auto"/>
        </w:rPr>
        <w:t xml:space="preserve"> </w:t>
      </w:r>
      <w:r>
        <w:rPr>
          <w:rFonts w:asciiTheme="majorHAnsi" w:eastAsia="Calibri" w:hAnsiTheme="majorHAnsi" w:cs="Tahoma"/>
          <w:color w:val="000000"/>
          <w:sz w:val="20"/>
          <w:szCs w:val="20"/>
          <w:bdr w:val="none" w:sz="0" w:space="0" w:color="auto"/>
        </w:rPr>
        <w:t>became unaware of</w:t>
      </w:r>
      <w:r w:rsidR="00E92985">
        <w:rPr>
          <w:rFonts w:asciiTheme="majorHAnsi" w:eastAsia="Calibri" w:hAnsiTheme="majorHAnsi" w:cs="Tahoma"/>
          <w:color w:val="000000"/>
          <w:sz w:val="20"/>
          <w:szCs w:val="20"/>
          <w:bdr w:val="none" w:sz="0" w:space="0" w:color="auto"/>
        </w:rPr>
        <w:t xml:space="preserve"> the </w:t>
      </w:r>
      <w:r w:rsidRPr="00A51861">
        <w:rPr>
          <w:rFonts w:asciiTheme="majorHAnsi" w:eastAsia="Calibri" w:hAnsiTheme="majorHAnsi" w:cs="Tahoma"/>
          <w:color w:val="000000"/>
          <w:sz w:val="20"/>
          <w:szCs w:val="20"/>
          <w:bdr w:val="none" w:sz="0" w:space="0" w:color="auto"/>
        </w:rPr>
        <w:t>particular</w:t>
      </w:r>
      <w:r>
        <w:rPr>
          <w:rFonts w:asciiTheme="majorHAnsi" w:eastAsia="Calibri" w:hAnsiTheme="majorHAnsi" w:cs="Tahoma"/>
          <w:color w:val="000000"/>
          <w:sz w:val="20"/>
          <w:szCs w:val="20"/>
          <w:bdr w:val="none" w:sz="0" w:space="0" w:color="auto"/>
        </w:rPr>
        <w:t xml:space="preserve"> </w:t>
      </w:r>
      <w:r w:rsidR="00E92985">
        <w:rPr>
          <w:rFonts w:asciiTheme="majorHAnsi" w:eastAsia="Calibri" w:hAnsiTheme="majorHAnsi" w:cs="Tahoma"/>
          <w:color w:val="000000"/>
          <w:sz w:val="20"/>
          <w:szCs w:val="20"/>
          <w:bdr w:val="none" w:sz="0" w:space="0" w:color="auto"/>
        </w:rPr>
        <w:t>situation</w:t>
      </w:r>
      <w:r w:rsidR="000F52DA" w:rsidRPr="00A51861">
        <w:rPr>
          <w:rFonts w:asciiTheme="majorHAnsi" w:eastAsia="Calibri" w:hAnsiTheme="majorHAnsi" w:cs="Tahoma"/>
          <w:color w:val="000000"/>
          <w:sz w:val="20"/>
          <w:szCs w:val="20"/>
          <w:bdr w:val="none" w:sz="0" w:space="0" w:color="auto"/>
        </w:rPr>
        <w:t xml:space="preserve"> </w:t>
      </w:r>
      <w:r w:rsidR="00E92985">
        <w:rPr>
          <w:rFonts w:asciiTheme="majorHAnsi" w:eastAsia="Calibri" w:hAnsiTheme="majorHAnsi" w:cs="Tahoma"/>
          <w:color w:val="000000"/>
          <w:sz w:val="20"/>
          <w:szCs w:val="20"/>
          <w:bdr w:val="none" w:sz="0" w:space="0" w:color="auto"/>
        </w:rPr>
        <w:t xml:space="preserve">and </w:t>
      </w:r>
      <w:r w:rsidR="000F52DA" w:rsidRPr="00A51861">
        <w:rPr>
          <w:rFonts w:asciiTheme="majorHAnsi" w:eastAsia="Calibri" w:hAnsiTheme="majorHAnsi" w:cs="Tahoma"/>
          <w:color w:val="000000"/>
          <w:sz w:val="20"/>
          <w:szCs w:val="20"/>
          <w:bdr w:val="none" w:sz="0" w:space="0" w:color="auto"/>
        </w:rPr>
        <w:t>neces</w:t>
      </w:r>
      <w:r>
        <w:rPr>
          <w:rFonts w:asciiTheme="majorHAnsi" w:eastAsia="Calibri" w:hAnsiTheme="majorHAnsi" w:cs="Tahoma"/>
          <w:color w:val="000000"/>
          <w:sz w:val="20"/>
          <w:szCs w:val="20"/>
          <w:bdr w:val="none" w:sz="0" w:space="0" w:color="auto"/>
        </w:rPr>
        <w:t>s</w:t>
      </w:r>
      <w:r w:rsidR="000F52DA" w:rsidRPr="00A51861">
        <w:rPr>
          <w:rFonts w:asciiTheme="majorHAnsi" w:eastAsia="Calibri" w:hAnsiTheme="majorHAnsi" w:cs="Tahoma"/>
          <w:color w:val="000000"/>
          <w:sz w:val="20"/>
          <w:szCs w:val="20"/>
          <w:bdr w:val="none" w:sz="0" w:space="0" w:color="auto"/>
        </w:rPr>
        <w:t>i</w:t>
      </w:r>
      <w:r w:rsidR="00FA2E7B">
        <w:rPr>
          <w:rFonts w:asciiTheme="majorHAnsi" w:eastAsia="Calibri" w:hAnsiTheme="majorHAnsi" w:cs="Tahoma"/>
          <w:color w:val="000000"/>
          <w:sz w:val="20"/>
          <w:szCs w:val="20"/>
          <w:bdr w:val="none" w:sz="0" w:space="0" w:color="auto"/>
        </w:rPr>
        <w:t xml:space="preserve">ty </w:t>
      </w:r>
      <w:r w:rsidR="00E92985">
        <w:rPr>
          <w:rFonts w:asciiTheme="majorHAnsi" w:eastAsia="Calibri" w:hAnsiTheme="majorHAnsi" w:cs="Tahoma"/>
          <w:color w:val="000000"/>
          <w:sz w:val="20"/>
          <w:szCs w:val="20"/>
          <w:bdr w:val="none" w:sz="0" w:space="0" w:color="auto"/>
        </w:rPr>
        <w:t xml:space="preserve">of </w:t>
      </w:r>
      <w:r w:rsidR="00EF4ED2">
        <w:rPr>
          <w:rFonts w:asciiTheme="majorHAnsi" w:eastAsia="Calibri" w:hAnsiTheme="majorHAnsi" w:cs="Tahoma"/>
          <w:color w:val="000000"/>
          <w:sz w:val="20"/>
          <w:szCs w:val="20"/>
          <w:bdr w:val="none" w:sz="0" w:space="0" w:color="auto"/>
        </w:rPr>
        <w:t>protection</w:t>
      </w:r>
      <w:r w:rsidR="00E92985">
        <w:rPr>
          <w:rFonts w:asciiTheme="majorHAnsi" w:eastAsia="Calibri" w:hAnsiTheme="majorHAnsi" w:cs="Tahoma"/>
          <w:color w:val="000000"/>
          <w:sz w:val="20"/>
          <w:szCs w:val="20"/>
          <w:bdr w:val="none" w:sz="0" w:space="0" w:color="auto"/>
        </w:rPr>
        <w:t xml:space="preserve"> of </w:t>
      </w:r>
      <w:r>
        <w:rPr>
          <w:rFonts w:asciiTheme="majorHAnsi" w:eastAsia="Calibri" w:hAnsiTheme="majorHAnsi" w:cs="Tahoma"/>
          <w:color w:val="000000"/>
          <w:sz w:val="20"/>
          <w:szCs w:val="20"/>
          <w:bdr w:val="none" w:sz="0" w:space="0" w:color="auto"/>
        </w:rPr>
        <w:t>Mr. Julio César Rito de los Santos and Mr. Hugo Daniel Ferreira should they have returned to</w:t>
      </w:r>
      <w:r w:rsidR="006F7F5D" w:rsidRPr="00A51861">
        <w:rPr>
          <w:rFonts w:asciiTheme="majorHAnsi" w:eastAsia="Calibri" w:hAnsiTheme="majorHAnsi" w:cs="Tahoma"/>
          <w:color w:val="000000"/>
          <w:sz w:val="20"/>
          <w:szCs w:val="20"/>
          <w:bdr w:val="none" w:sz="0" w:space="0" w:color="auto"/>
        </w:rPr>
        <w:t xml:space="preserve"> Uruguay</w:t>
      </w:r>
      <w:r w:rsidR="000F52DA" w:rsidRPr="00A51861">
        <w:rPr>
          <w:rFonts w:asciiTheme="majorHAnsi" w:eastAsia="Calibri" w:hAnsiTheme="majorHAnsi" w:cs="Tahoma"/>
          <w:color w:val="000000"/>
          <w:sz w:val="20"/>
          <w:szCs w:val="20"/>
          <w:bdr w:val="none" w:sz="0" w:space="0" w:color="auto"/>
        </w:rPr>
        <w:t>,</w:t>
      </w:r>
      <w:r w:rsidR="00E92985">
        <w:rPr>
          <w:rFonts w:asciiTheme="majorHAnsi" w:eastAsia="Calibri" w:hAnsiTheme="majorHAnsi" w:cs="Tahoma"/>
          <w:color w:val="000000"/>
          <w:sz w:val="20"/>
          <w:szCs w:val="20"/>
          <w:bdr w:val="none" w:sz="0" w:space="0" w:color="auto"/>
        </w:rPr>
        <w:t xml:space="preserve"> and </w:t>
      </w:r>
      <w:r>
        <w:rPr>
          <w:rFonts w:asciiTheme="majorHAnsi" w:eastAsia="Calibri" w:hAnsiTheme="majorHAnsi" w:cs="Tahoma"/>
          <w:color w:val="000000"/>
          <w:sz w:val="20"/>
          <w:szCs w:val="20"/>
          <w:bdr w:val="none" w:sz="0" w:space="0" w:color="auto"/>
        </w:rPr>
        <w:t>there was never a</w:t>
      </w:r>
      <w:r w:rsidR="009A4F91">
        <w:rPr>
          <w:rFonts w:asciiTheme="majorHAnsi" w:eastAsia="Calibri" w:hAnsiTheme="majorHAnsi" w:cs="Tahoma"/>
          <w:color w:val="000000"/>
          <w:sz w:val="20"/>
          <w:szCs w:val="20"/>
          <w:bdr w:val="none" w:sz="0" w:space="0" w:color="auto"/>
        </w:rPr>
        <w:t xml:space="preserve"> </w:t>
      </w:r>
      <w:r w:rsidR="00414B18">
        <w:rPr>
          <w:rFonts w:asciiTheme="majorHAnsi" w:eastAsia="Calibri" w:hAnsiTheme="majorHAnsi" w:cs="Tahoma"/>
          <w:color w:val="000000"/>
          <w:sz w:val="20"/>
          <w:szCs w:val="20"/>
          <w:bdr w:val="none" w:sz="0" w:space="0" w:color="auto"/>
        </w:rPr>
        <w:t xml:space="preserve">possibility </w:t>
      </w:r>
      <w:r>
        <w:rPr>
          <w:rFonts w:asciiTheme="majorHAnsi" w:eastAsia="Calibri" w:hAnsiTheme="majorHAnsi" w:cs="Tahoma"/>
          <w:color w:val="000000"/>
          <w:sz w:val="20"/>
          <w:szCs w:val="20"/>
          <w:bdr w:val="none" w:sz="0" w:space="0" w:color="auto"/>
        </w:rPr>
        <w:t>to analyze said</w:t>
      </w:r>
      <w:r w:rsidR="000F52DA" w:rsidRPr="00A51861">
        <w:rPr>
          <w:rFonts w:asciiTheme="majorHAnsi" w:eastAsia="Calibri" w:hAnsiTheme="majorHAnsi" w:cs="Tahoma"/>
          <w:color w:val="000000"/>
          <w:sz w:val="20"/>
          <w:szCs w:val="20"/>
          <w:bdr w:val="none" w:sz="0" w:space="0" w:color="auto"/>
        </w:rPr>
        <w:t xml:space="preserve"> </w:t>
      </w:r>
      <w:r w:rsidR="00E92985">
        <w:rPr>
          <w:rFonts w:asciiTheme="majorHAnsi" w:eastAsia="Calibri" w:hAnsiTheme="majorHAnsi" w:cs="Tahoma"/>
          <w:color w:val="000000"/>
          <w:sz w:val="20"/>
          <w:szCs w:val="20"/>
          <w:bdr w:val="none" w:sz="0" w:space="0" w:color="auto"/>
        </w:rPr>
        <w:t>situation</w:t>
      </w:r>
      <w:r w:rsidR="000F52DA" w:rsidRPr="00A51861">
        <w:rPr>
          <w:rFonts w:asciiTheme="majorHAnsi" w:eastAsia="Calibri" w:hAnsiTheme="majorHAnsi" w:cs="Tahoma"/>
          <w:color w:val="000000"/>
          <w:sz w:val="20"/>
          <w:szCs w:val="20"/>
          <w:bdr w:val="none" w:sz="0" w:space="0" w:color="auto"/>
        </w:rPr>
        <w:t xml:space="preserve"> </w:t>
      </w:r>
      <w:r>
        <w:rPr>
          <w:rFonts w:asciiTheme="majorHAnsi" w:eastAsia="Calibri" w:hAnsiTheme="majorHAnsi" w:cs="Tahoma"/>
          <w:color w:val="000000"/>
          <w:sz w:val="20"/>
          <w:szCs w:val="20"/>
          <w:bdr w:val="none" w:sz="0" w:space="0" w:color="auto"/>
        </w:rPr>
        <w:t>in light of their record</w:t>
      </w:r>
      <w:r w:rsidR="000F52DA" w:rsidRPr="00A51861">
        <w:rPr>
          <w:rFonts w:asciiTheme="majorHAnsi" w:eastAsia="Calibri" w:hAnsiTheme="majorHAnsi" w:cs="Tahoma"/>
          <w:color w:val="000000"/>
          <w:sz w:val="20"/>
          <w:szCs w:val="20"/>
          <w:bdr w:val="none" w:sz="0" w:space="0" w:color="auto"/>
        </w:rPr>
        <w:t xml:space="preserve">, </w:t>
      </w:r>
      <w:r>
        <w:rPr>
          <w:rFonts w:asciiTheme="majorHAnsi" w:eastAsia="Calibri" w:hAnsiTheme="majorHAnsi" w:cs="Tahoma"/>
          <w:color w:val="000000"/>
          <w:sz w:val="20"/>
          <w:szCs w:val="20"/>
          <w:bdr w:val="none" w:sz="0" w:space="0" w:color="auto"/>
        </w:rPr>
        <w:t>which ultimately resulted in incompliance of</w:t>
      </w:r>
      <w:r w:rsidR="000F52DA" w:rsidRPr="00A51861">
        <w:rPr>
          <w:rFonts w:asciiTheme="majorHAnsi" w:eastAsia="Calibri" w:hAnsiTheme="majorHAnsi" w:cs="Tahoma"/>
          <w:color w:val="000000"/>
          <w:sz w:val="20"/>
          <w:szCs w:val="20"/>
          <w:bdr w:val="none" w:sz="0" w:space="0" w:color="auto"/>
        </w:rPr>
        <w:t xml:space="preserve"> </w:t>
      </w:r>
      <w:r w:rsidR="0045141A">
        <w:rPr>
          <w:rFonts w:asciiTheme="majorHAnsi" w:eastAsia="Calibri" w:hAnsiTheme="majorHAnsi" w:cs="Tahoma"/>
          <w:color w:val="000000"/>
          <w:sz w:val="20"/>
          <w:szCs w:val="20"/>
          <w:bdr w:val="none" w:sz="0" w:space="0" w:color="auto"/>
        </w:rPr>
        <w:t xml:space="preserve">the principle </w:t>
      </w:r>
      <w:r w:rsidR="00E92985">
        <w:rPr>
          <w:rFonts w:asciiTheme="majorHAnsi" w:eastAsia="Calibri" w:hAnsiTheme="majorHAnsi" w:cs="Tahoma"/>
          <w:color w:val="000000"/>
          <w:sz w:val="20"/>
          <w:szCs w:val="20"/>
          <w:bdr w:val="none" w:sz="0" w:space="0" w:color="auto"/>
        </w:rPr>
        <w:t xml:space="preserve">of </w:t>
      </w:r>
      <w:r w:rsidR="00444893">
        <w:rPr>
          <w:rFonts w:asciiTheme="majorHAnsi" w:eastAsia="Calibri" w:hAnsiTheme="majorHAnsi" w:cs="Tahoma"/>
          <w:color w:val="000000"/>
          <w:sz w:val="20"/>
          <w:szCs w:val="20"/>
          <w:bdr w:val="none" w:sz="0" w:space="0" w:color="auto"/>
        </w:rPr>
        <w:t>non-refoulment</w:t>
      </w:r>
      <w:r w:rsidR="000F52DA" w:rsidRPr="00A51861">
        <w:rPr>
          <w:rFonts w:asciiTheme="majorHAnsi" w:eastAsia="Calibri" w:hAnsiTheme="majorHAnsi" w:cs="Tahoma"/>
          <w:color w:val="000000"/>
          <w:sz w:val="20"/>
          <w:szCs w:val="20"/>
          <w:bdr w:val="none" w:sz="0" w:space="0" w:color="auto"/>
        </w:rPr>
        <w:t xml:space="preserve"> </w:t>
      </w:r>
      <w:r>
        <w:rPr>
          <w:rFonts w:asciiTheme="majorHAnsi" w:eastAsia="Calibri" w:hAnsiTheme="majorHAnsi" w:cs="Tahoma"/>
          <w:color w:val="000000"/>
          <w:sz w:val="20"/>
          <w:szCs w:val="20"/>
          <w:bdr w:val="none" w:sz="0" w:space="0" w:color="auto"/>
        </w:rPr>
        <w:t>with the judgements themselves</w:t>
      </w:r>
      <w:r w:rsidR="000F52DA" w:rsidRPr="00A51861">
        <w:rPr>
          <w:rFonts w:asciiTheme="majorHAnsi" w:eastAsia="Calibri" w:hAnsiTheme="majorHAnsi" w:cs="Tahoma"/>
          <w:color w:val="000000"/>
          <w:sz w:val="20"/>
          <w:szCs w:val="20"/>
          <w:bdr w:val="none" w:sz="0" w:space="0" w:color="auto"/>
        </w:rPr>
        <w:t xml:space="preserve">, </w:t>
      </w:r>
      <w:r>
        <w:rPr>
          <w:rFonts w:asciiTheme="majorHAnsi" w:eastAsia="Calibri" w:hAnsiTheme="majorHAnsi" w:cs="Tahoma"/>
          <w:color w:val="000000"/>
          <w:sz w:val="20"/>
          <w:szCs w:val="20"/>
          <w:bdr w:val="none" w:sz="0" w:space="0" w:color="auto"/>
        </w:rPr>
        <w:t>although it did not materialize</w:t>
      </w:r>
      <w:r w:rsidR="009A4F91">
        <w:rPr>
          <w:rFonts w:asciiTheme="majorHAnsi" w:eastAsia="Calibri" w:hAnsiTheme="majorHAnsi" w:cs="Tahoma"/>
          <w:color w:val="000000"/>
          <w:sz w:val="20"/>
          <w:szCs w:val="20"/>
          <w:bdr w:val="none" w:sz="0" w:space="0" w:color="auto"/>
        </w:rPr>
        <w:t xml:space="preserve"> </w:t>
      </w:r>
      <w:r>
        <w:rPr>
          <w:rFonts w:asciiTheme="majorHAnsi" w:eastAsia="Calibri" w:hAnsiTheme="majorHAnsi" w:cs="Tahoma"/>
          <w:color w:val="000000"/>
          <w:sz w:val="20"/>
          <w:szCs w:val="20"/>
          <w:bdr w:val="none" w:sz="0" w:space="0" w:color="auto"/>
        </w:rPr>
        <w:t xml:space="preserve">thanks to </w:t>
      </w:r>
      <w:r w:rsidR="009A4F91">
        <w:rPr>
          <w:rFonts w:asciiTheme="majorHAnsi" w:eastAsia="Calibri" w:hAnsiTheme="majorHAnsi" w:cs="Tahoma"/>
          <w:color w:val="000000"/>
          <w:sz w:val="20"/>
          <w:szCs w:val="20"/>
          <w:bdr w:val="none" w:sz="0" w:space="0" w:color="auto"/>
        </w:rPr>
        <w:t xml:space="preserve">the </w:t>
      </w:r>
      <w:r w:rsidRPr="00A51861">
        <w:rPr>
          <w:rFonts w:asciiTheme="majorHAnsi" w:eastAsia="Calibri" w:hAnsiTheme="majorHAnsi" w:cs="Tahoma"/>
          <w:color w:val="000000"/>
          <w:sz w:val="20"/>
          <w:szCs w:val="20"/>
          <w:bdr w:val="none" w:sz="0" w:space="0" w:color="auto"/>
        </w:rPr>
        <w:t>intercession</w:t>
      </w:r>
      <w:r w:rsidR="004969F4">
        <w:rPr>
          <w:rFonts w:asciiTheme="majorHAnsi" w:eastAsia="Calibri" w:hAnsiTheme="majorHAnsi" w:cs="Tahoma"/>
          <w:color w:val="000000"/>
          <w:sz w:val="20"/>
          <w:szCs w:val="20"/>
          <w:bdr w:val="none" w:sz="0" w:space="0" w:color="auto"/>
        </w:rPr>
        <w:t xml:space="preserve"> of </w:t>
      </w:r>
      <w:r w:rsidR="008E2F10">
        <w:rPr>
          <w:rFonts w:asciiTheme="majorHAnsi" w:eastAsia="Calibri" w:hAnsiTheme="majorHAnsi" w:cs="Tahoma"/>
          <w:color w:val="000000"/>
          <w:sz w:val="20"/>
          <w:szCs w:val="20"/>
          <w:bdr w:val="none" w:sz="0" w:space="0" w:color="auto"/>
        </w:rPr>
        <w:t xml:space="preserve">the HCUNR </w:t>
      </w:r>
      <w:r w:rsidR="00E92985">
        <w:rPr>
          <w:rFonts w:asciiTheme="majorHAnsi" w:eastAsia="Calibri" w:hAnsiTheme="majorHAnsi" w:cs="Tahoma"/>
          <w:color w:val="000000"/>
          <w:sz w:val="20"/>
          <w:szCs w:val="20"/>
          <w:bdr w:val="none" w:sz="0" w:space="0" w:color="auto"/>
        </w:rPr>
        <w:t xml:space="preserve">and </w:t>
      </w:r>
      <w:r w:rsidR="00934FDF">
        <w:rPr>
          <w:rFonts w:asciiTheme="majorHAnsi" w:eastAsia="Calibri" w:hAnsiTheme="majorHAnsi" w:cs="Tahoma"/>
          <w:color w:val="000000"/>
          <w:sz w:val="20"/>
          <w:szCs w:val="20"/>
          <w:bdr w:val="none" w:sz="0" w:space="0" w:color="auto"/>
        </w:rPr>
        <w:t xml:space="preserve">to the fact </w:t>
      </w:r>
      <w:r w:rsidR="00E92985">
        <w:rPr>
          <w:rFonts w:asciiTheme="majorHAnsi" w:eastAsia="Calibri" w:hAnsiTheme="majorHAnsi" w:cs="Tahoma"/>
          <w:color w:val="000000"/>
          <w:sz w:val="20"/>
          <w:szCs w:val="20"/>
          <w:bdr w:val="none" w:sz="0" w:space="0" w:color="auto"/>
        </w:rPr>
        <w:t xml:space="preserve">that the </w:t>
      </w:r>
      <w:r>
        <w:rPr>
          <w:rFonts w:asciiTheme="majorHAnsi" w:eastAsia="Calibri" w:hAnsiTheme="majorHAnsi" w:cs="Tahoma"/>
          <w:color w:val="000000"/>
          <w:sz w:val="20"/>
          <w:szCs w:val="20"/>
          <w:bdr w:val="none" w:sz="0" w:space="0" w:color="auto"/>
        </w:rPr>
        <w:t>Kingdom</w:t>
      </w:r>
      <w:r w:rsidR="00E92985">
        <w:rPr>
          <w:rFonts w:asciiTheme="majorHAnsi" w:eastAsia="Calibri" w:hAnsiTheme="majorHAnsi" w:cs="Tahoma"/>
          <w:color w:val="000000"/>
          <w:sz w:val="20"/>
          <w:szCs w:val="20"/>
          <w:bdr w:val="none" w:sz="0" w:space="0" w:color="auto"/>
        </w:rPr>
        <w:t xml:space="preserve"> of </w:t>
      </w:r>
      <w:r w:rsidR="00BD6923">
        <w:rPr>
          <w:rFonts w:asciiTheme="majorHAnsi" w:eastAsia="Calibri" w:hAnsiTheme="majorHAnsi" w:cs="Tahoma"/>
          <w:color w:val="000000"/>
          <w:sz w:val="20"/>
          <w:szCs w:val="20"/>
          <w:bdr w:val="none" w:sz="0" w:space="0" w:color="auto"/>
        </w:rPr>
        <w:t>Sweden</w:t>
      </w:r>
      <w:r w:rsidR="00DF5480" w:rsidRPr="00A51861">
        <w:rPr>
          <w:rFonts w:asciiTheme="majorHAnsi" w:eastAsia="Calibri" w:hAnsiTheme="majorHAnsi" w:cs="Tahoma"/>
          <w:color w:val="000000"/>
          <w:sz w:val="20"/>
          <w:szCs w:val="20"/>
          <w:bdr w:val="none" w:sz="0" w:space="0" w:color="auto"/>
        </w:rPr>
        <w:t xml:space="preserve"> </w:t>
      </w:r>
      <w:r>
        <w:rPr>
          <w:rFonts w:asciiTheme="majorHAnsi" w:eastAsia="Calibri" w:hAnsiTheme="majorHAnsi" w:cs="Tahoma"/>
          <w:color w:val="000000"/>
          <w:sz w:val="20"/>
          <w:szCs w:val="20"/>
          <w:bdr w:val="none" w:sz="0" w:space="0" w:color="auto"/>
        </w:rPr>
        <w:t>received them as political</w:t>
      </w:r>
      <w:r w:rsidR="00DF5480" w:rsidRPr="00A51861">
        <w:rPr>
          <w:rFonts w:asciiTheme="majorHAnsi" w:eastAsia="Calibri" w:hAnsiTheme="majorHAnsi" w:cs="Tahoma"/>
          <w:color w:val="000000"/>
          <w:sz w:val="20"/>
          <w:szCs w:val="20"/>
          <w:bdr w:val="none" w:sz="0" w:space="0" w:color="auto"/>
        </w:rPr>
        <w:t xml:space="preserve"> </w:t>
      </w:r>
      <w:r w:rsidR="004E09A3">
        <w:rPr>
          <w:rFonts w:asciiTheme="majorHAnsi" w:eastAsia="Calibri" w:hAnsiTheme="majorHAnsi" w:cs="Tahoma"/>
          <w:color w:val="000000"/>
          <w:sz w:val="20"/>
          <w:szCs w:val="20"/>
          <w:bdr w:val="none" w:sz="0" w:space="0" w:color="auto"/>
        </w:rPr>
        <w:t>refugee</w:t>
      </w:r>
      <w:r w:rsidR="00DF5480" w:rsidRPr="00A51861">
        <w:rPr>
          <w:rFonts w:asciiTheme="majorHAnsi" w:eastAsia="Calibri" w:hAnsiTheme="majorHAnsi" w:cs="Tahoma"/>
          <w:color w:val="000000"/>
          <w:sz w:val="20"/>
          <w:szCs w:val="20"/>
          <w:bdr w:val="none" w:sz="0" w:space="0" w:color="auto"/>
        </w:rPr>
        <w:t xml:space="preserve">s. </w:t>
      </w:r>
    </w:p>
    <w:p w14:paraId="3543693E" w14:textId="77777777" w:rsidR="00773B3C" w:rsidRPr="00A51861" w:rsidRDefault="00773B3C" w:rsidP="008E4D36">
      <w:pPr>
        <w:ind w:left="720"/>
        <w:rPr>
          <w:rFonts w:asciiTheme="majorHAnsi" w:eastAsia="Cambria" w:hAnsiTheme="majorHAnsi" w:cs="Cambria"/>
          <w:color w:val="000000"/>
          <w:sz w:val="20"/>
          <w:szCs w:val="20"/>
          <w:u w:color="000000"/>
          <w:lang w:eastAsia="es-ES"/>
        </w:rPr>
      </w:pPr>
    </w:p>
    <w:p w14:paraId="76293461" w14:textId="31A7C924" w:rsidR="00773B3C" w:rsidRPr="00A51861" w:rsidRDefault="006623E2"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Calibri" w:hAnsiTheme="majorHAnsi" w:cs="Tahoma"/>
          <w:color w:val="000000"/>
          <w:sz w:val="20"/>
          <w:szCs w:val="20"/>
          <w:bdr w:val="none" w:sz="0" w:space="0" w:color="auto"/>
        </w:rPr>
      </w:pPr>
      <w:r>
        <w:rPr>
          <w:rFonts w:asciiTheme="majorHAnsi" w:eastAsia="Calibri" w:hAnsiTheme="majorHAnsi"/>
          <w:sz w:val="20"/>
          <w:szCs w:val="20"/>
          <w:bdr w:val="none" w:sz="0" w:space="0" w:color="auto"/>
        </w:rPr>
        <w:t>Consequently</w:t>
      </w:r>
      <w:r w:rsidR="00773B3C" w:rsidRPr="00A51861">
        <w:rPr>
          <w:rFonts w:asciiTheme="majorHAnsi" w:eastAsia="Calibri" w:hAnsiTheme="majorHAnsi"/>
          <w:sz w:val="20"/>
          <w:szCs w:val="20"/>
          <w:bdr w:val="none" w:sz="0" w:space="0" w:color="auto"/>
        </w:rPr>
        <w:t xml:space="preserve">, </w:t>
      </w:r>
      <w:r w:rsidR="00A51861" w:rsidRPr="00A51861">
        <w:rPr>
          <w:rFonts w:asciiTheme="majorHAnsi" w:eastAsia="Calibri" w:hAnsiTheme="majorHAnsi"/>
          <w:sz w:val="20"/>
          <w:szCs w:val="20"/>
          <w:bdr w:val="none" w:sz="0" w:space="0" w:color="auto"/>
        </w:rPr>
        <w:t>the IACHR</w:t>
      </w:r>
      <w:r w:rsidR="00773B3C" w:rsidRPr="00A51861">
        <w:rPr>
          <w:rFonts w:asciiTheme="majorHAnsi" w:eastAsia="Calibri" w:hAnsiTheme="majorHAnsi"/>
          <w:sz w:val="20"/>
          <w:szCs w:val="20"/>
          <w:bdr w:val="none" w:sz="0" w:space="0" w:color="auto"/>
        </w:rPr>
        <w:t xml:space="preserve"> </w:t>
      </w:r>
      <w:r w:rsidR="00A51861" w:rsidRPr="00A51861">
        <w:rPr>
          <w:rFonts w:asciiTheme="majorHAnsi" w:eastAsia="Calibri" w:hAnsiTheme="majorHAnsi"/>
          <w:sz w:val="20"/>
          <w:szCs w:val="20"/>
          <w:bdr w:val="none" w:sz="0" w:space="0" w:color="auto"/>
        </w:rPr>
        <w:t>considers that</w:t>
      </w:r>
      <w:r w:rsidR="00773B3C" w:rsidRPr="00A51861">
        <w:rPr>
          <w:rFonts w:asciiTheme="majorHAnsi" w:eastAsia="Calibri" w:hAnsiTheme="majorHAnsi"/>
          <w:sz w:val="20"/>
          <w:szCs w:val="20"/>
          <w:bdr w:val="none" w:sz="0" w:space="0" w:color="auto"/>
        </w:rPr>
        <w:t xml:space="preserve"> </w:t>
      </w:r>
      <w:r>
        <w:rPr>
          <w:rFonts w:asciiTheme="majorHAnsi" w:eastAsia="Calibri" w:hAnsiTheme="majorHAnsi"/>
          <w:sz w:val="20"/>
          <w:szCs w:val="20"/>
          <w:bdr w:val="none" w:sz="0" w:space="0" w:color="auto"/>
        </w:rPr>
        <w:t>the resolutions adopted by</w:t>
      </w:r>
      <w:r w:rsidR="00773B3C" w:rsidRPr="00A51861">
        <w:rPr>
          <w:rFonts w:asciiTheme="majorHAnsi" w:eastAsia="Calibri" w:hAnsiTheme="majorHAnsi"/>
          <w:sz w:val="20"/>
          <w:szCs w:val="20"/>
          <w:bdr w:val="none" w:sz="0" w:space="0" w:color="auto"/>
        </w:rPr>
        <w:t xml:space="preserve"> </w:t>
      </w:r>
      <w:r w:rsidR="0026043F">
        <w:rPr>
          <w:rFonts w:asciiTheme="majorHAnsi" w:eastAsia="Calibri" w:hAnsiTheme="majorHAnsi"/>
          <w:sz w:val="20"/>
          <w:szCs w:val="20"/>
          <w:bdr w:val="none" w:sz="0" w:space="0" w:color="auto"/>
        </w:rPr>
        <w:t>the</w:t>
      </w:r>
      <w:r w:rsidR="00185E46">
        <w:rPr>
          <w:rFonts w:asciiTheme="majorHAnsi" w:eastAsia="Calibri" w:hAnsiTheme="majorHAnsi"/>
          <w:sz w:val="20"/>
          <w:szCs w:val="20"/>
          <w:bdr w:val="none" w:sz="0" w:space="0" w:color="auto"/>
        </w:rPr>
        <w:t xml:space="preserve"> NDM </w:t>
      </w:r>
      <w:r>
        <w:rPr>
          <w:rFonts w:asciiTheme="majorHAnsi" w:eastAsia="Calibri" w:hAnsiTheme="majorHAnsi"/>
          <w:sz w:val="20"/>
          <w:szCs w:val="20"/>
          <w:bdr w:val="none" w:sz="0" w:space="0" w:color="auto"/>
        </w:rPr>
        <w:t>which</w:t>
      </w:r>
      <w:r w:rsidR="00773B3C" w:rsidRPr="00A51861">
        <w:rPr>
          <w:rFonts w:asciiTheme="majorHAnsi" w:eastAsia="Calibri" w:hAnsiTheme="majorHAnsi"/>
          <w:sz w:val="20"/>
          <w:szCs w:val="20"/>
          <w:bdr w:val="none" w:sz="0" w:space="0" w:color="auto"/>
        </w:rPr>
        <w:t xml:space="preserve"> decla</w:t>
      </w:r>
      <w:r>
        <w:rPr>
          <w:rFonts w:asciiTheme="majorHAnsi" w:eastAsia="Calibri" w:hAnsiTheme="majorHAnsi"/>
          <w:sz w:val="20"/>
          <w:szCs w:val="20"/>
          <w:bdr w:val="none" w:sz="0" w:space="0" w:color="auto"/>
        </w:rPr>
        <w:t>red</w:t>
      </w:r>
      <w:r w:rsidR="00773B3C" w:rsidRPr="00A51861">
        <w:rPr>
          <w:rFonts w:asciiTheme="majorHAnsi" w:eastAsia="Calibri" w:hAnsiTheme="majorHAnsi"/>
          <w:sz w:val="20"/>
          <w:szCs w:val="20"/>
          <w:bdr w:val="none" w:sz="0" w:space="0" w:color="auto"/>
        </w:rPr>
        <w:t xml:space="preserve"> </w:t>
      </w:r>
      <w:r w:rsidR="009A4F91">
        <w:rPr>
          <w:rFonts w:asciiTheme="majorHAnsi" w:eastAsia="Calibri" w:hAnsiTheme="majorHAnsi"/>
          <w:sz w:val="20"/>
          <w:szCs w:val="20"/>
          <w:bdr w:val="none" w:sz="0" w:space="0" w:color="auto"/>
        </w:rPr>
        <w:t xml:space="preserve">the </w:t>
      </w:r>
      <w:r w:rsidR="004969F4">
        <w:rPr>
          <w:rFonts w:asciiTheme="majorHAnsi" w:eastAsia="Calibri" w:hAnsiTheme="majorHAnsi"/>
          <w:sz w:val="20"/>
          <w:szCs w:val="20"/>
          <w:bdr w:val="none" w:sz="0" w:space="0" w:color="auto"/>
        </w:rPr>
        <w:t xml:space="preserve">permanence </w:t>
      </w:r>
      <w:r w:rsidR="00E92985">
        <w:rPr>
          <w:rFonts w:asciiTheme="majorHAnsi" w:eastAsia="Calibri" w:hAnsiTheme="majorHAnsi"/>
          <w:sz w:val="20"/>
          <w:szCs w:val="20"/>
          <w:bdr w:val="none" w:sz="0" w:space="0" w:color="auto"/>
        </w:rPr>
        <w:t xml:space="preserve">of </w:t>
      </w:r>
      <w:r w:rsidR="007057A5">
        <w:rPr>
          <w:rFonts w:asciiTheme="majorHAnsi" w:eastAsia="Calibri" w:hAnsiTheme="majorHAnsi"/>
          <w:sz w:val="20"/>
          <w:szCs w:val="20"/>
          <w:bdr w:val="none" w:sz="0" w:space="0" w:color="auto"/>
        </w:rPr>
        <w:t xml:space="preserve">Mr. Julio César Rito de los Santos and Mr. Hugo Daniel Ferreira </w:t>
      </w:r>
      <w:r w:rsidRPr="00A51861">
        <w:rPr>
          <w:rFonts w:asciiTheme="majorHAnsi" w:eastAsia="Calibri" w:hAnsiTheme="majorHAnsi"/>
          <w:sz w:val="20"/>
          <w:szCs w:val="20"/>
          <w:bdr w:val="none" w:sz="0" w:space="0" w:color="auto"/>
        </w:rPr>
        <w:t>i</w:t>
      </w:r>
      <w:r>
        <w:rPr>
          <w:rFonts w:asciiTheme="majorHAnsi" w:eastAsia="Calibri" w:hAnsiTheme="majorHAnsi"/>
          <w:sz w:val="20"/>
          <w:szCs w:val="20"/>
          <w:bdr w:val="none" w:sz="0" w:space="0" w:color="auto"/>
        </w:rPr>
        <w:t>l</w:t>
      </w:r>
      <w:r w:rsidRPr="00A51861">
        <w:rPr>
          <w:rFonts w:asciiTheme="majorHAnsi" w:eastAsia="Calibri" w:hAnsiTheme="majorHAnsi"/>
          <w:sz w:val="20"/>
          <w:szCs w:val="20"/>
          <w:bdr w:val="none" w:sz="0" w:space="0" w:color="auto"/>
        </w:rPr>
        <w:t>legal</w:t>
      </w:r>
      <w:r>
        <w:rPr>
          <w:rFonts w:asciiTheme="majorHAnsi" w:eastAsia="Calibri" w:hAnsiTheme="majorHAnsi"/>
          <w:sz w:val="20"/>
          <w:szCs w:val="20"/>
          <w:bdr w:val="none" w:sz="0" w:space="0" w:color="auto"/>
        </w:rPr>
        <w:t xml:space="preserve"> </w:t>
      </w:r>
      <w:r w:rsidR="00E92985">
        <w:rPr>
          <w:rFonts w:asciiTheme="majorHAnsi" w:eastAsia="Calibri" w:hAnsiTheme="majorHAnsi"/>
          <w:sz w:val="20"/>
          <w:szCs w:val="20"/>
          <w:bdr w:val="none" w:sz="0" w:space="0" w:color="auto"/>
        </w:rPr>
        <w:t xml:space="preserve">and </w:t>
      </w:r>
      <w:r w:rsidR="00773B3C" w:rsidRPr="00A51861">
        <w:rPr>
          <w:rFonts w:asciiTheme="majorHAnsi" w:eastAsia="Calibri" w:hAnsiTheme="majorHAnsi"/>
          <w:sz w:val="20"/>
          <w:szCs w:val="20"/>
          <w:bdr w:val="none" w:sz="0" w:space="0" w:color="auto"/>
        </w:rPr>
        <w:t>orde</w:t>
      </w:r>
      <w:r>
        <w:rPr>
          <w:rFonts w:asciiTheme="majorHAnsi" w:eastAsia="Calibri" w:hAnsiTheme="majorHAnsi"/>
          <w:sz w:val="20"/>
          <w:szCs w:val="20"/>
          <w:bdr w:val="none" w:sz="0" w:space="0" w:color="auto"/>
        </w:rPr>
        <w:t>red their</w:t>
      </w:r>
      <w:r w:rsidR="00773B3C" w:rsidRPr="00A51861">
        <w:rPr>
          <w:rFonts w:asciiTheme="majorHAnsi" w:eastAsia="Calibri" w:hAnsiTheme="majorHAnsi"/>
          <w:sz w:val="20"/>
          <w:szCs w:val="20"/>
          <w:bdr w:val="none" w:sz="0" w:space="0" w:color="auto"/>
        </w:rPr>
        <w:t xml:space="preserve"> </w:t>
      </w:r>
      <w:r w:rsidR="00103579">
        <w:rPr>
          <w:rFonts w:asciiTheme="majorHAnsi" w:eastAsia="Calibri" w:hAnsiTheme="majorHAnsi"/>
          <w:sz w:val="20"/>
          <w:szCs w:val="20"/>
          <w:bdr w:val="none" w:sz="0" w:space="0" w:color="auto"/>
        </w:rPr>
        <w:t>expulsion</w:t>
      </w:r>
      <w:r w:rsidR="00773B3C" w:rsidRPr="00A51861">
        <w:rPr>
          <w:rFonts w:asciiTheme="majorHAnsi" w:eastAsia="Calibri" w:hAnsiTheme="majorHAnsi"/>
          <w:sz w:val="20"/>
          <w:szCs w:val="20"/>
          <w:bdr w:val="none" w:sz="0" w:space="0" w:color="auto"/>
        </w:rPr>
        <w:t xml:space="preserve">, </w:t>
      </w:r>
      <w:r>
        <w:rPr>
          <w:rFonts w:asciiTheme="majorHAnsi" w:eastAsia="Calibri" w:hAnsiTheme="majorHAnsi"/>
          <w:sz w:val="20"/>
          <w:szCs w:val="20"/>
          <w:bdr w:val="none" w:sz="0" w:space="0" w:color="auto"/>
        </w:rPr>
        <w:t>are</w:t>
      </w:r>
      <w:r w:rsidR="00773B3C" w:rsidRPr="00A51861">
        <w:rPr>
          <w:rFonts w:asciiTheme="majorHAnsi" w:eastAsia="Calibri" w:hAnsiTheme="majorHAnsi"/>
          <w:sz w:val="20"/>
          <w:szCs w:val="20"/>
          <w:bdr w:val="none" w:sz="0" w:space="0" w:color="auto"/>
        </w:rPr>
        <w:t xml:space="preserve"> incompatible </w:t>
      </w:r>
      <w:r>
        <w:rPr>
          <w:rFonts w:asciiTheme="majorHAnsi" w:eastAsia="Calibri" w:hAnsiTheme="majorHAnsi"/>
          <w:sz w:val="20"/>
          <w:szCs w:val="20"/>
          <w:bdr w:val="none" w:sz="0" w:space="0" w:color="auto"/>
        </w:rPr>
        <w:t>with</w:t>
      </w:r>
      <w:r w:rsidR="00773B3C" w:rsidRPr="00A51861">
        <w:rPr>
          <w:rFonts w:asciiTheme="majorHAnsi" w:eastAsia="Calibri" w:hAnsiTheme="majorHAnsi"/>
          <w:sz w:val="20"/>
          <w:szCs w:val="20"/>
          <w:bdr w:val="none" w:sz="0" w:space="0" w:color="auto"/>
        </w:rPr>
        <w:t xml:space="preserve"> </w:t>
      </w:r>
      <w:r w:rsidR="0029564F">
        <w:rPr>
          <w:rFonts w:asciiTheme="majorHAnsi" w:eastAsia="Calibri" w:hAnsiTheme="majorHAnsi"/>
          <w:sz w:val="20"/>
          <w:szCs w:val="20"/>
          <w:bdr w:val="none" w:sz="0" w:space="0" w:color="auto"/>
        </w:rPr>
        <w:t>article</w:t>
      </w:r>
      <w:r w:rsidR="00773B3C" w:rsidRPr="00A51861">
        <w:rPr>
          <w:rFonts w:asciiTheme="majorHAnsi" w:eastAsia="Calibri" w:hAnsiTheme="majorHAnsi"/>
          <w:sz w:val="20"/>
          <w:szCs w:val="20"/>
          <w:bdr w:val="none" w:sz="0" w:space="0" w:color="auto"/>
        </w:rPr>
        <w:t>s VIII, XVIII</w:t>
      </w:r>
      <w:r w:rsidR="00E92985">
        <w:rPr>
          <w:rFonts w:asciiTheme="majorHAnsi" w:eastAsia="Calibri" w:hAnsiTheme="majorHAnsi"/>
          <w:sz w:val="20"/>
          <w:szCs w:val="20"/>
          <w:bdr w:val="none" w:sz="0" w:space="0" w:color="auto"/>
        </w:rPr>
        <w:t xml:space="preserve"> and </w:t>
      </w:r>
      <w:r w:rsidR="00773B3C" w:rsidRPr="00A51861">
        <w:rPr>
          <w:rFonts w:asciiTheme="majorHAnsi" w:eastAsia="Calibri" w:hAnsiTheme="majorHAnsi"/>
          <w:sz w:val="20"/>
          <w:szCs w:val="20"/>
          <w:bdr w:val="none" w:sz="0" w:space="0" w:color="auto"/>
        </w:rPr>
        <w:t>XXVI</w:t>
      </w:r>
      <w:r w:rsidR="00E92985">
        <w:rPr>
          <w:rFonts w:asciiTheme="majorHAnsi" w:eastAsia="Calibri" w:hAnsiTheme="majorHAnsi"/>
          <w:sz w:val="20"/>
          <w:szCs w:val="20"/>
          <w:bdr w:val="none" w:sz="0" w:space="0" w:color="auto"/>
        </w:rPr>
        <w:t xml:space="preserve"> of the </w:t>
      </w:r>
      <w:r w:rsidR="00A311C9">
        <w:rPr>
          <w:rFonts w:asciiTheme="majorHAnsi" w:eastAsia="Calibri" w:hAnsiTheme="majorHAnsi"/>
          <w:sz w:val="20"/>
          <w:szCs w:val="20"/>
          <w:bdr w:val="none" w:sz="0" w:space="0" w:color="auto"/>
        </w:rPr>
        <w:t>American Declaration</w:t>
      </w:r>
      <w:r w:rsidR="00773B3C" w:rsidRPr="00A51861">
        <w:rPr>
          <w:rFonts w:asciiTheme="majorHAnsi" w:eastAsia="Calibri" w:hAnsiTheme="majorHAnsi"/>
          <w:sz w:val="20"/>
          <w:szCs w:val="20"/>
          <w:bdr w:val="none" w:sz="0" w:space="0" w:color="auto"/>
        </w:rPr>
        <w:t xml:space="preserve">. </w:t>
      </w:r>
    </w:p>
    <w:p w14:paraId="25CB6AAC" w14:textId="77777777" w:rsidR="00555EA8" w:rsidRPr="00A51861" w:rsidRDefault="00555EA8" w:rsidP="008E4D36">
      <w:pPr>
        <w:pStyle w:val="ListParagraph"/>
        <w:rPr>
          <w:rFonts w:eastAsia="Calibri" w:cs="Tahoma"/>
          <w:sz w:val="20"/>
          <w:szCs w:val="20"/>
          <w:bdr w:val="none" w:sz="0" w:space="0" w:color="auto"/>
        </w:rPr>
      </w:pPr>
    </w:p>
    <w:p w14:paraId="07C7FEA9" w14:textId="32D64428" w:rsidR="00555EA8" w:rsidRPr="00A51861" w:rsidRDefault="00864270" w:rsidP="003E54CE">
      <w:pPr>
        <w:pStyle w:val="Heading2"/>
        <w:keepNext/>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bdr w:val="none" w:sz="0" w:space="0" w:color="auto"/>
          <w:lang w:val="en-US"/>
        </w:rPr>
      </w:pPr>
      <w:bookmarkStart w:id="28" w:name="_Toc196383492"/>
      <w:r>
        <w:rPr>
          <w:bdr w:val="none" w:sz="0" w:space="0" w:color="auto"/>
          <w:lang w:val="en-US"/>
        </w:rPr>
        <w:t>The right to life</w:t>
      </w:r>
      <w:r w:rsidR="00555EA8" w:rsidRPr="00A51861">
        <w:rPr>
          <w:bdr w:val="none" w:sz="0" w:space="0" w:color="auto"/>
          <w:lang w:val="en-US"/>
        </w:rPr>
        <w:t>, a</w:t>
      </w:r>
      <w:r w:rsidR="009A4F91">
        <w:rPr>
          <w:bdr w:val="none" w:sz="0" w:space="0" w:color="auto"/>
          <w:lang w:val="en-US"/>
        </w:rPr>
        <w:t xml:space="preserve"> </w:t>
      </w:r>
      <w:r w:rsidR="00387B53">
        <w:rPr>
          <w:bdr w:val="none" w:sz="0" w:space="0" w:color="auto"/>
          <w:lang w:val="en-US"/>
        </w:rPr>
        <w:t>liberty</w:t>
      </w:r>
      <w:r w:rsidR="00555EA8" w:rsidRPr="00A51861">
        <w:rPr>
          <w:bdr w:val="none" w:sz="0" w:space="0" w:color="auto"/>
          <w:lang w:val="en-US"/>
        </w:rPr>
        <w:t xml:space="preserve">, </w:t>
      </w:r>
      <w:r>
        <w:rPr>
          <w:bdr w:val="none" w:sz="0" w:space="0" w:color="auto"/>
          <w:lang w:val="en-US"/>
        </w:rPr>
        <w:t xml:space="preserve">to security </w:t>
      </w:r>
      <w:r w:rsidR="00E92985">
        <w:rPr>
          <w:bdr w:val="none" w:sz="0" w:space="0" w:color="auto"/>
          <w:lang w:val="en-US"/>
        </w:rPr>
        <w:t xml:space="preserve">and </w:t>
      </w:r>
      <w:r w:rsidR="00555EA8" w:rsidRPr="00A51861">
        <w:rPr>
          <w:bdr w:val="none" w:sz="0" w:space="0" w:color="auto"/>
          <w:lang w:val="en-US"/>
        </w:rPr>
        <w:t>integri</w:t>
      </w:r>
      <w:r w:rsidR="00FA2E7B">
        <w:rPr>
          <w:bdr w:val="none" w:sz="0" w:space="0" w:color="auto"/>
          <w:lang w:val="en-US"/>
        </w:rPr>
        <w:t xml:space="preserve">ty </w:t>
      </w:r>
      <w:r w:rsidR="00E92985">
        <w:rPr>
          <w:bdr w:val="none" w:sz="0" w:space="0" w:color="auto"/>
          <w:lang w:val="en-US"/>
        </w:rPr>
        <w:t xml:space="preserve">of the </w:t>
      </w:r>
      <w:r w:rsidR="001D6B70" w:rsidRPr="00A51861">
        <w:rPr>
          <w:bdr w:val="none" w:sz="0" w:space="0" w:color="auto"/>
          <w:lang w:val="en-US"/>
        </w:rPr>
        <w:t>person</w:t>
      </w:r>
      <w:r w:rsidR="007F23FF" w:rsidRPr="00A51861">
        <w:rPr>
          <w:rStyle w:val="FootnoteReference"/>
          <w:rFonts w:eastAsia="Calibri" w:cs="Tahoma"/>
          <w:b w:val="0"/>
          <w:bdr w:val="none" w:sz="0" w:space="0" w:color="auto"/>
          <w:lang w:val="en-US"/>
        </w:rPr>
        <w:footnoteReference w:id="194"/>
      </w:r>
      <w:r w:rsidR="00E92985">
        <w:rPr>
          <w:bdr w:val="none" w:sz="0" w:space="0" w:color="auto"/>
          <w:lang w:val="en-US"/>
        </w:rPr>
        <w:t xml:space="preserve"> and </w:t>
      </w:r>
      <w:r>
        <w:rPr>
          <w:bdr w:val="none" w:sz="0" w:space="0" w:color="auto"/>
          <w:lang w:val="en-US"/>
        </w:rPr>
        <w:t>the</w:t>
      </w:r>
      <w:r w:rsidR="001D6B70" w:rsidRPr="00A51861">
        <w:rPr>
          <w:bdr w:val="none" w:sz="0" w:space="0" w:color="auto"/>
          <w:lang w:val="en-US"/>
        </w:rPr>
        <w:t xml:space="preserve"> </w:t>
      </w:r>
      <w:r w:rsidR="009B462E">
        <w:rPr>
          <w:bdr w:val="none" w:sz="0" w:space="0" w:color="auto"/>
          <w:lang w:val="en-US"/>
        </w:rPr>
        <w:t xml:space="preserve">right of </w:t>
      </w:r>
      <w:r w:rsidR="00EF4ED2">
        <w:rPr>
          <w:bdr w:val="none" w:sz="0" w:space="0" w:color="auto"/>
          <w:lang w:val="en-US"/>
        </w:rPr>
        <w:t>protection</w:t>
      </w:r>
      <w:r w:rsidR="00CB0928">
        <w:rPr>
          <w:bdr w:val="none" w:sz="0" w:space="0" w:color="auto"/>
          <w:lang w:val="en-US"/>
        </w:rPr>
        <w:t xml:space="preserve"> against</w:t>
      </w:r>
      <w:r w:rsidR="009A4F91">
        <w:rPr>
          <w:bdr w:val="none" w:sz="0" w:space="0" w:color="auto"/>
          <w:lang w:val="en-US"/>
        </w:rPr>
        <w:t xml:space="preserve"> </w:t>
      </w:r>
      <w:r w:rsidR="00D70A85">
        <w:rPr>
          <w:bdr w:val="none" w:sz="0" w:space="0" w:color="auto"/>
          <w:lang w:val="en-US"/>
        </w:rPr>
        <w:t xml:space="preserve">arbitrary detention </w:t>
      </w:r>
      <w:r w:rsidR="00E92985">
        <w:rPr>
          <w:bdr w:val="none" w:sz="0" w:space="0" w:color="auto"/>
          <w:lang w:val="en-US"/>
        </w:rPr>
        <w:t xml:space="preserve">of the </w:t>
      </w:r>
      <w:r w:rsidR="003F634D">
        <w:rPr>
          <w:bdr w:val="none" w:sz="0" w:space="0" w:color="auto"/>
          <w:lang w:val="en-US"/>
        </w:rPr>
        <w:t xml:space="preserve">American Declaration </w:t>
      </w:r>
      <w:r w:rsidR="001937FB">
        <w:rPr>
          <w:bdr w:val="none" w:sz="0" w:space="0" w:color="auto"/>
          <w:lang w:val="en-US"/>
        </w:rPr>
        <w:t xml:space="preserve">of </w:t>
      </w:r>
      <w:r w:rsidR="004C5A00">
        <w:rPr>
          <w:bdr w:val="none" w:sz="0" w:space="0" w:color="auto"/>
          <w:lang w:val="en-US"/>
        </w:rPr>
        <w:t>Rights</w:t>
      </w:r>
      <w:r w:rsidR="001937FB">
        <w:rPr>
          <w:bdr w:val="none" w:sz="0" w:space="0" w:color="auto"/>
          <w:lang w:val="en-US"/>
        </w:rPr>
        <w:t xml:space="preserve"> and Duties of Man</w:t>
      </w:r>
      <w:r w:rsidR="007F23FF" w:rsidRPr="00A51861">
        <w:rPr>
          <w:bdr w:val="none" w:sz="0" w:space="0" w:color="auto"/>
          <w:lang w:val="en-US"/>
        </w:rPr>
        <w:t xml:space="preserve">, </w:t>
      </w:r>
      <w:r>
        <w:rPr>
          <w:bdr w:val="none" w:sz="0" w:space="0" w:color="auto"/>
          <w:lang w:val="en-US"/>
        </w:rPr>
        <w:t>within</w:t>
      </w:r>
      <w:r w:rsidR="00E92985">
        <w:rPr>
          <w:bdr w:val="none" w:sz="0" w:space="0" w:color="auto"/>
          <w:lang w:val="en-US"/>
        </w:rPr>
        <w:t xml:space="preserve"> the </w:t>
      </w:r>
      <w:r w:rsidR="006E255A">
        <w:rPr>
          <w:bdr w:val="none" w:sz="0" w:space="0" w:color="auto"/>
          <w:lang w:val="en-US"/>
        </w:rPr>
        <w:t>detention</w:t>
      </w:r>
      <w:r w:rsidR="00555EA8" w:rsidRPr="00A51861">
        <w:rPr>
          <w:bdr w:val="none" w:sz="0" w:space="0" w:color="auto"/>
          <w:lang w:val="en-US"/>
        </w:rPr>
        <w:t xml:space="preserve"> </w:t>
      </w:r>
      <w:r w:rsidR="00BD093F">
        <w:rPr>
          <w:bdr w:val="none" w:sz="0" w:space="0" w:color="auto"/>
          <w:lang w:val="en-US"/>
        </w:rPr>
        <w:t xml:space="preserve">Mr. </w:t>
      </w:r>
      <w:r w:rsidR="008E4D36" w:rsidRPr="00A51861">
        <w:rPr>
          <w:bdr w:val="none" w:sz="0" w:space="0" w:color="auto"/>
          <w:lang w:val="en-US"/>
        </w:rPr>
        <w:t>Nicasio Washington Romero Ubal</w:t>
      </w:r>
      <w:bookmarkEnd w:id="28"/>
    </w:p>
    <w:p w14:paraId="1E815963" w14:textId="77777777" w:rsidR="00555EA8" w:rsidRPr="00A51861" w:rsidRDefault="00555EA8" w:rsidP="008E4D3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libri" w:hAnsi="Cambria" w:cs="Tahoma"/>
          <w:color w:val="000000"/>
          <w:sz w:val="20"/>
          <w:szCs w:val="20"/>
          <w:bdr w:val="none" w:sz="0" w:space="0" w:color="auto"/>
        </w:rPr>
      </w:pPr>
    </w:p>
    <w:p w14:paraId="634EE316" w14:textId="11229587" w:rsidR="001D6B70" w:rsidRPr="00A51861" w:rsidRDefault="00864270" w:rsidP="003E54CE">
      <w:pPr>
        <w:pStyle w:val="Heading3"/>
        <w:keepNext/>
        <w:numPr>
          <w:ilvl w:val="0"/>
          <w:numId w:val="68"/>
        </w:numPr>
        <w:spacing w:line="240" w:lineRule="auto"/>
        <w:ind w:left="990"/>
        <w:jc w:val="left"/>
        <w:rPr>
          <w:rFonts w:eastAsia="Calibri" w:cs="Tahoma"/>
          <w:bdr w:val="none" w:sz="0" w:space="0" w:color="auto"/>
          <w:lang w:val="en-US"/>
        </w:rPr>
      </w:pPr>
      <w:bookmarkStart w:id="29" w:name="_Toc196383493"/>
      <w:r>
        <w:rPr>
          <w:lang w:val="en-US"/>
        </w:rPr>
        <w:t xml:space="preserve">The </w:t>
      </w:r>
      <w:r w:rsidRPr="00A51861">
        <w:rPr>
          <w:lang w:val="en-US"/>
        </w:rPr>
        <w:t>prohibition</w:t>
      </w:r>
      <w:r w:rsidR="00E92985">
        <w:rPr>
          <w:lang w:val="en-US"/>
        </w:rPr>
        <w:t xml:space="preserve"> of </w:t>
      </w:r>
      <w:r w:rsidR="008C6C20" w:rsidRPr="00A51861">
        <w:rPr>
          <w:lang w:val="en-US"/>
        </w:rPr>
        <w:t>tortur</w:t>
      </w:r>
      <w:r>
        <w:rPr>
          <w:lang w:val="en-US"/>
        </w:rPr>
        <w:t>e</w:t>
      </w:r>
      <w:r w:rsidR="00E92985">
        <w:rPr>
          <w:lang w:val="en-US"/>
        </w:rPr>
        <w:t xml:space="preserve"> and </w:t>
      </w:r>
      <w:r w:rsidR="008C6C20" w:rsidRPr="00A51861">
        <w:rPr>
          <w:lang w:val="en-US"/>
        </w:rPr>
        <w:t>cruel, inhuman</w:t>
      </w:r>
      <w:r>
        <w:rPr>
          <w:lang w:val="en-US"/>
        </w:rPr>
        <w:t>e</w:t>
      </w:r>
      <w:r w:rsidR="00E92985">
        <w:rPr>
          <w:lang w:val="en-US"/>
        </w:rPr>
        <w:t xml:space="preserve"> or </w:t>
      </w:r>
      <w:r w:rsidR="008C6C20" w:rsidRPr="00A51861">
        <w:rPr>
          <w:lang w:val="en-US"/>
        </w:rPr>
        <w:t>degrad</w:t>
      </w:r>
      <w:r>
        <w:rPr>
          <w:lang w:val="en-US"/>
        </w:rPr>
        <w:t>ing</w:t>
      </w:r>
      <w:r w:rsidR="008C6C20" w:rsidRPr="00A51861">
        <w:rPr>
          <w:lang w:val="en-US"/>
        </w:rPr>
        <w:t xml:space="preserve"> </w:t>
      </w:r>
      <w:r>
        <w:rPr>
          <w:lang w:val="en-US"/>
        </w:rPr>
        <w:t xml:space="preserve">treatment or </w:t>
      </w:r>
      <w:r w:rsidRPr="00A51861">
        <w:rPr>
          <w:lang w:val="en-US"/>
        </w:rPr>
        <w:t>p</w:t>
      </w:r>
      <w:r>
        <w:rPr>
          <w:lang w:val="en-US"/>
        </w:rPr>
        <w:t>unishment</w:t>
      </w:r>
      <w:r w:rsidRPr="00A51861">
        <w:rPr>
          <w:lang w:val="en-US"/>
        </w:rPr>
        <w:t xml:space="preserve"> </w:t>
      </w:r>
      <w:r w:rsidR="008C6C20" w:rsidRPr="00A51861">
        <w:rPr>
          <w:lang w:val="en-US"/>
        </w:rPr>
        <w:t>(TCID)</w:t>
      </w:r>
      <w:bookmarkEnd w:id="29"/>
    </w:p>
    <w:p w14:paraId="646A9EB4" w14:textId="77777777" w:rsidR="001D6B70" w:rsidRPr="00A51861" w:rsidRDefault="001D6B70" w:rsidP="008E4D36">
      <w:pPr>
        <w:rPr>
          <w:rFonts w:asciiTheme="majorHAnsi" w:eastAsia="Calibri" w:hAnsiTheme="majorHAnsi" w:cs="Tahoma"/>
          <w:b/>
          <w:sz w:val="20"/>
          <w:szCs w:val="20"/>
          <w:bdr w:val="none" w:sz="0" w:space="0" w:color="auto"/>
        </w:rPr>
      </w:pPr>
    </w:p>
    <w:p w14:paraId="695745D1" w14:textId="1EA2CD5B" w:rsidR="001D6B70" w:rsidRPr="00A51861" w:rsidRDefault="00F406E1"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Calibri" w:hAnsiTheme="majorHAnsi" w:cs="Tahoma"/>
          <w:color w:val="000000"/>
          <w:sz w:val="20"/>
          <w:szCs w:val="20"/>
          <w:bdr w:val="none" w:sz="0" w:space="0" w:color="auto"/>
        </w:rPr>
      </w:pPr>
      <w:r>
        <w:rPr>
          <w:rFonts w:asciiTheme="majorHAnsi" w:eastAsia="Calibri" w:hAnsiTheme="majorHAnsi" w:cs="Tahoma"/>
          <w:color w:val="000000"/>
          <w:sz w:val="20"/>
          <w:szCs w:val="20"/>
          <w:bdr w:val="none" w:sz="0" w:space="0" w:color="auto"/>
        </w:rPr>
        <w:t>An essential aspect</w:t>
      </w:r>
      <w:r w:rsidR="004969F4">
        <w:rPr>
          <w:rFonts w:asciiTheme="majorHAnsi" w:eastAsia="Calibri" w:hAnsiTheme="majorHAnsi" w:cs="Tahoma"/>
          <w:color w:val="000000"/>
          <w:sz w:val="20"/>
          <w:szCs w:val="20"/>
          <w:bdr w:val="none" w:sz="0" w:space="0" w:color="auto"/>
        </w:rPr>
        <w:t xml:space="preserve"> of </w:t>
      </w:r>
      <w:r w:rsidR="009A4F91">
        <w:rPr>
          <w:rFonts w:asciiTheme="majorHAnsi" w:eastAsia="Calibri" w:hAnsiTheme="majorHAnsi" w:cs="Tahoma"/>
          <w:color w:val="000000"/>
          <w:sz w:val="20"/>
          <w:szCs w:val="20"/>
          <w:bdr w:val="none" w:sz="0" w:space="0" w:color="auto"/>
        </w:rPr>
        <w:t xml:space="preserve">the right to </w:t>
      </w:r>
      <w:r>
        <w:rPr>
          <w:rFonts w:asciiTheme="majorHAnsi" w:eastAsia="Calibri" w:hAnsiTheme="majorHAnsi" w:cs="Tahoma"/>
          <w:color w:val="000000"/>
          <w:sz w:val="20"/>
          <w:szCs w:val="20"/>
          <w:bdr w:val="none" w:sz="0" w:space="0" w:color="auto"/>
        </w:rPr>
        <w:t xml:space="preserve">humane treatment </w:t>
      </w:r>
      <w:r w:rsidR="00D70A85">
        <w:rPr>
          <w:rFonts w:asciiTheme="majorHAnsi" w:eastAsia="Calibri" w:hAnsiTheme="majorHAnsi" w:cs="Tahoma"/>
          <w:color w:val="000000"/>
          <w:sz w:val="20"/>
          <w:szCs w:val="20"/>
          <w:bdr w:val="none" w:sz="0" w:space="0" w:color="auto"/>
        </w:rPr>
        <w:t xml:space="preserve">is </w:t>
      </w:r>
      <w:r w:rsidR="009A4F91">
        <w:rPr>
          <w:rFonts w:asciiTheme="majorHAnsi" w:eastAsia="Calibri" w:hAnsiTheme="majorHAnsi" w:cs="Tahoma"/>
          <w:color w:val="000000"/>
          <w:sz w:val="20"/>
          <w:szCs w:val="20"/>
          <w:bdr w:val="none" w:sz="0" w:space="0" w:color="auto"/>
        </w:rPr>
        <w:t xml:space="preserve">the </w:t>
      </w:r>
      <w:r w:rsidRPr="00A51861">
        <w:rPr>
          <w:rFonts w:asciiTheme="majorHAnsi" w:eastAsia="Calibri" w:hAnsiTheme="majorHAnsi" w:cs="Tahoma"/>
          <w:color w:val="000000"/>
          <w:sz w:val="20"/>
          <w:szCs w:val="20"/>
          <w:bdr w:val="none" w:sz="0" w:space="0" w:color="auto"/>
        </w:rPr>
        <w:t>absolute</w:t>
      </w:r>
      <w:r>
        <w:rPr>
          <w:rFonts w:asciiTheme="majorHAnsi" w:eastAsia="Calibri" w:hAnsiTheme="majorHAnsi" w:cs="Tahoma"/>
          <w:color w:val="000000"/>
          <w:sz w:val="20"/>
          <w:szCs w:val="20"/>
          <w:bdr w:val="none" w:sz="0" w:space="0" w:color="auto"/>
        </w:rPr>
        <w:t xml:space="preserve"> </w:t>
      </w:r>
      <w:r w:rsidRPr="00A51861">
        <w:rPr>
          <w:rFonts w:asciiTheme="majorHAnsi" w:eastAsia="Calibri" w:hAnsiTheme="majorHAnsi" w:cs="Tahoma"/>
          <w:color w:val="000000"/>
          <w:sz w:val="20"/>
          <w:szCs w:val="20"/>
          <w:bdr w:val="none" w:sz="0" w:space="0" w:color="auto"/>
        </w:rPr>
        <w:t>prohibition</w:t>
      </w:r>
      <w:r w:rsidR="001D6B70" w:rsidRPr="00A51861">
        <w:rPr>
          <w:rFonts w:asciiTheme="majorHAnsi" w:eastAsia="Calibri" w:hAnsiTheme="majorHAnsi" w:cs="Tahoma"/>
          <w:color w:val="000000"/>
          <w:sz w:val="20"/>
          <w:szCs w:val="20"/>
          <w:bdr w:val="none" w:sz="0" w:space="0" w:color="auto"/>
        </w:rPr>
        <w:t xml:space="preserve"> </w:t>
      </w:r>
      <w:r w:rsidR="00E92985">
        <w:rPr>
          <w:rFonts w:asciiTheme="majorHAnsi" w:eastAsia="Calibri" w:hAnsiTheme="majorHAnsi" w:cs="Tahoma"/>
          <w:color w:val="000000"/>
          <w:sz w:val="20"/>
          <w:szCs w:val="20"/>
          <w:bdr w:val="none" w:sz="0" w:space="0" w:color="auto"/>
        </w:rPr>
        <w:t xml:space="preserve">of </w:t>
      </w:r>
      <w:r>
        <w:rPr>
          <w:rFonts w:asciiTheme="majorHAnsi" w:eastAsia="Calibri" w:hAnsiTheme="majorHAnsi" w:cs="Tahoma"/>
          <w:color w:val="000000"/>
          <w:sz w:val="20"/>
          <w:szCs w:val="20"/>
          <w:bdr w:val="none" w:sz="0" w:space="0" w:color="auto"/>
        </w:rPr>
        <w:t>torture</w:t>
      </w:r>
      <w:r w:rsidR="001D6B70" w:rsidRPr="00A51861">
        <w:rPr>
          <w:rFonts w:asciiTheme="majorHAnsi" w:eastAsia="Calibri" w:hAnsiTheme="majorHAnsi" w:cs="Tahoma"/>
          <w:color w:val="000000"/>
          <w:sz w:val="20"/>
          <w:szCs w:val="20"/>
          <w:bdr w:val="none" w:sz="0" w:space="0" w:color="auto"/>
        </w:rPr>
        <w:t xml:space="preserve"> </w:t>
      </w:r>
      <w:r>
        <w:rPr>
          <w:rFonts w:asciiTheme="majorHAnsi" w:eastAsia="Calibri" w:hAnsiTheme="majorHAnsi" w:cs="Tahoma"/>
          <w:color w:val="000000"/>
          <w:sz w:val="20"/>
          <w:szCs w:val="20"/>
          <w:bdr w:val="none" w:sz="0" w:space="0" w:color="auto"/>
        </w:rPr>
        <w:t>as a</w:t>
      </w:r>
      <w:r w:rsidR="001D6B70" w:rsidRPr="00A51861">
        <w:rPr>
          <w:rFonts w:asciiTheme="majorHAnsi" w:eastAsia="Calibri" w:hAnsiTheme="majorHAnsi" w:cs="Tahoma"/>
          <w:color w:val="000000"/>
          <w:sz w:val="20"/>
          <w:szCs w:val="20"/>
          <w:bdr w:val="none" w:sz="0" w:space="0" w:color="auto"/>
        </w:rPr>
        <w:t xml:space="preserve"> </w:t>
      </w:r>
      <w:r w:rsidR="001D6B70" w:rsidRPr="00A51861">
        <w:rPr>
          <w:rFonts w:asciiTheme="majorHAnsi" w:eastAsia="Calibri" w:hAnsiTheme="majorHAnsi" w:cs="Tahoma"/>
          <w:i/>
          <w:color w:val="000000"/>
          <w:sz w:val="20"/>
          <w:szCs w:val="20"/>
          <w:bdr w:val="none" w:sz="0" w:space="0" w:color="auto"/>
        </w:rPr>
        <w:t>jus cogens</w:t>
      </w:r>
      <w:r w:rsidR="001D6B70" w:rsidRPr="00A51861">
        <w:rPr>
          <w:rFonts w:asciiTheme="majorHAnsi" w:eastAsia="Calibri" w:hAnsiTheme="majorHAnsi" w:cs="Tahoma"/>
          <w:color w:val="000000"/>
          <w:sz w:val="20"/>
          <w:szCs w:val="20"/>
          <w:bdr w:val="none" w:sz="0" w:space="0" w:color="auto"/>
        </w:rPr>
        <w:t xml:space="preserve"> (</w:t>
      </w:r>
      <w:r>
        <w:rPr>
          <w:rFonts w:asciiTheme="majorHAnsi" w:eastAsia="Calibri" w:hAnsiTheme="majorHAnsi" w:cs="Tahoma"/>
          <w:color w:val="000000"/>
          <w:sz w:val="20"/>
          <w:szCs w:val="20"/>
          <w:bdr w:val="none" w:sz="0" w:space="0" w:color="auto"/>
        </w:rPr>
        <w:t>compulsory</w:t>
      </w:r>
      <w:r w:rsidR="00DD63D2" w:rsidRPr="00A51861">
        <w:rPr>
          <w:rFonts w:asciiTheme="majorHAnsi" w:eastAsia="Calibri" w:hAnsiTheme="majorHAnsi" w:cs="Tahoma"/>
          <w:color w:val="000000"/>
          <w:sz w:val="20"/>
          <w:szCs w:val="20"/>
          <w:bdr w:val="none" w:sz="0" w:space="0" w:color="auto"/>
        </w:rPr>
        <w:t>)</w:t>
      </w:r>
      <w:r w:rsidR="004969F4">
        <w:rPr>
          <w:rFonts w:asciiTheme="majorHAnsi" w:eastAsia="Calibri" w:hAnsiTheme="majorHAnsi" w:cs="Tahoma"/>
          <w:color w:val="000000"/>
          <w:sz w:val="20"/>
          <w:szCs w:val="20"/>
          <w:bdr w:val="none" w:sz="0" w:space="0" w:color="auto"/>
        </w:rPr>
        <w:t xml:space="preserve"> </w:t>
      </w:r>
      <w:r>
        <w:rPr>
          <w:rFonts w:asciiTheme="majorHAnsi" w:eastAsia="Calibri" w:hAnsiTheme="majorHAnsi" w:cs="Tahoma"/>
          <w:color w:val="000000"/>
          <w:sz w:val="20"/>
          <w:szCs w:val="20"/>
          <w:bdr w:val="none" w:sz="0" w:space="0" w:color="auto"/>
        </w:rPr>
        <w:t xml:space="preserve">norm </w:t>
      </w:r>
      <w:r w:rsidR="004969F4">
        <w:rPr>
          <w:rFonts w:asciiTheme="majorHAnsi" w:eastAsia="Calibri" w:hAnsiTheme="majorHAnsi" w:cs="Tahoma"/>
          <w:color w:val="000000"/>
          <w:sz w:val="20"/>
          <w:szCs w:val="20"/>
          <w:bdr w:val="none" w:sz="0" w:space="0" w:color="auto"/>
        </w:rPr>
        <w:t xml:space="preserve">of </w:t>
      </w:r>
      <w:r>
        <w:rPr>
          <w:rFonts w:asciiTheme="majorHAnsi" w:eastAsia="Calibri" w:hAnsiTheme="majorHAnsi" w:cs="Tahoma"/>
          <w:color w:val="000000"/>
          <w:sz w:val="20"/>
          <w:szCs w:val="20"/>
          <w:bdr w:val="none" w:sz="0" w:space="0" w:color="auto"/>
        </w:rPr>
        <w:t>international law</w:t>
      </w:r>
      <w:r w:rsidR="00DD63D2" w:rsidRPr="00A51861">
        <w:rPr>
          <w:rStyle w:val="FootnoteReference"/>
          <w:rFonts w:asciiTheme="majorHAnsi" w:eastAsia="Calibri" w:hAnsiTheme="majorHAnsi" w:cs="Tahoma"/>
          <w:color w:val="000000"/>
          <w:sz w:val="20"/>
          <w:szCs w:val="20"/>
          <w:bdr w:val="none" w:sz="0" w:space="0" w:color="auto"/>
        </w:rPr>
        <w:footnoteReference w:id="195"/>
      </w:r>
      <w:r w:rsidR="001D1D61">
        <w:rPr>
          <w:rFonts w:asciiTheme="majorHAnsi" w:eastAsia="Calibri" w:hAnsiTheme="majorHAnsi" w:cs="Tahoma"/>
          <w:color w:val="000000"/>
          <w:sz w:val="20"/>
          <w:szCs w:val="20"/>
          <w:bdr w:val="none" w:sz="0" w:space="0" w:color="auto"/>
        </w:rPr>
        <w:t>. Th</w:t>
      </w:r>
      <w:r w:rsidR="00E92985">
        <w:rPr>
          <w:rFonts w:asciiTheme="majorHAnsi" w:eastAsia="Calibri" w:hAnsiTheme="majorHAnsi" w:cs="Tahoma"/>
          <w:color w:val="000000"/>
          <w:sz w:val="20"/>
          <w:szCs w:val="20"/>
          <w:bdr w:val="none" w:sz="0" w:space="0" w:color="auto"/>
        </w:rPr>
        <w:t>e Commission</w:t>
      </w:r>
      <w:r w:rsidR="001D6B70" w:rsidRPr="00A51861">
        <w:rPr>
          <w:rFonts w:asciiTheme="majorHAnsi" w:eastAsia="Calibri" w:hAnsiTheme="majorHAnsi" w:cs="Tahoma"/>
          <w:color w:val="000000"/>
          <w:sz w:val="20"/>
          <w:szCs w:val="20"/>
          <w:bdr w:val="none" w:sz="0" w:space="0" w:color="auto"/>
        </w:rPr>
        <w:t xml:space="preserve"> </w:t>
      </w:r>
      <w:r>
        <w:rPr>
          <w:rFonts w:asciiTheme="majorHAnsi" w:eastAsia="Calibri" w:hAnsiTheme="majorHAnsi" w:cs="Tahoma"/>
          <w:color w:val="000000"/>
          <w:sz w:val="20"/>
          <w:szCs w:val="20"/>
          <w:bdr w:val="none" w:sz="0" w:space="0" w:color="auto"/>
        </w:rPr>
        <w:t>has defined</w:t>
      </w:r>
      <w:r w:rsidR="001D6B70" w:rsidRPr="00A51861">
        <w:rPr>
          <w:rFonts w:asciiTheme="majorHAnsi" w:eastAsia="Calibri" w:hAnsiTheme="majorHAnsi" w:cs="Tahoma"/>
          <w:color w:val="000000"/>
          <w:sz w:val="20"/>
          <w:szCs w:val="20"/>
          <w:bdr w:val="none" w:sz="0" w:space="0" w:color="auto"/>
        </w:rPr>
        <w:t xml:space="preserve"> </w:t>
      </w:r>
      <w:r>
        <w:rPr>
          <w:rFonts w:asciiTheme="majorHAnsi" w:eastAsia="Calibri" w:hAnsiTheme="majorHAnsi" w:cs="Tahoma"/>
          <w:color w:val="000000"/>
          <w:sz w:val="20"/>
          <w:szCs w:val="20"/>
          <w:bdr w:val="none" w:sz="0" w:space="0" w:color="auto"/>
        </w:rPr>
        <w:t>torture</w:t>
      </w:r>
      <w:r w:rsidR="001D6B70" w:rsidRPr="00A51861">
        <w:rPr>
          <w:rFonts w:asciiTheme="majorHAnsi" w:eastAsia="Calibri" w:hAnsiTheme="majorHAnsi" w:cs="Tahoma"/>
          <w:color w:val="000000"/>
          <w:sz w:val="20"/>
          <w:szCs w:val="20"/>
          <w:bdr w:val="none" w:sz="0" w:space="0" w:color="auto"/>
        </w:rPr>
        <w:t xml:space="preserve"> </w:t>
      </w:r>
      <w:r>
        <w:rPr>
          <w:rFonts w:asciiTheme="majorHAnsi" w:eastAsia="Calibri" w:hAnsiTheme="majorHAnsi" w:cs="Tahoma"/>
          <w:color w:val="000000"/>
          <w:sz w:val="20"/>
          <w:szCs w:val="20"/>
          <w:bdr w:val="none" w:sz="0" w:space="0" w:color="auto"/>
        </w:rPr>
        <w:t>as</w:t>
      </w:r>
      <w:r w:rsidR="001D6B70" w:rsidRPr="00A51861">
        <w:rPr>
          <w:rFonts w:asciiTheme="majorHAnsi" w:eastAsia="Calibri" w:hAnsiTheme="majorHAnsi" w:cs="Tahoma"/>
          <w:color w:val="000000"/>
          <w:sz w:val="20"/>
          <w:szCs w:val="20"/>
          <w:bdr w:val="none" w:sz="0" w:space="0" w:color="auto"/>
        </w:rPr>
        <w:t xml:space="preserve">: 1) </w:t>
      </w:r>
      <w:r>
        <w:rPr>
          <w:rFonts w:asciiTheme="majorHAnsi" w:eastAsia="Calibri" w:hAnsiTheme="majorHAnsi" w:cs="Tahoma"/>
          <w:color w:val="000000"/>
          <w:sz w:val="20"/>
          <w:szCs w:val="20"/>
          <w:bdr w:val="none" w:sz="0" w:space="0" w:color="auto"/>
        </w:rPr>
        <w:t xml:space="preserve">an intentional act </w:t>
      </w:r>
      <w:r w:rsidR="004366F2">
        <w:rPr>
          <w:rFonts w:asciiTheme="majorHAnsi" w:eastAsia="Calibri" w:hAnsiTheme="majorHAnsi" w:cs="Tahoma"/>
          <w:color w:val="000000"/>
          <w:sz w:val="20"/>
          <w:szCs w:val="20"/>
          <w:bdr w:val="none" w:sz="0" w:space="0" w:color="auto"/>
        </w:rPr>
        <w:t>which inflicts</w:t>
      </w:r>
      <w:r w:rsidR="001D6B70" w:rsidRPr="00A51861">
        <w:rPr>
          <w:rFonts w:asciiTheme="majorHAnsi" w:eastAsia="Calibri" w:hAnsiTheme="majorHAnsi" w:cs="Tahoma"/>
          <w:color w:val="000000"/>
          <w:sz w:val="20"/>
          <w:szCs w:val="20"/>
          <w:bdr w:val="none" w:sz="0" w:space="0" w:color="auto"/>
        </w:rPr>
        <w:t xml:space="preserve"> </w:t>
      </w:r>
      <w:r w:rsidR="004366F2">
        <w:rPr>
          <w:rFonts w:asciiTheme="majorHAnsi" w:eastAsia="Calibri" w:hAnsiTheme="majorHAnsi" w:cs="Tahoma"/>
          <w:color w:val="000000"/>
          <w:sz w:val="20"/>
          <w:szCs w:val="20"/>
          <w:bdr w:val="none" w:sz="0" w:space="0" w:color="auto"/>
        </w:rPr>
        <w:t>physical and mental pain and suffering</w:t>
      </w:r>
      <w:r w:rsidR="001D6B70" w:rsidRPr="00A51861">
        <w:rPr>
          <w:rFonts w:asciiTheme="majorHAnsi" w:eastAsia="Calibri" w:hAnsiTheme="majorHAnsi" w:cs="Tahoma"/>
          <w:color w:val="000000"/>
          <w:sz w:val="20"/>
          <w:szCs w:val="20"/>
          <w:bdr w:val="none" w:sz="0" w:space="0" w:color="auto"/>
        </w:rPr>
        <w:t xml:space="preserve">; 2) </w:t>
      </w:r>
      <w:r w:rsidR="004366F2">
        <w:rPr>
          <w:rFonts w:asciiTheme="majorHAnsi" w:eastAsia="Calibri" w:hAnsiTheme="majorHAnsi" w:cs="Tahoma"/>
          <w:color w:val="000000"/>
          <w:sz w:val="20"/>
          <w:szCs w:val="20"/>
          <w:bdr w:val="none" w:sz="0" w:space="0" w:color="auto"/>
        </w:rPr>
        <w:t>committed with a purpose</w:t>
      </w:r>
      <w:r w:rsidR="001D6B70" w:rsidRPr="00A51861">
        <w:rPr>
          <w:rFonts w:asciiTheme="majorHAnsi" w:eastAsia="Calibri" w:hAnsiTheme="majorHAnsi" w:cs="Tahoma"/>
          <w:color w:val="000000"/>
          <w:sz w:val="20"/>
          <w:szCs w:val="20"/>
          <w:bdr w:val="none" w:sz="0" w:space="0" w:color="auto"/>
        </w:rPr>
        <w:t xml:space="preserve"> (</w:t>
      </w:r>
      <w:r w:rsidR="004366F2">
        <w:rPr>
          <w:rFonts w:asciiTheme="majorHAnsi" w:eastAsia="Calibri" w:hAnsiTheme="majorHAnsi" w:cs="Tahoma"/>
          <w:color w:val="000000"/>
          <w:sz w:val="20"/>
          <w:szCs w:val="20"/>
          <w:bdr w:val="none" w:sz="0" w:space="0" w:color="auto"/>
        </w:rPr>
        <w:t>inter alia</w:t>
      </w:r>
      <w:r w:rsidR="001D6B70" w:rsidRPr="00A51861">
        <w:rPr>
          <w:rFonts w:asciiTheme="majorHAnsi" w:eastAsia="Calibri" w:hAnsiTheme="majorHAnsi" w:cs="Tahoma"/>
          <w:color w:val="000000"/>
          <w:sz w:val="20"/>
          <w:szCs w:val="20"/>
          <w:bdr w:val="none" w:sz="0" w:space="0" w:color="auto"/>
        </w:rPr>
        <w:t xml:space="preserve">, </w:t>
      </w:r>
      <w:r w:rsidR="001D6B70" w:rsidRPr="00A51861">
        <w:rPr>
          <w:rFonts w:ascii="Cambria" w:hAnsi="Cambria"/>
          <w:color w:val="000000" w:themeColor="text1"/>
          <w:sz w:val="20"/>
          <w:szCs w:val="20"/>
        </w:rPr>
        <w:t>personal</w:t>
      </w:r>
      <w:r w:rsidR="00E92985">
        <w:rPr>
          <w:rFonts w:asciiTheme="majorHAnsi" w:eastAsia="Calibri" w:hAnsiTheme="majorHAnsi" w:cs="Tahoma"/>
          <w:color w:val="000000"/>
          <w:sz w:val="20"/>
          <w:szCs w:val="20"/>
          <w:bdr w:val="none" w:sz="0" w:space="0" w:color="auto"/>
        </w:rPr>
        <w:t xml:space="preserve"> </w:t>
      </w:r>
      <w:r w:rsidR="004366F2">
        <w:rPr>
          <w:rFonts w:asciiTheme="majorHAnsi" w:eastAsia="Calibri" w:hAnsiTheme="majorHAnsi" w:cs="Tahoma"/>
          <w:color w:val="000000"/>
          <w:sz w:val="20"/>
          <w:szCs w:val="20"/>
          <w:bdr w:val="none" w:sz="0" w:space="0" w:color="auto"/>
        </w:rPr>
        <w:t xml:space="preserve">punishment </w:t>
      </w:r>
      <w:r w:rsidR="00E92985">
        <w:rPr>
          <w:rFonts w:asciiTheme="majorHAnsi" w:eastAsia="Calibri" w:hAnsiTheme="majorHAnsi" w:cs="Tahoma"/>
          <w:color w:val="000000"/>
          <w:sz w:val="20"/>
          <w:szCs w:val="20"/>
          <w:bdr w:val="none" w:sz="0" w:space="0" w:color="auto"/>
        </w:rPr>
        <w:t xml:space="preserve">or </w:t>
      </w:r>
      <w:r w:rsidR="001D6B70" w:rsidRPr="00A51861">
        <w:rPr>
          <w:rFonts w:asciiTheme="majorHAnsi" w:eastAsia="Calibri" w:hAnsiTheme="majorHAnsi" w:cs="Tahoma"/>
          <w:color w:val="000000"/>
          <w:sz w:val="20"/>
          <w:szCs w:val="20"/>
          <w:bdr w:val="none" w:sz="0" w:space="0" w:color="auto"/>
        </w:rPr>
        <w:t>intimid</w:t>
      </w:r>
      <w:r w:rsidR="004366F2">
        <w:rPr>
          <w:rFonts w:asciiTheme="majorHAnsi" w:eastAsia="Calibri" w:hAnsiTheme="majorHAnsi" w:cs="Tahoma"/>
          <w:color w:val="000000"/>
          <w:sz w:val="20"/>
          <w:szCs w:val="20"/>
          <w:bdr w:val="none" w:sz="0" w:space="0" w:color="auto"/>
        </w:rPr>
        <w:t>atio</w:t>
      </w:r>
      <w:r w:rsidR="001D6B70" w:rsidRPr="00A51861">
        <w:rPr>
          <w:rFonts w:asciiTheme="majorHAnsi" w:eastAsia="Calibri" w:hAnsiTheme="majorHAnsi" w:cs="Tahoma"/>
          <w:color w:val="000000"/>
          <w:sz w:val="20"/>
          <w:szCs w:val="20"/>
          <w:bdr w:val="none" w:sz="0" w:space="0" w:color="auto"/>
        </w:rPr>
        <w:t>n)</w:t>
      </w:r>
      <w:r w:rsidR="00E92985">
        <w:rPr>
          <w:rFonts w:asciiTheme="majorHAnsi" w:eastAsia="Calibri" w:hAnsiTheme="majorHAnsi" w:cs="Tahoma"/>
          <w:color w:val="000000"/>
          <w:sz w:val="20"/>
          <w:szCs w:val="20"/>
          <w:bdr w:val="none" w:sz="0" w:space="0" w:color="auto"/>
        </w:rPr>
        <w:t xml:space="preserve"> or </w:t>
      </w:r>
      <w:r w:rsidR="004366F2" w:rsidRPr="00A51861">
        <w:rPr>
          <w:rFonts w:asciiTheme="majorHAnsi" w:eastAsia="Calibri" w:hAnsiTheme="majorHAnsi" w:cs="Tahoma"/>
          <w:color w:val="000000"/>
          <w:sz w:val="20"/>
          <w:szCs w:val="20"/>
          <w:bdr w:val="none" w:sz="0" w:space="0" w:color="auto"/>
        </w:rPr>
        <w:t>intentional</w:t>
      </w:r>
      <w:r w:rsidR="004366F2">
        <w:rPr>
          <w:rFonts w:asciiTheme="majorHAnsi" w:eastAsia="Calibri" w:hAnsiTheme="majorHAnsi" w:cs="Tahoma"/>
          <w:color w:val="000000"/>
          <w:sz w:val="20"/>
          <w:szCs w:val="20"/>
          <w:bdr w:val="none" w:sz="0" w:space="0" w:color="auto"/>
        </w:rPr>
        <w:t>ly</w:t>
      </w:r>
      <w:r w:rsidR="0029564F">
        <w:rPr>
          <w:rFonts w:asciiTheme="majorHAnsi" w:eastAsia="Calibri" w:hAnsiTheme="majorHAnsi" w:cs="Tahoma"/>
          <w:color w:val="000000"/>
          <w:sz w:val="20"/>
          <w:szCs w:val="20"/>
          <w:bdr w:val="none" w:sz="0" w:space="0" w:color="auto"/>
        </w:rPr>
        <w:t xml:space="preserve"> </w:t>
      </w:r>
      <w:r w:rsidR="001D6B70" w:rsidRPr="00A51861">
        <w:rPr>
          <w:rFonts w:asciiTheme="majorHAnsi" w:eastAsia="Calibri" w:hAnsiTheme="majorHAnsi" w:cs="Tahoma"/>
          <w:color w:val="000000"/>
          <w:sz w:val="20"/>
          <w:szCs w:val="20"/>
          <w:bdr w:val="none" w:sz="0" w:space="0" w:color="auto"/>
        </w:rPr>
        <w:t>(</w:t>
      </w:r>
      <w:r w:rsidR="004366F2">
        <w:rPr>
          <w:rFonts w:asciiTheme="majorHAnsi" w:eastAsia="Calibri" w:hAnsiTheme="majorHAnsi" w:cs="Tahoma"/>
          <w:color w:val="000000"/>
          <w:sz w:val="20"/>
          <w:szCs w:val="20"/>
          <w:bdr w:val="none" w:sz="0" w:space="0" w:color="auto"/>
        </w:rPr>
        <w:t>for example</w:t>
      </w:r>
      <w:r w:rsidR="001D6B70" w:rsidRPr="00A51861">
        <w:rPr>
          <w:rFonts w:asciiTheme="majorHAnsi" w:eastAsia="Calibri" w:hAnsiTheme="majorHAnsi" w:cs="Tahoma"/>
          <w:color w:val="000000"/>
          <w:sz w:val="20"/>
          <w:szCs w:val="20"/>
          <w:bdr w:val="none" w:sz="0" w:space="0" w:color="auto"/>
        </w:rPr>
        <w:t xml:space="preserve">, </w:t>
      </w:r>
      <w:r w:rsidR="004366F2">
        <w:rPr>
          <w:rFonts w:asciiTheme="majorHAnsi" w:eastAsia="Calibri" w:hAnsiTheme="majorHAnsi" w:cs="Tahoma"/>
          <w:color w:val="000000"/>
          <w:sz w:val="20"/>
          <w:szCs w:val="20"/>
          <w:bdr w:val="none" w:sz="0" w:space="0" w:color="auto"/>
        </w:rPr>
        <w:t>to produce certain result in</w:t>
      </w:r>
      <w:r w:rsidR="009A4F91">
        <w:rPr>
          <w:rFonts w:asciiTheme="majorHAnsi" w:eastAsia="Calibri" w:hAnsiTheme="majorHAnsi" w:cs="Tahoma"/>
          <w:color w:val="000000"/>
          <w:sz w:val="20"/>
          <w:szCs w:val="20"/>
          <w:bdr w:val="none" w:sz="0" w:space="0" w:color="auto"/>
        </w:rPr>
        <w:t xml:space="preserve"> the </w:t>
      </w:r>
      <w:r w:rsidR="00B4073F">
        <w:rPr>
          <w:rFonts w:asciiTheme="majorHAnsi" w:eastAsia="Calibri" w:hAnsiTheme="majorHAnsi" w:cs="Tahoma"/>
          <w:color w:val="000000"/>
          <w:sz w:val="20"/>
          <w:szCs w:val="20"/>
          <w:bdr w:val="none" w:sz="0" w:space="0" w:color="auto"/>
        </w:rPr>
        <w:t>victim</w:t>
      </w:r>
      <w:r w:rsidR="001D6B70" w:rsidRPr="00A51861">
        <w:rPr>
          <w:rFonts w:asciiTheme="majorHAnsi" w:eastAsia="Calibri" w:hAnsiTheme="majorHAnsi" w:cs="Tahoma"/>
          <w:color w:val="000000"/>
          <w:sz w:val="20"/>
          <w:szCs w:val="20"/>
          <w:bdr w:val="none" w:sz="0" w:space="0" w:color="auto"/>
        </w:rPr>
        <w:t>)</w:t>
      </w:r>
      <w:r w:rsidR="00AC390C" w:rsidRPr="00A51861">
        <w:rPr>
          <w:rStyle w:val="FootnoteReference"/>
          <w:rFonts w:asciiTheme="majorHAnsi" w:eastAsia="Calibri" w:hAnsiTheme="majorHAnsi" w:cs="Tahoma"/>
          <w:color w:val="000000"/>
          <w:sz w:val="20"/>
          <w:szCs w:val="20"/>
          <w:bdr w:val="none" w:sz="0" w:space="0" w:color="auto"/>
        </w:rPr>
        <w:footnoteReference w:id="196"/>
      </w:r>
      <w:r w:rsidR="001D6B70" w:rsidRPr="00A51861">
        <w:rPr>
          <w:rFonts w:asciiTheme="majorHAnsi" w:eastAsia="Calibri" w:hAnsiTheme="majorHAnsi" w:cs="Tahoma"/>
          <w:color w:val="000000"/>
          <w:sz w:val="20"/>
          <w:szCs w:val="20"/>
          <w:bdr w:val="none" w:sz="0" w:space="0" w:color="auto"/>
        </w:rPr>
        <w:t xml:space="preserve">; 3) </w:t>
      </w:r>
      <w:r w:rsidR="004366F2">
        <w:rPr>
          <w:rFonts w:asciiTheme="majorHAnsi" w:eastAsia="Calibri" w:hAnsiTheme="majorHAnsi" w:cs="Tahoma"/>
          <w:color w:val="000000"/>
          <w:sz w:val="20"/>
          <w:szCs w:val="20"/>
          <w:bdr w:val="none" w:sz="0" w:space="0" w:color="auto"/>
        </w:rPr>
        <w:t>committed by a public official</w:t>
      </w:r>
      <w:r w:rsidR="00E92985">
        <w:rPr>
          <w:rFonts w:asciiTheme="majorHAnsi" w:eastAsia="Calibri" w:hAnsiTheme="majorHAnsi" w:cs="Tahoma"/>
          <w:color w:val="000000"/>
          <w:sz w:val="20"/>
          <w:szCs w:val="20"/>
          <w:bdr w:val="none" w:sz="0" w:space="0" w:color="auto"/>
        </w:rPr>
        <w:t xml:space="preserve"> or </w:t>
      </w:r>
      <w:r w:rsidR="004366F2">
        <w:rPr>
          <w:rFonts w:asciiTheme="majorHAnsi" w:eastAsia="Calibri" w:hAnsiTheme="majorHAnsi" w:cs="Tahoma"/>
          <w:color w:val="000000"/>
          <w:sz w:val="20"/>
          <w:szCs w:val="20"/>
          <w:bdr w:val="none" w:sz="0" w:space="0" w:color="auto"/>
        </w:rPr>
        <w:t xml:space="preserve">by a private acting at the official’s </w:t>
      </w:r>
      <w:r w:rsidR="00DD63D2" w:rsidRPr="00A51861">
        <w:rPr>
          <w:rFonts w:asciiTheme="majorHAnsi" w:eastAsia="Calibri" w:hAnsiTheme="majorHAnsi" w:cs="Tahoma"/>
          <w:color w:val="000000"/>
          <w:sz w:val="20"/>
          <w:szCs w:val="20"/>
          <w:bdr w:val="none" w:sz="0" w:space="0" w:color="auto"/>
        </w:rPr>
        <w:t>instiga</w:t>
      </w:r>
      <w:r w:rsidR="004366F2">
        <w:rPr>
          <w:rFonts w:asciiTheme="majorHAnsi" w:eastAsia="Calibri" w:hAnsiTheme="majorHAnsi" w:cs="Tahoma"/>
          <w:color w:val="000000"/>
          <w:sz w:val="20"/>
          <w:szCs w:val="20"/>
          <w:bdr w:val="none" w:sz="0" w:space="0" w:color="auto"/>
        </w:rPr>
        <w:t>tio</w:t>
      </w:r>
      <w:r w:rsidR="00DD63D2" w:rsidRPr="00A51861">
        <w:rPr>
          <w:rFonts w:asciiTheme="majorHAnsi" w:eastAsia="Calibri" w:hAnsiTheme="majorHAnsi" w:cs="Tahoma"/>
          <w:color w:val="000000"/>
          <w:sz w:val="20"/>
          <w:szCs w:val="20"/>
          <w:bdr w:val="none" w:sz="0" w:space="0" w:color="auto"/>
        </w:rPr>
        <w:t>n</w:t>
      </w:r>
      <w:r w:rsidR="00DD63D2" w:rsidRPr="00A51861">
        <w:rPr>
          <w:rStyle w:val="FootnoteReference"/>
          <w:rFonts w:asciiTheme="majorHAnsi" w:eastAsia="Calibri" w:hAnsiTheme="majorHAnsi" w:cs="Tahoma"/>
          <w:color w:val="000000"/>
          <w:sz w:val="20"/>
          <w:szCs w:val="20"/>
          <w:bdr w:val="none" w:sz="0" w:space="0" w:color="auto"/>
        </w:rPr>
        <w:footnoteReference w:id="197"/>
      </w:r>
      <w:r w:rsidR="001D1D61">
        <w:rPr>
          <w:rFonts w:asciiTheme="majorHAnsi" w:eastAsia="Calibri" w:hAnsiTheme="majorHAnsi" w:cs="Tahoma"/>
          <w:color w:val="000000"/>
          <w:sz w:val="20"/>
          <w:szCs w:val="20"/>
          <w:bdr w:val="none" w:sz="0" w:space="0" w:color="auto"/>
        </w:rPr>
        <w:t>. T</w:t>
      </w:r>
      <w:r>
        <w:rPr>
          <w:rFonts w:asciiTheme="majorHAnsi" w:eastAsia="Calibri" w:hAnsiTheme="majorHAnsi" w:cs="Tahoma"/>
          <w:color w:val="000000"/>
          <w:sz w:val="20"/>
          <w:szCs w:val="20"/>
          <w:bdr w:val="none" w:sz="0" w:space="0" w:color="auto"/>
        </w:rPr>
        <w:t>orture</w:t>
      </w:r>
      <w:r w:rsidR="001D6B70" w:rsidRPr="00A51861">
        <w:rPr>
          <w:rFonts w:asciiTheme="majorHAnsi" w:eastAsia="Calibri" w:hAnsiTheme="majorHAnsi" w:cs="Tahoma"/>
          <w:color w:val="000000"/>
          <w:sz w:val="20"/>
          <w:szCs w:val="20"/>
          <w:bdr w:val="none" w:sz="0" w:space="0" w:color="auto"/>
        </w:rPr>
        <w:t xml:space="preserve"> </w:t>
      </w:r>
      <w:r w:rsidR="004366F2">
        <w:rPr>
          <w:rFonts w:asciiTheme="majorHAnsi" w:eastAsia="Calibri" w:hAnsiTheme="majorHAnsi" w:cs="Tahoma"/>
          <w:color w:val="000000"/>
          <w:sz w:val="20"/>
          <w:szCs w:val="20"/>
          <w:bdr w:val="none" w:sz="0" w:space="0" w:color="auto"/>
        </w:rPr>
        <w:t>can then be understood as an</w:t>
      </w:r>
      <w:r w:rsidR="001D6B70" w:rsidRPr="00A51861">
        <w:rPr>
          <w:rFonts w:asciiTheme="majorHAnsi" w:eastAsia="Calibri" w:hAnsiTheme="majorHAnsi" w:cs="Tahoma"/>
          <w:color w:val="000000"/>
          <w:sz w:val="20"/>
          <w:szCs w:val="20"/>
          <w:bdr w:val="none" w:sz="0" w:space="0" w:color="auto"/>
        </w:rPr>
        <w:t xml:space="preserve"> </w:t>
      </w:r>
      <w:r w:rsidR="004366F2" w:rsidRPr="00A51861">
        <w:rPr>
          <w:rFonts w:asciiTheme="majorHAnsi" w:eastAsia="Calibri" w:hAnsiTheme="majorHAnsi" w:cs="Tahoma"/>
          <w:color w:val="000000"/>
          <w:sz w:val="20"/>
          <w:szCs w:val="20"/>
          <w:bdr w:val="none" w:sz="0" w:space="0" w:color="auto"/>
        </w:rPr>
        <w:t>aggravated</w:t>
      </w:r>
      <w:r w:rsidR="004366F2">
        <w:rPr>
          <w:rFonts w:asciiTheme="majorHAnsi" w:eastAsia="Calibri" w:hAnsiTheme="majorHAnsi" w:cs="Tahoma"/>
          <w:color w:val="000000"/>
          <w:sz w:val="20"/>
          <w:szCs w:val="20"/>
          <w:bdr w:val="none" w:sz="0" w:space="0" w:color="auto"/>
        </w:rPr>
        <w:t xml:space="preserve"> </w:t>
      </w:r>
      <w:r w:rsidR="001D6B70" w:rsidRPr="00A51861">
        <w:rPr>
          <w:rFonts w:asciiTheme="majorHAnsi" w:eastAsia="Calibri" w:hAnsiTheme="majorHAnsi" w:cs="Tahoma"/>
          <w:color w:val="000000"/>
          <w:sz w:val="20"/>
          <w:szCs w:val="20"/>
          <w:bdr w:val="none" w:sz="0" w:space="0" w:color="auto"/>
        </w:rPr>
        <w:t xml:space="preserve">form </w:t>
      </w:r>
      <w:r w:rsidR="00E92985">
        <w:rPr>
          <w:rFonts w:asciiTheme="majorHAnsi" w:eastAsia="Calibri" w:hAnsiTheme="majorHAnsi" w:cs="Tahoma"/>
          <w:color w:val="000000"/>
          <w:sz w:val="20"/>
          <w:szCs w:val="20"/>
          <w:bdr w:val="none" w:sz="0" w:space="0" w:color="auto"/>
        </w:rPr>
        <w:t xml:space="preserve">of </w:t>
      </w:r>
      <w:r w:rsidR="004366F2">
        <w:rPr>
          <w:rFonts w:asciiTheme="majorHAnsi" w:eastAsia="Calibri" w:hAnsiTheme="majorHAnsi" w:cs="Tahoma"/>
          <w:color w:val="000000"/>
          <w:sz w:val="20"/>
          <w:szCs w:val="20"/>
          <w:bdr w:val="none" w:sz="0" w:space="0" w:color="auto"/>
        </w:rPr>
        <w:t xml:space="preserve">inhumane treatment </w:t>
      </w:r>
      <w:r w:rsidR="001D6B70" w:rsidRPr="00A51861">
        <w:rPr>
          <w:rFonts w:asciiTheme="majorHAnsi" w:eastAsia="Calibri" w:hAnsiTheme="majorHAnsi" w:cs="Tahoma"/>
          <w:color w:val="000000"/>
          <w:sz w:val="20"/>
          <w:szCs w:val="20"/>
          <w:bdr w:val="none" w:sz="0" w:space="0" w:color="auto"/>
        </w:rPr>
        <w:t>perpetra</w:t>
      </w:r>
      <w:r w:rsidR="004366F2">
        <w:rPr>
          <w:rFonts w:asciiTheme="majorHAnsi" w:eastAsia="Calibri" w:hAnsiTheme="majorHAnsi" w:cs="Tahoma"/>
          <w:color w:val="000000"/>
          <w:sz w:val="20"/>
          <w:szCs w:val="20"/>
          <w:bdr w:val="none" w:sz="0" w:space="0" w:color="auto"/>
        </w:rPr>
        <w:t>te</w:t>
      </w:r>
      <w:r w:rsidR="001D6B70" w:rsidRPr="00A51861">
        <w:rPr>
          <w:rFonts w:asciiTheme="majorHAnsi" w:eastAsia="Calibri" w:hAnsiTheme="majorHAnsi" w:cs="Tahoma"/>
          <w:color w:val="000000"/>
          <w:sz w:val="20"/>
          <w:szCs w:val="20"/>
          <w:bdr w:val="none" w:sz="0" w:space="0" w:color="auto"/>
        </w:rPr>
        <w:t xml:space="preserve">d </w:t>
      </w:r>
      <w:r w:rsidR="004366F2">
        <w:rPr>
          <w:rFonts w:asciiTheme="majorHAnsi" w:eastAsia="Calibri" w:hAnsiTheme="majorHAnsi" w:cs="Tahoma"/>
          <w:color w:val="000000"/>
          <w:sz w:val="20"/>
          <w:szCs w:val="20"/>
          <w:bdr w:val="none" w:sz="0" w:space="0" w:color="auto"/>
        </w:rPr>
        <w:t>with a purpose</w:t>
      </w:r>
      <w:r w:rsidR="001D6B70" w:rsidRPr="00A51861">
        <w:rPr>
          <w:rFonts w:asciiTheme="majorHAnsi" w:eastAsia="Calibri" w:hAnsiTheme="majorHAnsi" w:cs="Tahoma"/>
          <w:color w:val="000000"/>
          <w:sz w:val="20"/>
          <w:szCs w:val="20"/>
          <w:bdr w:val="none" w:sz="0" w:space="0" w:color="auto"/>
        </w:rPr>
        <w:t xml:space="preserve">; </w:t>
      </w:r>
      <w:r w:rsidR="004366F2">
        <w:rPr>
          <w:rFonts w:asciiTheme="majorHAnsi" w:eastAsia="Calibri" w:hAnsiTheme="majorHAnsi" w:cs="Tahoma"/>
          <w:color w:val="000000"/>
          <w:sz w:val="20"/>
          <w:szCs w:val="20"/>
          <w:bdr w:val="none" w:sz="0" w:space="0" w:color="auto"/>
        </w:rPr>
        <w:t>the</w:t>
      </w:r>
      <w:r w:rsidR="001D6B70" w:rsidRPr="00A51861">
        <w:rPr>
          <w:rFonts w:asciiTheme="majorHAnsi" w:eastAsia="Calibri" w:hAnsiTheme="majorHAnsi" w:cs="Tahoma"/>
          <w:color w:val="000000"/>
          <w:sz w:val="20"/>
          <w:szCs w:val="20"/>
          <w:bdr w:val="none" w:sz="0" w:space="0" w:color="auto"/>
        </w:rPr>
        <w:t xml:space="preserve"> </w:t>
      </w:r>
      <w:r w:rsidR="004366F2">
        <w:rPr>
          <w:rFonts w:asciiTheme="majorHAnsi" w:eastAsia="Calibri" w:hAnsiTheme="majorHAnsi" w:cs="Tahoma"/>
          <w:color w:val="000000"/>
          <w:sz w:val="20"/>
          <w:szCs w:val="20"/>
          <w:bdr w:val="none" w:sz="0" w:space="0" w:color="auto"/>
        </w:rPr>
        <w:t>essential</w:t>
      </w:r>
      <w:r w:rsidR="004366F2" w:rsidRPr="00A51861">
        <w:rPr>
          <w:rFonts w:asciiTheme="majorHAnsi" w:eastAsia="Calibri" w:hAnsiTheme="majorHAnsi" w:cs="Tahoma"/>
          <w:color w:val="000000"/>
          <w:sz w:val="20"/>
          <w:szCs w:val="20"/>
          <w:bdr w:val="none" w:sz="0" w:space="0" w:color="auto"/>
        </w:rPr>
        <w:t xml:space="preserve"> </w:t>
      </w:r>
      <w:r w:rsidR="00B920CA">
        <w:rPr>
          <w:rFonts w:asciiTheme="majorHAnsi" w:eastAsia="Calibri" w:hAnsiTheme="majorHAnsi" w:cs="Tahoma"/>
          <w:color w:val="000000"/>
          <w:sz w:val="20"/>
          <w:szCs w:val="20"/>
          <w:bdr w:val="none" w:sz="0" w:space="0" w:color="auto"/>
        </w:rPr>
        <w:t xml:space="preserve">criterion </w:t>
      </w:r>
      <w:r w:rsidR="004366F2">
        <w:rPr>
          <w:rFonts w:asciiTheme="majorHAnsi" w:eastAsia="Calibri" w:hAnsiTheme="majorHAnsi" w:cs="Tahoma"/>
          <w:color w:val="000000"/>
          <w:sz w:val="20"/>
          <w:szCs w:val="20"/>
          <w:bdr w:val="none" w:sz="0" w:space="0" w:color="auto"/>
        </w:rPr>
        <w:t>to tell between</w:t>
      </w:r>
      <w:r w:rsidR="001D6B70" w:rsidRPr="00A51861">
        <w:rPr>
          <w:rFonts w:asciiTheme="majorHAnsi" w:eastAsia="Calibri" w:hAnsiTheme="majorHAnsi" w:cs="Tahoma"/>
          <w:color w:val="000000"/>
          <w:sz w:val="20"/>
          <w:szCs w:val="20"/>
          <w:bdr w:val="none" w:sz="0" w:space="0" w:color="auto"/>
        </w:rPr>
        <w:t xml:space="preserve"> </w:t>
      </w:r>
      <w:r>
        <w:rPr>
          <w:rFonts w:asciiTheme="majorHAnsi" w:eastAsia="Calibri" w:hAnsiTheme="majorHAnsi" w:cs="Tahoma"/>
          <w:color w:val="000000"/>
          <w:sz w:val="20"/>
          <w:szCs w:val="20"/>
          <w:bdr w:val="none" w:sz="0" w:space="0" w:color="auto"/>
        </w:rPr>
        <w:t>torture</w:t>
      </w:r>
      <w:r w:rsidR="00E92985">
        <w:rPr>
          <w:rFonts w:asciiTheme="majorHAnsi" w:eastAsia="Calibri" w:hAnsiTheme="majorHAnsi" w:cs="Tahoma"/>
          <w:color w:val="000000"/>
          <w:sz w:val="20"/>
          <w:szCs w:val="20"/>
          <w:bdr w:val="none" w:sz="0" w:space="0" w:color="auto"/>
        </w:rPr>
        <w:t xml:space="preserve"> and </w:t>
      </w:r>
      <w:r w:rsidR="004366F2">
        <w:rPr>
          <w:rFonts w:asciiTheme="majorHAnsi" w:eastAsia="Calibri" w:hAnsiTheme="majorHAnsi" w:cs="Tahoma"/>
          <w:color w:val="000000"/>
          <w:sz w:val="20"/>
          <w:szCs w:val="20"/>
          <w:bdr w:val="none" w:sz="0" w:space="0" w:color="auto"/>
        </w:rPr>
        <w:t>other</w:t>
      </w:r>
      <w:r w:rsidR="001D6B70" w:rsidRPr="00A51861">
        <w:rPr>
          <w:rFonts w:asciiTheme="majorHAnsi" w:eastAsia="Calibri" w:hAnsiTheme="majorHAnsi" w:cs="Tahoma"/>
          <w:color w:val="000000"/>
          <w:sz w:val="20"/>
          <w:szCs w:val="20"/>
          <w:bdr w:val="none" w:sz="0" w:space="0" w:color="auto"/>
        </w:rPr>
        <w:t xml:space="preserve"> TCID “deriv</w:t>
      </w:r>
      <w:r w:rsidR="004366F2">
        <w:rPr>
          <w:rFonts w:asciiTheme="majorHAnsi" w:eastAsia="Calibri" w:hAnsiTheme="majorHAnsi" w:cs="Tahoma"/>
          <w:color w:val="000000"/>
          <w:sz w:val="20"/>
          <w:szCs w:val="20"/>
          <w:bdr w:val="none" w:sz="0" w:space="0" w:color="auto"/>
        </w:rPr>
        <w:t>es</w:t>
      </w:r>
      <w:r w:rsidR="001D6B70" w:rsidRPr="00A51861">
        <w:rPr>
          <w:rFonts w:asciiTheme="majorHAnsi" w:eastAsia="Calibri" w:hAnsiTheme="majorHAnsi" w:cs="Tahoma"/>
          <w:color w:val="000000"/>
          <w:sz w:val="20"/>
          <w:szCs w:val="20"/>
          <w:bdr w:val="none" w:sz="0" w:space="0" w:color="auto"/>
        </w:rPr>
        <w:t xml:space="preserve"> primordial</w:t>
      </w:r>
      <w:r w:rsidR="0029564F">
        <w:rPr>
          <w:rFonts w:asciiTheme="majorHAnsi" w:eastAsia="Calibri" w:hAnsiTheme="majorHAnsi" w:cs="Tahoma"/>
          <w:color w:val="000000"/>
          <w:sz w:val="20"/>
          <w:szCs w:val="20"/>
          <w:bdr w:val="none" w:sz="0" w:space="0" w:color="auto"/>
        </w:rPr>
        <w:t>ly</w:t>
      </w:r>
      <w:r w:rsidR="00E92985">
        <w:rPr>
          <w:rFonts w:asciiTheme="majorHAnsi" w:eastAsia="Calibri" w:hAnsiTheme="majorHAnsi" w:cs="Tahoma"/>
          <w:color w:val="000000"/>
          <w:sz w:val="20"/>
          <w:szCs w:val="20"/>
          <w:bdr w:val="none" w:sz="0" w:space="0" w:color="auto"/>
        </w:rPr>
        <w:t xml:space="preserve"> </w:t>
      </w:r>
      <w:r w:rsidR="004366F2">
        <w:rPr>
          <w:rFonts w:asciiTheme="majorHAnsi" w:eastAsia="Calibri" w:hAnsiTheme="majorHAnsi" w:cs="Tahoma"/>
          <w:color w:val="000000"/>
          <w:sz w:val="20"/>
          <w:szCs w:val="20"/>
          <w:bdr w:val="none" w:sz="0" w:space="0" w:color="auto"/>
        </w:rPr>
        <w:t>from</w:t>
      </w:r>
      <w:r w:rsidR="00E92985">
        <w:rPr>
          <w:rFonts w:asciiTheme="majorHAnsi" w:eastAsia="Calibri" w:hAnsiTheme="majorHAnsi" w:cs="Tahoma"/>
          <w:color w:val="000000"/>
          <w:sz w:val="20"/>
          <w:szCs w:val="20"/>
          <w:bdr w:val="none" w:sz="0" w:space="0" w:color="auto"/>
        </w:rPr>
        <w:t xml:space="preserve"> the </w:t>
      </w:r>
      <w:r w:rsidR="001D6B70" w:rsidRPr="00A51861">
        <w:rPr>
          <w:rFonts w:asciiTheme="majorHAnsi" w:eastAsia="Calibri" w:hAnsiTheme="majorHAnsi" w:cs="Tahoma"/>
          <w:color w:val="000000"/>
          <w:sz w:val="20"/>
          <w:szCs w:val="20"/>
          <w:bdr w:val="none" w:sz="0" w:space="0" w:color="auto"/>
        </w:rPr>
        <w:t>intensi</w:t>
      </w:r>
      <w:r w:rsidR="00FA2E7B">
        <w:rPr>
          <w:rFonts w:asciiTheme="majorHAnsi" w:eastAsia="Calibri" w:hAnsiTheme="majorHAnsi" w:cs="Tahoma"/>
          <w:color w:val="000000"/>
          <w:sz w:val="20"/>
          <w:szCs w:val="20"/>
          <w:bdr w:val="none" w:sz="0" w:space="0" w:color="auto"/>
        </w:rPr>
        <w:t xml:space="preserve">ty </w:t>
      </w:r>
      <w:r w:rsidR="004969F4">
        <w:rPr>
          <w:rFonts w:asciiTheme="majorHAnsi" w:eastAsia="Calibri" w:hAnsiTheme="majorHAnsi" w:cs="Tahoma"/>
          <w:color w:val="000000"/>
          <w:sz w:val="20"/>
          <w:szCs w:val="20"/>
          <w:bdr w:val="none" w:sz="0" w:space="0" w:color="auto"/>
        </w:rPr>
        <w:t xml:space="preserve">of the </w:t>
      </w:r>
      <w:r w:rsidR="004366F2">
        <w:rPr>
          <w:rFonts w:asciiTheme="majorHAnsi" w:eastAsia="Calibri" w:hAnsiTheme="majorHAnsi" w:cs="Tahoma"/>
          <w:color w:val="000000"/>
          <w:sz w:val="20"/>
          <w:szCs w:val="20"/>
          <w:bdr w:val="none" w:sz="0" w:space="0" w:color="auto"/>
        </w:rPr>
        <w:t>suffering inflicted</w:t>
      </w:r>
      <w:r w:rsidR="00DD63D2" w:rsidRPr="00A51861">
        <w:rPr>
          <w:rFonts w:asciiTheme="majorHAnsi" w:eastAsia="Calibri" w:hAnsiTheme="majorHAnsi" w:cs="Tahoma"/>
          <w:color w:val="000000"/>
          <w:sz w:val="20"/>
          <w:szCs w:val="20"/>
          <w:bdr w:val="none" w:sz="0" w:space="0" w:color="auto"/>
        </w:rPr>
        <w:t>”</w:t>
      </w:r>
      <w:r w:rsidR="00DD63D2" w:rsidRPr="00A51861">
        <w:rPr>
          <w:rStyle w:val="FootnoteReference"/>
          <w:rFonts w:asciiTheme="majorHAnsi" w:eastAsia="Calibri" w:hAnsiTheme="majorHAnsi" w:cs="Tahoma"/>
          <w:color w:val="000000"/>
          <w:sz w:val="20"/>
          <w:szCs w:val="20"/>
          <w:bdr w:val="none" w:sz="0" w:space="0" w:color="auto"/>
        </w:rPr>
        <w:footnoteReference w:id="198"/>
      </w:r>
      <w:r w:rsidR="001D6B70" w:rsidRPr="00A51861">
        <w:rPr>
          <w:rFonts w:asciiTheme="majorHAnsi" w:eastAsia="Calibri" w:hAnsiTheme="majorHAnsi" w:cs="Tahoma"/>
          <w:color w:val="000000"/>
          <w:sz w:val="20"/>
          <w:szCs w:val="20"/>
          <w:bdr w:val="none" w:sz="0" w:space="0" w:color="auto"/>
        </w:rPr>
        <w:t xml:space="preserve">. </w:t>
      </w:r>
    </w:p>
    <w:p w14:paraId="541E4861" w14:textId="77777777" w:rsidR="001D6B70" w:rsidRPr="00A51861" w:rsidRDefault="001D6B70" w:rsidP="008E4D3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cs="Tahoma"/>
          <w:color w:val="000000"/>
          <w:sz w:val="20"/>
          <w:szCs w:val="20"/>
          <w:bdr w:val="none" w:sz="0" w:space="0" w:color="auto"/>
        </w:rPr>
      </w:pPr>
    </w:p>
    <w:p w14:paraId="28CB88D5" w14:textId="3E722E4D" w:rsidR="008C6C20" w:rsidRPr="00A51861" w:rsidRDefault="00864270"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Calibri" w:hAnsiTheme="majorHAnsi" w:cs="Tahoma"/>
          <w:color w:val="000000"/>
          <w:sz w:val="20"/>
          <w:szCs w:val="20"/>
          <w:bdr w:val="none" w:sz="0" w:space="0" w:color="auto"/>
        </w:rPr>
      </w:pPr>
      <w:r>
        <w:rPr>
          <w:rFonts w:asciiTheme="majorHAnsi" w:eastAsia="Calibri" w:hAnsiTheme="majorHAnsi" w:cs="Tahoma"/>
          <w:color w:val="000000"/>
          <w:sz w:val="20"/>
          <w:szCs w:val="20"/>
          <w:bdr w:val="none" w:sz="0" w:space="0" w:color="auto"/>
        </w:rPr>
        <w:t>In the same sense</w:t>
      </w:r>
      <w:r w:rsidR="009A4F91">
        <w:rPr>
          <w:rFonts w:asciiTheme="majorHAnsi" w:eastAsia="Calibri" w:hAnsiTheme="majorHAnsi" w:cs="Tahoma"/>
          <w:color w:val="000000"/>
          <w:sz w:val="20"/>
          <w:szCs w:val="20"/>
          <w:bdr w:val="none" w:sz="0" w:space="0" w:color="auto"/>
        </w:rPr>
        <w:t xml:space="preserve"> the </w:t>
      </w:r>
      <w:r w:rsidR="00CB4E23">
        <w:rPr>
          <w:rFonts w:asciiTheme="majorHAnsi" w:eastAsia="Calibri" w:hAnsiTheme="majorHAnsi" w:cs="Tahoma"/>
          <w:color w:val="000000"/>
          <w:sz w:val="20"/>
          <w:szCs w:val="20"/>
          <w:bdr w:val="none" w:sz="0" w:space="0" w:color="auto"/>
        </w:rPr>
        <w:t>Convention</w:t>
      </w:r>
      <w:r w:rsidR="00CB0928">
        <w:rPr>
          <w:rFonts w:asciiTheme="majorHAnsi" w:eastAsia="Calibri" w:hAnsiTheme="majorHAnsi" w:cs="Tahoma"/>
          <w:color w:val="000000"/>
          <w:sz w:val="20"/>
          <w:szCs w:val="20"/>
          <w:bdr w:val="none" w:sz="0" w:space="0" w:color="auto"/>
        </w:rPr>
        <w:t xml:space="preserve"> </w:t>
      </w:r>
      <w:r w:rsidR="004366F2">
        <w:rPr>
          <w:rFonts w:asciiTheme="majorHAnsi" w:eastAsia="Calibri" w:hAnsiTheme="majorHAnsi" w:cs="Tahoma"/>
          <w:color w:val="000000"/>
          <w:sz w:val="20"/>
          <w:szCs w:val="20"/>
          <w:bdr w:val="none" w:sz="0" w:space="0" w:color="auto"/>
        </w:rPr>
        <w:t>A</w:t>
      </w:r>
      <w:r w:rsidR="00CB0928">
        <w:rPr>
          <w:rFonts w:asciiTheme="majorHAnsi" w:eastAsia="Calibri" w:hAnsiTheme="majorHAnsi" w:cs="Tahoma"/>
          <w:color w:val="000000"/>
          <w:sz w:val="20"/>
          <w:szCs w:val="20"/>
          <w:bdr w:val="none" w:sz="0" w:space="0" w:color="auto"/>
        </w:rPr>
        <w:t>gainst</w:t>
      </w:r>
      <w:r w:rsidR="009A4F91">
        <w:rPr>
          <w:rFonts w:asciiTheme="majorHAnsi" w:eastAsia="Calibri" w:hAnsiTheme="majorHAnsi" w:cs="Tahoma"/>
          <w:color w:val="000000"/>
          <w:sz w:val="20"/>
          <w:szCs w:val="20"/>
          <w:bdr w:val="none" w:sz="0" w:space="0" w:color="auto"/>
        </w:rPr>
        <w:t xml:space="preserve"> </w:t>
      </w:r>
      <w:r w:rsidR="001D6B70" w:rsidRPr="00A51861">
        <w:rPr>
          <w:rFonts w:asciiTheme="majorHAnsi" w:eastAsia="Calibri" w:hAnsiTheme="majorHAnsi" w:cs="Tahoma"/>
          <w:color w:val="000000"/>
          <w:sz w:val="20"/>
          <w:szCs w:val="20"/>
          <w:bdr w:val="none" w:sz="0" w:space="0" w:color="auto"/>
        </w:rPr>
        <w:t>Tortur</w:t>
      </w:r>
      <w:r>
        <w:rPr>
          <w:rFonts w:asciiTheme="majorHAnsi" w:eastAsia="Calibri" w:hAnsiTheme="majorHAnsi" w:cs="Tahoma"/>
          <w:color w:val="000000"/>
          <w:sz w:val="20"/>
          <w:szCs w:val="20"/>
          <w:bdr w:val="none" w:sz="0" w:space="0" w:color="auto"/>
        </w:rPr>
        <w:t>e</w:t>
      </w:r>
      <w:r w:rsidR="001D6B70" w:rsidRPr="00A51861">
        <w:rPr>
          <w:rFonts w:asciiTheme="majorHAnsi" w:eastAsia="Calibri" w:hAnsiTheme="majorHAnsi" w:cs="Tahoma"/>
          <w:color w:val="000000"/>
          <w:sz w:val="20"/>
          <w:szCs w:val="20"/>
          <w:bdr w:val="none" w:sz="0" w:space="0" w:color="auto"/>
        </w:rPr>
        <w:t xml:space="preserve"> (C</w:t>
      </w:r>
      <w:r w:rsidR="004366F2">
        <w:rPr>
          <w:rFonts w:asciiTheme="majorHAnsi" w:eastAsia="Calibri" w:hAnsiTheme="majorHAnsi" w:cs="Tahoma"/>
          <w:color w:val="000000"/>
          <w:sz w:val="20"/>
          <w:szCs w:val="20"/>
          <w:bdr w:val="none" w:sz="0" w:space="0" w:color="auto"/>
        </w:rPr>
        <w:t>A</w:t>
      </w:r>
      <w:r w:rsidR="001D6B70" w:rsidRPr="00A51861">
        <w:rPr>
          <w:rFonts w:asciiTheme="majorHAnsi" w:eastAsia="Calibri" w:hAnsiTheme="majorHAnsi" w:cs="Tahoma"/>
          <w:color w:val="000000"/>
          <w:sz w:val="20"/>
          <w:szCs w:val="20"/>
          <w:bdr w:val="none" w:sz="0" w:space="0" w:color="auto"/>
        </w:rPr>
        <w:t>T), define</w:t>
      </w:r>
      <w:r w:rsidR="004366F2">
        <w:rPr>
          <w:rFonts w:asciiTheme="majorHAnsi" w:eastAsia="Calibri" w:hAnsiTheme="majorHAnsi" w:cs="Tahoma"/>
          <w:color w:val="000000"/>
          <w:sz w:val="20"/>
          <w:szCs w:val="20"/>
          <w:bdr w:val="none" w:sz="0" w:space="0" w:color="auto"/>
        </w:rPr>
        <w:t>s</w:t>
      </w:r>
      <w:r w:rsidR="009A4F91">
        <w:rPr>
          <w:rFonts w:asciiTheme="majorHAnsi" w:eastAsia="Calibri" w:hAnsiTheme="majorHAnsi" w:cs="Tahoma"/>
          <w:color w:val="000000"/>
          <w:sz w:val="20"/>
          <w:szCs w:val="20"/>
          <w:bdr w:val="none" w:sz="0" w:space="0" w:color="auto"/>
        </w:rPr>
        <w:t xml:space="preserve"> </w:t>
      </w:r>
      <w:r w:rsidR="001D6B70" w:rsidRPr="00A51861">
        <w:rPr>
          <w:rFonts w:asciiTheme="majorHAnsi" w:eastAsia="Calibri" w:hAnsiTheme="majorHAnsi" w:cs="Tahoma"/>
          <w:color w:val="000000"/>
          <w:sz w:val="20"/>
          <w:szCs w:val="20"/>
          <w:bdr w:val="none" w:sz="0" w:space="0" w:color="auto"/>
        </w:rPr>
        <w:t>tortur</w:t>
      </w:r>
      <w:r>
        <w:rPr>
          <w:rFonts w:asciiTheme="majorHAnsi" w:eastAsia="Calibri" w:hAnsiTheme="majorHAnsi" w:cs="Tahoma"/>
          <w:color w:val="000000"/>
          <w:sz w:val="20"/>
          <w:szCs w:val="20"/>
          <w:bdr w:val="none" w:sz="0" w:space="0" w:color="auto"/>
        </w:rPr>
        <w:t>e</w:t>
      </w:r>
      <w:r w:rsidR="001D6B70" w:rsidRPr="00A51861">
        <w:rPr>
          <w:rFonts w:asciiTheme="majorHAnsi" w:eastAsia="Calibri" w:hAnsiTheme="majorHAnsi" w:cs="Tahoma"/>
          <w:color w:val="000000"/>
          <w:sz w:val="20"/>
          <w:szCs w:val="20"/>
          <w:bdr w:val="none" w:sz="0" w:space="0" w:color="auto"/>
        </w:rPr>
        <w:t xml:space="preserve"> </w:t>
      </w:r>
      <w:r>
        <w:rPr>
          <w:rFonts w:asciiTheme="majorHAnsi" w:eastAsia="Calibri" w:hAnsiTheme="majorHAnsi" w:cs="Tahoma"/>
          <w:color w:val="000000"/>
          <w:sz w:val="20"/>
          <w:szCs w:val="20"/>
          <w:bdr w:val="none" w:sz="0" w:space="0" w:color="auto"/>
        </w:rPr>
        <w:t>as</w:t>
      </w:r>
      <w:r w:rsidR="001D6B70" w:rsidRPr="00A51861">
        <w:rPr>
          <w:rFonts w:asciiTheme="majorHAnsi" w:eastAsia="Calibri" w:hAnsiTheme="majorHAnsi" w:cs="Tahoma"/>
          <w:color w:val="000000"/>
          <w:sz w:val="20"/>
          <w:szCs w:val="20"/>
          <w:bdr w:val="none" w:sz="0" w:space="0" w:color="auto"/>
        </w:rPr>
        <w:t xml:space="preserve">: </w:t>
      </w:r>
    </w:p>
    <w:p w14:paraId="234D13D2" w14:textId="77777777" w:rsidR="008C6C20" w:rsidRPr="00A51861" w:rsidRDefault="008C6C20" w:rsidP="008E4D3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cs="Tahoma"/>
          <w:color w:val="000000"/>
          <w:sz w:val="20"/>
          <w:szCs w:val="20"/>
          <w:bdr w:val="none" w:sz="0" w:space="0" w:color="auto"/>
        </w:rPr>
      </w:pPr>
    </w:p>
    <w:p w14:paraId="5EFE1ADB" w14:textId="55C59D2E" w:rsidR="008C6C20" w:rsidRPr="00A51861" w:rsidRDefault="00115A67" w:rsidP="008E4D36">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eastAsia="Calibri" w:hAnsiTheme="majorHAnsi" w:cs="Tahoma"/>
          <w:color w:val="000000"/>
          <w:sz w:val="18"/>
          <w:szCs w:val="20"/>
          <w:bdr w:val="none" w:sz="0" w:space="0" w:color="auto"/>
        </w:rPr>
      </w:pPr>
      <w:r>
        <w:rPr>
          <w:rFonts w:asciiTheme="majorHAnsi" w:eastAsia="Calibri" w:hAnsiTheme="majorHAnsi" w:cs="Tahoma"/>
          <w:color w:val="000000"/>
          <w:sz w:val="18"/>
          <w:szCs w:val="20"/>
          <w:bdr w:val="none" w:sz="0" w:space="0" w:color="auto"/>
        </w:rPr>
        <w:t>Every act employed to intentionally inflict</w:t>
      </w:r>
      <w:r w:rsidR="001D6B70" w:rsidRPr="00A51861">
        <w:rPr>
          <w:rFonts w:asciiTheme="majorHAnsi" w:eastAsia="Calibri" w:hAnsiTheme="majorHAnsi" w:cs="Tahoma"/>
          <w:color w:val="000000"/>
          <w:sz w:val="18"/>
          <w:szCs w:val="20"/>
          <w:bdr w:val="none" w:sz="0" w:space="0" w:color="auto"/>
        </w:rPr>
        <w:t xml:space="preserve"> </w:t>
      </w:r>
      <w:r>
        <w:rPr>
          <w:rFonts w:asciiTheme="majorHAnsi" w:eastAsia="Calibri" w:hAnsiTheme="majorHAnsi" w:cs="Tahoma"/>
          <w:color w:val="000000"/>
          <w:sz w:val="18"/>
          <w:szCs w:val="20"/>
          <w:bdr w:val="none" w:sz="0" w:space="0" w:color="auto"/>
        </w:rPr>
        <w:t xml:space="preserve">severe pain </w:t>
      </w:r>
      <w:r w:rsidR="00E92985">
        <w:rPr>
          <w:rFonts w:asciiTheme="majorHAnsi" w:eastAsia="Calibri" w:hAnsiTheme="majorHAnsi" w:cs="Tahoma"/>
          <w:color w:val="000000"/>
          <w:sz w:val="18"/>
          <w:szCs w:val="20"/>
          <w:bdr w:val="none" w:sz="0" w:space="0" w:color="auto"/>
        </w:rPr>
        <w:t xml:space="preserve">or </w:t>
      </w:r>
      <w:r>
        <w:rPr>
          <w:rFonts w:asciiTheme="majorHAnsi" w:eastAsia="Calibri" w:hAnsiTheme="majorHAnsi" w:cs="Tahoma"/>
          <w:color w:val="000000"/>
          <w:sz w:val="18"/>
          <w:szCs w:val="20"/>
          <w:bdr w:val="none" w:sz="0" w:space="0" w:color="auto"/>
        </w:rPr>
        <w:t>suffering</w:t>
      </w:r>
      <w:r w:rsidRPr="00115A67">
        <w:rPr>
          <w:rFonts w:asciiTheme="majorHAnsi" w:eastAsia="Calibri" w:hAnsiTheme="majorHAnsi" w:cs="Tahoma"/>
          <w:color w:val="000000"/>
          <w:sz w:val="18"/>
          <w:szCs w:val="20"/>
          <w:bdr w:val="none" w:sz="0" w:space="0" w:color="auto"/>
        </w:rPr>
        <w:t xml:space="preserve"> </w:t>
      </w:r>
      <w:r>
        <w:rPr>
          <w:rFonts w:asciiTheme="majorHAnsi" w:eastAsia="Calibri" w:hAnsiTheme="majorHAnsi" w:cs="Tahoma"/>
          <w:color w:val="000000"/>
          <w:sz w:val="18"/>
          <w:szCs w:val="20"/>
          <w:bdr w:val="none" w:sz="0" w:space="0" w:color="auto"/>
        </w:rPr>
        <w:t>upon a</w:t>
      </w:r>
      <w:r w:rsidRPr="00A51861">
        <w:rPr>
          <w:rFonts w:asciiTheme="majorHAnsi" w:eastAsia="Calibri" w:hAnsiTheme="majorHAnsi" w:cs="Tahoma"/>
          <w:color w:val="000000"/>
          <w:sz w:val="18"/>
          <w:szCs w:val="20"/>
          <w:bdr w:val="none" w:sz="0" w:space="0" w:color="auto"/>
        </w:rPr>
        <w:t xml:space="preserve"> </w:t>
      </w:r>
      <w:r>
        <w:rPr>
          <w:rFonts w:asciiTheme="majorHAnsi" w:eastAsia="Calibri" w:hAnsiTheme="majorHAnsi" w:cs="Tahoma"/>
          <w:color w:val="000000"/>
          <w:sz w:val="18"/>
          <w:szCs w:val="20"/>
          <w:bdr w:val="none" w:sz="0" w:space="0" w:color="auto"/>
        </w:rPr>
        <w:t>person</w:t>
      </w:r>
      <w:r w:rsidR="001D6B70" w:rsidRPr="00A51861">
        <w:rPr>
          <w:rFonts w:asciiTheme="majorHAnsi" w:eastAsia="Calibri" w:hAnsiTheme="majorHAnsi" w:cs="Tahoma"/>
          <w:color w:val="000000"/>
          <w:sz w:val="18"/>
          <w:szCs w:val="20"/>
          <w:bdr w:val="none" w:sz="0" w:space="0" w:color="auto"/>
        </w:rPr>
        <w:t xml:space="preserve">, </w:t>
      </w:r>
      <w:r>
        <w:rPr>
          <w:rFonts w:asciiTheme="majorHAnsi" w:eastAsia="Calibri" w:hAnsiTheme="majorHAnsi" w:cs="Tahoma"/>
          <w:color w:val="000000"/>
          <w:sz w:val="18"/>
          <w:szCs w:val="20"/>
          <w:bdr w:val="none" w:sz="0" w:space="0" w:color="auto"/>
        </w:rPr>
        <w:t>either physical or mental</w:t>
      </w:r>
      <w:r w:rsidR="001D6B70" w:rsidRPr="00A51861">
        <w:rPr>
          <w:rFonts w:asciiTheme="majorHAnsi" w:eastAsia="Calibri" w:hAnsiTheme="majorHAnsi" w:cs="Tahoma"/>
          <w:color w:val="000000"/>
          <w:sz w:val="18"/>
          <w:szCs w:val="20"/>
          <w:bdr w:val="none" w:sz="0" w:space="0" w:color="auto"/>
        </w:rPr>
        <w:t xml:space="preserve">, </w:t>
      </w:r>
      <w:r>
        <w:rPr>
          <w:rFonts w:asciiTheme="majorHAnsi" w:eastAsia="Calibri" w:hAnsiTheme="majorHAnsi" w:cs="Tahoma"/>
          <w:color w:val="000000"/>
          <w:sz w:val="18"/>
          <w:szCs w:val="20"/>
          <w:bdr w:val="none" w:sz="0" w:space="0" w:color="auto"/>
        </w:rPr>
        <w:t>in order to obtain from said person</w:t>
      </w:r>
      <w:r w:rsidR="00E92985">
        <w:rPr>
          <w:rFonts w:asciiTheme="majorHAnsi" w:eastAsia="Calibri" w:hAnsiTheme="majorHAnsi" w:cs="Tahoma"/>
          <w:color w:val="000000"/>
          <w:sz w:val="18"/>
          <w:szCs w:val="20"/>
          <w:bdr w:val="none" w:sz="0" w:space="0" w:color="auto"/>
        </w:rPr>
        <w:t xml:space="preserve"> </w:t>
      </w:r>
      <w:r>
        <w:rPr>
          <w:rFonts w:asciiTheme="majorHAnsi" w:eastAsia="Calibri" w:hAnsiTheme="majorHAnsi" w:cs="Tahoma"/>
          <w:color w:val="000000"/>
          <w:sz w:val="18"/>
          <w:szCs w:val="20"/>
          <w:bdr w:val="none" w:sz="0" w:space="0" w:color="auto"/>
        </w:rPr>
        <w:t>or from a third party,</w:t>
      </w:r>
      <w:r w:rsidR="001D6B70" w:rsidRPr="00A51861">
        <w:rPr>
          <w:rFonts w:asciiTheme="majorHAnsi" w:eastAsia="Calibri" w:hAnsiTheme="majorHAnsi" w:cs="Tahoma"/>
          <w:color w:val="000000"/>
          <w:sz w:val="18"/>
          <w:szCs w:val="20"/>
          <w:bdr w:val="none" w:sz="0" w:space="0" w:color="auto"/>
        </w:rPr>
        <w:t xml:space="preserve"> </w:t>
      </w:r>
      <w:r w:rsidRPr="00A51861">
        <w:rPr>
          <w:rFonts w:asciiTheme="majorHAnsi" w:eastAsia="Calibri" w:hAnsiTheme="majorHAnsi" w:cs="Tahoma"/>
          <w:color w:val="000000"/>
          <w:sz w:val="18"/>
          <w:szCs w:val="20"/>
          <w:bdr w:val="none" w:sz="0" w:space="0" w:color="auto"/>
        </w:rPr>
        <w:t>information</w:t>
      </w:r>
      <w:r>
        <w:rPr>
          <w:rFonts w:asciiTheme="majorHAnsi" w:eastAsia="Calibri" w:hAnsiTheme="majorHAnsi" w:cs="Tahoma"/>
          <w:color w:val="000000"/>
          <w:sz w:val="18"/>
          <w:szCs w:val="20"/>
          <w:bdr w:val="none" w:sz="0" w:space="0" w:color="auto"/>
        </w:rPr>
        <w:t xml:space="preserve"> </w:t>
      </w:r>
      <w:r w:rsidR="00E92985">
        <w:rPr>
          <w:rFonts w:asciiTheme="majorHAnsi" w:eastAsia="Calibri" w:hAnsiTheme="majorHAnsi" w:cs="Tahoma"/>
          <w:color w:val="000000"/>
          <w:sz w:val="18"/>
          <w:szCs w:val="20"/>
          <w:bdr w:val="none" w:sz="0" w:space="0" w:color="auto"/>
        </w:rPr>
        <w:t xml:space="preserve">or </w:t>
      </w:r>
      <w:r>
        <w:rPr>
          <w:rFonts w:asciiTheme="majorHAnsi" w:eastAsia="Calibri" w:hAnsiTheme="majorHAnsi" w:cs="Tahoma"/>
          <w:color w:val="000000"/>
          <w:sz w:val="18"/>
          <w:szCs w:val="20"/>
          <w:bdr w:val="none" w:sz="0" w:space="0" w:color="auto"/>
        </w:rPr>
        <w:t>a</w:t>
      </w:r>
      <w:r w:rsidR="001D6B70" w:rsidRPr="00A51861">
        <w:rPr>
          <w:rFonts w:asciiTheme="majorHAnsi" w:eastAsia="Calibri" w:hAnsiTheme="majorHAnsi" w:cs="Tahoma"/>
          <w:color w:val="000000"/>
          <w:sz w:val="18"/>
          <w:szCs w:val="20"/>
          <w:bdr w:val="none" w:sz="0" w:space="0" w:color="auto"/>
        </w:rPr>
        <w:t xml:space="preserve"> </w:t>
      </w:r>
      <w:r w:rsidRPr="00A51861">
        <w:rPr>
          <w:rFonts w:asciiTheme="majorHAnsi" w:eastAsia="Calibri" w:hAnsiTheme="majorHAnsi" w:cs="Tahoma"/>
          <w:color w:val="000000"/>
          <w:sz w:val="18"/>
          <w:szCs w:val="20"/>
          <w:bdr w:val="none" w:sz="0" w:space="0" w:color="auto"/>
        </w:rPr>
        <w:t>confession</w:t>
      </w:r>
      <w:r w:rsidR="001D6B70" w:rsidRPr="00A51861">
        <w:rPr>
          <w:rFonts w:asciiTheme="majorHAnsi" w:eastAsia="Calibri" w:hAnsiTheme="majorHAnsi" w:cs="Tahoma"/>
          <w:color w:val="000000"/>
          <w:sz w:val="18"/>
          <w:szCs w:val="20"/>
          <w:bdr w:val="none" w:sz="0" w:space="0" w:color="auto"/>
        </w:rPr>
        <w:t>,</w:t>
      </w:r>
      <w:r w:rsidR="00E92985">
        <w:rPr>
          <w:rFonts w:asciiTheme="majorHAnsi" w:eastAsia="Calibri" w:hAnsiTheme="majorHAnsi" w:cs="Tahoma"/>
          <w:color w:val="000000"/>
          <w:sz w:val="18"/>
          <w:szCs w:val="20"/>
          <w:bdr w:val="none" w:sz="0" w:space="0" w:color="auto"/>
        </w:rPr>
        <w:t xml:space="preserve"> </w:t>
      </w:r>
      <w:r>
        <w:rPr>
          <w:rFonts w:asciiTheme="majorHAnsi" w:eastAsia="Calibri" w:hAnsiTheme="majorHAnsi" w:cs="Tahoma"/>
          <w:color w:val="000000"/>
          <w:sz w:val="18"/>
          <w:szCs w:val="20"/>
          <w:bdr w:val="none" w:sz="0" w:space="0" w:color="auto"/>
        </w:rPr>
        <w:t>to punish said person for an act committed</w:t>
      </w:r>
      <w:r w:rsidR="001D6B70" w:rsidRPr="00A51861">
        <w:rPr>
          <w:rFonts w:asciiTheme="majorHAnsi" w:eastAsia="Calibri" w:hAnsiTheme="majorHAnsi" w:cs="Tahoma"/>
          <w:color w:val="000000"/>
          <w:sz w:val="18"/>
          <w:szCs w:val="20"/>
          <w:bdr w:val="none" w:sz="0" w:space="0" w:color="auto"/>
        </w:rPr>
        <w:t>,</w:t>
      </w:r>
      <w:r w:rsidR="00E92985">
        <w:rPr>
          <w:rFonts w:asciiTheme="majorHAnsi" w:eastAsia="Calibri" w:hAnsiTheme="majorHAnsi" w:cs="Tahoma"/>
          <w:color w:val="000000"/>
          <w:sz w:val="18"/>
          <w:szCs w:val="20"/>
          <w:bdr w:val="none" w:sz="0" w:space="0" w:color="auto"/>
        </w:rPr>
        <w:t xml:space="preserve"> or </w:t>
      </w:r>
      <w:r>
        <w:rPr>
          <w:rFonts w:asciiTheme="majorHAnsi" w:eastAsia="Calibri" w:hAnsiTheme="majorHAnsi" w:cs="Tahoma"/>
          <w:color w:val="000000"/>
          <w:sz w:val="18"/>
          <w:szCs w:val="20"/>
          <w:bdr w:val="none" w:sz="0" w:space="0" w:color="auto"/>
        </w:rPr>
        <w:t>suspected to have committed</w:t>
      </w:r>
      <w:r w:rsidR="001D6B70" w:rsidRPr="00A51861">
        <w:rPr>
          <w:rFonts w:asciiTheme="majorHAnsi" w:eastAsia="Calibri" w:hAnsiTheme="majorHAnsi" w:cs="Tahoma"/>
          <w:color w:val="000000"/>
          <w:sz w:val="18"/>
          <w:szCs w:val="20"/>
          <w:bdr w:val="none" w:sz="0" w:space="0" w:color="auto"/>
        </w:rPr>
        <w:t>,</w:t>
      </w:r>
      <w:r w:rsidR="00E92985">
        <w:rPr>
          <w:rFonts w:asciiTheme="majorHAnsi" w:eastAsia="Calibri" w:hAnsiTheme="majorHAnsi" w:cs="Tahoma"/>
          <w:color w:val="000000"/>
          <w:sz w:val="18"/>
          <w:szCs w:val="20"/>
          <w:bdr w:val="none" w:sz="0" w:space="0" w:color="auto"/>
        </w:rPr>
        <w:t xml:space="preserve"> or </w:t>
      </w:r>
      <w:r>
        <w:rPr>
          <w:rFonts w:asciiTheme="majorHAnsi" w:eastAsia="Calibri" w:hAnsiTheme="majorHAnsi" w:cs="Tahoma"/>
          <w:color w:val="000000"/>
          <w:sz w:val="18"/>
          <w:szCs w:val="20"/>
          <w:bdr w:val="none" w:sz="0" w:space="0" w:color="auto"/>
        </w:rPr>
        <w:t>to</w:t>
      </w:r>
      <w:r w:rsidR="00E92985">
        <w:rPr>
          <w:rFonts w:asciiTheme="majorHAnsi" w:eastAsia="Calibri" w:hAnsiTheme="majorHAnsi" w:cs="Tahoma"/>
          <w:color w:val="000000"/>
          <w:sz w:val="18"/>
          <w:szCs w:val="20"/>
          <w:bdr w:val="none" w:sz="0" w:space="0" w:color="auto"/>
        </w:rPr>
        <w:t xml:space="preserve"> </w:t>
      </w:r>
      <w:r w:rsidR="001D6B70" w:rsidRPr="00A51861">
        <w:rPr>
          <w:rFonts w:asciiTheme="majorHAnsi" w:eastAsia="Calibri" w:hAnsiTheme="majorHAnsi" w:cs="Tahoma"/>
          <w:color w:val="000000"/>
          <w:sz w:val="18"/>
          <w:szCs w:val="20"/>
          <w:bdr w:val="none" w:sz="0" w:space="0" w:color="auto"/>
        </w:rPr>
        <w:t>intimida</w:t>
      </w:r>
      <w:r>
        <w:rPr>
          <w:rFonts w:asciiTheme="majorHAnsi" w:eastAsia="Calibri" w:hAnsiTheme="majorHAnsi" w:cs="Tahoma"/>
          <w:color w:val="000000"/>
          <w:sz w:val="18"/>
          <w:szCs w:val="20"/>
          <w:bdr w:val="none" w:sz="0" w:space="0" w:color="auto"/>
        </w:rPr>
        <w:t>te</w:t>
      </w:r>
      <w:r w:rsidR="00E92985">
        <w:rPr>
          <w:rFonts w:asciiTheme="majorHAnsi" w:eastAsia="Calibri" w:hAnsiTheme="majorHAnsi" w:cs="Tahoma"/>
          <w:color w:val="000000"/>
          <w:sz w:val="18"/>
          <w:szCs w:val="20"/>
          <w:bdr w:val="none" w:sz="0" w:space="0" w:color="auto"/>
        </w:rPr>
        <w:t xml:space="preserve"> or </w:t>
      </w:r>
      <w:r w:rsidR="001D6B70" w:rsidRPr="00A51861">
        <w:rPr>
          <w:rFonts w:asciiTheme="majorHAnsi" w:eastAsia="Calibri" w:hAnsiTheme="majorHAnsi" w:cs="Tahoma"/>
          <w:color w:val="000000"/>
          <w:sz w:val="18"/>
          <w:szCs w:val="20"/>
          <w:bdr w:val="none" w:sz="0" w:space="0" w:color="auto"/>
        </w:rPr>
        <w:t>co</w:t>
      </w:r>
      <w:r>
        <w:rPr>
          <w:rFonts w:asciiTheme="majorHAnsi" w:eastAsia="Calibri" w:hAnsiTheme="majorHAnsi" w:cs="Tahoma"/>
          <w:color w:val="000000"/>
          <w:sz w:val="18"/>
          <w:szCs w:val="20"/>
          <w:bdr w:val="none" w:sz="0" w:space="0" w:color="auto"/>
        </w:rPr>
        <w:t>e</w:t>
      </w:r>
      <w:r w:rsidR="001D6B70" w:rsidRPr="00A51861">
        <w:rPr>
          <w:rFonts w:asciiTheme="majorHAnsi" w:eastAsia="Calibri" w:hAnsiTheme="majorHAnsi" w:cs="Tahoma"/>
          <w:color w:val="000000"/>
          <w:sz w:val="18"/>
          <w:szCs w:val="20"/>
          <w:bdr w:val="none" w:sz="0" w:space="0" w:color="auto"/>
        </w:rPr>
        <w:t>r</w:t>
      </w:r>
      <w:r>
        <w:rPr>
          <w:rFonts w:asciiTheme="majorHAnsi" w:eastAsia="Calibri" w:hAnsiTheme="majorHAnsi" w:cs="Tahoma"/>
          <w:color w:val="000000"/>
          <w:sz w:val="18"/>
          <w:szCs w:val="20"/>
          <w:bdr w:val="none" w:sz="0" w:space="0" w:color="auto"/>
        </w:rPr>
        <w:t>ce</w:t>
      </w:r>
      <w:r w:rsidR="001D6B70" w:rsidRPr="00A51861">
        <w:rPr>
          <w:rFonts w:asciiTheme="majorHAnsi" w:eastAsia="Calibri" w:hAnsiTheme="majorHAnsi" w:cs="Tahoma"/>
          <w:color w:val="000000"/>
          <w:sz w:val="18"/>
          <w:szCs w:val="20"/>
          <w:bdr w:val="none" w:sz="0" w:space="0" w:color="auto"/>
        </w:rPr>
        <w:t xml:space="preserve"> </w:t>
      </w:r>
      <w:r>
        <w:rPr>
          <w:rFonts w:asciiTheme="majorHAnsi" w:eastAsia="Calibri" w:hAnsiTheme="majorHAnsi" w:cs="Tahoma"/>
          <w:color w:val="000000"/>
          <w:sz w:val="18"/>
          <w:szCs w:val="20"/>
          <w:bdr w:val="none" w:sz="0" w:space="0" w:color="auto"/>
        </w:rPr>
        <w:t>such</w:t>
      </w:r>
      <w:r w:rsidR="001D6B70" w:rsidRPr="00A51861">
        <w:rPr>
          <w:rFonts w:asciiTheme="majorHAnsi" w:eastAsia="Calibri" w:hAnsiTheme="majorHAnsi" w:cs="Tahoma"/>
          <w:color w:val="000000"/>
          <w:sz w:val="18"/>
          <w:szCs w:val="20"/>
          <w:bdr w:val="none" w:sz="0" w:space="0" w:color="auto"/>
        </w:rPr>
        <w:t xml:space="preserve"> </w:t>
      </w:r>
      <w:r w:rsidR="00EC7A58">
        <w:rPr>
          <w:rFonts w:asciiTheme="majorHAnsi" w:eastAsia="Calibri" w:hAnsiTheme="majorHAnsi" w:cs="Tahoma"/>
          <w:color w:val="000000"/>
          <w:sz w:val="18"/>
          <w:szCs w:val="20"/>
          <w:bdr w:val="none" w:sz="0" w:space="0" w:color="auto"/>
        </w:rPr>
        <w:t xml:space="preserve">person </w:t>
      </w:r>
      <w:r w:rsidR="00E92985">
        <w:rPr>
          <w:rFonts w:asciiTheme="majorHAnsi" w:eastAsia="Calibri" w:hAnsiTheme="majorHAnsi" w:cs="Tahoma"/>
          <w:color w:val="000000"/>
          <w:sz w:val="18"/>
          <w:szCs w:val="20"/>
          <w:bdr w:val="none" w:sz="0" w:space="0" w:color="auto"/>
        </w:rPr>
        <w:t xml:space="preserve">or </w:t>
      </w:r>
      <w:r>
        <w:rPr>
          <w:rFonts w:asciiTheme="majorHAnsi" w:eastAsia="Calibri" w:hAnsiTheme="majorHAnsi" w:cs="Tahoma"/>
          <w:color w:val="000000"/>
          <w:sz w:val="18"/>
          <w:szCs w:val="20"/>
          <w:bdr w:val="none" w:sz="0" w:space="0" w:color="auto"/>
        </w:rPr>
        <w:t>others</w:t>
      </w:r>
      <w:r w:rsidR="001D6B70" w:rsidRPr="00A51861">
        <w:rPr>
          <w:rFonts w:asciiTheme="majorHAnsi" w:eastAsia="Calibri" w:hAnsiTheme="majorHAnsi" w:cs="Tahoma"/>
          <w:color w:val="000000"/>
          <w:sz w:val="18"/>
          <w:szCs w:val="20"/>
          <w:bdr w:val="none" w:sz="0" w:space="0" w:color="auto"/>
        </w:rPr>
        <w:t>,</w:t>
      </w:r>
      <w:r w:rsidR="00E92985">
        <w:rPr>
          <w:rFonts w:asciiTheme="majorHAnsi" w:eastAsia="Calibri" w:hAnsiTheme="majorHAnsi" w:cs="Tahoma"/>
          <w:color w:val="000000"/>
          <w:sz w:val="18"/>
          <w:szCs w:val="20"/>
          <w:bdr w:val="none" w:sz="0" w:space="0" w:color="auto"/>
        </w:rPr>
        <w:t xml:space="preserve"> or </w:t>
      </w:r>
      <w:r>
        <w:rPr>
          <w:rFonts w:asciiTheme="majorHAnsi" w:eastAsia="Calibri" w:hAnsiTheme="majorHAnsi" w:cs="Tahoma"/>
          <w:color w:val="000000"/>
          <w:sz w:val="18"/>
          <w:szCs w:val="20"/>
          <w:bdr w:val="none" w:sz="0" w:space="0" w:color="auto"/>
        </w:rPr>
        <w:t>for</w:t>
      </w:r>
      <w:r w:rsidR="001D6B70" w:rsidRPr="00A51861">
        <w:rPr>
          <w:rFonts w:asciiTheme="majorHAnsi" w:eastAsia="Calibri" w:hAnsiTheme="majorHAnsi" w:cs="Tahoma"/>
          <w:color w:val="000000"/>
          <w:sz w:val="18"/>
          <w:szCs w:val="20"/>
          <w:bdr w:val="none" w:sz="0" w:space="0" w:color="auto"/>
        </w:rPr>
        <w:t xml:space="preserve"> </w:t>
      </w:r>
      <w:r w:rsidR="005617BA">
        <w:rPr>
          <w:rFonts w:asciiTheme="majorHAnsi" w:eastAsia="Calibri" w:hAnsiTheme="majorHAnsi" w:cs="Tahoma"/>
          <w:color w:val="000000"/>
          <w:sz w:val="18"/>
          <w:szCs w:val="20"/>
          <w:bdr w:val="none" w:sz="0" w:space="0" w:color="auto"/>
        </w:rPr>
        <w:t xml:space="preserve">any </w:t>
      </w:r>
      <w:r>
        <w:rPr>
          <w:rFonts w:asciiTheme="majorHAnsi" w:eastAsia="Calibri" w:hAnsiTheme="majorHAnsi" w:cs="Tahoma"/>
          <w:color w:val="000000"/>
          <w:sz w:val="18"/>
          <w:szCs w:val="20"/>
          <w:bdr w:val="none" w:sz="0" w:space="0" w:color="auto"/>
        </w:rPr>
        <w:t>reason</w:t>
      </w:r>
      <w:r w:rsidR="001D6B70" w:rsidRPr="00A51861">
        <w:rPr>
          <w:rFonts w:asciiTheme="majorHAnsi" w:eastAsia="Calibri" w:hAnsiTheme="majorHAnsi" w:cs="Tahoma"/>
          <w:color w:val="000000"/>
          <w:sz w:val="18"/>
          <w:szCs w:val="20"/>
          <w:bdr w:val="none" w:sz="0" w:space="0" w:color="auto"/>
        </w:rPr>
        <w:t xml:space="preserve"> </w:t>
      </w:r>
      <w:r>
        <w:rPr>
          <w:rFonts w:asciiTheme="majorHAnsi" w:eastAsia="Calibri" w:hAnsiTheme="majorHAnsi" w:cs="Tahoma"/>
          <w:color w:val="000000"/>
          <w:sz w:val="18"/>
          <w:szCs w:val="20"/>
          <w:bdr w:val="none" w:sz="0" w:space="0" w:color="auto"/>
        </w:rPr>
        <w:t>based o</w:t>
      </w:r>
      <w:r w:rsidR="001D6B70" w:rsidRPr="00A51861">
        <w:rPr>
          <w:rFonts w:asciiTheme="majorHAnsi" w:eastAsia="Calibri" w:hAnsiTheme="majorHAnsi" w:cs="Tahoma"/>
          <w:color w:val="000000"/>
          <w:sz w:val="18"/>
          <w:szCs w:val="20"/>
          <w:bdr w:val="none" w:sz="0" w:space="0" w:color="auto"/>
        </w:rPr>
        <w:t xml:space="preserve">n </w:t>
      </w:r>
      <w:r w:rsidR="005617BA">
        <w:rPr>
          <w:rFonts w:asciiTheme="majorHAnsi" w:eastAsia="Calibri" w:hAnsiTheme="majorHAnsi" w:cs="Tahoma"/>
          <w:color w:val="000000"/>
          <w:sz w:val="18"/>
          <w:szCs w:val="20"/>
          <w:bdr w:val="none" w:sz="0" w:space="0" w:color="auto"/>
        </w:rPr>
        <w:t xml:space="preserve">any </w:t>
      </w:r>
      <w:r>
        <w:rPr>
          <w:rFonts w:asciiTheme="majorHAnsi" w:eastAsia="Calibri" w:hAnsiTheme="majorHAnsi" w:cs="Tahoma"/>
          <w:color w:val="000000"/>
          <w:sz w:val="18"/>
          <w:szCs w:val="20"/>
          <w:bdr w:val="none" w:sz="0" w:space="0" w:color="auto"/>
        </w:rPr>
        <w:t>kind of</w:t>
      </w:r>
      <w:r w:rsidR="00E92985">
        <w:rPr>
          <w:rFonts w:asciiTheme="majorHAnsi" w:eastAsia="Calibri" w:hAnsiTheme="majorHAnsi" w:cs="Tahoma"/>
          <w:color w:val="000000"/>
          <w:sz w:val="18"/>
          <w:szCs w:val="20"/>
          <w:bdr w:val="none" w:sz="0" w:space="0" w:color="auto"/>
        </w:rPr>
        <w:t xml:space="preserve"> </w:t>
      </w:r>
      <w:r w:rsidRPr="00A51861">
        <w:rPr>
          <w:rFonts w:asciiTheme="majorHAnsi" w:eastAsia="Calibri" w:hAnsiTheme="majorHAnsi" w:cs="Tahoma"/>
          <w:color w:val="000000"/>
          <w:sz w:val="18"/>
          <w:szCs w:val="20"/>
          <w:bdr w:val="none" w:sz="0" w:space="0" w:color="auto"/>
        </w:rPr>
        <w:t>discrimination</w:t>
      </w:r>
      <w:r w:rsidR="001D6B70" w:rsidRPr="00A51861">
        <w:rPr>
          <w:rFonts w:asciiTheme="majorHAnsi" w:eastAsia="Calibri" w:hAnsiTheme="majorHAnsi" w:cs="Tahoma"/>
          <w:color w:val="000000"/>
          <w:sz w:val="18"/>
          <w:szCs w:val="20"/>
          <w:bdr w:val="none" w:sz="0" w:space="0" w:color="auto"/>
        </w:rPr>
        <w:t xml:space="preserve">, </w:t>
      </w:r>
      <w:r>
        <w:rPr>
          <w:rFonts w:asciiTheme="majorHAnsi" w:eastAsia="Calibri" w:hAnsiTheme="majorHAnsi" w:cs="Tahoma"/>
          <w:color w:val="000000"/>
          <w:sz w:val="18"/>
          <w:szCs w:val="20"/>
          <w:bdr w:val="none" w:sz="0" w:space="0" w:color="auto"/>
        </w:rPr>
        <w:t>when said pain or</w:t>
      </w:r>
      <w:r w:rsidR="00E92985">
        <w:rPr>
          <w:rFonts w:asciiTheme="majorHAnsi" w:eastAsia="Calibri" w:hAnsiTheme="majorHAnsi" w:cs="Tahoma"/>
          <w:color w:val="000000"/>
          <w:sz w:val="18"/>
          <w:szCs w:val="20"/>
          <w:bdr w:val="none" w:sz="0" w:space="0" w:color="auto"/>
        </w:rPr>
        <w:t xml:space="preserve"> </w:t>
      </w:r>
      <w:r>
        <w:rPr>
          <w:rFonts w:asciiTheme="majorHAnsi" w:eastAsia="Calibri" w:hAnsiTheme="majorHAnsi" w:cs="Tahoma"/>
          <w:color w:val="000000"/>
          <w:sz w:val="18"/>
          <w:szCs w:val="20"/>
          <w:bdr w:val="none" w:sz="0" w:space="0" w:color="auto"/>
        </w:rPr>
        <w:t>suffering be inflicted by a public official</w:t>
      </w:r>
      <w:r w:rsidR="00E92985">
        <w:rPr>
          <w:rFonts w:asciiTheme="majorHAnsi" w:eastAsia="Calibri" w:hAnsiTheme="majorHAnsi" w:cs="Tahoma"/>
          <w:color w:val="000000"/>
          <w:sz w:val="18"/>
          <w:szCs w:val="20"/>
          <w:bdr w:val="none" w:sz="0" w:space="0" w:color="auto"/>
        </w:rPr>
        <w:t xml:space="preserve"> or </w:t>
      </w:r>
      <w:r>
        <w:rPr>
          <w:rFonts w:asciiTheme="majorHAnsi" w:eastAsia="Calibri" w:hAnsiTheme="majorHAnsi" w:cs="Tahoma"/>
          <w:color w:val="000000"/>
          <w:sz w:val="18"/>
          <w:szCs w:val="20"/>
          <w:bdr w:val="none" w:sz="0" w:space="0" w:color="auto"/>
        </w:rPr>
        <w:t xml:space="preserve">another </w:t>
      </w:r>
      <w:r w:rsidR="00EC7A58">
        <w:rPr>
          <w:rFonts w:asciiTheme="majorHAnsi" w:eastAsia="Calibri" w:hAnsiTheme="majorHAnsi" w:cs="Tahoma"/>
          <w:color w:val="000000"/>
          <w:sz w:val="18"/>
          <w:szCs w:val="20"/>
          <w:bdr w:val="none" w:sz="0" w:space="0" w:color="auto"/>
        </w:rPr>
        <w:t xml:space="preserve">person </w:t>
      </w:r>
      <w:r>
        <w:rPr>
          <w:rFonts w:asciiTheme="majorHAnsi" w:eastAsia="Calibri" w:hAnsiTheme="majorHAnsi" w:cs="Tahoma"/>
          <w:color w:val="000000"/>
          <w:sz w:val="18"/>
          <w:szCs w:val="20"/>
          <w:bdr w:val="none" w:sz="0" w:space="0" w:color="auto"/>
        </w:rPr>
        <w:t>in the exercise of public functions</w:t>
      </w:r>
      <w:r w:rsidR="001D6B70" w:rsidRPr="00A51861">
        <w:rPr>
          <w:rFonts w:asciiTheme="majorHAnsi" w:eastAsia="Calibri" w:hAnsiTheme="majorHAnsi" w:cs="Tahoma"/>
          <w:color w:val="000000"/>
          <w:sz w:val="18"/>
          <w:szCs w:val="20"/>
          <w:bdr w:val="none" w:sz="0" w:space="0" w:color="auto"/>
        </w:rPr>
        <w:t xml:space="preserve">, </w:t>
      </w:r>
      <w:r>
        <w:rPr>
          <w:rFonts w:asciiTheme="majorHAnsi" w:eastAsia="Calibri" w:hAnsiTheme="majorHAnsi" w:cs="Tahoma"/>
          <w:color w:val="000000"/>
          <w:sz w:val="18"/>
          <w:szCs w:val="20"/>
          <w:bdr w:val="none" w:sz="0" w:space="0" w:color="auto"/>
        </w:rPr>
        <w:t>upon his or her instigation</w:t>
      </w:r>
      <w:r w:rsidR="001D6B70" w:rsidRPr="00A51861">
        <w:rPr>
          <w:rFonts w:asciiTheme="majorHAnsi" w:eastAsia="Calibri" w:hAnsiTheme="majorHAnsi" w:cs="Tahoma"/>
          <w:color w:val="000000"/>
          <w:sz w:val="18"/>
          <w:szCs w:val="20"/>
          <w:bdr w:val="none" w:sz="0" w:space="0" w:color="auto"/>
        </w:rPr>
        <w:t>,</w:t>
      </w:r>
      <w:r w:rsidR="00E92985">
        <w:rPr>
          <w:rFonts w:asciiTheme="majorHAnsi" w:eastAsia="Calibri" w:hAnsiTheme="majorHAnsi" w:cs="Tahoma"/>
          <w:color w:val="000000"/>
          <w:sz w:val="18"/>
          <w:szCs w:val="20"/>
          <w:bdr w:val="none" w:sz="0" w:space="0" w:color="auto"/>
        </w:rPr>
        <w:t xml:space="preserve"> or </w:t>
      </w:r>
      <w:r>
        <w:rPr>
          <w:rFonts w:asciiTheme="majorHAnsi" w:eastAsia="Calibri" w:hAnsiTheme="majorHAnsi" w:cs="Tahoma"/>
          <w:color w:val="000000"/>
          <w:sz w:val="18"/>
          <w:szCs w:val="20"/>
          <w:bdr w:val="none" w:sz="0" w:space="0" w:color="auto"/>
        </w:rPr>
        <w:t>with said official’s</w:t>
      </w:r>
      <w:r w:rsidR="001D6B70" w:rsidRPr="00A51861">
        <w:rPr>
          <w:rFonts w:asciiTheme="majorHAnsi" w:eastAsia="Calibri" w:hAnsiTheme="majorHAnsi" w:cs="Tahoma"/>
          <w:color w:val="000000"/>
          <w:sz w:val="18"/>
          <w:szCs w:val="20"/>
          <w:bdr w:val="none" w:sz="0" w:space="0" w:color="auto"/>
        </w:rPr>
        <w:t xml:space="preserve"> </w:t>
      </w:r>
      <w:r w:rsidR="008C6C20" w:rsidRPr="00A51861">
        <w:rPr>
          <w:rFonts w:asciiTheme="majorHAnsi" w:eastAsia="Calibri" w:hAnsiTheme="majorHAnsi" w:cs="Tahoma"/>
          <w:color w:val="000000"/>
          <w:sz w:val="18"/>
          <w:szCs w:val="20"/>
          <w:bdr w:val="none" w:sz="0" w:space="0" w:color="auto"/>
        </w:rPr>
        <w:t>consent</w:t>
      </w:r>
      <w:r w:rsidR="00E92985">
        <w:rPr>
          <w:rFonts w:asciiTheme="majorHAnsi" w:eastAsia="Calibri" w:hAnsiTheme="majorHAnsi" w:cs="Tahoma"/>
          <w:color w:val="000000"/>
          <w:sz w:val="18"/>
          <w:szCs w:val="20"/>
          <w:bdr w:val="none" w:sz="0" w:space="0" w:color="auto"/>
        </w:rPr>
        <w:t xml:space="preserve"> or </w:t>
      </w:r>
      <w:r w:rsidRPr="00A51861">
        <w:rPr>
          <w:rFonts w:asciiTheme="majorHAnsi" w:eastAsia="Calibri" w:hAnsiTheme="majorHAnsi" w:cs="Tahoma"/>
          <w:color w:val="000000"/>
          <w:sz w:val="18"/>
          <w:szCs w:val="20"/>
          <w:bdr w:val="none" w:sz="0" w:space="0" w:color="auto"/>
        </w:rPr>
        <w:t>acquiescence</w:t>
      </w:r>
      <w:r w:rsidR="008C6C20" w:rsidRPr="00A51861">
        <w:rPr>
          <w:rStyle w:val="FootnoteReference"/>
          <w:rFonts w:asciiTheme="majorHAnsi" w:eastAsia="Calibri" w:hAnsiTheme="majorHAnsi" w:cs="Tahoma"/>
          <w:color w:val="000000"/>
          <w:sz w:val="18"/>
          <w:szCs w:val="20"/>
          <w:bdr w:val="none" w:sz="0" w:space="0" w:color="auto"/>
        </w:rPr>
        <w:footnoteReference w:id="199"/>
      </w:r>
      <w:r w:rsidR="001D6B70" w:rsidRPr="00A51861">
        <w:rPr>
          <w:rFonts w:asciiTheme="majorHAnsi" w:eastAsia="Calibri" w:hAnsiTheme="majorHAnsi" w:cs="Tahoma"/>
          <w:color w:val="000000"/>
          <w:sz w:val="18"/>
          <w:szCs w:val="20"/>
          <w:bdr w:val="none" w:sz="0" w:space="0" w:color="auto"/>
        </w:rPr>
        <w:t xml:space="preserve">. </w:t>
      </w:r>
    </w:p>
    <w:p w14:paraId="55592CE8" w14:textId="77777777" w:rsidR="008C6C20" w:rsidRPr="00A51861" w:rsidRDefault="008C6C20" w:rsidP="008E4D3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cs="Tahoma"/>
          <w:color w:val="000000"/>
          <w:sz w:val="20"/>
          <w:szCs w:val="20"/>
          <w:bdr w:val="none" w:sz="0" w:space="0" w:color="auto"/>
        </w:rPr>
      </w:pPr>
    </w:p>
    <w:p w14:paraId="591CA8F4" w14:textId="289AFA91" w:rsidR="008C6C20" w:rsidRPr="00A51861" w:rsidRDefault="00115A67"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Calibri" w:hAnsiTheme="majorHAnsi" w:cs="Tahoma"/>
          <w:color w:val="000000"/>
          <w:sz w:val="20"/>
          <w:szCs w:val="20"/>
          <w:bdr w:val="none" w:sz="0" w:space="0" w:color="auto"/>
        </w:rPr>
      </w:pPr>
      <w:r>
        <w:rPr>
          <w:rFonts w:asciiTheme="majorHAnsi" w:eastAsia="Calibri" w:hAnsiTheme="majorHAnsi" w:cs="Tahoma"/>
          <w:color w:val="000000"/>
          <w:sz w:val="20"/>
          <w:szCs w:val="20"/>
          <w:bdr w:val="none" w:sz="0" w:space="0" w:color="auto"/>
        </w:rPr>
        <w:t>While no</w:t>
      </w:r>
      <w:r w:rsidR="001D6B70" w:rsidRPr="00A51861">
        <w:rPr>
          <w:rFonts w:asciiTheme="majorHAnsi" w:eastAsia="Calibri" w:hAnsiTheme="majorHAnsi" w:cs="Tahoma"/>
          <w:color w:val="000000"/>
          <w:sz w:val="20"/>
          <w:szCs w:val="20"/>
          <w:bdr w:val="none" w:sz="0" w:space="0" w:color="auto"/>
        </w:rPr>
        <w:t xml:space="preserve"> </w:t>
      </w:r>
      <w:r w:rsidR="00E92985">
        <w:rPr>
          <w:rFonts w:asciiTheme="majorHAnsi" w:eastAsia="Calibri" w:hAnsiTheme="majorHAnsi" w:cs="Tahoma"/>
          <w:color w:val="000000"/>
          <w:sz w:val="20"/>
          <w:szCs w:val="20"/>
          <w:bdr w:val="none" w:sz="0" w:space="0" w:color="auto"/>
        </w:rPr>
        <w:t>Inter-American</w:t>
      </w:r>
      <w:r w:rsidR="001D6B70" w:rsidRPr="00A51861">
        <w:rPr>
          <w:rFonts w:asciiTheme="majorHAnsi" w:eastAsia="Calibri" w:hAnsiTheme="majorHAnsi" w:cs="Tahoma"/>
          <w:color w:val="000000"/>
          <w:sz w:val="20"/>
          <w:szCs w:val="20"/>
          <w:bdr w:val="none" w:sz="0" w:space="0" w:color="auto"/>
        </w:rPr>
        <w:t xml:space="preserve"> </w:t>
      </w:r>
      <w:r>
        <w:rPr>
          <w:rFonts w:asciiTheme="majorHAnsi" w:eastAsia="Calibri" w:hAnsiTheme="majorHAnsi" w:cs="Tahoma"/>
          <w:color w:val="000000"/>
          <w:sz w:val="20"/>
          <w:szCs w:val="20"/>
          <w:bdr w:val="none" w:sz="0" w:space="0" w:color="auto"/>
        </w:rPr>
        <w:t>instrument</w:t>
      </w:r>
      <w:r w:rsidRPr="00A51861">
        <w:rPr>
          <w:rFonts w:asciiTheme="majorHAnsi" w:eastAsia="Calibri" w:hAnsiTheme="majorHAnsi" w:cs="Tahoma"/>
          <w:color w:val="000000"/>
          <w:sz w:val="20"/>
          <w:szCs w:val="20"/>
          <w:bdr w:val="none" w:sz="0" w:space="0" w:color="auto"/>
        </w:rPr>
        <w:t xml:space="preserve"> define</w:t>
      </w:r>
      <w:r>
        <w:rPr>
          <w:rFonts w:asciiTheme="majorHAnsi" w:eastAsia="Calibri" w:hAnsiTheme="majorHAnsi" w:cs="Tahoma"/>
          <w:color w:val="000000"/>
          <w:sz w:val="20"/>
          <w:szCs w:val="20"/>
          <w:bdr w:val="none" w:sz="0" w:space="0" w:color="auto"/>
        </w:rPr>
        <w:t>s</w:t>
      </w:r>
      <w:r w:rsidRPr="00A51861">
        <w:rPr>
          <w:rFonts w:asciiTheme="majorHAnsi" w:eastAsia="Calibri" w:hAnsiTheme="majorHAnsi" w:cs="Tahoma"/>
          <w:color w:val="000000"/>
          <w:sz w:val="20"/>
          <w:szCs w:val="20"/>
          <w:bdr w:val="none" w:sz="0" w:space="0" w:color="auto"/>
        </w:rPr>
        <w:t xml:space="preserve"> </w:t>
      </w:r>
      <w:r w:rsidR="001D6B70" w:rsidRPr="00A51861">
        <w:rPr>
          <w:rFonts w:asciiTheme="majorHAnsi" w:eastAsia="Calibri" w:hAnsiTheme="majorHAnsi" w:cs="Tahoma"/>
          <w:color w:val="000000"/>
          <w:sz w:val="20"/>
          <w:szCs w:val="20"/>
          <w:bdr w:val="none" w:sz="0" w:space="0" w:color="auto"/>
        </w:rPr>
        <w:t xml:space="preserve">“cruel, </w:t>
      </w:r>
      <w:r w:rsidRPr="00A51861">
        <w:rPr>
          <w:rFonts w:asciiTheme="majorHAnsi" w:eastAsia="Calibri" w:hAnsiTheme="majorHAnsi" w:cs="Tahoma"/>
          <w:color w:val="000000"/>
          <w:sz w:val="20"/>
          <w:szCs w:val="20"/>
          <w:bdr w:val="none" w:sz="0" w:space="0" w:color="auto"/>
        </w:rPr>
        <w:t>inhumane</w:t>
      </w:r>
      <w:r w:rsidR="00E92985">
        <w:rPr>
          <w:rFonts w:asciiTheme="majorHAnsi" w:eastAsia="Calibri" w:hAnsiTheme="majorHAnsi" w:cs="Tahoma"/>
          <w:color w:val="000000"/>
          <w:sz w:val="20"/>
          <w:szCs w:val="20"/>
          <w:bdr w:val="none" w:sz="0" w:space="0" w:color="auto"/>
        </w:rPr>
        <w:t xml:space="preserve"> or </w:t>
      </w:r>
      <w:r w:rsidR="001D6B70" w:rsidRPr="00A51861">
        <w:rPr>
          <w:rFonts w:asciiTheme="majorHAnsi" w:eastAsia="Calibri" w:hAnsiTheme="majorHAnsi" w:cs="Tahoma"/>
          <w:color w:val="000000"/>
          <w:sz w:val="20"/>
          <w:szCs w:val="20"/>
          <w:bdr w:val="none" w:sz="0" w:space="0" w:color="auto"/>
        </w:rPr>
        <w:t>degrad</w:t>
      </w:r>
      <w:r>
        <w:rPr>
          <w:rFonts w:asciiTheme="majorHAnsi" w:eastAsia="Calibri" w:hAnsiTheme="majorHAnsi" w:cs="Tahoma"/>
          <w:color w:val="000000"/>
          <w:sz w:val="20"/>
          <w:szCs w:val="20"/>
          <w:bdr w:val="none" w:sz="0" w:space="0" w:color="auto"/>
        </w:rPr>
        <w:t>ing</w:t>
      </w:r>
      <w:r w:rsidRPr="00115A67">
        <w:rPr>
          <w:rFonts w:asciiTheme="majorHAnsi" w:eastAsia="Calibri" w:hAnsiTheme="majorHAnsi" w:cs="Tahoma"/>
          <w:color w:val="000000"/>
          <w:sz w:val="20"/>
          <w:szCs w:val="20"/>
          <w:bdr w:val="none" w:sz="0" w:space="0" w:color="auto"/>
        </w:rPr>
        <w:t xml:space="preserve"> </w:t>
      </w:r>
      <w:r w:rsidRPr="00A51861">
        <w:rPr>
          <w:rFonts w:asciiTheme="majorHAnsi" w:eastAsia="Calibri" w:hAnsiTheme="majorHAnsi" w:cs="Tahoma"/>
          <w:color w:val="000000"/>
          <w:sz w:val="20"/>
          <w:szCs w:val="20"/>
          <w:bdr w:val="none" w:sz="0" w:space="0" w:color="auto"/>
        </w:rPr>
        <w:t>tr</w:t>
      </w:r>
      <w:r>
        <w:rPr>
          <w:rFonts w:asciiTheme="majorHAnsi" w:eastAsia="Calibri" w:hAnsiTheme="majorHAnsi" w:cs="Tahoma"/>
          <w:color w:val="000000"/>
          <w:sz w:val="20"/>
          <w:szCs w:val="20"/>
          <w:bdr w:val="none" w:sz="0" w:space="0" w:color="auto"/>
        </w:rPr>
        <w:t>e</w:t>
      </w:r>
      <w:r w:rsidRPr="00A51861">
        <w:rPr>
          <w:rFonts w:asciiTheme="majorHAnsi" w:eastAsia="Calibri" w:hAnsiTheme="majorHAnsi" w:cs="Tahoma"/>
          <w:color w:val="000000"/>
          <w:sz w:val="20"/>
          <w:szCs w:val="20"/>
          <w:bdr w:val="none" w:sz="0" w:space="0" w:color="auto"/>
        </w:rPr>
        <w:t>at</w:t>
      </w:r>
      <w:r>
        <w:rPr>
          <w:rFonts w:asciiTheme="majorHAnsi" w:eastAsia="Calibri" w:hAnsiTheme="majorHAnsi" w:cs="Tahoma"/>
          <w:color w:val="000000"/>
          <w:sz w:val="20"/>
          <w:szCs w:val="20"/>
          <w:bdr w:val="none" w:sz="0" w:space="0" w:color="auto"/>
        </w:rPr>
        <w:t>ment</w:t>
      </w:r>
      <w:r w:rsidR="001D6B70" w:rsidRPr="00A51861">
        <w:rPr>
          <w:rFonts w:asciiTheme="majorHAnsi" w:eastAsia="Calibri" w:hAnsiTheme="majorHAnsi" w:cs="Tahoma"/>
          <w:color w:val="000000"/>
          <w:sz w:val="20"/>
          <w:szCs w:val="20"/>
          <w:bdr w:val="none" w:sz="0" w:space="0" w:color="auto"/>
        </w:rPr>
        <w:t xml:space="preserve">” </w:t>
      </w:r>
      <w:r>
        <w:rPr>
          <w:rFonts w:asciiTheme="majorHAnsi" w:eastAsia="Calibri" w:hAnsiTheme="majorHAnsi" w:cs="Tahoma"/>
          <w:color w:val="000000"/>
          <w:sz w:val="20"/>
          <w:szCs w:val="20"/>
          <w:bdr w:val="none" w:sz="0" w:space="0" w:color="auto"/>
        </w:rPr>
        <w:t xml:space="preserve">nor </w:t>
      </w:r>
      <w:r w:rsidR="001D6B70" w:rsidRPr="00A51861">
        <w:rPr>
          <w:rFonts w:asciiTheme="majorHAnsi" w:eastAsia="Calibri" w:hAnsiTheme="majorHAnsi" w:cs="Tahoma"/>
          <w:color w:val="000000"/>
          <w:sz w:val="20"/>
          <w:szCs w:val="20"/>
          <w:bdr w:val="none" w:sz="0" w:space="0" w:color="auto"/>
        </w:rPr>
        <w:t>define</w:t>
      </w:r>
      <w:r>
        <w:rPr>
          <w:rFonts w:asciiTheme="majorHAnsi" w:eastAsia="Calibri" w:hAnsiTheme="majorHAnsi" w:cs="Tahoma"/>
          <w:color w:val="000000"/>
          <w:sz w:val="20"/>
          <w:szCs w:val="20"/>
          <w:bdr w:val="none" w:sz="0" w:space="0" w:color="auto"/>
        </w:rPr>
        <w:t>s</w:t>
      </w:r>
      <w:r w:rsidR="001D6B70" w:rsidRPr="00A51861">
        <w:rPr>
          <w:rFonts w:asciiTheme="majorHAnsi" w:eastAsia="Calibri" w:hAnsiTheme="majorHAnsi" w:cs="Tahoma"/>
          <w:color w:val="000000"/>
          <w:sz w:val="20"/>
          <w:szCs w:val="20"/>
          <w:bdr w:val="none" w:sz="0" w:space="0" w:color="auto"/>
        </w:rPr>
        <w:t xml:space="preserve"> </w:t>
      </w:r>
      <w:r>
        <w:rPr>
          <w:rFonts w:asciiTheme="majorHAnsi" w:eastAsia="Calibri" w:hAnsiTheme="majorHAnsi" w:cs="Tahoma"/>
          <w:color w:val="000000"/>
          <w:sz w:val="20"/>
          <w:szCs w:val="20"/>
          <w:bdr w:val="none" w:sz="0" w:space="0" w:color="auto"/>
        </w:rPr>
        <w:t>it i</w:t>
      </w:r>
      <w:r w:rsidR="001D6B70" w:rsidRPr="00A51861">
        <w:rPr>
          <w:rFonts w:asciiTheme="majorHAnsi" w:eastAsia="Calibri" w:hAnsiTheme="majorHAnsi" w:cs="Tahoma"/>
          <w:color w:val="000000"/>
          <w:sz w:val="20"/>
          <w:szCs w:val="20"/>
          <w:bdr w:val="none" w:sz="0" w:space="0" w:color="auto"/>
        </w:rPr>
        <w:t xml:space="preserve">n </w:t>
      </w:r>
      <w:r w:rsidRPr="00A51861">
        <w:rPr>
          <w:rFonts w:asciiTheme="majorHAnsi" w:eastAsia="Calibri" w:hAnsiTheme="majorHAnsi" w:cs="Tahoma"/>
          <w:color w:val="000000"/>
          <w:sz w:val="20"/>
          <w:szCs w:val="20"/>
          <w:bdr w:val="none" w:sz="0" w:space="0" w:color="auto"/>
        </w:rPr>
        <w:t>relation</w:t>
      </w:r>
      <w:r w:rsidR="001D6B70" w:rsidRPr="00A51861">
        <w:rPr>
          <w:rFonts w:asciiTheme="majorHAnsi" w:eastAsia="Calibri" w:hAnsiTheme="majorHAnsi" w:cs="Tahoma"/>
          <w:color w:val="000000"/>
          <w:sz w:val="20"/>
          <w:szCs w:val="20"/>
          <w:bdr w:val="none" w:sz="0" w:space="0" w:color="auto"/>
        </w:rPr>
        <w:t xml:space="preserve"> </w:t>
      </w:r>
      <w:r>
        <w:rPr>
          <w:rFonts w:asciiTheme="majorHAnsi" w:eastAsia="Calibri" w:hAnsiTheme="majorHAnsi" w:cs="Tahoma"/>
          <w:color w:val="000000"/>
          <w:sz w:val="20"/>
          <w:szCs w:val="20"/>
          <w:bdr w:val="none" w:sz="0" w:space="0" w:color="auto"/>
        </w:rPr>
        <w:t>to</w:t>
      </w:r>
      <w:r w:rsidR="009A4F91">
        <w:rPr>
          <w:rFonts w:asciiTheme="majorHAnsi" w:eastAsia="Calibri" w:hAnsiTheme="majorHAnsi" w:cs="Tahoma"/>
          <w:color w:val="000000"/>
          <w:sz w:val="20"/>
          <w:szCs w:val="20"/>
          <w:bdr w:val="none" w:sz="0" w:space="0" w:color="auto"/>
        </w:rPr>
        <w:t xml:space="preserve"> </w:t>
      </w:r>
      <w:r w:rsidR="00F406E1">
        <w:rPr>
          <w:rFonts w:asciiTheme="majorHAnsi" w:eastAsia="Calibri" w:hAnsiTheme="majorHAnsi" w:cs="Tahoma"/>
          <w:color w:val="000000"/>
          <w:sz w:val="20"/>
          <w:szCs w:val="20"/>
          <w:bdr w:val="none" w:sz="0" w:space="0" w:color="auto"/>
        </w:rPr>
        <w:t>torture</w:t>
      </w:r>
      <w:r w:rsidR="001D6B70" w:rsidRPr="00A51861">
        <w:rPr>
          <w:rFonts w:asciiTheme="majorHAnsi" w:eastAsia="Calibri" w:hAnsiTheme="majorHAnsi" w:cs="Tahoma"/>
          <w:color w:val="000000"/>
          <w:sz w:val="20"/>
          <w:szCs w:val="20"/>
          <w:bdr w:val="none" w:sz="0" w:space="0" w:color="auto"/>
        </w:rPr>
        <w:t>,</w:t>
      </w:r>
      <w:r w:rsidR="009A4F91">
        <w:rPr>
          <w:rFonts w:asciiTheme="majorHAnsi" w:eastAsia="Calibri" w:hAnsiTheme="majorHAnsi" w:cs="Tahoma"/>
          <w:color w:val="000000"/>
          <w:sz w:val="20"/>
          <w:szCs w:val="20"/>
          <w:bdr w:val="none" w:sz="0" w:space="0" w:color="auto"/>
        </w:rPr>
        <w:t xml:space="preserve"> the </w:t>
      </w:r>
      <w:r w:rsidR="00DD4DB2">
        <w:rPr>
          <w:rFonts w:asciiTheme="majorHAnsi" w:eastAsia="Calibri" w:hAnsiTheme="majorHAnsi" w:cs="Tahoma"/>
          <w:color w:val="000000"/>
          <w:sz w:val="20"/>
          <w:szCs w:val="20"/>
          <w:bdr w:val="none" w:sz="0" w:space="0" w:color="auto"/>
        </w:rPr>
        <w:t>jurisprudence</w:t>
      </w:r>
      <w:r w:rsidR="00E92985">
        <w:rPr>
          <w:rFonts w:asciiTheme="majorHAnsi" w:eastAsia="Calibri" w:hAnsiTheme="majorHAnsi" w:cs="Tahoma"/>
          <w:color w:val="000000"/>
          <w:sz w:val="20"/>
          <w:szCs w:val="20"/>
          <w:bdr w:val="none" w:sz="0" w:space="0" w:color="auto"/>
        </w:rPr>
        <w:t xml:space="preserve"> of </w:t>
      </w:r>
      <w:r w:rsidR="00A51861" w:rsidRPr="00A51861">
        <w:rPr>
          <w:rFonts w:asciiTheme="majorHAnsi" w:eastAsia="Calibri" w:hAnsiTheme="majorHAnsi" w:cs="Tahoma"/>
          <w:color w:val="000000"/>
          <w:sz w:val="20"/>
          <w:szCs w:val="20"/>
          <w:bdr w:val="none" w:sz="0" w:space="0" w:color="auto"/>
        </w:rPr>
        <w:t>the IACHR</w:t>
      </w:r>
      <w:r w:rsidR="001D6B70" w:rsidRPr="00A51861">
        <w:rPr>
          <w:rFonts w:asciiTheme="majorHAnsi" w:eastAsia="Calibri" w:hAnsiTheme="majorHAnsi" w:cs="Tahoma"/>
          <w:color w:val="000000"/>
          <w:sz w:val="20"/>
          <w:szCs w:val="20"/>
          <w:bdr w:val="none" w:sz="0" w:space="0" w:color="auto"/>
        </w:rPr>
        <w:t xml:space="preserve"> ha</w:t>
      </w:r>
      <w:r>
        <w:rPr>
          <w:rFonts w:asciiTheme="majorHAnsi" w:eastAsia="Calibri" w:hAnsiTheme="majorHAnsi" w:cs="Tahoma"/>
          <w:color w:val="000000"/>
          <w:sz w:val="20"/>
          <w:szCs w:val="20"/>
          <w:bdr w:val="none" w:sz="0" w:space="0" w:color="auto"/>
        </w:rPr>
        <w:t>s</w:t>
      </w:r>
      <w:r w:rsidR="001D6B70" w:rsidRPr="00A51861">
        <w:rPr>
          <w:rFonts w:asciiTheme="majorHAnsi" w:eastAsia="Calibri" w:hAnsiTheme="majorHAnsi" w:cs="Tahoma"/>
          <w:color w:val="000000"/>
          <w:sz w:val="20"/>
          <w:szCs w:val="20"/>
          <w:bdr w:val="none" w:sz="0" w:space="0" w:color="auto"/>
        </w:rPr>
        <w:t xml:space="preserve"> establ</w:t>
      </w:r>
      <w:r>
        <w:rPr>
          <w:rFonts w:asciiTheme="majorHAnsi" w:eastAsia="Calibri" w:hAnsiTheme="majorHAnsi" w:cs="Tahoma"/>
          <w:color w:val="000000"/>
          <w:sz w:val="20"/>
          <w:szCs w:val="20"/>
          <w:bdr w:val="none" w:sz="0" w:space="0" w:color="auto"/>
        </w:rPr>
        <w:t>ished</w:t>
      </w:r>
      <w:r w:rsidR="00E92985">
        <w:rPr>
          <w:rFonts w:asciiTheme="majorHAnsi" w:eastAsia="Calibri" w:hAnsiTheme="majorHAnsi" w:cs="Tahoma"/>
          <w:color w:val="000000"/>
          <w:sz w:val="20"/>
          <w:szCs w:val="20"/>
          <w:bdr w:val="none" w:sz="0" w:space="0" w:color="auto"/>
        </w:rPr>
        <w:t xml:space="preserve"> that </w:t>
      </w:r>
      <w:r w:rsidR="001D6B70" w:rsidRPr="00A51861">
        <w:rPr>
          <w:rFonts w:asciiTheme="majorHAnsi" w:eastAsia="Calibri" w:hAnsiTheme="majorHAnsi" w:cs="Tahoma"/>
          <w:color w:val="000000"/>
          <w:sz w:val="20"/>
          <w:szCs w:val="20"/>
          <w:bdr w:val="none" w:sz="0" w:space="0" w:color="auto"/>
        </w:rPr>
        <w:t>“inhuman</w:t>
      </w:r>
      <w:r>
        <w:rPr>
          <w:rFonts w:asciiTheme="majorHAnsi" w:eastAsia="Calibri" w:hAnsiTheme="majorHAnsi" w:cs="Tahoma"/>
          <w:color w:val="000000"/>
          <w:sz w:val="20"/>
          <w:szCs w:val="20"/>
          <w:bdr w:val="none" w:sz="0" w:space="0" w:color="auto"/>
        </w:rPr>
        <w:t>e</w:t>
      </w:r>
      <w:r w:rsidR="00D70A85">
        <w:rPr>
          <w:rFonts w:asciiTheme="majorHAnsi" w:eastAsia="Calibri" w:hAnsiTheme="majorHAnsi" w:cs="Tahoma"/>
          <w:color w:val="000000"/>
          <w:sz w:val="20"/>
          <w:szCs w:val="20"/>
          <w:bdr w:val="none" w:sz="0" w:space="0" w:color="auto"/>
        </w:rPr>
        <w:t xml:space="preserve"> </w:t>
      </w:r>
      <w:r>
        <w:rPr>
          <w:rFonts w:asciiTheme="majorHAnsi" w:eastAsia="Calibri" w:hAnsiTheme="majorHAnsi" w:cs="Tahoma"/>
          <w:color w:val="000000"/>
          <w:sz w:val="20"/>
          <w:szCs w:val="20"/>
          <w:bdr w:val="none" w:sz="0" w:space="0" w:color="auto"/>
        </w:rPr>
        <w:t>treatment</w:t>
      </w:r>
      <w:r w:rsidRPr="00A51861">
        <w:rPr>
          <w:rFonts w:asciiTheme="majorHAnsi" w:eastAsia="Calibri" w:hAnsiTheme="majorHAnsi" w:cs="Tahoma"/>
          <w:color w:val="000000"/>
          <w:sz w:val="20"/>
          <w:szCs w:val="20"/>
          <w:bdr w:val="none" w:sz="0" w:space="0" w:color="auto"/>
        </w:rPr>
        <w:t xml:space="preserve"> </w:t>
      </w:r>
      <w:r>
        <w:rPr>
          <w:rFonts w:asciiTheme="majorHAnsi" w:eastAsia="Calibri" w:hAnsiTheme="majorHAnsi" w:cs="Tahoma"/>
          <w:color w:val="000000"/>
          <w:sz w:val="20"/>
          <w:szCs w:val="20"/>
          <w:bdr w:val="none" w:sz="0" w:space="0" w:color="auto"/>
        </w:rPr>
        <w:t>is that which</w:t>
      </w:r>
      <w:r w:rsidR="001D6B70" w:rsidRPr="00A51861">
        <w:rPr>
          <w:rFonts w:asciiTheme="majorHAnsi" w:eastAsia="Calibri" w:hAnsiTheme="majorHAnsi" w:cs="Tahoma"/>
          <w:color w:val="000000"/>
          <w:sz w:val="20"/>
          <w:szCs w:val="20"/>
          <w:bdr w:val="none" w:sz="0" w:space="0" w:color="auto"/>
        </w:rPr>
        <w:t xml:space="preserve"> delibera</w:t>
      </w:r>
      <w:r>
        <w:rPr>
          <w:rFonts w:asciiTheme="majorHAnsi" w:eastAsia="Calibri" w:hAnsiTheme="majorHAnsi" w:cs="Tahoma"/>
          <w:color w:val="000000"/>
          <w:sz w:val="20"/>
          <w:szCs w:val="20"/>
          <w:bdr w:val="none" w:sz="0" w:space="0" w:color="auto"/>
        </w:rPr>
        <w:t>te</w:t>
      </w:r>
      <w:r w:rsidR="0029564F">
        <w:rPr>
          <w:rFonts w:asciiTheme="majorHAnsi" w:eastAsia="Calibri" w:hAnsiTheme="majorHAnsi" w:cs="Tahoma"/>
          <w:color w:val="000000"/>
          <w:sz w:val="20"/>
          <w:szCs w:val="20"/>
          <w:bdr w:val="none" w:sz="0" w:space="0" w:color="auto"/>
        </w:rPr>
        <w:t xml:space="preserve">ly </w:t>
      </w:r>
      <w:r w:rsidR="001D6B70" w:rsidRPr="00A51861">
        <w:rPr>
          <w:rFonts w:asciiTheme="majorHAnsi" w:eastAsia="Calibri" w:hAnsiTheme="majorHAnsi" w:cs="Tahoma"/>
          <w:color w:val="000000"/>
          <w:sz w:val="20"/>
          <w:szCs w:val="20"/>
          <w:bdr w:val="none" w:sz="0" w:space="0" w:color="auto"/>
        </w:rPr>
        <w:t>caus</w:t>
      </w:r>
      <w:r>
        <w:rPr>
          <w:rFonts w:asciiTheme="majorHAnsi" w:eastAsia="Calibri" w:hAnsiTheme="majorHAnsi" w:cs="Tahoma"/>
          <w:color w:val="000000"/>
          <w:sz w:val="20"/>
          <w:szCs w:val="20"/>
          <w:bdr w:val="none" w:sz="0" w:space="0" w:color="auto"/>
        </w:rPr>
        <w:t>es</w:t>
      </w:r>
      <w:r w:rsidR="001D6B70" w:rsidRPr="00A51861">
        <w:rPr>
          <w:rFonts w:asciiTheme="majorHAnsi" w:eastAsia="Calibri" w:hAnsiTheme="majorHAnsi" w:cs="Tahoma"/>
          <w:color w:val="000000"/>
          <w:sz w:val="20"/>
          <w:szCs w:val="20"/>
          <w:bdr w:val="none" w:sz="0" w:space="0" w:color="auto"/>
        </w:rPr>
        <w:t xml:space="preserve"> sever</w:t>
      </w:r>
      <w:r>
        <w:rPr>
          <w:rFonts w:asciiTheme="majorHAnsi" w:eastAsia="Calibri" w:hAnsiTheme="majorHAnsi" w:cs="Tahoma"/>
          <w:color w:val="000000"/>
          <w:sz w:val="20"/>
          <w:szCs w:val="20"/>
          <w:bdr w:val="none" w:sz="0" w:space="0" w:color="auto"/>
        </w:rPr>
        <w:t>e</w:t>
      </w:r>
      <w:r w:rsidR="001D6B70" w:rsidRPr="00A51861">
        <w:rPr>
          <w:rFonts w:asciiTheme="majorHAnsi" w:eastAsia="Calibri" w:hAnsiTheme="majorHAnsi" w:cs="Tahoma"/>
          <w:color w:val="000000"/>
          <w:sz w:val="20"/>
          <w:szCs w:val="20"/>
          <w:bdr w:val="none" w:sz="0" w:space="0" w:color="auto"/>
        </w:rPr>
        <w:t xml:space="preserve"> mental</w:t>
      </w:r>
      <w:r w:rsidR="00E92985">
        <w:rPr>
          <w:rFonts w:asciiTheme="majorHAnsi" w:eastAsia="Calibri" w:hAnsiTheme="majorHAnsi" w:cs="Tahoma"/>
          <w:color w:val="000000"/>
          <w:sz w:val="20"/>
          <w:szCs w:val="20"/>
          <w:bdr w:val="none" w:sz="0" w:space="0" w:color="auto"/>
        </w:rPr>
        <w:t xml:space="preserve"> or </w:t>
      </w:r>
      <w:r w:rsidRPr="00A51861">
        <w:rPr>
          <w:rFonts w:asciiTheme="majorHAnsi" w:eastAsia="Calibri" w:hAnsiTheme="majorHAnsi" w:cs="Tahoma"/>
          <w:color w:val="000000"/>
          <w:sz w:val="20"/>
          <w:szCs w:val="20"/>
          <w:bdr w:val="none" w:sz="0" w:space="0" w:color="auto"/>
        </w:rPr>
        <w:t>psychological</w:t>
      </w:r>
      <w:r w:rsidRPr="00115A67">
        <w:rPr>
          <w:rFonts w:asciiTheme="majorHAnsi" w:eastAsia="Calibri" w:hAnsiTheme="majorHAnsi" w:cs="Tahoma"/>
          <w:color w:val="000000"/>
          <w:sz w:val="20"/>
          <w:szCs w:val="20"/>
          <w:bdr w:val="none" w:sz="0" w:space="0" w:color="auto"/>
        </w:rPr>
        <w:t xml:space="preserve"> </w:t>
      </w:r>
      <w:r>
        <w:rPr>
          <w:rFonts w:asciiTheme="majorHAnsi" w:eastAsia="Calibri" w:hAnsiTheme="majorHAnsi" w:cs="Tahoma"/>
          <w:color w:val="000000"/>
          <w:sz w:val="20"/>
          <w:szCs w:val="20"/>
          <w:bdr w:val="none" w:sz="0" w:space="0" w:color="auto"/>
        </w:rPr>
        <w:t>suffering</w:t>
      </w:r>
      <w:r w:rsidR="001D6B70" w:rsidRPr="00A51861">
        <w:rPr>
          <w:rFonts w:asciiTheme="majorHAnsi" w:eastAsia="Calibri" w:hAnsiTheme="majorHAnsi" w:cs="Tahoma"/>
          <w:color w:val="000000"/>
          <w:sz w:val="20"/>
          <w:szCs w:val="20"/>
          <w:bdr w:val="none" w:sz="0" w:space="0" w:color="auto"/>
        </w:rPr>
        <w:t xml:space="preserve">, </w:t>
      </w:r>
      <w:r>
        <w:rPr>
          <w:rFonts w:asciiTheme="majorHAnsi" w:eastAsia="Calibri" w:hAnsiTheme="majorHAnsi" w:cs="Tahoma"/>
          <w:color w:val="000000"/>
          <w:sz w:val="20"/>
          <w:szCs w:val="20"/>
          <w:bdr w:val="none" w:sz="0" w:space="0" w:color="auto"/>
        </w:rPr>
        <w:t>which</w:t>
      </w:r>
      <w:r w:rsidR="001D6B70" w:rsidRPr="00A51861">
        <w:rPr>
          <w:rFonts w:asciiTheme="majorHAnsi" w:eastAsia="Calibri" w:hAnsiTheme="majorHAnsi" w:cs="Tahoma"/>
          <w:color w:val="000000"/>
          <w:sz w:val="20"/>
          <w:szCs w:val="20"/>
          <w:bdr w:val="none" w:sz="0" w:space="0" w:color="auto"/>
        </w:rPr>
        <w:t xml:space="preserve">, </w:t>
      </w:r>
      <w:r>
        <w:rPr>
          <w:rFonts w:asciiTheme="majorHAnsi" w:eastAsia="Calibri" w:hAnsiTheme="majorHAnsi" w:cs="Tahoma"/>
          <w:color w:val="000000"/>
          <w:sz w:val="20"/>
          <w:szCs w:val="20"/>
          <w:bdr w:val="none" w:sz="0" w:space="0" w:color="auto"/>
        </w:rPr>
        <w:t>given</w:t>
      </w:r>
      <w:r w:rsidR="009A4F91">
        <w:rPr>
          <w:rFonts w:asciiTheme="majorHAnsi" w:eastAsia="Calibri" w:hAnsiTheme="majorHAnsi" w:cs="Tahoma"/>
          <w:color w:val="000000"/>
          <w:sz w:val="20"/>
          <w:szCs w:val="20"/>
          <w:bdr w:val="none" w:sz="0" w:space="0" w:color="auto"/>
        </w:rPr>
        <w:t xml:space="preserve"> </w:t>
      </w:r>
      <w:r>
        <w:rPr>
          <w:rFonts w:asciiTheme="majorHAnsi" w:eastAsia="Calibri" w:hAnsiTheme="majorHAnsi" w:cs="Tahoma"/>
          <w:color w:val="000000"/>
          <w:sz w:val="20"/>
          <w:szCs w:val="20"/>
          <w:bdr w:val="none" w:sz="0" w:space="0" w:color="auto"/>
        </w:rPr>
        <w:t xml:space="preserve">the </w:t>
      </w:r>
      <w:r w:rsidRPr="00A51861">
        <w:rPr>
          <w:rFonts w:asciiTheme="majorHAnsi" w:eastAsia="Calibri" w:hAnsiTheme="majorHAnsi" w:cs="Tahoma"/>
          <w:color w:val="000000"/>
          <w:sz w:val="20"/>
          <w:szCs w:val="20"/>
          <w:bdr w:val="none" w:sz="0" w:space="0" w:color="auto"/>
        </w:rPr>
        <w:t>particular</w:t>
      </w:r>
      <w:r>
        <w:rPr>
          <w:rFonts w:asciiTheme="majorHAnsi" w:eastAsia="Calibri" w:hAnsiTheme="majorHAnsi" w:cs="Tahoma"/>
          <w:color w:val="000000"/>
          <w:sz w:val="20"/>
          <w:szCs w:val="20"/>
          <w:bdr w:val="none" w:sz="0" w:space="0" w:color="auto"/>
        </w:rPr>
        <w:t xml:space="preserve"> </w:t>
      </w:r>
      <w:r w:rsidR="00E92985">
        <w:rPr>
          <w:rFonts w:asciiTheme="majorHAnsi" w:eastAsia="Calibri" w:hAnsiTheme="majorHAnsi" w:cs="Tahoma"/>
          <w:color w:val="000000"/>
          <w:sz w:val="20"/>
          <w:szCs w:val="20"/>
          <w:bdr w:val="none" w:sz="0" w:space="0" w:color="auto"/>
        </w:rPr>
        <w:t>situation</w:t>
      </w:r>
      <w:r w:rsidR="001D6B70" w:rsidRPr="00A51861">
        <w:rPr>
          <w:rFonts w:asciiTheme="majorHAnsi" w:eastAsia="Calibri" w:hAnsiTheme="majorHAnsi" w:cs="Tahoma"/>
          <w:color w:val="000000"/>
          <w:sz w:val="20"/>
          <w:szCs w:val="20"/>
          <w:bdr w:val="none" w:sz="0" w:space="0" w:color="auto"/>
        </w:rPr>
        <w:t>,</w:t>
      </w:r>
      <w:r w:rsidR="00D70A85">
        <w:rPr>
          <w:rFonts w:asciiTheme="majorHAnsi" w:eastAsia="Calibri" w:hAnsiTheme="majorHAnsi" w:cs="Tahoma"/>
          <w:color w:val="000000"/>
          <w:sz w:val="20"/>
          <w:szCs w:val="20"/>
          <w:bdr w:val="none" w:sz="0" w:space="0" w:color="auto"/>
        </w:rPr>
        <w:t xml:space="preserve"> is </w:t>
      </w:r>
      <w:r w:rsidRPr="00A51861">
        <w:rPr>
          <w:rFonts w:asciiTheme="majorHAnsi" w:eastAsia="Calibri" w:hAnsiTheme="majorHAnsi" w:cs="Tahoma"/>
          <w:color w:val="000000"/>
          <w:sz w:val="20"/>
          <w:szCs w:val="20"/>
          <w:bdr w:val="none" w:sz="0" w:space="0" w:color="auto"/>
        </w:rPr>
        <w:t>unjustifiable</w:t>
      </w:r>
      <w:r w:rsidR="001D6B70" w:rsidRPr="00A51861">
        <w:rPr>
          <w:rFonts w:asciiTheme="majorHAnsi" w:eastAsia="Calibri" w:hAnsiTheme="majorHAnsi" w:cs="Tahoma"/>
          <w:color w:val="000000"/>
          <w:sz w:val="20"/>
          <w:szCs w:val="20"/>
          <w:bdr w:val="none" w:sz="0" w:space="0" w:color="auto"/>
        </w:rPr>
        <w:t>”</w:t>
      </w:r>
      <w:r w:rsidR="00E92985">
        <w:rPr>
          <w:rFonts w:asciiTheme="majorHAnsi" w:eastAsia="Calibri" w:hAnsiTheme="majorHAnsi" w:cs="Tahoma"/>
          <w:color w:val="000000"/>
          <w:sz w:val="20"/>
          <w:szCs w:val="20"/>
          <w:bdr w:val="none" w:sz="0" w:space="0" w:color="auto"/>
        </w:rPr>
        <w:t xml:space="preserve"> and </w:t>
      </w:r>
      <w:r>
        <w:rPr>
          <w:rFonts w:asciiTheme="majorHAnsi" w:eastAsia="Calibri" w:hAnsiTheme="majorHAnsi" w:cs="Tahoma"/>
          <w:color w:val="000000"/>
          <w:sz w:val="20"/>
          <w:szCs w:val="20"/>
          <w:bdr w:val="none" w:sz="0" w:space="0" w:color="auto"/>
        </w:rPr>
        <w:t>that</w:t>
      </w:r>
      <w:r w:rsidR="001D6B70" w:rsidRPr="00A51861">
        <w:rPr>
          <w:rFonts w:asciiTheme="majorHAnsi" w:eastAsia="Calibri" w:hAnsiTheme="majorHAnsi" w:cs="Tahoma"/>
          <w:color w:val="000000"/>
          <w:sz w:val="20"/>
          <w:szCs w:val="20"/>
          <w:bdr w:val="none" w:sz="0" w:space="0" w:color="auto"/>
        </w:rPr>
        <w:t xml:space="preserve"> “</w:t>
      </w:r>
      <w:r>
        <w:rPr>
          <w:rFonts w:asciiTheme="majorHAnsi" w:eastAsia="Calibri" w:hAnsiTheme="majorHAnsi" w:cs="Tahoma"/>
          <w:color w:val="000000"/>
          <w:sz w:val="20"/>
          <w:szCs w:val="20"/>
          <w:bdr w:val="none" w:sz="0" w:space="0" w:color="auto"/>
        </w:rPr>
        <w:t>the treatment</w:t>
      </w:r>
      <w:r w:rsidR="00E92985">
        <w:rPr>
          <w:rFonts w:asciiTheme="majorHAnsi" w:eastAsia="Calibri" w:hAnsiTheme="majorHAnsi" w:cs="Tahoma"/>
          <w:color w:val="000000"/>
          <w:sz w:val="20"/>
          <w:szCs w:val="20"/>
          <w:bdr w:val="none" w:sz="0" w:space="0" w:color="auto"/>
        </w:rPr>
        <w:t xml:space="preserve"> or </w:t>
      </w:r>
      <w:r>
        <w:rPr>
          <w:rFonts w:asciiTheme="majorHAnsi" w:eastAsia="Calibri" w:hAnsiTheme="majorHAnsi" w:cs="Tahoma"/>
          <w:color w:val="000000"/>
          <w:sz w:val="20"/>
          <w:szCs w:val="20"/>
          <w:bdr w:val="none" w:sz="0" w:space="0" w:color="auto"/>
        </w:rPr>
        <w:t>punishment</w:t>
      </w:r>
      <w:r w:rsidR="00E92985">
        <w:rPr>
          <w:rFonts w:asciiTheme="majorHAnsi" w:eastAsia="Calibri" w:hAnsiTheme="majorHAnsi" w:cs="Tahoma"/>
          <w:color w:val="000000"/>
          <w:sz w:val="20"/>
          <w:szCs w:val="20"/>
          <w:bdr w:val="none" w:sz="0" w:space="0" w:color="auto"/>
        </w:rPr>
        <w:t xml:space="preserve"> of </w:t>
      </w:r>
      <w:r>
        <w:rPr>
          <w:rFonts w:asciiTheme="majorHAnsi" w:eastAsia="Calibri" w:hAnsiTheme="majorHAnsi" w:cs="Tahoma"/>
          <w:color w:val="000000"/>
          <w:sz w:val="20"/>
          <w:szCs w:val="20"/>
          <w:bdr w:val="none" w:sz="0" w:space="0" w:color="auto"/>
        </w:rPr>
        <w:t>an</w:t>
      </w:r>
      <w:r w:rsidR="001D6B70" w:rsidRPr="00A51861">
        <w:rPr>
          <w:rFonts w:asciiTheme="majorHAnsi" w:eastAsia="Calibri" w:hAnsiTheme="majorHAnsi" w:cs="Tahoma"/>
          <w:color w:val="000000"/>
          <w:sz w:val="20"/>
          <w:szCs w:val="20"/>
          <w:bdr w:val="none" w:sz="0" w:space="0" w:color="auto"/>
        </w:rPr>
        <w:t xml:space="preserve"> individu</w:t>
      </w:r>
      <w:r>
        <w:rPr>
          <w:rFonts w:asciiTheme="majorHAnsi" w:eastAsia="Calibri" w:hAnsiTheme="majorHAnsi" w:cs="Tahoma"/>
          <w:color w:val="000000"/>
          <w:sz w:val="20"/>
          <w:szCs w:val="20"/>
          <w:bdr w:val="none" w:sz="0" w:space="0" w:color="auto"/>
        </w:rPr>
        <w:t>al</w:t>
      </w:r>
      <w:r w:rsidR="001D6B70" w:rsidRPr="00A51861">
        <w:rPr>
          <w:rFonts w:asciiTheme="majorHAnsi" w:eastAsia="Calibri" w:hAnsiTheme="majorHAnsi" w:cs="Tahoma"/>
          <w:color w:val="000000"/>
          <w:sz w:val="20"/>
          <w:szCs w:val="20"/>
          <w:bdr w:val="none" w:sz="0" w:space="0" w:color="auto"/>
        </w:rPr>
        <w:t xml:space="preserve"> </w:t>
      </w:r>
      <w:r>
        <w:rPr>
          <w:rFonts w:asciiTheme="majorHAnsi" w:eastAsia="Calibri" w:hAnsiTheme="majorHAnsi" w:cs="Tahoma"/>
          <w:color w:val="000000"/>
          <w:sz w:val="20"/>
          <w:szCs w:val="20"/>
          <w:bdr w:val="none" w:sz="0" w:space="0" w:color="auto"/>
        </w:rPr>
        <w:t xml:space="preserve">may be degrading if </w:t>
      </w:r>
      <w:r w:rsidR="004842F3" w:rsidRPr="00A51861">
        <w:rPr>
          <w:rFonts w:asciiTheme="majorHAnsi" w:eastAsia="Calibri" w:hAnsiTheme="majorHAnsi" w:cs="Tahoma"/>
          <w:color w:val="000000"/>
          <w:sz w:val="20"/>
          <w:szCs w:val="20"/>
          <w:bdr w:val="none" w:sz="0" w:space="0" w:color="auto"/>
        </w:rPr>
        <w:t>sever</w:t>
      </w:r>
      <w:r w:rsidR="004842F3">
        <w:rPr>
          <w:rFonts w:asciiTheme="majorHAnsi" w:eastAsia="Calibri" w:hAnsiTheme="majorHAnsi" w:cs="Tahoma"/>
          <w:color w:val="000000"/>
          <w:sz w:val="20"/>
          <w:szCs w:val="20"/>
          <w:bdr w:val="none" w:sz="0" w:space="0" w:color="auto"/>
        </w:rPr>
        <w:t xml:space="preserve">ely </w:t>
      </w:r>
      <w:r>
        <w:rPr>
          <w:rFonts w:asciiTheme="majorHAnsi" w:eastAsia="Calibri" w:hAnsiTheme="majorHAnsi" w:cs="Tahoma"/>
          <w:color w:val="000000"/>
          <w:sz w:val="20"/>
          <w:szCs w:val="20"/>
          <w:bdr w:val="none" w:sz="0" w:space="0" w:color="auto"/>
        </w:rPr>
        <w:t>humiliated</w:t>
      </w:r>
      <w:r w:rsidR="001D6B70" w:rsidRPr="00A51861">
        <w:rPr>
          <w:rFonts w:asciiTheme="majorHAnsi" w:eastAsia="Calibri" w:hAnsiTheme="majorHAnsi" w:cs="Tahoma"/>
          <w:color w:val="000000"/>
          <w:sz w:val="20"/>
          <w:szCs w:val="20"/>
          <w:bdr w:val="none" w:sz="0" w:space="0" w:color="auto"/>
        </w:rPr>
        <w:t xml:space="preserve"> </w:t>
      </w:r>
      <w:r w:rsidR="004842F3">
        <w:rPr>
          <w:rFonts w:asciiTheme="majorHAnsi" w:eastAsia="Calibri" w:hAnsiTheme="majorHAnsi" w:cs="Tahoma"/>
          <w:color w:val="000000"/>
          <w:sz w:val="20"/>
          <w:szCs w:val="20"/>
          <w:bdr w:val="none" w:sz="0" w:space="0" w:color="auto"/>
        </w:rPr>
        <w:lastRenderedPageBreak/>
        <w:t>before others</w:t>
      </w:r>
      <w:r w:rsidR="00E92985">
        <w:rPr>
          <w:rFonts w:asciiTheme="majorHAnsi" w:eastAsia="Calibri" w:hAnsiTheme="majorHAnsi" w:cs="Tahoma"/>
          <w:color w:val="000000"/>
          <w:sz w:val="20"/>
          <w:szCs w:val="20"/>
          <w:bdr w:val="none" w:sz="0" w:space="0" w:color="auto"/>
        </w:rPr>
        <w:t xml:space="preserve"> or </w:t>
      </w:r>
      <w:r w:rsidR="004842F3">
        <w:rPr>
          <w:rFonts w:asciiTheme="majorHAnsi" w:eastAsia="Calibri" w:hAnsiTheme="majorHAnsi" w:cs="Tahoma"/>
          <w:color w:val="000000"/>
          <w:sz w:val="20"/>
          <w:szCs w:val="20"/>
          <w:bdr w:val="none" w:sz="0" w:space="0" w:color="auto"/>
        </w:rPr>
        <w:t>is compelled to act</w:t>
      </w:r>
      <w:r w:rsidR="00CB0928">
        <w:rPr>
          <w:rFonts w:asciiTheme="majorHAnsi" w:eastAsia="Calibri" w:hAnsiTheme="majorHAnsi" w:cs="Tahoma"/>
          <w:color w:val="000000"/>
          <w:sz w:val="20"/>
          <w:szCs w:val="20"/>
          <w:bdr w:val="none" w:sz="0" w:space="0" w:color="auto"/>
        </w:rPr>
        <w:t xml:space="preserve"> against </w:t>
      </w:r>
      <w:r w:rsidR="004842F3">
        <w:rPr>
          <w:rFonts w:asciiTheme="majorHAnsi" w:eastAsia="Calibri" w:hAnsiTheme="majorHAnsi" w:cs="Tahoma"/>
          <w:color w:val="000000"/>
          <w:sz w:val="20"/>
          <w:szCs w:val="20"/>
          <w:bdr w:val="none" w:sz="0" w:space="0" w:color="auto"/>
        </w:rPr>
        <w:t>his or her desires or</w:t>
      </w:r>
      <w:r w:rsidR="008C6C20" w:rsidRPr="00A51861">
        <w:rPr>
          <w:rFonts w:asciiTheme="majorHAnsi" w:eastAsia="Calibri" w:hAnsiTheme="majorHAnsi" w:cs="Tahoma"/>
          <w:color w:val="000000"/>
          <w:sz w:val="20"/>
          <w:szCs w:val="20"/>
          <w:bdr w:val="none" w:sz="0" w:space="0" w:color="auto"/>
        </w:rPr>
        <w:t xml:space="preserve"> con</w:t>
      </w:r>
      <w:r w:rsidR="004842F3">
        <w:rPr>
          <w:rFonts w:asciiTheme="majorHAnsi" w:eastAsia="Calibri" w:hAnsiTheme="majorHAnsi" w:cs="Tahoma"/>
          <w:color w:val="000000"/>
          <w:sz w:val="20"/>
          <w:szCs w:val="20"/>
          <w:bdr w:val="none" w:sz="0" w:space="0" w:color="auto"/>
        </w:rPr>
        <w:t>s</w:t>
      </w:r>
      <w:r w:rsidR="008C6C20" w:rsidRPr="00A51861">
        <w:rPr>
          <w:rFonts w:asciiTheme="majorHAnsi" w:eastAsia="Calibri" w:hAnsiTheme="majorHAnsi" w:cs="Tahoma"/>
          <w:color w:val="000000"/>
          <w:sz w:val="20"/>
          <w:szCs w:val="20"/>
          <w:bdr w:val="none" w:sz="0" w:space="0" w:color="auto"/>
        </w:rPr>
        <w:t>cienc</w:t>
      </w:r>
      <w:r w:rsidR="004842F3">
        <w:rPr>
          <w:rFonts w:asciiTheme="majorHAnsi" w:eastAsia="Calibri" w:hAnsiTheme="majorHAnsi" w:cs="Tahoma"/>
          <w:color w:val="000000"/>
          <w:sz w:val="20"/>
          <w:szCs w:val="20"/>
          <w:bdr w:val="none" w:sz="0" w:space="0" w:color="auto"/>
        </w:rPr>
        <w:t>e</w:t>
      </w:r>
      <w:r w:rsidR="008C6C20" w:rsidRPr="00A51861">
        <w:rPr>
          <w:rFonts w:asciiTheme="majorHAnsi" w:eastAsia="Calibri" w:hAnsiTheme="majorHAnsi" w:cs="Tahoma"/>
          <w:color w:val="000000"/>
          <w:sz w:val="20"/>
          <w:szCs w:val="20"/>
          <w:bdr w:val="none" w:sz="0" w:space="0" w:color="auto"/>
        </w:rPr>
        <w:t>”</w:t>
      </w:r>
      <w:r w:rsidR="008C6C20" w:rsidRPr="00A51861">
        <w:rPr>
          <w:rStyle w:val="FootnoteReference"/>
          <w:rFonts w:asciiTheme="majorHAnsi" w:eastAsia="Calibri" w:hAnsiTheme="majorHAnsi" w:cs="Tahoma"/>
          <w:color w:val="000000"/>
          <w:sz w:val="20"/>
          <w:szCs w:val="20"/>
          <w:bdr w:val="none" w:sz="0" w:space="0" w:color="auto"/>
        </w:rPr>
        <w:footnoteReference w:id="200"/>
      </w:r>
      <w:r w:rsidR="001D6B70" w:rsidRPr="00A51861">
        <w:rPr>
          <w:rFonts w:asciiTheme="majorHAnsi" w:eastAsia="Calibri" w:hAnsiTheme="majorHAnsi" w:cs="Tahoma"/>
          <w:color w:val="000000"/>
          <w:sz w:val="20"/>
          <w:szCs w:val="20"/>
          <w:bdr w:val="none" w:sz="0" w:space="0" w:color="auto"/>
        </w:rPr>
        <w:t xml:space="preserve">. </w:t>
      </w:r>
      <w:r w:rsidR="004842F3" w:rsidRPr="00A51861">
        <w:rPr>
          <w:rFonts w:asciiTheme="majorHAnsi" w:eastAsia="Calibri" w:hAnsiTheme="majorHAnsi" w:cs="Tahoma"/>
          <w:color w:val="000000"/>
          <w:sz w:val="20"/>
          <w:szCs w:val="20"/>
          <w:bdr w:val="none" w:sz="0" w:space="0" w:color="auto"/>
        </w:rPr>
        <w:t>Additiona</w:t>
      </w:r>
      <w:r w:rsidR="004842F3">
        <w:rPr>
          <w:rFonts w:asciiTheme="majorHAnsi" w:eastAsia="Calibri" w:hAnsiTheme="majorHAnsi" w:cs="Tahoma"/>
          <w:color w:val="000000"/>
          <w:sz w:val="20"/>
          <w:szCs w:val="20"/>
          <w:bdr w:val="none" w:sz="0" w:space="0" w:color="auto"/>
        </w:rPr>
        <w:t>lly</w:t>
      </w:r>
      <w:r w:rsidR="001D6B70" w:rsidRPr="00A51861">
        <w:rPr>
          <w:rFonts w:asciiTheme="majorHAnsi" w:eastAsia="Calibri" w:hAnsiTheme="majorHAnsi" w:cs="Tahoma"/>
          <w:color w:val="000000"/>
          <w:sz w:val="20"/>
          <w:szCs w:val="20"/>
          <w:bdr w:val="none" w:sz="0" w:space="0" w:color="auto"/>
        </w:rPr>
        <w:t>, “</w:t>
      </w:r>
      <w:r w:rsidR="004842F3" w:rsidRPr="00A51861">
        <w:rPr>
          <w:rFonts w:asciiTheme="majorHAnsi" w:eastAsia="Calibri" w:hAnsiTheme="majorHAnsi" w:cs="Tahoma"/>
          <w:color w:val="000000"/>
          <w:sz w:val="20"/>
          <w:szCs w:val="20"/>
          <w:bdr w:val="none" w:sz="0" w:space="0" w:color="auto"/>
        </w:rPr>
        <w:t>degrad</w:t>
      </w:r>
      <w:r w:rsidR="004842F3">
        <w:rPr>
          <w:rFonts w:asciiTheme="majorHAnsi" w:eastAsia="Calibri" w:hAnsiTheme="majorHAnsi" w:cs="Tahoma"/>
          <w:color w:val="000000"/>
          <w:sz w:val="20"/>
          <w:szCs w:val="20"/>
          <w:bdr w:val="none" w:sz="0" w:space="0" w:color="auto"/>
        </w:rPr>
        <w:t xml:space="preserve">ing </w:t>
      </w:r>
      <w:r w:rsidR="001D6B70" w:rsidRPr="00A51861">
        <w:rPr>
          <w:rFonts w:asciiTheme="majorHAnsi" w:eastAsia="Calibri" w:hAnsiTheme="majorHAnsi" w:cs="Tahoma"/>
          <w:color w:val="000000"/>
          <w:sz w:val="20"/>
          <w:szCs w:val="20"/>
          <w:bdr w:val="none" w:sz="0" w:space="0" w:color="auto"/>
        </w:rPr>
        <w:t>tr</w:t>
      </w:r>
      <w:r w:rsidR="004842F3">
        <w:rPr>
          <w:rFonts w:asciiTheme="majorHAnsi" w:eastAsia="Calibri" w:hAnsiTheme="majorHAnsi" w:cs="Tahoma"/>
          <w:color w:val="000000"/>
          <w:sz w:val="20"/>
          <w:szCs w:val="20"/>
          <w:bdr w:val="none" w:sz="0" w:space="0" w:color="auto"/>
        </w:rPr>
        <w:t>e</w:t>
      </w:r>
      <w:r w:rsidR="001D6B70" w:rsidRPr="00A51861">
        <w:rPr>
          <w:rFonts w:asciiTheme="majorHAnsi" w:eastAsia="Calibri" w:hAnsiTheme="majorHAnsi" w:cs="Tahoma"/>
          <w:color w:val="000000"/>
          <w:sz w:val="20"/>
          <w:szCs w:val="20"/>
          <w:bdr w:val="none" w:sz="0" w:space="0" w:color="auto"/>
        </w:rPr>
        <w:t>at</w:t>
      </w:r>
      <w:r w:rsidR="004842F3">
        <w:rPr>
          <w:rFonts w:asciiTheme="majorHAnsi" w:eastAsia="Calibri" w:hAnsiTheme="majorHAnsi" w:cs="Tahoma"/>
          <w:color w:val="000000"/>
          <w:sz w:val="20"/>
          <w:szCs w:val="20"/>
          <w:bdr w:val="none" w:sz="0" w:space="0" w:color="auto"/>
        </w:rPr>
        <w:t>ment</w:t>
      </w:r>
      <w:r w:rsidR="001D6B70" w:rsidRPr="00A51861">
        <w:rPr>
          <w:rFonts w:asciiTheme="majorHAnsi" w:eastAsia="Calibri" w:hAnsiTheme="majorHAnsi" w:cs="Tahoma"/>
          <w:color w:val="000000"/>
          <w:sz w:val="20"/>
          <w:szCs w:val="20"/>
          <w:bdr w:val="none" w:sz="0" w:space="0" w:color="auto"/>
        </w:rPr>
        <w:t xml:space="preserve"> </w:t>
      </w:r>
      <w:r w:rsidR="00D70A85">
        <w:rPr>
          <w:rFonts w:asciiTheme="majorHAnsi" w:eastAsia="Calibri" w:hAnsiTheme="majorHAnsi" w:cs="Tahoma"/>
          <w:color w:val="000000"/>
          <w:sz w:val="20"/>
          <w:szCs w:val="20"/>
          <w:bdr w:val="none" w:sz="0" w:space="0" w:color="auto"/>
        </w:rPr>
        <w:t xml:space="preserve">is </w:t>
      </w:r>
      <w:r w:rsidR="004842F3" w:rsidRPr="00A51861">
        <w:rPr>
          <w:rFonts w:asciiTheme="majorHAnsi" w:eastAsia="Calibri" w:hAnsiTheme="majorHAnsi" w:cs="Tahoma"/>
          <w:color w:val="000000"/>
          <w:sz w:val="20"/>
          <w:szCs w:val="20"/>
          <w:bdr w:val="none" w:sz="0" w:space="0" w:color="auto"/>
        </w:rPr>
        <w:t>characterized</w:t>
      </w:r>
      <w:r w:rsidR="001D6B70" w:rsidRPr="00A51861">
        <w:rPr>
          <w:rFonts w:asciiTheme="majorHAnsi" w:eastAsia="Calibri" w:hAnsiTheme="majorHAnsi" w:cs="Tahoma"/>
          <w:color w:val="000000"/>
          <w:sz w:val="20"/>
          <w:szCs w:val="20"/>
          <w:bdr w:val="none" w:sz="0" w:space="0" w:color="auto"/>
        </w:rPr>
        <w:t xml:space="preserve"> </w:t>
      </w:r>
      <w:r w:rsidR="004842F3">
        <w:rPr>
          <w:rFonts w:asciiTheme="majorHAnsi" w:eastAsia="Calibri" w:hAnsiTheme="majorHAnsi" w:cs="Tahoma"/>
          <w:color w:val="000000"/>
          <w:sz w:val="20"/>
          <w:szCs w:val="20"/>
          <w:bdr w:val="none" w:sz="0" w:space="0" w:color="auto"/>
        </w:rPr>
        <w:t xml:space="preserve">by </w:t>
      </w:r>
      <w:r w:rsidR="001937FB">
        <w:rPr>
          <w:rFonts w:asciiTheme="majorHAnsi" w:eastAsia="Calibri" w:hAnsiTheme="majorHAnsi" w:cs="Tahoma"/>
          <w:color w:val="000000"/>
          <w:sz w:val="20"/>
          <w:szCs w:val="20"/>
          <w:bdr w:val="none" w:sz="0" w:space="0" w:color="auto"/>
        </w:rPr>
        <w:t>fear</w:t>
      </w:r>
      <w:r w:rsidR="001D6B70" w:rsidRPr="00A51861">
        <w:rPr>
          <w:rFonts w:asciiTheme="majorHAnsi" w:eastAsia="Calibri" w:hAnsiTheme="majorHAnsi" w:cs="Tahoma"/>
          <w:color w:val="000000"/>
          <w:sz w:val="20"/>
          <w:szCs w:val="20"/>
          <w:bdr w:val="none" w:sz="0" w:space="0" w:color="auto"/>
        </w:rPr>
        <w:t>, an</w:t>
      </w:r>
      <w:r w:rsidR="004842F3">
        <w:rPr>
          <w:rFonts w:asciiTheme="majorHAnsi" w:eastAsia="Calibri" w:hAnsiTheme="majorHAnsi" w:cs="Tahoma"/>
          <w:color w:val="000000"/>
          <w:sz w:val="20"/>
          <w:szCs w:val="20"/>
          <w:bdr w:val="none" w:sz="0" w:space="0" w:color="auto"/>
        </w:rPr>
        <w:t>x</w:t>
      </w:r>
      <w:r w:rsidR="001D6B70" w:rsidRPr="00A51861">
        <w:rPr>
          <w:rFonts w:asciiTheme="majorHAnsi" w:eastAsia="Calibri" w:hAnsiTheme="majorHAnsi" w:cs="Tahoma"/>
          <w:color w:val="000000"/>
          <w:sz w:val="20"/>
          <w:szCs w:val="20"/>
          <w:bdr w:val="none" w:sz="0" w:space="0" w:color="auto"/>
        </w:rPr>
        <w:t>ie</w:t>
      </w:r>
      <w:r w:rsidR="00FA2E7B">
        <w:rPr>
          <w:rFonts w:asciiTheme="majorHAnsi" w:eastAsia="Calibri" w:hAnsiTheme="majorHAnsi" w:cs="Tahoma"/>
          <w:color w:val="000000"/>
          <w:sz w:val="20"/>
          <w:szCs w:val="20"/>
          <w:bdr w:val="none" w:sz="0" w:space="0" w:color="auto"/>
        </w:rPr>
        <w:t xml:space="preserve">ty </w:t>
      </w:r>
      <w:r w:rsidR="00E92985">
        <w:rPr>
          <w:rFonts w:asciiTheme="majorHAnsi" w:eastAsia="Calibri" w:hAnsiTheme="majorHAnsi" w:cs="Tahoma"/>
          <w:color w:val="000000"/>
          <w:sz w:val="20"/>
          <w:szCs w:val="20"/>
          <w:bdr w:val="none" w:sz="0" w:space="0" w:color="auto"/>
        </w:rPr>
        <w:t xml:space="preserve">and </w:t>
      </w:r>
      <w:r w:rsidR="001D6B70" w:rsidRPr="00A51861">
        <w:rPr>
          <w:rFonts w:asciiTheme="majorHAnsi" w:eastAsia="Calibri" w:hAnsiTheme="majorHAnsi" w:cs="Tahoma"/>
          <w:color w:val="000000"/>
          <w:sz w:val="20"/>
          <w:szCs w:val="20"/>
          <w:bdr w:val="none" w:sz="0" w:space="0" w:color="auto"/>
        </w:rPr>
        <w:t>inferiori</w:t>
      </w:r>
      <w:r w:rsidR="00FA2E7B">
        <w:rPr>
          <w:rFonts w:asciiTheme="majorHAnsi" w:eastAsia="Calibri" w:hAnsiTheme="majorHAnsi" w:cs="Tahoma"/>
          <w:color w:val="000000"/>
          <w:sz w:val="20"/>
          <w:szCs w:val="20"/>
          <w:bdr w:val="none" w:sz="0" w:space="0" w:color="auto"/>
        </w:rPr>
        <w:t xml:space="preserve">ty </w:t>
      </w:r>
      <w:r w:rsidR="001D6B70" w:rsidRPr="00A51861">
        <w:rPr>
          <w:rFonts w:asciiTheme="majorHAnsi" w:eastAsia="Calibri" w:hAnsiTheme="majorHAnsi" w:cs="Tahoma"/>
          <w:color w:val="000000"/>
          <w:sz w:val="20"/>
          <w:szCs w:val="20"/>
          <w:bdr w:val="none" w:sz="0" w:space="0" w:color="auto"/>
        </w:rPr>
        <w:t>caus</w:t>
      </w:r>
      <w:r w:rsidR="004842F3">
        <w:rPr>
          <w:rFonts w:asciiTheme="majorHAnsi" w:eastAsia="Calibri" w:hAnsiTheme="majorHAnsi" w:cs="Tahoma"/>
          <w:color w:val="000000"/>
          <w:sz w:val="20"/>
          <w:szCs w:val="20"/>
          <w:bdr w:val="none" w:sz="0" w:space="0" w:color="auto"/>
        </w:rPr>
        <w:t>ed</w:t>
      </w:r>
      <w:r w:rsidR="001D6B70" w:rsidRPr="00A51861">
        <w:rPr>
          <w:rFonts w:asciiTheme="majorHAnsi" w:eastAsia="Calibri" w:hAnsiTheme="majorHAnsi" w:cs="Tahoma"/>
          <w:color w:val="000000"/>
          <w:sz w:val="20"/>
          <w:szCs w:val="20"/>
          <w:bdr w:val="none" w:sz="0" w:space="0" w:color="auto"/>
        </w:rPr>
        <w:t xml:space="preserve"> </w:t>
      </w:r>
      <w:r w:rsidR="004842F3">
        <w:rPr>
          <w:rFonts w:asciiTheme="majorHAnsi" w:eastAsia="Calibri" w:hAnsiTheme="majorHAnsi" w:cs="Tahoma"/>
          <w:color w:val="000000"/>
          <w:sz w:val="20"/>
          <w:szCs w:val="20"/>
          <w:bdr w:val="none" w:sz="0" w:space="0" w:color="auto"/>
        </w:rPr>
        <w:t>with the purpose to</w:t>
      </w:r>
      <w:r w:rsidR="00E92985">
        <w:rPr>
          <w:rFonts w:asciiTheme="majorHAnsi" w:eastAsia="Calibri" w:hAnsiTheme="majorHAnsi" w:cs="Tahoma"/>
          <w:color w:val="000000"/>
          <w:sz w:val="20"/>
          <w:szCs w:val="20"/>
          <w:bdr w:val="none" w:sz="0" w:space="0" w:color="auto"/>
        </w:rPr>
        <w:t xml:space="preserve"> </w:t>
      </w:r>
      <w:r w:rsidR="001D6B70" w:rsidRPr="00A51861">
        <w:rPr>
          <w:rFonts w:asciiTheme="majorHAnsi" w:eastAsia="Calibri" w:hAnsiTheme="majorHAnsi" w:cs="Tahoma"/>
          <w:color w:val="000000"/>
          <w:sz w:val="20"/>
          <w:szCs w:val="20"/>
          <w:bdr w:val="none" w:sz="0" w:space="0" w:color="auto"/>
        </w:rPr>
        <w:t>humil</w:t>
      </w:r>
      <w:r w:rsidR="004842F3">
        <w:rPr>
          <w:rFonts w:asciiTheme="majorHAnsi" w:eastAsia="Calibri" w:hAnsiTheme="majorHAnsi" w:cs="Tahoma"/>
          <w:color w:val="000000"/>
          <w:sz w:val="20"/>
          <w:szCs w:val="20"/>
          <w:bdr w:val="none" w:sz="0" w:space="0" w:color="auto"/>
        </w:rPr>
        <w:t>iate</w:t>
      </w:r>
      <w:r w:rsidR="00E92985">
        <w:rPr>
          <w:rFonts w:asciiTheme="majorHAnsi" w:eastAsia="Calibri" w:hAnsiTheme="majorHAnsi" w:cs="Tahoma"/>
          <w:color w:val="000000"/>
          <w:sz w:val="20"/>
          <w:szCs w:val="20"/>
          <w:bdr w:val="none" w:sz="0" w:space="0" w:color="auto"/>
        </w:rPr>
        <w:t xml:space="preserve"> and </w:t>
      </w:r>
      <w:r w:rsidR="001D6B70" w:rsidRPr="00A51861">
        <w:rPr>
          <w:rFonts w:asciiTheme="majorHAnsi" w:eastAsia="Calibri" w:hAnsiTheme="majorHAnsi" w:cs="Tahoma"/>
          <w:color w:val="000000"/>
          <w:sz w:val="20"/>
          <w:szCs w:val="20"/>
          <w:bdr w:val="none" w:sz="0" w:space="0" w:color="auto"/>
        </w:rPr>
        <w:t>degrad</w:t>
      </w:r>
      <w:r w:rsidR="004842F3">
        <w:rPr>
          <w:rFonts w:asciiTheme="majorHAnsi" w:eastAsia="Calibri" w:hAnsiTheme="majorHAnsi" w:cs="Tahoma"/>
          <w:color w:val="000000"/>
          <w:sz w:val="20"/>
          <w:szCs w:val="20"/>
          <w:bdr w:val="none" w:sz="0" w:space="0" w:color="auto"/>
        </w:rPr>
        <w:t>e</w:t>
      </w:r>
      <w:r w:rsidR="001D6B70" w:rsidRPr="00A51861">
        <w:rPr>
          <w:rFonts w:asciiTheme="majorHAnsi" w:eastAsia="Calibri" w:hAnsiTheme="majorHAnsi" w:cs="Tahoma"/>
          <w:color w:val="000000"/>
          <w:sz w:val="20"/>
          <w:szCs w:val="20"/>
          <w:bdr w:val="none" w:sz="0" w:space="0" w:color="auto"/>
        </w:rPr>
        <w:t xml:space="preserve"> </w:t>
      </w:r>
      <w:r w:rsidR="009A4F91">
        <w:rPr>
          <w:rFonts w:asciiTheme="majorHAnsi" w:eastAsia="Calibri" w:hAnsiTheme="majorHAnsi" w:cs="Tahoma"/>
          <w:color w:val="000000"/>
          <w:sz w:val="20"/>
          <w:szCs w:val="20"/>
          <w:bdr w:val="none" w:sz="0" w:space="0" w:color="auto"/>
        </w:rPr>
        <w:t xml:space="preserve">the </w:t>
      </w:r>
      <w:r w:rsidR="00B4073F">
        <w:rPr>
          <w:rFonts w:asciiTheme="majorHAnsi" w:eastAsia="Calibri" w:hAnsiTheme="majorHAnsi" w:cs="Tahoma"/>
          <w:color w:val="000000"/>
          <w:sz w:val="20"/>
          <w:szCs w:val="20"/>
          <w:bdr w:val="none" w:sz="0" w:space="0" w:color="auto"/>
        </w:rPr>
        <w:t>victim</w:t>
      </w:r>
      <w:r w:rsidR="00E92985">
        <w:rPr>
          <w:rFonts w:asciiTheme="majorHAnsi" w:eastAsia="Calibri" w:hAnsiTheme="majorHAnsi" w:cs="Tahoma"/>
          <w:color w:val="000000"/>
          <w:sz w:val="20"/>
          <w:szCs w:val="20"/>
          <w:bdr w:val="none" w:sz="0" w:space="0" w:color="auto"/>
        </w:rPr>
        <w:t xml:space="preserve"> and </w:t>
      </w:r>
      <w:r w:rsidR="004842F3">
        <w:rPr>
          <w:rFonts w:asciiTheme="majorHAnsi" w:eastAsia="Calibri" w:hAnsiTheme="majorHAnsi" w:cs="Tahoma"/>
          <w:color w:val="000000"/>
          <w:sz w:val="20"/>
          <w:szCs w:val="20"/>
          <w:bdr w:val="none" w:sz="0" w:space="0" w:color="auto"/>
        </w:rPr>
        <w:t>break his or her</w:t>
      </w:r>
      <w:r w:rsidR="001D6B70" w:rsidRPr="00A51861">
        <w:rPr>
          <w:rFonts w:asciiTheme="majorHAnsi" w:eastAsia="Calibri" w:hAnsiTheme="majorHAnsi" w:cs="Tahoma"/>
          <w:color w:val="000000"/>
          <w:sz w:val="20"/>
          <w:szCs w:val="20"/>
          <w:bdr w:val="none" w:sz="0" w:space="0" w:color="auto"/>
        </w:rPr>
        <w:t xml:space="preserve"> </w:t>
      </w:r>
      <w:r w:rsidR="004842F3">
        <w:rPr>
          <w:rFonts w:asciiTheme="majorHAnsi" w:eastAsia="Calibri" w:hAnsiTheme="majorHAnsi" w:cs="Tahoma"/>
          <w:color w:val="000000"/>
          <w:sz w:val="20"/>
          <w:szCs w:val="20"/>
          <w:bdr w:val="none" w:sz="0" w:space="0" w:color="auto"/>
        </w:rPr>
        <w:t>physical</w:t>
      </w:r>
      <w:r w:rsidR="00E92985">
        <w:rPr>
          <w:rFonts w:asciiTheme="majorHAnsi" w:eastAsia="Calibri" w:hAnsiTheme="majorHAnsi" w:cs="Tahoma"/>
          <w:color w:val="000000"/>
          <w:sz w:val="20"/>
          <w:szCs w:val="20"/>
          <w:bdr w:val="none" w:sz="0" w:space="0" w:color="auto"/>
        </w:rPr>
        <w:t xml:space="preserve"> and </w:t>
      </w:r>
      <w:r w:rsidR="00DC3654" w:rsidRPr="00A51861">
        <w:rPr>
          <w:rFonts w:asciiTheme="majorHAnsi" w:eastAsia="Calibri" w:hAnsiTheme="majorHAnsi" w:cs="Tahoma"/>
          <w:color w:val="000000"/>
          <w:sz w:val="20"/>
          <w:szCs w:val="20"/>
          <w:bdr w:val="none" w:sz="0" w:space="0" w:color="auto"/>
        </w:rPr>
        <w:t>moral</w:t>
      </w:r>
      <w:r w:rsidR="004842F3" w:rsidRPr="004842F3">
        <w:rPr>
          <w:rFonts w:asciiTheme="majorHAnsi" w:eastAsia="Calibri" w:hAnsiTheme="majorHAnsi" w:cs="Tahoma"/>
          <w:color w:val="000000"/>
          <w:sz w:val="20"/>
          <w:szCs w:val="20"/>
          <w:bdr w:val="none" w:sz="0" w:space="0" w:color="auto"/>
        </w:rPr>
        <w:t xml:space="preserve"> </w:t>
      </w:r>
      <w:r w:rsidR="004842F3" w:rsidRPr="00A51861">
        <w:rPr>
          <w:rFonts w:asciiTheme="majorHAnsi" w:eastAsia="Calibri" w:hAnsiTheme="majorHAnsi" w:cs="Tahoma"/>
          <w:color w:val="000000"/>
          <w:sz w:val="20"/>
          <w:szCs w:val="20"/>
          <w:bdr w:val="none" w:sz="0" w:space="0" w:color="auto"/>
        </w:rPr>
        <w:t>resist</w:t>
      </w:r>
      <w:r w:rsidR="004842F3">
        <w:rPr>
          <w:rFonts w:asciiTheme="majorHAnsi" w:eastAsia="Calibri" w:hAnsiTheme="majorHAnsi" w:cs="Tahoma"/>
          <w:color w:val="000000"/>
          <w:sz w:val="20"/>
          <w:szCs w:val="20"/>
          <w:bdr w:val="none" w:sz="0" w:space="0" w:color="auto"/>
        </w:rPr>
        <w:t>a</w:t>
      </w:r>
      <w:r w:rsidR="004842F3" w:rsidRPr="00A51861">
        <w:rPr>
          <w:rFonts w:asciiTheme="majorHAnsi" w:eastAsia="Calibri" w:hAnsiTheme="majorHAnsi" w:cs="Tahoma"/>
          <w:color w:val="000000"/>
          <w:sz w:val="20"/>
          <w:szCs w:val="20"/>
          <w:bdr w:val="none" w:sz="0" w:space="0" w:color="auto"/>
        </w:rPr>
        <w:t>nc</w:t>
      </w:r>
      <w:r w:rsidR="004842F3">
        <w:rPr>
          <w:rFonts w:asciiTheme="majorHAnsi" w:eastAsia="Calibri" w:hAnsiTheme="majorHAnsi" w:cs="Tahoma"/>
          <w:color w:val="000000"/>
          <w:sz w:val="20"/>
          <w:szCs w:val="20"/>
          <w:bdr w:val="none" w:sz="0" w:space="0" w:color="auto"/>
        </w:rPr>
        <w:t>e</w:t>
      </w:r>
      <w:r w:rsidR="00DC3654" w:rsidRPr="00A51861">
        <w:rPr>
          <w:rFonts w:asciiTheme="majorHAnsi" w:eastAsia="Calibri" w:hAnsiTheme="majorHAnsi" w:cs="Tahoma"/>
          <w:color w:val="000000"/>
          <w:sz w:val="20"/>
          <w:szCs w:val="20"/>
          <w:bdr w:val="none" w:sz="0" w:space="0" w:color="auto"/>
        </w:rPr>
        <w:t>”</w:t>
      </w:r>
      <w:r w:rsidR="00DC3654" w:rsidRPr="00A51861">
        <w:rPr>
          <w:rStyle w:val="FootnoteReference"/>
          <w:rFonts w:asciiTheme="majorHAnsi" w:eastAsia="Calibri" w:hAnsiTheme="majorHAnsi" w:cs="Tahoma"/>
          <w:color w:val="000000"/>
          <w:sz w:val="20"/>
          <w:szCs w:val="20"/>
          <w:bdr w:val="none" w:sz="0" w:space="0" w:color="auto"/>
        </w:rPr>
        <w:footnoteReference w:id="201"/>
      </w:r>
      <w:r w:rsidR="001D6B70" w:rsidRPr="00A51861">
        <w:rPr>
          <w:rFonts w:asciiTheme="majorHAnsi" w:eastAsia="Calibri" w:hAnsiTheme="majorHAnsi" w:cs="Tahoma"/>
          <w:color w:val="000000"/>
          <w:sz w:val="20"/>
          <w:szCs w:val="20"/>
          <w:bdr w:val="none" w:sz="0" w:space="0" w:color="auto"/>
        </w:rPr>
        <w:t xml:space="preserve">, </w:t>
      </w:r>
      <w:r w:rsidR="004842F3">
        <w:rPr>
          <w:rFonts w:asciiTheme="majorHAnsi" w:eastAsia="Calibri" w:hAnsiTheme="majorHAnsi" w:cs="Tahoma"/>
          <w:color w:val="000000"/>
          <w:sz w:val="20"/>
          <w:szCs w:val="20"/>
          <w:bdr w:val="none" w:sz="0" w:space="0" w:color="auto"/>
        </w:rPr>
        <w:t>which</w:t>
      </w:r>
      <w:r w:rsidR="001D6B70" w:rsidRPr="00A51861">
        <w:rPr>
          <w:rFonts w:asciiTheme="majorHAnsi" w:eastAsia="Calibri" w:hAnsiTheme="majorHAnsi" w:cs="Tahoma"/>
          <w:color w:val="000000"/>
          <w:sz w:val="20"/>
          <w:szCs w:val="20"/>
          <w:bdr w:val="none" w:sz="0" w:space="0" w:color="auto"/>
        </w:rPr>
        <w:t xml:space="preserve"> “</w:t>
      </w:r>
      <w:r w:rsidR="004842F3">
        <w:rPr>
          <w:rFonts w:asciiTheme="majorHAnsi" w:eastAsia="Calibri" w:hAnsiTheme="majorHAnsi" w:cs="Tahoma"/>
          <w:color w:val="000000"/>
          <w:sz w:val="20"/>
          <w:szCs w:val="20"/>
          <w:bdr w:val="none" w:sz="0" w:space="0" w:color="auto"/>
        </w:rPr>
        <w:t>i</w:t>
      </w:r>
      <w:r w:rsidR="001D6B70" w:rsidRPr="00A51861">
        <w:rPr>
          <w:rFonts w:asciiTheme="majorHAnsi" w:eastAsia="Calibri" w:hAnsiTheme="majorHAnsi" w:cs="Tahoma"/>
          <w:color w:val="000000"/>
          <w:sz w:val="20"/>
          <w:szCs w:val="20"/>
          <w:bdr w:val="none" w:sz="0" w:space="0" w:color="auto"/>
        </w:rPr>
        <w:t xml:space="preserve">s </w:t>
      </w:r>
      <w:r w:rsidR="004842F3">
        <w:rPr>
          <w:rFonts w:asciiTheme="majorHAnsi" w:eastAsia="Calibri" w:hAnsiTheme="majorHAnsi" w:cs="Tahoma"/>
          <w:color w:val="000000"/>
          <w:sz w:val="20"/>
          <w:szCs w:val="20"/>
          <w:bdr w:val="none" w:sz="0" w:space="0" w:color="auto"/>
        </w:rPr>
        <w:t>enhanced by</w:t>
      </w:r>
      <w:r w:rsidR="009A4F91">
        <w:rPr>
          <w:rFonts w:asciiTheme="majorHAnsi" w:eastAsia="Calibri" w:hAnsiTheme="majorHAnsi" w:cs="Tahoma"/>
          <w:color w:val="000000"/>
          <w:sz w:val="20"/>
          <w:szCs w:val="20"/>
          <w:bdr w:val="none" w:sz="0" w:space="0" w:color="auto"/>
        </w:rPr>
        <w:t xml:space="preserve"> the </w:t>
      </w:r>
      <w:r w:rsidR="001D6B70" w:rsidRPr="00A51861">
        <w:rPr>
          <w:rFonts w:asciiTheme="majorHAnsi" w:eastAsia="Calibri" w:hAnsiTheme="majorHAnsi" w:cs="Tahoma"/>
          <w:color w:val="000000"/>
          <w:sz w:val="20"/>
          <w:szCs w:val="20"/>
          <w:bdr w:val="none" w:sz="0" w:space="0" w:color="auto"/>
        </w:rPr>
        <w:t>vulnerabili</w:t>
      </w:r>
      <w:r w:rsidR="00FA2E7B">
        <w:rPr>
          <w:rFonts w:asciiTheme="majorHAnsi" w:eastAsia="Calibri" w:hAnsiTheme="majorHAnsi" w:cs="Tahoma"/>
          <w:color w:val="000000"/>
          <w:sz w:val="20"/>
          <w:szCs w:val="20"/>
          <w:bdr w:val="none" w:sz="0" w:space="0" w:color="auto"/>
        </w:rPr>
        <w:t xml:space="preserve">ty </w:t>
      </w:r>
      <w:r w:rsidR="00E92985">
        <w:rPr>
          <w:rFonts w:asciiTheme="majorHAnsi" w:eastAsia="Calibri" w:hAnsiTheme="majorHAnsi" w:cs="Tahoma"/>
          <w:color w:val="000000"/>
          <w:sz w:val="20"/>
          <w:szCs w:val="20"/>
          <w:bdr w:val="none" w:sz="0" w:space="0" w:color="auto"/>
        </w:rPr>
        <w:t xml:space="preserve">of the </w:t>
      </w:r>
      <w:r w:rsidR="00EC7A58">
        <w:rPr>
          <w:rFonts w:asciiTheme="majorHAnsi" w:eastAsia="Calibri" w:hAnsiTheme="majorHAnsi" w:cs="Tahoma"/>
          <w:color w:val="000000"/>
          <w:sz w:val="20"/>
          <w:szCs w:val="20"/>
          <w:bdr w:val="none" w:sz="0" w:space="0" w:color="auto"/>
        </w:rPr>
        <w:t xml:space="preserve">person </w:t>
      </w:r>
      <w:r w:rsidR="004842F3">
        <w:rPr>
          <w:rFonts w:asciiTheme="majorHAnsi" w:eastAsia="Calibri" w:hAnsiTheme="majorHAnsi" w:cs="Tahoma"/>
          <w:color w:val="000000"/>
          <w:sz w:val="20"/>
          <w:szCs w:val="20"/>
          <w:bdr w:val="none" w:sz="0" w:space="0" w:color="auto"/>
        </w:rPr>
        <w:t>who is</w:t>
      </w:r>
      <w:r w:rsidR="00DC3654" w:rsidRPr="00A51861">
        <w:rPr>
          <w:rFonts w:asciiTheme="majorHAnsi" w:eastAsia="Calibri" w:hAnsiTheme="majorHAnsi" w:cs="Tahoma"/>
          <w:color w:val="000000"/>
          <w:sz w:val="20"/>
          <w:szCs w:val="20"/>
          <w:bdr w:val="none" w:sz="0" w:space="0" w:color="auto"/>
        </w:rPr>
        <w:t xml:space="preserve"> </w:t>
      </w:r>
      <w:r w:rsidR="004842F3" w:rsidRPr="00A51861">
        <w:rPr>
          <w:rFonts w:asciiTheme="majorHAnsi" w:eastAsia="Calibri" w:hAnsiTheme="majorHAnsi" w:cs="Tahoma"/>
          <w:color w:val="000000"/>
          <w:sz w:val="20"/>
          <w:szCs w:val="20"/>
          <w:bdr w:val="none" w:sz="0" w:space="0" w:color="auto"/>
        </w:rPr>
        <w:t>illega</w:t>
      </w:r>
      <w:r w:rsidR="004842F3">
        <w:rPr>
          <w:rFonts w:asciiTheme="majorHAnsi" w:eastAsia="Calibri" w:hAnsiTheme="majorHAnsi" w:cs="Tahoma"/>
          <w:color w:val="000000"/>
          <w:sz w:val="20"/>
          <w:szCs w:val="20"/>
          <w:bdr w:val="none" w:sz="0" w:space="0" w:color="auto"/>
        </w:rPr>
        <w:t>lly</w:t>
      </w:r>
      <w:r w:rsidR="004842F3" w:rsidRPr="00A51861">
        <w:rPr>
          <w:rFonts w:asciiTheme="majorHAnsi" w:eastAsia="Calibri" w:hAnsiTheme="majorHAnsi" w:cs="Tahoma"/>
          <w:color w:val="000000"/>
          <w:sz w:val="20"/>
          <w:szCs w:val="20"/>
          <w:bdr w:val="none" w:sz="0" w:space="0" w:color="auto"/>
        </w:rPr>
        <w:t xml:space="preserve"> </w:t>
      </w:r>
      <w:r w:rsidR="004842F3">
        <w:rPr>
          <w:rFonts w:asciiTheme="majorHAnsi" w:eastAsia="Calibri" w:hAnsiTheme="majorHAnsi" w:cs="Tahoma"/>
          <w:color w:val="000000"/>
          <w:sz w:val="20"/>
          <w:szCs w:val="20"/>
          <w:bdr w:val="none" w:sz="0" w:space="0" w:color="auto"/>
        </w:rPr>
        <w:t>detained</w:t>
      </w:r>
      <w:r w:rsidR="00DC3654" w:rsidRPr="00A51861">
        <w:rPr>
          <w:rFonts w:asciiTheme="majorHAnsi" w:eastAsia="Calibri" w:hAnsiTheme="majorHAnsi" w:cs="Tahoma"/>
          <w:color w:val="000000"/>
          <w:sz w:val="20"/>
          <w:szCs w:val="20"/>
          <w:bdr w:val="none" w:sz="0" w:space="0" w:color="auto"/>
        </w:rPr>
        <w:t>”</w:t>
      </w:r>
      <w:r w:rsidR="00DC3654" w:rsidRPr="00A51861">
        <w:rPr>
          <w:rStyle w:val="FootnoteReference"/>
          <w:rFonts w:asciiTheme="majorHAnsi" w:eastAsia="Calibri" w:hAnsiTheme="majorHAnsi" w:cs="Tahoma"/>
          <w:color w:val="000000"/>
          <w:sz w:val="20"/>
          <w:szCs w:val="20"/>
          <w:bdr w:val="none" w:sz="0" w:space="0" w:color="auto"/>
        </w:rPr>
        <w:footnoteReference w:id="202"/>
      </w:r>
      <w:r w:rsidR="001D6B70" w:rsidRPr="00A51861">
        <w:rPr>
          <w:rFonts w:asciiTheme="majorHAnsi" w:eastAsia="Calibri" w:hAnsiTheme="majorHAnsi" w:cs="Tahoma"/>
          <w:color w:val="000000"/>
          <w:sz w:val="20"/>
          <w:szCs w:val="20"/>
          <w:bdr w:val="none" w:sz="0" w:space="0" w:color="auto"/>
        </w:rPr>
        <w:t xml:space="preserve">. </w:t>
      </w:r>
      <w:r w:rsidR="004842F3">
        <w:rPr>
          <w:rFonts w:asciiTheme="majorHAnsi" w:eastAsia="Calibri" w:hAnsiTheme="majorHAnsi" w:cs="Tahoma"/>
          <w:color w:val="000000"/>
          <w:sz w:val="20"/>
          <w:szCs w:val="20"/>
          <w:bdr w:val="none" w:sz="0" w:space="0" w:color="auto"/>
        </w:rPr>
        <w:t>Also</w:t>
      </w:r>
      <w:r w:rsidR="001D6B70" w:rsidRPr="00A51861">
        <w:rPr>
          <w:rFonts w:asciiTheme="majorHAnsi" w:eastAsia="Calibri" w:hAnsiTheme="majorHAnsi" w:cs="Tahoma"/>
          <w:color w:val="000000"/>
          <w:sz w:val="20"/>
          <w:szCs w:val="20"/>
          <w:bdr w:val="none" w:sz="0" w:space="0" w:color="auto"/>
        </w:rPr>
        <w:t xml:space="preserve">, </w:t>
      </w:r>
      <w:r w:rsidR="004842F3">
        <w:rPr>
          <w:rFonts w:asciiTheme="majorHAnsi" w:eastAsia="Calibri" w:hAnsiTheme="majorHAnsi" w:cs="Tahoma"/>
          <w:color w:val="000000"/>
          <w:sz w:val="20"/>
          <w:szCs w:val="20"/>
          <w:bdr w:val="none" w:sz="0" w:space="0" w:color="auto"/>
        </w:rPr>
        <w:t>a treatment must reach a minimum level of</w:t>
      </w:r>
      <w:r w:rsidR="00E92985">
        <w:rPr>
          <w:rFonts w:asciiTheme="majorHAnsi" w:eastAsia="Calibri" w:hAnsiTheme="majorHAnsi" w:cs="Tahoma"/>
          <w:color w:val="000000"/>
          <w:sz w:val="20"/>
          <w:szCs w:val="20"/>
          <w:bdr w:val="none" w:sz="0" w:space="0" w:color="auto"/>
        </w:rPr>
        <w:t xml:space="preserve"> </w:t>
      </w:r>
      <w:r w:rsidR="001D6B70" w:rsidRPr="00A51861">
        <w:rPr>
          <w:rFonts w:asciiTheme="majorHAnsi" w:eastAsia="Calibri" w:hAnsiTheme="majorHAnsi" w:cs="Tahoma"/>
          <w:color w:val="000000"/>
          <w:sz w:val="20"/>
          <w:szCs w:val="20"/>
          <w:bdr w:val="none" w:sz="0" w:space="0" w:color="auto"/>
        </w:rPr>
        <w:t>severi</w:t>
      </w:r>
      <w:r w:rsidR="00FA2E7B">
        <w:rPr>
          <w:rFonts w:asciiTheme="majorHAnsi" w:eastAsia="Calibri" w:hAnsiTheme="majorHAnsi" w:cs="Tahoma"/>
          <w:color w:val="000000"/>
          <w:sz w:val="20"/>
          <w:szCs w:val="20"/>
          <w:bdr w:val="none" w:sz="0" w:space="0" w:color="auto"/>
        </w:rPr>
        <w:t xml:space="preserve">ty </w:t>
      </w:r>
      <w:r w:rsidR="004842F3">
        <w:rPr>
          <w:rFonts w:asciiTheme="majorHAnsi" w:eastAsia="Calibri" w:hAnsiTheme="majorHAnsi" w:cs="Tahoma"/>
          <w:color w:val="000000"/>
          <w:sz w:val="20"/>
          <w:szCs w:val="20"/>
          <w:bdr w:val="none" w:sz="0" w:space="0" w:color="auto"/>
        </w:rPr>
        <w:t>to be</w:t>
      </w:r>
      <w:r w:rsidR="001D6B70" w:rsidRPr="00A51861">
        <w:rPr>
          <w:rFonts w:asciiTheme="majorHAnsi" w:eastAsia="Calibri" w:hAnsiTheme="majorHAnsi" w:cs="Tahoma"/>
          <w:color w:val="000000"/>
          <w:sz w:val="20"/>
          <w:szCs w:val="20"/>
          <w:bdr w:val="none" w:sz="0" w:space="0" w:color="auto"/>
        </w:rPr>
        <w:t xml:space="preserve"> </w:t>
      </w:r>
      <w:r w:rsidR="001D1D61">
        <w:rPr>
          <w:rFonts w:asciiTheme="majorHAnsi" w:eastAsia="Calibri" w:hAnsiTheme="majorHAnsi" w:cs="Tahoma"/>
          <w:color w:val="000000"/>
          <w:sz w:val="20"/>
          <w:szCs w:val="20"/>
          <w:bdr w:val="none" w:sz="0" w:space="0" w:color="auto"/>
        </w:rPr>
        <w:t>considered</w:t>
      </w:r>
      <w:r w:rsidR="001D6B70" w:rsidRPr="00A51861">
        <w:rPr>
          <w:rFonts w:asciiTheme="majorHAnsi" w:eastAsia="Calibri" w:hAnsiTheme="majorHAnsi" w:cs="Tahoma"/>
          <w:color w:val="000000"/>
          <w:sz w:val="20"/>
          <w:szCs w:val="20"/>
          <w:bdr w:val="none" w:sz="0" w:space="0" w:color="auto"/>
        </w:rPr>
        <w:t xml:space="preserve"> “inhuman</w:t>
      </w:r>
      <w:r w:rsidR="004842F3">
        <w:rPr>
          <w:rFonts w:asciiTheme="majorHAnsi" w:eastAsia="Calibri" w:hAnsiTheme="majorHAnsi" w:cs="Tahoma"/>
          <w:color w:val="000000"/>
          <w:sz w:val="20"/>
          <w:szCs w:val="20"/>
          <w:bdr w:val="none" w:sz="0" w:space="0" w:color="auto"/>
        </w:rPr>
        <w:t>e</w:t>
      </w:r>
      <w:r w:rsidR="00E92985">
        <w:rPr>
          <w:rFonts w:asciiTheme="majorHAnsi" w:eastAsia="Calibri" w:hAnsiTheme="majorHAnsi" w:cs="Tahoma"/>
          <w:color w:val="000000"/>
          <w:sz w:val="20"/>
          <w:szCs w:val="20"/>
          <w:bdr w:val="none" w:sz="0" w:space="0" w:color="auto"/>
        </w:rPr>
        <w:t xml:space="preserve"> or </w:t>
      </w:r>
      <w:r w:rsidR="001D6B70" w:rsidRPr="00A51861">
        <w:rPr>
          <w:rFonts w:asciiTheme="majorHAnsi" w:eastAsia="Calibri" w:hAnsiTheme="majorHAnsi" w:cs="Tahoma"/>
          <w:color w:val="000000"/>
          <w:sz w:val="20"/>
          <w:szCs w:val="20"/>
          <w:bdr w:val="none" w:sz="0" w:space="0" w:color="auto"/>
        </w:rPr>
        <w:t>degrad</w:t>
      </w:r>
      <w:r w:rsidR="004842F3">
        <w:rPr>
          <w:rFonts w:asciiTheme="majorHAnsi" w:eastAsia="Calibri" w:hAnsiTheme="majorHAnsi" w:cs="Tahoma"/>
          <w:color w:val="000000"/>
          <w:sz w:val="20"/>
          <w:szCs w:val="20"/>
          <w:bdr w:val="none" w:sz="0" w:space="0" w:color="auto"/>
        </w:rPr>
        <w:t>ing</w:t>
      </w:r>
      <w:r w:rsidR="001D6B70" w:rsidRPr="00A51861">
        <w:rPr>
          <w:rFonts w:asciiTheme="majorHAnsi" w:eastAsia="Calibri" w:hAnsiTheme="majorHAnsi" w:cs="Tahoma"/>
          <w:color w:val="000000"/>
          <w:sz w:val="20"/>
          <w:szCs w:val="20"/>
          <w:bdr w:val="none" w:sz="0" w:space="0" w:color="auto"/>
        </w:rPr>
        <w:t>”;</w:t>
      </w:r>
      <w:r w:rsidR="009A4F91">
        <w:rPr>
          <w:rFonts w:asciiTheme="majorHAnsi" w:eastAsia="Calibri" w:hAnsiTheme="majorHAnsi" w:cs="Tahoma"/>
          <w:color w:val="000000"/>
          <w:sz w:val="20"/>
          <w:szCs w:val="20"/>
          <w:bdr w:val="none" w:sz="0" w:space="0" w:color="auto"/>
        </w:rPr>
        <w:t xml:space="preserve"> the </w:t>
      </w:r>
      <w:r w:rsidR="004842F3">
        <w:rPr>
          <w:rFonts w:asciiTheme="majorHAnsi" w:eastAsia="Calibri" w:hAnsiTheme="majorHAnsi" w:cs="Tahoma"/>
          <w:color w:val="000000"/>
          <w:sz w:val="20"/>
          <w:szCs w:val="20"/>
          <w:bdr w:val="none" w:sz="0" w:space="0" w:color="auto"/>
        </w:rPr>
        <w:t>assessment</w:t>
      </w:r>
      <w:r w:rsidR="00E92985">
        <w:rPr>
          <w:rFonts w:asciiTheme="majorHAnsi" w:eastAsia="Calibri" w:hAnsiTheme="majorHAnsi" w:cs="Tahoma"/>
          <w:color w:val="000000"/>
          <w:sz w:val="20"/>
          <w:szCs w:val="20"/>
          <w:bdr w:val="none" w:sz="0" w:space="0" w:color="auto"/>
        </w:rPr>
        <w:t xml:space="preserve"> of</w:t>
      </w:r>
      <w:r w:rsidR="00E64C43">
        <w:rPr>
          <w:rFonts w:asciiTheme="majorHAnsi" w:eastAsia="Calibri" w:hAnsiTheme="majorHAnsi" w:cs="Tahoma"/>
          <w:color w:val="000000"/>
          <w:sz w:val="20"/>
          <w:szCs w:val="20"/>
          <w:bdr w:val="none" w:sz="0" w:space="0" w:color="auto"/>
        </w:rPr>
        <w:t xml:space="preserve"> this </w:t>
      </w:r>
      <w:r w:rsidR="001D6B70" w:rsidRPr="00A51861">
        <w:rPr>
          <w:rFonts w:asciiTheme="majorHAnsi" w:eastAsia="Calibri" w:hAnsiTheme="majorHAnsi" w:cs="Tahoma"/>
          <w:color w:val="000000"/>
          <w:sz w:val="20"/>
          <w:szCs w:val="20"/>
          <w:bdr w:val="none" w:sz="0" w:space="0" w:color="auto"/>
        </w:rPr>
        <w:t>“</w:t>
      </w:r>
      <w:r w:rsidR="004842F3">
        <w:rPr>
          <w:rFonts w:asciiTheme="majorHAnsi" w:eastAsia="Calibri" w:hAnsiTheme="majorHAnsi" w:cs="Tahoma"/>
          <w:color w:val="000000"/>
          <w:sz w:val="20"/>
          <w:szCs w:val="20"/>
          <w:bdr w:val="none" w:sz="0" w:space="0" w:color="auto"/>
        </w:rPr>
        <w:t>minimum level</w:t>
      </w:r>
      <w:r w:rsidR="001D6B70" w:rsidRPr="00A51861">
        <w:rPr>
          <w:rFonts w:asciiTheme="majorHAnsi" w:eastAsia="Calibri" w:hAnsiTheme="majorHAnsi" w:cs="Tahoma"/>
          <w:color w:val="000000"/>
          <w:sz w:val="20"/>
          <w:szCs w:val="20"/>
          <w:bdr w:val="none" w:sz="0" w:space="0" w:color="auto"/>
        </w:rPr>
        <w:t>”</w:t>
      </w:r>
      <w:r w:rsidR="00D70A85">
        <w:rPr>
          <w:rFonts w:asciiTheme="majorHAnsi" w:eastAsia="Calibri" w:hAnsiTheme="majorHAnsi" w:cs="Tahoma"/>
          <w:color w:val="000000"/>
          <w:sz w:val="20"/>
          <w:szCs w:val="20"/>
          <w:bdr w:val="none" w:sz="0" w:space="0" w:color="auto"/>
        </w:rPr>
        <w:t xml:space="preserve"> is </w:t>
      </w:r>
      <w:r w:rsidR="004842F3">
        <w:rPr>
          <w:rFonts w:asciiTheme="majorHAnsi" w:eastAsia="Calibri" w:hAnsiTheme="majorHAnsi" w:cs="Tahoma"/>
          <w:color w:val="000000"/>
          <w:sz w:val="20"/>
          <w:szCs w:val="20"/>
          <w:bdr w:val="none" w:sz="0" w:space="0" w:color="auto"/>
        </w:rPr>
        <w:t>specific</w:t>
      </w:r>
      <w:r w:rsidR="001D6B70" w:rsidRPr="00A51861">
        <w:rPr>
          <w:rFonts w:asciiTheme="majorHAnsi" w:eastAsia="Calibri" w:hAnsiTheme="majorHAnsi" w:cs="Tahoma"/>
          <w:color w:val="000000"/>
          <w:sz w:val="20"/>
          <w:szCs w:val="20"/>
          <w:bdr w:val="none" w:sz="0" w:space="0" w:color="auto"/>
        </w:rPr>
        <w:t xml:space="preserve"> </w:t>
      </w:r>
      <w:r w:rsidR="004842F3">
        <w:rPr>
          <w:rFonts w:asciiTheme="majorHAnsi" w:eastAsia="Calibri" w:hAnsiTheme="majorHAnsi" w:cs="Tahoma"/>
          <w:color w:val="000000"/>
          <w:sz w:val="20"/>
          <w:szCs w:val="20"/>
          <w:bdr w:val="none" w:sz="0" w:space="0" w:color="auto"/>
        </w:rPr>
        <w:t>for th</w:t>
      </w:r>
      <w:r w:rsidR="006A3C04">
        <w:rPr>
          <w:rFonts w:asciiTheme="majorHAnsi" w:eastAsia="Calibri" w:hAnsiTheme="majorHAnsi" w:cs="Tahoma"/>
          <w:color w:val="000000"/>
          <w:sz w:val="20"/>
          <w:szCs w:val="20"/>
          <w:bdr w:val="none" w:sz="0" w:space="0" w:color="auto"/>
        </w:rPr>
        <w:t>e facts</w:t>
      </w:r>
      <w:r w:rsidR="004969F4">
        <w:rPr>
          <w:rFonts w:asciiTheme="majorHAnsi" w:eastAsia="Calibri" w:hAnsiTheme="majorHAnsi" w:cs="Tahoma"/>
          <w:color w:val="000000"/>
          <w:sz w:val="20"/>
          <w:szCs w:val="20"/>
          <w:bdr w:val="none" w:sz="0" w:space="0" w:color="auto"/>
        </w:rPr>
        <w:t xml:space="preserve"> of the </w:t>
      </w:r>
      <w:r w:rsidR="001D6B70" w:rsidRPr="00A51861">
        <w:rPr>
          <w:rFonts w:asciiTheme="majorHAnsi" w:eastAsia="Calibri" w:hAnsiTheme="majorHAnsi" w:cs="Tahoma"/>
          <w:color w:val="000000"/>
          <w:sz w:val="20"/>
          <w:szCs w:val="20"/>
          <w:bdr w:val="none" w:sz="0" w:space="0" w:color="auto"/>
        </w:rPr>
        <w:t>cas</w:t>
      </w:r>
      <w:r w:rsidR="004842F3">
        <w:rPr>
          <w:rFonts w:asciiTheme="majorHAnsi" w:eastAsia="Calibri" w:hAnsiTheme="majorHAnsi" w:cs="Tahoma"/>
          <w:color w:val="000000"/>
          <w:sz w:val="20"/>
          <w:szCs w:val="20"/>
          <w:bdr w:val="none" w:sz="0" w:space="0" w:color="auto"/>
        </w:rPr>
        <w:t>e</w:t>
      </w:r>
      <w:r w:rsidR="001D6B70" w:rsidRPr="00A51861">
        <w:rPr>
          <w:rFonts w:asciiTheme="majorHAnsi" w:eastAsia="Calibri" w:hAnsiTheme="majorHAnsi" w:cs="Tahoma"/>
          <w:color w:val="000000"/>
          <w:sz w:val="20"/>
          <w:szCs w:val="20"/>
          <w:bdr w:val="none" w:sz="0" w:space="0" w:color="auto"/>
        </w:rPr>
        <w:t>, inclu</w:t>
      </w:r>
      <w:r w:rsidR="004842F3">
        <w:rPr>
          <w:rFonts w:asciiTheme="majorHAnsi" w:eastAsia="Calibri" w:hAnsiTheme="majorHAnsi" w:cs="Tahoma"/>
          <w:color w:val="000000"/>
          <w:sz w:val="20"/>
          <w:szCs w:val="20"/>
          <w:bdr w:val="none" w:sz="0" w:space="0" w:color="auto"/>
        </w:rPr>
        <w:t xml:space="preserve">ding </w:t>
      </w:r>
      <w:r w:rsidR="009A4F91">
        <w:rPr>
          <w:rFonts w:asciiTheme="majorHAnsi" w:eastAsia="Calibri" w:hAnsiTheme="majorHAnsi" w:cs="Tahoma"/>
          <w:color w:val="000000"/>
          <w:sz w:val="20"/>
          <w:szCs w:val="20"/>
          <w:bdr w:val="none" w:sz="0" w:space="0" w:color="auto"/>
        </w:rPr>
        <w:t xml:space="preserve">the </w:t>
      </w:r>
      <w:r w:rsidR="004842F3" w:rsidRPr="00A51861">
        <w:rPr>
          <w:rFonts w:asciiTheme="majorHAnsi" w:eastAsia="Calibri" w:hAnsiTheme="majorHAnsi" w:cs="Tahoma"/>
          <w:color w:val="000000"/>
          <w:sz w:val="20"/>
          <w:szCs w:val="20"/>
          <w:bdr w:val="none" w:sz="0" w:space="0" w:color="auto"/>
        </w:rPr>
        <w:t>duration</w:t>
      </w:r>
      <w:r w:rsidR="004969F4">
        <w:rPr>
          <w:rFonts w:asciiTheme="majorHAnsi" w:eastAsia="Calibri" w:hAnsiTheme="majorHAnsi" w:cs="Tahoma"/>
          <w:color w:val="000000"/>
          <w:sz w:val="20"/>
          <w:szCs w:val="20"/>
          <w:bdr w:val="none" w:sz="0" w:space="0" w:color="auto"/>
        </w:rPr>
        <w:t xml:space="preserve"> of the </w:t>
      </w:r>
      <w:r w:rsidR="004842F3">
        <w:rPr>
          <w:rFonts w:asciiTheme="majorHAnsi" w:eastAsia="Calibri" w:hAnsiTheme="majorHAnsi" w:cs="Tahoma"/>
          <w:color w:val="000000"/>
          <w:sz w:val="20"/>
          <w:szCs w:val="20"/>
          <w:bdr w:val="none" w:sz="0" w:space="0" w:color="auto"/>
        </w:rPr>
        <w:t>treatment</w:t>
      </w:r>
      <w:r w:rsidR="001D6B70" w:rsidRPr="00A51861">
        <w:rPr>
          <w:rFonts w:asciiTheme="majorHAnsi" w:eastAsia="Calibri" w:hAnsiTheme="majorHAnsi" w:cs="Tahoma"/>
          <w:color w:val="000000"/>
          <w:sz w:val="20"/>
          <w:szCs w:val="20"/>
          <w:bdr w:val="none" w:sz="0" w:space="0" w:color="auto"/>
        </w:rPr>
        <w:t xml:space="preserve">, </w:t>
      </w:r>
      <w:r w:rsidR="004842F3">
        <w:rPr>
          <w:rFonts w:asciiTheme="majorHAnsi" w:eastAsia="Calibri" w:hAnsiTheme="majorHAnsi" w:cs="Tahoma"/>
          <w:color w:val="000000"/>
          <w:sz w:val="20"/>
          <w:szCs w:val="20"/>
          <w:bdr w:val="none" w:sz="0" w:space="0" w:color="auto"/>
        </w:rPr>
        <w:t>the</w:t>
      </w:r>
      <w:r w:rsidR="001D6B70" w:rsidRPr="00A51861">
        <w:rPr>
          <w:rFonts w:asciiTheme="majorHAnsi" w:eastAsia="Calibri" w:hAnsiTheme="majorHAnsi" w:cs="Tahoma"/>
          <w:color w:val="000000"/>
          <w:sz w:val="20"/>
          <w:szCs w:val="20"/>
          <w:bdr w:val="none" w:sz="0" w:space="0" w:color="auto"/>
        </w:rPr>
        <w:t xml:space="preserve"> </w:t>
      </w:r>
      <w:r w:rsidR="004842F3">
        <w:rPr>
          <w:rFonts w:asciiTheme="majorHAnsi" w:eastAsia="Calibri" w:hAnsiTheme="majorHAnsi" w:cs="Tahoma"/>
          <w:color w:val="000000"/>
          <w:sz w:val="20"/>
          <w:szCs w:val="20"/>
          <w:bdr w:val="none" w:sz="0" w:space="0" w:color="auto"/>
        </w:rPr>
        <w:t>physical and mental</w:t>
      </w:r>
      <w:r w:rsidR="004842F3" w:rsidRPr="004842F3">
        <w:rPr>
          <w:rFonts w:asciiTheme="majorHAnsi" w:eastAsia="Calibri" w:hAnsiTheme="majorHAnsi" w:cs="Tahoma"/>
          <w:color w:val="000000"/>
          <w:sz w:val="20"/>
          <w:szCs w:val="20"/>
          <w:bdr w:val="none" w:sz="0" w:space="0" w:color="auto"/>
        </w:rPr>
        <w:t xml:space="preserve"> </w:t>
      </w:r>
      <w:r w:rsidR="004842F3" w:rsidRPr="00A51861">
        <w:rPr>
          <w:rFonts w:asciiTheme="majorHAnsi" w:eastAsia="Calibri" w:hAnsiTheme="majorHAnsi" w:cs="Tahoma"/>
          <w:color w:val="000000"/>
          <w:sz w:val="20"/>
          <w:szCs w:val="20"/>
          <w:bdr w:val="none" w:sz="0" w:space="0" w:color="auto"/>
        </w:rPr>
        <w:t>effects</w:t>
      </w:r>
      <w:r w:rsidR="001D6B70" w:rsidRPr="00A51861">
        <w:rPr>
          <w:rFonts w:asciiTheme="majorHAnsi" w:eastAsia="Calibri" w:hAnsiTheme="majorHAnsi" w:cs="Tahoma"/>
          <w:color w:val="000000"/>
          <w:sz w:val="20"/>
          <w:szCs w:val="20"/>
          <w:bdr w:val="none" w:sz="0" w:space="0" w:color="auto"/>
        </w:rPr>
        <w:t xml:space="preserve">, </w:t>
      </w:r>
      <w:r w:rsidR="004842F3">
        <w:rPr>
          <w:rFonts w:asciiTheme="majorHAnsi" w:eastAsia="Calibri" w:hAnsiTheme="majorHAnsi" w:cs="Tahoma"/>
          <w:color w:val="000000"/>
          <w:sz w:val="20"/>
          <w:szCs w:val="20"/>
          <w:bdr w:val="none" w:sz="0" w:space="0" w:color="auto"/>
        </w:rPr>
        <w:t>and</w:t>
      </w:r>
      <w:r w:rsidR="001D6B70" w:rsidRPr="00A51861">
        <w:rPr>
          <w:rFonts w:asciiTheme="majorHAnsi" w:eastAsia="Calibri" w:hAnsiTheme="majorHAnsi" w:cs="Tahoma"/>
          <w:color w:val="000000"/>
          <w:sz w:val="20"/>
          <w:szCs w:val="20"/>
          <w:bdr w:val="none" w:sz="0" w:space="0" w:color="auto"/>
        </w:rPr>
        <w:t xml:space="preserve">, </w:t>
      </w:r>
      <w:r w:rsidR="004842F3">
        <w:rPr>
          <w:rFonts w:asciiTheme="majorHAnsi" w:eastAsia="Calibri" w:hAnsiTheme="majorHAnsi" w:cs="Tahoma"/>
          <w:color w:val="000000"/>
          <w:sz w:val="20"/>
          <w:szCs w:val="20"/>
          <w:bdr w:val="none" w:sz="0" w:space="0" w:color="auto"/>
        </w:rPr>
        <w:t>in some cases</w:t>
      </w:r>
      <w:r w:rsidR="001D6B70" w:rsidRPr="00A51861">
        <w:rPr>
          <w:rFonts w:asciiTheme="majorHAnsi" w:eastAsia="Calibri" w:hAnsiTheme="majorHAnsi" w:cs="Tahoma"/>
          <w:color w:val="000000"/>
          <w:sz w:val="20"/>
          <w:szCs w:val="20"/>
          <w:bdr w:val="none" w:sz="0" w:space="0" w:color="auto"/>
        </w:rPr>
        <w:t xml:space="preserve"> </w:t>
      </w:r>
      <w:r w:rsidR="004842F3">
        <w:rPr>
          <w:rFonts w:asciiTheme="majorHAnsi" w:eastAsia="Calibri" w:hAnsiTheme="majorHAnsi" w:cs="Tahoma"/>
          <w:color w:val="000000"/>
          <w:sz w:val="20"/>
          <w:szCs w:val="20"/>
          <w:bdr w:val="none" w:sz="0" w:space="0" w:color="auto"/>
        </w:rPr>
        <w:t>the</w:t>
      </w:r>
      <w:r w:rsidR="001D6B70" w:rsidRPr="00A51861">
        <w:rPr>
          <w:rFonts w:asciiTheme="majorHAnsi" w:eastAsia="Calibri" w:hAnsiTheme="majorHAnsi" w:cs="Tahoma"/>
          <w:color w:val="000000"/>
          <w:sz w:val="20"/>
          <w:szCs w:val="20"/>
          <w:bdr w:val="none" w:sz="0" w:space="0" w:color="auto"/>
        </w:rPr>
        <w:t xml:space="preserve"> sex,</w:t>
      </w:r>
      <w:r w:rsidR="009A4F91">
        <w:rPr>
          <w:rFonts w:asciiTheme="majorHAnsi" w:eastAsia="Calibri" w:hAnsiTheme="majorHAnsi" w:cs="Tahoma"/>
          <w:color w:val="000000"/>
          <w:sz w:val="20"/>
          <w:szCs w:val="20"/>
          <w:bdr w:val="none" w:sz="0" w:space="0" w:color="auto"/>
        </w:rPr>
        <w:t xml:space="preserve"> the </w:t>
      </w:r>
      <w:r w:rsidR="004842F3">
        <w:rPr>
          <w:rFonts w:asciiTheme="majorHAnsi" w:eastAsia="Calibri" w:hAnsiTheme="majorHAnsi" w:cs="Tahoma"/>
          <w:color w:val="000000"/>
          <w:sz w:val="20"/>
          <w:szCs w:val="20"/>
          <w:bdr w:val="none" w:sz="0" w:space="0" w:color="auto"/>
        </w:rPr>
        <w:t>age</w:t>
      </w:r>
      <w:r w:rsidR="00FA2E7B">
        <w:rPr>
          <w:rFonts w:asciiTheme="majorHAnsi" w:eastAsia="Calibri" w:hAnsiTheme="majorHAnsi" w:cs="Tahoma"/>
          <w:color w:val="000000"/>
          <w:sz w:val="20"/>
          <w:szCs w:val="20"/>
          <w:bdr w:val="none" w:sz="0" w:space="0" w:color="auto"/>
        </w:rPr>
        <w:t xml:space="preserve"> </w:t>
      </w:r>
      <w:r w:rsidR="00E92985">
        <w:rPr>
          <w:rFonts w:asciiTheme="majorHAnsi" w:eastAsia="Calibri" w:hAnsiTheme="majorHAnsi" w:cs="Tahoma"/>
          <w:color w:val="000000"/>
          <w:sz w:val="20"/>
          <w:szCs w:val="20"/>
          <w:bdr w:val="none" w:sz="0" w:space="0" w:color="auto"/>
        </w:rPr>
        <w:t>and</w:t>
      </w:r>
      <w:r w:rsidR="009A4F91">
        <w:rPr>
          <w:rFonts w:asciiTheme="majorHAnsi" w:eastAsia="Calibri" w:hAnsiTheme="majorHAnsi" w:cs="Tahoma"/>
          <w:color w:val="000000"/>
          <w:sz w:val="20"/>
          <w:szCs w:val="20"/>
          <w:bdr w:val="none" w:sz="0" w:space="0" w:color="auto"/>
        </w:rPr>
        <w:t xml:space="preserve"> </w:t>
      </w:r>
      <w:r w:rsidR="004842F3">
        <w:rPr>
          <w:rFonts w:asciiTheme="majorHAnsi" w:eastAsia="Calibri" w:hAnsiTheme="majorHAnsi" w:cs="Tahoma"/>
          <w:color w:val="000000"/>
          <w:sz w:val="20"/>
          <w:szCs w:val="20"/>
          <w:bdr w:val="none" w:sz="0" w:space="0" w:color="auto"/>
        </w:rPr>
        <w:t>health</w:t>
      </w:r>
      <w:r w:rsidR="00E92985">
        <w:rPr>
          <w:rFonts w:asciiTheme="majorHAnsi" w:eastAsia="Calibri" w:hAnsiTheme="majorHAnsi" w:cs="Tahoma"/>
          <w:color w:val="000000"/>
          <w:sz w:val="20"/>
          <w:szCs w:val="20"/>
          <w:bdr w:val="none" w:sz="0" w:space="0" w:color="auto"/>
        </w:rPr>
        <w:t xml:space="preserve"> of the </w:t>
      </w:r>
      <w:r w:rsidR="00B4073F">
        <w:rPr>
          <w:rFonts w:asciiTheme="majorHAnsi" w:eastAsia="Calibri" w:hAnsiTheme="majorHAnsi" w:cs="Tahoma"/>
          <w:color w:val="000000"/>
          <w:sz w:val="20"/>
          <w:szCs w:val="20"/>
          <w:bdr w:val="none" w:sz="0" w:space="0" w:color="auto"/>
        </w:rPr>
        <w:t>victim</w:t>
      </w:r>
      <w:r w:rsidR="00DC3654" w:rsidRPr="00A51861">
        <w:rPr>
          <w:rStyle w:val="FootnoteReference"/>
          <w:rFonts w:asciiTheme="majorHAnsi" w:eastAsia="Calibri" w:hAnsiTheme="majorHAnsi" w:cs="Tahoma"/>
          <w:color w:val="000000"/>
          <w:sz w:val="20"/>
          <w:szCs w:val="20"/>
          <w:bdr w:val="none" w:sz="0" w:space="0" w:color="auto"/>
        </w:rPr>
        <w:footnoteReference w:id="203"/>
      </w:r>
      <w:r w:rsidR="00DC3654" w:rsidRPr="00A51861">
        <w:rPr>
          <w:rFonts w:asciiTheme="majorHAnsi" w:eastAsia="Calibri" w:hAnsiTheme="majorHAnsi" w:cs="Tahoma"/>
          <w:color w:val="000000"/>
          <w:sz w:val="20"/>
          <w:szCs w:val="20"/>
          <w:bdr w:val="none" w:sz="0" w:space="0" w:color="auto"/>
        </w:rPr>
        <w:t>,</w:t>
      </w:r>
      <w:r w:rsidR="001D6B70" w:rsidRPr="00A51861">
        <w:rPr>
          <w:rFonts w:asciiTheme="majorHAnsi" w:eastAsia="Calibri" w:hAnsiTheme="majorHAnsi" w:cs="Tahoma"/>
          <w:color w:val="000000"/>
          <w:sz w:val="20"/>
          <w:szCs w:val="20"/>
          <w:bdr w:val="none" w:sz="0" w:space="0" w:color="auto"/>
        </w:rPr>
        <w:t xml:space="preserve"> </w:t>
      </w:r>
      <w:r w:rsidR="004842F3">
        <w:rPr>
          <w:rFonts w:asciiTheme="majorHAnsi" w:eastAsia="Calibri" w:hAnsiTheme="majorHAnsi" w:cs="Tahoma"/>
          <w:color w:val="000000"/>
          <w:sz w:val="20"/>
          <w:szCs w:val="20"/>
          <w:bdr w:val="none" w:sz="0" w:space="0" w:color="auto"/>
        </w:rPr>
        <w:t>as well as</w:t>
      </w:r>
      <w:r w:rsidR="001D6B70" w:rsidRPr="00A51861">
        <w:rPr>
          <w:rFonts w:asciiTheme="majorHAnsi" w:eastAsia="Calibri" w:hAnsiTheme="majorHAnsi" w:cs="Tahoma"/>
          <w:color w:val="000000"/>
          <w:sz w:val="20"/>
          <w:szCs w:val="20"/>
          <w:bdr w:val="none" w:sz="0" w:space="0" w:color="auto"/>
        </w:rPr>
        <w:t xml:space="preserve"> “</w:t>
      </w:r>
      <w:r w:rsidR="004842F3">
        <w:rPr>
          <w:rFonts w:asciiTheme="majorHAnsi" w:eastAsia="Calibri" w:hAnsiTheme="majorHAnsi" w:cs="Tahoma"/>
          <w:color w:val="000000"/>
          <w:sz w:val="20"/>
          <w:szCs w:val="20"/>
          <w:bdr w:val="none" w:sz="0" w:space="0" w:color="auto"/>
        </w:rPr>
        <w:t>ethnicity</w:t>
      </w:r>
      <w:r w:rsidR="001D6B70" w:rsidRPr="00A51861">
        <w:rPr>
          <w:rFonts w:asciiTheme="majorHAnsi" w:eastAsia="Calibri" w:hAnsiTheme="majorHAnsi" w:cs="Tahoma"/>
          <w:color w:val="000000"/>
          <w:sz w:val="20"/>
          <w:szCs w:val="20"/>
          <w:bdr w:val="none" w:sz="0" w:space="0" w:color="auto"/>
        </w:rPr>
        <w:t xml:space="preserve">, color, </w:t>
      </w:r>
      <w:r w:rsidR="00D64B7E">
        <w:rPr>
          <w:rFonts w:asciiTheme="majorHAnsi" w:eastAsia="Calibri" w:hAnsiTheme="majorHAnsi" w:cs="Tahoma"/>
          <w:color w:val="000000"/>
          <w:sz w:val="20"/>
          <w:szCs w:val="20"/>
          <w:bdr w:val="none" w:sz="0" w:space="0" w:color="auto"/>
        </w:rPr>
        <w:t>nationality</w:t>
      </w:r>
      <w:r w:rsidR="001D6B70" w:rsidRPr="00A51861">
        <w:rPr>
          <w:rFonts w:asciiTheme="majorHAnsi" w:eastAsia="Calibri" w:hAnsiTheme="majorHAnsi" w:cs="Tahoma"/>
          <w:color w:val="000000"/>
          <w:sz w:val="20"/>
          <w:szCs w:val="20"/>
          <w:bdr w:val="none" w:sz="0" w:space="0" w:color="auto"/>
        </w:rPr>
        <w:t xml:space="preserve">, </w:t>
      </w:r>
      <w:r w:rsidR="004842F3" w:rsidRPr="00A51861">
        <w:rPr>
          <w:rFonts w:asciiTheme="majorHAnsi" w:eastAsia="Calibri" w:hAnsiTheme="majorHAnsi" w:cs="Tahoma"/>
          <w:color w:val="000000"/>
          <w:sz w:val="20"/>
          <w:szCs w:val="20"/>
          <w:bdr w:val="none" w:sz="0" w:space="0" w:color="auto"/>
        </w:rPr>
        <w:t>migratory condition</w:t>
      </w:r>
      <w:r w:rsidR="00DC3654" w:rsidRPr="00A51861">
        <w:rPr>
          <w:rFonts w:asciiTheme="majorHAnsi" w:eastAsia="Calibri" w:hAnsiTheme="majorHAnsi" w:cs="Tahoma"/>
          <w:color w:val="000000"/>
          <w:sz w:val="20"/>
          <w:szCs w:val="20"/>
          <w:bdr w:val="none" w:sz="0" w:space="0" w:color="auto"/>
        </w:rPr>
        <w:t>,</w:t>
      </w:r>
      <w:r w:rsidR="00E92985">
        <w:rPr>
          <w:rFonts w:asciiTheme="majorHAnsi" w:eastAsia="Calibri" w:hAnsiTheme="majorHAnsi" w:cs="Tahoma"/>
          <w:color w:val="000000"/>
          <w:sz w:val="20"/>
          <w:szCs w:val="20"/>
          <w:bdr w:val="none" w:sz="0" w:space="0" w:color="auto"/>
        </w:rPr>
        <w:t xml:space="preserve"> and </w:t>
      </w:r>
      <w:r w:rsidR="004842F3">
        <w:rPr>
          <w:rFonts w:asciiTheme="majorHAnsi" w:eastAsia="Calibri" w:hAnsiTheme="majorHAnsi" w:cs="Tahoma"/>
          <w:color w:val="000000"/>
          <w:sz w:val="20"/>
          <w:szCs w:val="20"/>
          <w:bdr w:val="none" w:sz="0" w:space="0" w:color="auto"/>
        </w:rPr>
        <w:t>other</w:t>
      </w:r>
      <w:r w:rsidR="00DC3654" w:rsidRPr="00A51861">
        <w:rPr>
          <w:rFonts w:asciiTheme="majorHAnsi" w:eastAsia="Calibri" w:hAnsiTheme="majorHAnsi" w:cs="Tahoma"/>
          <w:color w:val="000000"/>
          <w:sz w:val="20"/>
          <w:szCs w:val="20"/>
          <w:bdr w:val="none" w:sz="0" w:space="0" w:color="auto"/>
        </w:rPr>
        <w:t xml:space="preserve"> factors”</w:t>
      </w:r>
      <w:r w:rsidR="00DC3654" w:rsidRPr="00A51861">
        <w:rPr>
          <w:rStyle w:val="FootnoteReference"/>
          <w:rFonts w:asciiTheme="majorHAnsi" w:eastAsia="Calibri" w:hAnsiTheme="majorHAnsi" w:cs="Tahoma"/>
          <w:color w:val="000000"/>
          <w:sz w:val="20"/>
          <w:szCs w:val="20"/>
          <w:bdr w:val="none" w:sz="0" w:space="0" w:color="auto"/>
        </w:rPr>
        <w:footnoteReference w:id="204"/>
      </w:r>
      <w:r w:rsidR="008C6C20" w:rsidRPr="00A51861">
        <w:rPr>
          <w:rFonts w:asciiTheme="majorHAnsi" w:eastAsia="Calibri" w:hAnsiTheme="majorHAnsi" w:cs="Tahoma"/>
          <w:color w:val="000000"/>
          <w:sz w:val="20"/>
          <w:szCs w:val="20"/>
          <w:bdr w:val="none" w:sz="0" w:space="0" w:color="auto"/>
        </w:rPr>
        <w:t xml:space="preserve">. </w:t>
      </w:r>
    </w:p>
    <w:p w14:paraId="3B8A8F54" w14:textId="77777777" w:rsidR="008C6C20" w:rsidRPr="00A51861" w:rsidRDefault="008C6C20" w:rsidP="008E4D3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eastAsia="Calibri" w:hAnsiTheme="majorHAnsi" w:cs="Tahoma"/>
          <w:color w:val="000000"/>
          <w:sz w:val="20"/>
          <w:szCs w:val="20"/>
          <w:bdr w:val="none" w:sz="0" w:space="0" w:color="auto"/>
        </w:rPr>
      </w:pPr>
    </w:p>
    <w:p w14:paraId="4DA95891" w14:textId="2D691203" w:rsidR="00DC3654" w:rsidRPr="00A51861" w:rsidRDefault="005835F2"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Calibri" w:hAnsiTheme="majorHAnsi" w:cs="Tahoma"/>
          <w:color w:val="000000"/>
          <w:sz w:val="20"/>
          <w:szCs w:val="20"/>
          <w:bdr w:val="none" w:sz="0" w:space="0" w:color="auto"/>
        </w:rPr>
      </w:pPr>
      <w:r>
        <w:rPr>
          <w:rFonts w:asciiTheme="majorHAnsi" w:eastAsia="Calibri" w:hAnsiTheme="majorHAnsi" w:cs="Tahoma"/>
          <w:color w:val="000000"/>
          <w:sz w:val="20"/>
          <w:szCs w:val="20"/>
          <w:bdr w:val="none" w:sz="0" w:space="0" w:color="auto"/>
        </w:rPr>
        <w:t>In the</w:t>
      </w:r>
      <w:r w:rsidR="001D6B70" w:rsidRPr="00A51861">
        <w:rPr>
          <w:rFonts w:asciiTheme="majorHAnsi" w:eastAsia="Calibri" w:hAnsiTheme="majorHAnsi" w:cs="Tahoma"/>
          <w:color w:val="000000"/>
          <w:sz w:val="20"/>
          <w:szCs w:val="20"/>
          <w:bdr w:val="none" w:sz="0" w:space="0" w:color="auto"/>
        </w:rPr>
        <w:t xml:space="preserve"> </w:t>
      </w:r>
      <w:r w:rsidR="00940530">
        <w:rPr>
          <w:rFonts w:asciiTheme="majorHAnsi" w:eastAsia="Calibri" w:hAnsiTheme="majorHAnsi" w:cs="Tahoma"/>
          <w:color w:val="000000"/>
          <w:sz w:val="20"/>
          <w:szCs w:val="20"/>
          <w:bdr w:val="none" w:sz="0" w:space="0" w:color="auto"/>
        </w:rPr>
        <w:t>context</w:t>
      </w:r>
      <w:r w:rsidR="00E92985">
        <w:rPr>
          <w:rFonts w:asciiTheme="majorHAnsi" w:eastAsia="Calibri" w:hAnsiTheme="majorHAnsi" w:cs="Tahoma"/>
          <w:color w:val="000000"/>
          <w:sz w:val="20"/>
          <w:szCs w:val="20"/>
          <w:bdr w:val="none" w:sz="0" w:space="0" w:color="auto"/>
        </w:rPr>
        <w:t xml:space="preserve"> of </w:t>
      </w:r>
      <w:r w:rsidR="001D6B70" w:rsidRPr="00A51861">
        <w:rPr>
          <w:rFonts w:asciiTheme="majorHAnsi" w:eastAsia="Calibri" w:hAnsiTheme="majorHAnsi" w:cs="Tahoma"/>
          <w:color w:val="000000"/>
          <w:sz w:val="20"/>
          <w:szCs w:val="20"/>
          <w:bdr w:val="none" w:sz="0" w:space="0" w:color="auto"/>
        </w:rPr>
        <w:t>interrog</w:t>
      </w:r>
      <w:r>
        <w:rPr>
          <w:rFonts w:asciiTheme="majorHAnsi" w:eastAsia="Calibri" w:hAnsiTheme="majorHAnsi" w:cs="Tahoma"/>
          <w:color w:val="000000"/>
          <w:sz w:val="20"/>
          <w:szCs w:val="20"/>
          <w:bdr w:val="none" w:sz="0" w:space="0" w:color="auto"/>
        </w:rPr>
        <w:t>at</w:t>
      </w:r>
      <w:r w:rsidR="001D6B70" w:rsidRPr="00A51861">
        <w:rPr>
          <w:rFonts w:asciiTheme="majorHAnsi" w:eastAsia="Calibri" w:hAnsiTheme="majorHAnsi" w:cs="Tahoma"/>
          <w:color w:val="000000"/>
          <w:sz w:val="20"/>
          <w:szCs w:val="20"/>
          <w:bdr w:val="none" w:sz="0" w:space="0" w:color="auto"/>
        </w:rPr>
        <w:t>io</w:t>
      </w:r>
      <w:r>
        <w:rPr>
          <w:rFonts w:asciiTheme="majorHAnsi" w:eastAsia="Calibri" w:hAnsiTheme="majorHAnsi" w:cs="Tahoma"/>
          <w:color w:val="000000"/>
          <w:sz w:val="20"/>
          <w:szCs w:val="20"/>
          <w:bdr w:val="none" w:sz="0" w:space="0" w:color="auto"/>
        </w:rPr>
        <w:t>n</w:t>
      </w:r>
      <w:r w:rsidR="001D6B70" w:rsidRPr="00A51861">
        <w:rPr>
          <w:rFonts w:asciiTheme="majorHAnsi" w:eastAsia="Calibri" w:hAnsiTheme="majorHAnsi" w:cs="Tahoma"/>
          <w:color w:val="000000"/>
          <w:sz w:val="20"/>
          <w:szCs w:val="20"/>
          <w:bdr w:val="none" w:sz="0" w:space="0" w:color="auto"/>
        </w:rPr>
        <w:t>s</w:t>
      </w:r>
      <w:r w:rsidR="00E92985">
        <w:rPr>
          <w:rFonts w:asciiTheme="majorHAnsi" w:eastAsia="Calibri" w:hAnsiTheme="majorHAnsi" w:cs="Tahoma"/>
          <w:color w:val="000000"/>
          <w:sz w:val="20"/>
          <w:szCs w:val="20"/>
          <w:bdr w:val="none" w:sz="0" w:space="0" w:color="auto"/>
        </w:rPr>
        <w:t xml:space="preserve"> and </w:t>
      </w:r>
      <w:r w:rsidR="006E255A">
        <w:rPr>
          <w:rFonts w:asciiTheme="majorHAnsi" w:eastAsia="Calibri" w:hAnsiTheme="majorHAnsi" w:cs="Tahoma"/>
          <w:color w:val="000000"/>
          <w:sz w:val="20"/>
          <w:szCs w:val="20"/>
          <w:bdr w:val="none" w:sz="0" w:space="0" w:color="auto"/>
        </w:rPr>
        <w:t>detention</w:t>
      </w:r>
      <w:r w:rsidR="001D6B70" w:rsidRPr="00A51861">
        <w:rPr>
          <w:rFonts w:asciiTheme="majorHAnsi" w:eastAsia="Calibri" w:hAnsiTheme="majorHAnsi" w:cs="Tahoma"/>
          <w:color w:val="000000"/>
          <w:sz w:val="20"/>
          <w:szCs w:val="20"/>
          <w:bdr w:val="none" w:sz="0" w:space="0" w:color="auto"/>
        </w:rPr>
        <w:t>,</w:t>
      </w:r>
      <w:r w:rsidR="009A4F91">
        <w:rPr>
          <w:rFonts w:asciiTheme="majorHAnsi" w:eastAsia="Calibri" w:hAnsiTheme="majorHAnsi" w:cs="Tahoma"/>
          <w:color w:val="000000"/>
          <w:sz w:val="20"/>
          <w:szCs w:val="20"/>
          <w:bdr w:val="none" w:sz="0" w:space="0" w:color="auto"/>
        </w:rPr>
        <w:t xml:space="preserve"> the </w:t>
      </w:r>
      <w:r>
        <w:rPr>
          <w:rFonts w:asciiTheme="majorHAnsi" w:eastAsia="Calibri" w:hAnsiTheme="majorHAnsi" w:cs="Tahoma"/>
          <w:color w:val="000000"/>
          <w:sz w:val="20"/>
          <w:szCs w:val="20"/>
          <w:bdr w:val="none" w:sz="0" w:space="0" w:color="auto"/>
        </w:rPr>
        <w:t xml:space="preserve">Inter-American jurisprudence </w:t>
      </w:r>
      <w:r w:rsidR="001D6B70" w:rsidRPr="00A51861">
        <w:rPr>
          <w:rFonts w:asciiTheme="majorHAnsi" w:eastAsia="Calibri" w:hAnsiTheme="majorHAnsi" w:cs="Tahoma"/>
          <w:color w:val="000000"/>
          <w:sz w:val="20"/>
          <w:szCs w:val="20"/>
          <w:bdr w:val="none" w:sz="0" w:space="0" w:color="auto"/>
        </w:rPr>
        <w:t>ha</w:t>
      </w:r>
      <w:r>
        <w:rPr>
          <w:rFonts w:asciiTheme="majorHAnsi" w:eastAsia="Calibri" w:hAnsiTheme="majorHAnsi" w:cs="Tahoma"/>
          <w:color w:val="000000"/>
          <w:sz w:val="20"/>
          <w:szCs w:val="20"/>
          <w:bdr w:val="none" w:sz="0" w:space="0" w:color="auto"/>
        </w:rPr>
        <w:t>s</w:t>
      </w:r>
      <w:r w:rsidR="001D6B70" w:rsidRPr="00A51861">
        <w:rPr>
          <w:rFonts w:asciiTheme="majorHAnsi" w:eastAsia="Calibri" w:hAnsiTheme="majorHAnsi" w:cs="Tahoma"/>
          <w:color w:val="000000"/>
          <w:sz w:val="20"/>
          <w:szCs w:val="20"/>
          <w:bdr w:val="none" w:sz="0" w:space="0" w:color="auto"/>
        </w:rPr>
        <w:t xml:space="preserve"> </w:t>
      </w:r>
      <w:r w:rsidR="001D1D61">
        <w:rPr>
          <w:rFonts w:asciiTheme="majorHAnsi" w:eastAsia="Calibri" w:hAnsiTheme="majorHAnsi" w:cs="Tahoma"/>
          <w:color w:val="000000"/>
          <w:sz w:val="20"/>
          <w:szCs w:val="20"/>
          <w:bdr w:val="none" w:sz="0" w:space="0" w:color="auto"/>
        </w:rPr>
        <w:t>considered</w:t>
      </w:r>
      <w:r w:rsidR="001D6B70" w:rsidRPr="00A51861">
        <w:rPr>
          <w:rFonts w:asciiTheme="majorHAnsi" w:eastAsia="Calibri" w:hAnsiTheme="majorHAnsi" w:cs="Tahoma"/>
          <w:color w:val="000000"/>
          <w:sz w:val="20"/>
          <w:szCs w:val="20"/>
          <w:bdr w:val="none" w:sz="0" w:space="0" w:color="auto"/>
        </w:rPr>
        <w:t xml:space="preserve"> </w:t>
      </w:r>
      <w:r>
        <w:rPr>
          <w:rFonts w:asciiTheme="majorHAnsi" w:eastAsia="Calibri" w:hAnsiTheme="majorHAnsi" w:cs="Tahoma"/>
          <w:color w:val="000000"/>
          <w:sz w:val="20"/>
          <w:szCs w:val="20"/>
          <w:bdr w:val="none" w:sz="0" w:space="0" w:color="auto"/>
        </w:rPr>
        <w:t>that</w:t>
      </w:r>
      <w:r w:rsidR="001D6B70" w:rsidRPr="00A51861">
        <w:rPr>
          <w:rFonts w:asciiTheme="majorHAnsi" w:eastAsia="Calibri" w:hAnsiTheme="majorHAnsi" w:cs="Tahoma"/>
          <w:color w:val="000000"/>
          <w:sz w:val="20"/>
          <w:szCs w:val="20"/>
          <w:bdr w:val="none" w:sz="0" w:space="0" w:color="auto"/>
        </w:rPr>
        <w:t xml:space="preserve"> a varie</w:t>
      </w:r>
      <w:r w:rsidR="00FA2E7B">
        <w:rPr>
          <w:rFonts w:asciiTheme="majorHAnsi" w:eastAsia="Calibri" w:hAnsiTheme="majorHAnsi" w:cs="Tahoma"/>
          <w:color w:val="000000"/>
          <w:sz w:val="20"/>
          <w:szCs w:val="20"/>
          <w:bdr w:val="none" w:sz="0" w:space="0" w:color="auto"/>
        </w:rPr>
        <w:t xml:space="preserve">ty </w:t>
      </w:r>
      <w:r w:rsidR="00E92985">
        <w:rPr>
          <w:rFonts w:asciiTheme="majorHAnsi" w:eastAsia="Calibri" w:hAnsiTheme="majorHAnsi" w:cs="Tahoma"/>
          <w:color w:val="000000"/>
          <w:sz w:val="20"/>
          <w:szCs w:val="20"/>
          <w:bdr w:val="none" w:sz="0" w:space="0" w:color="auto"/>
        </w:rPr>
        <w:t xml:space="preserve">of </w:t>
      </w:r>
      <w:r w:rsidR="001D6B70" w:rsidRPr="00A51861">
        <w:rPr>
          <w:rFonts w:asciiTheme="majorHAnsi" w:eastAsia="Calibri" w:hAnsiTheme="majorHAnsi" w:cs="Tahoma"/>
          <w:color w:val="000000"/>
          <w:sz w:val="20"/>
          <w:szCs w:val="20"/>
          <w:bdr w:val="none" w:sz="0" w:space="0" w:color="auto"/>
        </w:rPr>
        <w:t>acts constitu</w:t>
      </w:r>
      <w:r>
        <w:rPr>
          <w:rFonts w:asciiTheme="majorHAnsi" w:eastAsia="Calibri" w:hAnsiTheme="majorHAnsi" w:cs="Tahoma"/>
          <w:color w:val="000000"/>
          <w:sz w:val="20"/>
          <w:szCs w:val="20"/>
          <w:bdr w:val="none" w:sz="0" w:space="0" w:color="auto"/>
        </w:rPr>
        <w:t>t</w:t>
      </w:r>
      <w:r w:rsidR="001D6B70" w:rsidRPr="00A51861">
        <w:rPr>
          <w:rFonts w:asciiTheme="majorHAnsi" w:eastAsia="Calibri" w:hAnsiTheme="majorHAnsi" w:cs="Tahoma"/>
          <w:color w:val="000000"/>
          <w:sz w:val="20"/>
          <w:szCs w:val="20"/>
          <w:bdr w:val="none" w:sz="0" w:space="0" w:color="auto"/>
        </w:rPr>
        <w:t xml:space="preserve">e </w:t>
      </w:r>
      <w:r>
        <w:rPr>
          <w:rFonts w:asciiTheme="majorHAnsi" w:eastAsia="Calibri" w:hAnsiTheme="majorHAnsi" w:cs="Tahoma"/>
          <w:color w:val="000000"/>
          <w:sz w:val="20"/>
          <w:szCs w:val="20"/>
          <w:bdr w:val="none" w:sz="0" w:space="0" w:color="auto"/>
        </w:rPr>
        <w:t>at least inhumane treatment</w:t>
      </w:r>
      <w:r w:rsidR="00E92985">
        <w:rPr>
          <w:rFonts w:asciiTheme="majorHAnsi" w:eastAsia="Calibri" w:hAnsiTheme="majorHAnsi" w:cs="Tahoma"/>
          <w:color w:val="000000"/>
          <w:sz w:val="20"/>
          <w:szCs w:val="20"/>
          <w:bdr w:val="none" w:sz="0" w:space="0" w:color="auto"/>
        </w:rPr>
        <w:t xml:space="preserve"> and </w:t>
      </w:r>
      <w:r>
        <w:rPr>
          <w:rFonts w:asciiTheme="majorHAnsi" w:eastAsia="Calibri" w:hAnsiTheme="majorHAnsi" w:cs="Tahoma"/>
          <w:color w:val="000000"/>
          <w:sz w:val="20"/>
          <w:szCs w:val="20"/>
          <w:bdr w:val="none" w:sz="0" w:space="0" w:color="auto"/>
        </w:rPr>
        <w:t>some</w:t>
      </w:r>
      <w:r w:rsidR="001D6B70" w:rsidRPr="00A51861">
        <w:rPr>
          <w:rFonts w:asciiTheme="majorHAnsi" w:eastAsia="Calibri" w:hAnsiTheme="majorHAnsi" w:cs="Tahoma"/>
          <w:color w:val="000000"/>
          <w:sz w:val="20"/>
          <w:szCs w:val="20"/>
          <w:bdr w:val="none" w:sz="0" w:space="0" w:color="auto"/>
        </w:rPr>
        <w:t xml:space="preserve"> </w:t>
      </w:r>
      <w:r>
        <w:rPr>
          <w:rFonts w:asciiTheme="majorHAnsi" w:eastAsia="Calibri" w:hAnsiTheme="majorHAnsi" w:cs="Tahoma"/>
          <w:color w:val="000000"/>
          <w:sz w:val="20"/>
          <w:szCs w:val="20"/>
          <w:bdr w:val="none" w:sz="0" w:space="0" w:color="auto"/>
        </w:rPr>
        <w:t>constitute</w:t>
      </w:r>
      <w:r w:rsidR="001D6B70" w:rsidRPr="00A51861">
        <w:rPr>
          <w:rFonts w:asciiTheme="majorHAnsi" w:eastAsia="Calibri" w:hAnsiTheme="majorHAnsi" w:cs="Tahoma"/>
          <w:color w:val="000000"/>
          <w:sz w:val="20"/>
          <w:szCs w:val="20"/>
          <w:bdr w:val="none" w:sz="0" w:space="0" w:color="auto"/>
        </w:rPr>
        <w:t xml:space="preserve"> </w:t>
      </w:r>
      <w:r w:rsidR="00F406E1">
        <w:rPr>
          <w:rFonts w:asciiTheme="majorHAnsi" w:eastAsia="Calibri" w:hAnsiTheme="majorHAnsi" w:cs="Tahoma"/>
          <w:color w:val="000000"/>
          <w:sz w:val="20"/>
          <w:szCs w:val="20"/>
          <w:bdr w:val="none" w:sz="0" w:space="0" w:color="auto"/>
        </w:rPr>
        <w:t>torture</w:t>
      </w:r>
      <w:r w:rsidR="001D6B70" w:rsidRPr="00A51861">
        <w:rPr>
          <w:rFonts w:asciiTheme="majorHAnsi" w:eastAsia="Calibri" w:hAnsiTheme="majorHAnsi" w:cs="Tahoma"/>
          <w:color w:val="000000"/>
          <w:sz w:val="20"/>
          <w:szCs w:val="20"/>
          <w:bdr w:val="none" w:sz="0" w:space="0" w:color="auto"/>
        </w:rPr>
        <w:t xml:space="preserve">, </w:t>
      </w:r>
      <w:r>
        <w:rPr>
          <w:rFonts w:asciiTheme="majorHAnsi" w:eastAsia="Calibri" w:hAnsiTheme="majorHAnsi" w:cs="Tahoma"/>
          <w:color w:val="000000"/>
          <w:sz w:val="20"/>
          <w:szCs w:val="20"/>
          <w:bdr w:val="none" w:sz="0" w:space="0" w:color="auto"/>
        </w:rPr>
        <w:t>including</w:t>
      </w:r>
      <w:r w:rsidR="001D6B70" w:rsidRPr="00A51861">
        <w:rPr>
          <w:rFonts w:asciiTheme="majorHAnsi" w:eastAsia="Calibri" w:hAnsiTheme="majorHAnsi" w:cs="Tahoma"/>
          <w:color w:val="000000"/>
          <w:sz w:val="20"/>
          <w:szCs w:val="20"/>
          <w:bdr w:val="none" w:sz="0" w:space="0" w:color="auto"/>
        </w:rPr>
        <w:t xml:space="preserve">, </w:t>
      </w:r>
      <w:r w:rsidR="001D6B70" w:rsidRPr="00A51861">
        <w:rPr>
          <w:rFonts w:asciiTheme="majorHAnsi" w:eastAsia="Calibri" w:hAnsiTheme="majorHAnsi" w:cs="Tahoma"/>
          <w:i/>
          <w:color w:val="000000"/>
          <w:sz w:val="20"/>
          <w:szCs w:val="20"/>
          <w:bdr w:val="none" w:sz="0" w:space="0" w:color="auto"/>
        </w:rPr>
        <w:t>inter alia</w:t>
      </w:r>
      <w:r w:rsidR="001D6B70" w:rsidRPr="00A51861">
        <w:rPr>
          <w:rFonts w:asciiTheme="majorHAnsi" w:eastAsia="Calibri" w:hAnsiTheme="majorHAnsi" w:cs="Tahoma"/>
          <w:color w:val="000000"/>
          <w:sz w:val="20"/>
          <w:szCs w:val="20"/>
          <w:bdr w:val="none" w:sz="0" w:space="0" w:color="auto"/>
        </w:rPr>
        <w:t xml:space="preserve">: </w:t>
      </w:r>
    </w:p>
    <w:p w14:paraId="74B77E5A" w14:textId="77777777" w:rsidR="00DC3654" w:rsidRPr="00A51861" w:rsidRDefault="00DC3654" w:rsidP="008E4D3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cs="Tahoma"/>
          <w:color w:val="000000"/>
          <w:sz w:val="20"/>
          <w:szCs w:val="20"/>
          <w:bdr w:val="none" w:sz="0" w:space="0" w:color="auto"/>
        </w:rPr>
      </w:pPr>
    </w:p>
    <w:p w14:paraId="3E772E11" w14:textId="08782D6E" w:rsidR="008C6C20" w:rsidRPr="00A51861" w:rsidRDefault="001D6B70" w:rsidP="008E4D36">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eastAsia="Calibri" w:hAnsiTheme="majorHAnsi" w:cs="Tahoma"/>
          <w:color w:val="000000"/>
          <w:sz w:val="18"/>
          <w:szCs w:val="20"/>
          <w:bdr w:val="none" w:sz="0" w:space="0" w:color="auto"/>
        </w:rPr>
      </w:pPr>
      <w:r w:rsidRPr="00A51861">
        <w:rPr>
          <w:rFonts w:asciiTheme="majorHAnsi" w:eastAsia="Calibri" w:hAnsiTheme="majorHAnsi" w:cs="Tahoma"/>
          <w:color w:val="000000"/>
          <w:sz w:val="18"/>
          <w:szCs w:val="20"/>
          <w:bdr w:val="none" w:sz="0" w:space="0" w:color="auto"/>
        </w:rPr>
        <w:t>prolong</w:t>
      </w:r>
      <w:r w:rsidR="00D45DC3">
        <w:rPr>
          <w:rFonts w:asciiTheme="majorHAnsi" w:eastAsia="Calibri" w:hAnsiTheme="majorHAnsi" w:cs="Tahoma"/>
          <w:color w:val="000000"/>
          <w:sz w:val="18"/>
          <w:szCs w:val="20"/>
          <w:bdr w:val="none" w:sz="0" w:space="0" w:color="auto"/>
        </w:rPr>
        <w:t>ed</w:t>
      </w:r>
      <w:r w:rsidRPr="00A51861">
        <w:rPr>
          <w:rFonts w:asciiTheme="majorHAnsi" w:eastAsia="Calibri" w:hAnsiTheme="majorHAnsi" w:cs="Tahoma"/>
          <w:color w:val="000000"/>
          <w:sz w:val="18"/>
          <w:szCs w:val="20"/>
          <w:bdr w:val="none" w:sz="0" w:space="0" w:color="auto"/>
        </w:rPr>
        <w:t xml:space="preserve"> </w:t>
      </w:r>
      <w:r w:rsidR="00D45DC3">
        <w:rPr>
          <w:rFonts w:asciiTheme="majorHAnsi" w:eastAsia="Calibri" w:hAnsiTheme="majorHAnsi" w:cs="Tahoma"/>
          <w:color w:val="000000"/>
          <w:sz w:val="18"/>
          <w:szCs w:val="20"/>
          <w:bdr w:val="none" w:sz="0" w:space="0" w:color="auto"/>
        </w:rPr>
        <w:t>detention</w:t>
      </w:r>
      <w:r w:rsidR="00D45DC3" w:rsidRPr="00A51861">
        <w:rPr>
          <w:rFonts w:asciiTheme="majorHAnsi" w:eastAsia="Calibri" w:hAnsiTheme="majorHAnsi" w:cs="Tahoma"/>
          <w:color w:val="000000"/>
          <w:sz w:val="18"/>
          <w:szCs w:val="20"/>
          <w:bdr w:val="none" w:sz="0" w:space="0" w:color="auto"/>
        </w:rPr>
        <w:t xml:space="preserve"> </w:t>
      </w:r>
      <w:r w:rsidR="00D45DC3">
        <w:rPr>
          <w:rFonts w:asciiTheme="majorHAnsi" w:eastAsia="Calibri" w:hAnsiTheme="majorHAnsi" w:cs="Tahoma"/>
          <w:color w:val="000000"/>
          <w:sz w:val="18"/>
          <w:szCs w:val="20"/>
          <w:bdr w:val="none" w:sz="0" w:space="0" w:color="auto"/>
        </w:rPr>
        <w:t>with</w:t>
      </w:r>
      <w:r w:rsidRPr="00A51861">
        <w:rPr>
          <w:rFonts w:asciiTheme="majorHAnsi" w:eastAsia="Calibri" w:hAnsiTheme="majorHAnsi" w:cs="Tahoma"/>
          <w:color w:val="000000"/>
          <w:sz w:val="18"/>
          <w:szCs w:val="20"/>
          <w:bdr w:val="none" w:sz="0" w:space="0" w:color="auto"/>
        </w:rPr>
        <w:t xml:space="preserve"> </w:t>
      </w:r>
      <w:r w:rsidR="00D45DC3" w:rsidRPr="00A51861">
        <w:rPr>
          <w:rFonts w:asciiTheme="majorHAnsi" w:eastAsia="Calibri" w:hAnsiTheme="majorHAnsi" w:cs="Tahoma"/>
          <w:color w:val="000000"/>
          <w:sz w:val="18"/>
          <w:szCs w:val="20"/>
          <w:bdr w:val="none" w:sz="0" w:space="0" w:color="auto"/>
        </w:rPr>
        <w:t>uncommunication</w:t>
      </w:r>
      <w:r w:rsidRPr="00A51861">
        <w:rPr>
          <w:rFonts w:asciiTheme="majorHAnsi" w:eastAsia="Calibri" w:hAnsiTheme="majorHAnsi" w:cs="Tahoma"/>
          <w:color w:val="000000"/>
          <w:sz w:val="18"/>
          <w:szCs w:val="20"/>
          <w:bdr w:val="none" w:sz="0" w:space="0" w:color="auto"/>
        </w:rPr>
        <w:t xml:space="preserve">; </w:t>
      </w:r>
      <w:r w:rsidR="00D45DC3">
        <w:rPr>
          <w:rFonts w:asciiTheme="majorHAnsi" w:eastAsia="Calibri" w:hAnsiTheme="majorHAnsi" w:cs="Tahoma"/>
          <w:color w:val="000000"/>
          <w:sz w:val="18"/>
          <w:szCs w:val="20"/>
          <w:bdr w:val="none" w:sz="0" w:space="0" w:color="auto"/>
        </w:rPr>
        <w:t>keeping the</w:t>
      </w:r>
      <w:r w:rsidRPr="00A51861">
        <w:rPr>
          <w:rFonts w:asciiTheme="majorHAnsi" w:eastAsia="Calibri" w:hAnsiTheme="majorHAnsi" w:cs="Tahoma"/>
          <w:color w:val="000000"/>
          <w:sz w:val="18"/>
          <w:szCs w:val="20"/>
          <w:bdr w:val="none" w:sz="0" w:space="0" w:color="auto"/>
        </w:rPr>
        <w:t xml:space="preserve"> </w:t>
      </w:r>
      <w:r w:rsidR="00CB67C7">
        <w:rPr>
          <w:rFonts w:asciiTheme="majorHAnsi" w:eastAsia="Calibri" w:hAnsiTheme="majorHAnsi" w:cs="Tahoma"/>
          <w:color w:val="000000"/>
          <w:sz w:val="18"/>
          <w:szCs w:val="20"/>
          <w:bdr w:val="none" w:sz="0" w:space="0" w:color="auto"/>
        </w:rPr>
        <w:t>detained</w:t>
      </w:r>
      <w:r w:rsidRPr="00A51861">
        <w:rPr>
          <w:rFonts w:asciiTheme="majorHAnsi" w:eastAsia="Calibri" w:hAnsiTheme="majorHAnsi" w:cs="Tahoma"/>
          <w:color w:val="000000"/>
          <w:sz w:val="18"/>
          <w:szCs w:val="20"/>
          <w:bdr w:val="none" w:sz="0" w:space="0" w:color="auto"/>
        </w:rPr>
        <w:t xml:space="preserve"> </w:t>
      </w:r>
      <w:r w:rsidR="00D45DC3">
        <w:rPr>
          <w:rFonts w:asciiTheme="majorHAnsi" w:eastAsia="Calibri" w:hAnsiTheme="majorHAnsi" w:cs="Tahoma"/>
          <w:color w:val="000000"/>
          <w:sz w:val="18"/>
          <w:szCs w:val="20"/>
          <w:bdr w:val="none" w:sz="0" w:space="0" w:color="auto"/>
        </w:rPr>
        <w:t>hooded and naked in the cells</w:t>
      </w:r>
      <w:r w:rsidR="00E92985">
        <w:rPr>
          <w:rFonts w:asciiTheme="majorHAnsi" w:eastAsia="Calibri" w:hAnsiTheme="majorHAnsi" w:cs="Tahoma"/>
          <w:color w:val="000000"/>
          <w:sz w:val="18"/>
          <w:szCs w:val="20"/>
          <w:bdr w:val="none" w:sz="0" w:space="0" w:color="auto"/>
        </w:rPr>
        <w:t xml:space="preserve"> and </w:t>
      </w:r>
      <w:r w:rsidRPr="00A51861">
        <w:rPr>
          <w:rFonts w:asciiTheme="majorHAnsi" w:eastAsia="Calibri" w:hAnsiTheme="majorHAnsi" w:cs="Tahoma"/>
          <w:color w:val="000000"/>
          <w:sz w:val="18"/>
          <w:szCs w:val="20"/>
          <w:bdr w:val="none" w:sz="0" w:space="0" w:color="auto"/>
        </w:rPr>
        <w:t>interroga</w:t>
      </w:r>
      <w:r w:rsidR="00D45DC3">
        <w:rPr>
          <w:rFonts w:asciiTheme="majorHAnsi" w:eastAsia="Calibri" w:hAnsiTheme="majorHAnsi" w:cs="Tahoma"/>
          <w:color w:val="000000"/>
          <w:sz w:val="18"/>
          <w:szCs w:val="20"/>
          <w:bdr w:val="none" w:sz="0" w:space="0" w:color="auto"/>
        </w:rPr>
        <w:t>ting them</w:t>
      </w:r>
      <w:r w:rsidRPr="00A51861">
        <w:rPr>
          <w:rFonts w:asciiTheme="majorHAnsi" w:eastAsia="Calibri" w:hAnsiTheme="majorHAnsi" w:cs="Tahoma"/>
          <w:color w:val="000000"/>
          <w:sz w:val="18"/>
          <w:szCs w:val="20"/>
          <w:bdr w:val="none" w:sz="0" w:space="0" w:color="auto"/>
        </w:rPr>
        <w:t xml:space="preserve"> </w:t>
      </w:r>
      <w:r w:rsidR="00D45DC3">
        <w:rPr>
          <w:rFonts w:asciiTheme="majorHAnsi" w:eastAsia="Calibri" w:hAnsiTheme="majorHAnsi" w:cs="Tahoma"/>
          <w:color w:val="000000"/>
          <w:sz w:val="18"/>
          <w:szCs w:val="20"/>
          <w:bdr w:val="none" w:sz="0" w:space="0" w:color="auto"/>
        </w:rPr>
        <w:t>under the effects of</w:t>
      </w:r>
      <w:r w:rsidR="00323EBA">
        <w:rPr>
          <w:rFonts w:asciiTheme="majorHAnsi" w:eastAsia="Calibri" w:hAnsiTheme="majorHAnsi" w:cs="Tahoma"/>
          <w:color w:val="000000"/>
          <w:sz w:val="18"/>
          <w:szCs w:val="20"/>
          <w:bdr w:val="none" w:sz="0" w:space="0" w:color="auto"/>
        </w:rPr>
        <w:t xml:space="preserve"> </w:t>
      </w:r>
      <w:r w:rsidR="00934FDF">
        <w:rPr>
          <w:rFonts w:asciiTheme="majorHAnsi" w:eastAsia="Calibri" w:hAnsiTheme="majorHAnsi" w:cs="Tahoma"/>
          <w:color w:val="000000"/>
          <w:sz w:val="18"/>
          <w:szCs w:val="20"/>
          <w:bdr w:val="none" w:sz="0" w:space="0" w:color="auto"/>
        </w:rPr>
        <w:t>pen</w:t>
      </w:r>
      <w:r w:rsidRPr="00A51861">
        <w:rPr>
          <w:rFonts w:asciiTheme="majorHAnsi" w:eastAsia="Calibri" w:hAnsiTheme="majorHAnsi" w:cs="Tahoma"/>
          <w:color w:val="000000"/>
          <w:sz w:val="18"/>
          <w:szCs w:val="20"/>
          <w:bdr w:val="none" w:sz="0" w:space="0" w:color="auto"/>
        </w:rPr>
        <w:t>tot</w:t>
      </w:r>
      <w:r w:rsidR="00D45DC3">
        <w:rPr>
          <w:rFonts w:asciiTheme="majorHAnsi" w:eastAsia="Calibri" w:hAnsiTheme="majorHAnsi" w:cs="Tahoma"/>
          <w:color w:val="000000"/>
          <w:sz w:val="18"/>
          <w:szCs w:val="20"/>
          <w:bdr w:val="none" w:sz="0" w:space="0" w:color="auto"/>
        </w:rPr>
        <w:t>h</w:t>
      </w:r>
      <w:r w:rsidRPr="00A51861">
        <w:rPr>
          <w:rFonts w:asciiTheme="majorHAnsi" w:eastAsia="Calibri" w:hAnsiTheme="majorHAnsi" w:cs="Tahoma"/>
          <w:color w:val="000000"/>
          <w:sz w:val="18"/>
          <w:szCs w:val="20"/>
          <w:bdr w:val="none" w:sz="0" w:space="0" w:color="auto"/>
        </w:rPr>
        <w:t xml:space="preserve">al; </w:t>
      </w:r>
      <w:r w:rsidR="00D45DC3">
        <w:rPr>
          <w:rFonts w:asciiTheme="majorHAnsi" w:eastAsia="Calibri" w:hAnsiTheme="majorHAnsi" w:cs="Tahoma"/>
          <w:color w:val="000000"/>
          <w:sz w:val="18"/>
          <w:szCs w:val="20"/>
          <w:bdr w:val="none" w:sz="0" w:space="0" w:color="auto"/>
        </w:rPr>
        <w:t>submerging the head of a</w:t>
      </w:r>
      <w:r w:rsidRPr="00A51861">
        <w:rPr>
          <w:rFonts w:asciiTheme="majorHAnsi" w:eastAsia="Calibri" w:hAnsiTheme="majorHAnsi" w:cs="Tahoma"/>
          <w:color w:val="000000"/>
          <w:sz w:val="18"/>
          <w:szCs w:val="20"/>
          <w:bdr w:val="none" w:sz="0" w:space="0" w:color="auto"/>
        </w:rPr>
        <w:t xml:space="preserve"> </w:t>
      </w:r>
      <w:r w:rsidR="00EC7A58">
        <w:rPr>
          <w:rFonts w:asciiTheme="majorHAnsi" w:eastAsia="Calibri" w:hAnsiTheme="majorHAnsi" w:cs="Tahoma"/>
          <w:color w:val="000000"/>
          <w:sz w:val="18"/>
          <w:szCs w:val="20"/>
          <w:bdr w:val="none" w:sz="0" w:space="0" w:color="auto"/>
        </w:rPr>
        <w:t xml:space="preserve">person </w:t>
      </w:r>
      <w:r w:rsidR="00D45DC3">
        <w:rPr>
          <w:rFonts w:asciiTheme="majorHAnsi" w:eastAsia="Calibri" w:hAnsiTheme="majorHAnsi" w:cs="Tahoma"/>
          <w:color w:val="000000"/>
          <w:sz w:val="18"/>
          <w:szCs w:val="20"/>
          <w:bdr w:val="none" w:sz="0" w:space="0" w:color="auto"/>
        </w:rPr>
        <w:t>in water to the point of suffocation</w:t>
      </w:r>
      <w:r w:rsidRPr="00A51861">
        <w:rPr>
          <w:rFonts w:asciiTheme="majorHAnsi" w:eastAsia="Calibri" w:hAnsiTheme="majorHAnsi" w:cs="Tahoma"/>
          <w:color w:val="000000"/>
          <w:sz w:val="18"/>
          <w:szCs w:val="20"/>
          <w:bdr w:val="none" w:sz="0" w:space="0" w:color="auto"/>
        </w:rPr>
        <w:t xml:space="preserve">; </w:t>
      </w:r>
      <w:r w:rsidR="00D45DC3">
        <w:rPr>
          <w:rFonts w:asciiTheme="majorHAnsi" w:eastAsia="Calibri" w:hAnsiTheme="majorHAnsi" w:cs="Tahoma"/>
          <w:color w:val="000000"/>
          <w:sz w:val="18"/>
          <w:szCs w:val="20"/>
          <w:bdr w:val="none" w:sz="0" w:space="0" w:color="auto"/>
        </w:rPr>
        <w:t>beatings</w:t>
      </w:r>
      <w:r w:rsidRPr="00A51861">
        <w:rPr>
          <w:rFonts w:asciiTheme="majorHAnsi" w:eastAsia="Calibri" w:hAnsiTheme="majorHAnsi" w:cs="Tahoma"/>
          <w:color w:val="000000"/>
          <w:sz w:val="18"/>
          <w:szCs w:val="20"/>
          <w:bdr w:val="none" w:sz="0" w:space="0" w:color="auto"/>
        </w:rPr>
        <w:t xml:space="preserve">; </w:t>
      </w:r>
      <w:r w:rsidR="00D45DC3">
        <w:rPr>
          <w:rFonts w:asciiTheme="majorHAnsi" w:eastAsia="Calibri" w:hAnsiTheme="majorHAnsi" w:cs="Tahoma"/>
          <w:color w:val="000000"/>
          <w:sz w:val="18"/>
          <w:szCs w:val="20"/>
          <w:bdr w:val="none" w:sz="0" w:space="0" w:color="auto"/>
        </w:rPr>
        <w:t>cuts with pieces of glass</w:t>
      </w:r>
      <w:r w:rsidRPr="00A51861">
        <w:rPr>
          <w:rFonts w:asciiTheme="majorHAnsi" w:eastAsia="Calibri" w:hAnsiTheme="majorHAnsi" w:cs="Tahoma"/>
          <w:color w:val="000000"/>
          <w:sz w:val="18"/>
          <w:szCs w:val="20"/>
          <w:bdr w:val="none" w:sz="0" w:space="0" w:color="auto"/>
        </w:rPr>
        <w:t>;</w:t>
      </w:r>
      <w:r w:rsidR="009A4F91">
        <w:rPr>
          <w:rFonts w:asciiTheme="majorHAnsi" w:eastAsia="Calibri" w:hAnsiTheme="majorHAnsi" w:cs="Tahoma"/>
          <w:color w:val="000000"/>
          <w:sz w:val="18"/>
          <w:szCs w:val="20"/>
          <w:bdr w:val="none" w:sz="0" w:space="0" w:color="auto"/>
        </w:rPr>
        <w:t xml:space="preserve"> </w:t>
      </w:r>
      <w:r w:rsidR="00D45DC3">
        <w:rPr>
          <w:rFonts w:asciiTheme="majorHAnsi" w:eastAsia="Calibri" w:hAnsiTheme="majorHAnsi" w:cs="Tahoma"/>
          <w:color w:val="000000"/>
          <w:sz w:val="18"/>
          <w:szCs w:val="20"/>
          <w:bdr w:val="none" w:sz="0" w:space="0" w:color="auto"/>
        </w:rPr>
        <w:t>placing a hood in the head</w:t>
      </w:r>
      <w:r w:rsidR="00E92985">
        <w:rPr>
          <w:rFonts w:asciiTheme="majorHAnsi" w:eastAsia="Calibri" w:hAnsiTheme="majorHAnsi" w:cs="Tahoma"/>
          <w:color w:val="000000"/>
          <w:sz w:val="18"/>
          <w:szCs w:val="20"/>
          <w:bdr w:val="none" w:sz="0" w:space="0" w:color="auto"/>
        </w:rPr>
        <w:t xml:space="preserve"> of </w:t>
      </w:r>
      <w:r w:rsidR="00D45DC3">
        <w:rPr>
          <w:rFonts w:asciiTheme="majorHAnsi" w:eastAsia="Calibri" w:hAnsiTheme="majorHAnsi" w:cs="Tahoma"/>
          <w:color w:val="000000"/>
          <w:sz w:val="18"/>
          <w:szCs w:val="20"/>
          <w:bdr w:val="none" w:sz="0" w:space="0" w:color="auto"/>
        </w:rPr>
        <w:t>a</w:t>
      </w:r>
      <w:r w:rsidRPr="00A51861">
        <w:rPr>
          <w:rFonts w:asciiTheme="majorHAnsi" w:eastAsia="Calibri" w:hAnsiTheme="majorHAnsi" w:cs="Tahoma"/>
          <w:color w:val="000000"/>
          <w:sz w:val="18"/>
          <w:szCs w:val="20"/>
          <w:bdr w:val="none" w:sz="0" w:space="0" w:color="auto"/>
        </w:rPr>
        <w:t xml:space="preserve"> </w:t>
      </w:r>
      <w:r w:rsidR="00EC7A58">
        <w:rPr>
          <w:rFonts w:asciiTheme="majorHAnsi" w:eastAsia="Calibri" w:hAnsiTheme="majorHAnsi" w:cs="Tahoma"/>
          <w:color w:val="000000"/>
          <w:sz w:val="18"/>
          <w:szCs w:val="20"/>
          <w:bdr w:val="none" w:sz="0" w:space="0" w:color="auto"/>
        </w:rPr>
        <w:t xml:space="preserve">person </w:t>
      </w:r>
      <w:r w:rsidR="00E92985">
        <w:rPr>
          <w:rFonts w:asciiTheme="majorHAnsi" w:eastAsia="Calibri" w:hAnsiTheme="majorHAnsi" w:cs="Tahoma"/>
          <w:color w:val="000000"/>
          <w:sz w:val="18"/>
          <w:szCs w:val="20"/>
          <w:bdr w:val="none" w:sz="0" w:space="0" w:color="auto"/>
        </w:rPr>
        <w:t xml:space="preserve">and </w:t>
      </w:r>
      <w:r w:rsidR="00D45DC3">
        <w:rPr>
          <w:rFonts w:asciiTheme="majorHAnsi" w:eastAsia="Calibri" w:hAnsiTheme="majorHAnsi" w:cs="Tahoma"/>
          <w:color w:val="000000"/>
          <w:sz w:val="18"/>
          <w:szCs w:val="20"/>
          <w:bdr w:val="none" w:sz="0" w:space="0" w:color="auto"/>
        </w:rPr>
        <w:t>burning them with lit up cigarettes</w:t>
      </w:r>
      <w:r w:rsidRPr="00A51861">
        <w:rPr>
          <w:rFonts w:asciiTheme="majorHAnsi" w:eastAsia="Calibri" w:hAnsiTheme="majorHAnsi" w:cs="Tahoma"/>
          <w:color w:val="000000"/>
          <w:sz w:val="18"/>
          <w:szCs w:val="20"/>
          <w:bdr w:val="none" w:sz="0" w:space="0" w:color="auto"/>
        </w:rPr>
        <w:t xml:space="preserve">; </w:t>
      </w:r>
      <w:r w:rsidR="00D45DC3">
        <w:rPr>
          <w:rFonts w:asciiTheme="majorHAnsi" w:eastAsia="Calibri" w:hAnsiTheme="majorHAnsi" w:cs="Tahoma"/>
          <w:color w:val="000000"/>
          <w:sz w:val="18"/>
          <w:szCs w:val="20"/>
          <w:bdr w:val="none" w:sz="0" w:space="0" w:color="auto"/>
        </w:rPr>
        <w:t>threats of a behavior</w:t>
      </w:r>
      <w:r w:rsidR="00E92985">
        <w:rPr>
          <w:rFonts w:asciiTheme="majorHAnsi" w:eastAsia="Calibri" w:hAnsiTheme="majorHAnsi" w:cs="Tahoma"/>
          <w:color w:val="000000"/>
          <w:sz w:val="18"/>
          <w:szCs w:val="20"/>
          <w:bdr w:val="none" w:sz="0" w:space="0" w:color="auto"/>
        </w:rPr>
        <w:t xml:space="preserve"> </w:t>
      </w:r>
      <w:r w:rsidR="00D45DC3">
        <w:rPr>
          <w:rFonts w:asciiTheme="majorHAnsi" w:eastAsia="Calibri" w:hAnsiTheme="majorHAnsi" w:cs="Tahoma"/>
          <w:color w:val="000000"/>
          <w:sz w:val="18"/>
          <w:szCs w:val="20"/>
          <w:bdr w:val="none" w:sz="0" w:space="0" w:color="auto"/>
        </w:rPr>
        <w:t>which would constitute inhumane treatment</w:t>
      </w:r>
      <w:r w:rsidRPr="00A51861">
        <w:rPr>
          <w:rFonts w:asciiTheme="majorHAnsi" w:eastAsia="Calibri" w:hAnsiTheme="majorHAnsi" w:cs="Tahoma"/>
          <w:color w:val="000000"/>
          <w:sz w:val="18"/>
          <w:szCs w:val="20"/>
          <w:bdr w:val="none" w:sz="0" w:space="0" w:color="auto"/>
        </w:rPr>
        <w:t xml:space="preserve">; </w:t>
      </w:r>
      <w:r w:rsidR="00D45DC3">
        <w:rPr>
          <w:rFonts w:asciiTheme="majorHAnsi" w:eastAsia="Calibri" w:hAnsiTheme="majorHAnsi" w:cs="Tahoma"/>
          <w:color w:val="000000"/>
          <w:sz w:val="18"/>
          <w:szCs w:val="20"/>
          <w:bdr w:val="none" w:sz="0" w:space="0" w:color="auto"/>
        </w:rPr>
        <w:t>threats</w:t>
      </w:r>
      <w:r w:rsidR="00E92985">
        <w:rPr>
          <w:rFonts w:asciiTheme="majorHAnsi" w:eastAsia="Calibri" w:hAnsiTheme="majorHAnsi" w:cs="Tahoma"/>
          <w:color w:val="000000"/>
          <w:sz w:val="18"/>
          <w:szCs w:val="20"/>
          <w:bdr w:val="none" w:sz="0" w:space="0" w:color="auto"/>
        </w:rPr>
        <w:t xml:space="preserve"> of the </w:t>
      </w:r>
      <w:r w:rsidR="00D45DC3" w:rsidRPr="00A51861">
        <w:rPr>
          <w:rFonts w:asciiTheme="majorHAnsi" w:eastAsia="Calibri" w:hAnsiTheme="majorHAnsi" w:cs="Tahoma"/>
          <w:color w:val="000000"/>
          <w:sz w:val="18"/>
          <w:szCs w:val="20"/>
          <w:bdr w:val="none" w:sz="0" w:space="0" w:color="auto"/>
        </w:rPr>
        <w:t>extirpation</w:t>
      </w:r>
      <w:r w:rsidR="00E92985">
        <w:rPr>
          <w:rFonts w:asciiTheme="majorHAnsi" w:eastAsia="Calibri" w:hAnsiTheme="majorHAnsi" w:cs="Tahoma"/>
          <w:color w:val="000000"/>
          <w:sz w:val="18"/>
          <w:szCs w:val="20"/>
          <w:bdr w:val="none" w:sz="0" w:space="0" w:color="auto"/>
        </w:rPr>
        <w:t xml:space="preserve"> of </w:t>
      </w:r>
      <w:r w:rsidRPr="00A51861">
        <w:rPr>
          <w:rFonts w:asciiTheme="majorHAnsi" w:eastAsia="Calibri" w:hAnsiTheme="majorHAnsi" w:cs="Tahoma"/>
          <w:color w:val="000000"/>
          <w:sz w:val="18"/>
          <w:szCs w:val="20"/>
          <w:bdr w:val="none" w:sz="0" w:space="0" w:color="auto"/>
        </w:rPr>
        <w:t>parts</w:t>
      </w:r>
      <w:r w:rsidR="004969F4">
        <w:rPr>
          <w:rFonts w:asciiTheme="majorHAnsi" w:eastAsia="Calibri" w:hAnsiTheme="majorHAnsi" w:cs="Tahoma"/>
          <w:color w:val="000000"/>
          <w:sz w:val="18"/>
          <w:szCs w:val="20"/>
          <w:bdr w:val="none" w:sz="0" w:space="0" w:color="auto"/>
        </w:rPr>
        <w:t xml:space="preserve"> of the </w:t>
      </w:r>
      <w:r w:rsidR="00D45DC3">
        <w:rPr>
          <w:rFonts w:asciiTheme="majorHAnsi" w:eastAsia="Calibri" w:hAnsiTheme="majorHAnsi" w:cs="Tahoma"/>
          <w:color w:val="000000"/>
          <w:sz w:val="18"/>
          <w:szCs w:val="20"/>
          <w:bdr w:val="none" w:sz="0" w:space="0" w:color="auto"/>
        </w:rPr>
        <w:t>body</w:t>
      </w:r>
      <w:r w:rsidRPr="00A51861">
        <w:rPr>
          <w:rFonts w:asciiTheme="majorHAnsi" w:eastAsia="Calibri" w:hAnsiTheme="majorHAnsi" w:cs="Tahoma"/>
          <w:color w:val="000000"/>
          <w:sz w:val="18"/>
          <w:szCs w:val="20"/>
          <w:bdr w:val="none" w:sz="0" w:space="0" w:color="auto"/>
        </w:rPr>
        <w:t>;</w:t>
      </w:r>
      <w:r w:rsidR="009A4F91">
        <w:rPr>
          <w:rFonts w:asciiTheme="majorHAnsi" w:eastAsia="Calibri" w:hAnsiTheme="majorHAnsi" w:cs="Tahoma"/>
          <w:color w:val="000000"/>
          <w:sz w:val="18"/>
          <w:szCs w:val="20"/>
          <w:bdr w:val="none" w:sz="0" w:space="0" w:color="auto"/>
        </w:rPr>
        <w:t xml:space="preserve"> the </w:t>
      </w:r>
      <w:r w:rsidRPr="00A51861">
        <w:rPr>
          <w:rFonts w:asciiTheme="majorHAnsi" w:eastAsia="Calibri" w:hAnsiTheme="majorHAnsi" w:cs="Tahoma"/>
          <w:color w:val="000000"/>
          <w:sz w:val="18"/>
          <w:szCs w:val="20"/>
          <w:bdr w:val="none" w:sz="0" w:space="0" w:color="auto"/>
        </w:rPr>
        <w:t>expo</w:t>
      </w:r>
      <w:r w:rsidR="00D45DC3">
        <w:rPr>
          <w:rFonts w:asciiTheme="majorHAnsi" w:eastAsia="Calibri" w:hAnsiTheme="majorHAnsi" w:cs="Tahoma"/>
          <w:color w:val="000000"/>
          <w:sz w:val="18"/>
          <w:szCs w:val="20"/>
          <w:bdr w:val="none" w:sz="0" w:space="0" w:color="auto"/>
        </w:rPr>
        <w:t>sure to</w:t>
      </w:r>
      <w:r w:rsidR="009A4F91">
        <w:rPr>
          <w:rFonts w:asciiTheme="majorHAnsi" w:eastAsia="Calibri" w:hAnsiTheme="majorHAnsi" w:cs="Tahoma"/>
          <w:color w:val="000000"/>
          <w:sz w:val="18"/>
          <w:szCs w:val="20"/>
          <w:bdr w:val="none" w:sz="0" w:space="0" w:color="auto"/>
        </w:rPr>
        <w:t xml:space="preserve"> the </w:t>
      </w:r>
      <w:r w:rsidR="00F406E1">
        <w:rPr>
          <w:rFonts w:asciiTheme="majorHAnsi" w:eastAsia="Calibri" w:hAnsiTheme="majorHAnsi" w:cs="Tahoma"/>
          <w:color w:val="000000"/>
          <w:sz w:val="18"/>
          <w:szCs w:val="20"/>
          <w:bdr w:val="none" w:sz="0" w:space="0" w:color="auto"/>
        </w:rPr>
        <w:t>torture</w:t>
      </w:r>
      <w:r w:rsidR="00E92985">
        <w:rPr>
          <w:rFonts w:asciiTheme="majorHAnsi" w:eastAsia="Calibri" w:hAnsiTheme="majorHAnsi" w:cs="Tahoma"/>
          <w:color w:val="000000"/>
          <w:sz w:val="18"/>
          <w:szCs w:val="20"/>
          <w:bdr w:val="none" w:sz="0" w:space="0" w:color="auto"/>
        </w:rPr>
        <w:t xml:space="preserve"> of </w:t>
      </w:r>
      <w:r w:rsidR="00D45DC3">
        <w:rPr>
          <w:rFonts w:asciiTheme="majorHAnsi" w:eastAsia="Calibri" w:hAnsiTheme="majorHAnsi" w:cs="Tahoma"/>
          <w:color w:val="000000"/>
          <w:sz w:val="18"/>
          <w:szCs w:val="20"/>
          <w:bdr w:val="none" w:sz="0" w:space="0" w:color="auto"/>
        </w:rPr>
        <w:t>other victims</w:t>
      </w:r>
      <w:r w:rsidRPr="00A51861">
        <w:rPr>
          <w:rFonts w:asciiTheme="majorHAnsi" w:eastAsia="Calibri" w:hAnsiTheme="majorHAnsi" w:cs="Tahoma"/>
          <w:color w:val="000000"/>
          <w:sz w:val="18"/>
          <w:szCs w:val="20"/>
          <w:bdr w:val="none" w:sz="0" w:space="0" w:color="auto"/>
        </w:rPr>
        <w:t xml:space="preserve">; </w:t>
      </w:r>
      <w:r w:rsidR="00D45DC3">
        <w:rPr>
          <w:rFonts w:asciiTheme="majorHAnsi" w:eastAsia="Calibri" w:hAnsiTheme="majorHAnsi" w:cs="Tahoma"/>
          <w:color w:val="000000"/>
          <w:sz w:val="18"/>
          <w:szCs w:val="20"/>
          <w:bdr w:val="none" w:sz="0" w:space="0" w:color="auto"/>
        </w:rPr>
        <w:t>threats</w:t>
      </w:r>
      <w:r w:rsidR="00E92985">
        <w:rPr>
          <w:rFonts w:asciiTheme="majorHAnsi" w:eastAsia="Calibri" w:hAnsiTheme="majorHAnsi" w:cs="Tahoma"/>
          <w:color w:val="000000"/>
          <w:sz w:val="18"/>
          <w:szCs w:val="20"/>
          <w:bdr w:val="none" w:sz="0" w:space="0" w:color="auto"/>
        </w:rPr>
        <w:t xml:space="preserve"> of </w:t>
      </w:r>
      <w:r w:rsidR="00D45DC3">
        <w:rPr>
          <w:rFonts w:asciiTheme="majorHAnsi" w:eastAsia="Calibri" w:hAnsiTheme="majorHAnsi" w:cs="Tahoma"/>
          <w:color w:val="000000"/>
          <w:sz w:val="18"/>
          <w:szCs w:val="20"/>
          <w:bdr w:val="none" w:sz="0" w:space="0" w:color="auto"/>
        </w:rPr>
        <w:t>death</w:t>
      </w:r>
      <w:r w:rsidR="00DC3654" w:rsidRPr="00A51861">
        <w:rPr>
          <w:rStyle w:val="FootnoteReference"/>
          <w:rFonts w:asciiTheme="majorHAnsi" w:eastAsia="Calibri" w:hAnsiTheme="majorHAnsi" w:cs="Tahoma"/>
          <w:color w:val="000000"/>
          <w:sz w:val="18"/>
          <w:szCs w:val="20"/>
          <w:bdr w:val="none" w:sz="0" w:space="0" w:color="auto"/>
        </w:rPr>
        <w:footnoteReference w:id="205"/>
      </w:r>
      <w:r w:rsidR="008C6C20" w:rsidRPr="00A51861">
        <w:rPr>
          <w:rFonts w:asciiTheme="majorHAnsi" w:eastAsia="Calibri" w:hAnsiTheme="majorHAnsi" w:cs="Tahoma"/>
          <w:color w:val="000000"/>
          <w:sz w:val="18"/>
          <w:szCs w:val="20"/>
          <w:bdr w:val="none" w:sz="0" w:space="0" w:color="auto"/>
        </w:rPr>
        <w:t xml:space="preserve">. </w:t>
      </w:r>
    </w:p>
    <w:p w14:paraId="7D2F2740" w14:textId="77777777" w:rsidR="00AC390C" w:rsidRPr="00A51861" w:rsidRDefault="00AC390C" w:rsidP="008E4D36">
      <w:pPr>
        <w:pBdr>
          <w:top w:val="none" w:sz="0" w:space="0" w:color="auto"/>
          <w:left w:val="none" w:sz="0" w:space="0" w:color="auto"/>
          <w:bottom w:val="none" w:sz="0" w:space="0" w:color="auto"/>
          <w:right w:val="none" w:sz="0" w:space="0" w:color="auto"/>
          <w:between w:val="none" w:sz="0" w:space="0" w:color="auto"/>
          <w:bar w:val="none" w:sz="0" w:color="auto"/>
        </w:pBdr>
        <w:ind w:left="720" w:right="855"/>
        <w:jc w:val="both"/>
        <w:rPr>
          <w:rFonts w:asciiTheme="majorHAnsi" w:eastAsia="Calibri" w:hAnsiTheme="majorHAnsi" w:cs="Tahoma"/>
          <w:color w:val="000000"/>
          <w:sz w:val="20"/>
          <w:szCs w:val="20"/>
          <w:bdr w:val="none" w:sz="0" w:space="0" w:color="auto"/>
        </w:rPr>
      </w:pPr>
    </w:p>
    <w:p w14:paraId="1501C3BB" w14:textId="417E7496" w:rsidR="00AC390C" w:rsidRPr="00A51861" w:rsidRDefault="00D45DC3" w:rsidP="00C238A7">
      <w:pPr>
        <w:pStyle w:val="Heading3"/>
        <w:keepNext/>
        <w:numPr>
          <w:ilvl w:val="0"/>
          <w:numId w:val="68"/>
        </w:numPr>
        <w:spacing w:line="240" w:lineRule="auto"/>
        <w:jc w:val="left"/>
        <w:rPr>
          <w:bdr w:val="none" w:sz="0" w:space="0" w:color="auto"/>
          <w:lang w:val="en-US"/>
        </w:rPr>
      </w:pPr>
      <w:bookmarkStart w:id="30" w:name="_Toc196383494"/>
      <w:r>
        <w:rPr>
          <w:bdr w:val="none" w:sz="0" w:space="0" w:color="auto"/>
          <w:lang w:val="en-US"/>
        </w:rPr>
        <w:t xml:space="preserve">Analysis of the concrete case of </w:t>
      </w:r>
      <w:r w:rsidR="00BD093F">
        <w:rPr>
          <w:bdr w:val="none" w:sz="0" w:space="0" w:color="auto"/>
          <w:lang w:val="en-US"/>
        </w:rPr>
        <w:t xml:space="preserve">Mr. </w:t>
      </w:r>
      <w:r w:rsidR="00080010" w:rsidRPr="00A51861">
        <w:rPr>
          <w:bdr w:val="none" w:sz="0" w:space="0" w:color="auto"/>
          <w:lang w:val="en-US"/>
        </w:rPr>
        <w:t>Nicasio Washington Romero</w:t>
      </w:r>
      <w:bookmarkEnd w:id="30"/>
    </w:p>
    <w:p w14:paraId="7FBE8B9C" w14:textId="77777777" w:rsidR="00A26557" w:rsidRPr="00A51861" w:rsidRDefault="00A26557" w:rsidP="008E4D36">
      <w:pPr>
        <w:pBdr>
          <w:top w:val="none" w:sz="0" w:space="0" w:color="auto"/>
          <w:left w:val="none" w:sz="0" w:space="0" w:color="auto"/>
          <w:bottom w:val="none" w:sz="0" w:space="0" w:color="auto"/>
          <w:right w:val="none" w:sz="0" w:space="0" w:color="auto"/>
          <w:between w:val="none" w:sz="0" w:space="0" w:color="auto"/>
          <w:bar w:val="none" w:sz="0" w:color="auto"/>
        </w:pBdr>
        <w:ind w:right="855"/>
        <w:jc w:val="both"/>
        <w:rPr>
          <w:rFonts w:asciiTheme="majorHAnsi" w:eastAsia="Calibri" w:hAnsiTheme="majorHAnsi" w:cs="Tahoma"/>
          <w:b/>
          <w:sz w:val="20"/>
          <w:szCs w:val="20"/>
          <w:bdr w:val="none" w:sz="0" w:space="0" w:color="auto"/>
        </w:rPr>
      </w:pPr>
    </w:p>
    <w:p w14:paraId="4BFEE618" w14:textId="081D68D7" w:rsidR="00A742A4" w:rsidRPr="00A51861" w:rsidRDefault="002B762A"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Calibri" w:hAnsiTheme="majorHAnsi" w:cs="Tahoma"/>
          <w:sz w:val="20"/>
          <w:szCs w:val="20"/>
          <w:bdr w:val="none" w:sz="0" w:space="0" w:color="auto"/>
        </w:rPr>
      </w:pPr>
      <w:r>
        <w:rPr>
          <w:rFonts w:asciiTheme="majorHAnsi" w:eastAsia="Calibri" w:hAnsiTheme="majorHAnsi" w:cs="Tahoma"/>
          <w:color w:val="000000"/>
          <w:sz w:val="20"/>
          <w:szCs w:val="20"/>
          <w:bdr w:val="none" w:sz="0" w:space="0" w:color="auto"/>
        </w:rPr>
        <w:t>In the case under study</w:t>
      </w:r>
      <w:r w:rsidR="00A26557" w:rsidRPr="00A51861">
        <w:rPr>
          <w:rFonts w:asciiTheme="majorHAnsi" w:eastAsia="Calibri" w:hAnsiTheme="majorHAnsi" w:cs="Tahoma"/>
          <w:sz w:val="20"/>
          <w:szCs w:val="20"/>
          <w:bdr w:val="none" w:sz="0" w:space="0" w:color="auto"/>
        </w:rPr>
        <w:t xml:space="preserve">, </w:t>
      </w:r>
      <w:r w:rsidR="00A51861" w:rsidRPr="00A51861">
        <w:rPr>
          <w:rFonts w:asciiTheme="majorHAnsi" w:eastAsia="Calibri" w:hAnsiTheme="majorHAnsi" w:cs="Tahoma"/>
          <w:sz w:val="20"/>
          <w:szCs w:val="20"/>
          <w:bdr w:val="none" w:sz="0" w:space="0" w:color="auto"/>
        </w:rPr>
        <w:t xml:space="preserve">Mr. </w:t>
      </w:r>
      <w:r w:rsidR="00A26557" w:rsidRPr="00A51861">
        <w:rPr>
          <w:rFonts w:asciiTheme="majorHAnsi" w:eastAsia="Calibri" w:hAnsiTheme="majorHAnsi" w:cs="Tahoma"/>
          <w:sz w:val="20"/>
          <w:szCs w:val="20"/>
          <w:bdr w:val="none" w:sz="0" w:space="0" w:color="auto"/>
        </w:rPr>
        <w:t xml:space="preserve">Romero Ubal </w:t>
      </w:r>
      <w:r>
        <w:rPr>
          <w:rFonts w:asciiTheme="majorHAnsi" w:eastAsia="Calibri" w:hAnsiTheme="majorHAnsi" w:cs="Tahoma"/>
          <w:sz w:val="20"/>
          <w:szCs w:val="20"/>
          <w:bdr w:val="none" w:sz="0" w:space="0" w:color="auto"/>
        </w:rPr>
        <w:t xml:space="preserve">claimed he was illegally and arbitrarily </w:t>
      </w:r>
      <w:r w:rsidR="00CB67C7">
        <w:rPr>
          <w:rFonts w:asciiTheme="majorHAnsi" w:eastAsia="Calibri" w:hAnsiTheme="majorHAnsi" w:cs="Tahoma"/>
          <w:sz w:val="20"/>
          <w:szCs w:val="20"/>
          <w:bdr w:val="none" w:sz="0" w:space="0" w:color="auto"/>
        </w:rPr>
        <w:t>detained</w:t>
      </w:r>
      <w:r w:rsidR="00A26557" w:rsidRPr="00A51861">
        <w:rPr>
          <w:rFonts w:asciiTheme="majorHAnsi" w:eastAsia="Calibri" w:hAnsiTheme="majorHAnsi" w:cs="Tahoma"/>
          <w:sz w:val="20"/>
          <w:szCs w:val="20"/>
          <w:bdr w:val="none" w:sz="0" w:space="0" w:color="auto"/>
        </w:rPr>
        <w:t xml:space="preserve"> </w:t>
      </w:r>
      <w:r>
        <w:rPr>
          <w:rFonts w:asciiTheme="majorHAnsi" w:eastAsia="Calibri" w:hAnsiTheme="majorHAnsi" w:cs="Tahoma"/>
          <w:sz w:val="20"/>
          <w:szCs w:val="20"/>
          <w:bdr w:val="none" w:sz="0" w:space="0" w:color="auto"/>
        </w:rPr>
        <w:t>when leaving from work</w:t>
      </w:r>
      <w:r w:rsidR="00E92985">
        <w:rPr>
          <w:rFonts w:asciiTheme="majorHAnsi" w:eastAsia="Calibri" w:hAnsiTheme="majorHAnsi" w:cs="Tahoma"/>
          <w:sz w:val="20"/>
          <w:szCs w:val="20"/>
          <w:bdr w:val="none" w:sz="0" w:space="0" w:color="auto"/>
        </w:rPr>
        <w:t xml:space="preserve"> and </w:t>
      </w:r>
      <w:r>
        <w:rPr>
          <w:rFonts w:asciiTheme="majorHAnsi" w:eastAsia="Calibri" w:hAnsiTheme="majorHAnsi" w:cs="Tahoma"/>
          <w:sz w:val="20"/>
          <w:szCs w:val="20"/>
          <w:bdr w:val="none" w:sz="0" w:space="0" w:color="auto"/>
        </w:rPr>
        <w:t>kept in</w:t>
      </w:r>
      <w:r w:rsidR="009A4F91">
        <w:rPr>
          <w:rFonts w:asciiTheme="majorHAnsi" w:eastAsia="Calibri" w:hAnsiTheme="majorHAnsi" w:cs="Tahoma"/>
          <w:sz w:val="20"/>
          <w:szCs w:val="20"/>
          <w:bdr w:val="none" w:sz="0" w:space="0" w:color="auto"/>
        </w:rPr>
        <w:t xml:space="preserve"> </w:t>
      </w:r>
      <w:r w:rsidR="00A26557" w:rsidRPr="00A51861">
        <w:rPr>
          <w:rFonts w:asciiTheme="majorHAnsi" w:eastAsia="Calibri" w:hAnsiTheme="majorHAnsi" w:cs="Tahoma"/>
          <w:sz w:val="20"/>
          <w:szCs w:val="20"/>
          <w:bdr w:val="none" w:sz="0" w:space="0" w:color="auto"/>
        </w:rPr>
        <w:t>clandestini</w:t>
      </w:r>
      <w:r w:rsidR="00FA2E7B">
        <w:rPr>
          <w:rFonts w:asciiTheme="majorHAnsi" w:eastAsia="Calibri" w:hAnsiTheme="majorHAnsi" w:cs="Tahoma"/>
          <w:sz w:val="20"/>
          <w:szCs w:val="20"/>
          <w:bdr w:val="none" w:sz="0" w:space="0" w:color="auto"/>
        </w:rPr>
        <w:t xml:space="preserve">ty </w:t>
      </w:r>
      <w:r>
        <w:rPr>
          <w:rFonts w:asciiTheme="majorHAnsi" w:eastAsia="Calibri" w:hAnsiTheme="majorHAnsi" w:cs="Tahoma"/>
          <w:sz w:val="20"/>
          <w:szCs w:val="20"/>
          <w:bdr w:val="none" w:sz="0" w:space="0" w:color="auto"/>
        </w:rPr>
        <w:t>for one month</w:t>
      </w:r>
      <w:r w:rsidR="00A26557" w:rsidRPr="00A51861">
        <w:rPr>
          <w:rFonts w:asciiTheme="majorHAnsi" w:eastAsia="Calibri" w:hAnsiTheme="majorHAnsi" w:cs="Tahoma"/>
          <w:sz w:val="20"/>
          <w:szCs w:val="20"/>
          <w:bdr w:val="none" w:sz="0" w:space="0" w:color="auto"/>
        </w:rPr>
        <w:t xml:space="preserve">, </w:t>
      </w:r>
      <w:r>
        <w:rPr>
          <w:rFonts w:asciiTheme="majorHAnsi" w:eastAsia="Calibri" w:hAnsiTheme="majorHAnsi" w:cs="Tahoma"/>
          <w:sz w:val="20"/>
          <w:szCs w:val="20"/>
          <w:bdr w:val="none" w:sz="0" w:space="0" w:color="auto"/>
        </w:rPr>
        <w:t>time during which he was</w:t>
      </w:r>
      <w:r w:rsidR="00A26557" w:rsidRPr="00A51861">
        <w:rPr>
          <w:rFonts w:asciiTheme="majorHAnsi" w:eastAsia="Calibri" w:hAnsiTheme="majorHAnsi" w:cs="Tahoma"/>
          <w:sz w:val="20"/>
          <w:szCs w:val="20"/>
          <w:bdr w:val="none" w:sz="0" w:space="0" w:color="auto"/>
        </w:rPr>
        <w:t xml:space="preserve"> </w:t>
      </w:r>
      <w:r w:rsidR="00B4073F">
        <w:rPr>
          <w:rFonts w:asciiTheme="majorHAnsi" w:eastAsia="Calibri" w:hAnsiTheme="majorHAnsi" w:cs="Tahoma"/>
          <w:sz w:val="20"/>
          <w:szCs w:val="20"/>
          <w:bdr w:val="none" w:sz="0" w:space="0" w:color="auto"/>
        </w:rPr>
        <w:t>victim</w:t>
      </w:r>
      <w:r w:rsidR="00E92985">
        <w:rPr>
          <w:rFonts w:asciiTheme="majorHAnsi" w:eastAsia="Calibri" w:hAnsiTheme="majorHAnsi" w:cs="Tahoma"/>
          <w:sz w:val="20"/>
          <w:szCs w:val="20"/>
          <w:bdr w:val="none" w:sz="0" w:space="0" w:color="auto"/>
        </w:rPr>
        <w:t xml:space="preserve"> of </w:t>
      </w:r>
      <w:r w:rsidR="00F406E1">
        <w:rPr>
          <w:rFonts w:asciiTheme="majorHAnsi" w:eastAsia="Calibri" w:hAnsiTheme="majorHAnsi" w:cs="Tahoma"/>
          <w:sz w:val="20"/>
          <w:szCs w:val="20"/>
          <w:bdr w:val="none" w:sz="0" w:space="0" w:color="auto"/>
        </w:rPr>
        <w:t>torture</w:t>
      </w:r>
      <w:r w:rsidR="00A26557" w:rsidRPr="00A51861">
        <w:rPr>
          <w:rFonts w:asciiTheme="majorHAnsi" w:eastAsia="Calibri" w:hAnsiTheme="majorHAnsi" w:cs="Tahoma"/>
          <w:sz w:val="20"/>
          <w:szCs w:val="20"/>
          <w:bdr w:val="none" w:sz="0" w:space="0" w:color="auto"/>
        </w:rPr>
        <w:t xml:space="preserve"> </w:t>
      </w:r>
      <w:r>
        <w:rPr>
          <w:rFonts w:asciiTheme="majorHAnsi" w:eastAsia="Calibri" w:hAnsiTheme="majorHAnsi" w:cs="Tahoma"/>
          <w:sz w:val="20"/>
          <w:szCs w:val="20"/>
          <w:bdr w:val="none" w:sz="0" w:space="0" w:color="auto"/>
        </w:rPr>
        <w:t>with</w:t>
      </w:r>
      <w:r w:rsidR="009A4F91">
        <w:rPr>
          <w:rFonts w:asciiTheme="majorHAnsi" w:eastAsia="Calibri" w:hAnsiTheme="majorHAnsi" w:cs="Tahoma"/>
          <w:sz w:val="20"/>
          <w:szCs w:val="20"/>
          <w:bdr w:val="none" w:sz="0" w:space="0" w:color="auto"/>
        </w:rPr>
        <w:t xml:space="preserve"> the </w:t>
      </w:r>
      <w:r w:rsidR="00A26557" w:rsidRPr="00A51861">
        <w:rPr>
          <w:rFonts w:asciiTheme="majorHAnsi" w:eastAsia="Calibri" w:hAnsiTheme="majorHAnsi" w:cs="Tahoma"/>
          <w:sz w:val="20"/>
          <w:szCs w:val="20"/>
          <w:bdr w:val="none" w:sz="0" w:space="0" w:color="auto"/>
        </w:rPr>
        <w:t>inten</w:t>
      </w:r>
      <w:r>
        <w:rPr>
          <w:rFonts w:asciiTheme="majorHAnsi" w:eastAsia="Calibri" w:hAnsiTheme="majorHAnsi" w:cs="Tahoma"/>
          <w:sz w:val="20"/>
          <w:szCs w:val="20"/>
          <w:bdr w:val="none" w:sz="0" w:space="0" w:color="auto"/>
        </w:rPr>
        <w:t>tio</w:t>
      </w:r>
      <w:r w:rsidR="00A26557" w:rsidRPr="00A51861">
        <w:rPr>
          <w:rFonts w:asciiTheme="majorHAnsi" w:eastAsia="Calibri" w:hAnsiTheme="majorHAnsi" w:cs="Tahoma"/>
          <w:sz w:val="20"/>
          <w:szCs w:val="20"/>
          <w:bdr w:val="none" w:sz="0" w:space="0" w:color="auto"/>
        </w:rPr>
        <w:t>n</w:t>
      </w:r>
      <w:r w:rsidR="00E92985">
        <w:rPr>
          <w:rFonts w:asciiTheme="majorHAnsi" w:eastAsia="Calibri" w:hAnsiTheme="majorHAnsi" w:cs="Tahoma"/>
          <w:sz w:val="20"/>
          <w:szCs w:val="20"/>
          <w:bdr w:val="none" w:sz="0" w:space="0" w:color="auto"/>
        </w:rPr>
        <w:t xml:space="preserve"> of </w:t>
      </w:r>
      <w:r>
        <w:rPr>
          <w:rFonts w:asciiTheme="majorHAnsi" w:eastAsia="Calibri" w:hAnsiTheme="majorHAnsi" w:cs="Tahoma"/>
          <w:sz w:val="20"/>
          <w:szCs w:val="20"/>
          <w:bdr w:val="none" w:sz="0" w:space="0" w:color="auto"/>
        </w:rPr>
        <w:t>obtaining</w:t>
      </w:r>
      <w:r w:rsidR="00A26557" w:rsidRPr="00A51861">
        <w:rPr>
          <w:rFonts w:asciiTheme="majorHAnsi" w:eastAsia="Calibri" w:hAnsiTheme="majorHAnsi" w:cs="Tahoma"/>
          <w:sz w:val="20"/>
          <w:szCs w:val="20"/>
          <w:bdr w:val="none" w:sz="0" w:space="0" w:color="auto"/>
        </w:rPr>
        <w:t xml:space="preserve"> </w:t>
      </w:r>
      <w:r w:rsidR="00A51861" w:rsidRPr="00A51861">
        <w:rPr>
          <w:rFonts w:asciiTheme="majorHAnsi" w:eastAsia="Calibri" w:hAnsiTheme="majorHAnsi" w:cs="Tahoma"/>
          <w:sz w:val="20"/>
          <w:szCs w:val="20"/>
          <w:bdr w:val="none" w:sz="0" w:space="0" w:color="auto"/>
        </w:rPr>
        <w:t>information</w:t>
      </w:r>
      <w:r w:rsidR="00A26557" w:rsidRPr="00A51861">
        <w:rPr>
          <w:rFonts w:asciiTheme="majorHAnsi" w:eastAsia="Calibri" w:hAnsiTheme="majorHAnsi" w:cs="Tahoma"/>
          <w:sz w:val="20"/>
          <w:szCs w:val="20"/>
          <w:bdr w:val="none" w:sz="0" w:space="0" w:color="auto"/>
        </w:rPr>
        <w:t xml:space="preserve"> </w:t>
      </w:r>
      <w:r>
        <w:rPr>
          <w:rFonts w:asciiTheme="majorHAnsi" w:eastAsia="Calibri" w:hAnsiTheme="majorHAnsi" w:cs="Tahoma"/>
          <w:sz w:val="20"/>
          <w:szCs w:val="20"/>
          <w:bdr w:val="none" w:sz="0" w:space="0" w:color="auto"/>
        </w:rPr>
        <w:t>on political matters of Uruguay</w:t>
      </w:r>
      <w:r w:rsidR="00A26557" w:rsidRPr="00A51861">
        <w:rPr>
          <w:rFonts w:asciiTheme="majorHAnsi" w:eastAsia="Calibri" w:hAnsiTheme="majorHAnsi" w:cs="Tahoma"/>
          <w:sz w:val="20"/>
          <w:szCs w:val="20"/>
          <w:bdr w:val="none" w:sz="0" w:space="0" w:color="auto"/>
        </w:rPr>
        <w:t xml:space="preserve">, </w:t>
      </w:r>
      <w:r>
        <w:rPr>
          <w:rFonts w:asciiTheme="majorHAnsi" w:eastAsia="Calibri" w:hAnsiTheme="majorHAnsi" w:cs="Tahoma"/>
          <w:sz w:val="20"/>
          <w:szCs w:val="20"/>
          <w:bdr w:val="none" w:sz="0" w:space="0" w:color="auto"/>
        </w:rPr>
        <w:t>by</w:t>
      </w:r>
      <w:r w:rsidR="00E92985">
        <w:rPr>
          <w:rFonts w:asciiTheme="majorHAnsi" w:eastAsia="Calibri" w:hAnsiTheme="majorHAnsi" w:cs="Tahoma"/>
          <w:sz w:val="20"/>
          <w:szCs w:val="20"/>
          <w:bdr w:val="none" w:sz="0" w:space="0" w:color="auto"/>
        </w:rPr>
        <w:t xml:space="preserve"> </w:t>
      </w:r>
      <w:r w:rsidR="00A26557" w:rsidRPr="00A51861">
        <w:rPr>
          <w:rFonts w:asciiTheme="majorHAnsi" w:eastAsia="Calibri" w:hAnsiTheme="majorHAnsi" w:cs="Tahoma"/>
          <w:sz w:val="20"/>
          <w:szCs w:val="20"/>
          <w:bdr w:val="none" w:sz="0" w:space="0" w:color="auto"/>
        </w:rPr>
        <w:t xml:space="preserve">agents </w:t>
      </w:r>
      <w:r w:rsidR="00F92BA8">
        <w:rPr>
          <w:rFonts w:asciiTheme="majorHAnsi" w:eastAsia="Calibri" w:hAnsiTheme="majorHAnsi" w:cs="Tahoma"/>
          <w:sz w:val="20"/>
          <w:szCs w:val="20"/>
          <w:bdr w:val="none" w:sz="0" w:space="0" w:color="auto"/>
        </w:rPr>
        <w:t>of the Argentine State</w:t>
      </w:r>
      <w:r w:rsidR="00A26557" w:rsidRPr="00A51861">
        <w:rPr>
          <w:rFonts w:asciiTheme="majorHAnsi" w:eastAsia="Calibri" w:hAnsiTheme="majorHAnsi" w:cs="Tahoma"/>
          <w:sz w:val="20"/>
          <w:szCs w:val="20"/>
          <w:bdr w:val="none" w:sz="0" w:space="0" w:color="auto"/>
        </w:rPr>
        <w:t xml:space="preserve">. </w:t>
      </w:r>
      <w:r w:rsidR="00A742A4" w:rsidRPr="00A51861">
        <w:rPr>
          <w:rFonts w:asciiTheme="majorHAnsi" w:eastAsia="Calibri" w:hAnsiTheme="majorHAnsi" w:cs="Tahoma"/>
          <w:sz w:val="20"/>
          <w:szCs w:val="20"/>
          <w:bdr w:val="none" w:sz="0" w:space="0" w:color="auto"/>
        </w:rPr>
        <w:t>Argentina</w:t>
      </w:r>
      <w:r w:rsidR="00A26557" w:rsidRPr="00A51861">
        <w:rPr>
          <w:rFonts w:asciiTheme="majorHAnsi" w:eastAsia="Calibri" w:hAnsiTheme="majorHAnsi" w:cs="Tahoma"/>
          <w:sz w:val="20"/>
          <w:szCs w:val="20"/>
          <w:bdr w:val="none" w:sz="0" w:space="0" w:color="auto"/>
        </w:rPr>
        <w:t xml:space="preserve"> </w:t>
      </w:r>
      <w:r>
        <w:rPr>
          <w:rFonts w:asciiTheme="majorHAnsi" w:eastAsia="Calibri" w:hAnsiTheme="majorHAnsi" w:cs="Tahoma"/>
          <w:sz w:val="20"/>
          <w:szCs w:val="20"/>
          <w:bdr w:val="none" w:sz="0" w:space="0" w:color="auto"/>
        </w:rPr>
        <w:t>has not contested the</w:t>
      </w:r>
      <w:r w:rsidR="009A4F91">
        <w:rPr>
          <w:rFonts w:asciiTheme="majorHAnsi" w:eastAsia="Calibri" w:hAnsiTheme="majorHAnsi" w:cs="Tahoma"/>
          <w:sz w:val="20"/>
          <w:szCs w:val="20"/>
          <w:bdr w:val="none" w:sz="0" w:space="0" w:color="auto"/>
        </w:rPr>
        <w:t xml:space="preserve"> </w:t>
      </w:r>
      <w:r w:rsidR="00A26557" w:rsidRPr="00A51861">
        <w:rPr>
          <w:rFonts w:asciiTheme="majorHAnsi" w:eastAsia="Calibri" w:hAnsiTheme="majorHAnsi" w:cs="Tahoma"/>
          <w:sz w:val="20"/>
          <w:szCs w:val="20"/>
          <w:bdr w:val="none" w:sz="0" w:space="0" w:color="auto"/>
        </w:rPr>
        <w:t>veraci</w:t>
      </w:r>
      <w:r w:rsidR="00FA2E7B">
        <w:rPr>
          <w:rFonts w:asciiTheme="majorHAnsi" w:eastAsia="Calibri" w:hAnsiTheme="majorHAnsi" w:cs="Tahoma"/>
          <w:sz w:val="20"/>
          <w:szCs w:val="20"/>
          <w:bdr w:val="none" w:sz="0" w:space="0" w:color="auto"/>
        </w:rPr>
        <w:t xml:space="preserve">ty </w:t>
      </w:r>
      <w:r w:rsidR="00E92985">
        <w:rPr>
          <w:rFonts w:asciiTheme="majorHAnsi" w:eastAsia="Calibri" w:hAnsiTheme="majorHAnsi" w:cs="Tahoma"/>
          <w:sz w:val="20"/>
          <w:szCs w:val="20"/>
          <w:bdr w:val="none" w:sz="0" w:space="0" w:color="auto"/>
        </w:rPr>
        <w:t xml:space="preserve">of the </w:t>
      </w:r>
      <w:r w:rsidR="00A274B7">
        <w:rPr>
          <w:rFonts w:asciiTheme="majorHAnsi" w:eastAsia="Calibri" w:hAnsiTheme="majorHAnsi" w:cs="Tahoma"/>
          <w:sz w:val="20"/>
          <w:szCs w:val="20"/>
          <w:bdr w:val="none" w:sz="0" w:space="0" w:color="auto"/>
        </w:rPr>
        <w:t>petitioner</w:t>
      </w:r>
      <w:r>
        <w:rPr>
          <w:rFonts w:asciiTheme="majorHAnsi" w:eastAsia="Calibri" w:hAnsiTheme="majorHAnsi" w:cs="Tahoma"/>
          <w:sz w:val="20"/>
          <w:szCs w:val="20"/>
          <w:bdr w:val="none" w:sz="0" w:space="0" w:color="auto"/>
        </w:rPr>
        <w:t>’s allegations</w:t>
      </w:r>
      <w:r w:rsidR="00A274B7">
        <w:rPr>
          <w:rFonts w:asciiTheme="majorHAnsi" w:eastAsia="Calibri" w:hAnsiTheme="majorHAnsi" w:cs="Tahoma"/>
          <w:sz w:val="20"/>
          <w:szCs w:val="20"/>
          <w:bdr w:val="none" w:sz="0" w:space="0" w:color="auto"/>
        </w:rPr>
        <w:t xml:space="preserve"> </w:t>
      </w:r>
      <w:r>
        <w:rPr>
          <w:rFonts w:asciiTheme="majorHAnsi" w:eastAsia="Calibri" w:hAnsiTheme="majorHAnsi" w:cs="Tahoma"/>
          <w:sz w:val="20"/>
          <w:szCs w:val="20"/>
          <w:bdr w:val="none" w:sz="0" w:space="0" w:color="auto"/>
        </w:rPr>
        <w:t>on this point nor has it specifically referred to</w:t>
      </w:r>
      <w:r w:rsidR="0029564F">
        <w:rPr>
          <w:rFonts w:asciiTheme="majorHAnsi" w:eastAsia="Calibri" w:hAnsiTheme="majorHAnsi" w:cs="Tahoma"/>
          <w:sz w:val="20"/>
          <w:szCs w:val="20"/>
          <w:bdr w:val="none" w:sz="0" w:space="0" w:color="auto"/>
        </w:rPr>
        <w:t xml:space="preserve"> </w:t>
      </w:r>
      <w:r>
        <w:rPr>
          <w:rFonts w:asciiTheme="majorHAnsi" w:eastAsia="Calibri" w:hAnsiTheme="majorHAnsi" w:cs="Tahoma"/>
          <w:sz w:val="20"/>
          <w:szCs w:val="20"/>
          <w:bdr w:val="none" w:sz="0" w:space="0" w:color="auto"/>
        </w:rPr>
        <w:t>them</w:t>
      </w:r>
      <w:r w:rsidR="00A26557" w:rsidRPr="00A51861">
        <w:rPr>
          <w:rFonts w:asciiTheme="majorHAnsi" w:eastAsia="Calibri" w:hAnsiTheme="majorHAnsi" w:cs="Tahoma"/>
          <w:sz w:val="20"/>
          <w:szCs w:val="20"/>
          <w:bdr w:val="none" w:sz="0" w:space="0" w:color="auto"/>
        </w:rPr>
        <w:t xml:space="preserve">. </w:t>
      </w:r>
      <w:r>
        <w:rPr>
          <w:rFonts w:asciiTheme="majorHAnsi" w:eastAsia="Calibri" w:hAnsiTheme="majorHAnsi" w:cs="Tahoma"/>
          <w:sz w:val="20"/>
          <w:szCs w:val="20"/>
          <w:bdr w:val="none" w:sz="0" w:space="0" w:color="auto"/>
        </w:rPr>
        <w:t>In this sense</w:t>
      </w:r>
      <w:r w:rsidR="00A26557" w:rsidRPr="00A51861">
        <w:rPr>
          <w:rFonts w:asciiTheme="majorHAnsi" w:eastAsia="Calibri" w:hAnsiTheme="majorHAnsi" w:cs="Tahoma"/>
          <w:sz w:val="20"/>
          <w:szCs w:val="20"/>
          <w:bdr w:val="none" w:sz="0" w:space="0" w:color="auto"/>
        </w:rPr>
        <w:t xml:space="preserve">, </w:t>
      </w:r>
      <w:r w:rsidR="00E92985">
        <w:rPr>
          <w:rFonts w:asciiTheme="majorHAnsi" w:eastAsia="Calibri" w:hAnsiTheme="majorHAnsi" w:cs="Tahoma"/>
          <w:sz w:val="20"/>
          <w:szCs w:val="20"/>
          <w:bdr w:val="none" w:sz="0" w:space="0" w:color="auto"/>
        </w:rPr>
        <w:t>the Commission</w:t>
      </w:r>
      <w:r>
        <w:rPr>
          <w:rFonts w:asciiTheme="majorHAnsi" w:eastAsia="Calibri" w:hAnsiTheme="majorHAnsi" w:cs="Tahoma"/>
          <w:sz w:val="20"/>
          <w:szCs w:val="20"/>
          <w:bdr w:val="none" w:sz="0" w:space="0" w:color="auto"/>
        </w:rPr>
        <w:t xml:space="preserve"> understands the lack of reference to </w:t>
      </w:r>
      <w:r w:rsidR="00E64C43">
        <w:rPr>
          <w:rFonts w:asciiTheme="majorHAnsi" w:eastAsia="Calibri" w:hAnsiTheme="majorHAnsi" w:cs="Tahoma"/>
          <w:sz w:val="20"/>
          <w:szCs w:val="20"/>
          <w:bdr w:val="none" w:sz="0" w:space="0" w:color="auto"/>
        </w:rPr>
        <w:t xml:space="preserve">these </w:t>
      </w:r>
      <w:r>
        <w:rPr>
          <w:rFonts w:asciiTheme="majorHAnsi" w:eastAsia="Calibri" w:hAnsiTheme="majorHAnsi" w:cs="Tahoma"/>
          <w:sz w:val="20"/>
          <w:szCs w:val="20"/>
          <w:bdr w:val="none" w:sz="0" w:space="0" w:color="auto"/>
        </w:rPr>
        <w:t xml:space="preserve">matters by the </w:t>
      </w:r>
      <w:r w:rsidR="00F92BA8">
        <w:rPr>
          <w:rFonts w:asciiTheme="majorHAnsi" w:eastAsia="Calibri" w:hAnsiTheme="majorHAnsi" w:cs="Tahoma"/>
          <w:sz w:val="20"/>
          <w:szCs w:val="20"/>
          <w:bdr w:val="none" w:sz="0" w:space="0" w:color="auto"/>
        </w:rPr>
        <w:t>Argentine State</w:t>
      </w:r>
      <w:r w:rsidR="00A26557" w:rsidRPr="00A51861">
        <w:rPr>
          <w:rFonts w:asciiTheme="majorHAnsi" w:eastAsia="Calibri" w:hAnsiTheme="majorHAnsi" w:cs="Tahoma"/>
          <w:sz w:val="20"/>
          <w:szCs w:val="20"/>
          <w:bdr w:val="none" w:sz="0" w:space="0" w:color="auto"/>
        </w:rPr>
        <w:t xml:space="preserve"> </w:t>
      </w:r>
      <w:r>
        <w:rPr>
          <w:rFonts w:asciiTheme="majorHAnsi" w:eastAsia="Calibri" w:hAnsiTheme="majorHAnsi" w:cs="Tahoma"/>
          <w:color w:val="000000"/>
          <w:sz w:val="20"/>
          <w:szCs w:val="20"/>
          <w:bdr w:val="none" w:sz="0" w:space="0" w:color="auto"/>
        </w:rPr>
        <w:t>as</w:t>
      </w:r>
      <w:r w:rsidR="009A4F91">
        <w:rPr>
          <w:rFonts w:asciiTheme="majorHAnsi" w:eastAsia="Calibri" w:hAnsiTheme="majorHAnsi" w:cs="Tahoma"/>
          <w:sz w:val="20"/>
          <w:szCs w:val="20"/>
          <w:bdr w:val="none" w:sz="0" w:space="0" w:color="auto"/>
        </w:rPr>
        <w:t xml:space="preserve"> the </w:t>
      </w:r>
      <w:r w:rsidR="00A26557" w:rsidRPr="00A51861">
        <w:rPr>
          <w:rFonts w:asciiTheme="majorHAnsi" w:eastAsia="Calibri" w:hAnsiTheme="majorHAnsi" w:cs="Tahoma"/>
          <w:sz w:val="20"/>
          <w:szCs w:val="20"/>
          <w:bdr w:val="none" w:sz="0" w:space="0" w:color="auto"/>
        </w:rPr>
        <w:t>in</w:t>
      </w:r>
      <w:r w:rsidR="006273A5">
        <w:rPr>
          <w:rFonts w:asciiTheme="majorHAnsi" w:eastAsia="Calibri" w:hAnsiTheme="majorHAnsi" w:cs="Tahoma"/>
          <w:sz w:val="20"/>
          <w:szCs w:val="20"/>
          <w:bdr w:val="none" w:sz="0" w:space="0" w:color="auto"/>
        </w:rPr>
        <w:t>existence</w:t>
      </w:r>
      <w:r w:rsidR="00E92985">
        <w:rPr>
          <w:rFonts w:asciiTheme="majorHAnsi" w:eastAsia="Calibri" w:hAnsiTheme="majorHAnsi" w:cs="Tahoma"/>
          <w:sz w:val="20"/>
          <w:szCs w:val="20"/>
          <w:bdr w:val="none" w:sz="0" w:space="0" w:color="auto"/>
        </w:rPr>
        <w:t xml:space="preserve"> of </w:t>
      </w:r>
      <w:r w:rsidR="00A26557" w:rsidRPr="00A51861">
        <w:rPr>
          <w:rFonts w:asciiTheme="majorHAnsi" w:eastAsia="Calibri" w:hAnsiTheme="majorHAnsi" w:cs="Tahoma"/>
          <w:sz w:val="20"/>
          <w:szCs w:val="20"/>
          <w:bdr w:val="none" w:sz="0" w:space="0" w:color="auto"/>
        </w:rPr>
        <w:t>controvers</w:t>
      </w:r>
      <w:r>
        <w:rPr>
          <w:rFonts w:asciiTheme="majorHAnsi" w:eastAsia="Calibri" w:hAnsiTheme="majorHAnsi" w:cs="Tahoma"/>
          <w:sz w:val="20"/>
          <w:szCs w:val="20"/>
          <w:bdr w:val="none" w:sz="0" w:space="0" w:color="auto"/>
        </w:rPr>
        <w:t>y</w:t>
      </w:r>
      <w:r w:rsidR="00A26557" w:rsidRPr="00A51861">
        <w:rPr>
          <w:rFonts w:asciiTheme="majorHAnsi" w:eastAsia="Calibri" w:hAnsiTheme="majorHAnsi" w:cs="Tahoma"/>
          <w:sz w:val="20"/>
          <w:szCs w:val="20"/>
          <w:bdr w:val="none" w:sz="0" w:space="0" w:color="auto"/>
        </w:rPr>
        <w:t xml:space="preserve"> </w:t>
      </w:r>
      <w:r>
        <w:rPr>
          <w:rFonts w:asciiTheme="majorHAnsi" w:eastAsia="Calibri" w:hAnsiTheme="majorHAnsi" w:cs="Tahoma"/>
          <w:sz w:val="20"/>
          <w:szCs w:val="20"/>
          <w:bdr w:val="none" w:sz="0" w:space="0" w:color="auto"/>
        </w:rPr>
        <w:t>as to</w:t>
      </w:r>
      <w:r w:rsidR="00E92985">
        <w:rPr>
          <w:rFonts w:asciiTheme="majorHAnsi" w:eastAsia="Calibri" w:hAnsiTheme="majorHAnsi" w:cs="Tahoma"/>
          <w:sz w:val="20"/>
          <w:szCs w:val="20"/>
          <w:bdr w:val="none" w:sz="0" w:space="0" w:color="auto"/>
        </w:rPr>
        <w:t xml:space="preserve"> the </w:t>
      </w:r>
      <w:r>
        <w:rPr>
          <w:rFonts w:asciiTheme="majorHAnsi" w:eastAsia="Calibri" w:hAnsiTheme="majorHAnsi" w:cs="Tahoma"/>
          <w:sz w:val="20"/>
          <w:szCs w:val="20"/>
          <w:bdr w:val="none" w:sz="0" w:space="0" w:color="auto"/>
        </w:rPr>
        <w:t xml:space="preserve">illegal and arbitrary detention </w:t>
      </w:r>
      <w:r w:rsidR="00E92985">
        <w:rPr>
          <w:rFonts w:asciiTheme="majorHAnsi" w:eastAsia="Calibri" w:hAnsiTheme="majorHAnsi" w:cs="Tahoma"/>
          <w:sz w:val="20"/>
          <w:szCs w:val="20"/>
          <w:bdr w:val="none" w:sz="0" w:space="0" w:color="auto"/>
        </w:rPr>
        <w:t>and</w:t>
      </w:r>
      <w:r w:rsidR="009A4F91">
        <w:rPr>
          <w:rFonts w:asciiTheme="majorHAnsi" w:eastAsia="Calibri" w:hAnsiTheme="majorHAnsi" w:cs="Tahoma"/>
          <w:sz w:val="20"/>
          <w:szCs w:val="20"/>
          <w:bdr w:val="none" w:sz="0" w:space="0" w:color="auto"/>
        </w:rPr>
        <w:t xml:space="preserve"> </w:t>
      </w:r>
      <w:r w:rsidR="00F406E1">
        <w:rPr>
          <w:rFonts w:asciiTheme="majorHAnsi" w:eastAsia="Calibri" w:hAnsiTheme="majorHAnsi" w:cs="Tahoma"/>
          <w:sz w:val="20"/>
          <w:szCs w:val="20"/>
          <w:bdr w:val="none" w:sz="0" w:space="0" w:color="auto"/>
        </w:rPr>
        <w:t>torture</w:t>
      </w:r>
      <w:r w:rsidR="00A26557" w:rsidRPr="00A51861">
        <w:rPr>
          <w:rFonts w:asciiTheme="majorHAnsi" w:eastAsia="Calibri" w:hAnsiTheme="majorHAnsi" w:cs="Tahoma"/>
          <w:sz w:val="20"/>
          <w:szCs w:val="20"/>
          <w:bdr w:val="none" w:sz="0" w:space="0" w:color="auto"/>
        </w:rPr>
        <w:t xml:space="preserve"> </w:t>
      </w:r>
      <w:r>
        <w:rPr>
          <w:rFonts w:asciiTheme="majorHAnsi" w:eastAsia="Calibri" w:hAnsiTheme="majorHAnsi" w:cs="Tahoma"/>
          <w:sz w:val="20"/>
          <w:szCs w:val="20"/>
          <w:bdr w:val="none" w:sz="0" w:space="0" w:color="auto"/>
        </w:rPr>
        <w:t>argued</w:t>
      </w:r>
      <w:r w:rsidR="00C675D0" w:rsidRPr="00A51861">
        <w:rPr>
          <w:rFonts w:asciiTheme="majorHAnsi" w:eastAsia="Calibri" w:hAnsiTheme="majorHAnsi" w:cs="Tahoma"/>
          <w:sz w:val="20"/>
          <w:szCs w:val="20"/>
          <w:bdr w:val="none" w:sz="0" w:space="0" w:color="auto"/>
        </w:rPr>
        <w:t xml:space="preserve"> </w:t>
      </w:r>
      <w:r>
        <w:rPr>
          <w:rFonts w:asciiTheme="majorHAnsi" w:eastAsia="Calibri" w:hAnsiTheme="majorHAnsi" w:cs="Tahoma"/>
          <w:sz w:val="20"/>
          <w:szCs w:val="20"/>
          <w:bdr w:val="none" w:sz="0" w:space="0" w:color="auto"/>
        </w:rPr>
        <w:t>by</w:t>
      </w:r>
      <w:r w:rsidR="00C675D0" w:rsidRPr="00A51861">
        <w:rPr>
          <w:rFonts w:asciiTheme="majorHAnsi" w:eastAsia="Calibri" w:hAnsiTheme="majorHAnsi" w:cs="Tahoma"/>
          <w:sz w:val="20"/>
          <w:szCs w:val="20"/>
          <w:bdr w:val="none" w:sz="0" w:space="0" w:color="auto"/>
        </w:rPr>
        <w:t xml:space="preserve"> </w:t>
      </w:r>
      <w:r w:rsidR="00A51861" w:rsidRPr="00A51861">
        <w:rPr>
          <w:rFonts w:asciiTheme="majorHAnsi" w:eastAsia="Calibri" w:hAnsiTheme="majorHAnsi" w:cs="Tahoma"/>
          <w:sz w:val="20"/>
          <w:szCs w:val="20"/>
          <w:bdr w:val="none" w:sz="0" w:space="0" w:color="auto"/>
        </w:rPr>
        <w:t xml:space="preserve">Mr. </w:t>
      </w:r>
      <w:r w:rsidR="00A742A4" w:rsidRPr="00A51861">
        <w:rPr>
          <w:rFonts w:asciiTheme="majorHAnsi" w:eastAsia="Calibri" w:hAnsiTheme="majorHAnsi" w:cs="Tahoma"/>
          <w:sz w:val="20"/>
          <w:szCs w:val="20"/>
          <w:bdr w:val="none" w:sz="0" w:space="0" w:color="auto"/>
        </w:rPr>
        <w:t>Romero,</w:t>
      </w:r>
      <w:r w:rsidR="00C62479" w:rsidRPr="00A51861">
        <w:rPr>
          <w:rFonts w:asciiTheme="majorHAnsi" w:eastAsia="Calibri" w:hAnsiTheme="majorHAnsi" w:cs="Tahoma"/>
          <w:sz w:val="20"/>
          <w:szCs w:val="20"/>
          <w:bdr w:val="none" w:sz="0" w:space="0" w:color="auto"/>
        </w:rPr>
        <w:t xml:space="preserve"> </w:t>
      </w:r>
      <w:r>
        <w:rPr>
          <w:rFonts w:asciiTheme="majorHAnsi" w:eastAsia="Calibri" w:hAnsiTheme="majorHAnsi" w:cs="Tahoma"/>
          <w:sz w:val="20"/>
          <w:szCs w:val="20"/>
          <w:bdr w:val="none" w:sz="0" w:space="0" w:color="auto"/>
        </w:rPr>
        <w:t>actually happened</w:t>
      </w:r>
      <w:r w:rsidR="00C675D0" w:rsidRPr="00A51861">
        <w:rPr>
          <w:rFonts w:asciiTheme="majorHAnsi" w:eastAsia="Calibri" w:hAnsiTheme="majorHAnsi" w:cs="Tahoma"/>
          <w:sz w:val="20"/>
          <w:szCs w:val="20"/>
          <w:bdr w:val="none" w:sz="0" w:space="0" w:color="auto"/>
        </w:rPr>
        <w:t>.</w:t>
      </w:r>
      <w:r w:rsidR="00C62479" w:rsidRPr="00A51861">
        <w:rPr>
          <w:rFonts w:asciiTheme="majorHAnsi" w:eastAsia="Calibri" w:hAnsiTheme="majorHAnsi" w:cs="Tahoma"/>
          <w:sz w:val="20"/>
          <w:szCs w:val="20"/>
          <w:bdr w:val="none" w:sz="0" w:space="0" w:color="auto"/>
        </w:rPr>
        <w:t xml:space="preserve"> </w:t>
      </w:r>
    </w:p>
    <w:p w14:paraId="0CCDFB77" w14:textId="77777777" w:rsidR="00A742A4" w:rsidRPr="00A51861" w:rsidRDefault="00A742A4" w:rsidP="008E4D36">
      <w:pPr>
        <w:pBdr>
          <w:top w:val="none" w:sz="0" w:space="0" w:color="auto"/>
          <w:left w:val="none" w:sz="0" w:space="0" w:color="auto"/>
          <w:bottom w:val="none" w:sz="0" w:space="0" w:color="auto"/>
          <w:right w:val="none" w:sz="0" w:space="0" w:color="auto"/>
          <w:between w:val="none" w:sz="0" w:space="0" w:color="auto"/>
          <w:bar w:val="none" w:sz="0" w:color="auto"/>
        </w:pBdr>
        <w:ind w:right="855"/>
        <w:jc w:val="both"/>
        <w:rPr>
          <w:rFonts w:asciiTheme="majorHAnsi" w:eastAsia="Calibri" w:hAnsiTheme="majorHAnsi" w:cs="Tahoma"/>
          <w:sz w:val="20"/>
          <w:szCs w:val="20"/>
          <w:bdr w:val="none" w:sz="0" w:space="0" w:color="auto"/>
        </w:rPr>
      </w:pPr>
    </w:p>
    <w:p w14:paraId="5534C86A" w14:textId="6512B133" w:rsidR="00A26557" w:rsidRPr="00A51861" w:rsidRDefault="00B90CEF"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Calibri" w:hAnsiTheme="majorHAnsi" w:cs="Tahoma"/>
          <w:sz w:val="20"/>
          <w:szCs w:val="20"/>
          <w:bdr w:val="none" w:sz="0" w:space="0" w:color="auto"/>
        </w:rPr>
      </w:pPr>
      <w:r>
        <w:rPr>
          <w:rFonts w:asciiTheme="majorHAnsi" w:eastAsia="Calibri" w:hAnsiTheme="majorHAnsi" w:cs="Tahoma"/>
          <w:color w:val="000000"/>
          <w:sz w:val="20"/>
          <w:szCs w:val="20"/>
          <w:bdr w:val="none" w:sz="0" w:space="0" w:color="auto"/>
        </w:rPr>
        <w:t>Likewise,</w:t>
      </w:r>
      <w:r w:rsidR="00D70A85">
        <w:rPr>
          <w:rFonts w:asciiTheme="majorHAnsi" w:eastAsia="Calibri" w:hAnsiTheme="majorHAnsi" w:cs="Tahoma"/>
          <w:color w:val="000000"/>
          <w:sz w:val="20"/>
          <w:szCs w:val="20"/>
          <w:bdr w:val="none" w:sz="0" w:space="0" w:color="auto"/>
        </w:rPr>
        <w:t xml:space="preserve"> </w:t>
      </w:r>
      <w:r w:rsidR="00201280">
        <w:rPr>
          <w:rFonts w:asciiTheme="majorHAnsi" w:eastAsia="Calibri" w:hAnsiTheme="majorHAnsi" w:cs="Tahoma"/>
          <w:color w:val="000000"/>
          <w:sz w:val="20"/>
          <w:szCs w:val="20"/>
          <w:bdr w:val="none" w:sz="0" w:space="0" w:color="auto"/>
        </w:rPr>
        <w:t>it is important</w:t>
      </w:r>
      <w:r w:rsidR="005F2093" w:rsidRPr="00A51861">
        <w:rPr>
          <w:rFonts w:asciiTheme="majorHAnsi" w:eastAsia="Calibri" w:hAnsiTheme="majorHAnsi" w:cs="Tahoma"/>
          <w:sz w:val="20"/>
          <w:szCs w:val="20"/>
          <w:bdr w:val="none" w:sz="0" w:space="0" w:color="auto"/>
        </w:rPr>
        <w:t xml:space="preserve"> </w:t>
      </w:r>
      <w:r w:rsidR="002B762A">
        <w:rPr>
          <w:rFonts w:asciiTheme="majorHAnsi" w:eastAsia="Calibri" w:hAnsiTheme="majorHAnsi" w:cs="Tahoma"/>
          <w:sz w:val="20"/>
          <w:szCs w:val="20"/>
          <w:bdr w:val="none" w:sz="0" w:space="0" w:color="auto"/>
        </w:rPr>
        <w:t>to note that the</w:t>
      </w:r>
      <w:r w:rsidR="00C62479" w:rsidRPr="00A51861">
        <w:rPr>
          <w:rFonts w:asciiTheme="majorHAnsi" w:eastAsia="Calibri" w:hAnsiTheme="majorHAnsi" w:cs="Tahoma"/>
          <w:sz w:val="20"/>
          <w:szCs w:val="20"/>
          <w:bdr w:val="none" w:sz="0" w:space="0" w:color="auto"/>
        </w:rPr>
        <w:t xml:space="preserve"> </w:t>
      </w:r>
      <w:r w:rsidR="002B762A">
        <w:rPr>
          <w:rFonts w:asciiTheme="majorHAnsi" w:eastAsia="Calibri" w:hAnsiTheme="majorHAnsi" w:cs="Tahoma"/>
          <w:sz w:val="20"/>
          <w:szCs w:val="20"/>
          <w:bdr w:val="none" w:sz="0" w:space="0" w:color="auto"/>
        </w:rPr>
        <w:t>domestic</w:t>
      </w:r>
      <w:r w:rsidR="00C62479" w:rsidRPr="00A51861">
        <w:rPr>
          <w:rFonts w:asciiTheme="majorHAnsi" w:eastAsia="Calibri" w:hAnsiTheme="majorHAnsi" w:cs="Tahoma"/>
          <w:sz w:val="20"/>
          <w:szCs w:val="20"/>
          <w:bdr w:val="none" w:sz="0" w:space="0" w:color="auto"/>
        </w:rPr>
        <w:t xml:space="preserve"> judicial </w:t>
      </w:r>
      <w:r w:rsidR="002B762A">
        <w:rPr>
          <w:rFonts w:asciiTheme="majorHAnsi" w:eastAsia="Calibri" w:hAnsiTheme="majorHAnsi" w:cs="Tahoma"/>
          <w:sz w:val="20"/>
          <w:szCs w:val="20"/>
          <w:bdr w:val="none" w:sz="0" w:space="0" w:color="auto"/>
        </w:rPr>
        <w:t>decisions</w:t>
      </w:r>
      <w:r w:rsidR="002B762A" w:rsidRPr="00A51861">
        <w:rPr>
          <w:rFonts w:asciiTheme="majorHAnsi" w:eastAsia="Calibri" w:hAnsiTheme="majorHAnsi" w:cs="Tahoma"/>
          <w:sz w:val="20"/>
          <w:szCs w:val="20"/>
          <w:bdr w:val="none" w:sz="0" w:space="0" w:color="auto"/>
        </w:rPr>
        <w:t xml:space="preserve"> </w:t>
      </w:r>
      <w:r w:rsidR="002B762A">
        <w:rPr>
          <w:rFonts w:asciiTheme="majorHAnsi" w:eastAsia="Calibri" w:hAnsiTheme="majorHAnsi" w:cs="Tahoma"/>
          <w:sz w:val="20"/>
          <w:szCs w:val="20"/>
          <w:bdr w:val="none" w:sz="0" w:space="0" w:color="auto"/>
        </w:rPr>
        <w:t>for the recognition</w:t>
      </w:r>
      <w:r w:rsidR="00E92985">
        <w:rPr>
          <w:rFonts w:asciiTheme="majorHAnsi" w:eastAsia="Calibri" w:hAnsiTheme="majorHAnsi" w:cs="Tahoma"/>
          <w:sz w:val="20"/>
          <w:szCs w:val="20"/>
          <w:bdr w:val="none" w:sz="0" w:space="0" w:color="auto"/>
        </w:rPr>
        <w:t xml:space="preserve"> of the </w:t>
      </w:r>
      <w:r w:rsidR="002B762A">
        <w:rPr>
          <w:rFonts w:asciiTheme="majorHAnsi" w:eastAsia="Calibri" w:hAnsiTheme="majorHAnsi" w:cs="Tahoma"/>
          <w:sz w:val="20"/>
          <w:szCs w:val="20"/>
          <w:bdr w:val="none" w:sz="0" w:space="0" w:color="auto"/>
        </w:rPr>
        <w:t>compensation</w:t>
      </w:r>
      <w:r w:rsidR="00C62479" w:rsidRPr="00A51861">
        <w:rPr>
          <w:rFonts w:asciiTheme="majorHAnsi" w:eastAsia="Calibri" w:hAnsiTheme="majorHAnsi" w:cs="Tahoma"/>
          <w:sz w:val="20"/>
          <w:szCs w:val="20"/>
          <w:bdr w:val="none" w:sz="0" w:space="0" w:color="auto"/>
        </w:rPr>
        <w:t xml:space="preserve"> </w:t>
      </w:r>
      <w:r w:rsidR="002B762A">
        <w:rPr>
          <w:rFonts w:asciiTheme="majorHAnsi" w:eastAsia="Calibri" w:hAnsiTheme="majorHAnsi" w:cs="Tahoma"/>
          <w:sz w:val="20"/>
          <w:szCs w:val="20"/>
          <w:bdr w:val="none" w:sz="0" w:space="0" w:color="auto"/>
        </w:rPr>
        <w:t>referred in</w:t>
      </w:r>
      <w:r w:rsidR="00C62479" w:rsidRPr="00A51861">
        <w:rPr>
          <w:rFonts w:asciiTheme="majorHAnsi" w:eastAsia="Calibri" w:hAnsiTheme="majorHAnsi" w:cs="Tahoma"/>
          <w:sz w:val="20"/>
          <w:szCs w:val="20"/>
          <w:bdr w:val="none" w:sz="0" w:space="0" w:color="auto"/>
        </w:rPr>
        <w:t xml:space="preserve"> </w:t>
      </w:r>
      <w:r w:rsidR="002835FC" w:rsidRPr="00A51861">
        <w:rPr>
          <w:rFonts w:asciiTheme="majorHAnsi" w:eastAsia="Calibri" w:hAnsiTheme="majorHAnsi" w:cs="Tahoma"/>
          <w:sz w:val="20"/>
          <w:szCs w:val="20"/>
          <w:bdr w:val="none" w:sz="0" w:space="0" w:color="auto"/>
        </w:rPr>
        <w:t xml:space="preserve">Law </w:t>
      </w:r>
      <w:r w:rsidR="00C62479" w:rsidRPr="00A51861">
        <w:rPr>
          <w:rFonts w:asciiTheme="majorHAnsi" w:eastAsia="Calibri" w:hAnsiTheme="majorHAnsi" w:cs="Tahoma"/>
          <w:sz w:val="20"/>
          <w:szCs w:val="20"/>
          <w:bdr w:val="none" w:sz="0" w:space="0" w:color="auto"/>
        </w:rPr>
        <w:t>24.043</w:t>
      </w:r>
      <w:r w:rsidR="005000F0" w:rsidRPr="00A51861">
        <w:rPr>
          <w:rFonts w:asciiTheme="majorHAnsi" w:eastAsia="Calibri" w:hAnsiTheme="majorHAnsi" w:cs="Tahoma"/>
          <w:sz w:val="20"/>
          <w:szCs w:val="20"/>
          <w:bdr w:val="none" w:sz="0" w:space="0" w:color="auto"/>
        </w:rPr>
        <w:t xml:space="preserve">, </w:t>
      </w:r>
      <w:r w:rsidR="002B762A">
        <w:rPr>
          <w:rFonts w:asciiTheme="majorHAnsi" w:eastAsia="Calibri" w:hAnsiTheme="majorHAnsi" w:cs="Tahoma"/>
          <w:sz w:val="20"/>
          <w:szCs w:val="20"/>
          <w:bdr w:val="none" w:sz="0" w:space="0" w:color="auto"/>
        </w:rPr>
        <w:t>did not refute</w:t>
      </w:r>
      <w:r w:rsidR="00FE1E27">
        <w:rPr>
          <w:rFonts w:asciiTheme="majorHAnsi" w:eastAsia="Calibri" w:hAnsiTheme="majorHAnsi" w:cs="Tahoma"/>
          <w:sz w:val="20"/>
          <w:szCs w:val="20"/>
          <w:bdr w:val="none" w:sz="0" w:space="0" w:color="auto"/>
        </w:rPr>
        <w:t xml:space="preserve"> that</w:t>
      </w:r>
      <w:r w:rsidR="002B762A">
        <w:rPr>
          <w:rFonts w:asciiTheme="majorHAnsi" w:eastAsia="Calibri" w:hAnsiTheme="majorHAnsi" w:cs="Tahoma"/>
          <w:sz w:val="20"/>
          <w:szCs w:val="20"/>
          <w:bdr w:val="none" w:sz="0" w:space="0" w:color="auto"/>
        </w:rPr>
        <w:t xml:space="preserve"> the facts</w:t>
      </w:r>
      <w:r w:rsidR="006A3C04">
        <w:rPr>
          <w:rFonts w:asciiTheme="majorHAnsi" w:eastAsia="Calibri" w:hAnsiTheme="majorHAnsi" w:cs="Tahoma"/>
          <w:sz w:val="20"/>
          <w:szCs w:val="20"/>
          <w:bdr w:val="none" w:sz="0" w:space="0" w:color="auto"/>
        </w:rPr>
        <w:t xml:space="preserve"> </w:t>
      </w:r>
      <w:r w:rsidR="002B762A">
        <w:rPr>
          <w:rFonts w:asciiTheme="majorHAnsi" w:eastAsia="Calibri" w:hAnsiTheme="majorHAnsi" w:cs="Tahoma"/>
          <w:sz w:val="20"/>
          <w:szCs w:val="20"/>
          <w:bdr w:val="none" w:sz="0" w:space="0" w:color="auto"/>
        </w:rPr>
        <w:t>invoked to request the application of</w:t>
      </w:r>
      <w:r w:rsidR="00E92985">
        <w:rPr>
          <w:rFonts w:asciiTheme="majorHAnsi" w:eastAsia="Calibri" w:hAnsiTheme="majorHAnsi" w:cs="Tahoma"/>
          <w:sz w:val="20"/>
          <w:szCs w:val="20"/>
          <w:bdr w:val="none" w:sz="0" w:space="0" w:color="auto"/>
        </w:rPr>
        <w:t xml:space="preserve"> </w:t>
      </w:r>
      <w:r w:rsidR="00FE1E27">
        <w:rPr>
          <w:rFonts w:asciiTheme="majorHAnsi" w:eastAsia="Calibri" w:hAnsiTheme="majorHAnsi" w:cs="Tahoma"/>
          <w:sz w:val="20"/>
          <w:szCs w:val="20"/>
          <w:bdr w:val="none" w:sz="0" w:space="0" w:color="auto"/>
        </w:rPr>
        <w:t>the la</w:t>
      </w:r>
      <w:r w:rsidR="002835FC" w:rsidRPr="00A51861">
        <w:rPr>
          <w:rFonts w:asciiTheme="majorHAnsi" w:eastAsia="Calibri" w:hAnsiTheme="majorHAnsi" w:cs="Tahoma"/>
          <w:sz w:val="20"/>
          <w:szCs w:val="20"/>
          <w:bdr w:val="none" w:sz="0" w:space="0" w:color="auto"/>
        </w:rPr>
        <w:t xml:space="preserve">w </w:t>
      </w:r>
      <w:r w:rsidR="00FE1E27">
        <w:rPr>
          <w:rFonts w:ascii="Cambria" w:hAnsi="Cambria"/>
          <w:color w:val="000000" w:themeColor="text1"/>
          <w:sz w:val="20"/>
          <w:szCs w:val="20"/>
        </w:rPr>
        <w:t>had ben</w:t>
      </w:r>
      <w:r w:rsidR="00A742A4" w:rsidRPr="00A51861">
        <w:rPr>
          <w:rFonts w:asciiTheme="majorHAnsi" w:eastAsia="Calibri" w:hAnsiTheme="majorHAnsi" w:cs="Tahoma"/>
          <w:sz w:val="20"/>
          <w:szCs w:val="20"/>
          <w:bdr w:val="none" w:sz="0" w:space="0" w:color="auto"/>
        </w:rPr>
        <w:t xml:space="preserve"> imputable</w:t>
      </w:r>
      <w:r w:rsidR="00FE1E27">
        <w:rPr>
          <w:rFonts w:asciiTheme="majorHAnsi" w:eastAsia="Calibri" w:hAnsiTheme="majorHAnsi" w:cs="Tahoma"/>
          <w:sz w:val="20"/>
          <w:szCs w:val="20"/>
          <w:bdr w:val="none" w:sz="0" w:space="0" w:color="auto"/>
        </w:rPr>
        <w:t xml:space="preserve"> to the</w:t>
      </w:r>
      <w:r w:rsidR="003A2A80">
        <w:rPr>
          <w:rFonts w:asciiTheme="majorHAnsi" w:eastAsia="Calibri" w:hAnsiTheme="majorHAnsi" w:cs="Tahoma"/>
          <w:sz w:val="20"/>
          <w:szCs w:val="20"/>
          <w:bdr w:val="none" w:sz="0" w:space="0" w:color="auto"/>
        </w:rPr>
        <w:t xml:space="preserve"> </w:t>
      </w:r>
      <w:r w:rsidR="00FE1E27">
        <w:rPr>
          <w:rFonts w:asciiTheme="majorHAnsi" w:eastAsia="Calibri" w:hAnsiTheme="majorHAnsi" w:cs="Tahoma"/>
          <w:sz w:val="20"/>
          <w:szCs w:val="20"/>
          <w:bdr w:val="none" w:sz="0" w:space="0" w:color="auto"/>
        </w:rPr>
        <w:t>Argentine State</w:t>
      </w:r>
      <w:r w:rsidR="00A742A4" w:rsidRPr="00A51861">
        <w:rPr>
          <w:rFonts w:asciiTheme="majorHAnsi" w:eastAsia="Calibri" w:hAnsiTheme="majorHAnsi" w:cs="Tahoma"/>
          <w:sz w:val="20"/>
          <w:szCs w:val="20"/>
          <w:bdr w:val="none" w:sz="0" w:space="0" w:color="auto"/>
        </w:rPr>
        <w:t xml:space="preserve">, </w:t>
      </w:r>
      <w:r w:rsidR="00FE1E27">
        <w:rPr>
          <w:rFonts w:asciiTheme="majorHAnsi" w:eastAsia="Calibri" w:hAnsiTheme="majorHAnsi" w:cs="Tahoma"/>
          <w:sz w:val="20"/>
          <w:szCs w:val="20"/>
          <w:bdr w:val="none" w:sz="0" w:space="0" w:color="auto"/>
        </w:rPr>
        <w:t>but that the refusals of the</w:t>
      </w:r>
      <w:r w:rsidR="004969F4">
        <w:rPr>
          <w:rFonts w:asciiTheme="majorHAnsi" w:eastAsia="Calibri" w:hAnsiTheme="majorHAnsi" w:cs="Tahoma"/>
          <w:sz w:val="20"/>
          <w:szCs w:val="20"/>
          <w:bdr w:val="none" w:sz="0" w:space="0" w:color="auto"/>
        </w:rPr>
        <w:t xml:space="preserve"> </w:t>
      </w:r>
      <w:r w:rsidR="00B47E06">
        <w:rPr>
          <w:rFonts w:asciiTheme="majorHAnsi" w:eastAsia="Calibri" w:hAnsiTheme="majorHAnsi" w:cs="Tahoma"/>
          <w:sz w:val="20"/>
          <w:szCs w:val="20"/>
          <w:bdr w:val="none" w:sz="0" w:space="0" w:color="auto"/>
        </w:rPr>
        <w:t>benefit</w:t>
      </w:r>
      <w:r w:rsidR="005000F0" w:rsidRPr="00A51861">
        <w:rPr>
          <w:rFonts w:asciiTheme="majorHAnsi" w:eastAsia="Calibri" w:hAnsiTheme="majorHAnsi" w:cs="Tahoma"/>
          <w:sz w:val="20"/>
          <w:szCs w:val="20"/>
          <w:bdr w:val="none" w:sz="0" w:space="0" w:color="auto"/>
        </w:rPr>
        <w:t xml:space="preserve"> </w:t>
      </w:r>
      <w:r w:rsidR="00FE1E27">
        <w:rPr>
          <w:rFonts w:asciiTheme="majorHAnsi" w:eastAsia="Calibri" w:hAnsiTheme="majorHAnsi" w:cs="Tahoma"/>
          <w:sz w:val="20"/>
          <w:szCs w:val="20"/>
          <w:bdr w:val="none" w:sz="0" w:space="0" w:color="auto"/>
        </w:rPr>
        <w:t>based</w:t>
      </w:r>
      <w:r w:rsidR="00A742A4" w:rsidRPr="00A51861">
        <w:rPr>
          <w:rFonts w:asciiTheme="majorHAnsi" w:eastAsia="Calibri" w:hAnsiTheme="majorHAnsi" w:cs="Tahoma"/>
          <w:sz w:val="20"/>
          <w:szCs w:val="20"/>
          <w:bdr w:val="none" w:sz="0" w:space="0" w:color="auto"/>
        </w:rPr>
        <w:t xml:space="preserve"> </w:t>
      </w:r>
      <w:r w:rsidR="00FE1E27" w:rsidRPr="00A51861">
        <w:rPr>
          <w:rFonts w:asciiTheme="majorHAnsi" w:eastAsia="Calibri" w:hAnsiTheme="majorHAnsi" w:cs="Tahoma"/>
          <w:sz w:val="20"/>
          <w:szCs w:val="20"/>
          <w:bdr w:val="none" w:sz="0" w:space="0" w:color="auto"/>
        </w:rPr>
        <w:t>specifical</w:t>
      </w:r>
      <w:r w:rsidR="00FE1E27">
        <w:rPr>
          <w:rFonts w:asciiTheme="majorHAnsi" w:eastAsia="Calibri" w:hAnsiTheme="majorHAnsi" w:cs="Tahoma"/>
          <w:sz w:val="20"/>
          <w:szCs w:val="20"/>
          <w:bdr w:val="none" w:sz="0" w:space="0" w:color="auto"/>
        </w:rPr>
        <w:t>ly</w:t>
      </w:r>
      <w:r w:rsidR="0029564F">
        <w:rPr>
          <w:rFonts w:asciiTheme="majorHAnsi" w:eastAsia="Calibri" w:hAnsiTheme="majorHAnsi" w:cs="Tahoma"/>
          <w:sz w:val="20"/>
          <w:szCs w:val="20"/>
          <w:bdr w:val="none" w:sz="0" w:space="0" w:color="auto"/>
        </w:rPr>
        <w:t xml:space="preserve"> </w:t>
      </w:r>
      <w:r w:rsidR="00FE1E27">
        <w:rPr>
          <w:rFonts w:asciiTheme="majorHAnsi" w:eastAsia="Calibri" w:hAnsiTheme="majorHAnsi" w:cs="Tahoma"/>
          <w:sz w:val="20"/>
          <w:szCs w:val="20"/>
          <w:bdr w:val="none" w:sz="0" w:space="0" w:color="auto"/>
        </w:rPr>
        <w:t>o</w:t>
      </w:r>
      <w:r w:rsidR="00A742A4" w:rsidRPr="00A51861">
        <w:rPr>
          <w:rFonts w:asciiTheme="majorHAnsi" w:eastAsia="Calibri" w:hAnsiTheme="majorHAnsi" w:cs="Tahoma"/>
          <w:sz w:val="20"/>
          <w:szCs w:val="20"/>
          <w:bdr w:val="none" w:sz="0" w:space="0" w:color="auto"/>
        </w:rPr>
        <w:t>n</w:t>
      </w:r>
      <w:r w:rsidR="00E92985">
        <w:rPr>
          <w:rFonts w:asciiTheme="majorHAnsi" w:eastAsia="Calibri" w:hAnsiTheme="majorHAnsi" w:cs="Tahoma"/>
          <w:sz w:val="20"/>
          <w:szCs w:val="20"/>
          <w:bdr w:val="none" w:sz="0" w:space="0" w:color="auto"/>
        </w:rPr>
        <w:t xml:space="preserve"> the </w:t>
      </w:r>
      <w:r w:rsidR="006E255A">
        <w:rPr>
          <w:rFonts w:asciiTheme="majorHAnsi" w:eastAsia="Calibri" w:hAnsiTheme="majorHAnsi" w:cs="Tahoma"/>
          <w:sz w:val="20"/>
          <w:szCs w:val="20"/>
          <w:bdr w:val="none" w:sz="0" w:space="0" w:color="auto"/>
        </w:rPr>
        <w:t>detention</w:t>
      </w:r>
      <w:r w:rsidR="00E92985">
        <w:rPr>
          <w:rFonts w:asciiTheme="majorHAnsi" w:eastAsia="Calibri" w:hAnsiTheme="majorHAnsi" w:cs="Tahoma"/>
          <w:sz w:val="20"/>
          <w:szCs w:val="20"/>
          <w:bdr w:val="none" w:sz="0" w:space="0" w:color="auto"/>
        </w:rPr>
        <w:t xml:space="preserve"> and </w:t>
      </w:r>
      <w:r w:rsidR="005B42FA">
        <w:rPr>
          <w:rFonts w:asciiTheme="majorHAnsi" w:eastAsia="Calibri" w:hAnsiTheme="majorHAnsi" w:cs="Tahoma"/>
          <w:sz w:val="20"/>
          <w:szCs w:val="20"/>
          <w:bdr w:val="none" w:sz="0" w:space="0" w:color="auto"/>
        </w:rPr>
        <w:t>exile</w:t>
      </w:r>
      <w:r w:rsidR="00A742A4" w:rsidRPr="00A51861">
        <w:rPr>
          <w:rFonts w:asciiTheme="majorHAnsi" w:eastAsia="Calibri" w:hAnsiTheme="majorHAnsi" w:cs="Tahoma"/>
          <w:sz w:val="20"/>
          <w:szCs w:val="20"/>
          <w:bdr w:val="none" w:sz="0" w:space="0" w:color="auto"/>
        </w:rPr>
        <w:t xml:space="preserve"> o</w:t>
      </w:r>
      <w:r w:rsidR="00FE1E27">
        <w:rPr>
          <w:rFonts w:asciiTheme="majorHAnsi" w:eastAsia="Calibri" w:hAnsiTheme="majorHAnsi" w:cs="Tahoma"/>
          <w:sz w:val="20"/>
          <w:szCs w:val="20"/>
          <w:bdr w:val="none" w:sz="0" w:space="0" w:color="auto"/>
        </w:rPr>
        <w:t>c</w:t>
      </w:r>
      <w:r w:rsidR="00A742A4" w:rsidRPr="00A51861">
        <w:rPr>
          <w:rFonts w:asciiTheme="majorHAnsi" w:eastAsia="Calibri" w:hAnsiTheme="majorHAnsi" w:cs="Tahoma"/>
          <w:sz w:val="20"/>
          <w:szCs w:val="20"/>
          <w:bdr w:val="none" w:sz="0" w:space="0" w:color="auto"/>
        </w:rPr>
        <w:t>curri</w:t>
      </w:r>
      <w:r w:rsidR="00FE1E27">
        <w:rPr>
          <w:rFonts w:asciiTheme="majorHAnsi" w:eastAsia="Calibri" w:hAnsiTheme="majorHAnsi" w:cs="Tahoma"/>
          <w:sz w:val="20"/>
          <w:szCs w:val="20"/>
          <w:bdr w:val="none" w:sz="0" w:space="0" w:color="auto"/>
        </w:rPr>
        <w:t>ng</w:t>
      </w:r>
      <w:r w:rsidR="00A742A4" w:rsidRPr="00A51861">
        <w:rPr>
          <w:rFonts w:asciiTheme="majorHAnsi" w:eastAsia="Calibri" w:hAnsiTheme="majorHAnsi" w:cs="Tahoma"/>
          <w:sz w:val="20"/>
          <w:szCs w:val="20"/>
          <w:bdr w:val="none" w:sz="0" w:space="0" w:color="auto"/>
        </w:rPr>
        <w:t xml:space="preserve"> </w:t>
      </w:r>
      <w:r w:rsidR="00FE1E27">
        <w:rPr>
          <w:rFonts w:asciiTheme="majorHAnsi" w:eastAsia="Calibri" w:hAnsiTheme="majorHAnsi" w:cs="Tahoma"/>
          <w:sz w:val="20"/>
          <w:szCs w:val="20"/>
          <w:bdr w:val="none" w:sz="0" w:space="0" w:color="auto"/>
        </w:rPr>
        <w:t>beyond the timeframe</w:t>
      </w:r>
      <w:r w:rsidR="009B462E">
        <w:rPr>
          <w:rFonts w:asciiTheme="majorHAnsi" w:eastAsia="Calibri" w:hAnsiTheme="majorHAnsi" w:cs="Tahoma"/>
          <w:sz w:val="20"/>
          <w:szCs w:val="20"/>
          <w:bdr w:val="none" w:sz="0" w:space="0" w:color="auto"/>
        </w:rPr>
        <w:t xml:space="preserve"> </w:t>
      </w:r>
      <w:r w:rsidR="00E92985">
        <w:rPr>
          <w:rFonts w:asciiTheme="majorHAnsi" w:eastAsia="Calibri" w:hAnsiTheme="majorHAnsi" w:cs="Tahoma"/>
          <w:sz w:val="20"/>
          <w:szCs w:val="20"/>
          <w:bdr w:val="none" w:sz="0" w:space="0" w:color="auto"/>
        </w:rPr>
        <w:t xml:space="preserve">of the </w:t>
      </w:r>
      <w:r w:rsidR="00FE1E27">
        <w:rPr>
          <w:rFonts w:asciiTheme="majorHAnsi" w:eastAsia="Calibri" w:hAnsiTheme="majorHAnsi" w:cs="Tahoma"/>
          <w:sz w:val="20"/>
          <w:szCs w:val="20"/>
          <w:bdr w:val="none" w:sz="0" w:space="0" w:color="auto"/>
        </w:rPr>
        <w:t>said</w:t>
      </w:r>
      <w:r w:rsidR="005F2093" w:rsidRPr="00A51861">
        <w:rPr>
          <w:rFonts w:asciiTheme="majorHAnsi" w:eastAsia="Calibri" w:hAnsiTheme="majorHAnsi" w:cs="Tahoma"/>
          <w:sz w:val="20"/>
          <w:szCs w:val="20"/>
          <w:bdr w:val="none" w:sz="0" w:space="0" w:color="auto"/>
        </w:rPr>
        <w:t xml:space="preserve"> </w:t>
      </w:r>
      <w:r w:rsidR="0029564F">
        <w:rPr>
          <w:rFonts w:asciiTheme="majorHAnsi" w:eastAsia="Calibri" w:hAnsiTheme="majorHAnsi" w:cs="Tahoma"/>
          <w:sz w:val="20"/>
          <w:szCs w:val="20"/>
          <w:bdr w:val="none" w:sz="0" w:space="0" w:color="auto"/>
        </w:rPr>
        <w:t>law</w:t>
      </w:r>
      <w:r w:rsidR="005F2093" w:rsidRPr="00A51861">
        <w:rPr>
          <w:rFonts w:asciiTheme="majorHAnsi" w:eastAsia="Calibri" w:hAnsiTheme="majorHAnsi" w:cs="Tahoma"/>
          <w:sz w:val="20"/>
          <w:szCs w:val="20"/>
          <w:bdr w:val="none" w:sz="0" w:space="0" w:color="auto"/>
        </w:rPr>
        <w:t xml:space="preserve">, </w:t>
      </w:r>
      <w:r w:rsidR="00FE1E27">
        <w:rPr>
          <w:rFonts w:asciiTheme="majorHAnsi" w:eastAsia="Calibri" w:hAnsiTheme="majorHAnsi" w:cs="Tahoma"/>
          <w:sz w:val="20"/>
          <w:szCs w:val="20"/>
          <w:bdr w:val="none" w:sz="0" w:space="0" w:color="auto"/>
        </w:rPr>
        <w:t>yet not as to</w:t>
      </w:r>
      <w:r w:rsidR="009A4F91">
        <w:rPr>
          <w:rFonts w:asciiTheme="majorHAnsi" w:eastAsia="Calibri" w:hAnsiTheme="majorHAnsi" w:cs="Tahoma"/>
          <w:sz w:val="20"/>
          <w:szCs w:val="20"/>
          <w:bdr w:val="none" w:sz="0" w:space="0" w:color="auto"/>
        </w:rPr>
        <w:t xml:space="preserve"> the </w:t>
      </w:r>
      <w:r w:rsidR="00E92985">
        <w:rPr>
          <w:rFonts w:asciiTheme="majorHAnsi" w:eastAsia="Calibri" w:hAnsiTheme="majorHAnsi" w:cs="Tahoma"/>
          <w:sz w:val="20"/>
          <w:szCs w:val="20"/>
          <w:bdr w:val="none" w:sz="0" w:space="0" w:color="auto"/>
        </w:rPr>
        <w:t>responsibility</w:t>
      </w:r>
      <w:r w:rsidR="005000F0" w:rsidRPr="00A51861">
        <w:rPr>
          <w:rFonts w:asciiTheme="majorHAnsi" w:eastAsia="Calibri" w:hAnsiTheme="majorHAnsi" w:cs="Tahoma"/>
          <w:sz w:val="20"/>
          <w:szCs w:val="20"/>
          <w:bdr w:val="none" w:sz="0" w:space="0" w:color="auto"/>
        </w:rPr>
        <w:t xml:space="preserve"> </w:t>
      </w:r>
      <w:r w:rsidR="00F92BA8">
        <w:rPr>
          <w:rFonts w:asciiTheme="majorHAnsi" w:eastAsia="Calibri" w:hAnsiTheme="majorHAnsi" w:cs="Tahoma"/>
          <w:sz w:val="20"/>
          <w:szCs w:val="20"/>
          <w:bdr w:val="none" w:sz="0" w:space="0" w:color="auto"/>
        </w:rPr>
        <w:t>of the State</w:t>
      </w:r>
      <w:r w:rsidR="005000F0" w:rsidRPr="00A51861">
        <w:rPr>
          <w:rFonts w:asciiTheme="majorHAnsi" w:eastAsia="Calibri" w:hAnsiTheme="majorHAnsi" w:cs="Tahoma"/>
          <w:sz w:val="20"/>
          <w:szCs w:val="20"/>
          <w:bdr w:val="none" w:sz="0" w:space="0" w:color="auto"/>
        </w:rPr>
        <w:t xml:space="preserve"> </w:t>
      </w:r>
      <w:r w:rsidR="00FE1E27">
        <w:rPr>
          <w:rFonts w:asciiTheme="majorHAnsi" w:eastAsia="Calibri" w:hAnsiTheme="majorHAnsi" w:cs="Tahoma"/>
          <w:sz w:val="20"/>
          <w:szCs w:val="20"/>
          <w:bdr w:val="none" w:sz="0" w:space="0" w:color="auto"/>
        </w:rPr>
        <w:t>for</w:t>
      </w:r>
      <w:r w:rsidR="005000F0" w:rsidRPr="00A51861">
        <w:rPr>
          <w:rFonts w:asciiTheme="majorHAnsi" w:eastAsia="Calibri" w:hAnsiTheme="majorHAnsi" w:cs="Tahoma"/>
          <w:sz w:val="20"/>
          <w:szCs w:val="20"/>
          <w:bdr w:val="none" w:sz="0" w:space="0" w:color="auto"/>
        </w:rPr>
        <w:t xml:space="preserve"> </w:t>
      </w:r>
      <w:r w:rsidR="00FE1E27">
        <w:rPr>
          <w:rFonts w:asciiTheme="majorHAnsi" w:eastAsia="Calibri" w:hAnsiTheme="majorHAnsi" w:cs="Tahoma"/>
          <w:sz w:val="20"/>
          <w:szCs w:val="20"/>
          <w:bdr w:val="none" w:sz="0" w:space="0" w:color="auto"/>
        </w:rPr>
        <w:t>such</w:t>
      </w:r>
      <w:r w:rsidR="005F6157">
        <w:rPr>
          <w:rFonts w:asciiTheme="majorHAnsi" w:eastAsia="Calibri" w:hAnsiTheme="majorHAnsi" w:cs="Tahoma"/>
          <w:sz w:val="20"/>
          <w:szCs w:val="20"/>
          <w:bdr w:val="none" w:sz="0" w:space="0" w:color="auto"/>
        </w:rPr>
        <w:t xml:space="preserve"> fact</w:t>
      </w:r>
      <w:r w:rsidR="005000F0" w:rsidRPr="00A51861">
        <w:rPr>
          <w:rFonts w:asciiTheme="majorHAnsi" w:eastAsia="Calibri" w:hAnsiTheme="majorHAnsi" w:cs="Tahoma"/>
          <w:sz w:val="20"/>
          <w:szCs w:val="20"/>
          <w:bdr w:val="none" w:sz="0" w:space="0" w:color="auto"/>
        </w:rPr>
        <w:t xml:space="preserve">s. </w:t>
      </w:r>
      <w:r w:rsidR="00F92BA8">
        <w:rPr>
          <w:rFonts w:asciiTheme="majorHAnsi" w:eastAsia="Calibri" w:hAnsiTheme="majorHAnsi" w:cs="Tahoma"/>
          <w:sz w:val="20"/>
          <w:szCs w:val="20"/>
          <w:bdr w:val="none" w:sz="0" w:space="0" w:color="auto"/>
        </w:rPr>
        <w:t xml:space="preserve">Likewise, </w:t>
      </w:r>
      <w:r w:rsidR="00FE1E27">
        <w:rPr>
          <w:rFonts w:asciiTheme="majorHAnsi" w:eastAsia="Calibri" w:hAnsiTheme="majorHAnsi" w:cs="Tahoma"/>
          <w:sz w:val="20"/>
          <w:szCs w:val="20"/>
          <w:bdr w:val="none" w:sz="0" w:space="0" w:color="auto"/>
        </w:rPr>
        <w:t>it must be noted that as</w:t>
      </w:r>
      <w:r w:rsidR="00A6290A" w:rsidRPr="00A51861">
        <w:rPr>
          <w:rFonts w:asciiTheme="majorHAnsi" w:eastAsia="Calibri" w:hAnsiTheme="majorHAnsi" w:cs="Tahoma"/>
          <w:sz w:val="20"/>
          <w:szCs w:val="20"/>
          <w:bdr w:val="none" w:sz="0" w:space="0" w:color="auto"/>
        </w:rPr>
        <w:t xml:space="preserve"> </w:t>
      </w:r>
      <w:r w:rsidR="00E92985">
        <w:rPr>
          <w:rFonts w:asciiTheme="majorHAnsi" w:eastAsia="Calibri" w:hAnsiTheme="majorHAnsi" w:cs="Tahoma"/>
          <w:sz w:val="20"/>
          <w:szCs w:val="20"/>
          <w:bdr w:val="none" w:sz="0" w:space="0" w:color="auto"/>
        </w:rPr>
        <w:t>the petitioner</w:t>
      </w:r>
      <w:r w:rsidR="00FE1E27">
        <w:rPr>
          <w:rFonts w:asciiTheme="majorHAnsi" w:eastAsia="Calibri" w:hAnsiTheme="majorHAnsi" w:cs="Tahoma"/>
          <w:sz w:val="20"/>
          <w:szCs w:val="20"/>
          <w:bdr w:val="none" w:sz="0" w:space="0" w:color="auto"/>
        </w:rPr>
        <w:t xml:space="preserve"> has held</w:t>
      </w:r>
      <w:r w:rsidR="005000F0" w:rsidRPr="00A51861">
        <w:rPr>
          <w:rFonts w:asciiTheme="majorHAnsi" w:eastAsia="Calibri" w:hAnsiTheme="majorHAnsi" w:cs="Tahoma"/>
          <w:sz w:val="20"/>
          <w:szCs w:val="20"/>
          <w:bdr w:val="none" w:sz="0" w:space="0" w:color="auto"/>
        </w:rPr>
        <w:t xml:space="preserve">, </w:t>
      </w:r>
      <w:r w:rsidR="00FE1E27">
        <w:rPr>
          <w:rFonts w:asciiTheme="majorHAnsi" w:eastAsia="Calibri" w:hAnsiTheme="majorHAnsi" w:cs="Tahoma"/>
          <w:sz w:val="20"/>
          <w:szCs w:val="20"/>
          <w:bdr w:val="none" w:sz="0" w:space="0" w:color="auto"/>
        </w:rPr>
        <w:t>the</w:t>
      </w:r>
      <w:r w:rsidR="005000F0" w:rsidRPr="00A51861">
        <w:rPr>
          <w:rFonts w:asciiTheme="majorHAnsi" w:eastAsia="Calibri" w:hAnsiTheme="majorHAnsi" w:cs="Tahoma"/>
          <w:sz w:val="20"/>
          <w:szCs w:val="20"/>
          <w:bdr w:val="none" w:sz="0" w:space="0" w:color="auto"/>
        </w:rPr>
        <w:t xml:space="preserve"> families</w:t>
      </w:r>
      <w:r w:rsidR="00E92985">
        <w:rPr>
          <w:rFonts w:asciiTheme="majorHAnsi" w:eastAsia="Calibri" w:hAnsiTheme="majorHAnsi" w:cs="Tahoma"/>
          <w:sz w:val="20"/>
          <w:szCs w:val="20"/>
          <w:bdr w:val="none" w:sz="0" w:space="0" w:color="auto"/>
        </w:rPr>
        <w:t xml:space="preserve"> of </w:t>
      </w:r>
      <w:r w:rsidR="00FE1E27">
        <w:rPr>
          <w:rFonts w:asciiTheme="majorHAnsi" w:eastAsia="Calibri" w:hAnsiTheme="majorHAnsi" w:cs="Tahoma"/>
          <w:sz w:val="20"/>
          <w:szCs w:val="20"/>
          <w:bdr w:val="none" w:sz="0" w:space="0" w:color="auto"/>
        </w:rPr>
        <w:t>one of the</w:t>
      </w:r>
      <w:r w:rsidR="005000F0" w:rsidRPr="00A51861">
        <w:rPr>
          <w:rFonts w:asciiTheme="majorHAnsi" w:eastAsia="Calibri" w:hAnsiTheme="majorHAnsi" w:cs="Tahoma"/>
          <w:sz w:val="20"/>
          <w:szCs w:val="20"/>
          <w:bdr w:val="none" w:sz="0" w:space="0" w:color="auto"/>
        </w:rPr>
        <w:t xml:space="preserve"> </w:t>
      </w:r>
      <w:r w:rsidR="00EC7A58">
        <w:rPr>
          <w:rFonts w:asciiTheme="majorHAnsi" w:eastAsia="Calibri" w:hAnsiTheme="majorHAnsi" w:cs="Tahoma"/>
          <w:sz w:val="20"/>
          <w:szCs w:val="20"/>
          <w:bdr w:val="none" w:sz="0" w:space="0" w:color="auto"/>
        </w:rPr>
        <w:t>persons</w:t>
      </w:r>
      <w:r w:rsidR="005000F0" w:rsidRPr="00A51861">
        <w:rPr>
          <w:rFonts w:asciiTheme="majorHAnsi" w:eastAsia="Calibri" w:hAnsiTheme="majorHAnsi" w:cs="Tahoma"/>
          <w:sz w:val="20"/>
          <w:szCs w:val="20"/>
          <w:bdr w:val="none" w:sz="0" w:space="0" w:color="auto"/>
        </w:rPr>
        <w:t xml:space="preserve"> </w:t>
      </w:r>
      <w:r w:rsidR="00FE1E27">
        <w:rPr>
          <w:rFonts w:asciiTheme="majorHAnsi" w:eastAsia="Calibri" w:hAnsiTheme="majorHAnsi" w:cs="Tahoma"/>
          <w:sz w:val="20"/>
          <w:szCs w:val="20"/>
          <w:bdr w:val="none" w:sz="0" w:space="0" w:color="auto"/>
        </w:rPr>
        <w:t>who was detained along with Mr.</w:t>
      </w:r>
      <w:r w:rsidR="005000F0" w:rsidRPr="00A51861">
        <w:rPr>
          <w:rFonts w:asciiTheme="majorHAnsi" w:eastAsia="Calibri" w:hAnsiTheme="majorHAnsi" w:cs="Tahoma"/>
          <w:sz w:val="20"/>
          <w:szCs w:val="20"/>
          <w:bdr w:val="none" w:sz="0" w:space="0" w:color="auto"/>
        </w:rPr>
        <w:t xml:space="preserve"> Nicasio Washington Romer</w:t>
      </w:r>
      <w:r w:rsidR="00505ADB" w:rsidRPr="00A51861">
        <w:rPr>
          <w:rFonts w:asciiTheme="majorHAnsi" w:eastAsia="Calibri" w:hAnsiTheme="majorHAnsi" w:cs="Tahoma"/>
          <w:sz w:val="20"/>
          <w:szCs w:val="20"/>
          <w:bdr w:val="none" w:sz="0" w:space="0" w:color="auto"/>
        </w:rPr>
        <w:t>o,</w:t>
      </w:r>
      <w:r w:rsidR="00E92985">
        <w:rPr>
          <w:rFonts w:asciiTheme="majorHAnsi" w:eastAsia="Calibri" w:hAnsiTheme="majorHAnsi" w:cs="Tahoma"/>
          <w:sz w:val="20"/>
          <w:szCs w:val="20"/>
          <w:bdr w:val="none" w:sz="0" w:space="0" w:color="auto"/>
        </w:rPr>
        <w:t xml:space="preserve"> and </w:t>
      </w:r>
      <w:r w:rsidR="00FE1E27">
        <w:rPr>
          <w:rFonts w:asciiTheme="majorHAnsi" w:eastAsia="Calibri" w:hAnsiTheme="majorHAnsi" w:cs="Tahoma"/>
          <w:sz w:val="20"/>
          <w:szCs w:val="20"/>
          <w:bdr w:val="none" w:sz="0" w:space="0" w:color="auto"/>
        </w:rPr>
        <w:t>who was murdered in connection to said</w:t>
      </w:r>
      <w:r w:rsidR="00505ADB" w:rsidRPr="00A51861">
        <w:rPr>
          <w:rFonts w:asciiTheme="majorHAnsi" w:eastAsia="Calibri" w:hAnsiTheme="majorHAnsi" w:cs="Tahoma"/>
          <w:sz w:val="20"/>
          <w:szCs w:val="20"/>
          <w:bdr w:val="none" w:sz="0" w:space="0" w:color="auto"/>
        </w:rPr>
        <w:t xml:space="preserve"> </w:t>
      </w:r>
      <w:r w:rsidR="006E255A">
        <w:rPr>
          <w:rFonts w:asciiTheme="majorHAnsi" w:eastAsia="Calibri" w:hAnsiTheme="majorHAnsi" w:cs="Tahoma"/>
          <w:sz w:val="20"/>
          <w:szCs w:val="20"/>
          <w:bdr w:val="none" w:sz="0" w:space="0" w:color="auto"/>
        </w:rPr>
        <w:t>detention</w:t>
      </w:r>
      <w:r w:rsidR="00505ADB" w:rsidRPr="00A51861">
        <w:rPr>
          <w:rFonts w:asciiTheme="majorHAnsi" w:eastAsia="Calibri" w:hAnsiTheme="majorHAnsi" w:cs="Tahoma"/>
          <w:sz w:val="20"/>
          <w:szCs w:val="20"/>
          <w:bdr w:val="none" w:sz="0" w:space="0" w:color="auto"/>
        </w:rPr>
        <w:t xml:space="preserve">, </w:t>
      </w:r>
      <w:r w:rsidR="00FE1E27">
        <w:rPr>
          <w:rFonts w:asciiTheme="majorHAnsi" w:eastAsia="Calibri" w:hAnsiTheme="majorHAnsi" w:cs="Tahoma"/>
          <w:sz w:val="20"/>
          <w:szCs w:val="20"/>
          <w:bdr w:val="none" w:sz="0" w:space="0" w:color="auto"/>
        </w:rPr>
        <w:t>requested before the</w:t>
      </w:r>
      <w:r w:rsidR="00505ADB" w:rsidRPr="00A51861">
        <w:rPr>
          <w:rFonts w:asciiTheme="majorHAnsi" w:eastAsia="Calibri" w:hAnsiTheme="majorHAnsi" w:cs="Tahoma"/>
          <w:sz w:val="20"/>
          <w:szCs w:val="20"/>
          <w:bdr w:val="none" w:sz="0" w:space="0" w:color="auto"/>
        </w:rPr>
        <w:t xml:space="preserve"> </w:t>
      </w:r>
      <w:r w:rsidR="00940530">
        <w:rPr>
          <w:rFonts w:asciiTheme="majorHAnsi" w:eastAsia="Calibri" w:hAnsiTheme="majorHAnsi" w:cs="Tahoma"/>
          <w:sz w:val="20"/>
          <w:szCs w:val="20"/>
          <w:bdr w:val="none" w:sz="0" w:space="0" w:color="auto"/>
        </w:rPr>
        <w:t>authorities</w:t>
      </w:r>
      <w:r w:rsidR="005000F0" w:rsidRPr="00A51861">
        <w:rPr>
          <w:rFonts w:asciiTheme="majorHAnsi" w:eastAsia="Calibri" w:hAnsiTheme="majorHAnsi" w:cs="Tahoma"/>
          <w:sz w:val="20"/>
          <w:szCs w:val="20"/>
          <w:bdr w:val="none" w:sz="0" w:space="0" w:color="auto"/>
        </w:rPr>
        <w:t xml:space="preserve"> </w:t>
      </w:r>
      <w:r w:rsidR="00FE1E27" w:rsidRPr="00A51861">
        <w:rPr>
          <w:rFonts w:asciiTheme="majorHAnsi" w:eastAsia="Calibri" w:hAnsiTheme="majorHAnsi" w:cs="Tahoma"/>
          <w:sz w:val="20"/>
          <w:szCs w:val="20"/>
          <w:bdr w:val="none" w:sz="0" w:space="0" w:color="auto"/>
        </w:rPr>
        <w:t>access</w:t>
      </w:r>
      <w:r w:rsidR="005000F0" w:rsidRPr="00A51861">
        <w:rPr>
          <w:rFonts w:asciiTheme="majorHAnsi" w:eastAsia="Calibri" w:hAnsiTheme="majorHAnsi" w:cs="Tahoma"/>
          <w:sz w:val="20"/>
          <w:szCs w:val="20"/>
          <w:bdr w:val="none" w:sz="0" w:space="0" w:color="auto"/>
        </w:rPr>
        <w:t xml:space="preserve"> </w:t>
      </w:r>
      <w:r w:rsidR="00FE1E27">
        <w:rPr>
          <w:rFonts w:asciiTheme="majorHAnsi" w:eastAsia="Calibri" w:hAnsiTheme="majorHAnsi" w:cs="Tahoma"/>
          <w:sz w:val="20"/>
          <w:szCs w:val="20"/>
          <w:bdr w:val="none" w:sz="0" w:space="0" w:color="auto"/>
        </w:rPr>
        <w:t xml:space="preserve">to </w:t>
      </w:r>
      <w:r w:rsidR="00FE1E27" w:rsidRPr="00A51861">
        <w:rPr>
          <w:rFonts w:asciiTheme="majorHAnsi" w:eastAsia="Calibri" w:hAnsiTheme="majorHAnsi" w:cs="Tahoma"/>
          <w:sz w:val="20"/>
          <w:szCs w:val="20"/>
          <w:bdr w:val="none" w:sz="0" w:space="0" w:color="auto"/>
        </w:rPr>
        <w:t>reparation</w:t>
      </w:r>
      <w:r w:rsidR="005000F0" w:rsidRPr="00A51861">
        <w:rPr>
          <w:rFonts w:asciiTheme="majorHAnsi" w:eastAsia="Calibri" w:hAnsiTheme="majorHAnsi" w:cs="Tahoma"/>
          <w:sz w:val="20"/>
          <w:szCs w:val="20"/>
          <w:bdr w:val="none" w:sz="0" w:space="0" w:color="auto"/>
        </w:rPr>
        <w:t xml:space="preserve"> </w:t>
      </w:r>
      <w:r w:rsidR="00FE1E27">
        <w:rPr>
          <w:rFonts w:asciiTheme="majorHAnsi" w:eastAsia="Calibri" w:hAnsiTheme="majorHAnsi" w:cs="Tahoma"/>
          <w:sz w:val="20"/>
          <w:szCs w:val="20"/>
          <w:bdr w:val="none" w:sz="0" w:space="0" w:color="auto"/>
        </w:rPr>
        <w:t>under</w:t>
      </w:r>
      <w:r w:rsidR="005000F0" w:rsidRPr="00A51861">
        <w:rPr>
          <w:rFonts w:asciiTheme="majorHAnsi" w:eastAsia="Calibri" w:hAnsiTheme="majorHAnsi" w:cs="Tahoma"/>
          <w:sz w:val="20"/>
          <w:szCs w:val="20"/>
          <w:bdr w:val="none" w:sz="0" w:space="0" w:color="auto"/>
        </w:rPr>
        <w:t xml:space="preserve"> </w:t>
      </w:r>
      <w:r w:rsidR="002835FC" w:rsidRPr="00A51861">
        <w:rPr>
          <w:rFonts w:asciiTheme="majorHAnsi" w:eastAsia="Calibri" w:hAnsiTheme="majorHAnsi" w:cs="Tahoma"/>
          <w:sz w:val="20"/>
          <w:szCs w:val="20"/>
          <w:bdr w:val="none" w:sz="0" w:space="0" w:color="auto"/>
        </w:rPr>
        <w:t xml:space="preserve">Law </w:t>
      </w:r>
      <w:r w:rsidR="005000F0" w:rsidRPr="00A51861">
        <w:rPr>
          <w:rFonts w:asciiTheme="majorHAnsi" w:eastAsia="Calibri" w:hAnsiTheme="majorHAnsi" w:cs="Tahoma"/>
          <w:sz w:val="20"/>
          <w:szCs w:val="20"/>
          <w:bdr w:val="none" w:sz="0" w:space="0" w:color="auto"/>
        </w:rPr>
        <w:t>No. 24.411</w:t>
      </w:r>
      <w:r w:rsidR="005F2093" w:rsidRPr="00A51861">
        <w:rPr>
          <w:rFonts w:asciiTheme="majorHAnsi" w:eastAsia="Calibri" w:hAnsiTheme="majorHAnsi" w:cs="Tahoma"/>
          <w:sz w:val="20"/>
          <w:szCs w:val="20"/>
          <w:bdr w:val="none" w:sz="0" w:space="0" w:color="auto"/>
        </w:rPr>
        <w:t xml:space="preserve"> </w:t>
      </w:r>
      <w:r w:rsidR="00FE1E27">
        <w:rPr>
          <w:rFonts w:asciiTheme="majorHAnsi" w:eastAsia="Calibri" w:hAnsiTheme="majorHAnsi" w:cs="Tahoma"/>
          <w:sz w:val="20"/>
          <w:szCs w:val="20"/>
          <w:bdr w:val="none" w:sz="0" w:space="0" w:color="auto"/>
        </w:rPr>
        <w:t>on forced disappearance of</w:t>
      </w:r>
      <w:r w:rsidR="00E92985">
        <w:rPr>
          <w:rFonts w:asciiTheme="majorHAnsi" w:eastAsia="Calibri" w:hAnsiTheme="majorHAnsi" w:cs="Tahoma"/>
          <w:sz w:val="20"/>
          <w:szCs w:val="20"/>
          <w:bdr w:val="none" w:sz="0" w:space="0" w:color="auto"/>
        </w:rPr>
        <w:t xml:space="preserve"> </w:t>
      </w:r>
      <w:r w:rsidR="00EC7A58">
        <w:rPr>
          <w:rFonts w:asciiTheme="majorHAnsi" w:eastAsia="Calibri" w:hAnsiTheme="majorHAnsi" w:cs="Tahoma"/>
          <w:sz w:val="20"/>
          <w:szCs w:val="20"/>
          <w:bdr w:val="none" w:sz="0" w:space="0" w:color="auto"/>
        </w:rPr>
        <w:t>persons</w:t>
      </w:r>
      <w:r w:rsidR="005000F0" w:rsidRPr="00A51861">
        <w:rPr>
          <w:rFonts w:asciiTheme="majorHAnsi" w:eastAsia="Calibri" w:hAnsiTheme="majorHAnsi" w:cs="Tahoma"/>
          <w:sz w:val="20"/>
          <w:szCs w:val="20"/>
          <w:bdr w:val="none" w:sz="0" w:space="0" w:color="auto"/>
        </w:rPr>
        <w:t xml:space="preserve"> </w:t>
      </w:r>
      <w:r w:rsidR="00FE1E27">
        <w:rPr>
          <w:rFonts w:asciiTheme="majorHAnsi" w:eastAsia="Calibri" w:hAnsiTheme="majorHAnsi" w:cs="Tahoma"/>
          <w:sz w:val="20"/>
          <w:szCs w:val="20"/>
          <w:bdr w:val="none" w:sz="0" w:space="0" w:color="auto"/>
        </w:rPr>
        <w:t>as successors</w:t>
      </w:r>
      <w:r w:rsidR="00A6290A" w:rsidRPr="00A51861">
        <w:rPr>
          <w:rFonts w:asciiTheme="majorHAnsi" w:eastAsia="Calibri" w:hAnsiTheme="majorHAnsi" w:cs="Tahoma"/>
          <w:sz w:val="20"/>
          <w:szCs w:val="20"/>
          <w:bdr w:val="none" w:sz="0" w:space="0" w:color="auto"/>
        </w:rPr>
        <w:t>,</w:t>
      </w:r>
      <w:r w:rsidR="009A4F91">
        <w:rPr>
          <w:rFonts w:asciiTheme="majorHAnsi" w:eastAsia="Calibri" w:hAnsiTheme="majorHAnsi" w:cs="Tahoma"/>
          <w:sz w:val="20"/>
          <w:szCs w:val="20"/>
          <w:bdr w:val="none" w:sz="0" w:space="0" w:color="auto"/>
        </w:rPr>
        <w:t xml:space="preserve"> </w:t>
      </w:r>
      <w:r w:rsidR="00FE1E27">
        <w:rPr>
          <w:rFonts w:asciiTheme="majorHAnsi" w:eastAsia="Calibri" w:hAnsiTheme="majorHAnsi" w:cs="Tahoma"/>
          <w:sz w:val="20"/>
          <w:szCs w:val="20"/>
          <w:bdr w:val="none" w:sz="0" w:space="0" w:color="auto"/>
        </w:rPr>
        <w:t>which was granted to them by means of</w:t>
      </w:r>
      <w:r w:rsidR="00A6290A" w:rsidRPr="00A51861">
        <w:rPr>
          <w:rFonts w:asciiTheme="majorHAnsi" w:eastAsia="Calibri" w:hAnsiTheme="majorHAnsi" w:cs="Tahoma"/>
          <w:sz w:val="20"/>
          <w:szCs w:val="20"/>
          <w:bdr w:val="none" w:sz="0" w:space="0" w:color="auto"/>
        </w:rPr>
        <w:t xml:space="preserve"> </w:t>
      </w:r>
      <w:r w:rsidR="0029564F">
        <w:rPr>
          <w:rFonts w:asciiTheme="majorHAnsi" w:eastAsia="Calibri" w:hAnsiTheme="majorHAnsi" w:cs="Tahoma"/>
          <w:sz w:val="20"/>
          <w:szCs w:val="20"/>
          <w:bdr w:val="none" w:sz="0" w:space="0" w:color="auto"/>
        </w:rPr>
        <w:t>Resolution</w:t>
      </w:r>
      <w:r w:rsidR="00A6290A" w:rsidRPr="00A51861">
        <w:rPr>
          <w:rFonts w:asciiTheme="majorHAnsi" w:eastAsia="Calibri" w:hAnsiTheme="majorHAnsi" w:cs="Tahoma"/>
          <w:sz w:val="20"/>
          <w:szCs w:val="20"/>
          <w:bdr w:val="none" w:sz="0" w:space="0" w:color="auto"/>
        </w:rPr>
        <w:t xml:space="preserve"> No. 71/03 </w:t>
      </w:r>
      <w:r w:rsidR="00A51861" w:rsidRPr="00A51861">
        <w:rPr>
          <w:rFonts w:asciiTheme="majorHAnsi" w:eastAsia="Calibri" w:hAnsiTheme="majorHAnsi" w:cs="Tahoma"/>
          <w:sz w:val="20"/>
          <w:szCs w:val="20"/>
          <w:bdr w:val="none" w:sz="0" w:space="0" w:color="auto"/>
        </w:rPr>
        <w:t xml:space="preserve">of the </w:t>
      </w:r>
      <w:r w:rsidR="004078DB">
        <w:rPr>
          <w:rFonts w:asciiTheme="majorHAnsi" w:eastAsia="Calibri" w:hAnsiTheme="majorHAnsi" w:cs="Tahoma"/>
          <w:sz w:val="20"/>
          <w:szCs w:val="20"/>
          <w:bdr w:val="none" w:sz="0" w:space="0" w:color="auto"/>
        </w:rPr>
        <w:t>Ministry of Justice</w:t>
      </w:r>
      <w:r w:rsidR="004B400F">
        <w:rPr>
          <w:rFonts w:asciiTheme="majorHAnsi" w:eastAsia="Calibri" w:hAnsiTheme="majorHAnsi" w:cs="Tahoma"/>
          <w:sz w:val="20"/>
          <w:szCs w:val="20"/>
          <w:bdr w:val="none" w:sz="0" w:space="0" w:color="auto"/>
        </w:rPr>
        <w:t xml:space="preserve"> and Human Rights</w:t>
      </w:r>
      <w:r w:rsidR="0063693D" w:rsidRPr="00A51861">
        <w:rPr>
          <w:rStyle w:val="FootnoteReference"/>
          <w:rFonts w:asciiTheme="majorHAnsi" w:eastAsia="Calibri" w:hAnsiTheme="majorHAnsi" w:cs="Tahoma"/>
          <w:sz w:val="20"/>
          <w:szCs w:val="20"/>
          <w:bdr w:val="none" w:sz="0" w:space="0" w:color="auto"/>
        </w:rPr>
        <w:footnoteReference w:id="206"/>
      </w:r>
      <w:r w:rsidR="00A6290A" w:rsidRPr="00A51861">
        <w:rPr>
          <w:rFonts w:asciiTheme="majorHAnsi" w:eastAsia="Calibri" w:hAnsiTheme="majorHAnsi" w:cs="Tahoma"/>
          <w:sz w:val="20"/>
          <w:szCs w:val="20"/>
          <w:bdr w:val="none" w:sz="0" w:space="0" w:color="auto"/>
        </w:rPr>
        <w:t>.</w:t>
      </w:r>
    </w:p>
    <w:p w14:paraId="64F96F96" w14:textId="77777777" w:rsidR="005F2093" w:rsidRPr="00A51861" w:rsidRDefault="005F2093" w:rsidP="008E4D36">
      <w:pPr>
        <w:pBdr>
          <w:top w:val="none" w:sz="0" w:space="0" w:color="auto"/>
          <w:left w:val="none" w:sz="0" w:space="0" w:color="auto"/>
          <w:bottom w:val="none" w:sz="0" w:space="0" w:color="auto"/>
          <w:right w:val="none" w:sz="0" w:space="0" w:color="auto"/>
          <w:between w:val="none" w:sz="0" w:space="0" w:color="auto"/>
          <w:bar w:val="none" w:sz="0" w:color="auto"/>
        </w:pBdr>
        <w:ind w:right="855"/>
        <w:jc w:val="both"/>
        <w:rPr>
          <w:rFonts w:asciiTheme="majorHAnsi" w:eastAsia="Calibri" w:hAnsiTheme="majorHAnsi" w:cs="Tahoma"/>
          <w:sz w:val="20"/>
          <w:szCs w:val="20"/>
          <w:bdr w:val="none" w:sz="0" w:space="0" w:color="auto"/>
        </w:rPr>
      </w:pPr>
    </w:p>
    <w:p w14:paraId="503AA89B" w14:textId="47F4BD1F" w:rsidR="00AC390C" w:rsidRPr="00A51861" w:rsidRDefault="00FE1E27"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Calibri" w:hAnsiTheme="majorHAnsi" w:cs="Tahoma"/>
          <w:sz w:val="20"/>
          <w:szCs w:val="20"/>
          <w:bdr w:val="none" w:sz="0" w:space="0" w:color="auto"/>
        </w:rPr>
      </w:pPr>
      <w:r>
        <w:rPr>
          <w:rFonts w:asciiTheme="majorHAnsi" w:eastAsia="Calibri" w:hAnsiTheme="majorHAnsi" w:cs="Tahoma"/>
          <w:sz w:val="20"/>
          <w:szCs w:val="20"/>
          <w:bdr w:val="none" w:sz="0" w:space="0" w:color="auto"/>
        </w:rPr>
        <w:t>Therefore</w:t>
      </w:r>
      <w:r w:rsidR="00A26557" w:rsidRPr="00A51861">
        <w:rPr>
          <w:rFonts w:asciiTheme="majorHAnsi" w:eastAsia="Calibri" w:hAnsiTheme="majorHAnsi" w:cs="Tahoma"/>
          <w:sz w:val="20"/>
          <w:szCs w:val="20"/>
          <w:bdr w:val="none" w:sz="0" w:space="0" w:color="auto"/>
        </w:rPr>
        <w:t xml:space="preserve">, </w:t>
      </w:r>
      <w:r>
        <w:rPr>
          <w:rFonts w:asciiTheme="majorHAnsi" w:eastAsia="Calibri" w:hAnsiTheme="majorHAnsi" w:cs="Tahoma"/>
          <w:sz w:val="20"/>
          <w:szCs w:val="20"/>
          <w:bdr w:val="none" w:sz="0" w:space="0" w:color="auto"/>
        </w:rPr>
        <w:t>the above suffices for</w:t>
      </w:r>
      <w:r w:rsidR="00A26557" w:rsidRPr="00A51861">
        <w:rPr>
          <w:rFonts w:asciiTheme="majorHAnsi" w:eastAsia="Calibri" w:hAnsiTheme="majorHAnsi" w:cs="Tahoma"/>
          <w:sz w:val="20"/>
          <w:szCs w:val="20"/>
          <w:bdr w:val="none" w:sz="0" w:space="0" w:color="auto"/>
        </w:rPr>
        <w:t xml:space="preserve"> </w:t>
      </w:r>
      <w:r w:rsidR="00E92985">
        <w:rPr>
          <w:rFonts w:asciiTheme="majorHAnsi" w:eastAsia="Calibri" w:hAnsiTheme="majorHAnsi" w:cs="Tahoma"/>
          <w:sz w:val="20"/>
          <w:szCs w:val="20"/>
          <w:bdr w:val="none" w:sz="0" w:space="0" w:color="auto"/>
        </w:rPr>
        <w:t>the Commission</w:t>
      </w:r>
      <w:r w:rsidR="00A26557" w:rsidRPr="00A51861">
        <w:rPr>
          <w:rFonts w:asciiTheme="majorHAnsi" w:eastAsia="Calibri" w:hAnsiTheme="majorHAnsi" w:cs="Tahoma"/>
          <w:sz w:val="20"/>
          <w:szCs w:val="20"/>
          <w:bdr w:val="none" w:sz="0" w:space="0" w:color="auto"/>
        </w:rPr>
        <w:t xml:space="preserve"> </w:t>
      </w:r>
      <w:r>
        <w:rPr>
          <w:rFonts w:asciiTheme="majorHAnsi" w:eastAsia="Calibri" w:hAnsiTheme="majorHAnsi" w:cs="Tahoma"/>
          <w:sz w:val="20"/>
          <w:szCs w:val="20"/>
          <w:bdr w:val="none" w:sz="0" w:space="0" w:color="auto"/>
        </w:rPr>
        <w:t xml:space="preserve">to </w:t>
      </w:r>
      <w:r w:rsidR="00A26557" w:rsidRPr="00A51861">
        <w:rPr>
          <w:rFonts w:asciiTheme="majorHAnsi" w:eastAsia="Calibri" w:hAnsiTheme="majorHAnsi" w:cs="Tahoma"/>
          <w:sz w:val="20"/>
          <w:szCs w:val="20"/>
          <w:bdr w:val="none" w:sz="0" w:space="0" w:color="auto"/>
        </w:rPr>
        <w:t>establ</w:t>
      </w:r>
      <w:r>
        <w:rPr>
          <w:rFonts w:asciiTheme="majorHAnsi" w:eastAsia="Calibri" w:hAnsiTheme="majorHAnsi" w:cs="Tahoma"/>
          <w:sz w:val="20"/>
          <w:szCs w:val="20"/>
          <w:bdr w:val="none" w:sz="0" w:space="0" w:color="auto"/>
        </w:rPr>
        <w:t>ish</w:t>
      </w:r>
      <w:r w:rsidR="00A26557" w:rsidRPr="00A51861">
        <w:rPr>
          <w:rFonts w:asciiTheme="majorHAnsi" w:eastAsia="Calibri" w:hAnsiTheme="majorHAnsi" w:cs="Tahoma"/>
          <w:sz w:val="20"/>
          <w:szCs w:val="20"/>
          <w:bdr w:val="none" w:sz="0" w:space="0" w:color="auto"/>
        </w:rPr>
        <w:t xml:space="preserve"> </w:t>
      </w:r>
      <w:r>
        <w:rPr>
          <w:rFonts w:asciiTheme="majorHAnsi" w:eastAsia="Calibri" w:hAnsiTheme="majorHAnsi" w:cs="Tahoma"/>
          <w:sz w:val="20"/>
          <w:szCs w:val="20"/>
          <w:bdr w:val="none" w:sz="0" w:space="0" w:color="auto"/>
        </w:rPr>
        <w:t>that the</w:t>
      </w:r>
      <w:r w:rsidR="00A26557" w:rsidRPr="00A51861">
        <w:rPr>
          <w:rFonts w:asciiTheme="majorHAnsi" w:eastAsia="Calibri" w:hAnsiTheme="majorHAnsi" w:cs="Tahoma"/>
          <w:sz w:val="20"/>
          <w:szCs w:val="20"/>
          <w:bdr w:val="none" w:sz="0" w:space="0" w:color="auto"/>
        </w:rPr>
        <w:t xml:space="preserve"> acts </w:t>
      </w:r>
      <w:r>
        <w:rPr>
          <w:rFonts w:asciiTheme="majorHAnsi" w:eastAsia="Calibri" w:hAnsiTheme="majorHAnsi" w:cs="Tahoma"/>
          <w:sz w:val="20"/>
          <w:szCs w:val="20"/>
          <w:bdr w:val="none" w:sz="0" w:space="0" w:color="auto"/>
        </w:rPr>
        <w:t>claimed by</w:t>
      </w:r>
      <w:r w:rsidR="00A26557" w:rsidRPr="00A51861">
        <w:rPr>
          <w:rFonts w:asciiTheme="majorHAnsi" w:eastAsia="Calibri" w:hAnsiTheme="majorHAnsi" w:cs="Tahoma"/>
          <w:sz w:val="20"/>
          <w:szCs w:val="20"/>
          <w:bdr w:val="none" w:sz="0" w:space="0" w:color="auto"/>
        </w:rPr>
        <w:t xml:space="preserve"> </w:t>
      </w:r>
      <w:r w:rsidR="00E92985">
        <w:rPr>
          <w:rFonts w:asciiTheme="majorHAnsi" w:eastAsia="Calibri" w:hAnsiTheme="majorHAnsi" w:cs="Tahoma"/>
          <w:sz w:val="20"/>
          <w:szCs w:val="20"/>
          <w:bdr w:val="none" w:sz="0" w:space="0" w:color="auto"/>
        </w:rPr>
        <w:t>the petitioner</w:t>
      </w:r>
      <w:r w:rsidR="00A26557" w:rsidRPr="00A51861">
        <w:rPr>
          <w:rFonts w:asciiTheme="majorHAnsi" w:eastAsia="Calibri" w:hAnsiTheme="majorHAnsi" w:cs="Tahoma"/>
          <w:sz w:val="20"/>
          <w:szCs w:val="20"/>
          <w:bdr w:val="none" w:sz="0" w:space="0" w:color="auto"/>
        </w:rPr>
        <w:t xml:space="preserve"> </w:t>
      </w:r>
      <w:r>
        <w:rPr>
          <w:rFonts w:ascii="Cambria" w:hAnsi="Cambria"/>
          <w:color w:val="000000" w:themeColor="text1"/>
          <w:sz w:val="20"/>
          <w:szCs w:val="20"/>
        </w:rPr>
        <w:t>occurred</w:t>
      </w:r>
      <w:r w:rsidR="005F2093" w:rsidRPr="00A51861">
        <w:rPr>
          <w:rFonts w:asciiTheme="majorHAnsi" w:eastAsia="Calibri" w:hAnsiTheme="majorHAnsi" w:cs="Tahoma"/>
          <w:sz w:val="20"/>
          <w:szCs w:val="20"/>
          <w:bdr w:val="none" w:sz="0" w:space="0" w:color="auto"/>
        </w:rPr>
        <w:t xml:space="preserve">, </w:t>
      </w:r>
      <w:r>
        <w:rPr>
          <w:rFonts w:asciiTheme="majorHAnsi" w:eastAsia="Calibri" w:hAnsiTheme="majorHAnsi" w:cs="Tahoma"/>
          <w:sz w:val="20"/>
          <w:szCs w:val="20"/>
          <w:bdr w:val="none" w:sz="0" w:space="0" w:color="auto"/>
        </w:rPr>
        <w:t>at that level of severity</w:t>
      </w:r>
      <w:r w:rsidR="005F2093" w:rsidRPr="00A51861">
        <w:rPr>
          <w:rFonts w:asciiTheme="majorHAnsi" w:eastAsia="Calibri" w:hAnsiTheme="majorHAnsi" w:cs="Tahoma"/>
          <w:sz w:val="20"/>
          <w:szCs w:val="20"/>
          <w:bdr w:val="none" w:sz="0" w:space="0" w:color="auto"/>
        </w:rPr>
        <w:t>,</w:t>
      </w:r>
      <w:r w:rsidR="00E92985">
        <w:rPr>
          <w:rFonts w:asciiTheme="majorHAnsi" w:eastAsia="Calibri" w:hAnsiTheme="majorHAnsi" w:cs="Tahoma"/>
          <w:sz w:val="20"/>
          <w:szCs w:val="20"/>
          <w:bdr w:val="none" w:sz="0" w:space="0" w:color="auto"/>
        </w:rPr>
        <w:t xml:space="preserve"> and </w:t>
      </w:r>
      <w:r>
        <w:rPr>
          <w:rFonts w:asciiTheme="majorHAnsi" w:eastAsia="Calibri" w:hAnsiTheme="majorHAnsi" w:cs="Tahoma"/>
          <w:sz w:val="20"/>
          <w:szCs w:val="20"/>
          <w:bdr w:val="none" w:sz="0" w:space="0" w:color="auto"/>
        </w:rPr>
        <w:t>that they happened under the custody of</w:t>
      </w:r>
      <w:r w:rsidR="00E92985">
        <w:rPr>
          <w:rFonts w:asciiTheme="majorHAnsi" w:eastAsia="Calibri" w:hAnsiTheme="majorHAnsi" w:cs="Tahoma"/>
          <w:sz w:val="20"/>
          <w:szCs w:val="20"/>
          <w:bdr w:val="none" w:sz="0" w:space="0" w:color="auto"/>
        </w:rPr>
        <w:t xml:space="preserve"> </w:t>
      </w:r>
      <w:r w:rsidR="00A26557" w:rsidRPr="00A51861">
        <w:rPr>
          <w:rFonts w:asciiTheme="majorHAnsi" w:eastAsia="Calibri" w:hAnsiTheme="majorHAnsi" w:cs="Tahoma"/>
          <w:sz w:val="20"/>
          <w:szCs w:val="20"/>
          <w:bdr w:val="none" w:sz="0" w:space="0" w:color="auto"/>
        </w:rPr>
        <w:t xml:space="preserve">Argentina. </w:t>
      </w:r>
      <w:r w:rsidR="004C5A00">
        <w:rPr>
          <w:rFonts w:asciiTheme="majorHAnsi" w:eastAsia="Calibri" w:hAnsiTheme="majorHAnsi" w:cs="Tahoma"/>
          <w:sz w:val="20"/>
          <w:szCs w:val="20"/>
          <w:bdr w:val="none" w:sz="0" w:space="0" w:color="auto"/>
        </w:rPr>
        <w:t xml:space="preserve">Nonetheless, </w:t>
      </w:r>
      <w:r w:rsidR="00E92985">
        <w:rPr>
          <w:rFonts w:asciiTheme="majorHAnsi" w:eastAsia="Calibri" w:hAnsiTheme="majorHAnsi" w:cs="Tahoma"/>
          <w:sz w:val="20"/>
          <w:szCs w:val="20"/>
          <w:bdr w:val="none" w:sz="0" w:space="0" w:color="auto"/>
        </w:rPr>
        <w:t xml:space="preserve">the </w:t>
      </w:r>
      <w:r w:rsidR="00E92985">
        <w:rPr>
          <w:rFonts w:asciiTheme="majorHAnsi" w:eastAsia="Calibri" w:hAnsiTheme="majorHAnsi" w:cs="Tahoma"/>
          <w:sz w:val="20"/>
          <w:szCs w:val="20"/>
          <w:bdr w:val="none" w:sz="0" w:space="0" w:color="auto"/>
        </w:rPr>
        <w:lastRenderedPageBreak/>
        <w:t>Commission</w:t>
      </w:r>
      <w:r w:rsidR="00A26557" w:rsidRPr="00A51861">
        <w:rPr>
          <w:rFonts w:asciiTheme="majorHAnsi" w:eastAsia="Calibri" w:hAnsiTheme="majorHAnsi" w:cs="Tahoma"/>
          <w:sz w:val="20"/>
          <w:szCs w:val="20"/>
          <w:bdr w:val="none" w:sz="0" w:space="0" w:color="auto"/>
        </w:rPr>
        <w:t xml:space="preserve"> </w:t>
      </w:r>
      <w:r>
        <w:rPr>
          <w:rFonts w:asciiTheme="majorHAnsi" w:eastAsia="Calibri" w:hAnsiTheme="majorHAnsi" w:cs="Tahoma"/>
          <w:sz w:val="20"/>
          <w:szCs w:val="20"/>
          <w:bdr w:val="none" w:sz="0" w:space="0" w:color="auto"/>
        </w:rPr>
        <w:t>shall assess</w:t>
      </w:r>
      <w:r w:rsidR="00A26557" w:rsidRPr="00A51861">
        <w:rPr>
          <w:rFonts w:asciiTheme="majorHAnsi" w:eastAsia="Calibri" w:hAnsiTheme="majorHAnsi" w:cs="Tahoma"/>
          <w:sz w:val="20"/>
          <w:szCs w:val="20"/>
          <w:bdr w:val="none" w:sz="0" w:space="0" w:color="auto"/>
        </w:rPr>
        <w:t xml:space="preserve"> </w:t>
      </w:r>
      <w:r w:rsidRPr="00A51861">
        <w:rPr>
          <w:rFonts w:asciiTheme="majorHAnsi" w:eastAsia="Calibri" w:hAnsiTheme="majorHAnsi" w:cs="Tahoma"/>
          <w:sz w:val="20"/>
          <w:szCs w:val="20"/>
          <w:bdr w:val="none" w:sz="0" w:space="0" w:color="auto"/>
        </w:rPr>
        <w:t>additional</w:t>
      </w:r>
      <w:r>
        <w:rPr>
          <w:rFonts w:asciiTheme="majorHAnsi" w:eastAsia="Calibri" w:hAnsiTheme="majorHAnsi" w:cs="Tahoma"/>
          <w:sz w:val="20"/>
          <w:szCs w:val="20"/>
          <w:bdr w:val="none" w:sz="0" w:space="0" w:color="auto"/>
        </w:rPr>
        <w:t xml:space="preserve"> </w:t>
      </w:r>
      <w:r w:rsidR="006A513B">
        <w:rPr>
          <w:rFonts w:asciiTheme="majorHAnsi" w:eastAsia="Calibri" w:hAnsiTheme="majorHAnsi" w:cs="Tahoma"/>
          <w:sz w:val="20"/>
          <w:szCs w:val="20"/>
          <w:bdr w:val="none" w:sz="0" w:space="0" w:color="auto"/>
        </w:rPr>
        <w:t>elements</w:t>
      </w:r>
      <w:r w:rsidR="00A26557" w:rsidRPr="00A51861">
        <w:rPr>
          <w:rFonts w:asciiTheme="majorHAnsi" w:eastAsia="Calibri" w:hAnsiTheme="majorHAnsi" w:cs="Tahoma"/>
          <w:sz w:val="20"/>
          <w:szCs w:val="20"/>
          <w:bdr w:val="none" w:sz="0" w:space="0" w:color="auto"/>
        </w:rPr>
        <w:t xml:space="preserve"> </w:t>
      </w:r>
      <w:r w:rsidR="00E92985">
        <w:rPr>
          <w:rFonts w:asciiTheme="majorHAnsi" w:eastAsia="Calibri" w:hAnsiTheme="majorHAnsi" w:cs="Tahoma"/>
          <w:sz w:val="20"/>
          <w:szCs w:val="20"/>
          <w:bdr w:val="none" w:sz="0" w:space="0" w:color="auto"/>
        </w:rPr>
        <w:t xml:space="preserve">of </w:t>
      </w:r>
      <w:r w:rsidR="00E64C43">
        <w:rPr>
          <w:rFonts w:asciiTheme="majorHAnsi" w:eastAsia="Calibri" w:hAnsiTheme="majorHAnsi" w:cs="Tahoma"/>
          <w:sz w:val="20"/>
          <w:szCs w:val="20"/>
          <w:bdr w:val="none" w:sz="0" w:space="0" w:color="auto"/>
        </w:rPr>
        <w:t>this case</w:t>
      </w:r>
      <w:r w:rsidR="00A26557" w:rsidRPr="00A51861">
        <w:rPr>
          <w:rFonts w:asciiTheme="majorHAnsi" w:eastAsia="Calibri" w:hAnsiTheme="majorHAnsi" w:cs="Tahoma"/>
          <w:sz w:val="20"/>
          <w:szCs w:val="20"/>
          <w:bdr w:val="none" w:sz="0" w:space="0" w:color="auto"/>
        </w:rPr>
        <w:t xml:space="preserve"> </w:t>
      </w:r>
      <w:r>
        <w:rPr>
          <w:rFonts w:asciiTheme="majorHAnsi" w:eastAsia="Calibri" w:hAnsiTheme="majorHAnsi" w:cs="Tahoma"/>
          <w:sz w:val="20"/>
          <w:szCs w:val="20"/>
          <w:bdr w:val="none" w:sz="0" w:space="0" w:color="auto"/>
        </w:rPr>
        <w:t>which prove</w:t>
      </w:r>
      <w:r w:rsidR="009A4F91">
        <w:rPr>
          <w:rFonts w:asciiTheme="majorHAnsi" w:eastAsia="Calibri" w:hAnsiTheme="majorHAnsi" w:cs="Tahoma"/>
          <w:sz w:val="20"/>
          <w:szCs w:val="20"/>
          <w:bdr w:val="none" w:sz="0" w:space="0" w:color="auto"/>
        </w:rPr>
        <w:t xml:space="preserve"> the </w:t>
      </w:r>
      <w:r w:rsidR="00E92985">
        <w:rPr>
          <w:rFonts w:asciiTheme="majorHAnsi" w:eastAsia="Calibri" w:hAnsiTheme="majorHAnsi" w:cs="Tahoma"/>
          <w:sz w:val="20"/>
          <w:szCs w:val="20"/>
          <w:bdr w:val="none" w:sz="0" w:space="0" w:color="auto"/>
        </w:rPr>
        <w:t>responsibility</w:t>
      </w:r>
      <w:r w:rsidR="00C85ABB" w:rsidRPr="00A51861">
        <w:rPr>
          <w:rFonts w:asciiTheme="majorHAnsi" w:eastAsia="Calibri" w:hAnsiTheme="majorHAnsi" w:cs="Tahoma"/>
          <w:sz w:val="20"/>
          <w:szCs w:val="20"/>
          <w:bdr w:val="none" w:sz="0" w:space="0" w:color="auto"/>
        </w:rPr>
        <w:t xml:space="preserve"> </w:t>
      </w:r>
      <w:r w:rsidR="00F92BA8">
        <w:rPr>
          <w:rFonts w:asciiTheme="majorHAnsi" w:eastAsia="Calibri" w:hAnsiTheme="majorHAnsi" w:cs="Tahoma"/>
          <w:sz w:val="20"/>
          <w:szCs w:val="20"/>
          <w:bdr w:val="none" w:sz="0" w:space="0" w:color="auto"/>
        </w:rPr>
        <w:t>of the State</w:t>
      </w:r>
      <w:r w:rsidR="00C85ABB" w:rsidRPr="00A51861">
        <w:rPr>
          <w:rFonts w:asciiTheme="majorHAnsi" w:eastAsia="Calibri" w:hAnsiTheme="majorHAnsi" w:cs="Tahoma"/>
          <w:sz w:val="20"/>
          <w:szCs w:val="20"/>
          <w:bdr w:val="none" w:sz="0" w:space="0" w:color="auto"/>
        </w:rPr>
        <w:t xml:space="preserve"> </w:t>
      </w:r>
      <w:r>
        <w:rPr>
          <w:rFonts w:asciiTheme="majorHAnsi" w:eastAsia="Calibri" w:hAnsiTheme="majorHAnsi" w:cs="Tahoma"/>
          <w:sz w:val="20"/>
          <w:szCs w:val="20"/>
          <w:bdr w:val="none" w:sz="0" w:space="0" w:color="auto"/>
        </w:rPr>
        <w:t>for</w:t>
      </w:r>
      <w:r w:rsidR="00C85ABB" w:rsidRPr="00A51861">
        <w:rPr>
          <w:rFonts w:asciiTheme="majorHAnsi" w:eastAsia="Calibri" w:hAnsiTheme="majorHAnsi" w:cs="Tahoma"/>
          <w:sz w:val="20"/>
          <w:szCs w:val="20"/>
          <w:bdr w:val="none" w:sz="0" w:space="0" w:color="auto"/>
        </w:rPr>
        <w:t xml:space="preserve"> </w:t>
      </w:r>
      <w:r w:rsidR="004E1083">
        <w:rPr>
          <w:rFonts w:asciiTheme="majorHAnsi" w:eastAsia="Calibri" w:hAnsiTheme="majorHAnsi" w:cs="Tahoma"/>
          <w:sz w:val="20"/>
          <w:szCs w:val="20"/>
          <w:bdr w:val="none" w:sz="0" w:space="0" w:color="auto"/>
        </w:rPr>
        <w:t>violations</w:t>
      </w:r>
      <w:r w:rsidR="00C85ABB" w:rsidRPr="00A51861">
        <w:rPr>
          <w:rFonts w:asciiTheme="majorHAnsi" w:eastAsia="Calibri" w:hAnsiTheme="majorHAnsi" w:cs="Tahoma"/>
          <w:sz w:val="20"/>
          <w:szCs w:val="20"/>
          <w:bdr w:val="none" w:sz="0" w:space="0" w:color="auto"/>
        </w:rPr>
        <w:t xml:space="preserve"> </w:t>
      </w:r>
      <w:r>
        <w:rPr>
          <w:rFonts w:asciiTheme="majorHAnsi" w:eastAsia="Calibri" w:hAnsiTheme="majorHAnsi" w:cs="Tahoma"/>
          <w:sz w:val="20"/>
          <w:szCs w:val="20"/>
          <w:bdr w:val="none" w:sz="0" w:space="0" w:color="auto"/>
        </w:rPr>
        <w:t>of the right to</w:t>
      </w:r>
      <w:r w:rsidR="009A4F91">
        <w:rPr>
          <w:rFonts w:asciiTheme="majorHAnsi" w:eastAsia="Calibri" w:hAnsiTheme="majorHAnsi" w:cs="Tahoma"/>
          <w:sz w:val="20"/>
          <w:szCs w:val="20"/>
          <w:bdr w:val="none" w:sz="0" w:space="0" w:color="auto"/>
        </w:rPr>
        <w:t xml:space="preserve"> </w:t>
      </w:r>
      <w:r w:rsidR="00EF4ED2">
        <w:rPr>
          <w:rFonts w:asciiTheme="majorHAnsi" w:eastAsia="Calibri" w:hAnsiTheme="majorHAnsi" w:cs="Tahoma"/>
          <w:sz w:val="20"/>
          <w:szCs w:val="20"/>
          <w:bdr w:val="none" w:sz="0" w:space="0" w:color="auto"/>
        </w:rPr>
        <w:t>protection</w:t>
      </w:r>
      <w:r w:rsidR="00CB0928">
        <w:rPr>
          <w:rFonts w:asciiTheme="majorHAnsi" w:eastAsia="Calibri" w:hAnsiTheme="majorHAnsi" w:cs="Tahoma"/>
          <w:sz w:val="20"/>
          <w:szCs w:val="20"/>
          <w:bdr w:val="none" w:sz="0" w:space="0" w:color="auto"/>
        </w:rPr>
        <w:t xml:space="preserve"> against </w:t>
      </w:r>
      <w:r>
        <w:rPr>
          <w:rFonts w:asciiTheme="majorHAnsi" w:eastAsia="Calibri" w:hAnsiTheme="majorHAnsi" w:cs="Tahoma"/>
          <w:sz w:val="20"/>
          <w:szCs w:val="20"/>
          <w:bdr w:val="none" w:sz="0" w:space="0" w:color="auto"/>
        </w:rPr>
        <w:t xml:space="preserve">arbitrary detentions </w:t>
      </w:r>
      <w:r w:rsidR="00E92985">
        <w:rPr>
          <w:rFonts w:asciiTheme="majorHAnsi" w:eastAsia="Calibri" w:hAnsiTheme="majorHAnsi" w:cs="Tahoma"/>
          <w:sz w:val="20"/>
          <w:szCs w:val="20"/>
          <w:bdr w:val="none" w:sz="0" w:space="0" w:color="auto"/>
        </w:rPr>
        <w:t xml:space="preserve">and </w:t>
      </w:r>
      <w:r>
        <w:rPr>
          <w:rFonts w:asciiTheme="majorHAnsi" w:eastAsia="Calibri" w:hAnsiTheme="majorHAnsi" w:cs="Tahoma"/>
          <w:sz w:val="20"/>
          <w:szCs w:val="20"/>
          <w:bdr w:val="none" w:sz="0" w:space="0" w:color="auto"/>
        </w:rPr>
        <w:t>the right to humane treatment</w:t>
      </w:r>
      <w:r w:rsidR="00A26557" w:rsidRPr="00A51861">
        <w:rPr>
          <w:rFonts w:asciiTheme="majorHAnsi" w:eastAsia="Calibri" w:hAnsiTheme="majorHAnsi" w:cs="Tahoma"/>
          <w:sz w:val="20"/>
          <w:szCs w:val="20"/>
          <w:bdr w:val="none" w:sz="0" w:space="0" w:color="auto"/>
        </w:rPr>
        <w:t>.</w:t>
      </w:r>
    </w:p>
    <w:p w14:paraId="75631759" w14:textId="77777777" w:rsidR="00A26557" w:rsidRPr="00A51861" w:rsidRDefault="00A26557" w:rsidP="008E4D36">
      <w:pPr>
        <w:pBdr>
          <w:top w:val="none" w:sz="0" w:space="0" w:color="auto"/>
          <w:left w:val="none" w:sz="0" w:space="0" w:color="auto"/>
          <w:bottom w:val="none" w:sz="0" w:space="0" w:color="auto"/>
          <w:right w:val="none" w:sz="0" w:space="0" w:color="auto"/>
          <w:between w:val="none" w:sz="0" w:space="0" w:color="auto"/>
          <w:bar w:val="none" w:sz="0" w:color="auto"/>
        </w:pBdr>
        <w:ind w:right="855"/>
        <w:jc w:val="both"/>
        <w:rPr>
          <w:rFonts w:asciiTheme="majorHAnsi" w:eastAsia="Calibri" w:hAnsiTheme="majorHAnsi" w:cs="Tahoma"/>
          <w:sz w:val="20"/>
          <w:szCs w:val="20"/>
          <w:bdr w:val="none" w:sz="0" w:space="0" w:color="auto"/>
        </w:rPr>
      </w:pPr>
    </w:p>
    <w:p w14:paraId="7583B7C0" w14:textId="6A12E7CB" w:rsidR="00F4726D" w:rsidRPr="00A51861" w:rsidRDefault="00A65E37"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I</w:t>
      </w:r>
      <w:r w:rsidR="000C001B" w:rsidRPr="00A51861">
        <w:rPr>
          <w:rFonts w:asciiTheme="majorHAnsi" w:hAnsiTheme="majorHAnsi"/>
          <w:sz w:val="20"/>
          <w:szCs w:val="20"/>
        </w:rPr>
        <w:t>n concret</w:t>
      </w:r>
      <w:r>
        <w:rPr>
          <w:rFonts w:asciiTheme="majorHAnsi" w:hAnsiTheme="majorHAnsi"/>
          <w:sz w:val="20"/>
          <w:szCs w:val="20"/>
        </w:rPr>
        <w:t>e terms</w:t>
      </w:r>
      <w:r w:rsidR="000C001B" w:rsidRPr="00A51861">
        <w:rPr>
          <w:rFonts w:asciiTheme="majorHAnsi" w:hAnsiTheme="majorHAnsi"/>
          <w:sz w:val="20"/>
          <w:szCs w:val="20"/>
        </w:rPr>
        <w:t xml:space="preserve">, </w:t>
      </w:r>
      <w:r w:rsidR="00E92985">
        <w:rPr>
          <w:rFonts w:asciiTheme="majorHAnsi" w:hAnsiTheme="majorHAnsi"/>
          <w:sz w:val="20"/>
          <w:szCs w:val="20"/>
        </w:rPr>
        <w:t>the petitioner</w:t>
      </w:r>
      <w:r w:rsidR="000C001B" w:rsidRPr="00A51861">
        <w:rPr>
          <w:rFonts w:asciiTheme="majorHAnsi" w:hAnsiTheme="majorHAnsi"/>
          <w:sz w:val="20"/>
          <w:szCs w:val="20"/>
        </w:rPr>
        <w:t xml:space="preserve"> </w:t>
      </w:r>
      <w:r>
        <w:rPr>
          <w:rFonts w:asciiTheme="majorHAnsi" w:hAnsiTheme="majorHAnsi"/>
          <w:sz w:val="20"/>
          <w:szCs w:val="20"/>
        </w:rPr>
        <w:t xml:space="preserve">claimed </w:t>
      </w:r>
      <w:r w:rsidR="00A40660">
        <w:rPr>
          <w:rFonts w:asciiTheme="majorHAnsi" w:hAnsiTheme="majorHAnsi"/>
          <w:sz w:val="20"/>
          <w:szCs w:val="20"/>
        </w:rPr>
        <w:t xml:space="preserve">that Mr. </w:t>
      </w:r>
      <w:r w:rsidR="000C001B" w:rsidRPr="00A51861">
        <w:rPr>
          <w:rFonts w:asciiTheme="majorHAnsi" w:hAnsiTheme="majorHAnsi"/>
          <w:sz w:val="20"/>
          <w:szCs w:val="20"/>
        </w:rPr>
        <w:t xml:space="preserve">Romero Ubal </w:t>
      </w:r>
      <w:r>
        <w:rPr>
          <w:rFonts w:asciiTheme="majorHAnsi" w:hAnsiTheme="majorHAnsi"/>
          <w:sz w:val="20"/>
          <w:szCs w:val="20"/>
        </w:rPr>
        <w:t>was</w:t>
      </w:r>
      <w:r w:rsidR="000C001B" w:rsidRPr="00A51861">
        <w:rPr>
          <w:rFonts w:asciiTheme="majorHAnsi" w:hAnsiTheme="majorHAnsi"/>
          <w:sz w:val="20"/>
          <w:szCs w:val="20"/>
        </w:rPr>
        <w:t xml:space="preserve"> </w:t>
      </w:r>
      <w:r w:rsidR="00CB67C7">
        <w:rPr>
          <w:rFonts w:asciiTheme="majorHAnsi" w:hAnsiTheme="majorHAnsi"/>
          <w:sz w:val="20"/>
          <w:szCs w:val="20"/>
        </w:rPr>
        <w:t>detained</w:t>
      </w:r>
      <w:r w:rsidR="000C001B" w:rsidRPr="00A51861">
        <w:rPr>
          <w:rFonts w:asciiTheme="majorHAnsi" w:hAnsiTheme="majorHAnsi"/>
          <w:sz w:val="20"/>
          <w:szCs w:val="20"/>
        </w:rPr>
        <w:t xml:space="preserve"> </w:t>
      </w:r>
      <w:r>
        <w:rPr>
          <w:rFonts w:asciiTheme="majorHAnsi" w:hAnsiTheme="majorHAnsi"/>
          <w:sz w:val="20"/>
          <w:szCs w:val="20"/>
        </w:rPr>
        <w:t>by State agents with no arrest warrant</w:t>
      </w:r>
      <w:r w:rsidR="000C001B" w:rsidRPr="00A51861">
        <w:rPr>
          <w:rFonts w:asciiTheme="majorHAnsi" w:hAnsiTheme="majorHAnsi"/>
          <w:sz w:val="20"/>
          <w:szCs w:val="20"/>
        </w:rPr>
        <w:t>,</w:t>
      </w:r>
      <w:r w:rsidR="00E92985">
        <w:rPr>
          <w:rFonts w:asciiTheme="majorHAnsi" w:hAnsiTheme="majorHAnsi"/>
          <w:sz w:val="20"/>
          <w:szCs w:val="20"/>
        </w:rPr>
        <w:t xml:space="preserve"> and </w:t>
      </w:r>
      <w:r>
        <w:rPr>
          <w:rFonts w:asciiTheme="majorHAnsi" w:hAnsiTheme="majorHAnsi"/>
          <w:sz w:val="20"/>
          <w:szCs w:val="20"/>
        </w:rPr>
        <w:t>without meeting the standards previously referred on this report so as to</w:t>
      </w:r>
      <w:r w:rsidR="000C001B" w:rsidRPr="00A51861">
        <w:rPr>
          <w:rFonts w:asciiTheme="majorHAnsi" w:hAnsiTheme="majorHAnsi"/>
          <w:sz w:val="20"/>
          <w:szCs w:val="20"/>
        </w:rPr>
        <w:t xml:space="preserve"> </w:t>
      </w:r>
      <w:r w:rsidR="009A4F91">
        <w:rPr>
          <w:rFonts w:asciiTheme="majorHAnsi" w:hAnsiTheme="majorHAnsi"/>
          <w:sz w:val="20"/>
          <w:szCs w:val="20"/>
        </w:rPr>
        <w:t>ensure</w:t>
      </w:r>
      <w:r w:rsidR="000C001B" w:rsidRPr="00A51861">
        <w:rPr>
          <w:rFonts w:asciiTheme="majorHAnsi" w:hAnsiTheme="majorHAnsi"/>
          <w:sz w:val="20"/>
          <w:szCs w:val="20"/>
        </w:rPr>
        <w:t xml:space="preserve"> </w:t>
      </w:r>
      <w:r>
        <w:rPr>
          <w:rFonts w:asciiTheme="majorHAnsi" w:hAnsiTheme="majorHAnsi"/>
          <w:sz w:val="20"/>
          <w:szCs w:val="20"/>
        </w:rPr>
        <w:t>the right to</w:t>
      </w:r>
      <w:r w:rsidR="009A4F91">
        <w:rPr>
          <w:rFonts w:asciiTheme="majorHAnsi" w:hAnsiTheme="majorHAnsi"/>
          <w:sz w:val="20"/>
          <w:szCs w:val="20"/>
        </w:rPr>
        <w:t xml:space="preserve"> the </w:t>
      </w:r>
      <w:r w:rsidR="00EF4ED2">
        <w:rPr>
          <w:rFonts w:asciiTheme="majorHAnsi" w:hAnsiTheme="majorHAnsi"/>
          <w:sz w:val="20"/>
          <w:szCs w:val="20"/>
        </w:rPr>
        <w:t>protection</w:t>
      </w:r>
      <w:r w:rsidR="00CB0928">
        <w:rPr>
          <w:rFonts w:asciiTheme="majorHAnsi" w:hAnsiTheme="majorHAnsi"/>
          <w:sz w:val="20"/>
          <w:szCs w:val="20"/>
        </w:rPr>
        <w:t xml:space="preserve"> against</w:t>
      </w:r>
      <w:r w:rsidR="009A4F91">
        <w:rPr>
          <w:rFonts w:asciiTheme="majorHAnsi" w:hAnsiTheme="majorHAnsi"/>
          <w:sz w:val="20"/>
          <w:szCs w:val="20"/>
        </w:rPr>
        <w:t xml:space="preserve"> the </w:t>
      </w:r>
      <w:r w:rsidR="006E255A">
        <w:rPr>
          <w:rFonts w:asciiTheme="majorHAnsi" w:hAnsiTheme="majorHAnsi"/>
          <w:sz w:val="20"/>
          <w:szCs w:val="20"/>
        </w:rPr>
        <w:t>detention</w:t>
      </w:r>
      <w:r w:rsidR="000C001B" w:rsidRPr="00A51861">
        <w:rPr>
          <w:rFonts w:asciiTheme="majorHAnsi" w:hAnsiTheme="majorHAnsi"/>
          <w:sz w:val="20"/>
          <w:szCs w:val="20"/>
        </w:rPr>
        <w:t xml:space="preserve"> </w:t>
      </w:r>
      <w:r w:rsidR="00FA2E7B">
        <w:rPr>
          <w:rFonts w:asciiTheme="majorHAnsi" w:hAnsiTheme="majorHAnsi"/>
          <w:sz w:val="20"/>
          <w:szCs w:val="20"/>
        </w:rPr>
        <w:t>arbitrary</w:t>
      </w:r>
      <w:r w:rsidR="000C001B" w:rsidRPr="00A51861">
        <w:rPr>
          <w:rFonts w:asciiTheme="majorHAnsi" w:hAnsiTheme="majorHAnsi"/>
          <w:sz w:val="20"/>
          <w:szCs w:val="20"/>
        </w:rPr>
        <w:t>.</w:t>
      </w:r>
      <w:r w:rsidR="0022061B" w:rsidRPr="00A51861">
        <w:rPr>
          <w:rFonts w:asciiTheme="majorHAnsi" w:hAnsiTheme="majorHAnsi"/>
          <w:sz w:val="20"/>
          <w:szCs w:val="20"/>
        </w:rPr>
        <w:t xml:space="preserve"> </w:t>
      </w:r>
      <w:r>
        <w:rPr>
          <w:rFonts w:asciiTheme="majorHAnsi" w:hAnsiTheme="majorHAnsi"/>
          <w:sz w:val="20"/>
          <w:szCs w:val="20"/>
        </w:rPr>
        <w:t>In fact</w:t>
      </w:r>
      <w:r w:rsidR="0022061B" w:rsidRPr="00A51861">
        <w:rPr>
          <w:rFonts w:asciiTheme="majorHAnsi" w:hAnsiTheme="majorHAnsi"/>
          <w:sz w:val="20"/>
          <w:szCs w:val="20"/>
        </w:rPr>
        <w:t xml:space="preserve">, </w:t>
      </w:r>
      <w:r>
        <w:rPr>
          <w:rFonts w:asciiTheme="majorHAnsi" w:hAnsiTheme="majorHAnsi"/>
          <w:sz w:val="20"/>
          <w:szCs w:val="20"/>
        </w:rPr>
        <w:t>there is no record</w:t>
      </w:r>
      <w:r w:rsidR="0022061B" w:rsidRPr="00A51861">
        <w:rPr>
          <w:rFonts w:asciiTheme="majorHAnsi" w:hAnsiTheme="majorHAnsi"/>
          <w:sz w:val="20"/>
          <w:szCs w:val="20"/>
        </w:rPr>
        <w:t xml:space="preserve"> </w:t>
      </w:r>
      <w:r w:rsidR="0029564F">
        <w:rPr>
          <w:rFonts w:asciiTheme="majorHAnsi" w:hAnsiTheme="majorHAnsi"/>
          <w:sz w:val="20"/>
          <w:szCs w:val="20"/>
        </w:rPr>
        <w:t>in the casefile</w:t>
      </w:r>
      <w:r w:rsidR="0022061B" w:rsidRPr="00A51861">
        <w:rPr>
          <w:rFonts w:asciiTheme="majorHAnsi" w:hAnsiTheme="majorHAnsi"/>
          <w:sz w:val="20"/>
          <w:szCs w:val="20"/>
        </w:rPr>
        <w:t xml:space="preserve">, </w:t>
      </w:r>
      <w:r>
        <w:rPr>
          <w:rFonts w:asciiTheme="majorHAnsi" w:hAnsiTheme="majorHAnsi"/>
          <w:sz w:val="20"/>
          <w:szCs w:val="20"/>
        </w:rPr>
        <w:t>nor was it referred by</w:t>
      </w:r>
      <w:r w:rsidR="0022061B" w:rsidRPr="00A51861">
        <w:rPr>
          <w:rFonts w:asciiTheme="majorHAnsi" w:hAnsiTheme="majorHAnsi"/>
          <w:sz w:val="20"/>
          <w:szCs w:val="20"/>
        </w:rPr>
        <w:t xml:space="preserve"> </w:t>
      </w:r>
      <w:r w:rsidR="00F92BA8">
        <w:rPr>
          <w:rFonts w:asciiTheme="majorHAnsi" w:hAnsiTheme="majorHAnsi"/>
          <w:sz w:val="20"/>
          <w:szCs w:val="20"/>
        </w:rPr>
        <w:t>the State</w:t>
      </w:r>
      <w:r w:rsidR="0022061B" w:rsidRPr="00A51861">
        <w:rPr>
          <w:rFonts w:asciiTheme="majorHAnsi" w:hAnsiTheme="majorHAnsi"/>
          <w:sz w:val="20"/>
          <w:szCs w:val="20"/>
        </w:rPr>
        <w:t>,</w:t>
      </w:r>
      <w:r w:rsidR="00E92985">
        <w:rPr>
          <w:rFonts w:asciiTheme="majorHAnsi" w:hAnsiTheme="majorHAnsi"/>
          <w:sz w:val="20"/>
          <w:szCs w:val="20"/>
        </w:rPr>
        <w:t xml:space="preserve"> that the </w:t>
      </w:r>
      <w:r w:rsidR="006E255A">
        <w:rPr>
          <w:rFonts w:asciiTheme="majorHAnsi" w:hAnsiTheme="majorHAnsi"/>
          <w:sz w:val="20"/>
          <w:szCs w:val="20"/>
        </w:rPr>
        <w:t>detention</w:t>
      </w:r>
      <w:r w:rsidR="0022061B" w:rsidRPr="00A51861">
        <w:rPr>
          <w:rFonts w:asciiTheme="majorHAnsi" w:hAnsiTheme="majorHAnsi"/>
          <w:sz w:val="20"/>
          <w:szCs w:val="20"/>
        </w:rPr>
        <w:t xml:space="preserve"> </w:t>
      </w:r>
      <w:r>
        <w:rPr>
          <w:rFonts w:asciiTheme="majorHAnsi" w:hAnsiTheme="majorHAnsi"/>
          <w:sz w:val="20"/>
          <w:szCs w:val="20"/>
        </w:rPr>
        <w:t>had taken place under the order of a</w:t>
      </w:r>
      <w:r w:rsidR="0022061B" w:rsidRPr="00A51861">
        <w:rPr>
          <w:rFonts w:asciiTheme="majorHAnsi" w:hAnsiTheme="majorHAnsi"/>
          <w:sz w:val="20"/>
          <w:szCs w:val="20"/>
        </w:rPr>
        <w:t xml:space="preserve"> </w:t>
      </w:r>
      <w:r w:rsidR="00D70A85">
        <w:rPr>
          <w:rFonts w:asciiTheme="majorHAnsi" w:hAnsiTheme="majorHAnsi"/>
          <w:sz w:val="20"/>
          <w:szCs w:val="20"/>
        </w:rPr>
        <w:t>judge</w:t>
      </w:r>
      <w:r w:rsidR="00E92985">
        <w:rPr>
          <w:rFonts w:asciiTheme="majorHAnsi" w:hAnsiTheme="majorHAnsi"/>
          <w:sz w:val="20"/>
          <w:szCs w:val="20"/>
        </w:rPr>
        <w:t xml:space="preserve"> or </w:t>
      </w:r>
      <w:r w:rsidR="00B947BD">
        <w:rPr>
          <w:rFonts w:asciiTheme="majorHAnsi" w:hAnsiTheme="majorHAnsi"/>
          <w:sz w:val="20"/>
          <w:szCs w:val="20"/>
        </w:rPr>
        <w:t>an</w:t>
      </w:r>
      <w:r>
        <w:rPr>
          <w:rFonts w:asciiTheme="majorHAnsi" w:hAnsiTheme="majorHAnsi"/>
          <w:sz w:val="20"/>
          <w:szCs w:val="20"/>
        </w:rPr>
        <w:t>other</w:t>
      </w:r>
      <w:r w:rsidR="0022061B" w:rsidRPr="00A51861">
        <w:rPr>
          <w:rFonts w:asciiTheme="majorHAnsi" w:hAnsiTheme="majorHAnsi"/>
          <w:sz w:val="20"/>
          <w:szCs w:val="20"/>
        </w:rPr>
        <w:t xml:space="preserve"> </w:t>
      </w:r>
      <w:r w:rsidR="000A3625">
        <w:rPr>
          <w:rFonts w:asciiTheme="majorHAnsi" w:eastAsia="Calibri" w:hAnsiTheme="majorHAnsi" w:cs="Tahoma"/>
          <w:color w:val="000000"/>
          <w:sz w:val="20"/>
          <w:szCs w:val="20"/>
          <w:bdr w:val="none" w:sz="0" w:space="0" w:color="auto"/>
        </w:rPr>
        <w:t>authority</w:t>
      </w:r>
      <w:r w:rsidR="0022061B" w:rsidRPr="00A51861">
        <w:rPr>
          <w:rFonts w:asciiTheme="majorHAnsi" w:hAnsiTheme="majorHAnsi"/>
          <w:sz w:val="20"/>
          <w:szCs w:val="20"/>
        </w:rPr>
        <w:t>,</w:t>
      </w:r>
      <w:r w:rsidR="00E92985">
        <w:rPr>
          <w:rFonts w:asciiTheme="majorHAnsi" w:hAnsiTheme="majorHAnsi"/>
          <w:sz w:val="20"/>
          <w:szCs w:val="20"/>
        </w:rPr>
        <w:t xml:space="preserve"> and </w:t>
      </w:r>
      <w:r w:rsidR="00B947BD">
        <w:rPr>
          <w:rFonts w:asciiTheme="majorHAnsi" w:hAnsiTheme="majorHAnsi"/>
          <w:sz w:val="20"/>
          <w:szCs w:val="20"/>
        </w:rPr>
        <w:t>much less that it underwent supervision</w:t>
      </w:r>
      <w:r w:rsidR="0022061B" w:rsidRPr="00A51861">
        <w:rPr>
          <w:rFonts w:asciiTheme="majorHAnsi" w:hAnsiTheme="majorHAnsi"/>
          <w:sz w:val="20"/>
          <w:szCs w:val="20"/>
        </w:rPr>
        <w:t xml:space="preserve"> </w:t>
      </w:r>
      <w:r w:rsidR="00B947BD">
        <w:rPr>
          <w:rFonts w:asciiTheme="majorHAnsi" w:hAnsiTheme="majorHAnsi"/>
          <w:sz w:val="20"/>
          <w:szCs w:val="20"/>
        </w:rPr>
        <w:t>to</w:t>
      </w:r>
      <w:r w:rsidR="00F4726D" w:rsidRPr="00A51861">
        <w:rPr>
          <w:rFonts w:asciiTheme="majorHAnsi" w:hAnsiTheme="majorHAnsi"/>
          <w:sz w:val="20"/>
          <w:szCs w:val="20"/>
        </w:rPr>
        <w:t xml:space="preserve"> determin</w:t>
      </w:r>
      <w:r w:rsidR="00B947BD">
        <w:rPr>
          <w:rFonts w:asciiTheme="majorHAnsi" w:hAnsiTheme="majorHAnsi"/>
          <w:sz w:val="20"/>
          <w:szCs w:val="20"/>
        </w:rPr>
        <w:t>e its</w:t>
      </w:r>
      <w:r w:rsidR="00F4726D" w:rsidRPr="00A51861">
        <w:rPr>
          <w:rFonts w:asciiTheme="majorHAnsi" w:hAnsiTheme="majorHAnsi"/>
          <w:sz w:val="20"/>
          <w:szCs w:val="20"/>
        </w:rPr>
        <w:t xml:space="preserve"> legali</w:t>
      </w:r>
      <w:r w:rsidR="00B947BD">
        <w:rPr>
          <w:rFonts w:asciiTheme="majorHAnsi" w:hAnsiTheme="majorHAnsi"/>
          <w:sz w:val="20"/>
          <w:szCs w:val="20"/>
        </w:rPr>
        <w:t>ty</w:t>
      </w:r>
      <w:r w:rsidR="00F4726D" w:rsidRPr="00A51861">
        <w:rPr>
          <w:rFonts w:asciiTheme="majorHAnsi" w:hAnsiTheme="majorHAnsi"/>
          <w:sz w:val="20"/>
          <w:szCs w:val="20"/>
        </w:rPr>
        <w:t xml:space="preserve">, </w:t>
      </w:r>
      <w:r w:rsidR="00B947BD">
        <w:rPr>
          <w:rFonts w:asciiTheme="majorHAnsi" w:hAnsiTheme="majorHAnsi"/>
          <w:sz w:val="20"/>
          <w:szCs w:val="20"/>
        </w:rPr>
        <w:t>nor that the</w:t>
      </w:r>
      <w:r w:rsidR="00A51861" w:rsidRPr="00A51861">
        <w:rPr>
          <w:rFonts w:asciiTheme="majorHAnsi" w:hAnsiTheme="majorHAnsi"/>
          <w:sz w:val="20"/>
          <w:szCs w:val="20"/>
        </w:rPr>
        <w:t xml:space="preserve"> alleged victim</w:t>
      </w:r>
      <w:r w:rsidR="00F4726D" w:rsidRPr="00A51861">
        <w:rPr>
          <w:rFonts w:asciiTheme="majorHAnsi" w:hAnsiTheme="majorHAnsi"/>
          <w:sz w:val="20"/>
          <w:szCs w:val="20"/>
        </w:rPr>
        <w:t xml:space="preserve"> </w:t>
      </w:r>
      <w:r w:rsidR="00B947BD">
        <w:rPr>
          <w:rFonts w:asciiTheme="majorHAnsi" w:hAnsiTheme="majorHAnsi"/>
          <w:sz w:val="20"/>
          <w:szCs w:val="20"/>
        </w:rPr>
        <w:t>had been informed of the</w:t>
      </w:r>
      <w:r w:rsidR="00F4726D" w:rsidRPr="00A51861">
        <w:rPr>
          <w:rFonts w:asciiTheme="majorHAnsi" w:hAnsiTheme="majorHAnsi"/>
          <w:sz w:val="20"/>
          <w:szCs w:val="20"/>
        </w:rPr>
        <w:t xml:space="preserve"> </w:t>
      </w:r>
      <w:r w:rsidR="00D70A85">
        <w:rPr>
          <w:rFonts w:asciiTheme="majorHAnsi" w:hAnsiTheme="majorHAnsi"/>
          <w:sz w:val="20"/>
          <w:szCs w:val="20"/>
        </w:rPr>
        <w:t>reasons</w:t>
      </w:r>
      <w:r w:rsidR="00E92985">
        <w:rPr>
          <w:rFonts w:asciiTheme="majorHAnsi" w:hAnsiTheme="majorHAnsi"/>
          <w:sz w:val="20"/>
          <w:szCs w:val="20"/>
        </w:rPr>
        <w:t xml:space="preserve"> of </w:t>
      </w:r>
      <w:r w:rsidR="00B947BD">
        <w:rPr>
          <w:rFonts w:asciiTheme="majorHAnsi" w:hAnsiTheme="majorHAnsi"/>
          <w:sz w:val="20"/>
          <w:szCs w:val="20"/>
        </w:rPr>
        <w:t>his</w:t>
      </w:r>
      <w:r w:rsidR="00F4726D" w:rsidRPr="00A51861">
        <w:rPr>
          <w:rFonts w:asciiTheme="majorHAnsi" w:hAnsiTheme="majorHAnsi"/>
          <w:sz w:val="20"/>
          <w:szCs w:val="20"/>
        </w:rPr>
        <w:t xml:space="preserve"> </w:t>
      </w:r>
      <w:r w:rsidR="006E255A">
        <w:rPr>
          <w:rFonts w:asciiTheme="majorHAnsi" w:hAnsiTheme="majorHAnsi"/>
          <w:sz w:val="20"/>
          <w:szCs w:val="20"/>
        </w:rPr>
        <w:t>detention</w:t>
      </w:r>
      <w:r w:rsidR="001D1D61">
        <w:rPr>
          <w:rFonts w:asciiTheme="majorHAnsi" w:hAnsiTheme="majorHAnsi"/>
          <w:sz w:val="20"/>
          <w:szCs w:val="20"/>
        </w:rPr>
        <w:t>. Th</w:t>
      </w:r>
      <w:r w:rsidR="00E92985">
        <w:rPr>
          <w:rFonts w:asciiTheme="majorHAnsi" w:hAnsiTheme="majorHAnsi"/>
          <w:sz w:val="20"/>
          <w:szCs w:val="20"/>
        </w:rPr>
        <w:t>e Commission</w:t>
      </w:r>
      <w:r w:rsidR="00F4726D" w:rsidRPr="00A51861">
        <w:rPr>
          <w:rFonts w:asciiTheme="majorHAnsi" w:hAnsiTheme="majorHAnsi"/>
          <w:sz w:val="20"/>
          <w:szCs w:val="20"/>
        </w:rPr>
        <w:t xml:space="preserve"> </w:t>
      </w:r>
      <w:r w:rsidR="00B947BD">
        <w:rPr>
          <w:rFonts w:asciiTheme="majorHAnsi" w:hAnsiTheme="majorHAnsi"/>
          <w:sz w:val="20"/>
          <w:szCs w:val="20"/>
        </w:rPr>
        <w:t xml:space="preserve">takes note that </w:t>
      </w:r>
      <w:r w:rsidR="00E64C43">
        <w:rPr>
          <w:rFonts w:asciiTheme="majorHAnsi" w:hAnsiTheme="majorHAnsi"/>
          <w:sz w:val="20"/>
          <w:szCs w:val="20"/>
        </w:rPr>
        <w:t>these</w:t>
      </w:r>
      <w:r w:rsidR="005F6157">
        <w:rPr>
          <w:rFonts w:asciiTheme="majorHAnsi" w:hAnsiTheme="majorHAnsi"/>
          <w:sz w:val="20"/>
          <w:szCs w:val="20"/>
        </w:rPr>
        <w:t xml:space="preserve"> fact</w:t>
      </w:r>
      <w:r w:rsidR="00F4726D" w:rsidRPr="00A51861">
        <w:rPr>
          <w:rFonts w:asciiTheme="majorHAnsi" w:hAnsiTheme="majorHAnsi"/>
          <w:sz w:val="20"/>
          <w:szCs w:val="20"/>
        </w:rPr>
        <w:t>s</w:t>
      </w:r>
      <w:r w:rsidR="00B947BD">
        <w:rPr>
          <w:rFonts w:asciiTheme="majorHAnsi" w:hAnsiTheme="majorHAnsi"/>
          <w:sz w:val="20"/>
          <w:szCs w:val="20"/>
        </w:rPr>
        <w:t xml:space="preserve"> are </w:t>
      </w:r>
      <w:r w:rsidR="00F4726D" w:rsidRPr="00A51861">
        <w:rPr>
          <w:rFonts w:ascii="Cambria" w:hAnsi="Cambria"/>
          <w:color w:val="000000" w:themeColor="text1"/>
          <w:sz w:val="20"/>
          <w:szCs w:val="20"/>
        </w:rPr>
        <w:t>especial</w:t>
      </w:r>
      <w:r w:rsidR="0029564F">
        <w:rPr>
          <w:rFonts w:ascii="Cambria" w:hAnsi="Cambria"/>
          <w:color w:val="000000" w:themeColor="text1"/>
          <w:sz w:val="20"/>
          <w:szCs w:val="20"/>
        </w:rPr>
        <w:t xml:space="preserve">ly </w:t>
      </w:r>
      <w:r w:rsidR="00B947BD">
        <w:rPr>
          <w:rFonts w:asciiTheme="majorHAnsi" w:hAnsiTheme="majorHAnsi"/>
          <w:sz w:val="20"/>
          <w:szCs w:val="20"/>
        </w:rPr>
        <w:t>serious</w:t>
      </w:r>
      <w:r w:rsidR="00F4726D" w:rsidRPr="00A51861">
        <w:rPr>
          <w:rFonts w:asciiTheme="majorHAnsi" w:hAnsiTheme="majorHAnsi"/>
          <w:sz w:val="20"/>
          <w:szCs w:val="20"/>
        </w:rPr>
        <w:t xml:space="preserve"> </w:t>
      </w:r>
      <w:r w:rsidR="00B947BD">
        <w:rPr>
          <w:rFonts w:asciiTheme="majorHAnsi" w:hAnsiTheme="majorHAnsi"/>
          <w:sz w:val="20"/>
          <w:szCs w:val="20"/>
        </w:rPr>
        <w:t>since they</w:t>
      </w:r>
      <w:r w:rsidR="00F4726D" w:rsidRPr="00A51861">
        <w:rPr>
          <w:rFonts w:asciiTheme="majorHAnsi" w:hAnsiTheme="majorHAnsi"/>
          <w:sz w:val="20"/>
          <w:szCs w:val="20"/>
        </w:rPr>
        <w:t xml:space="preserve"> </w:t>
      </w:r>
      <w:r w:rsidR="00B947BD">
        <w:rPr>
          <w:rFonts w:asciiTheme="majorHAnsi" w:hAnsiTheme="majorHAnsi"/>
          <w:sz w:val="20"/>
          <w:szCs w:val="20"/>
        </w:rPr>
        <w:t>occurred</w:t>
      </w:r>
      <w:r w:rsidR="00F4726D" w:rsidRPr="00A51861">
        <w:rPr>
          <w:rFonts w:asciiTheme="majorHAnsi" w:hAnsiTheme="majorHAnsi"/>
          <w:sz w:val="20"/>
          <w:szCs w:val="20"/>
        </w:rPr>
        <w:t xml:space="preserve"> </w:t>
      </w:r>
      <w:r w:rsidR="00B947BD">
        <w:rPr>
          <w:rFonts w:asciiTheme="majorHAnsi" w:hAnsiTheme="majorHAnsi"/>
          <w:sz w:val="20"/>
          <w:szCs w:val="20"/>
        </w:rPr>
        <w:t>in a</w:t>
      </w:r>
      <w:r w:rsidR="00F4726D" w:rsidRPr="00A51861">
        <w:rPr>
          <w:rFonts w:asciiTheme="majorHAnsi" w:hAnsiTheme="majorHAnsi"/>
          <w:sz w:val="20"/>
          <w:szCs w:val="20"/>
        </w:rPr>
        <w:t xml:space="preserve"> </w:t>
      </w:r>
      <w:r w:rsidR="00940530">
        <w:rPr>
          <w:rFonts w:asciiTheme="majorHAnsi" w:hAnsiTheme="majorHAnsi"/>
          <w:sz w:val="20"/>
          <w:szCs w:val="20"/>
        </w:rPr>
        <w:t>context</w:t>
      </w:r>
      <w:r w:rsidR="00E92985">
        <w:rPr>
          <w:rFonts w:asciiTheme="majorHAnsi" w:hAnsiTheme="majorHAnsi"/>
          <w:sz w:val="20"/>
          <w:szCs w:val="20"/>
        </w:rPr>
        <w:t xml:space="preserve"> of </w:t>
      </w:r>
      <w:r w:rsidR="00B947BD" w:rsidRPr="00A51861">
        <w:rPr>
          <w:rFonts w:asciiTheme="majorHAnsi" w:hAnsiTheme="majorHAnsi"/>
          <w:sz w:val="20"/>
          <w:szCs w:val="20"/>
        </w:rPr>
        <w:t>systematic</w:t>
      </w:r>
      <w:r w:rsidR="00E92985">
        <w:rPr>
          <w:rFonts w:asciiTheme="majorHAnsi" w:hAnsiTheme="majorHAnsi"/>
          <w:sz w:val="20"/>
          <w:szCs w:val="20"/>
        </w:rPr>
        <w:t xml:space="preserve"> </w:t>
      </w:r>
      <w:r w:rsidR="00B947BD" w:rsidRPr="00A51861">
        <w:rPr>
          <w:rFonts w:asciiTheme="majorHAnsi" w:hAnsiTheme="majorHAnsi"/>
          <w:sz w:val="20"/>
          <w:szCs w:val="20"/>
        </w:rPr>
        <w:t xml:space="preserve">practice </w:t>
      </w:r>
      <w:r w:rsidR="00E92985">
        <w:rPr>
          <w:rFonts w:asciiTheme="majorHAnsi" w:hAnsiTheme="majorHAnsi"/>
          <w:sz w:val="20"/>
          <w:szCs w:val="20"/>
        </w:rPr>
        <w:t xml:space="preserve">of </w:t>
      </w:r>
      <w:r w:rsidR="00B947BD">
        <w:rPr>
          <w:rFonts w:asciiTheme="majorHAnsi" w:hAnsiTheme="majorHAnsi"/>
          <w:sz w:val="20"/>
          <w:szCs w:val="20"/>
        </w:rPr>
        <w:t>arbitrary detentions</w:t>
      </w:r>
      <w:r w:rsidR="00D64762" w:rsidRPr="00A51861">
        <w:rPr>
          <w:rFonts w:asciiTheme="majorHAnsi" w:hAnsiTheme="majorHAnsi"/>
          <w:sz w:val="20"/>
          <w:szCs w:val="20"/>
        </w:rPr>
        <w:t xml:space="preserve">, </w:t>
      </w:r>
      <w:r w:rsidR="00F406E1">
        <w:rPr>
          <w:rFonts w:asciiTheme="majorHAnsi" w:hAnsiTheme="majorHAnsi"/>
          <w:sz w:val="20"/>
          <w:szCs w:val="20"/>
        </w:rPr>
        <w:t>torture</w:t>
      </w:r>
      <w:r w:rsidR="00D64762" w:rsidRPr="00A51861">
        <w:rPr>
          <w:rFonts w:asciiTheme="majorHAnsi" w:hAnsiTheme="majorHAnsi"/>
          <w:sz w:val="20"/>
          <w:szCs w:val="20"/>
        </w:rPr>
        <w:t xml:space="preserve">s, </w:t>
      </w:r>
      <w:r w:rsidR="00B947BD" w:rsidRPr="00A51861">
        <w:rPr>
          <w:rFonts w:asciiTheme="majorHAnsi" w:hAnsiTheme="majorHAnsi"/>
          <w:sz w:val="20"/>
          <w:szCs w:val="20"/>
        </w:rPr>
        <w:t>executions</w:t>
      </w:r>
      <w:r w:rsidR="00E92985">
        <w:rPr>
          <w:rFonts w:asciiTheme="majorHAnsi" w:hAnsiTheme="majorHAnsi"/>
          <w:sz w:val="20"/>
          <w:szCs w:val="20"/>
        </w:rPr>
        <w:t xml:space="preserve"> and </w:t>
      </w:r>
      <w:r w:rsidR="00B947BD">
        <w:rPr>
          <w:rFonts w:asciiTheme="majorHAnsi" w:hAnsiTheme="majorHAnsi"/>
          <w:sz w:val="20"/>
          <w:szCs w:val="20"/>
        </w:rPr>
        <w:t xml:space="preserve">forced disappearances </w:t>
      </w:r>
      <w:r w:rsidR="00D64762" w:rsidRPr="00A51861">
        <w:rPr>
          <w:rFonts w:asciiTheme="majorHAnsi" w:hAnsiTheme="majorHAnsi"/>
          <w:sz w:val="20"/>
          <w:szCs w:val="20"/>
        </w:rPr>
        <w:t xml:space="preserve"> </w:t>
      </w:r>
      <w:r w:rsidR="00B947BD">
        <w:rPr>
          <w:rFonts w:asciiTheme="majorHAnsi" w:hAnsiTheme="majorHAnsi"/>
          <w:sz w:val="20"/>
          <w:szCs w:val="20"/>
        </w:rPr>
        <w:t>perpetrated by</w:t>
      </w:r>
      <w:r w:rsidR="00D64762" w:rsidRPr="00A51861">
        <w:rPr>
          <w:rFonts w:asciiTheme="majorHAnsi" w:hAnsiTheme="majorHAnsi"/>
          <w:sz w:val="20"/>
          <w:szCs w:val="20"/>
        </w:rPr>
        <w:t xml:space="preserve"> </w:t>
      </w:r>
      <w:r w:rsidR="00B947BD">
        <w:rPr>
          <w:rFonts w:asciiTheme="majorHAnsi" w:hAnsiTheme="majorHAnsi"/>
          <w:sz w:val="20"/>
          <w:szCs w:val="20"/>
        </w:rPr>
        <w:t xml:space="preserve">forces </w:t>
      </w:r>
      <w:r w:rsidR="00E92985">
        <w:rPr>
          <w:rFonts w:asciiTheme="majorHAnsi" w:hAnsiTheme="majorHAnsi"/>
          <w:sz w:val="20"/>
          <w:szCs w:val="20"/>
        </w:rPr>
        <w:t xml:space="preserve">of </w:t>
      </w:r>
      <w:r w:rsidR="00D64762" w:rsidRPr="00A51861">
        <w:rPr>
          <w:rFonts w:asciiTheme="majorHAnsi" w:hAnsiTheme="majorHAnsi"/>
          <w:sz w:val="20"/>
          <w:szCs w:val="20"/>
        </w:rPr>
        <w:t>se</w:t>
      </w:r>
      <w:r w:rsidR="00B947BD">
        <w:rPr>
          <w:rFonts w:asciiTheme="majorHAnsi" w:hAnsiTheme="majorHAnsi"/>
          <w:sz w:val="20"/>
          <w:szCs w:val="20"/>
        </w:rPr>
        <w:t>curity</w:t>
      </w:r>
      <w:r w:rsidR="00FA2E7B">
        <w:rPr>
          <w:rFonts w:asciiTheme="majorHAnsi" w:hAnsiTheme="majorHAnsi"/>
          <w:sz w:val="20"/>
          <w:szCs w:val="20"/>
        </w:rPr>
        <w:t xml:space="preserve"> </w:t>
      </w:r>
      <w:r w:rsidR="00E92985">
        <w:rPr>
          <w:rFonts w:asciiTheme="majorHAnsi" w:hAnsiTheme="majorHAnsi"/>
          <w:sz w:val="20"/>
          <w:szCs w:val="20"/>
        </w:rPr>
        <w:t xml:space="preserve">and </w:t>
      </w:r>
      <w:r w:rsidR="00B947BD">
        <w:rPr>
          <w:rFonts w:asciiTheme="majorHAnsi" w:hAnsiTheme="majorHAnsi"/>
          <w:sz w:val="20"/>
          <w:szCs w:val="20"/>
        </w:rPr>
        <w:t xml:space="preserve">intelligence </w:t>
      </w:r>
      <w:r w:rsidR="00E92985">
        <w:rPr>
          <w:rFonts w:asciiTheme="majorHAnsi" w:hAnsiTheme="majorHAnsi"/>
          <w:sz w:val="20"/>
          <w:szCs w:val="20"/>
        </w:rPr>
        <w:t xml:space="preserve">of </w:t>
      </w:r>
      <w:r w:rsidR="00B947BD">
        <w:rPr>
          <w:rFonts w:asciiTheme="majorHAnsi" w:hAnsiTheme="majorHAnsi"/>
          <w:sz w:val="20"/>
          <w:szCs w:val="20"/>
        </w:rPr>
        <w:t>the</w:t>
      </w:r>
      <w:r w:rsidR="00D64762" w:rsidRPr="00A51861">
        <w:rPr>
          <w:rFonts w:asciiTheme="majorHAnsi" w:hAnsiTheme="majorHAnsi"/>
          <w:sz w:val="20"/>
          <w:szCs w:val="20"/>
        </w:rPr>
        <w:t xml:space="preserve"> </w:t>
      </w:r>
      <w:r w:rsidR="00B947BD" w:rsidRPr="00A51861">
        <w:rPr>
          <w:rFonts w:asciiTheme="majorHAnsi" w:hAnsiTheme="majorHAnsi"/>
          <w:sz w:val="20"/>
          <w:szCs w:val="20"/>
        </w:rPr>
        <w:t>dictatorial</w:t>
      </w:r>
      <w:r w:rsidR="00B947BD">
        <w:rPr>
          <w:rFonts w:asciiTheme="majorHAnsi" w:hAnsiTheme="majorHAnsi"/>
          <w:sz w:val="20"/>
          <w:szCs w:val="20"/>
        </w:rPr>
        <w:t xml:space="preserve"> government</w:t>
      </w:r>
      <w:r w:rsidR="00D64762" w:rsidRPr="00A51861">
        <w:rPr>
          <w:rFonts w:asciiTheme="majorHAnsi" w:hAnsiTheme="majorHAnsi"/>
          <w:sz w:val="20"/>
          <w:szCs w:val="20"/>
        </w:rPr>
        <w:t xml:space="preserve">s </w:t>
      </w:r>
      <w:r w:rsidR="00E92985">
        <w:rPr>
          <w:rFonts w:asciiTheme="majorHAnsi" w:hAnsiTheme="majorHAnsi"/>
          <w:sz w:val="20"/>
          <w:szCs w:val="20"/>
        </w:rPr>
        <w:t xml:space="preserve">of the </w:t>
      </w:r>
      <w:r w:rsidR="00B947BD">
        <w:rPr>
          <w:rFonts w:asciiTheme="majorHAnsi" w:hAnsiTheme="majorHAnsi"/>
          <w:sz w:val="20"/>
          <w:szCs w:val="20"/>
        </w:rPr>
        <w:t>region</w:t>
      </w:r>
      <w:r w:rsidR="004969F4">
        <w:rPr>
          <w:rFonts w:asciiTheme="majorHAnsi" w:hAnsiTheme="majorHAnsi"/>
          <w:sz w:val="20"/>
          <w:szCs w:val="20"/>
        </w:rPr>
        <w:t xml:space="preserve"> of the </w:t>
      </w:r>
      <w:r w:rsidR="00B947BD">
        <w:rPr>
          <w:rFonts w:asciiTheme="majorHAnsi" w:hAnsiTheme="majorHAnsi"/>
          <w:sz w:val="20"/>
          <w:szCs w:val="20"/>
        </w:rPr>
        <w:t>Southern Cone</w:t>
      </w:r>
      <w:r w:rsidR="00D64762" w:rsidRPr="00A51861">
        <w:rPr>
          <w:rFonts w:asciiTheme="majorHAnsi" w:hAnsiTheme="majorHAnsi"/>
          <w:sz w:val="20"/>
          <w:szCs w:val="20"/>
        </w:rPr>
        <w:t xml:space="preserve">, </w:t>
      </w:r>
      <w:r w:rsidR="00B947BD">
        <w:rPr>
          <w:rFonts w:asciiTheme="majorHAnsi" w:hAnsiTheme="majorHAnsi"/>
          <w:sz w:val="20"/>
          <w:szCs w:val="20"/>
        </w:rPr>
        <w:t>which has been even recognized by</w:t>
      </w:r>
      <w:r w:rsidR="009A4F91">
        <w:rPr>
          <w:rFonts w:asciiTheme="majorHAnsi" w:hAnsiTheme="majorHAnsi"/>
          <w:sz w:val="20"/>
          <w:szCs w:val="20"/>
        </w:rPr>
        <w:t xml:space="preserve"> the </w:t>
      </w:r>
      <w:r w:rsidR="00DD4DB2">
        <w:rPr>
          <w:rFonts w:asciiTheme="majorHAnsi" w:hAnsiTheme="majorHAnsi"/>
          <w:sz w:val="20"/>
          <w:szCs w:val="20"/>
        </w:rPr>
        <w:t>jurisprudence</w:t>
      </w:r>
      <w:r w:rsidR="00E92985">
        <w:rPr>
          <w:rFonts w:asciiTheme="majorHAnsi" w:hAnsiTheme="majorHAnsi"/>
          <w:sz w:val="20"/>
          <w:szCs w:val="20"/>
        </w:rPr>
        <w:t xml:space="preserve"> of </w:t>
      </w:r>
      <w:r w:rsidR="00806D1B">
        <w:rPr>
          <w:rFonts w:asciiTheme="majorHAnsi" w:hAnsiTheme="majorHAnsi"/>
          <w:sz w:val="20"/>
          <w:szCs w:val="20"/>
        </w:rPr>
        <w:t xml:space="preserve">the </w:t>
      </w:r>
      <w:r w:rsidR="00B947BD">
        <w:rPr>
          <w:rFonts w:asciiTheme="majorHAnsi" w:hAnsiTheme="majorHAnsi"/>
          <w:sz w:val="20"/>
          <w:szCs w:val="20"/>
        </w:rPr>
        <w:t xml:space="preserve">Inter-American Court </w:t>
      </w:r>
      <w:r w:rsidR="00664D70">
        <w:rPr>
          <w:rFonts w:asciiTheme="majorHAnsi" w:hAnsiTheme="majorHAnsi"/>
          <w:sz w:val="20"/>
          <w:szCs w:val="20"/>
        </w:rPr>
        <w:t>on Human Rights</w:t>
      </w:r>
      <w:r w:rsidR="00F4726D" w:rsidRPr="00A51861">
        <w:rPr>
          <w:rFonts w:asciiTheme="majorHAnsi" w:hAnsiTheme="majorHAnsi"/>
          <w:sz w:val="20"/>
          <w:szCs w:val="20"/>
        </w:rPr>
        <w:t xml:space="preserve">, </w:t>
      </w:r>
      <w:r w:rsidR="00B947BD">
        <w:rPr>
          <w:rFonts w:asciiTheme="majorHAnsi" w:hAnsiTheme="majorHAnsi"/>
          <w:sz w:val="20"/>
          <w:szCs w:val="20"/>
        </w:rPr>
        <w:t>as the so-called</w:t>
      </w:r>
      <w:r w:rsidR="00F4726D" w:rsidRPr="00A51861">
        <w:rPr>
          <w:rFonts w:asciiTheme="majorHAnsi" w:hAnsiTheme="majorHAnsi"/>
          <w:sz w:val="20"/>
          <w:szCs w:val="20"/>
        </w:rPr>
        <w:t xml:space="preserve"> Plan Cóndor</w:t>
      </w:r>
      <w:r w:rsidR="00D64762" w:rsidRPr="00A51861">
        <w:rPr>
          <w:rStyle w:val="FootnoteReference"/>
          <w:rFonts w:asciiTheme="majorHAnsi" w:hAnsiTheme="majorHAnsi"/>
          <w:sz w:val="20"/>
          <w:szCs w:val="20"/>
        </w:rPr>
        <w:footnoteReference w:id="207"/>
      </w:r>
      <w:r w:rsidR="00F4726D" w:rsidRPr="00A51861">
        <w:rPr>
          <w:rFonts w:asciiTheme="majorHAnsi" w:hAnsiTheme="majorHAnsi"/>
          <w:sz w:val="20"/>
          <w:szCs w:val="20"/>
        </w:rPr>
        <w:t xml:space="preserve">, </w:t>
      </w:r>
      <w:r w:rsidR="00B947BD">
        <w:rPr>
          <w:rFonts w:asciiTheme="majorHAnsi" w:hAnsiTheme="majorHAnsi"/>
          <w:sz w:val="20"/>
          <w:szCs w:val="20"/>
        </w:rPr>
        <w:t>in which</w:t>
      </w:r>
      <w:r w:rsidR="00D64762" w:rsidRPr="00A51861">
        <w:rPr>
          <w:rFonts w:asciiTheme="majorHAnsi" w:hAnsiTheme="majorHAnsi"/>
          <w:sz w:val="20"/>
          <w:szCs w:val="20"/>
        </w:rPr>
        <w:t xml:space="preserve">, </w:t>
      </w:r>
      <w:r w:rsidR="00B947BD">
        <w:rPr>
          <w:rFonts w:asciiTheme="majorHAnsi" w:hAnsiTheme="majorHAnsi"/>
          <w:sz w:val="20"/>
          <w:szCs w:val="20"/>
        </w:rPr>
        <w:t>among other</w:t>
      </w:r>
      <w:r w:rsidR="005F6157">
        <w:rPr>
          <w:rFonts w:asciiTheme="majorHAnsi" w:hAnsiTheme="majorHAnsi"/>
          <w:sz w:val="20"/>
          <w:szCs w:val="20"/>
        </w:rPr>
        <w:t xml:space="preserve"> fact</w:t>
      </w:r>
      <w:r w:rsidR="00D64762" w:rsidRPr="00A51861">
        <w:rPr>
          <w:rFonts w:asciiTheme="majorHAnsi" w:hAnsiTheme="majorHAnsi"/>
          <w:sz w:val="20"/>
          <w:szCs w:val="20"/>
        </w:rPr>
        <w:t>s,</w:t>
      </w:r>
      <w:r w:rsidR="00F4726D" w:rsidRPr="00A51861">
        <w:rPr>
          <w:rFonts w:asciiTheme="majorHAnsi" w:hAnsiTheme="majorHAnsi"/>
          <w:sz w:val="20"/>
          <w:szCs w:val="20"/>
        </w:rPr>
        <w:t xml:space="preserve"> </w:t>
      </w:r>
      <w:r w:rsidR="00B947BD">
        <w:rPr>
          <w:rFonts w:asciiTheme="majorHAnsi" w:hAnsiTheme="majorHAnsi"/>
          <w:sz w:val="20"/>
          <w:szCs w:val="20"/>
        </w:rPr>
        <w:t>there was a</w:t>
      </w:r>
      <w:r w:rsidR="00F4726D" w:rsidRPr="00A51861">
        <w:rPr>
          <w:rFonts w:asciiTheme="majorHAnsi" w:hAnsiTheme="majorHAnsi"/>
          <w:sz w:val="20"/>
          <w:szCs w:val="20"/>
        </w:rPr>
        <w:t xml:space="preserve"> </w:t>
      </w:r>
      <w:r w:rsidR="00B947BD" w:rsidRPr="00A51861">
        <w:rPr>
          <w:rFonts w:asciiTheme="majorHAnsi" w:hAnsiTheme="majorHAnsi"/>
          <w:sz w:val="20"/>
          <w:szCs w:val="20"/>
        </w:rPr>
        <w:t>parallel</w:t>
      </w:r>
      <w:r w:rsidR="00B947BD">
        <w:rPr>
          <w:rFonts w:asciiTheme="majorHAnsi" w:hAnsiTheme="majorHAnsi"/>
          <w:sz w:val="20"/>
          <w:szCs w:val="20"/>
        </w:rPr>
        <w:t xml:space="preserve"> </w:t>
      </w:r>
      <w:r w:rsidR="00CB4E23">
        <w:rPr>
          <w:rFonts w:asciiTheme="majorHAnsi" w:hAnsiTheme="majorHAnsi"/>
          <w:sz w:val="20"/>
          <w:szCs w:val="20"/>
        </w:rPr>
        <w:t>system</w:t>
      </w:r>
      <w:r w:rsidR="00F4726D" w:rsidRPr="00A51861">
        <w:rPr>
          <w:rFonts w:asciiTheme="majorHAnsi" w:hAnsiTheme="majorHAnsi"/>
          <w:sz w:val="20"/>
          <w:szCs w:val="20"/>
        </w:rPr>
        <w:t xml:space="preserve"> </w:t>
      </w:r>
      <w:r w:rsidR="00E92985">
        <w:rPr>
          <w:rFonts w:asciiTheme="majorHAnsi" w:hAnsiTheme="majorHAnsi"/>
          <w:sz w:val="20"/>
          <w:szCs w:val="20"/>
        </w:rPr>
        <w:t xml:space="preserve">of </w:t>
      </w:r>
      <w:r w:rsidR="00B947BD" w:rsidRPr="00A51861">
        <w:rPr>
          <w:rFonts w:asciiTheme="majorHAnsi" w:hAnsiTheme="majorHAnsi"/>
          <w:sz w:val="20"/>
          <w:szCs w:val="20"/>
        </w:rPr>
        <w:t>clandestine</w:t>
      </w:r>
      <w:r w:rsidR="00B947BD">
        <w:rPr>
          <w:rFonts w:asciiTheme="majorHAnsi" w:hAnsiTheme="majorHAnsi"/>
          <w:sz w:val="20"/>
          <w:szCs w:val="20"/>
        </w:rPr>
        <w:t xml:space="preserve"> </w:t>
      </w:r>
      <w:r w:rsidR="00B947BD" w:rsidRPr="00A51861">
        <w:rPr>
          <w:rFonts w:asciiTheme="majorHAnsi" w:hAnsiTheme="majorHAnsi"/>
          <w:sz w:val="20"/>
          <w:szCs w:val="20"/>
        </w:rPr>
        <w:t>prisons</w:t>
      </w:r>
      <w:r w:rsidR="00F4726D" w:rsidRPr="00A51861">
        <w:rPr>
          <w:rFonts w:asciiTheme="majorHAnsi" w:hAnsiTheme="majorHAnsi"/>
          <w:sz w:val="20"/>
          <w:szCs w:val="20"/>
        </w:rPr>
        <w:t xml:space="preserve"> </w:t>
      </w:r>
      <w:r w:rsidR="00E92985">
        <w:rPr>
          <w:rFonts w:asciiTheme="majorHAnsi" w:hAnsiTheme="majorHAnsi"/>
          <w:sz w:val="20"/>
          <w:szCs w:val="20"/>
        </w:rPr>
        <w:t xml:space="preserve">and </w:t>
      </w:r>
      <w:r w:rsidR="00F406E1">
        <w:rPr>
          <w:rFonts w:asciiTheme="majorHAnsi" w:hAnsiTheme="majorHAnsi"/>
          <w:sz w:val="20"/>
          <w:szCs w:val="20"/>
        </w:rPr>
        <w:t>torture</w:t>
      </w:r>
      <w:r w:rsidR="002B762A">
        <w:rPr>
          <w:rFonts w:asciiTheme="majorHAnsi" w:hAnsiTheme="majorHAnsi"/>
          <w:sz w:val="20"/>
          <w:szCs w:val="20"/>
        </w:rPr>
        <w:t xml:space="preserve"> </w:t>
      </w:r>
      <w:r w:rsidR="00300D20" w:rsidRPr="00A51861">
        <w:rPr>
          <w:rFonts w:asciiTheme="majorHAnsi" w:hAnsiTheme="majorHAnsi"/>
          <w:sz w:val="20"/>
          <w:szCs w:val="20"/>
        </w:rPr>
        <w:t>cent</w:t>
      </w:r>
      <w:r w:rsidR="00300D20">
        <w:rPr>
          <w:rFonts w:asciiTheme="majorHAnsi" w:hAnsiTheme="majorHAnsi"/>
          <w:sz w:val="20"/>
          <w:szCs w:val="20"/>
        </w:rPr>
        <w:t>er</w:t>
      </w:r>
      <w:r w:rsidR="00300D20" w:rsidRPr="00A51861">
        <w:rPr>
          <w:rFonts w:asciiTheme="majorHAnsi" w:hAnsiTheme="majorHAnsi"/>
          <w:sz w:val="20"/>
          <w:szCs w:val="20"/>
        </w:rPr>
        <w:t>s</w:t>
      </w:r>
      <w:r w:rsidR="00300D20">
        <w:rPr>
          <w:rFonts w:asciiTheme="majorHAnsi" w:hAnsiTheme="majorHAnsi"/>
          <w:sz w:val="20"/>
          <w:szCs w:val="20"/>
        </w:rPr>
        <w:t xml:space="preserve"> </w:t>
      </w:r>
      <w:r w:rsidR="002B762A">
        <w:rPr>
          <w:rFonts w:asciiTheme="majorHAnsi" w:hAnsiTheme="majorHAnsi"/>
          <w:sz w:val="20"/>
          <w:szCs w:val="20"/>
        </w:rPr>
        <w:t xml:space="preserve">with </w:t>
      </w:r>
      <w:r w:rsidR="00300D20">
        <w:rPr>
          <w:rFonts w:asciiTheme="majorHAnsi" w:hAnsiTheme="majorHAnsi"/>
          <w:sz w:val="20"/>
          <w:szCs w:val="20"/>
        </w:rPr>
        <w:t>the purpose of receiving foreign prisoners</w:t>
      </w:r>
      <w:r w:rsidR="00F4726D" w:rsidRPr="00A51861">
        <w:rPr>
          <w:rFonts w:asciiTheme="majorHAnsi" w:hAnsiTheme="majorHAnsi"/>
          <w:sz w:val="20"/>
          <w:szCs w:val="20"/>
        </w:rPr>
        <w:t xml:space="preserve"> </w:t>
      </w:r>
      <w:r w:rsidR="00300D20">
        <w:rPr>
          <w:rFonts w:asciiTheme="majorHAnsi" w:hAnsiTheme="majorHAnsi"/>
          <w:sz w:val="20"/>
          <w:szCs w:val="20"/>
        </w:rPr>
        <w:t>detained in connection to said plan</w:t>
      </w:r>
      <w:r w:rsidR="00770A28" w:rsidRPr="00A51861">
        <w:rPr>
          <w:rFonts w:asciiTheme="majorHAnsi" w:hAnsiTheme="majorHAnsi"/>
          <w:sz w:val="20"/>
          <w:szCs w:val="20"/>
        </w:rPr>
        <w:t xml:space="preserve">, </w:t>
      </w:r>
      <w:r w:rsidR="00300D20">
        <w:rPr>
          <w:rFonts w:asciiTheme="majorHAnsi" w:hAnsiTheme="majorHAnsi"/>
          <w:sz w:val="20"/>
          <w:szCs w:val="20"/>
        </w:rPr>
        <w:t>which were operated jointly by</w:t>
      </w:r>
      <w:r w:rsidR="00770A28" w:rsidRPr="00A51861">
        <w:rPr>
          <w:rFonts w:asciiTheme="majorHAnsi" w:hAnsiTheme="majorHAnsi"/>
          <w:sz w:val="20"/>
          <w:szCs w:val="20"/>
        </w:rPr>
        <w:t xml:space="preserve"> </w:t>
      </w:r>
      <w:r w:rsidR="00300D20" w:rsidRPr="00A51861">
        <w:rPr>
          <w:rFonts w:asciiTheme="majorHAnsi" w:hAnsiTheme="majorHAnsi"/>
          <w:sz w:val="20"/>
          <w:szCs w:val="20"/>
        </w:rPr>
        <w:t>polic</w:t>
      </w:r>
      <w:r w:rsidR="00300D20">
        <w:rPr>
          <w:rFonts w:asciiTheme="majorHAnsi" w:hAnsiTheme="majorHAnsi"/>
          <w:sz w:val="20"/>
          <w:szCs w:val="20"/>
        </w:rPr>
        <w:t xml:space="preserve">e </w:t>
      </w:r>
      <w:r w:rsidR="00E92985">
        <w:rPr>
          <w:rFonts w:asciiTheme="majorHAnsi" w:hAnsiTheme="majorHAnsi"/>
          <w:sz w:val="20"/>
          <w:szCs w:val="20"/>
        </w:rPr>
        <w:t xml:space="preserve">and </w:t>
      </w:r>
      <w:r w:rsidR="00EC7A58">
        <w:rPr>
          <w:rFonts w:asciiTheme="majorHAnsi" w:hAnsiTheme="majorHAnsi"/>
          <w:sz w:val="20"/>
          <w:szCs w:val="20"/>
        </w:rPr>
        <w:t>military</w:t>
      </w:r>
      <w:r w:rsidR="00E92985">
        <w:rPr>
          <w:rFonts w:asciiTheme="majorHAnsi" w:hAnsiTheme="majorHAnsi"/>
          <w:sz w:val="20"/>
          <w:szCs w:val="20"/>
        </w:rPr>
        <w:t xml:space="preserve"> </w:t>
      </w:r>
      <w:r w:rsidR="00300D20" w:rsidRPr="00A51861">
        <w:rPr>
          <w:rFonts w:asciiTheme="majorHAnsi" w:hAnsiTheme="majorHAnsi"/>
          <w:sz w:val="20"/>
          <w:szCs w:val="20"/>
        </w:rPr>
        <w:t xml:space="preserve">officials </w:t>
      </w:r>
      <w:r w:rsidR="00E92985">
        <w:rPr>
          <w:rFonts w:asciiTheme="majorHAnsi" w:hAnsiTheme="majorHAnsi"/>
          <w:sz w:val="20"/>
          <w:szCs w:val="20"/>
        </w:rPr>
        <w:t xml:space="preserve">of </w:t>
      </w:r>
      <w:r w:rsidR="00770A28" w:rsidRPr="00A51861">
        <w:rPr>
          <w:rFonts w:asciiTheme="majorHAnsi" w:hAnsiTheme="majorHAnsi"/>
          <w:sz w:val="20"/>
          <w:szCs w:val="20"/>
        </w:rPr>
        <w:t>Uruguay</w:t>
      </w:r>
      <w:r w:rsidR="00E92985">
        <w:rPr>
          <w:rFonts w:asciiTheme="majorHAnsi" w:hAnsiTheme="majorHAnsi"/>
          <w:sz w:val="20"/>
          <w:szCs w:val="20"/>
        </w:rPr>
        <w:t xml:space="preserve"> and </w:t>
      </w:r>
      <w:r w:rsidR="00770A28" w:rsidRPr="00A51861">
        <w:rPr>
          <w:rFonts w:asciiTheme="majorHAnsi" w:hAnsiTheme="majorHAnsi"/>
          <w:sz w:val="20"/>
          <w:szCs w:val="20"/>
        </w:rPr>
        <w:t>Argentina</w:t>
      </w:r>
      <w:r w:rsidR="00F4726D" w:rsidRPr="00A51861">
        <w:rPr>
          <w:rStyle w:val="FootnoteReference"/>
          <w:rFonts w:asciiTheme="majorHAnsi" w:hAnsiTheme="majorHAnsi"/>
          <w:sz w:val="20"/>
          <w:szCs w:val="20"/>
        </w:rPr>
        <w:footnoteReference w:id="208"/>
      </w:r>
      <w:r w:rsidR="00F4726D" w:rsidRPr="00A51861">
        <w:rPr>
          <w:rFonts w:asciiTheme="majorHAnsi" w:hAnsiTheme="majorHAnsi"/>
          <w:sz w:val="20"/>
          <w:szCs w:val="20"/>
        </w:rPr>
        <w:t xml:space="preserve">. </w:t>
      </w:r>
    </w:p>
    <w:p w14:paraId="592D3BDB" w14:textId="77777777" w:rsidR="00F4726D" w:rsidRPr="00A51861" w:rsidRDefault="00F4726D" w:rsidP="008E4D3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14:paraId="375E2B2F" w14:textId="631D7FCD" w:rsidR="004F04D1" w:rsidRPr="00A51861" w:rsidRDefault="00F92BA8"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 xml:space="preserve">Likewise, </w:t>
      </w:r>
      <w:r w:rsidR="00404714">
        <w:rPr>
          <w:rFonts w:asciiTheme="majorHAnsi" w:hAnsiTheme="majorHAnsi"/>
          <w:sz w:val="20"/>
          <w:szCs w:val="20"/>
        </w:rPr>
        <w:t>as claimed by</w:t>
      </w:r>
      <w:r w:rsidR="009A4F91">
        <w:rPr>
          <w:rFonts w:asciiTheme="majorHAnsi" w:hAnsiTheme="majorHAnsi"/>
          <w:sz w:val="20"/>
          <w:szCs w:val="20"/>
        </w:rPr>
        <w:t xml:space="preserve"> </w:t>
      </w:r>
      <w:r w:rsidR="00404714">
        <w:rPr>
          <w:rFonts w:asciiTheme="majorHAnsi" w:hAnsiTheme="majorHAnsi"/>
          <w:sz w:val="20"/>
          <w:szCs w:val="20"/>
        </w:rPr>
        <w:t>the petitioner</w:t>
      </w:r>
      <w:r w:rsidR="00C85A3E" w:rsidRPr="00A51861">
        <w:rPr>
          <w:rFonts w:asciiTheme="majorHAnsi" w:hAnsiTheme="majorHAnsi"/>
          <w:sz w:val="20"/>
          <w:szCs w:val="20"/>
        </w:rPr>
        <w:t xml:space="preserve">, </w:t>
      </w:r>
      <w:r w:rsidR="00A51861" w:rsidRPr="00A51861">
        <w:rPr>
          <w:rFonts w:asciiTheme="majorHAnsi" w:hAnsiTheme="majorHAnsi"/>
          <w:sz w:val="20"/>
          <w:szCs w:val="20"/>
        </w:rPr>
        <w:t xml:space="preserve">Mr. </w:t>
      </w:r>
      <w:r w:rsidR="00C85A3E" w:rsidRPr="00A51861">
        <w:rPr>
          <w:rFonts w:asciiTheme="majorHAnsi" w:hAnsiTheme="majorHAnsi"/>
          <w:sz w:val="20"/>
          <w:szCs w:val="20"/>
        </w:rPr>
        <w:t xml:space="preserve">Nicasio Washington </w:t>
      </w:r>
      <w:r w:rsidR="00404714">
        <w:rPr>
          <w:rFonts w:asciiTheme="majorHAnsi" w:hAnsiTheme="majorHAnsi"/>
          <w:sz w:val="20"/>
          <w:szCs w:val="20"/>
        </w:rPr>
        <w:t>suffered a series of</w:t>
      </w:r>
      <w:r w:rsidR="00E92985">
        <w:rPr>
          <w:rFonts w:asciiTheme="majorHAnsi" w:hAnsiTheme="majorHAnsi"/>
          <w:sz w:val="20"/>
          <w:szCs w:val="20"/>
        </w:rPr>
        <w:t xml:space="preserve"> </w:t>
      </w:r>
      <w:r w:rsidR="00404714">
        <w:rPr>
          <w:rFonts w:asciiTheme="majorHAnsi" w:hAnsiTheme="majorHAnsi"/>
          <w:sz w:val="20"/>
          <w:szCs w:val="20"/>
        </w:rPr>
        <w:t>acts perpetrated</w:t>
      </w:r>
      <w:r w:rsidR="00C85A3E" w:rsidRPr="00A51861">
        <w:rPr>
          <w:rFonts w:asciiTheme="majorHAnsi" w:hAnsiTheme="majorHAnsi"/>
          <w:sz w:val="20"/>
          <w:szCs w:val="20"/>
        </w:rPr>
        <w:t xml:space="preserve"> </w:t>
      </w:r>
      <w:r w:rsidR="00CB0928">
        <w:rPr>
          <w:rFonts w:asciiTheme="majorHAnsi" w:hAnsiTheme="majorHAnsi"/>
          <w:sz w:val="20"/>
          <w:szCs w:val="20"/>
        </w:rPr>
        <w:t xml:space="preserve">against </w:t>
      </w:r>
      <w:r w:rsidR="00404714">
        <w:rPr>
          <w:rFonts w:asciiTheme="majorHAnsi" w:hAnsiTheme="majorHAnsi"/>
          <w:sz w:val="20"/>
          <w:szCs w:val="20"/>
        </w:rPr>
        <w:t>him during the time when he was</w:t>
      </w:r>
      <w:r w:rsidR="00C85A3E" w:rsidRPr="00A51861">
        <w:rPr>
          <w:rFonts w:asciiTheme="majorHAnsi" w:hAnsiTheme="majorHAnsi"/>
          <w:sz w:val="20"/>
          <w:szCs w:val="20"/>
        </w:rPr>
        <w:t xml:space="preserve"> </w:t>
      </w:r>
      <w:r w:rsidR="00CB67C7">
        <w:rPr>
          <w:rFonts w:asciiTheme="majorHAnsi" w:hAnsiTheme="majorHAnsi"/>
          <w:sz w:val="20"/>
          <w:szCs w:val="20"/>
        </w:rPr>
        <w:t>detained</w:t>
      </w:r>
      <w:r w:rsidR="00C85A3E" w:rsidRPr="00A51861">
        <w:rPr>
          <w:rFonts w:asciiTheme="majorHAnsi" w:hAnsiTheme="majorHAnsi"/>
          <w:sz w:val="20"/>
          <w:szCs w:val="20"/>
        </w:rPr>
        <w:t>,</w:t>
      </w:r>
      <w:r w:rsidR="002B762A">
        <w:rPr>
          <w:rFonts w:asciiTheme="majorHAnsi" w:hAnsiTheme="majorHAnsi"/>
          <w:sz w:val="20"/>
          <w:szCs w:val="20"/>
        </w:rPr>
        <w:t xml:space="preserve"> </w:t>
      </w:r>
      <w:r w:rsidR="00404714">
        <w:rPr>
          <w:rFonts w:asciiTheme="majorHAnsi" w:hAnsiTheme="majorHAnsi"/>
          <w:sz w:val="20"/>
          <w:szCs w:val="20"/>
        </w:rPr>
        <w:t>in order to</w:t>
      </w:r>
      <w:r w:rsidR="00E92985">
        <w:rPr>
          <w:rFonts w:asciiTheme="majorHAnsi" w:hAnsiTheme="majorHAnsi"/>
          <w:sz w:val="20"/>
          <w:szCs w:val="20"/>
        </w:rPr>
        <w:t xml:space="preserve"> </w:t>
      </w:r>
      <w:r w:rsidR="00C85A3E" w:rsidRPr="00A51861">
        <w:rPr>
          <w:rFonts w:asciiTheme="majorHAnsi" w:hAnsiTheme="majorHAnsi"/>
          <w:sz w:val="20"/>
          <w:szCs w:val="20"/>
        </w:rPr>
        <w:t>interroga</w:t>
      </w:r>
      <w:r w:rsidR="00404714">
        <w:rPr>
          <w:rFonts w:asciiTheme="majorHAnsi" w:hAnsiTheme="majorHAnsi"/>
          <w:sz w:val="20"/>
          <w:szCs w:val="20"/>
        </w:rPr>
        <w:t>te him</w:t>
      </w:r>
      <w:r w:rsidR="00C85A3E" w:rsidRPr="00A51861">
        <w:rPr>
          <w:rFonts w:asciiTheme="majorHAnsi" w:hAnsiTheme="majorHAnsi"/>
          <w:sz w:val="20"/>
          <w:szCs w:val="20"/>
        </w:rPr>
        <w:t xml:space="preserve"> </w:t>
      </w:r>
      <w:r w:rsidR="00404714">
        <w:rPr>
          <w:rFonts w:asciiTheme="majorHAnsi" w:hAnsiTheme="majorHAnsi"/>
          <w:sz w:val="20"/>
          <w:szCs w:val="20"/>
        </w:rPr>
        <w:t>about the location of one of his</w:t>
      </w:r>
      <w:r w:rsidR="00E92985">
        <w:rPr>
          <w:rFonts w:asciiTheme="majorHAnsi" w:hAnsiTheme="majorHAnsi"/>
          <w:sz w:val="20"/>
          <w:szCs w:val="20"/>
        </w:rPr>
        <w:t xml:space="preserve"> </w:t>
      </w:r>
      <w:r w:rsidR="00BE5683">
        <w:rPr>
          <w:rFonts w:asciiTheme="majorHAnsi" w:hAnsiTheme="majorHAnsi"/>
          <w:sz w:val="20"/>
          <w:szCs w:val="20"/>
        </w:rPr>
        <w:t>Uruguayan</w:t>
      </w:r>
      <w:r w:rsidR="00404714">
        <w:rPr>
          <w:rFonts w:asciiTheme="majorHAnsi" w:hAnsiTheme="majorHAnsi"/>
          <w:sz w:val="20"/>
          <w:szCs w:val="20"/>
        </w:rPr>
        <w:t xml:space="preserve"> friends</w:t>
      </w:r>
      <w:r w:rsidR="002B762A">
        <w:rPr>
          <w:rFonts w:asciiTheme="majorHAnsi" w:hAnsiTheme="majorHAnsi"/>
          <w:sz w:val="20"/>
          <w:szCs w:val="20"/>
        </w:rPr>
        <w:t xml:space="preserve"> with </w:t>
      </w:r>
      <w:r w:rsidR="00404714">
        <w:rPr>
          <w:rFonts w:asciiTheme="majorHAnsi" w:hAnsiTheme="majorHAnsi"/>
          <w:sz w:val="20"/>
          <w:szCs w:val="20"/>
        </w:rPr>
        <w:t>whom he had lived in</w:t>
      </w:r>
      <w:r w:rsidR="00C85A3E" w:rsidRPr="00A51861">
        <w:rPr>
          <w:rFonts w:asciiTheme="majorHAnsi" w:hAnsiTheme="majorHAnsi"/>
          <w:sz w:val="20"/>
          <w:szCs w:val="20"/>
        </w:rPr>
        <w:t xml:space="preserve"> Argentina,</w:t>
      </w:r>
      <w:r w:rsidR="00E92985">
        <w:rPr>
          <w:rFonts w:asciiTheme="majorHAnsi" w:hAnsiTheme="majorHAnsi"/>
          <w:sz w:val="20"/>
          <w:szCs w:val="20"/>
        </w:rPr>
        <w:t xml:space="preserve"> and </w:t>
      </w:r>
      <w:r w:rsidR="00404714">
        <w:rPr>
          <w:rFonts w:asciiTheme="majorHAnsi" w:hAnsiTheme="majorHAnsi"/>
          <w:sz w:val="20"/>
          <w:szCs w:val="20"/>
        </w:rPr>
        <w:t>on</w:t>
      </w:r>
      <w:r w:rsidR="009A4F91">
        <w:rPr>
          <w:rFonts w:asciiTheme="majorHAnsi" w:hAnsiTheme="majorHAnsi"/>
          <w:sz w:val="20"/>
          <w:szCs w:val="20"/>
        </w:rPr>
        <w:t xml:space="preserve"> the </w:t>
      </w:r>
      <w:r w:rsidR="00404714" w:rsidRPr="00A51861">
        <w:rPr>
          <w:rFonts w:asciiTheme="majorHAnsi" w:hAnsiTheme="majorHAnsi"/>
          <w:sz w:val="20"/>
          <w:szCs w:val="20"/>
        </w:rPr>
        <w:t>political</w:t>
      </w:r>
      <w:r w:rsidR="004969F4">
        <w:rPr>
          <w:rFonts w:asciiTheme="majorHAnsi" w:hAnsiTheme="majorHAnsi"/>
          <w:sz w:val="20"/>
          <w:szCs w:val="20"/>
        </w:rPr>
        <w:t xml:space="preserve"> </w:t>
      </w:r>
      <w:r w:rsidR="00404714">
        <w:rPr>
          <w:rFonts w:asciiTheme="majorHAnsi" w:hAnsiTheme="majorHAnsi"/>
          <w:sz w:val="20"/>
          <w:szCs w:val="20"/>
        </w:rPr>
        <w:t>situation</w:t>
      </w:r>
      <w:r w:rsidR="00404714" w:rsidRPr="00A51861">
        <w:rPr>
          <w:rFonts w:asciiTheme="majorHAnsi" w:hAnsiTheme="majorHAnsi"/>
          <w:sz w:val="20"/>
          <w:szCs w:val="20"/>
        </w:rPr>
        <w:t xml:space="preserve"> </w:t>
      </w:r>
      <w:r w:rsidR="002B762A">
        <w:rPr>
          <w:rFonts w:asciiTheme="majorHAnsi" w:hAnsiTheme="majorHAnsi"/>
          <w:sz w:val="20"/>
          <w:szCs w:val="20"/>
        </w:rPr>
        <w:t>of Uruguay</w:t>
      </w:r>
      <w:r w:rsidR="00C85A3E" w:rsidRPr="00A51861">
        <w:rPr>
          <w:rFonts w:asciiTheme="majorHAnsi" w:hAnsiTheme="majorHAnsi"/>
          <w:sz w:val="20"/>
          <w:szCs w:val="20"/>
        </w:rPr>
        <w:t xml:space="preserve">, </w:t>
      </w:r>
      <w:r w:rsidR="00404714">
        <w:rPr>
          <w:rFonts w:asciiTheme="majorHAnsi" w:hAnsiTheme="majorHAnsi"/>
          <w:sz w:val="20"/>
          <w:szCs w:val="20"/>
        </w:rPr>
        <w:t>which meets the</w:t>
      </w:r>
      <w:r w:rsidR="00254A68" w:rsidRPr="00A51861">
        <w:rPr>
          <w:rFonts w:asciiTheme="majorHAnsi" w:hAnsiTheme="majorHAnsi"/>
          <w:sz w:val="20"/>
          <w:szCs w:val="20"/>
        </w:rPr>
        <w:t xml:space="preserve"> </w:t>
      </w:r>
      <w:r w:rsidR="00EC7A58">
        <w:rPr>
          <w:rFonts w:asciiTheme="majorHAnsi" w:hAnsiTheme="majorHAnsi"/>
          <w:sz w:val="20"/>
          <w:szCs w:val="20"/>
        </w:rPr>
        <w:t>requirement</w:t>
      </w:r>
      <w:r w:rsidR="00E92985">
        <w:rPr>
          <w:rFonts w:asciiTheme="majorHAnsi" w:hAnsiTheme="majorHAnsi"/>
          <w:sz w:val="20"/>
          <w:szCs w:val="20"/>
        </w:rPr>
        <w:t xml:space="preserve"> of </w:t>
      </w:r>
      <w:r w:rsidR="00404714">
        <w:rPr>
          <w:rFonts w:asciiTheme="majorHAnsi" w:hAnsiTheme="majorHAnsi"/>
          <w:sz w:val="20"/>
          <w:szCs w:val="20"/>
        </w:rPr>
        <w:t>purpose</w:t>
      </w:r>
      <w:r w:rsidR="001D1D61">
        <w:rPr>
          <w:rFonts w:asciiTheme="majorHAnsi" w:hAnsiTheme="majorHAnsi"/>
          <w:sz w:val="20"/>
          <w:szCs w:val="20"/>
        </w:rPr>
        <w:t>. Th</w:t>
      </w:r>
      <w:r w:rsidR="00E92985">
        <w:rPr>
          <w:rFonts w:asciiTheme="majorHAnsi" w:hAnsiTheme="majorHAnsi"/>
          <w:sz w:val="20"/>
          <w:szCs w:val="20"/>
        </w:rPr>
        <w:t>e Commission</w:t>
      </w:r>
      <w:r w:rsidR="004F04D1" w:rsidRPr="00A51861">
        <w:rPr>
          <w:rFonts w:asciiTheme="majorHAnsi" w:hAnsiTheme="majorHAnsi"/>
          <w:sz w:val="20"/>
          <w:szCs w:val="20"/>
        </w:rPr>
        <w:t xml:space="preserve"> </w:t>
      </w:r>
      <w:r w:rsidR="00A51861" w:rsidRPr="00A51861">
        <w:rPr>
          <w:rFonts w:asciiTheme="majorHAnsi" w:hAnsiTheme="majorHAnsi"/>
          <w:sz w:val="20"/>
          <w:szCs w:val="20"/>
        </w:rPr>
        <w:t>considers that</w:t>
      </w:r>
      <w:r w:rsidR="00E92985">
        <w:rPr>
          <w:rFonts w:asciiTheme="majorHAnsi" w:hAnsiTheme="majorHAnsi"/>
          <w:sz w:val="20"/>
          <w:szCs w:val="20"/>
        </w:rPr>
        <w:t xml:space="preserve"> </w:t>
      </w:r>
      <w:r w:rsidR="00404714">
        <w:rPr>
          <w:rFonts w:asciiTheme="majorHAnsi" w:hAnsiTheme="majorHAnsi"/>
          <w:sz w:val="20"/>
          <w:szCs w:val="20"/>
        </w:rPr>
        <w:t>according to</w:t>
      </w:r>
      <w:r w:rsidR="009A4F91">
        <w:rPr>
          <w:rFonts w:asciiTheme="majorHAnsi" w:hAnsiTheme="majorHAnsi"/>
          <w:sz w:val="20"/>
          <w:szCs w:val="20"/>
        </w:rPr>
        <w:t xml:space="preserve"> the </w:t>
      </w:r>
      <w:r w:rsidR="00A51861" w:rsidRPr="00A51861">
        <w:rPr>
          <w:rFonts w:asciiTheme="majorHAnsi" w:hAnsiTheme="majorHAnsi"/>
          <w:sz w:val="20"/>
          <w:szCs w:val="20"/>
        </w:rPr>
        <w:t>information</w:t>
      </w:r>
      <w:r w:rsidR="004F04D1" w:rsidRPr="00A51861">
        <w:rPr>
          <w:rFonts w:asciiTheme="majorHAnsi" w:hAnsiTheme="majorHAnsi"/>
          <w:sz w:val="20"/>
          <w:szCs w:val="20"/>
        </w:rPr>
        <w:t xml:space="preserve"> </w:t>
      </w:r>
      <w:r w:rsidR="00404714">
        <w:rPr>
          <w:rFonts w:asciiTheme="majorHAnsi" w:hAnsiTheme="majorHAnsi"/>
          <w:sz w:val="20"/>
          <w:szCs w:val="20"/>
        </w:rPr>
        <w:t xml:space="preserve">provided by </w:t>
      </w:r>
      <w:r w:rsidR="00E92985">
        <w:rPr>
          <w:rFonts w:asciiTheme="majorHAnsi" w:hAnsiTheme="majorHAnsi"/>
          <w:sz w:val="20"/>
          <w:szCs w:val="20"/>
        </w:rPr>
        <w:t>the petitioner</w:t>
      </w:r>
      <w:r w:rsidR="004F04D1" w:rsidRPr="00A51861">
        <w:rPr>
          <w:rFonts w:asciiTheme="majorHAnsi" w:hAnsiTheme="majorHAnsi"/>
          <w:sz w:val="20"/>
          <w:szCs w:val="20"/>
        </w:rPr>
        <w:t xml:space="preserve">, </w:t>
      </w:r>
      <w:r w:rsidR="00404714">
        <w:rPr>
          <w:rFonts w:asciiTheme="majorHAnsi" w:hAnsiTheme="majorHAnsi"/>
          <w:sz w:val="20"/>
          <w:szCs w:val="20"/>
        </w:rPr>
        <w:t>for</w:t>
      </w:r>
      <w:r w:rsidR="006A3C04">
        <w:rPr>
          <w:rFonts w:asciiTheme="majorHAnsi" w:hAnsiTheme="majorHAnsi"/>
          <w:sz w:val="20"/>
          <w:szCs w:val="20"/>
        </w:rPr>
        <w:t xml:space="preserve"> the facts</w:t>
      </w:r>
      <w:r w:rsidR="004F04D1" w:rsidRPr="00A51861">
        <w:rPr>
          <w:rFonts w:asciiTheme="majorHAnsi" w:hAnsiTheme="majorHAnsi"/>
          <w:sz w:val="20"/>
          <w:szCs w:val="20"/>
        </w:rPr>
        <w:t xml:space="preserve"> </w:t>
      </w:r>
      <w:r w:rsidR="00404714">
        <w:rPr>
          <w:rFonts w:asciiTheme="majorHAnsi" w:hAnsiTheme="majorHAnsi"/>
          <w:sz w:val="20"/>
          <w:szCs w:val="20"/>
        </w:rPr>
        <w:t xml:space="preserve">as a whole in the </w:t>
      </w:r>
      <w:r w:rsidR="008A5EBA">
        <w:rPr>
          <w:rFonts w:asciiTheme="majorHAnsi" w:hAnsiTheme="majorHAnsi"/>
          <w:sz w:val="20"/>
          <w:szCs w:val="20"/>
        </w:rPr>
        <w:t>lapse of one month</w:t>
      </w:r>
      <w:r w:rsidR="004F04D1" w:rsidRPr="00A51861">
        <w:rPr>
          <w:rFonts w:asciiTheme="majorHAnsi" w:hAnsiTheme="majorHAnsi"/>
          <w:sz w:val="20"/>
          <w:szCs w:val="20"/>
        </w:rPr>
        <w:t xml:space="preserve"> </w:t>
      </w:r>
      <w:r w:rsidR="008A5EBA">
        <w:rPr>
          <w:rFonts w:asciiTheme="majorHAnsi" w:hAnsiTheme="majorHAnsi"/>
          <w:sz w:val="20"/>
          <w:szCs w:val="20"/>
        </w:rPr>
        <w:t>during which he was</w:t>
      </w:r>
      <w:r w:rsidR="004F04D1" w:rsidRPr="00A51861">
        <w:rPr>
          <w:rFonts w:asciiTheme="majorHAnsi" w:hAnsiTheme="majorHAnsi"/>
          <w:sz w:val="20"/>
          <w:szCs w:val="20"/>
        </w:rPr>
        <w:t xml:space="preserve"> </w:t>
      </w:r>
      <w:r w:rsidR="00CB67C7">
        <w:rPr>
          <w:rFonts w:asciiTheme="majorHAnsi" w:hAnsiTheme="majorHAnsi"/>
          <w:sz w:val="20"/>
          <w:szCs w:val="20"/>
        </w:rPr>
        <w:t>detained</w:t>
      </w:r>
      <w:r w:rsidR="004F04D1" w:rsidRPr="00A51861">
        <w:rPr>
          <w:rFonts w:asciiTheme="majorHAnsi" w:hAnsiTheme="majorHAnsi"/>
          <w:sz w:val="20"/>
          <w:szCs w:val="20"/>
        </w:rPr>
        <w:t xml:space="preserve">, </w:t>
      </w:r>
      <w:r w:rsidR="008A5EBA">
        <w:rPr>
          <w:rFonts w:asciiTheme="majorHAnsi" w:hAnsiTheme="majorHAnsi"/>
          <w:sz w:val="20"/>
          <w:szCs w:val="20"/>
        </w:rPr>
        <w:t>the</w:t>
      </w:r>
      <w:r w:rsidR="004F04D1" w:rsidRPr="00A51861">
        <w:rPr>
          <w:rFonts w:asciiTheme="majorHAnsi" w:hAnsiTheme="majorHAnsi"/>
          <w:sz w:val="20"/>
          <w:szCs w:val="20"/>
        </w:rPr>
        <w:t xml:space="preserve"> </w:t>
      </w:r>
      <w:r w:rsidR="008A5EBA">
        <w:rPr>
          <w:rFonts w:asciiTheme="majorHAnsi" w:hAnsiTheme="majorHAnsi"/>
          <w:sz w:val="20"/>
          <w:szCs w:val="20"/>
        </w:rPr>
        <w:t>treatment</w:t>
      </w:r>
      <w:r w:rsidR="004F04D1" w:rsidRPr="00A51861">
        <w:rPr>
          <w:rFonts w:asciiTheme="majorHAnsi" w:hAnsiTheme="majorHAnsi"/>
          <w:sz w:val="20"/>
          <w:szCs w:val="20"/>
        </w:rPr>
        <w:t xml:space="preserve"> </w:t>
      </w:r>
      <w:r w:rsidR="00404714">
        <w:rPr>
          <w:rFonts w:asciiTheme="majorHAnsi" w:hAnsiTheme="majorHAnsi"/>
          <w:sz w:val="20"/>
          <w:szCs w:val="20"/>
        </w:rPr>
        <w:t>inflicted</w:t>
      </w:r>
      <w:r w:rsidR="004F04D1" w:rsidRPr="00A51861">
        <w:rPr>
          <w:rFonts w:asciiTheme="majorHAnsi" w:hAnsiTheme="majorHAnsi"/>
          <w:sz w:val="20"/>
          <w:szCs w:val="20"/>
        </w:rPr>
        <w:t xml:space="preserve"> </w:t>
      </w:r>
      <w:r w:rsidR="008A5EBA">
        <w:rPr>
          <w:rFonts w:asciiTheme="majorHAnsi" w:hAnsiTheme="majorHAnsi"/>
          <w:sz w:val="20"/>
          <w:szCs w:val="20"/>
        </w:rPr>
        <w:t>over</w:t>
      </w:r>
      <w:r w:rsidR="004F04D1" w:rsidRPr="00A51861">
        <w:rPr>
          <w:rFonts w:asciiTheme="majorHAnsi" w:hAnsiTheme="majorHAnsi"/>
          <w:sz w:val="20"/>
          <w:szCs w:val="20"/>
        </w:rPr>
        <w:t xml:space="preserve"> </w:t>
      </w:r>
      <w:r w:rsidR="00A51861" w:rsidRPr="00A51861">
        <w:rPr>
          <w:rFonts w:asciiTheme="majorHAnsi" w:hAnsiTheme="majorHAnsi"/>
          <w:sz w:val="20"/>
          <w:szCs w:val="20"/>
        </w:rPr>
        <w:t xml:space="preserve">Mr. </w:t>
      </w:r>
      <w:r w:rsidR="004F04D1" w:rsidRPr="00A51861">
        <w:rPr>
          <w:rFonts w:asciiTheme="majorHAnsi" w:hAnsiTheme="majorHAnsi"/>
          <w:sz w:val="20"/>
          <w:szCs w:val="20"/>
        </w:rPr>
        <w:t>Romero</w:t>
      </w:r>
      <w:r w:rsidR="002B762A">
        <w:rPr>
          <w:rFonts w:asciiTheme="majorHAnsi" w:hAnsiTheme="majorHAnsi"/>
          <w:sz w:val="20"/>
          <w:szCs w:val="20"/>
        </w:rPr>
        <w:t xml:space="preserve"> with </w:t>
      </w:r>
      <w:r w:rsidR="00404714">
        <w:rPr>
          <w:rFonts w:asciiTheme="majorHAnsi" w:hAnsiTheme="majorHAnsi"/>
          <w:sz w:val="20"/>
          <w:szCs w:val="20"/>
        </w:rPr>
        <w:t>the purpose</w:t>
      </w:r>
      <w:r w:rsidR="00E92985">
        <w:rPr>
          <w:rFonts w:asciiTheme="majorHAnsi" w:hAnsiTheme="majorHAnsi"/>
          <w:sz w:val="20"/>
          <w:szCs w:val="20"/>
        </w:rPr>
        <w:t xml:space="preserve"> </w:t>
      </w:r>
      <w:r w:rsidR="008A5EBA">
        <w:rPr>
          <w:rFonts w:asciiTheme="majorHAnsi" w:hAnsiTheme="majorHAnsi"/>
          <w:sz w:val="20"/>
          <w:szCs w:val="20"/>
        </w:rPr>
        <w:t>of interrogating him</w:t>
      </w:r>
      <w:r w:rsidR="004F04D1" w:rsidRPr="00A51861">
        <w:rPr>
          <w:rFonts w:asciiTheme="majorHAnsi" w:hAnsiTheme="majorHAnsi"/>
          <w:sz w:val="20"/>
          <w:szCs w:val="20"/>
        </w:rPr>
        <w:t>,</w:t>
      </w:r>
      <w:r w:rsidR="00254A68" w:rsidRPr="00A51861">
        <w:rPr>
          <w:rFonts w:asciiTheme="majorHAnsi" w:hAnsiTheme="majorHAnsi"/>
          <w:sz w:val="20"/>
          <w:szCs w:val="20"/>
        </w:rPr>
        <w:t xml:space="preserve"> </w:t>
      </w:r>
      <w:r w:rsidR="008A5EBA">
        <w:rPr>
          <w:rFonts w:asciiTheme="majorHAnsi" w:hAnsiTheme="majorHAnsi"/>
          <w:sz w:val="20"/>
          <w:szCs w:val="20"/>
        </w:rPr>
        <w:t>reaches the level</w:t>
      </w:r>
      <w:r w:rsidR="00E92985">
        <w:rPr>
          <w:rFonts w:asciiTheme="majorHAnsi" w:hAnsiTheme="majorHAnsi"/>
          <w:sz w:val="20"/>
          <w:szCs w:val="20"/>
        </w:rPr>
        <w:t xml:space="preserve"> of </w:t>
      </w:r>
      <w:r w:rsidR="00F406E1">
        <w:rPr>
          <w:rFonts w:asciiTheme="majorHAnsi" w:hAnsiTheme="majorHAnsi"/>
          <w:sz w:val="20"/>
          <w:szCs w:val="20"/>
        </w:rPr>
        <w:t>torture</w:t>
      </w:r>
      <w:r w:rsidR="004F04D1" w:rsidRPr="00A51861">
        <w:rPr>
          <w:rFonts w:asciiTheme="majorHAnsi" w:hAnsiTheme="majorHAnsi"/>
          <w:sz w:val="20"/>
          <w:szCs w:val="20"/>
        </w:rPr>
        <w:t xml:space="preserve">, </w:t>
      </w:r>
      <w:r w:rsidR="008A5EBA">
        <w:rPr>
          <w:rFonts w:asciiTheme="majorHAnsi" w:hAnsiTheme="majorHAnsi"/>
          <w:sz w:val="20"/>
          <w:szCs w:val="20"/>
        </w:rPr>
        <w:t>since it included beatings</w:t>
      </w:r>
      <w:r w:rsidR="004F04D1" w:rsidRPr="00A51861">
        <w:rPr>
          <w:rFonts w:asciiTheme="majorHAnsi" w:hAnsiTheme="majorHAnsi"/>
          <w:sz w:val="20"/>
          <w:szCs w:val="20"/>
        </w:rPr>
        <w:t xml:space="preserve">, </w:t>
      </w:r>
      <w:r w:rsidR="00B31FB5" w:rsidRPr="00A51861">
        <w:rPr>
          <w:rFonts w:asciiTheme="majorHAnsi" w:hAnsiTheme="majorHAnsi"/>
          <w:sz w:val="20"/>
          <w:szCs w:val="20"/>
        </w:rPr>
        <w:t>us</w:t>
      </w:r>
      <w:r w:rsidR="008A5EBA">
        <w:rPr>
          <w:rFonts w:asciiTheme="majorHAnsi" w:hAnsiTheme="majorHAnsi"/>
          <w:sz w:val="20"/>
          <w:szCs w:val="20"/>
        </w:rPr>
        <w:t>e</w:t>
      </w:r>
      <w:r w:rsidR="00E92985">
        <w:rPr>
          <w:rFonts w:asciiTheme="majorHAnsi" w:hAnsiTheme="majorHAnsi"/>
          <w:sz w:val="20"/>
          <w:szCs w:val="20"/>
        </w:rPr>
        <w:t xml:space="preserve"> of </w:t>
      </w:r>
      <w:r w:rsidR="00AA5556">
        <w:rPr>
          <w:rFonts w:asciiTheme="majorHAnsi" w:hAnsiTheme="majorHAnsi"/>
          <w:sz w:val="20"/>
          <w:szCs w:val="20"/>
        </w:rPr>
        <w:t>instrument</w:t>
      </w:r>
      <w:r w:rsidR="00B31FB5" w:rsidRPr="00A51861">
        <w:rPr>
          <w:rFonts w:asciiTheme="majorHAnsi" w:hAnsiTheme="majorHAnsi"/>
          <w:sz w:val="20"/>
          <w:szCs w:val="20"/>
        </w:rPr>
        <w:t xml:space="preserve">s </w:t>
      </w:r>
      <w:r w:rsidR="008A5EBA">
        <w:rPr>
          <w:rFonts w:asciiTheme="majorHAnsi" w:hAnsiTheme="majorHAnsi"/>
          <w:sz w:val="20"/>
          <w:szCs w:val="20"/>
        </w:rPr>
        <w:t>such as prods</w:t>
      </w:r>
      <w:r w:rsidR="00B31FB5" w:rsidRPr="00A51861">
        <w:rPr>
          <w:rFonts w:asciiTheme="majorHAnsi" w:hAnsiTheme="majorHAnsi"/>
          <w:sz w:val="20"/>
          <w:szCs w:val="20"/>
        </w:rPr>
        <w:t xml:space="preserve">, </w:t>
      </w:r>
      <w:r w:rsidR="008A5EBA">
        <w:rPr>
          <w:rFonts w:asciiTheme="majorHAnsi" w:hAnsiTheme="majorHAnsi"/>
          <w:sz w:val="20"/>
          <w:szCs w:val="20"/>
        </w:rPr>
        <w:t>keeping him</w:t>
      </w:r>
      <w:r w:rsidR="004F04D1" w:rsidRPr="00A51861">
        <w:rPr>
          <w:rFonts w:asciiTheme="majorHAnsi" w:hAnsiTheme="majorHAnsi"/>
          <w:sz w:val="20"/>
          <w:szCs w:val="20"/>
        </w:rPr>
        <w:t xml:space="preserve"> </w:t>
      </w:r>
      <w:r w:rsidR="008A5EBA" w:rsidRPr="00A51861">
        <w:rPr>
          <w:rFonts w:asciiTheme="majorHAnsi" w:hAnsiTheme="majorHAnsi"/>
          <w:sz w:val="20"/>
          <w:szCs w:val="20"/>
        </w:rPr>
        <w:t>incommunicado</w:t>
      </w:r>
      <w:r w:rsidR="00E92985">
        <w:rPr>
          <w:rFonts w:asciiTheme="majorHAnsi" w:hAnsiTheme="majorHAnsi"/>
          <w:sz w:val="20"/>
          <w:szCs w:val="20"/>
        </w:rPr>
        <w:t xml:space="preserve"> and </w:t>
      </w:r>
      <w:r w:rsidR="008A5EBA">
        <w:rPr>
          <w:rFonts w:asciiTheme="majorHAnsi" w:hAnsiTheme="majorHAnsi"/>
          <w:sz w:val="20"/>
          <w:szCs w:val="20"/>
        </w:rPr>
        <w:t>blindfolded</w:t>
      </w:r>
      <w:r w:rsidR="004F04D1" w:rsidRPr="00A51861">
        <w:rPr>
          <w:rFonts w:asciiTheme="majorHAnsi" w:hAnsiTheme="majorHAnsi"/>
          <w:sz w:val="20"/>
          <w:szCs w:val="20"/>
        </w:rPr>
        <w:t>,</w:t>
      </w:r>
      <w:r w:rsidR="00B31FB5" w:rsidRPr="00A51861">
        <w:rPr>
          <w:rFonts w:asciiTheme="majorHAnsi" w:hAnsiTheme="majorHAnsi"/>
          <w:sz w:val="20"/>
          <w:szCs w:val="20"/>
        </w:rPr>
        <w:t xml:space="preserve"> </w:t>
      </w:r>
      <w:r w:rsidR="008A5EBA">
        <w:rPr>
          <w:rFonts w:asciiTheme="majorHAnsi" w:hAnsiTheme="majorHAnsi"/>
          <w:sz w:val="20"/>
          <w:szCs w:val="20"/>
        </w:rPr>
        <w:t>constant transfers</w:t>
      </w:r>
      <w:r w:rsidR="00B31FB5" w:rsidRPr="00A51861">
        <w:rPr>
          <w:rFonts w:asciiTheme="majorHAnsi" w:hAnsiTheme="majorHAnsi"/>
          <w:sz w:val="20"/>
          <w:szCs w:val="20"/>
        </w:rPr>
        <w:t>,</w:t>
      </w:r>
      <w:r w:rsidR="004F04D1" w:rsidRPr="00A51861">
        <w:rPr>
          <w:rFonts w:asciiTheme="majorHAnsi" w:hAnsiTheme="majorHAnsi"/>
          <w:sz w:val="20"/>
          <w:szCs w:val="20"/>
        </w:rPr>
        <w:t xml:space="preserve"> </w:t>
      </w:r>
      <w:r w:rsidR="0045141A">
        <w:rPr>
          <w:rFonts w:ascii="Cambria" w:hAnsi="Cambria"/>
          <w:color w:val="000000" w:themeColor="text1"/>
          <w:sz w:val="20"/>
          <w:szCs w:val="20"/>
        </w:rPr>
        <w:t xml:space="preserve">deprivation of </w:t>
      </w:r>
      <w:r w:rsidR="008A5EBA">
        <w:rPr>
          <w:rFonts w:asciiTheme="majorHAnsi" w:hAnsiTheme="majorHAnsi"/>
          <w:sz w:val="20"/>
          <w:szCs w:val="20"/>
        </w:rPr>
        <w:t>food</w:t>
      </w:r>
      <w:r w:rsidR="004F04D1" w:rsidRPr="00A51861">
        <w:rPr>
          <w:rFonts w:asciiTheme="majorHAnsi" w:hAnsiTheme="majorHAnsi"/>
          <w:sz w:val="20"/>
          <w:szCs w:val="20"/>
        </w:rPr>
        <w:t xml:space="preserve">, </w:t>
      </w:r>
      <w:r w:rsidR="008A5EBA">
        <w:rPr>
          <w:rFonts w:asciiTheme="majorHAnsi" w:hAnsiTheme="majorHAnsi"/>
          <w:sz w:val="20"/>
          <w:szCs w:val="20"/>
        </w:rPr>
        <w:t>which even made him pass out on</w:t>
      </w:r>
      <w:r w:rsidR="00B31FB5" w:rsidRPr="00A51861">
        <w:rPr>
          <w:rFonts w:asciiTheme="majorHAnsi" w:hAnsiTheme="majorHAnsi"/>
          <w:sz w:val="20"/>
          <w:szCs w:val="20"/>
        </w:rPr>
        <w:t xml:space="preserve"> </w:t>
      </w:r>
      <w:r w:rsidR="003A78FE">
        <w:rPr>
          <w:rFonts w:asciiTheme="majorHAnsi" w:hAnsiTheme="majorHAnsi"/>
          <w:sz w:val="20"/>
          <w:szCs w:val="20"/>
        </w:rPr>
        <w:t>several</w:t>
      </w:r>
      <w:r w:rsidR="00B31FB5" w:rsidRPr="00A51861">
        <w:rPr>
          <w:rFonts w:asciiTheme="majorHAnsi" w:hAnsiTheme="majorHAnsi"/>
          <w:sz w:val="20"/>
          <w:szCs w:val="20"/>
        </w:rPr>
        <w:t xml:space="preserve"> </w:t>
      </w:r>
      <w:r w:rsidR="00D70A85">
        <w:rPr>
          <w:rFonts w:asciiTheme="majorHAnsi" w:hAnsiTheme="majorHAnsi"/>
          <w:sz w:val="20"/>
          <w:szCs w:val="20"/>
        </w:rPr>
        <w:t>occasions</w:t>
      </w:r>
      <w:r w:rsidR="004F04D1" w:rsidRPr="00A51861">
        <w:rPr>
          <w:rFonts w:asciiTheme="majorHAnsi" w:hAnsiTheme="majorHAnsi"/>
          <w:sz w:val="20"/>
          <w:szCs w:val="20"/>
        </w:rPr>
        <w:t>,</w:t>
      </w:r>
      <w:r w:rsidR="00E92985">
        <w:rPr>
          <w:rFonts w:asciiTheme="majorHAnsi" w:hAnsiTheme="majorHAnsi"/>
          <w:sz w:val="20"/>
          <w:szCs w:val="20"/>
        </w:rPr>
        <w:t xml:space="preserve"> and </w:t>
      </w:r>
      <w:r w:rsidR="004F04D1" w:rsidRPr="00A51861">
        <w:rPr>
          <w:rFonts w:asciiTheme="majorHAnsi" w:hAnsiTheme="majorHAnsi"/>
          <w:sz w:val="20"/>
          <w:szCs w:val="20"/>
        </w:rPr>
        <w:t>fin</w:t>
      </w:r>
      <w:r w:rsidR="00AA5191" w:rsidRPr="00A51861">
        <w:rPr>
          <w:rFonts w:asciiTheme="majorHAnsi" w:hAnsiTheme="majorHAnsi"/>
          <w:sz w:val="20"/>
          <w:szCs w:val="20"/>
        </w:rPr>
        <w:t>al</w:t>
      </w:r>
      <w:r w:rsidR="0029564F">
        <w:rPr>
          <w:rFonts w:asciiTheme="majorHAnsi" w:hAnsiTheme="majorHAnsi"/>
          <w:sz w:val="20"/>
          <w:szCs w:val="20"/>
        </w:rPr>
        <w:t xml:space="preserve">ly </w:t>
      </w:r>
      <w:r w:rsidR="008A5EBA">
        <w:rPr>
          <w:rFonts w:asciiTheme="majorHAnsi" w:hAnsiTheme="majorHAnsi"/>
          <w:sz w:val="20"/>
          <w:szCs w:val="20"/>
        </w:rPr>
        <w:t>when being released he was threatened of being murdered if he did not leave</w:t>
      </w:r>
      <w:r w:rsidR="00E92985">
        <w:rPr>
          <w:rFonts w:asciiTheme="majorHAnsi" w:hAnsiTheme="majorHAnsi"/>
          <w:sz w:val="20"/>
          <w:szCs w:val="20"/>
        </w:rPr>
        <w:t xml:space="preserve"> </w:t>
      </w:r>
      <w:r w:rsidR="004F04D1" w:rsidRPr="00A51861">
        <w:rPr>
          <w:rFonts w:asciiTheme="majorHAnsi" w:hAnsiTheme="majorHAnsi"/>
          <w:sz w:val="20"/>
          <w:szCs w:val="20"/>
        </w:rPr>
        <w:t>Argentina.</w:t>
      </w:r>
      <w:r w:rsidR="00FC257E">
        <w:rPr>
          <w:rFonts w:asciiTheme="majorHAnsi" w:hAnsiTheme="majorHAnsi"/>
          <w:sz w:val="20"/>
          <w:szCs w:val="20"/>
        </w:rPr>
        <w:t xml:space="preserve"> Likewise, </w:t>
      </w:r>
      <w:r w:rsidR="00A51861" w:rsidRPr="00A51861">
        <w:rPr>
          <w:rFonts w:asciiTheme="majorHAnsi" w:hAnsiTheme="majorHAnsi"/>
          <w:sz w:val="20"/>
          <w:szCs w:val="20"/>
        </w:rPr>
        <w:t xml:space="preserve">Mr. </w:t>
      </w:r>
      <w:r w:rsidR="00AA5191" w:rsidRPr="00A51861">
        <w:rPr>
          <w:rFonts w:asciiTheme="majorHAnsi" w:hAnsiTheme="majorHAnsi"/>
          <w:sz w:val="20"/>
          <w:szCs w:val="20"/>
        </w:rPr>
        <w:t xml:space="preserve">Romero </w:t>
      </w:r>
      <w:r w:rsidR="008A5EBA">
        <w:rPr>
          <w:rFonts w:asciiTheme="majorHAnsi" w:hAnsiTheme="majorHAnsi"/>
          <w:sz w:val="20"/>
          <w:szCs w:val="20"/>
        </w:rPr>
        <w:t>learned</w:t>
      </w:r>
      <w:r w:rsidR="00E92985">
        <w:rPr>
          <w:rFonts w:asciiTheme="majorHAnsi" w:hAnsiTheme="majorHAnsi"/>
          <w:sz w:val="20"/>
          <w:szCs w:val="20"/>
        </w:rPr>
        <w:t xml:space="preserve"> of </w:t>
      </w:r>
      <w:r w:rsidR="008A5EBA">
        <w:rPr>
          <w:rFonts w:asciiTheme="majorHAnsi" w:hAnsiTheme="majorHAnsi"/>
          <w:sz w:val="20"/>
          <w:szCs w:val="20"/>
        </w:rPr>
        <w:t>the</w:t>
      </w:r>
      <w:r w:rsidR="00AA5191" w:rsidRPr="00A51861">
        <w:rPr>
          <w:rFonts w:asciiTheme="majorHAnsi" w:hAnsiTheme="majorHAnsi"/>
          <w:sz w:val="20"/>
          <w:szCs w:val="20"/>
        </w:rPr>
        <w:t xml:space="preserve"> </w:t>
      </w:r>
      <w:r w:rsidR="008A5EBA">
        <w:rPr>
          <w:rFonts w:asciiTheme="majorHAnsi" w:hAnsiTheme="majorHAnsi"/>
          <w:sz w:val="20"/>
          <w:szCs w:val="20"/>
        </w:rPr>
        <w:t>further murders</w:t>
      </w:r>
      <w:r w:rsidR="00E92985">
        <w:rPr>
          <w:rFonts w:asciiTheme="majorHAnsi" w:hAnsiTheme="majorHAnsi"/>
          <w:sz w:val="20"/>
          <w:szCs w:val="20"/>
        </w:rPr>
        <w:t xml:space="preserve"> of </w:t>
      </w:r>
      <w:r w:rsidR="00BE5683">
        <w:rPr>
          <w:rFonts w:asciiTheme="majorHAnsi" w:hAnsiTheme="majorHAnsi"/>
          <w:sz w:val="20"/>
          <w:szCs w:val="20"/>
        </w:rPr>
        <w:t>Uruguayan</w:t>
      </w:r>
      <w:r w:rsidR="00AA5191" w:rsidRPr="00A51861">
        <w:rPr>
          <w:rFonts w:asciiTheme="majorHAnsi" w:hAnsiTheme="majorHAnsi"/>
          <w:sz w:val="20"/>
          <w:szCs w:val="20"/>
        </w:rPr>
        <w:t xml:space="preserve"> </w:t>
      </w:r>
      <w:r w:rsidR="008A5EBA">
        <w:rPr>
          <w:rFonts w:asciiTheme="majorHAnsi" w:hAnsiTheme="majorHAnsi"/>
          <w:sz w:val="20"/>
          <w:szCs w:val="20"/>
        </w:rPr>
        <w:t>partners</w:t>
      </w:r>
      <w:r w:rsidR="008A5EBA" w:rsidRPr="00A51861">
        <w:rPr>
          <w:rFonts w:asciiTheme="majorHAnsi" w:hAnsiTheme="majorHAnsi"/>
          <w:sz w:val="20"/>
          <w:szCs w:val="20"/>
        </w:rPr>
        <w:t xml:space="preserve"> </w:t>
      </w:r>
      <w:r w:rsidR="008A5EBA">
        <w:rPr>
          <w:rFonts w:asciiTheme="majorHAnsi" w:hAnsiTheme="majorHAnsi"/>
          <w:sz w:val="20"/>
          <w:szCs w:val="20"/>
        </w:rPr>
        <w:t>who have been kept detained with him</w:t>
      </w:r>
      <w:r w:rsidR="005F2093" w:rsidRPr="00A51861">
        <w:rPr>
          <w:rFonts w:asciiTheme="majorHAnsi" w:hAnsiTheme="majorHAnsi"/>
          <w:sz w:val="20"/>
          <w:szCs w:val="20"/>
        </w:rPr>
        <w:t xml:space="preserve">, </w:t>
      </w:r>
      <w:r w:rsidR="008A5EBA">
        <w:rPr>
          <w:rFonts w:asciiTheme="majorHAnsi" w:hAnsiTheme="majorHAnsi"/>
          <w:sz w:val="20"/>
          <w:szCs w:val="20"/>
        </w:rPr>
        <w:t>for which reason it is regarded that he</w:t>
      </w:r>
      <w:r w:rsidR="005F2093" w:rsidRPr="00A51861">
        <w:rPr>
          <w:rFonts w:asciiTheme="majorHAnsi" w:hAnsiTheme="majorHAnsi"/>
          <w:sz w:val="20"/>
          <w:szCs w:val="20"/>
        </w:rPr>
        <w:t xml:space="preserve"> </w:t>
      </w:r>
      <w:r w:rsidR="008A5EBA">
        <w:rPr>
          <w:rFonts w:asciiTheme="majorHAnsi" w:hAnsiTheme="majorHAnsi"/>
          <w:sz w:val="20"/>
          <w:szCs w:val="20"/>
        </w:rPr>
        <w:t>was subjected to serious acts</w:t>
      </w:r>
      <w:r w:rsidR="00E92985">
        <w:rPr>
          <w:rFonts w:asciiTheme="majorHAnsi" w:hAnsiTheme="majorHAnsi"/>
          <w:sz w:val="20"/>
          <w:szCs w:val="20"/>
        </w:rPr>
        <w:t xml:space="preserve"> of </w:t>
      </w:r>
      <w:r w:rsidR="008A5EBA">
        <w:rPr>
          <w:rFonts w:asciiTheme="majorHAnsi" w:hAnsiTheme="majorHAnsi"/>
          <w:sz w:val="20"/>
          <w:szCs w:val="20"/>
        </w:rPr>
        <w:t>physical and psychic violence</w:t>
      </w:r>
      <w:r w:rsidR="008A5EBA" w:rsidRPr="00A51861">
        <w:rPr>
          <w:rFonts w:asciiTheme="majorHAnsi" w:hAnsiTheme="majorHAnsi"/>
          <w:sz w:val="20"/>
          <w:szCs w:val="20"/>
        </w:rPr>
        <w:t xml:space="preserve"> </w:t>
      </w:r>
      <w:r w:rsidR="005F2093" w:rsidRPr="00A51861">
        <w:rPr>
          <w:rFonts w:asciiTheme="majorHAnsi" w:hAnsiTheme="majorHAnsi"/>
          <w:sz w:val="20"/>
          <w:szCs w:val="20"/>
        </w:rPr>
        <w:t>dur</w:t>
      </w:r>
      <w:r w:rsidR="008A5EBA">
        <w:rPr>
          <w:rFonts w:asciiTheme="majorHAnsi" w:hAnsiTheme="majorHAnsi"/>
          <w:sz w:val="20"/>
          <w:szCs w:val="20"/>
        </w:rPr>
        <w:t>ing</w:t>
      </w:r>
      <w:r w:rsidR="005F2093" w:rsidRPr="00A51861">
        <w:rPr>
          <w:rFonts w:asciiTheme="majorHAnsi" w:hAnsiTheme="majorHAnsi"/>
          <w:sz w:val="20"/>
          <w:szCs w:val="20"/>
        </w:rPr>
        <w:t xml:space="preserve"> </w:t>
      </w:r>
      <w:r w:rsidR="008A5EBA">
        <w:rPr>
          <w:rFonts w:asciiTheme="majorHAnsi" w:hAnsiTheme="majorHAnsi"/>
          <w:sz w:val="20"/>
          <w:szCs w:val="20"/>
        </w:rPr>
        <w:t>a prolonged period of time</w:t>
      </w:r>
      <w:r w:rsidR="00E92985">
        <w:rPr>
          <w:rFonts w:asciiTheme="majorHAnsi" w:hAnsiTheme="majorHAnsi"/>
          <w:sz w:val="20"/>
          <w:szCs w:val="20"/>
        </w:rPr>
        <w:t xml:space="preserve"> </w:t>
      </w:r>
      <w:r w:rsidR="002B762A">
        <w:rPr>
          <w:rFonts w:asciiTheme="majorHAnsi" w:hAnsiTheme="majorHAnsi"/>
          <w:sz w:val="20"/>
          <w:szCs w:val="20"/>
        </w:rPr>
        <w:t xml:space="preserve">with </w:t>
      </w:r>
      <w:r w:rsidR="008A5EBA">
        <w:rPr>
          <w:rFonts w:asciiTheme="majorHAnsi" w:hAnsiTheme="majorHAnsi"/>
          <w:sz w:val="20"/>
          <w:szCs w:val="20"/>
        </w:rPr>
        <w:t>the</w:t>
      </w:r>
      <w:r w:rsidR="005F2093" w:rsidRPr="00A51861">
        <w:rPr>
          <w:rFonts w:asciiTheme="majorHAnsi" w:hAnsiTheme="majorHAnsi"/>
          <w:sz w:val="20"/>
          <w:szCs w:val="20"/>
        </w:rPr>
        <w:t xml:space="preserve"> </w:t>
      </w:r>
      <w:r w:rsidR="008A5EBA">
        <w:rPr>
          <w:rFonts w:asciiTheme="majorHAnsi" w:hAnsiTheme="majorHAnsi"/>
          <w:sz w:val="20"/>
          <w:szCs w:val="20"/>
        </w:rPr>
        <w:t>aforesaid purposes</w:t>
      </w:r>
      <w:r w:rsidR="005F2093" w:rsidRPr="00A51861">
        <w:rPr>
          <w:rFonts w:asciiTheme="majorHAnsi" w:hAnsiTheme="majorHAnsi"/>
          <w:sz w:val="20"/>
          <w:szCs w:val="20"/>
        </w:rPr>
        <w:t xml:space="preserve"> </w:t>
      </w:r>
      <w:r w:rsidR="008A5EBA">
        <w:rPr>
          <w:rFonts w:asciiTheme="majorHAnsi" w:hAnsiTheme="majorHAnsi"/>
          <w:sz w:val="20"/>
          <w:szCs w:val="20"/>
        </w:rPr>
        <w:t>and</w:t>
      </w:r>
      <w:r w:rsidR="005F2093" w:rsidRPr="00A51861">
        <w:rPr>
          <w:rFonts w:asciiTheme="majorHAnsi" w:hAnsiTheme="majorHAnsi"/>
          <w:sz w:val="20"/>
          <w:szCs w:val="20"/>
        </w:rPr>
        <w:t xml:space="preserve">, </w:t>
      </w:r>
      <w:r w:rsidR="008A5EBA">
        <w:rPr>
          <w:rFonts w:asciiTheme="majorHAnsi" w:hAnsiTheme="majorHAnsi"/>
          <w:sz w:val="20"/>
          <w:szCs w:val="20"/>
        </w:rPr>
        <w:t>thus</w:t>
      </w:r>
      <w:r w:rsidR="005F2093" w:rsidRPr="00A51861">
        <w:rPr>
          <w:rFonts w:asciiTheme="majorHAnsi" w:hAnsiTheme="majorHAnsi"/>
          <w:sz w:val="20"/>
          <w:szCs w:val="20"/>
        </w:rPr>
        <w:t xml:space="preserve">, </w:t>
      </w:r>
      <w:r w:rsidR="008A5EBA">
        <w:rPr>
          <w:rFonts w:asciiTheme="majorHAnsi" w:hAnsiTheme="majorHAnsi"/>
          <w:sz w:val="20"/>
          <w:szCs w:val="20"/>
        </w:rPr>
        <w:t>put in a</w:t>
      </w:r>
      <w:r w:rsidR="005F2093" w:rsidRPr="00A51861">
        <w:rPr>
          <w:rFonts w:asciiTheme="majorHAnsi" w:hAnsiTheme="majorHAnsi"/>
          <w:sz w:val="20"/>
          <w:szCs w:val="20"/>
        </w:rPr>
        <w:t xml:space="preserve"> </w:t>
      </w:r>
      <w:r w:rsidR="00940530">
        <w:rPr>
          <w:rFonts w:asciiTheme="majorHAnsi" w:hAnsiTheme="majorHAnsi"/>
          <w:sz w:val="20"/>
          <w:szCs w:val="20"/>
        </w:rPr>
        <w:t>context</w:t>
      </w:r>
      <w:r w:rsidR="00E92985">
        <w:rPr>
          <w:rFonts w:asciiTheme="majorHAnsi" w:hAnsiTheme="majorHAnsi"/>
          <w:sz w:val="20"/>
          <w:szCs w:val="20"/>
        </w:rPr>
        <w:t xml:space="preserve"> of </w:t>
      </w:r>
      <w:r w:rsidR="001937FB">
        <w:rPr>
          <w:rFonts w:asciiTheme="majorHAnsi" w:hAnsiTheme="majorHAnsi"/>
          <w:sz w:val="20"/>
          <w:szCs w:val="20"/>
        </w:rPr>
        <w:t>anguish</w:t>
      </w:r>
      <w:r w:rsidR="00E92985">
        <w:rPr>
          <w:rFonts w:asciiTheme="majorHAnsi" w:hAnsiTheme="majorHAnsi"/>
          <w:sz w:val="20"/>
          <w:szCs w:val="20"/>
        </w:rPr>
        <w:t xml:space="preserve"> and of </w:t>
      </w:r>
      <w:r w:rsidR="008A5EBA" w:rsidRPr="00A51861">
        <w:rPr>
          <w:rFonts w:asciiTheme="majorHAnsi" w:hAnsiTheme="majorHAnsi"/>
          <w:sz w:val="20"/>
          <w:szCs w:val="20"/>
        </w:rPr>
        <w:t>intens</w:t>
      </w:r>
      <w:r w:rsidR="008A5EBA">
        <w:rPr>
          <w:rFonts w:asciiTheme="majorHAnsi" w:hAnsiTheme="majorHAnsi"/>
          <w:sz w:val="20"/>
          <w:szCs w:val="20"/>
        </w:rPr>
        <w:t xml:space="preserve">e physical </w:t>
      </w:r>
      <w:r w:rsidR="00115A67">
        <w:rPr>
          <w:rFonts w:asciiTheme="majorHAnsi" w:hAnsiTheme="majorHAnsi"/>
          <w:sz w:val="20"/>
          <w:szCs w:val="20"/>
        </w:rPr>
        <w:t>suffering</w:t>
      </w:r>
      <w:r w:rsidR="005F2093" w:rsidRPr="00A51861">
        <w:rPr>
          <w:rFonts w:asciiTheme="majorHAnsi" w:hAnsiTheme="majorHAnsi"/>
          <w:sz w:val="20"/>
          <w:szCs w:val="20"/>
        </w:rPr>
        <w:t xml:space="preserve"> </w:t>
      </w:r>
      <w:r w:rsidR="008A5EBA">
        <w:rPr>
          <w:rFonts w:asciiTheme="majorHAnsi" w:hAnsiTheme="majorHAnsi"/>
          <w:sz w:val="20"/>
          <w:szCs w:val="20"/>
        </w:rPr>
        <w:t>in an intentional manner</w:t>
      </w:r>
      <w:r w:rsidR="005F2093" w:rsidRPr="00A51861">
        <w:rPr>
          <w:rFonts w:asciiTheme="majorHAnsi" w:hAnsiTheme="majorHAnsi"/>
          <w:sz w:val="20"/>
          <w:szCs w:val="20"/>
        </w:rPr>
        <w:t xml:space="preserve">, </w:t>
      </w:r>
      <w:r w:rsidR="008A5EBA">
        <w:rPr>
          <w:rFonts w:asciiTheme="majorHAnsi" w:hAnsiTheme="majorHAnsi"/>
          <w:sz w:val="20"/>
          <w:szCs w:val="20"/>
        </w:rPr>
        <w:t>which can only be regarded as</w:t>
      </w:r>
      <w:r w:rsidR="005F2093" w:rsidRPr="00A51861">
        <w:rPr>
          <w:rFonts w:asciiTheme="majorHAnsi" w:hAnsiTheme="majorHAnsi"/>
          <w:sz w:val="20"/>
          <w:szCs w:val="20"/>
        </w:rPr>
        <w:t xml:space="preserve"> </w:t>
      </w:r>
      <w:r w:rsidR="00F406E1">
        <w:rPr>
          <w:rFonts w:asciiTheme="majorHAnsi" w:hAnsiTheme="majorHAnsi"/>
          <w:sz w:val="20"/>
          <w:szCs w:val="20"/>
        </w:rPr>
        <w:t>torture</w:t>
      </w:r>
      <w:r w:rsidR="005F2093" w:rsidRPr="00A51861">
        <w:rPr>
          <w:rFonts w:asciiTheme="majorHAnsi" w:hAnsiTheme="majorHAnsi"/>
          <w:sz w:val="20"/>
          <w:szCs w:val="20"/>
        </w:rPr>
        <w:t xml:space="preserve">, </w:t>
      </w:r>
      <w:r w:rsidR="008A5EBA">
        <w:rPr>
          <w:rFonts w:asciiTheme="majorHAnsi" w:hAnsiTheme="majorHAnsi"/>
          <w:sz w:val="20"/>
          <w:szCs w:val="20"/>
        </w:rPr>
        <w:t>both</w:t>
      </w:r>
      <w:r w:rsidR="005F2093" w:rsidRPr="00A51861">
        <w:rPr>
          <w:rFonts w:asciiTheme="majorHAnsi" w:hAnsiTheme="majorHAnsi"/>
          <w:sz w:val="20"/>
          <w:szCs w:val="20"/>
        </w:rPr>
        <w:t xml:space="preserve"> </w:t>
      </w:r>
      <w:r w:rsidR="008A5EBA">
        <w:rPr>
          <w:rFonts w:asciiTheme="majorHAnsi" w:hAnsiTheme="majorHAnsi"/>
          <w:sz w:val="20"/>
          <w:szCs w:val="20"/>
        </w:rPr>
        <w:t>physical</w:t>
      </w:r>
      <w:r w:rsidR="005F2093" w:rsidRPr="00A51861">
        <w:rPr>
          <w:rFonts w:asciiTheme="majorHAnsi" w:hAnsiTheme="majorHAnsi"/>
          <w:sz w:val="20"/>
          <w:szCs w:val="20"/>
        </w:rPr>
        <w:t xml:space="preserve"> </w:t>
      </w:r>
      <w:r w:rsidR="008A5EBA">
        <w:rPr>
          <w:rFonts w:asciiTheme="majorHAnsi" w:hAnsiTheme="majorHAnsi"/>
          <w:sz w:val="20"/>
          <w:szCs w:val="20"/>
        </w:rPr>
        <w:t>as</w:t>
      </w:r>
      <w:r w:rsidR="005F2093" w:rsidRPr="00A51861">
        <w:rPr>
          <w:rFonts w:asciiTheme="majorHAnsi" w:hAnsiTheme="majorHAnsi"/>
          <w:sz w:val="20"/>
          <w:szCs w:val="20"/>
        </w:rPr>
        <w:t xml:space="preserve"> </w:t>
      </w:r>
      <w:r w:rsidR="008A5EBA" w:rsidRPr="00A51861">
        <w:rPr>
          <w:rFonts w:asciiTheme="majorHAnsi" w:hAnsiTheme="majorHAnsi"/>
          <w:sz w:val="20"/>
          <w:szCs w:val="20"/>
        </w:rPr>
        <w:t>psychological</w:t>
      </w:r>
      <w:r w:rsidR="005F2093" w:rsidRPr="00A51861">
        <w:rPr>
          <w:rFonts w:asciiTheme="majorHAnsi" w:hAnsiTheme="majorHAnsi"/>
          <w:sz w:val="20"/>
          <w:szCs w:val="20"/>
        </w:rPr>
        <w:t>.</w:t>
      </w:r>
    </w:p>
    <w:p w14:paraId="32AB6FC2" w14:textId="77777777" w:rsidR="004F04D1" w:rsidRPr="00A51861" w:rsidRDefault="004F04D1" w:rsidP="008E4D3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14:paraId="75EB3C77" w14:textId="50A8ECE8" w:rsidR="00254A68" w:rsidRPr="00A51861" w:rsidRDefault="008A5EBA"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Pr>
          <w:rFonts w:asciiTheme="majorHAnsi" w:hAnsiTheme="majorHAnsi"/>
          <w:sz w:val="20"/>
          <w:szCs w:val="20"/>
        </w:rPr>
        <w:t>As a result from the above</w:t>
      </w:r>
      <w:r w:rsidR="005F2093" w:rsidRPr="00A51861">
        <w:rPr>
          <w:rFonts w:asciiTheme="majorHAnsi" w:hAnsiTheme="majorHAnsi"/>
          <w:sz w:val="20"/>
          <w:szCs w:val="20"/>
        </w:rPr>
        <w:t xml:space="preserve">, </w:t>
      </w:r>
      <w:r w:rsidR="00E92985">
        <w:rPr>
          <w:rFonts w:asciiTheme="majorHAnsi" w:hAnsiTheme="majorHAnsi"/>
          <w:sz w:val="20"/>
          <w:szCs w:val="20"/>
        </w:rPr>
        <w:t>the Commission</w:t>
      </w:r>
      <w:r w:rsidR="00254A68" w:rsidRPr="00A51861">
        <w:rPr>
          <w:rFonts w:asciiTheme="majorHAnsi" w:hAnsiTheme="majorHAnsi"/>
          <w:sz w:val="20"/>
          <w:szCs w:val="20"/>
        </w:rPr>
        <w:t xml:space="preserve"> conclu</w:t>
      </w:r>
      <w:r>
        <w:rPr>
          <w:rFonts w:asciiTheme="majorHAnsi" w:hAnsiTheme="majorHAnsi"/>
          <w:sz w:val="20"/>
          <w:szCs w:val="20"/>
        </w:rPr>
        <w:t>d</w:t>
      </w:r>
      <w:r w:rsidR="00254A68" w:rsidRPr="00A51861">
        <w:rPr>
          <w:rFonts w:asciiTheme="majorHAnsi" w:hAnsiTheme="majorHAnsi"/>
          <w:sz w:val="20"/>
          <w:szCs w:val="20"/>
        </w:rPr>
        <w:t>e</w:t>
      </w:r>
      <w:r>
        <w:rPr>
          <w:rFonts w:asciiTheme="majorHAnsi" w:hAnsiTheme="majorHAnsi"/>
          <w:sz w:val="20"/>
          <w:szCs w:val="20"/>
        </w:rPr>
        <w:t>s</w:t>
      </w:r>
      <w:r w:rsidR="00254A68" w:rsidRPr="00A51861">
        <w:rPr>
          <w:rFonts w:asciiTheme="majorHAnsi" w:hAnsiTheme="majorHAnsi"/>
          <w:sz w:val="20"/>
          <w:szCs w:val="20"/>
        </w:rPr>
        <w:t xml:space="preserve"> </w:t>
      </w:r>
      <w:r>
        <w:rPr>
          <w:rFonts w:asciiTheme="majorHAnsi" w:hAnsiTheme="majorHAnsi"/>
          <w:sz w:val="20"/>
          <w:szCs w:val="20"/>
        </w:rPr>
        <w:t>that</w:t>
      </w:r>
      <w:r w:rsidR="00E64C43">
        <w:rPr>
          <w:rFonts w:asciiTheme="majorHAnsi" w:hAnsiTheme="majorHAnsi"/>
          <w:sz w:val="20"/>
          <w:szCs w:val="20"/>
        </w:rPr>
        <w:t xml:space="preserve"> these </w:t>
      </w:r>
      <w:r w:rsidR="00404714">
        <w:rPr>
          <w:rFonts w:asciiTheme="majorHAnsi" w:hAnsiTheme="majorHAnsi"/>
          <w:sz w:val="20"/>
          <w:szCs w:val="20"/>
        </w:rPr>
        <w:t>acts perpetrated</w:t>
      </w:r>
      <w:r w:rsidR="00CB0928">
        <w:rPr>
          <w:rFonts w:asciiTheme="majorHAnsi" w:hAnsiTheme="majorHAnsi"/>
          <w:sz w:val="20"/>
          <w:szCs w:val="20"/>
        </w:rPr>
        <w:t xml:space="preserve"> against </w:t>
      </w:r>
      <w:r w:rsidR="00A51861" w:rsidRPr="00A51861">
        <w:rPr>
          <w:rFonts w:asciiTheme="majorHAnsi" w:hAnsiTheme="majorHAnsi"/>
          <w:sz w:val="20"/>
          <w:szCs w:val="20"/>
        </w:rPr>
        <w:t xml:space="preserve">Mr. </w:t>
      </w:r>
      <w:r w:rsidR="00AA5191" w:rsidRPr="00A51861">
        <w:rPr>
          <w:rFonts w:asciiTheme="majorHAnsi" w:hAnsiTheme="majorHAnsi"/>
          <w:sz w:val="20"/>
          <w:szCs w:val="20"/>
        </w:rPr>
        <w:t>Nicasio Washington Romero Ubal</w:t>
      </w:r>
      <w:r w:rsidR="002B762A">
        <w:rPr>
          <w:rFonts w:asciiTheme="majorHAnsi" w:hAnsiTheme="majorHAnsi"/>
          <w:sz w:val="20"/>
          <w:szCs w:val="20"/>
        </w:rPr>
        <w:t xml:space="preserve"> with </w:t>
      </w:r>
      <w:r w:rsidR="00404714">
        <w:rPr>
          <w:rFonts w:asciiTheme="majorHAnsi" w:hAnsiTheme="majorHAnsi"/>
          <w:sz w:val="20"/>
          <w:szCs w:val="20"/>
        </w:rPr>
        <w:t>the purpose</w:t>
      </w:r>
      <w:r w:rsidR="00E92985">
        <w:rPr>
          <w:rFonts w:asciiTheme="majorHAnsi" w:hAnsiTheme="majorHAnsi"/>
          <w:sz w:val="20"/>
          <w:szCs w:val="20"/>
        </w:rPr>
        <w:t xml:space="preserve"> </w:t>
      </w:r>
      <w:r>
        <w:rPr>
          <w:rFonts w:asciiTheme="majorHAnsi" w:hAnsiTheme="majorHAnsi"/>
          <w:sz w:val="20"/>
          <w:szCs w:val="20"/>
        </w:rPr>
        <w:t>of interrogating him</w:t>
      </w:r>
      <w:r w:rsidR="00254A68" w:rsidRPr="00A51861">
        <w:rPr>
          <w:rFonts w:asciiTheme="majorHAnsi" w:hAnsiTheme="majorHAnsi"/>
          <w:sz w:val="20"/>
          <w:szCs w:val="20"/>
        </w:rPr>
        <w:t xml:space="preserve"> </w:t>
      </w:r>
      <w:r>
        <w:rPr>
          <w:rFonts w:asciiTheme="majorHAnsi" w:hAnsiTheme="majorHAnsi"/>
          <w:sz w:val="20"/>
          <w:szCs w:val="20"/>
        </w:rPr>
        <w:t>reach the level</w:t>
      </w:r>
      <w:r w:rsidR="00E92985">
        <w:rPr>
          <w:rFonts w:asciiTheme="majorHAnsi" w:hAnsiTheme="majorHAnsi"/>
          <w:sz w:val="20"/>
          <w:szCs w:val="20"/>
        </w:rPr>
        <w:t xml:space="preserve"> of </w:t>
      </w:r>
      <w:r w:rsidR="00F406E1">
        <w:rPr>
          <w:rFonts w:asciiTheme="majorHAnsi" w:hAnsiTheme="majorHAnsi"/>
          <w:sz w:val="20"/>
          <w:szCs w:val="20"/>
        </w:rPr>
        <w:t>torture</w:t>
      </w:r>
      <w:r w:rsidR="00254A68" w:rsidRPr="00A51861">
        <w:rPr>
          <w:rFonts w:asciiTheme="majorHAnsi" w:hAnsiTheme="majorHAnsi"/>
          <w:sz w:val="20"/>
          <w:szCs w:val="20"/>
        </w:rPr>
        <w:t xml:space="preserve"> </w:t>
      </w:r>
      <w:r>
        <w:rPr>
          <w:rFonts w:asciiTheme="majorHAnsi" w:hAnsiTheme="majorHAnsi"/>
          <w:sz w:val="20"/>
          <w:szCs w:val="20"/>
        </w:rPr>
        <w:t>i</w:t>
      </w:r>
      <w:r w:rsidR="00254A68" w:rsidRPr="00A51861">
        <w:rPr>
          <w:rFonts w:asciiTheme="majorHAnsi" w:hAnsiTheme="majorHAnsi"/>
          <w:sz w:val="20"/>
          <w:szCs w:val="20"/>
        </w:rPr>
        <w:t xml:space="preserve">n </w:t>
      </w:r>
      <w:r w:rsidR="004E1083">
        <w:rPr>
          <w:rFonts w:asciiTheme="majorHAnsi" w:hAnsiTheme="majorHAnsi"/>
          <w:sz w:val="20"/>
          <w:szCs w:val="20"/>
        </w:rPr>
        <w:t>violation</w:t>
      </w:r>
      <w:r w:rsidR="00E92985">
        <w:rPr>
          <w:rFonts w:asciiTheme="majorHAnsi" w:hAnsiTheme="majorHAnsi"/>
          <w:sz w:val="20"/>
          <w:szCs w:val="20"/>
        </w:rPr>
        <w:t xml:space="preserve"> </w:t>
      </w:r>
      <w:r w:rsidR="0029564F">
        <w:rPr>
          <w:rFonts w:asciiTheme="majorHAnsi" w:hAnsiTheme="majorHAnsi"/>
          <w:sz w:val="20"/>
          <w:szCs w:val="20"/>
        </w:rPr>
        <w:t>Article</w:t>
      </w:r>
      <w:r w:rsidR="00254A68" w:rsidRPr="00A51861">
        <w:rPr>
          <w:rFonts w:asciiTheme="majorHAnsi" w:hAnsiTheme="majorHAnsi"/>
          <w:sz w:val="20"/>
          <w:szCs w:val="20"/>
        </w:rPr>
        <w:t>s I</w:t>
      </w:r>
      <w:r w:rsidR="00E92985">
        <w:rPr>
          <w:rFonts w:asciiTheme="majorHAnsi" w:hAnsiTheme="majorHAnsi"/>
          <w:sz w:val="20"/>
          <w:szCs w:val="20"/>
        </w:rPr>
        <w:t xml:space="preserve"> and </w:t>
      </w:r>
      <w:r w:rsidR="00254A68" w:rsidRPr="00A51861">
        <w:rPr>
          <w:rFonts w:asciiTheme="majorHAnsi" w:hAnsiTheme="majorHAnsi"/>
          <w:sz w:val="20"/>
          <w:szCs w:val="20"/>
        </w:rPr>
        <w:t>XXV</w:t>
      </w:r>
      <w:r w:rsidR="00E92985">
        <w:rPr>
          <w:rFonts w:asciiTheme="majorHAnsi" w:hAnsiTheme="majorHAnsi"/>
          <w:sz w:val="20"/>
          <w:szCs w:val="20"/>
        </w:rPr>
        <w:t xml:space="preserve"> of the </w:t>
      </w:r>
      <w:r w:rsidR="00A311C9">
        <w:rPr>
          <w:rFonts w:asciiTheme="majorHAnsi" w:hAnsiTheme="majorHAnsi"/>
          <w:sz w:val="20"/>
          <w:szCs w:val="20"/>
        </w:rPr>
        <w:t>American Declaration</w:t>
      </w:r>
      <w:r w:rsidR="00254A68" w:rsidRPr="00A51861">
        <w:rPr>
          <w:rFonts w:asciiTheme="majorHAnsi" w:hAnsiTheme="majorHAnsi"/>
          <w:sz w:val="20"/>
          <w:szCs w:val="20"/>
        </w:rPr>
        <w:t>.</w:t>
      </w:r>
    </w:p>
    <w:p w14:paraId="5C7B9D03" w14:textId="77777777" w:rsidR="00773B3C" w:rsidRPr="00A51861" w:rsidRDefault="00773B3C" w:rsidP="008E4D3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libri" w:hAnsi="Cambria" w:cs="Tahoma"/>
          <w:color w:val="000000"/>
          <w:sz w:val="20"/>
          <w:szCs w:val="20"/>
          <w:bdr w:val="none" w:sz="0" w:space="0" w:color="auto"/>
        </w:rPr>
      </w:pPr>
    </w:p>
    <w:p w14:paraId="0D4358A1" w14:textId="5E220521" w:rsidR="00773B3C" w:rsidRPr="007D174A" w:rsidRDefault="00A65E37" w:rsidP="00C238A7">
      <w:pPr>
        <w:pStyle w:val="Heading2"/>
        <w:keepNext/>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Arial"/>
          <w:bCs/>
          <w:color w:val="auto"/>
          <w:bdr w:val="none" w:sz="0" w:space="0" w:color="auto"/>
          <w:lang w:val="en-US" w:eastAsia="en-US"/>
        </w:rPr>
      </w:pPr>
      <w:bookmarkStart w:id="31" w:name="_Toc196383495"/>
      <w:r w:rsidRPr="007D174A">
        <w:rPr>
          <w:rFonts w:eastAsia="Times New Roman" w:cs="Arial"/>
          <w:bCs/>
          <w:color w:val="auto"/>
          <w:bdr w:val="none" w:sz="0" w:space="0" w:color="auto"/>
          <w:lang w:val="en-US" w:eastAsia="en-US"/>
        </w:rPr>
        <w:t>The right to</w:t>
      </w:r>
      <w:r w:rsidR="00773B3C" w:rsidRPr="007D174A">
        <w:rPr>
          <w:rFonts w:eastAsia="Times New Roman" w:cs="Arial"/>
          <w:bCs/>
          <w:color w:val="auto"/>
          <w:bdr w:val="none" w:sz="0" w:space="0" w:color="auto"/>
          <w:lang w:val="en-US" w:eastAsia="en-US"/>
        </w:rPr>
        <w:t xml:space="preserve"> </w:t>
      </w:r>
      <w:r w:rsidR="002C1CF7" w:rsidRPr="007D174A">
        <w:rPr>
          <w:rFonts w:eastAsia="Times New Roman" w:cs="Arial"/>
          <w:bCs/>
          <w:color w:val="auto"/>
          <w:bdr w:val="none" w:sz="0" w:space="0" w:color="auto"/>
          <w:lang w:val="en-US" w:eastAsia="en-US"/>
        </w:rPr>
        <w:t>appropriate reasoning</w:t>
      </w:r>
      <w:r w:rsidR="00773B3C" w:rsidRPr="00C238A7">
        <w:rPr>
          <w:rFonts w:eastAsia="Times New Roman" w:cs="Arial"/>
          <w:bCs/>
          <w:color w:val="auto"/>
          <w:bdr w:val="none" w:sz="0" w:space="0" w:color="auto"/>
          <w:vertAlign w:val="superscript"/>
          <w:lang w:eastAsia="en-US"/>
        </w:rPr>
        <w:footnoteReference w:id="209"/>
      </w:r>
      <w:r w:rsidR="00773B3C" w:rsidRPr="007D174A">
        <w:rPr>
          <w:rFonts w:eastAsia="Times New Roman" w:cs="Arial"/>
          <w:bCs/>
          <w:color w:val="auto"/>
          <w:bdr w:val="none" w:sz="0" w:space="0" w:color="auto"/>
          <w:lang w:val="en-US" w:eastAsia="en-US"/>
        </w:rPr>
        <w:t xml:space="preserve">, </w:t>
      </w:r>
      <w:r w:rsidRPr="007D174A">
        <w:rPr>
          <w:rFonts w:eastAsia="Times New Roman" w:cs="Arial"/>
          <w:bCs/>
          <w:color w:val="auto"/>
          <w:bdr w:val="none" w:sz="0" w:space="0" w:color="auto"/>
          <w:lang w:val="en-US" w:eastAsia="en-US"/>
        </w:rPr>
        <w:t>the right to</w:t>
      </w:r>
      <w:r w:rsidR="009A4F91" w:rsidRPr="007D174A">
        <w:rPr>
          <w:rFonts w:eastAsia="Times New Roman" w:cs="Arial"/>
          <w:bCs/>
          <w:color w:val="auto"/>
          <w:bdr w:val="none" w:sz="0" w:space="0" w:color="auto"/>
          <w:lang w:val="en-US" w:eastAsia="en-US"/>
        </w:rPr>
        <w:t xml:space="preserve"> </w:t>
      </w:r>
      <w:r w:rsidR="00773B3C" w:rsidRPr="007D174A">
        <w:rPr>
          <w:rFonts w:eastAsia="Times New Roman" w:cs="Arial"/>
          <w:bCs/>
          <w:color w:val="auto"/>
          <w:bdr w:val="none" w:sz="0" w:space="0" w:color="auto"/>
          <w:lang w:val="en-US" w:eastAsia="en-US"/>
        </w:rPr>
        <w:t>judicial</w:t>
      </w:r>
      <w:r w:rsidR="002C1CF7" w:rsidRPr="007D174A">
        <w:rPr>
          <w:rFonts w:eastAsia="Times New Roman" w:cs="Arial"/>
          <w:bCs/>
          <w:color w:val="auto"/>
          <w:bdr w:val="none" w:sz="0" w:space="0" w:color="auto"/>
          <w:lang w:val="en-US" w:eastAsia="en-US"/>
        </w:rPr>
        <w:t xml:space="preserve"> protection </w:t>
      </w:r>
      <w:r w:rsidR="00773B3C" w:rsidRPr="00C238A7">
        <w:rPr>
          <w:rFonts w:eastAsia="Times New Roman" w:cs="Arial"/>
          <w:bCs/>
          <w:color w:val="auto"/>
          <w:bdr w:val="none" w:sz="0" w:space="0" w:color="auto"/>
          <w:vertAlign w:val="superscript"/>
          <w:lang w:eastAsia="en-US"/>
        </w:rPr>
        <w:footnoteReference w:id="210"/>
      </w:r>
      <w:r w:rsidR="00E92985" w:rsidRPr="007D174A">
        <w:rPr>
          <w:rFonts w:eastAsia="Times New Roman" w:cs="Arial"/>
          <w:bCs/>
          <w:color w:val="auto"/>
          <w:bdr w:val="none" w:sz="0" w:space="0" w:color="auto"/>
          <w:lang w:val="en-US" w:eastAsia="en-US"/>
        </w:rPr>
        <w:t xml:space="preserve"> and </w:t>
      </w:r>
      <w:r w:rsidRPr="007D174A">
        <w:rPr>
          <w:rFonts w:eastAsia="Times New Roman" w:cs="Arial"/>
          <w:bCs/>
          <w:color w:val="auto"/>
          <w:bdr w:val="none" w:sz="0" w:space="0" w:color="auto"/>
          <w:lang w:val="en-US" w:eastAsia="en-US"/>
        </w:rPr>
        <w:t>the right to</w:t>
      </w:r>
      <w:r w:rsidR="009A4F91" w:rsidRPr="007D174A">
        <w:rPr>
          <w:rFonts w:eastAsia="Times New Roman" w:cs="Arial"/>
          <w:bCs/>
          <w:color w:val="auto"/>
          <w:bdr w:val="none" w:sz="0" w:space="0" w:color="auto"/>
          <w:lang w:val="en-US" w:eastAsia="en-US"/>
        </w:rPr>
        <w:t xml:space="preserve"> </w:t>
      </w:r>
      <w:r w:rsidR="002C1CF7" w:rsidRPr="007D174A">
        <w:rPr>
          <w:rFonts w:eastAsia="Times New Roman" w:cs="Arial"/>
          <w:bCs/>
          <w:color w:val="auto"/>
          <w:bdr w:val="none" w:sz="0" w:space="0" w:color="auto"/>
          <w:lang w:val="en-US" w:eastAsia="en-US"/>
        </w:rPr>
        <w:t>eq</w:t>
      </w:r>
      <w:r w:rsidR="00773B3C" w:rsidRPr="007D174A">
        <w:rPr>
          <w:rFonts w:eastAsia="Times New Roman" w:cs="Arial"/>
          <w:bCs/>
          <w:color w:val="auto"/>
          <w:bdr w:val="none" w:sz="0" w:space="0" w:color="auto"/>
          <w:lang w:val="en-US" w:eastAsia="en-US"/>
        </w:rPr>
        <w:t>ual</w:t>
      </w:r>
      <w:r w:rsidR="002C1CF7" w:rsidRPr="007D174A">
        <w:rPr>
          <w:rFonts w:eastAsia="Times New Roman" w:cs="Arial"/>
          <w:bCs/>
          <w:color w:val="auto"/>
          <w:bdr w:val="none" w:sz="0" w:space="0" w:color="auto"/>
          <w:lang w:val="en-US" w:eastAsia="en-US"/>
        </w:rPr>
        <w:t>i</w:t>
      </w:r>
      <w:r w:rsidR="00FA2E7B" w:rsidRPr="007D174A">
        <w:rPr>
          <w:rFonts w:eastAsia="Times New Roman" w:cs="Arial"/>
          <w:bCs/>
          <w:color w:val="auto"/>
          <w:bdr w:val="none" w:sz="0" w:space="0" w:color="auto"/>
          <w:lang w:val="en-US" w:eastAsia="en-US"/>
        </w:rPr>
        <w:t xml:space="preserve">ty </w:t>
      </w:r>
      <w:r w:rsidR="002C1CF7" w:rsidRPr="007D174A">
        <w:rPr>
          <w:rFonts w:eastAsia="Times New Roman" w:cs="Arial"/>
          <w:bCs/>
          <w:color w:val="auto"/>
          <w:bdr w:val="none" w:sz="0" w:space="0" w:color="auto"/>
          <w:lang w:val="en-US" w:eastAsia="en-US"/>
        </w:rPr>
        <w:t>before</w:t>
      </w:r>
      <w:r w:rsidR="009A4F91" w:rsidRPr="007D174A">
        <w:rPr>
          <w:rFonts w:eastAsia="Times New Roman" w:cs="Arial"/>
          <w:bCs/>
          <w:color w:val="auto"/>
          <w:bdr w:val="none" w:sz="0" w:space="0" w:color="auto"/>
          <w:lang w:val="en-US" w:eastAsia="en-US"/>
        </w:rPr>
        <w:t xml:space="preserve"> the </w:t>
      </w:r>
      <w:r w:rsidR="0029564F" w:rsidRPr="007D174A">
        <w:rPr>
          <w:rFonts w:eastAsia="Times New Roman" w:cs="Arial"/>
          <w:bCs/>
          <w:color w:val="auto"/>
          <w:bdr w:val="none" w:sz="0" w:space="0" w:color="auto"/>
          <w:lang w:val="en-US" w:eastAsia="en-US"/>
        </w:rPr>
        <w:t>law</w:t>
      </w:r>
      <w:r w:rsidR="00773B3C" w:rsidRPr="00C238A7">
        <w:rPr>
          <w:rFonts w:eastAsia="Times New Roman" w:cs="Arial"/>
          <w:bCs/>
          <w:color w:val="auto"/>
          <w:bdr w:val="none" w:sz="0" w:space="0" w:color="auto"/>
          <w:vertAlign w:val="superscript"/>
          <w:lang w:eastAsia="en-US"/>
        </w:rPr>
        <w:footnoteReference w:id="211"/>
      </w:r>
      <w:r w:rsidR="00773B3C" w:rsidRPr="007D174A">
        <w:rPr>
          <w:rFonts w:eastAsia="Times New Roman" w:cs="Arial"/>
          <w:bCs/>
          <w:color w:val="auto"/>
          <w:bdr w:val="none" w:sz="0" w:space="0" w:color="auto"/>
          <w:lang w:val="en-US" w:eastAsia="en-US"/>
        </w:rPr>
        <w:t xml:space="preserve"> </w:t>
      </w:r>
      <w:r w:rsidR="002C1CF7" w:rsidRPr="007D174A">
        <w:rPr>
          <w:rFonts w:eastAsia="Times New Roman" w:cs="Arial"/>
          <w:bCs/>
          <w:color w:val="auto"/>
          <w:bdr w:val="none" w:sz="0" w:space="0" w:color="auto"/>
          <w:lang w:val="en-US" w:eastAsia="en-US"/>
        </w:rPr>
        <w:t>in relation to</w:t>
      </w:r>
      <w:r w:rsidR="002B762A" w:rsidRPr="007D174A">
        <w:rPr>
          <w:rFonts w:eastAsia="Times New Roman" w:cs="Arial"/>
          <w:bCs/>
          <w:color w:val="auto"/>
          <w:bdr w:val="none" w:sz="0" w:space="0" w:color="auto"/>
          <w:lang w:val="en-US" w:eastAsia="en-US"/>
        </w:rPr>
        <w:t xml:space="preserve"> </w:t>
      </w:r>
      <w:r w:rsidR="004C5A00" w:rsidRPr="007D174A">
        <w:rPr>
          <w:rFonts w:eastAsia="Times New Roman" w:cs="Arial"/>
          <w:bCs/>
          <w:color w:val="auto"/>
          <w:bdr w:val="none" w:sz="0" w:space="0" w:color="auto"/>
          <w:lang w:val="en-US" w:eastAsia="en-US"/>
        </w:rPr>
        <w:t xml:space="preserve">article </w:t>
      </w:r>
      <w:r w:rsidR="00773B3C" w:rsidRPr="007D174A">
        <w:rPr>
          <w:rFonts w:eastAsia="Times New Roman" w:cs="Arial"/>
          <w:bCs/>
          <w:color w:val="auto"/>
          <w:bdr w:val="none" w:sz="0" w:space="0" w:color="auto"/>
          <w:lang w:val="en-US" w:eastAsia="en-US"/>
        </w:rPr>
        <w:t>1.1</w:t>
      </w:r>
      <w:r w:rsidR="00773B3C" w:rsidRPr="00C238A7">
        <w:rPr>
          <w:rFonts w:eastAsia="Times New Roman" w:cs="Arial"/>
          <w:bCs/>
          <w:color w:val="auto"/>
          <w:bdr w:val="none" w:sz="0" w:space="0" w:color="auto"/>
          <w:vertAlign w:val="superscript"/>
          <w:lang w:eastAsia="en-US"/>
        </w:rPr>
        <w:footnoteReference w:id="212"/>
      </w:r>
      <w:r w:rsidR="00E92985" w:rsidRPr="007D174A">
        <w:rPr>
          <w:rFonts w:eastAsia="Times New Roman" w:cs="Arial"/>
          <w:bCs/>
          <w:color w:val="auto"/>
          <w:bdr w:val="none" w:sz="0" w:space="0" w:color="auto"/>
          <w:vertAlign w:val="superscript"/>
          <w:lang w:val="en-US" w:eastAsia="en-US"/>
        </w:rPr>
        <w:t xml:space="preserve"> </w:t>
      </w:r>
      <w:r w:rsidR="00E92985" w:rsidRPr="007D174A">
        <w:rPr>
          <w:rFonts w:eastAsia="Times New Roman" w:cs="Arial"/>
          <w:bCs/>
          <w:color w:val="auto"/>
          <w:bdr w:val="none" w:sz="0" w:space="0" w:color="auto"/>
          <w:lang w:val="en-US" w:eastAsia="en-US"/>
        </w:rPr>
        <w:t xml:space="preserve">of the </w:t>
      </w:r>
      <w:r w:rsidR="00B920CA" w:rsidRPr="007D174A">
        <w:rPr>
          <w:rFonts w:eastAsia="Times New Roman" w:cs="Arial"/>
          <w:bCs/>
          <w:color w:val="auto"/>
          <w:bdr w:val="none" w:sz="0" w:space="0" w:color="auto"/>
          <w:lang w:val="en-US" w:eastAsia="en-US"/>
        </w:rPr>
        <w:t>American Convention</w:t>
      </w:r>
      <w:r w:rsidR="00773B3C" w:rsidRPr="007D174A">
        <w:rPr>
          <w:rFonts w:eastAsia="Times New Roman" w:cs="Arial"/>
          <w:bCs/>
          <w:color w:val="auto"/>
          <w:bdr w:val="none" w:sz="0" w:space="0" w:color="auto"/>
          <w:lang w:val="en-US" w:eastAsia="en-US"/>
        </w:rPr>
        <w:t xml:space="preserve">, </w:t>
      </w:r>
      <w:r w:rsidR="00391CFB" w:rsidRPr="007D174A">
        <w:rPr>
          <w:rFonts w:eastAsia="Times New Roman" w:cs="Arial"/>
          <w:bCs/>
          <w:color w:val="auto"/>
          <w:bdr w:val="none" w:sz="0" w:space="0" w:color="auto"/>
          <w:lang w:val="en-US" w:eastAsia="en-US"/>
        </w:rPr>
        <w:t>within reparation proceedings</w:t>
      </w:r>
      <w:r w:rsidR="00E92985" w:rsidRPr="007D174A">
        <w:rPr>
          <w:rFonts w:eastAsia="Times New Roman" w:cs="Arial"/>
          <w:bCs/>
          <w:color w:val="auto"/>
          <w:bdr w:val="none" w:sz="0" w:space="0" w:color="auto"/>
          <w:lang w:val="en-US" w:eastAsia="en-US"/>
        </w:rPr>
        <w:t xml:space="preserve"> of </w:t>
      </w:r>
      <w:r w:rsidR="002835FC" w:rsidRPr="007D174A">
        <w:rPr>
          <w:rFonts w:eastAsia="Times New Roman" w:cs="Arial"/>
          <w:bCs/>
          <w:color w:val="auto"/>
          <w:bdr w:val="none" w:sz="0" w:space="0" w:color="auto"/>
          <w:lang w:val="en-US" w:eastAsia="en-US"/>
        </w:rPr>
        <w:t xml:space="preserve">Law </w:t>
      </w:r>
      <w:r w:rsidR="00773B3C" w:rsidRPr="007D174A">
        <w:rPr>
          <w:rFonts w:eastAsia="Times New Roman" w:cs="Arial"/>
          <w:bCs/>
          <w:color w:val="auto"/>
          <w:bdr w:val="none" w:sz="0" w:space="0" w:color="auto"/>
          <w:lang w:val="en-US" w:eastAsia="en-US"/>
        </w:rPr>
        <w:t xml:space="preserve">24.043 </w:t>
      </w:r>
      <w:r w:rsidR="00391CFB" w:rsidRPr="007D174A">
        <w:rPr>
          <w:rFonts w:eastAsia="Times New Roman" w:cs="Arial"/>
          <w:bCs/>
          <w:color w:val="auto"/>
          <w:bdr w:val="none" w:sz="0" w:space="0" w:color="auto"/>
          <w:lang w:val="en-US" w:eastAsia="en-US"/>
        </w:rPr>
        <w:t>initiated by</w:t>
      </w:r>
      <w:r w:rsidR="008E4D36" w:rsidRPr="007D174A">
        <w:rPr>
          <w:rFonts w:eastAsia="Times New Roman" w:cs="Arial"/>
          <w:bCs/>
          <w:color w:val="auto"/>
          <w:bdr w:val="none" w:sz="0" w:space="0" w:color="auto"/>
          <w:lang w:val="en-US" w:eastAsia="en-US"/>
        </w:rPr>
        <w:t xml:space="preserve"> </w:t>
      </w:r>
      <w:r w:rsidR="002835FC" w:rsidRPr="007D174A">
        <w:rPr>
          <w:rFonts w:eastAsia="Times New Roman" w:cs="Arial"/>
          <w:bCs/>
          <w:color w:val="auto"/>
          <w:bdr w:val="none" w:sz="0" w:space="0" w:color="auto"/>
          <w:lang w:val="en-US" w:eastAsia="en-US"/>
        </w:rPr>
        <w:t>the alleged victims</w:t>
      </w:r>
      <w:bookmarkEnd w:id="31"/>
      <w:r w:rsidR="002835FC" w:rsidRPr="007D174A">
        <w:rPr>
          <w:rFonts w:eastAsia="Times New Roman" w:cs="Arial"/>
          <w:bCs/>
          <w:color w:val="auto"/>
          <w:bdr w:val="none" w:sz="0" w:space="0" w:color="auto"/>
          <w:lang w:val="en-US" w:eastAsia="en-US"/>
        </w:rPr>
        <w:t xml:space="preserve"> </w:t>
      </w:r>
    </w:p>
    <w:p w14:paraId="6BABD87A" w14:textId="77777777" w:rsidR="00197609" w:rsidRPr="00A51861" w:rsidRDefault="00197609" w:rsidP="008E4D36">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b/>
          <w:sz w:val="20"/>
          <w:szCs w:val="20"/>
        </w:rPr>
      </w:pPr>
    </w:p>
    <w:p w14:paraId="3A9C9ECE" w14:textId="5B63BDC2" w:rsidR="002F0508" w:rsidRPr="00A51861" w:rsidRDefault="00391CFB" w:rsidP="00C238A7">
      <w:pPr>
        <w:pStyle w:val="Heading3"/>
        <w:keepNext/>
        <w:numPr>
          <w:ilvl w:val="0"/>
          <w:numId w:val="69"/>
        </w:numPr>
        <w:spacing w:line="240" w:lineRule="auto"/>
        <w:ind w:left="990"/>
        <w:jc w:val="left"/>
        <w:rPr>
          <w:lang w:val="en-US"/>
        </w:rPr>
      </w:pPr>
      <w:bookmarkStart w:id="32" w:name="_Toc196383496"/>
      <w:r>
        <w:rPr>
          <w:lang w:val="en-US"/>
        </w:rPr>
        <w:lastRenderedPageBreak/>
        <w:t>P</w:t>
      </w:r>
      <w:r w:rsidRPr="00A51861">
        <w:rPr>
          <w:lang w:val="en-US"/>
        </w:rPr>
        <w:t>reliminar</w:t>
      </w:r>
      <w:r>
        <w:rPr>
          <w:lang w:val="en-US"/>
        </w:rPr>
        <w:t>y</w:t>
      </w:r>
      <w:r w:rsidRPr="00A51861">
        <w:rPr>
          <w:lang w:val="en-US"/>
        </w:rPr>
        <w:t xml:space="preserve"> </w:t>
      </w:r>
      <w:r>
        <w:rPr>
          <w:lang w:val="en-US"/>
        </w:rPr>
        <w:t>matters</w:t>
      </w:r>
      <w:bookmarkEnd w:id="32"/>
      <w:r w:rsidR="002F0508" w:rsidRPr="00A51861">
        <w:rPr>
          <w:lang w:val="en-US"/>
        </w:rPr>
        <w:t xml:space="preserve"> </w:t>
      </w:r>
    </w:p>
    <w:p w14:paraId="258520A0" w14:textId="77777777" w:rsidR="002F0508" w:rsidRPr="00A51861" w:rsidRDefault="002F0508" w:rsidP="008E4D36">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b/>
          <w:sz w:val="20"/>
          <w:szCs w:val="20"/>
        </w:rPr>
      </w:pPr>
    </w:p>
    <w:p w14:paraId="7F416127" w14:textId="0F224E4C" w:rsidR="00C41841" w:rsidRPr="00A51861" w:rsidRDefault="00B74DB5"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eastAsia="Cambria" w:hAnsi="Cambria" w:cs="Cambria"/>
          <w:color w:val="000000"/>
          <w:sz w:val="20"/>
          <w:szCs w:val="20"/>
          <w:u w:color="000000"/>
          <w:lang w:eastAsia="es-ES"/>
        </w:rPr>
      </w:pPr>
      <w:r>
        <w:rPr>
          <w:rFonts w:ascii="Cambria" w:eastAsia="Cambria" w:hAnsi="Cambria" w:cs="Cambria"/>
          <w:color w:val="000000"/>
          <w:sz w:val="20"/>
          <w:szCs w:val="20"/>
          <w:u w:color="000000"/>
          <w:lang w:eastAsia="es-ES"/>
        </w:rPr>
        <w:t>First of all</w:t>
      </w:r>
      <w:r w:rsidR="00C41841" w:rsidRPr="00A51861">
        <w:rPr>
          <w:rFonts w:ascii="Cambria" w:eastAsia="Cambria" w:hAnsi="Cambria" w:cs="Cambria"/>
          <w:color w:val="000000"/>
          <w:sz w:val="20"/>
          <w:szCs w:val="20"/>
          <w:u w:color="000000"/>
          <w:lang w:eastAsia="es-ES"/>
        </w:rPr>
        <w:t>,</w:t>
      </w:r>
      <w:r w:rsidR="00D70A85">
        <w:rPr>
          <w:rFonts w:ascii="Cambria" w:eastAsia="Cambria" w:hAnsi="Cambria" w:cs="Cambria"/>
          <w:color w:val="000000"/>
          <w:sz w:val="20"/>
          <w:szCs w:val="20"/>
          <w:u w:color="000000"/>
          <w:lang w:eastAsia="es-ES"/>
        </w:rPr>
        <w:t xml:space="preserve"> </w:t>
      </w:r>
      <w:r w:rsidR="00201280">
        <w:rPr>
          <w:rFonts w:ascii="Cambria" w:eastAsia="Cambria" w:hAnsi="Cambria" w:cs="Cambria"/>
          <w:color w:val="000000"/>
          <w:sz w:val="20"/>
          <w:szCs w:val="20"/>
          <w:u w:color="000000"/>
          <w:lang w:eastAsia="es-ES"/>
        </w:rPr>
        <w:t>it is important</w:t>
      </w:r>
      <w:r w:rsidR="00C41841" w:rsidRPr="00A51861">
        <w:rPr>
          <w:rFonts w:ascii="Cambria" w:eastAsia="Cambria" w:hAnsi="Cambria" w:cs="Cambria"/>
          <w:color w:val="000000"/>
          <w:sz w:val="20"/>
          <w:szCs w:val="20"/>
          <w:u w:color="000000"/>
          <w:lang w:eastAsia="es-ES"/>
        </w:rPr>
        <w:t xml:space="preserve"> </w:t>
      </w:r>
      <w:r>
        <w:rPr>
          <w:rFonts w:ascii="Cambria" w:eastAsia="Cambria" w:hAnsi="Cambria" w:cs="Cambria"/>
          <w:color w:val="000000"/>
          <w:sz w:val="20"/>
          <w:szCs w:val="20"/>
          <w:u w:color="000000"/>
          <w:lang w:eastAsia="es-ES"/>
        </w:rPr>
        <w:t>to express that, as mentioned on the previous sections</w:t>
      </w:r>
      <w:r w:rsidR="00C41841" w:rsidRPr="00A51861">
        <w:rPr>
          <w:rFonts w:ascii="Cambria" w:eastAsia="Cambria" w:hAnsi="Cambria" w:cs="Cambria"/>
          <w:color w:val="000000"/>
          <w:sz w:val="20"/>
          <w:szCs w:val="20"/>
          <w:u w:color="000000"/>
          <w:lang w:eastAsia="es-ES"/>
        </w:rPr>
        <w:t xml:space="preserve">, </w:t>
      </w:r>
      <w:r>
        <w:rPr>
          <w:rFonts w:ascii="Cambria" w:eastAsia="Cambria" w:hAnsi="Cambria" w:cs="Cambria"/>
          <w:color w:val="000000"/>
          <w:sz w:val="20"/>
          <w:szCs w:val="20"/>
          <w:u w:color="000000"/>
          <w:lang w:eastAsia="es-ES"/>
        </w:rPr>
        <w:t>Mr. Julio César Rito de los Santos, Mr. Hugo Daniel Ferreira and Mr. Nicasio Washington Romero Ubal were</w:t>
      </w:r>
      <w:r w:rsidR="00C41841" w:rsidRPr="00A51861">
        <w:rPr>
          <w:rFonts w:ascii="Cambria" w:eastAsia="Cambria" w:hAnsi="Cambria" w:cs="Cambria"/>
          <w:color w:val="000000"/>
          <w:sz w:val="20"/>
          <w:szCs w:val="20"/>
          <w:u w:color="000000"/>
          <w:lang w:eastAsia="es-ES"/>
        </w:rPr>
        <w:t xml:space="preserve"> </w:t>
      </w:r>
      <w:r w:rsidR="00B4073F">
        <w:rPr>
          <w:rFonts w:ascii="Cambria" w:eastAsia="Cambria" w:hAnsi="Cambria" w:cs="Cambria"/>
          <w:color w:val="000000"/>
          <w:sz w:val="20"/>
          <w:szCs w:val="20"/>
          <w:u w:color="000000"/>
          <w:lang w:eastAsia="es-ES"/>
        </w:rPr>
        <w:t>victim</w:t>
      </w:r>
      <w:r w:rsidR="00C41841" w:rsidRPr="00A51861">
        <w:rPr>
          <w:rFonts w:ascii="Cambria" w:eastAsia="Cambria" w:hAnsi="Cambria" w:cs="Cambria"/>
          <w:color w:val="000000"/>
          <w:sz w:val="20"/>
          <w:szCs w:val="20"/>
          <w:u w:color="000000"/>
          <w:lang w:eastAsia="es-ES"/>
        </w:rPr>
        <w:t>s</w:t>
      </w:r>
      <w:r w:rsidR="00E92985">
        <w:rPr>
          <w:rFonts w:ascii="Cambria" w:eastAsia="Cambria" w:hAnsi="Cambria" w:cs="Cambria"/>
          <w:color w:val="000000"/>
          <w:sz w:val="20"/>
          <w:szCs w:val="20"/>
          <w:u w:color="000000"/>
          <w:lang w:eastAsia="es-ES"/>
        </w:rPr>
        <w:t xml:space="preserve"> of </w:t>
      </w:r>
      <w:r w:rsidR="004E1083">
        <w:rPr>
          <w:rFonts w:ascii="Cambria" w:eastAsia="Cambria" w:hAnsi="Cambria" w:cs="Cambria"/>
          <w:color w:val="000000"/>
          <w:sz w:val="20"/>
          <w:szCs w:val="20"/>
          <w:u w:color="000000"/>
          <w:lang w:eastAsia="es-ES"/>
        </w:rPr>
        <w:t>violations</w:t>
      </w:r>
      <w:r w:rsidR="00C41841" w:rsidRPr="00A51861">
        <w:rPr>
          <w:rFonts w:ascii="Cambria" w:eastAsia="Cambria" w:hAnsi="Cambria" w:cs="Cambria"/>
          <w:color w:val="000000"/>
          <w:sz w:val="20"/>
          <w:szCs w:val="20"/>
          <w:u w:color="000000"/>
          <w:lang w:eastAsia="es-ES"/>
        </w:rPr>
        <w:t xml:space="preserve"> </w:t>
      </w:r>
      <w:r>
        <w:rPr>
          <w:rFonts w:ascii="Cambria" w:eastAsia="Cambria" w:hAnsi="Cambria" w:cs="Cambria"/>
          <w:color w:val="000000"/>
          <w:sz w:val="20"/>
          <w:szCs w:val="20"/>
          <w:u w:color="000000"/>
          <w:lang w:eastAsia="es-ES"/>
        </w:rPr>
        <w:t>of their rights contemplated in</w:t>
      </w:r>
      <w:r w:rsidR="009A4F91">
        <w:rPr>
          <w:rFonts w:ascii="Cambria" w:eastAsia="Cambria" w:hAnsi="Cambria" w:cs="Cambria"/>
          <w:color w:val="000000"/>
          <w:sz w:val="20"/>
          <w:szCs w:val="20"/>
          <w:u w:color="000000"/>
          <w:lang w:eastAsia="es-ES"/>
        </w:rPr>
        <w:t xml:space="preserve"> the </w:t>
      </w:r>
      <w:r w:rsidR="00A311C9">
        <w:rPr>
          <w:rFonts w:ascii="Cambria" w:eastAsia="Cambria" w:hAnsi="Cambria" w:cs="Cambria"/>
          <w:color w:val="000000"/>
          <w:sz w:val="20"/>
          <w:szCs w:val="20"/>
          <w:u w:color="000000"/>
          <w:lang w:eastAsia="es-ES"/>
        </w:rPr>
        <w:t>American Declaration</w:t>
      </w:r>
      <w:r w:rsidR="00C41841" w:rsidRPr="00A51861">
        <w:rPr>
          <w:rFonts w:ascii="Cambria" w:eastAsia="Cambria" w:hAnsi="Cambria" w:cs="Cambria"/>
          <w:color w:val="000000"/>
          <w:sz w:val="20"/>
          <w:szCs w:val="20"/>
          <w:u w:color="000000"/>
          <w:lang w:eastAsia="es-ES"/>
        </w:rPr>
        <w:t xml:space="preserve">. </w:t>
      </w:r>
    </w:p>
    <w:p w14:paraId="0A391CDE" w14:textId="77777777" w:rsidR="00C41841" w:rsidRPr="00A51861" w:rsidRDefault="00C41841" w:rsidP="008E4D36">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Cambria" w:eastAsia="Cambria" w:hAnsi="Cambria" w:cs="Cambria"/>
          <w:color w:val="000000"/>
          <w:sz w:val="20"/>
          <w:szCs w:val="20"/>
          <w:u w:color="000000"/>
          <w:lang w:eastAsia="es-ES"/>
        </w:rPr>
      </w:pPr>
    </w:p>
    <w:p w14:paraId="4C152253" w14:textId="7D09A71A" w:rsidR="00C41841" w:rsidRPr="00963146" w:rsidRDefault="00B74DB5" w:rsidP="0096314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eastAsia="Cambria" w:hAnsi="Cambria" w:cs="Cambria"/>
          <w:color w:val="000000"/>
          <w:sz w:val="20"/>
          <w:szCs w:val="20"/>
          <w:u w:color="000000"/>
          <w:lang w:eastAsia="es-ES"/>
        </w:rPr>
      </w:pPr>
      <w:r>
        <w:rPr>
          <w:rFonts w:ascii="Cambria" w:eastAsia="Cambria" w:hAnsi="Cambria" w:cs="Cambria"/>
          <w:color w:val="000000"/>
          <w:sz w:val="20"/>
          <w:szCs w:val="20"/>
          <w:u w:color="000000"/>
          <w:lang w:eastAsia="es-ES"/>
        </w:rPr>
        <w:t xml:space="preserve">In regard to </w:t>
      </w:r>
      <w:r w:rsidR="00964D74">
        <w:rPr>
          <w:rFonts w:ascii="Cambria" w:eastAsia="Cambria" w:hAnsi="Cambria" w:cs="Cambria"/>
          <w:color w:val="000000"/>
          <w:sz w:val="20"/>
          <w:szCs w:val="20"/>
          <w:u w:color="000000"/>
          <w:lang w:eastAsia="es-ES"/>
        </w:rPr>
        <w:t>Mr. Julio César Rito and Mr. Hugo Daniel Ferreira</w:t>
      </w:r>
      <w:r w:rsidR="00C41841" w:rsidRPr="00A51861">
        <w:rPr>
          <w:rFonts w:ascii="Cambria" w:eastAsia="Cambria" w:hAnsi="Cambria" w:cs="Cambria"/>
          <w:color w:val="000000"/>
          <w:sz w:val="20"/>
          <w:szCs w:val="20"/>
          <w:u w:color="000000"/>
          <w:lang w:eastAsia="es-ES"/>
        </w:rPr>
        <w:t xml:space="preserve">, </w:t>
      </w:r>
      <w:r>
        <w:rPr>
          <w:rFonts w:ascii="Cambria" w:eastAsia="Cambria" w:hAnsi="Cambria" w:cs="Cambria"/>
          <w:color w:val="000000"/>
          <w:sz w:val="20"/>
          <w:szCs w:val="20"/>
          <w:u w:color="000000"/>
          <w:lang w:eastAsia="es-ES"/>
        </w:rPr>
        <w:t>whose</w:t>
      </w:r>
      <w:r w:rsidR="00C41841" w:rsidRPr="00A51861">
        <w:rPr>
          <w:rFonts w:ascii="Cambria" w:eastAsia="Cambria" w:hAnsi="Cambria" w:cs="Cambria"/>
          <w:color w:val="000000"/>
          <w:sz w:val="20"/>
          <w:szCs w:val="20"/>
          <w:u w:color="000000"/>
          <w:lang w:eastAsia="es-ES"/>
        </w:rPr>
        <w:t xml:space="preserve"> </w:t>
      </w:r>
      <w:r w:rsidRPr="00A51861">
        <w:rPr>
          <w:rFonts w:ascii="Cambria" w:eastAsia="Cambria" w:hAnsi="Cambria" w:cs="Cambria"/>
          <w:color w:val="000000"/>
          <w:sz w:val="20"/>
          <w:szCs w:val="20"/>
          <w:u w:color="000000"/>
          <w:lang w:eastAsia="es-ES"/>
        </w:rPr>
        <w:t>circumstances</w:t>
      </w:r>
      <w:r w:rsidR="00E92985">
        <w:rPr>
          <w:rFonts w:ascii="Cambria" w:eastAsia="Cambria" w:hAnsi="Cambria" w:cs="Cambria"/>
          <w:color w:val="000000"/>
          <w:sz w:val="20"/>
          <w:szCs w:val="20"/>
          <w:u w:color="000000"/>
          <w:lang w:eastAsia="es-ES"/>
        </w:rPr>
        <w:t xml:space="preserve"> of</w:t>
      </w:r>
      <w:r w:rsidR="005F6157">
        <w:rPr>
          <w:rFonts w:ascii="Cambria" w:eastAsia="Cambria" w:hAnsi="Cambria" w:cs="Cambria"/>
          <w:color w:val="000000"/>
          <w:sz w:val="20"/>
          <w:szCs w:val="20"/>
          <w:u w:color="000000"/>
          <w:lang w:eastAsia="es-ES"/>
        </w:rPr>
        <w:t xml:space="preserve"> fact</w:t>
      </w:r>
      <w:r w:rsidR="00C41841" w:rsidRPr="00A51861">
        <w:rPr>
          <w:rFonts w:ascii="Cambria" w:eastAsia="Cambria" w:hAnsi="Cambria" w:cs="Cambria"/>
          <w:color w:val="000000"/>
          <w:sz w:val="20"/>
          <w:szCs w:val="20"/>
          <w:u w:color="000000"/>
          <w:lang w:eastAsia="es-ES"/>
        </w:rPr>
        <w:t xml:space="preserve"> </w:t>
      </w:r>
      <w:r>
        <w:rPr>
          <w:rFonts w:ascii="Cambria" w:eastAsia="Cambria" w:hAnsi="Cambria" w:cs="Cambria"/>
          <w:color w:val="000000"/>
          <w:sz w:val="20"/>
          <w:szCs w:val="20"/>
          <w:u w:color="000000"/>
          <w:lang w:eastAsia="es-ES"/>
        </w:rPr>
        <w:t>were</w:t>
      </w:r>
      <w:r w:rsidR="00C41841" w:rsidRPr="00A51861">
        <w:rPr>
          <w:rFonts w:ascii="Cambria" w:eastAsia="Cambria" w:hAnsi="Cambria" w:cs="Cambria"/>
          <w:color w:val="000000"/>
          <w:sz w:val="20"/>
          <w:szCs w:val="20"/>
          <w:u w:color="000000"/>
          <w:lang w:eastAsia="es-ES"/>
        </w:rPr>
        <w:t xml:space="preserve"> similar, </w:t>
      </w:r>
      <w:r>
        <w:rPr>
          <w:rFonts w:ascii="Cambria" w:eastAsia="Cambria" w:hAnsi="Cambria" w:cs="Cambria"/>
          <w:color w:val="000000"/>
          <w:sz w:val="20"/>
          <w:szCs w:val="20"/>
          <w:u w:color="000000"/>
          <w:lang w:eastAsia="es-ES"/>
        </w:rPr>
        <w:t>the</w:t>
      </w:r>
      <w:r w:rsidR="00C41841" w:rsidRPr="00A51861">
        <w:rPr>
          <w:rFonts w:ascii="Cambria" w:eastAsia="Cambria" w:hAnsi="Cambria" w:cs="Cambria"/>
          <w:color w:val="000000"/>
          <w:sz w:val="20"/>
          <w:szCs w:val="20"/>
          <w:u w:color="000000"/>
          <w:lang w:eastAsia="es-ES"/>
        </w:rPr>
        <w:t xml:space="preserve"> </w:t>
      </w:r>
      <w:r w:rsidR="004E1083">
        <w:rPr>
          <w:rFonts w:ascii="Cambria" w:eastAsia="Cambria" w:hAnsi="Cambria" w:cs="Cambria"/>
          <w:color w:val="000000"/>
          <w:sz w:val="20"/>
          <w:szCs w:val="20"/>
          <w:u w:color="000000"/>
          <w:lang w:eastAsia="es-ES"/>
        </w:rPr>
        <w:t>violations</w:t>
      </w:r>
      <w:r w:rsidR="00C41841" w:rsidRPr="00A51861">
        <w:rPr>
          <w:rFonts w:ascii="Cambria" w:eastAsia="Cambria" w:hAnsi="Cambria" w:cs="Cambria"/>
          <w:color w:val="000000"/>
          <w:sz w:val="20"/>
          <w:szCs w:val="20"/>
          <w:u w:color="000000"/>
          <w:lang w:eastAsia="es-ES"/>
        </w:rPr>
        <w:t xml:space="preserve"> </w:t>
      </w:r>
      <w:r>
        <w:rPr>
          <w:rFonts w:ascii="Cambria" w:eastAsia="Cambria" w:hAnsi="Cambria" w:cs="Cambria"/>
          <w:color w:val="000000"/>
          <w:sz w:val="20"/>
          <w:szCs w:val="20"/>
          <w:u w:color="000000"/>
          <w:lang w:eastAsia="es-ES"/>
        </w:rPr>
        <w:t>materialized in a sequence</w:t>
      </w:r>
      <w:r w:rsidR="00E92985">
        <w:rPr>
          <w:rFonts w:ascii="Cambria" w:eastAsia="Cambria" w:hAnsi="Cambria" w:cs="Cambria"/>
          <w:color w:val="000000"/>
          <w:sz w:val="20"/>
          <w:szCs w:val="20"/>
          <w:u w:color="000000"/>
          <w:lang w:eastAsia="es-ES"/>
        </w:rPr>
        <w:t xml:space="preserve"> of </w:t>
      </w:r>
      <w:r w:rsidRPr="00A51861">
        <w:rPr>
          <w:rFonts w:ascii="Cambria" w:eastAsia="Cambria" w:hAnsi="Cambria" w:cs="Cambria"/>
          <w:color w:val="000000"/>
          <w:sz w:val="20"/>
          <w:szCs w:val="20"/>
          <w:u w:color="000000"/>
          <w:lang w:eastAsia="es-ES"/>
        </w:rPr>
        <w:t>continuo</w:t>
      </w:r>
      <w:r>
        <w:rPr>
          <w:rFonts w:ascii="Cambria" w:eastAsia="Cambria" w:hAnsi="Cambria" w:cs="Cambria"/>
          <w:color w:val="000000"/>
          <w:sz w:val="20"/>
          <w:szCs w:val="20"/>
          <w:u w:color="000000"/>
          <w:lang w:eastAsia="es-ES"/>
        </w:rPr>
        <w:t>u</w:t>
      </w:r>
      <w:r w:rsidRPr="00A51861">
        <w:rPr>
          <w:rFonts w:ascii="Cambria" w:eastAsia="Cambria" w:hAnsi="Cambria" w:cs="Cambria"/>
          <w:color w:val="000000"/>
          <w:sz w:val="20"/>
          <w:szCs w:val="20"/>
          <w:u w:color="000000"/>
          <w:lang w:eastAsia="es-ES"/>
        </w:rPr>
        <w:t xml:space="preserve">s </w:t>
      </w:r>
      <w:r w:rsidR="00404714">
        <w:rPr>
          <w:rFonts w:ascii="Cambria" w:eastAsia="Cambria" w:hAnsi="Cambria" w:cs="Cambria"/>
          <w:color w:val="000000"/>
          <w:sz w:val="20"/>
          <w:szCs w:val="20"/>
          <w:u w:color="000000"/>
          <w:lang w:eastAsia="es-ES"/>
        </w:rPr>
        <w:t xml:space="preserve">acts </w:t>
      </w:r>
      <w:r w:rsidR="00C41841" w:rsidRPr="00A51861">
        <w:rPr>
          <w:rFonts w:ascii="Cambria" w:eastAsia="Cambria" w:hAnsi="Cambria" w:cs="Cambria"/>
          <w:color w:val="000000"/>
          <w:sz w:val="20"/>
          <w:szCs w:val="20"/>
          <w:u w:color="000000"/>
          <w:lang w:eastAsia="es-ES"/>
        </w:rPr>
        <w:t>at</w:t>
      </w:r>
      <w:r>
        <w:rPr>
          <w:rFonts w:ascii="Cambria" w:eastAsia="Cambria" w:hAnsi="Cambria" w:cs="Cambria"/>
          <w:color w:val="000000"/>
          <w:sz w:val="20"/>
          <w:szCs w:val="20"/>
          <w:u w:color="000000"/>
          <w:lang w:eastAsia="es-ES"/>
        </w:rPr>
        <w:t>t</w:t>
      </w:r>
      <w:r w:rsidR="00C41841" w:rsidRPr="00A51861">
        <w:rPr>
          <w:rFonts w:ascii="Cambria" w:eastAsia="Cambria" w:hAnsi="Cambria" w:cs="Cambria"/>
          <w:color w:val="000000"/>
          <w:sz w:val="20"/>
          <w:szCs w:val="20"/>
          <w:u w:color="000000"/>
          <w:lang w:eastAsia="es-ES"/>
        </w:rPr>
        <w:t>ribu</w:t>
      </w:r>
      <w:r>
        <w:rPr>
          <w:rFonts w:ascii="Cambria" w:eastAsia="Cambria" w:hAnsi="Cambria" w:cs="Cambria"/>
          <w:color w:val="000000"/>
          <w:sz w:val="20"/>
          <w:szCs w:val="20"/>
          <w:u w:color="000000"/>
          <w:lang w:eastAsia="es-ES"/>
        </w:rPr>
        <w:t>ta</w:t>
      </w:r>
      <w:r w:rsidR="00C41841" w:rsidRPr="00A51861">
        <w:rPr>
          <w:rFonts w:ascii="Cambria" w:eastAsia="Cambria" w:hAnsi="Cambria" w:cs="Cambria"/>
          <w:color w:val="000000"/>
          <w:sz w:val="20"/>
          <w:szCs w:val="20"/>
          <w:u w:color="000000"/>
          <w:lang w:eastAsia="es-ES"/>
        </w:rPr>
        <w:t>ble</w:t>
      </w:r>
      <w:r>
        <w:rPr>
          <w:rFonts w:ascii="Cambria" w:eastAsia="Cambria" w:hAnsi="Cambria" w:cs="Cambria"/>
          <w:color w:val="000000"/>
          <w:sz w:val="20"/>
          <w:szCs w:val="20"/>
          <w:u w:color="000000"/>
          <w:lang w:eastAsia="es-ES"/>
        </w:rPr>
        <w:t xml:space="preserve"> to the</w:t>
      </w:r>
      <w:r w:rsidR="003A2A80">
        <w:rPr>
          <w:rFonts w:ascii="Cambria" w:eastAsia="Cambria" w:hAnsi="Cambria" w:cs="Cambria"/>
          <w:color w:val="000000"/>
          <w:sz w:val="20"/>
          <w:szCs w:val="20"/>
          <w:u w:color="000000"/>
          <w:lang w:eastAsia="es-ES"/>
        </w:rPr>
        <w:t xml:space="preserve"> </w:t>
      </w:r>
      <w:r w:rsidR="00FE1E27">
        <w:rPr>
          <w:rFonts w:ascii="Cambria" w:eastAsia="Cambria" w:hAnsi="Cambria" w:cs="Cambria"/>
          <w:color w:val="000000"/>
          <w:sz w:val="20"/>
          <w:szCs w:val="20"/>
          <w:u w:color="000000"/>
          <w:lang w:eastAsia="es-ES"/>
        </w:rPr>
        <w:t>Argentine State</w:t>
      </w:r>
      <w:r w:rsidR="00C41841" w:rsidRPr="00A51861">
        <w:rPr>
          <w:rFonts w:ascii="Cambria" w:eastAsia="Cambria" w:hAnsi="Cambria" w:cs="Cambria"/>
          <w:color w:val="000000"/>
          <w:sz w:val="20"/>
          <w:szCs w:val="20"/>
          <w:u w:color="000000"/>
          <w:lang w:eastAsia="es-ES"/>
        </w:rPr>
        <w:t>, consist</w:t>
      </w:r>
      <w:r>
        <w:rPr>
          <w:rFonts w:ascii="Cambria" w:eastAsia="Cambria" w:hAnsi="Cambria" w:cs="Cambria"/>
          <w:color w:val="000000"/>
          <w:sz w:val="20"/>
          <w:szCs w:val="20"/>
          <w:u w:color="000000"/>
          <w:lang w:eastAsia="es-ES"/>
        </w:rPr>
        <w:t>ing</w:t>
      </w:r>
      <w:r w:rsidR="00C41841" w:rsidRPr="00A51861">
        <w:rPr>
          <w:rFonts w:ascii="Cambria" w:eastAsia="Cambria" w:hAnsi="Cambria" w:cs="Cambria"/>
          <w:color w:val="000000"/>
          <w:sz w:val="20"/>
          <w:szCs w:val="20"/>
          <w:u w:color="000000"/>
          <w:lang w:eastAsia="es-ES"/>
        </w:rPr>
        <w:t xml:space="preserve"> </w:t>
      </w:r>
      <w:r>
        <w:rPr>
          <w:rFonts w:ascii="Cambria" w:eastAsia="Cambria" w:hAnsi="Cambria" w:cs="Cambria"/>
          <w:color w:val="000000"/>
          <w:sz w:val="20"/>
          <w:szCs w:val="20"/>
          <w:u w:color="000000"/>
          <w:lang w:eastAsia="es-ES"/>
        </w:rPr>
        <w:t>of</w:t>
      </w:r>
      <w:r w:rsidR="009A4F91">
        <w:rPr>
          <w:rFonts w:ascii="Cambria" w:eastAsia="Cambria" w:hAnsi="Cambria" w:cs="Cambria"/>
          <w:color w:val="000000"/>
          <w:sz w:val="20"/>
          <w:szCs w:val="20"/>
          <w:u w:color="000000"/>
          <w:lang w:eastAsia="es-ES"/>
        </w:rPr>
        <w:t xml:space="preserve"> the </w:t>
      </w:r>
      <w:r w:rsidR="006E255A">
        <w:rPr>
          <w:rFonts w:ascii="Cambria" w:eastAsia="Cambria" w:hAnsi="Cambria" w:cs="Cambria"/>
          <w:color w:val="000000"/>
          <w:sz w:val="20"/>
          <w:szCs w:val="20"/>
          <w:u w:color="000000"/>
          <w:lang w:eastAsia="es-ES"/>
        </w:rPr>
        <w:t>detention</w:t>
      </w:r>
      <w:r w:rsidR="002B762A">
        <w:rPr>
          <w:rFonts w:ascii="Cambria" w:eastAsia="Cambria" w:hAnsi="Cambria" w:cs="Cambria"/>
          <w:color w:val="000000"/>
          <w:sz w:val="20"/>
          <w:szCs w:val="20"/>
          <w:u w:color="000000"/>
          <w:lang w:eastAsia="es-ES"/>
        </w:rPr>
        <w:t xml:space="preserve"> </w:t>
      </w:r>
      <w:r>
        <w:rPr>
          <w:rFonts w:ascii="Cambria" w:eastAsia="Cambria" w:hAnsi="Cambria" w:cs="Cambria"/>
          <w:color w:val="000000"/>
          <w:sz w:val="20"/>
          <w:szCs w:val="20"/>
          <w:u w:color="000000"/>
          <w:lang w:eastAsia="es-ES"/>
        </w:rPr>
        <w:t xml:space="preserve">resulted from the exercise of their </w:t>
      </w:r>
      <w:r w:rsidR="009B462E">
        <w:rPr>
          <w:rFonts w:ascii="Cambria" w:eastAsia="Cambria" w:hAnsi="Cambria" w:cs="Cambria"/>
          <w:color w:val="000000"/>
          <w:sz w:val="20"/>
          <w:szCs w:val="20"/>
          <w:u w:color="000000"/>
          <w:lang w:eastAsia="es-ES"/>
        </w:rPr>
        <w:t xml:space="preserve">right of </w:t>
      </w:r>
      <w:r>
        <w:rPr>
          <w:rFonts w:ascii="Cambria" w:eastAsia="Cambria" w:hAnsi="Cambria" w:cs="Cambria"/>
          <w:color w:val="000000"/>
          <w:sz w:val="20"/>
          <w:szCs w:val="20"/>
          <w:u w:color="000000"/>
          <w:lang w:eastAsia="es-ES"/>
        </w:rPr>
        <w:t>assembly</w:t>
      </w:r>
      <w:r w:rsidR="00C41841" w:rsidRPr="00A51861">
        <w:rPr>
          <w:rFonts w:ascii="Cambria" w:eastAsia="Cambria" w:hAnsi="Cambria" w:cs="Cambria"/>
          <w:color w:val="000000"/>
          <w:sz w:val="20"/>
          <w:szCs w:val="20"/>
          <w:u w:color="000000"/>
          <w:lang w:eastAsia="es-ES"/>
        </w:rPr>
        <w:t>;</w:t>
      </w:r>
      <w:r w:rsidR="006A3C04">
        <w:rPr>
          <w:rFonts w:ascii="Cambria" w:eastAsia="Cambria" w:hAnsi="Cambria" w:cs="Cambria"/>
          <w:color w:val="000000"/>
          <w:sz w:val="20"/>
          <w:szCs w:val="20"/>
          <w:u w:color="000000"/>
          <w:lang w:eastAsia="es-ES"/>
        </w:rPr>
        <w:t xml:space="preserve"> the facts</w:t>
      </w:r>
      <w:r w:rsidR="00E92985">
        <w:rPr>
          <w:rFonts w:ascii="Cambria" w:eastAsia="Cambria" w:hAnsi="Cambria" w:cs="Cambria"/>
          <w:color w:val="000000"/>
          <w:sz w:val="20"/>
          <w:szCs w:val="20"/>
          <w:u w:color="000000"/>
          <w:lang w:eastAsia="es-ES"/>
        </w:rPr>
        <w:t xml:space="preserve"> of </w:t>
      </w:r>
      <w:r>
        <w:rPr>
          <w:rFonts w:ascii="Cambria" w:eastAsia="Cambria" w:hAnsi="Cambria" w:cs="Cambria"/>
          <w:color w:val="000000"/>
          <w:sz w:val="20"/>
          <w:szCs w:val="20"/>
          <w:u w:color="000000"/>
          <w:lang w:eastAsia="es-ES"/>
        </w:rPr>
        <w:t>harassment</w:t>
      </w:r>
      <w:r w:rsidR="00C41841" w:rsidRPr="00A51861">
        <w:rPr>
          <w:rFonts w:ascii="Cambria" w:eastAsia="Cambria" w:hAnsi="Cambria" w:cs="Cambria"/>
          <w:color w:val="000000"/>
          <w:sz w:val="20"/>
          <w:szCs w:val="20"/>
          <w:u w:color="000000"/>
          <w:lang w:eastAsia="es-ES"/>
        </w:rPr>
        <w:t xml:space="preserve"> </w:t>
      </w:r>
      <w:r>
        <w:rPr>
          <w:rFonts w:ascii="Cambria" w:eastAsia="Cambria" w:hAnsi="Cambria" w:cs="Cambria"/>
          <w:color w:val="000000"/>
          <w:sz w:val="20"/>
          <w:szCs w:val="20"/>
          <w:u w:color="000000"/>
          <w:lang w:eastAsia="es-ES"/>
        </w:rPr>
        <w:t>which</w:t>
      </w:r>
      <w:r w:rsidR="00C41841" w:rsidRPr="00A51861">
        <w:rPr>
          <w:rFonts w:ascii="Cambria" w:eastAsia="Cambria" w:hAnsi="Cambria" w:cs="Cambria"/>
          <w:color w:val="000000"/>
          <w:sz w:val="20"/>
          <w:szCs w:val="20"/>
          <w:u w:color="000000"/>
          <w:lang w:eastAsia="es-ES"/>
        </w:rPr>
        <w:t xml:space="preserve"> motiva</w:t>
      </w:r>
      <w:r>
        <w:rPr>
          <w:rFonts w:ascii="Cambria" w:eastAsia="Cambria" w:hAnsi="Cambria" w:cs="Cambria"/>
          <w:color w:val="000000"/>
          <w:sz w:val="20"/>
          <w:szCs w:val="20"/>
          <w:u w:color="000000"/>
          <w:lang w:eastAsia="es-ES"/>
        </w:rPr>
        <w:t>ted</w:t>
      </w:r>
      <w:r w:rsidR="00C41841" w:rsidRPr="00A51861">
        <w:rPr>
          <w:rFonts w:ascii="Cambria" w:eastAsia="Cambria" w:hAnsi="Cambria" w:cs="Cambria"/>
          <w:color w:val="000000"/>
          <w:sz w:val="20"/>
          <w:szCs w:val="20"/>
          <w:u w:color="000000"/>
          <w:lang w:eastAsia="es-ES"/>
        </w:rPr>
        <w:t xml:space="preserve"> </w:t>
      </w:r>
      <w:r>
        <w:rPr>
          <w:rFonts w:ascii="Cambria" w:eastAsia="Cambria" w:hAnsi="Cambria" w:cs="Cambria"/>
          <w:color w:val="000000"/>
          <w:sz w:val="20"/>
          <w:szCs w:val="20"/>
          <w:u w:color="000000"/>
          <w:lang w:eastAsia="es-ES"/>
        </w:rPr>
        <w:t>their change of</w:t>
      </w:r>
      <w:r w:rsidR="00E92985">
        <w:rPr>
          <w:rFonts w:ascii="Cambria" w:eastAsia="Cambria" w:hAnsi="Cambria" w:cs="Cambria"/>
          <w:color w:val="000000"/>
          <w:sz w:val="20"/>
          <w:szCs w:val="20"/>
          <w:u w:color="000000"/>
          <w:lang w:eastAsia="es-ES"/>
        </w:rPr>
        <w:t xml:space="preserve"> </w:t>
      </w:r>
      <w:r w:rsidR="00C41841" w:rsidRPr="00A51861">
        <w:rPr>
          <w:rFonts w:ascii="Cambria" w:eastAsia="Cambria" w:hAnsi="Cambria" w:cs="Cambria"/>
          <w:color w:val="000000"/>
          <w:sz w:val="20"/>
          <w:szCs w:val="20"/>
          <w:u w:color="000000"/>
          <w:lang w:eastAsia="es-ES"/>
        </w:rPr>
        <w:t>domicil</w:t>
      </w:r>
      <w:r>
        <w:rPr>
          <w:rFonts w:ascii="Cambria" w:eastAsia="Cambria" w:hAnsi="Cambria" w:cs="Cambria"/>
          <w:color w:val="000000"/>
          <w:sz w:val="20"/>
          <w:szCs w:val="20"/>
          <w:u w:color="000000"/>
          <w:lang w:eastAsia="es-ES"/>
        </w:rPr>
        <w:t>e</w:t>
      </w:r>
      <w:r w:rsidR="00C41841" w:rsidRPr="00A51861">
        <w:rPr>
          <w:rFonts w:ascii="Cambria" w:eastAsia="Cambria" w:hAnsi="Cambria" w:cs="Cambria"/>
          <w:color w:val="000000"/>
          <w:sz w:val="20"/>
          <w:szCs w:val="20"/>
          <w:u w:color="000000"/>
          <w:lang w:eastAsia="es-ES"/>
        </w:rPr>
        <w:t xml:space="preserve"> </w:t>
      </w:r>
      <w:r>
        <w:rPr>
          <w:rFonts w:ascii="Cambria" w:eastAsia="Cambria" w:hAnsi="Cambria" w:cs="Cambria"/>
          <w:color w:val="000000"/>
          <w:sz w:val="20"/>
          <w:szCs w:val="20"/>
          <w:u w:color="000000"/>
          <w:lang w:eastAsia="es-ES"/>
        </w:rPr>
        <w:t>on</w:t>
      </w:r>
      <w:r w:rsidR="00C41841" w:rsidRPr="00A51861">
        <w:rPr>
          <w:rFonts w:ascii="Cambria" w:eastAsia="Cambria" w:hAnsi="Cambria" w:cs="Cambria"/>
          <w:color w:val="000000"/>
          <w:sz w:val="20"/>
          <w:szCs w:val="20"/>
          <w:u w:color="000000"/>
          <w:lang w:eastAsia="es-ES"/>
        </w:rPr>
        <w:t xml:space="preserve"> </w:t>
      </w:r>
      <w:r w:rsidR="003A78FE">
        <w:rPr>
          <w:rFonts w:ascii="Cambria" w:eastAsia="Cambria" w:hAnsi="Cambria" w:cs="Cambria"/>
          <w:color w:val="000000"/>
          <w:sz w:val="20"/>
          <w:szCs w:val="20"/>
          <w:u w:color="000000"/>
          <w:lang w:eastAsia="es-ES"/>
        </w:rPr>
        <w:t>several</w:t>
      </w:r>
      <w:r w:rsidR="00C41841" w:rsidRPr="00A51861">
        <w:rPr>
          <w:rFonts w:ascii="Cambria" w:eastAsia="Cambria" w:hAnsi="Cambria" w:cs="Cambria"/>
          <w:color w:val="000000"/>
          <w:sz w:val="20"/>
          <w:szCs w:val="20"/>
          <w:u w:color="000000"/>
          <w:lang w:eastAsia="es-ES"/>
        </w:rPr>
        <w:t xml:space="preserve"> </w:t>
      </w:r>
      <w:r w:rsidR="00D70A85">
        <w:rPr>
          <w:rFonts w:ascii="Cambria" w:eastAsia="Cambria" w:hAnsi="Cambria" w:cs="Cambria"/>
          <w:color w:val="000000"/>
          <w:sz w:val="20"/>
          <w:szCs w:val="20"/>
          <w:u w:color="000000"/>
          <w:lang w:eastAsia="es-ES"/>
        </w:rPr>
        <w:t>occasions</w:t>
      </w:r>
      <w:r w:rsidR="00C41841" w:rsidRPr="00A51861">
        <w:rPr>
          <w:rFonts w:ascii="Cambria" w:eastAsia="Cambria" w:hAnsi="Cambria" w:cs="Cambria"/>
          <w:color w:val="000000"/>
          <w:sz w:val="20"/>
          <w:szCs w:val="20"/>
          <w:u w:color="000000"/>
          <w:lang w:eastAsia="es-ES"/>
        </w:rPr>
        <w:t xml:space="preserve"> </w:t>
      </w:r>
      <w:r>
        <w:rPr>
          <w:rFonts w:ascii="Cambria" w:eastAsia="Cambria" w:hAnsi="Cambria" w:cs="Cambria"/>
          <w:color w:val="000000"/>
          <w:sz w:val="20"/>
          <w:szCs w:val="20"/>
          <w:u w:color="000000"/>
          <w:lang w:eastAsia="es-ES"/>
        </w:rPr>
        <w:t>due to the</w:t>
      </w:r>
      <w:r w:rsidR="00C41841" w:rsidRPr="00A51861">
        <w:rPr>
          <w:rFonts w:ascii="Cambria" w:eastAsia="Cambria" w:hAnsi="Cambria" w:cs="Cambria"/>
          <w:color w:val="000000"/>
          <w:sz w:val="20"/>
          <w:szCs w:val="20"/>
          <w:u w:color="000000"/>
          <w:lang w:eastAsia="es-ES"/>
        </w:rPr>
        <w:t xml:space="preserve"> </w:t>
      </w:r>
      <w:r w:rsidR="001937FB">
        <w:rPr>
          <w:rFonts w:ascii="Cambria" w:eastAsia="Cambria" w:hAnsi="Cambria" w:cs="Cambria"/>
          <w:color w:val="000000"/>
          <w:sz w:val="20"/>
          <w:szCs w:val="20"/>
          <w:u w:color="000000"/>
          <w:lang w:eastAsia="es-ES"/>
        </w:rPr>
        <w:t>fear</w:t>
      </w:r>
      <w:r w:rsidR="00E92985">
        <w:rPr>
          <w:rFonts w:ascii="Cambria" w:eastAsia="Cambria" w:hAnsi="Cambria" w:cs="Cambria"/>
          <w:color w:val="000000"/>
          <w:sz w:val="20"/>
          <w:szCs w:val="20"/>
          <w:u w:color="000000"/>
          <w:lang w:eastAsia="es-ES"/>
        </w:rPr>
        <w:t xml:space="preserve"> </w:t>
      </w:r>
      <w:r>
        <w:rPr>
          <w:rFonts w:ascii="Cambria" w:eastAsia="Cambria" w:hAnsi="Cambria" w:cs="Cambria"/>
          <w:color w:val="000000"/>
          <w:sz w:val="20"/>
          <w:szCs w:val="20"/>
          <w:u w:color="000000"/>
          <w:lang w:eastAsia="es-ES"/>
        </w:rPr>
        <w:t>of them</w:t>
      </w:r>
      <w:r w:rsidR="00E92985">
        <w:rPr>
          <w:rFonts w:ascii="Cambria" w:eastAsia="Cambria" w:hAnsi="Cambria" w:cs="Cambria"/>
          <w:color w:val="000000"/>
          <w:sz w:val="20"/>
          <w:szCs w:val="20"/>
          <w:u w:color="000000"/>
          <w:lang w:eastAsia="es-ES"/>
        </w:rPr>
        <w:t xml:space="preserve"> and </w:t>
      </w:r>
      <w:r w:rsidR="002835FC" w:rsidRPr="00A51861">
        <w:rPr>
          <w:rFonts w:ascii="Cambria" w:eastAsia="Cambria" w:hAnsi="Cambria" w:cs="Cambria"/>
          <w:color w:val="000000"/>
          <w:sz w:val="20"/>
          <w:szCs w:val="20"/>
          <w:u w:color="000000"/>
          <w:lang w:eastAsia="es-ES"/>
        </w:rPr>
        <w:t>their families</w:t>
      </w:r>
      <w:r w:rsidR="00C41841" w:rsidRPr="00A51861">
        <w:rPr>
          <w:rFonts w:ascii="Cambria" w:eastAsia="Cambria" w:hAnsi="Cambria" w:cs="Cambria"/>
          <w:color w:val="000000"/>
          <w:sz w:val="20"/>
          <w:szCs w:val="20"/>
          <w:u w:color="000000"/>
          <w:lang w:eastAsia="es-ES"/>
        </w:rPr>
        <w:t xml:space="preserve"> </w:t>
      </w:r>
      <w:r>
        <w:rPr>
          <w:rFonts w:ascii="Cambria" w:eastAsia="Cambria" w:hAnsi="Cambria" w:cs="Cambria"/>
          <w:color w:val="000000"/>
          <w:sz w:val="20"/>
          <w:szCs w:val="20"/>
          <w:u w:color="000000"/>
          <w:lang w:eastAsia="es-ES"/>
        </w:rPr>
        <w:t>being in danger which led them to seek shelter in the</w:t>
      </w:r>
      <w:r w:rsidR="008E2F10">
        <w:rPr>
          <w:rFonts w:ascii="Cambria" w:eastAsia="Cambria" w:hAnsi="Cambria" w:cs="Cambria"/>
          <w:color w:val="000000"/>
          <w:sz w:val="20"/>
          <w:szCs w:val="20"/>
          <w:u w:color="000000"/>
          <w:lang w:eastAsia="es-ES"/>
        </w:rPr>
        <w:t xml:space="preserve"> HCUNR</w:t>
      </w:r>
      <w:r w:rsidR="00C41841" w:rsidRPr="00A51861">
        <w:rPr>
          <w:rFonts w:ascii="Cambria" w:eastAsia="Cambria" w:hAnsi="Cambria" w:cs="Cambria"/>
          <w:color w:val="000000"/>
          <w:sz w:val="20"/>
          <w:szCs w:val="20"/>
          <w:u w:color="000000"/>
          <w:lang w:eastAsia="es-ES"/>
        </w:rPr>
        <w:t xml:space="preserve">; </w:t>
      </w:r>
      <w:r>
        <w:rPr>
          <w:rFonts w:ascii="Cambria" w:eastAsia="Cambria" w:hAnsi="Cambria" w:cs="Cambria"/>
          <w:color w:val="000000"/>
          <w:sz w:val="20"/>
          <w:szCs w:val="20"/>
          <w:u w:color="000000"/>
          <w:lang w:eastAsia="es-ES"/>
        </w:rPr>
        <w:t>the proceedings brought forth by</w:t>
      </w:r>
      <w:r w:rsidR="009A4F91">
        <w:rPr>
          <w:rFonts w:ascii="Cambria" w:eastAsia="Cambria" w:hAnsi="Cambria" w:cs="Cambria"/>
          <w:color w:val="000000"/>
          <w:sz w:val="20"/>
          <w:szCs w:val="20"/>
          <w:u w:color="000000"/>
          <w:lang w:eastAsia="es-ES"/>
        </w:rPr>
        <w:t xml:space="preserve"> the </w:t>
      </w:r>
      <w:r w:rsidR="00B90CEF">
        <w:rPr>
          <w:rFonts w:ascii="Cambria" w:eastAsia="Cambria" w:hAnsi="Cambria" w:cs="Cambria"/>
          <w:color w:val="000000"/>
          <w:sz w:val="20"/>
          <w:szCs w:val="20"/>
          <w:u w:color="000000"/>
          <w:lang w:eastAsia="es-ES"/>
        </w:rPr>
        <w:t>National Directorate of Migrations</w:t>
      </w:r>
      <w:r w:rsidR="004969F4">
        <w:rPr>
          <w:rFonts w:ascii="Cambria" w:eastAsia="Cambria" w:hAnsi="Cambria" w:cs="Cambria"/>
          <w:color w:val="000000"/>
          <w:sz w:val="20"/>
          <w:szCs w:val="20"/>
          <w:u w:color="000000"/>
          <w:lang w:eastAsia="es-ES"/>
        </w:rPr>
        <w:t xml:space="preserve"> of the </w:t>
      </w:r>
      <w:r>
        <w:rPr>
          <w:rFonts w:ascii="Cambria" w:eastAsia="Cambria" w:hAnsi="Cambria" w:cs="Cambria"/>
          <w:color w:val="000000"/>
          <w:sz w:val="20"/>
          <w:szCs w:val="20"/>
          <w:u w:color="000000"/>
          <w:lang w:eastAsia="es-ES"/>
        </w:rPr>
        <w:t>executive power to inquire on their background</w:t>
      </w:r>
      <w:r w:rsidR="00C41841" w:rsidRPr="00A51861">
        <w:rPr>
          <w:rFonts w:ascii="Cambria" w:eastAsia="Cambria" w:hAnsi="Cambria" w:cs="Cambria"/>
          <w:color w:val="000000"/>
          <w:sz w:val="20"/>
          <w:szCs w:val="20"/>
          <w:u w:color="000000"/>
          <w:lang w:eastAsia="es-ES"/>
        </w:rPr>
        <w:t xml:space="preserve">, </w:t>
      </w:r>
      <w:r w:rsidR="00444893">
        <w:rPr>
          <w:rFonts w:ascii="Cambria" w:eastAsia="Cambria" w:hAnsi="Cambria" w:cs="Cambria"/>
          <w:color w:val="000000"/>
          <w:sz w:val="20"/>
          <w:szCs w:val="20"/>
          <w:u w:color="000000"/>
          <w:lang w:eastAsia="es-ES"/>
        </w:rPr>
        <w:t xml:space="preserve">which concluded </w:t>
      </w:r>
      <w:r w:rsidR="002B762A">
        <w:rPr>
          <w:rFonts w:ascii="Cambria" w:eastAsia="Cambria" w:hAnsi="Cambria" w:cs="Cambria"/>
          <w:color w:val="000000"/>
          <w:sz w:val="20"/>
          <w:szCs w:val="20"/>
          <w:u w:color="000000"/>
          <w:lang w:eastAsia="es-ES"/>
        </w:rPr>
        <w:t xml:space="preserve">with </w:t>
      </w:r>
      <w:r w:rsidR="009A4F91">
        <w:rPr>
          <w:rFonts w:ascii="Cambria" w:eastAsia="Cambria" w:hAnsi="Cambria" w:cs="Cambria"/>
          <w:color w:val="000000"/>
          <w:sz w:val="20"/>
          <w:szCs w:val="20"/>
          <w:u w:color="000000"/>
          <w:lang w:eastAsia="es-ES"/>
        </w:rPr>
        <w:t xml:space="preserve">the </w:t>
      </w:r>
      <w:r w:rsidR="00444893">
        <w:rPr>
          <w:rFonts w:ascii="Cambria" w:eastAsia="Cambria" w:hAnsi="Cambria" w:cs="Cambria"/>
          <w:color w:val="000000"/>
          <w:sz w:val="20"/>
          <w:szCs w:val="20"/>
          <w:u w:color="000000"/>
          <w:lang w:eastAsia="es-ES"/>
        </w:rPr>
        <w:t>order</w:t>
      </w:r>
      <w:r w:rsidR="00E92985">
        <w:rPr>
          <w:rFonts w:ascii="Cambria" w:eastAsia="Cambria" w:hAnsi="Cambria" w:cs="Cambria"/>
          <w:color w:val="000000"/>
          <w:sz w:val="20"/>
          <w:szCs w:val="20"/>
          <w:u w:color="000000"/>
          <w:lang w:eastAsia="es-ES"/>
        </w:rPr>
        <w:t xml:space="preserve"> of </w:t>
      </w:r>
      <w:r w:rsidR="00444893" w:rsidRPr="00A51861">
        <w:rPr>
          <w:rFonts w:ascii="Cambria" w:eastAsia="Cambria" w:hAnsi="Cambria" w:cs="Cambria"/>
          <w:color w:val="000000"/>
          <w:sz w:val="20"/>
          <w:szCs w:val="20"/>
          <w:u w:color="000000"/>
          <w:lang w:eastAsia="es-ES"/>
        </w:rPr>
        <w:t>i</w:t>
      </w:r>
      <w:r w:rsidR="00444893">
        <w:rPr>
          <w:rFonts w:ascii="Cambria" w:eastAsia="Cambria" w:hAnsi="Cambria" w:cs="Cambria"/>
          <w:color w:val="000000"/>
          <w:sz w:val="20"/>
          <w:szCs w:val="20"/>
          <w:u w:color="000000"/>
          <w:lang w:eastAsia="es-ES"/>
        </w:rPr>
        <w:t>m</w:t>
      </w:r>
      <w:r w:rsidR="00444893" w:rsidRPr="00A51861">
        <w:rPr>
          <w:rFonts w:ascii="Cambria" w:eastAsia="Cambria" w:hAnsi="Cambria" w:cs="Cambria"/>
          <w:color w:val="000000"/>
          <w:sz w:val="20"/>
          <w:szCs w:val="20"/>
          <w:u w:color="000000"/>
          <w:lang w:eastAsia="es-ES"/>
        </w:rPr>
        <w:t>mediat</w:t>
      </w:r>
      <w:r w:rsidR="00444893">
        <w:rPr>
          <w:rFonts w:ascii="Cambria" w:eastAsia="Cambria" w:hAnsi="Cambria" w:cs="Cambria"/>
          <w:color w:val="000000"/>
          <w:sz w:val="20"/>
          <w:szCs w:val="20"/>
          <w:u w:color="000000"/>
          <w:lang w:eastAsia="es-ES"/>
        </w:rPr>
        <w:t>e</w:t>
      </w:r>
      <w:r w:rsidR="00444893" w:rsidRPr="00A51861">
        <w:rPr>
          <w:rFonts w:ascii="Cambria" w:eastAsia="Cambria" w:hAnsi="Cambria" w:cs="Cambria"/>
          <w:color w:val="000000"/>
          <w:sz w:val="20"/>
          <w:szCs w:val="20"/>
          <w:u w:color="000000"/>
          <w:lang w:eastAsia="es-ES"/>
        </w:rPr>
        <w:t xml:space="preserve"> </w:t>
      </w:r>
      <w:r w:rsidR="00103579">
        <w:rPr>
          <w:rFonts w:ascii="Cambria" w:eastAsia="Cambria" w:hAnsi="Cambria" w:cs="Cambria"/>
          <w:color w:val="000000"/>
          <w:sz w:val="20"/>
          <w:szCs w:val="20"/>
          <w:u w:color="000000"/>
          <w:lang w:eastAsia="es-ES"/>
        </w:rPr>
        <w:t>expulsion</w:t>
      </w:r>
      <w:r w:rsidR="00C41841" w:rsidRPr="00A51861">
        <w:rPr>
          <w:rFonts w:ascii="Cambria" w:eastAsia="Cambria" w:hAnsi="Cambria" w:cs="Cambria"/>
          <w:color w:val="000000"/>
          <w:sz w:val="20"/>
          <w:szCs w:val="20"/>
          <w:u w:color="000000"/>
          <w:lang w:eastAsia="es-ES"/>
        </w:rPr>
        <w:t xml:space="preserve"> </w:t>
      </w:r>
      <w:r w:rsidR="00444893">
        <w:rPr>
          <w:rFonts w:ascii="Cambria" w:eastAsia="Cambria" w:hAnsi="Cambria" w:cs="Cambria"/>
          <w:color w:val="000000"/>
          <w:sz w:val="20"/>
          <w:szCs w:val="20"/>
          <w:u w:color="000000"/>
          <w:lang w:eastAsia="es-ES"/>
        </w:rPr>
        <w:t>to their country of o</w:t>
      </w:r>
      <w:r w:rsidR="00C41841" w:rsidRPr="00A51861">
        <w:rPr>
          <w:rFonts w:ascii="Cambria" w:eastAsia="Cambria" w:hAnsi="Cambria" w:cs="Cambria"/>
          <w:color w:val="000000"/>
          <w:sz w:val="20"/>
          <w:szCs w:val="20"/>
          <w:u w:color="000000"/>
          <w:lang w:eastAsia="es-ES"/>
        </w:rPr>
        <w:t>rig</w:t>
      </w:r>
      <w:r w:rsidR="00444893">
        <w:rPr>
          <w:rFonts w:ascii="Cambria" w:eastAsia="Cambria" w:hAnsi="Cambria" w:cs="Cambria"/>
          <w:color w:val="000000"/>
          <w:sz w:val="20"/>
          <w:szCs w:val="20"/>
          <w:u w:color="000000"/>
          <w:lang w:eastAsia="es-ES"/>
        </w:rPr>
        <w:t>i</w:t>
      </w:r>
      <w:r w:rsidR="00C41841" w:rsidRPr="00A51861">
        <w:rPr>
          <w:rFonts w:ascii="Cambria" w:eastAsia="Cambria" w:hAnsi="Cambria" w:cs="Cambria"/>
          <w:color w:val="000000"/>
          <w:sz w:val="20"/>
          <w:szCs w:val="20"/>
          <w:u w:color="000000"/>
          <w:lang w:eastAsia="es-ES"/>
        </w:rPr>
        <w:t>n</w:t>
      </w:r>
      <w:r w:rsidR="00E92985">
        <w:rPr>
          <w:rFonts w:ascii="Cambria" w:eastAsia="Cambria" w:hAnsi="Cambria" w:cs="Cambria"/>
          <w:color w:val="000000"/>
          <w:sz w:val="20"/>
          <w:szCs w:val="20"/>
          <w:u w:color="000000"/>
          <w:lang w:eastAsia="es-ES"/>
        </w:rPr>
        <w:t xml:space="preserve"> or </w:t>
      </w:r>
      <w:r w:rsidR="00444893">
        <w:rPr>
          <w:rFonts w:ascii="Cambria" w:eastAsia="Cambria" w:hAnsi="Cambria" w:cs="Cambria"/>
          <w:color w:val="000000"/>
          <w:sz w:val="20"/>
          <w:szCs w:val="20"/>
          <w:u w:color="000000"/>
          <w:lang w:eastAsia="es-ES"/>
        </w:rPr>
        <w:t>any other which will accept them</w:t>
      </w:r>
      <w:r w:rsidR="00C41841" w:rsidRPr="00A51861">
        <w:rPr>
          <w:rFonts w:ascii="Cambria" w:eastAsia="Cambria" w:hAnsi="Cambria" w:cs="Cambria"/>
          <w:color w:val="000000"/>
          <w:sz w:val="20"/>
          <w:szCs w:val="20"/>
          <w:u w:color="000000"/>
          <w:lang w:eastAsia="es-ES"/>
        </w:rPr>
        <w:t xml:space="preserve">, </w:t>
      </w:r>
      <w:r w:rsidR="00444893">
        <w:rPr>
          <w:rFonts w:ascii="Cambria" w:eastAsia="Cambria" w:hAnsi="Cambria" w:cs="Cambria"/>
          <w:color w:val="000000"/>
          <w:sz w:val="20"/>
          <w:szCs w:val="20"/>
          <w:u w:color="000000"/>
          <w:lang w:eastAsia="es-ES"/>
        </w:rPr>
        <w:t xml:space="preserve">in breach </w:t>
      </w:r>
      <w:r w:rsidR="004969F4">
        <w:rPr>
          <w:rFonts w:ascii="Cambria" w:eastAsia="Cambria" w:hAnsi="Cambria" w:cs="Cambria"/>
          <w:color w:val="000000"/>
          <w:sz w:val="20"/>
          <w:szCs w:val="20"/>
          <w:u w:color="000000"/>
          <w:lang w:eastAsia="es-ES"/>
        </w:rPr>
        <w:t xml:space="preserve">of the </w:t>
      </w:r>
      <w:r w:rsidR="00444893">
        <w:rPr>
          <w:rFonts w:ascii="Cambria" w:eastAsia="Cambria" w:hAnsi="Cambria" w:cs="Cambria"/>
          <w:color w:val="000000"/>
          <w:sz w:val="20"/>
          <w:szCs w:val="20"/>
          <w:u w:color="000000"/>
          <w:lang w:eastAsia="es-ES"/>
        </w:rPr>
        <w:t>principle</w:t>
      </w:r>
      <w:r w:rsidR="00E92985">
        <w:rPr>
          <w:rFonts w:ascii="Cambria" w:eastAsia="Cambria" w:hAnsi="Cambria" w:cs="Cambria"/>
          <w:color w:val="000000"/>
          <w:sz w:val="20"/>
          <w:szCs w:val="20"/>
          <w:u w:color="000000"/>
          <w:lang w:eastAsia="es-ES"/>
        </w:rPr>
        <w:t xml:space="preserve"> of </w:t>
      </w:r>
      <w:r w:rsidR="00444893">
        <w:rPr>
          <w:rFonts w:ascii="Cambria" w:eastAsia="Cambria" w:hAnsi="Cambria" w:cs="Cambria"/>
          <w:color w:val="000000"/>
          <w:sz w:val="20"/>
          <w:szCs w:val="20"/>
          <w:u w:color="000000"/>
          <w:lang w:eastAsia="es-ES"/>
        </w:rPr>
        <w:t xml:space="preserve">non-refoulment </w:t>
      </w:r>
      <w:r w:rsidR="00E92985">
        <w:rPr>
          <w:rFonts w:ascii="Cambria" w:eastAsia="Cambria" w:hAnsi="Cambria" w:cs="Cambria"/>
          <w:color w:val="000000"/>
          <w:sz w:val="20"/>
          <w:szCs w:val="20"/>
          <w:u w:color="000000"/>
          <w:lang w:eastAsia="es-ES"/>
        </w:rPr>
        <w:t xml:space="preserve">and </w:t>
      </w:r>
      <w:r w:rsidR="004E1083">
        <w:rPr>
          <w:rFonts w:ascii="Cambria" w:eastAsia="Cambria" w:hAnsi="Cambria" w:cs="Cambria"/>
          <w:color w:val="000000"/>
          <w:sz w:val="20"/>
          <w:szCs w:val="20"/>
          <w:u w:color="000000"/>
          <w:lang w:eastAsia="es-ES"/>
        </w:rPr>
        <w:t>violation</w:t>
      </w:r>
      <w:r w:rsidR="00E92985">
        <w:rPr>
          <w:rFonts w:ascii="Cambria" w:eastAsia="Cambria" w:hAnsi="Cambria" w:cs="Cambria"/>
          <w:color w:val="000000"/>
          <w:sz w:val="20"/>
          <w:szCs w:val="20"/>
          <w:u w:color="000000"/>
          <w:lang w:eastAsia="es-ES"/>
        </w:rPr>
        <w:t xml:space="preserve"> of </w:t>
      </w:r>
      <w:r w:rsidR="009A4F91">
        <w:rPr>
          <w:rFonts w:ascii="Cambria" w:eastAsia="Cambria" w:hAnsi="Cambria" w:cs="Cambria"/>
          <w:color w:val="000000"/>
          <w:sz w:val="20"/>
          <w:szCs w:val="20"/>
          <w:u w:color="000000"/>
          <w:lang w:eastAsia="es-ES"/>
        </w:rPr>
        <w:t>guarantee</w:t>
      </w:r>
      <w:r w:rsidR="00C41841" w:rsidRPr="00A51861">
        <w:rPr>
          <w:rFonts w:ascii="Cambria" w:eastAsia="Cambria" w:hAnsi="Cambria" w:cs="Cambria"/>
          <w:color w:val="000000"/>
          <w:sz w:val="20"/>
          <w:szCs w:val="20"/>
          <w:u w:color="000000"/>
          <w:lang w:eastAsia="es-ES"/>
        </w:rPr>
        <w:t>s</w:t>
      </w:r>
      <w:r w:rsidR="00E92985">
        <w:rPr>
          <w:rFonts w:ascii="Cambria" w:eastAsia="Cambria" w:hAnsi="Cambria" w:cs="Cambria"/>
          <w:color w:val="000000"/>
          <w:sz w:val="20"/>
          <w:szCs w:val="20"/>
          <w:u w:color="000000"/>
          <w:lang w:eastAsia="es-ES"/>
        </w:rPr>
        <w:t xml:space="preserve"> of </w:t>
      </w:r>
      <w:r w:rsidR="005F7F4D">
        <w:rPr>
          <w:rFonts w:ascii="Cambria" w:eastAsia="Cambria" w:hAnsi="Cambria" w:cs="Cambria"/>
          <w:color w:val="000000"/>
          <w:sz w:val="20"/>
          <w:szCs w:val="20"/>
          <w:u w:color="000000"/>
          <w:lang w:eastAsia="es-ES"/>
        </w:rPr>
        <w:t>due process</w:t>
      </w:r>
      <w:r w:rsidR="00E92985">
        <w:rPr>
          <w:rFonts w:ascii="Cambria" w:eastAsia="Cambria" w:hAnsi="Cambria" w:cs="Cambria"/>
          <w:color w:val="000000"/>
          <w:sz w:val="20"/>
          <w:szCs w:val="20"/>
          <w:u w:color="000000"/>
          <w:lang w:eastAsia="es-ES"/>
        </w:rPr>
        <w:t xml:space="preserve"> and </w:t>
      </w:r>
      <w:r w:rsidR="001937FB">
        <w:rPr>
          <w:rFonts w:ascii="Cambria" w:eastAsia="Cambria" w:hAnsi="Cambria" w:cs="Cambria"/>
          <w:color w:val="000000"/>
          <w:sz w:val="20"/>
          <w:szCs w:val="20"/>
          <w:u w:color="000000"/>
          <w:lang w:eastAsia="es-ES"/>
        </w:rPr>
        <w:t>justice</w:t>
      </w:r>
      <w:r w:rsidR="00E92985">
        <w:rPr>
          <w:rFonts w:ascii="Cambria" w:eastAsia="Cambria" w:hAnsi="Cambria" w:cs="Cambria"/>
          <w:color w:val="000000"/>
          <w:sz w:val="20"/>
          <w:szCs w:val="20"/>
          <w:u w:color="000000"/>
          <w:lang w:eastAsia="es-ES"/>
        </w:rPr>
        <w:t xml:space="preserve"> of </w:t>
      </w:r>
      <w:r w:rsidR="001937FB">
        <w:rPr>
          <w:rFonts w:ascii="Cambria" w:eastAsia="Cambria" w:hAnsi="Cambria" w:cs="Cambria"/>
          <w:color w:val="000000"/>
          <w:sz w:val="20"/>
          <w:szCs w:val="20"/>
          <w:u w:color="000000"/>
          <w:lang w:eastAsia="es-ES"/>
        </w:rPr>
        <w:t>the Declaration</w:t>
      </w:r>
      <w:r w:rsidR="00C41841" w:rsidRPr="00A51861">
        <w:rPr>
          <w:rFonts w:ascii="Cambria" w:eastAsia="Cambria" w:hAnsi="Cambria" w:cs="Cambria"/>
          <w:color w:val="000000"/>
          <w:sz w:val="20"/>
          <w:szCs w:val="20"/>
          <w:u w:color="000000"/>
          <w:lang w:eastAsia="es-ES"/>
        </w:rPr>
        <w:t>,</w:t>
      </w:r>
      <w:r w:rsidR="005F7F4D">
        <w:rPr>
          <w:rFonts w:ascii="Cambria" w:eastAsia="Cambria" w:hAnsi="Cambria" w:cs="Cambria"/>
          <w:color w:val="000000"/>
          <w:sz w:val="20"/>
          <w:szCs w:val="20"/>
          <w:u w:color="000000"/>
          <w:lang w:eastAsia="es-ES"/>
        </w:rPr>
        <w:t xml:space="preserve"> which </w:t>
      </w:r>
      <w:r w:rsidR="00C41841" w:rsidRPr="00A51861">
        <w:rPr>
          <w:rFonts w:ascii="Cambria" w:eastAsia="Cambria" w:hAnsi="Cambria" w:cs="Cambria"/>
          <w:color w:val="000000"/>
          <w:sz w:val="20"/>
          <w:szCs w:val="20"/>
          <w:u w:color="000000"/>
          <w:lang w:eastAsia="es-ES"/>
        </w:rPr>
        <w:t>final</w:t>
      </w:r>
      <w:r w:rsidR="0029564F">
        <w:rPr>
          <w:rFonts w:ascii="Cambria" w:eastAsia="Cambria" w:hAnsi="Cambria" w:cs="Cambria"/>
          <w:color w:val="000000"/>
          <w:sz w:val="20"/>
          <w:szCs w:val="20"/>
          <w:u w:color="000000"/>
          <w:lang w:eastAsia="es-ES"/>
        </w:rPr>
        <w:t xml:space="preserve">ly </w:t>
      </w:r>
      <w:r w:rsidR="005F7F4D">
        <w:rPr>
          <w:rFonts w:ascii="Cambria" w:eastAsia="Cambria" w:hAnsi="Cambria" w:cs="Cambria"/>
          <w:color w:val="000000"/>
          <w:sz w:val="20"/>
          <w:szCs w:val="20"/>
          <w:u w:color="000000"/>
          <w:lang w:eastAsia="es-ES"/>
        </w:rPr>
        <w:t>led them to self-</w:t>
      </w:r>
      <w:r w:rsidR="00C41841" w:rsidRPr="00A51861">
        <w:rPr>
          <w:rFonts w:ascii="Cambria" w:eastAsia="Cambria" w:hAnsi="Cambria" w:cs="Cambria"/>
          <w:color w:val="000000"/>
          <w:sz w:val="20"/>
          <w:szCs w:val="20"/>
          <w:u w:color="000000"/>
          <w:lang w:eastAsia="es-ES"/>
        </w:rPr>
        <w:t xml:space="preserve">exile </w:t>
      </w:r>
      <w:r w:rsidR="005F7F4D">
        <w:rPr>
          <w:rFonts w:ascii="Cambria" w:eastAsia="Cambria" w:hAnsi="Cambria" w:cs="Cambria"/>
          <w:color w:val="000000"/>
          <w:sz w:val="20"/>
          <w:szCs w:val="20"/>
          <w:u w:color="000000"/>
          <w:lang w:eastAsia="es-ES"/>
        </w:rPr>
        <w:t>as political refugees</w:t>
      </w:r>
      <w:r w:rsidR="00C41841" w:rsidRPr="00A51861">
        <w:rPr>
          <w:rFonts w:ascii="Cambria" w:eastAsia="Cambria" w:hAnsi="Cambria" w:cs="Cambria"/>
          <w:color w:val="000000"/>
          <w:sz w:val="20"/>
          <w:szCs w:val="20"/>
          <w:u w:color="000000"/>
          <w:lang w:eastAsia="es-ES"/>
        </w:rPr>
        <w:t xml:space="preserve"> </w:t>
      </w:r>
      <w:r w:rsidR="005F7F4D">
        <w:rPr>
          <w:rFonts w:ascii="Cambria" w:eastAsia="Cambria" w:hAnsi="Cambria" w:cs="Cambria"/>
          <w:color w:val="000000"/>
          <w:sz w:val="20"/>
          <w:szCs w:val="20"/>
          <w:u w:color="000000"/>
          <w:lang w:eastAsia="es-ES"/>
        </w:rPr>
        <w:t>i</w:t>
      </w:r>
      <w:r w:rsidR="00C41841" w:rsidRPr="00A51861">
        <w:rPr>
          <w:rFonts w:ascii="Cambria" w:eastAsia="Cambria" w:hAnsi="Cambria" w:cs="Cambria"/>
          <w:color w:val="000000"/>
          <w:sz w:val="20"/>
          <w:szCs w:val="20"/>
          <w:u w:color="000000"/>
          <w:lang w:eastAsia="es-ES"/>
        </w:rPr>
        <w:t xml:space="preserve">n </w:t>
      </w:r>
      <w:r w:rsidR="00BD6923">
        <w:rPr>
          <w:rFonts w:ascii="Cambria" w:eastAsia="Cambria" w:hAnsi="Cambria" w:cs="Cambria"/>
          <w:color w:val="000000"/>
          <w:sz w:val="20"/>
          <w:szCs w:val="20"/>
          <w:u w:color="000000"/>
          <w:lang w:eastAsia="es-ES"/>
        </w:rPr>
        <w:t>Sweden</w:t>
      </w:r>
      <w:r w:rsidR="00C41841" w:rsidRPr="00A51861">
        <w:rPr>
          <w:rFonts w:ascii="Cambria" w:eastAsia="Cambria" w:hAnsi="Cambria" w:cs="Cambria"/>
          <w:color w:val="000000"/>
          <w:sz w:val="20"/>
          <w:szCs w:val="20"/>
          <w:u w:color="000000"/>
          <w:lang w:eastAsia="es-ES"/>
        </w:rPr>
        <w:t xml:space="preserve">. </w:t>
      </w:r>
      <w:r w:rsidR="005F7F4D">
        <w:rPr>
          <w:rFonts w:ascii="Cambria" w:eastAsia="Cambria" w:hAnsi="Cambria" w:cs="Cambria"/>
          <w:color w:val="000000"/>
          <w:sz w:val="20"/>
          <w:szCs w:val="20"/>
          <w:u w:color="000000"/>
          <w:lang w:eastAsia="es-ES"/>
        </w:rPr>
        <w:t>In the case of</w:t>
      </w:r>
      <w:r w:rsidR="00C41841" w:rsidRPr="00A51861">
        <w:rPr>
          <w:rFonts w:ascii="Cambria" w:eastAsia="Cambria" w:hAnsi="Cambria" w:cs="Cambria"/>
          <w:color w:val="000000"/>
          <w:sz w:val="20"/>
          <w:szCs w:val="20"/>
          <w:u w:color="000000"/>
          <w:lang w:eastAsia="es-ES"/>
        </w:rPr>
        <w:t xml:space="preserve"> </w:t>
      </w:r>
      <w:r w:rsidR="00BD093F">
        <w:rPr>
          <w:rFonts w:ascii="Cambria" w:eastAsia="Cambria" w:hAnsi="Cambria" w:cs="Cambria"/>
          <w:color w:val="000000"/>
          <w:sz w:val="20"/>
          <w:szCs w:val="20"/>
          <w:u w:color="000000"/>
          <w:lang w:eastAsia="es-ES"/>
        </w:rPr>
        <w:t xml:space="preserve">Mr. </w:t>
      </w:r>
      <w:r w:rsidR="00C41841" w:rsidRPr="00A51861">
        <w:rPr>
          <w:rFonts w:ascii="Cambria" w:eastAsia="Cambria" w:hAnsi="Cambria" w:cs="Cambria"/>
          <w:color w:val="000000"/>
          <w:sz w:val="20"/>
          <w:szCs w:val="20"/>
          <w:u w:color="000000"/>
          <w:lang w:eastAsia="es-ES"/>
        </w:rPr>
        <w:t xml:space="preserve">Nicasio Washington Romero, </w:t>
      </w:r>
      <w:r w:rsidR="008D442C">
        <w:rPr>
          <w:rFonts w:ascii="Cambria" w:eastAsia="Cambria" w:hAnsi="Cambria" w:cs="Cambria"/>
          <w:color w:val="000000"/>
          <w:sz w:val="20"/>
          <w:szCs w:val="20"/>
          <w:u w:color="000000"/>
          <w:lang w:eastAsia="es-ES"/>
        </w:rPr>
        <w:t>it was</w:t>
      </w:r>
      <w:r w:rsidR="00C41841" w:rsidRPr="00A51861">
        <w:rPr>
          <w:rFonts w:ascii="Cambria" w:eastAsia="Cambria" w:hAnsi="Cambria" w:cs="Cambria"/>
          <w:color w:val="000000"/>
          <w:sz w:val="20"/>
          <w:szCs w:val="20"/>
          <w:u w:color="000000"/>
          <w:lang w:eastAsia="es-ES"/>
        </w:rPr>
        <w:t xml:space="preserve"> </w:t>
      </w:r>
      <w:r w:rsidR="008D442C">
        <w:rPr>
          <w:rFonts w:ascii="Cambria" w:eastAsia="Cambria" w:hAnsi="Cambria" w:cs="Cambria"/>
          <w:color w:val="000000"/>
          <w:sz w:val="20"/>
          <w:szCs w:val="20"/>
          <w:u w:color="000000"/>
          <w:lang w:eastAsia="es-ES"/>
        </w:rPr>
        <w:t xml:space="preserve">possible to </w:t>
      </w:r>
      <w:r w:rsidR="00C41841" w:rsidRPr="00A51861">
        <w:rPr>
          <w:rFonts w:ascii="Cambria" w:eastAsia="Cambria" w:hAnsi="Cambria" w:cs="Cambria"/>
          <w:color w:val="000000"/>
          <w:sz w:val="20"/>
          <w:szCs w:val="20"/>
          <w:u w:color="000000"/>
          <w:lang w:eastAsia="es-ES"/>
        </w:rPr>
        <w:t>observ</w:t>
      </w:r>
      <w:r w:rsidR="00FC60D0">
        <w:rPr>
          <w:rFonts w:ascii="Cambria" w:eastAsia="Cambria" w:hAnsi="Cambria" w:cs="Cambria"/>
          <w:color w:val="000000"/>
          <w:sz w:val="20"/>
          <w:szCs w:val="20"/>
          <w:u w:color="000000"/>
          <w:lang w:eastAsia="es-ES"/>
        </w:rPr>
        <w:t>e</w:t>
      </w:r>
      <w:r w:rsidR="008D442C">
        <w:rPr>
          <w:rFonts w:ascii="Cambria" w:eastAsia="Cambria" w:hAnsi="Cambria" w:cs="Cambria"/>
          <w:color w:val="000000"/>
          <w:sz w:val="20"/>
          <w:szCs w:val="20"/>
          <w:u w:color="000000"/>
          <w:lang w:eastAsia="es-ES"/>
        </w:rPr>
        <w:t xml:space="preserve"> </w:t>
      </w:r>
      <w:r w:rsidR="009A4F91">
        <w:rPr>
          <w:rFonts w:ascii="Cambria" w:eastAsia="Cambria" w:hAnsi="Cambria" w:cs="Cambria"/>
          <w:color w:val="000000"/>
          <w:sz w:val="20"/>
          <w:szCs w:val="20"/>
          <w:u w:color="000000"/>
          <w:lang w:eastAsia="es-ES"/>
        </w:rPr>
        <w:t xml:space="preserve">the </w:t>
      </w:r>
      <w:r w:rsidR="00FC60D0" w:rsidRPr="00A51861">
        <w:rPr>
          <w:rFonts w:ascii="Cambria" w:eastAsia="Cambria" w:hAnsi="Cambria" w:cs="Cambria"/>
          <w:color w:val="000000"/>
          <w:sz w:val="20"/>
          <w:szCs w:val="20"/>
          <w:u w:color="000000"/>
          <w:lang w:eastAsia="es-ES"/>
        </w:rPr>
        <w:t>sequence</w:t>
      </w:r>
      <w:r w:rsidR="00E92985">
        <w:rPr>
          <w:rFonts w:ascii="Cambria" w:eastAsia="Cambria" w:hAnsi="Cambria" w:cs="Cambria"/>
          <w:color w:val="000000"/>
          <w:sz w:val="20"/>
          <w:szCs w:val="20"/>
          <w:u w:color="000000"/>
          <w:lang w:eastAsia="es-ES"/>
        </w:rPr>
        <w:t xml:space="preserve"> of </w:t>
      </w:r>
      <w:r w:rsidR="002B762A">
        <w:rPr>
          <w:rFonts w:ascii="Cambria" w:eastAsia="Cambria" w:hAnsi="Cambria" w:cs="Cambria"/>
          <w:color w:val="000000"/>
          <w:sz w:val="20"/>
          <w:szCs w:val="20"/>
          <w:u w:color="000000"/>
          <w:lang w:eastAsia="es-ES"/>
        </w:rPr>
        <w:t xml:space="preserve">illegal and arbitrary detention </w:t>
      </w:r>
      <w:r w:rsidR="00E92985">
        <w:rPr>
          <w:rFonts w:ascii="Cambria" w:eastAsia="Cambria" w:hAnsi="Cambria" w:cs="Cambria"/>
          <w:color w:val="000000"/>
          <w:sz w:val="20"/>
          <w:szCs w:val="20"/>
          <w:u w:color="000000"/>
          <w:lang w:eastAsia="es-ES"/>
        </w:rPr>
        <w:t xml:space="preserve">and </w:t>
      </w:r>
      <w:r w:rsidR="00FC60D0">
        <w:rPr>
          <w:rFonts w:ascii="Cambria" w:eastAsia="Cambria" w:hAnsi="Cambria" w:cs="Cambria"/>
          <w:color w:val="000000"/>
          <w:sz w:val="20"/>
          <w:szCs w:val="20"/>
          <w:u w:color="000000"/>
          <w:lang w:eastAsia="es-ES"/>
        </w:rPr>
        <w:t>submission</w:t>
      </w:r>
      <w:r w:rsidR="00C41841" w:rsidRPr="00A51861">
        <w:rPr>
          <w:rFonts w:ascii="Cambria" w:eastAsia="Cambria" w:hAnsi="Cambria" w:cs="Cambria"/>
          <w:color w:val="000000"/>
          <w:sz w:val="20"/>
          <w:szCs w:val="20"/>
          <w:u w:color="000000"/>
          <w:lang w:eastAsia="es-ES"/>
        </w:rPr>
        <w:t xml:space="preserve"> </w:t>
      </w:r>
      <w:r w:rsidR="00FC60D0">
        <w:rPr>
          <w:rFonts w:ascii="Cambria" w:eastAsia="Cambria" w:hAnsi="Cambria" w:cs="Cambria"/>
          <w:color w:val="000000"/>
          <w:sz w:val="20"/>
          <w:szCs w:val="20"/>
          <w:u w:color="000000"/>
          <w:lang w:eastAsia="es-ES"/>
        </w:rPr>
        <w:t>to</w:t>
      </w:r>
      <w:r w:rsidR="00C41841" w:rsidRPr="00A51861">
        <w:rPr>
          <w:rFonts w:ascii="Cambria" w:eastAsia="Cambria" w:hAnsi="Cambria" w:cs="Cambria"/>
          <w:color w:val="000000"/>
          <w:sz w:val="20"/>
          <w:szCs w:val="20"/>
          <w:u w:color="000000"/>
          <w:lang w:eastAsia="es-ES"/>
        </w:rPr>
        <w:t xml:space="preserve"> </w:t>
      </w:r>
      <w:r w:rsidR="00F406E1">
        <w:rPr>
          <w:rFonts w:ascii="Cambria" w:eastAsia="Cambria" w:hAnsi="Cambria" w:cs="Cambria"/>
          <w:color w:val="000000"/>
          <w:sz w:val="20"/>
          <w:szCs w:val="20"/>
          <w:u w:color="000000"/>
          <w:lang w:eastAsia="es-ES"/>
        </w:rPr>
        <w:t>torture</w:t>
      </w:r>
      <w:r w:rsidR="00C41841" w:rsidRPr="00A51861">
        <w:rPr>
          <w:rFonts w:ascii="Cambria" w:eastAsia="Cambria" w:hAnsi="Cambria" w:cs="Cambria"/>
          <w:color w:val="000000"/>
          <w:sz w:val="20"/>
          <w:szCs w:val="20"/>
          <w:u w:color="000000"/>
          <w:lang w:eastAsia="es-ES"/>
        </w:rPr>
        <w:t xml:space="preserve"> -</w:t>
      </w:r>
      <w:r w:rsidR="00FC60D0">
        <w:rPr>
          <w:rFonts w:ascii="Cambria" w:eastAsia="Cambria" w:hAnsi="Cambria" w:cs="Cambria"/>
          <w:color w:val="000000"/>
          <w:sz w:val="20"/>
          <w:szCs w:val="20"/>
          <w:u w:color="000000"/>
          <w:lang w:eastAsia="es-ES"/>
        </w:rPr>
        <w:t>as part of</w:t>
      </w:r>
      <w:r w:rsidR="00E92985">
        <w:rPr>
          <w:rFonts w:ascii="Cambria" w:eastAsia="Cambria" w:hAnsi="Cambria" w:cs="Cambria"/>
          <w:color w:val="000000"/>
          <w:sz w:val="20"/>
          <w:szCs w:val="20"/>
          <w:u w:color="000000"/>
          <w:lang w:eastAsia="es-ES"/>
        </w:rPr>
        <w:t xml:space="preserve"> </w:t>
      </w:r>
      <w:r w:rsidR="00FC60D0">
        <w:rPr>
          <w:rFonts w:ascii="Cambria" w:eastAsia="Cambria" w:hAnsi="Cambria" w:cs="Cambria"/>
          <w:color w:val="000000"/>
          <w:sz w:val="20"/>
          <w:szCs w:val="20"/>
          <w:u w:color="000000"/>
          <w:lang w:eastAsia="es-ES"/>
        </w:rPr>
        <w:t>the interrogation</w:t>
      </w:r>
      <w:r w:rsidR="00C41841" w:rsidRPr="00A51861">
        <w:rPr>
          <w:rFonts w:ascii="Cambria" w:eastAsia="Cambria" w:hAnsi="Cambria" w:cs="Cambria"/>
          <w:color w:val="000000"/>
          <w:sz w:val="20"/>
          <w:szCs w:val="20"/>
          <w:u w:color="000000"/>
          <w:lang w:eastAsia="es-ES"/>
        </w:rPr>
        <w:t xml:space="preserve"> </w:t>
      </w:r>
      <w:r w:rsidR="00963146">
        <w:rPr>
          <w:rFonts w:ascii="Cambria" w:eastAsia="Cambria" w:hAnsi="Cambria" w:cs="Cambria"/>
          <w:color w:val="000000"/>
          <w:sz w:val="20"/>
          <w:szCs w:val="20"/>
          <w:u w:color="000000"/>
          <w:lang w:eastAsia="es-ES"/>
        </w:rPr>
        <w:t>procedure in order to</w:t>
      </w:r>
      <w:r w:rsidR="00C41841" w:rsidRPr="00A51861">
        <w:rPr>
          <w:rFonts w:ascii="Cambria" w:eastAsia="Cambria" w:hAnsi="Cambria" w:cs="Cambria"/>
          <w:color w:val="000000"/>
          <w:sz w:val="20"/>
          <w:szCs w:val="20"/>
          <w:u w:color="000000"/>
          <w:lang w:eastAsia="es-ES"/>
        </w:rPr>
        <w:t xml:space="preserve"> </w:t>
      </w:r>
      <w:r w:rsidR="002B762A">
        <w:rPr>
          <w:rFonts w:ascii="Cambria" w:eastAsia="Cambria" w:hAnsi="Cambria" w:cs="Cambria"/>
          <w:color w:val="000000"/>
          <w:sz w:val="20"/>
          <w:szCs w:val="20"/>
          <w:u w:color="000000"/>
          <w:lang w:eastAsia="es-ES"/>
        </w:rPr>
        <w:t>obtain</w:t>
      </w:r>
      <w:r w:rsidR="00963146">
        <w:rPr>
          <w:rFonts w:ascii="Cambria" w:eastAsia="Cambria" w:hAnsi="Cambria" w:cs="Cambria"/>
          <w:color w:val="000000"/>
          <w:sz w:val="20"/>
          <w:szCs w:val="20"/>
          <w:u w:color="000000"/>
          <w:lang w:eastAsia="es-ES"/>
        </w:rPr>
        <w:t xml:space="preserve"> </w:t>
      </w:r>
      <w:r w:rsidR="00A51861" w:rsidRPr="00963146">
        <w:rPr>
          <w:rFonts w:ascii="Cambria" w:eastAsia="Cambria" w:hAnsi="Cambria" w:cs="Cambria"/>
          <w:color w:val="000000"/>
          <w:sz w:val="20"/>
          <w:szCs w:val="20"/>
          <w:u w:color="000000"/>
          <w:lang w:eastAsia="es-ES"/>
        </w:rPr>
        <w:t>information</w:t>
      </w:r>
      <w:r w:rsidR="00E92985" w:rsidRPr="00963146">
        <w:rPr>
          <w:rFonts w:ascii="Cambria" w:eastAsia="Cambria" w:hAnsi="Cambria" w:cs="Cambria"/>
          <w:color w:val="000000"/>
          <w:sz w:val="20"/>
          <w:szCs w:val="20"/>
          <w:u w:color="000000"/>
          <w:lang w:eastAsia="es-ES"/>
        </w:rPr>
        <w:t xml:space="preserve"> of the </w:t>
      </w:r>
      <w:r w:rsidR="00963146" w:rsidRPr="00963146">
        <w:rPr>
          <w:rFonts w:ascii="Cambria" w:eastAsia="Cambria" w:hAnsi="Cambria" w:cs="Cambria"/>
          <w:color w:val="000000"/>
          <w:sz w:val="20"/>
          <w:szCs w:val="20"/>
          <w:u w:color="000000"/>
          <w:lang w:eastAsia="es-ES"/>
        </w:rPr>
        <w:t xml:space="preserve">Uruguayan political </w:t>
      </w:r>
      <w:r w:rsidR="00E92985" w:rsidRPr="00963146">
        <w:rPr>
          <w:rFonts w:ascii="Cambria" w:eastAsia="Cambria" w:hAnsi="Cambria" w:cs="Cambria"/>
          <w:color w:val="000000"/>
          <w:sz w:val="20"/>
          <w:szCs w:val="20"/>
          <w:u w:color="000000"/>
          <w:lang w:eastAsia="es-ES"/>
        </w:rPr>
        <w:t>situation</w:t>
      </w:r>
      <w:r w:rsidR="00C41841" w:rsidRPr="00963146">
        <w:rPr>
          <w:rFonts w:ascii="Cambria" w:eastAsia="Cambria" w:hAnsi="Cambria" w:cs="Cambria"/>
          <w:color w:val="000000"/>
          <w:sz w:val="20"/>
          <w:szCs w:val="20"/>
          <w:u w:color="000000"/>
          <w:lang w:eastAsia="es-ES"/>
        </w:rPr>
        <w:t xml:space="preserve"> -,</w:t>
      </w:r>
      <w:r w:rsidR="00E92985" w:rsidRPr="00963146">
        <w:rPr>
          <w:rFonts w:ascii="Cambria" w:eastAsia="Cambria" w:hAnsi="Cambria" w:cs="Cambria"/>
          <w:color w:val="000000"/>
          <w:sz w:val="20"/>
          <w:szCs w:val="20"/>
          <w:u w:color="000000"/>
          <w:lang w:eastAsia="es-ES"/>
        </w:rPr>
        <w:t xml:space="preserve"> and</w:t>
      </w:r>
      <w:r w:rsidR="009A4F91" w:rsidRPr="00963146">
        <w:rPr>
          <w:rFonts w:ascii="Cambria" w:eastAsia="Cambria" w:hAnsi="Cambria" w:cs="Cambria"/>
          <w:color w:val="000000"/>
          <w:sz w:val="20"/>
          <w:szCs w:val="20"/>
          <w:u w:color="000000"/>
          <w:lang w:eastAsia="es-ES"/>
        </w:rPr>
        <w:t xml:space="preserve"> the </w:t>
      </w:r>
      <w:r w:rsidR="00963146">
        <w:rPr>
          <w:rFonts w:ascii="Cambria" w:eastAsia="Cambria" w:hAnsi="Cambria" w:cs="Cambria"/>
          <w:color w:val="000000"/>
          <w:sz w:val="20"/>
          <w:szCs w:val="20"/>
          <w:u w:color="000000"/>
          <w:lang w:eastAsia="es-ES"/>
        </w:rPr>
        <w:t>threat</w:t>
      </w:r>
      <w:r w:rsidR="00E92985" w:rsidRPr="00963146">
        <w:rPr>
          <w:rFonts w:ascii="Cambria" w:eastAsia="Cambria" w:hAnsi="Cambria" w:cs="Cambria"/>
          <w:color w:val="000000"/>
          <w:sz w:val="20"/>
          <w:szCs w:val="20"/>
          <w:u w:color="000000"/>
          <w:lang w:eastAsia="es-ES"/>
        </w:rPr>
        <w:t xml:space="preserve"> </w:t>
      </w:r>
      <w:r w:rsidR="00963146">
        <w:rPr>
          <w:rFonts w:ascii="Cambria" w:eastAsia="Cambria" w:hAnsi="Cambria" w:cs="Cambria"/>
          <w:color w:val="000000"/>
          <w:sz w:val="20"/>
          <w:szCs w:val="20"/>
          <w:u w:color="000000"/>
          <w:lang w:eastAsia="es-ES"/>
        </w:rPr>
        <w:t>that he had to leave the country</w:t>
      </w:r>
      <w:r w:rsidR="00C41841" w:rsidRPr="00963146">
        <w:rPr>
          <w:rFonts w:ascii="Cambria" w:eastAsia="Cambria" w:hAnsi="Cambria" w:cs="Cambria"/>
          <w:color w:val="000000"/>
          <w:sz w:val="20"/>
          <w:szCs w:val="20"/>
          <w:u w:color="000000"/>
          <w:lang w:eastAsia="es-ES"/>
        </w:rPr>
        <w:t xml:space="preserve">, </w:t>
      </w:r>
      <w:r w:rsidR="00963146">
        <w:rPr>
          <w:rFonts w:ascii="Cambria" w:eastAsia="Cambria" w:hAnsi="Cambria" w:cs="Cambria"/>
          <w:color w:val="000000"/>
          <w:sz w:val="20"/>
          <w:szCs w:val="20"/>
          <w:u w:color="000000"/>
          <w:lang w:eastAsia="es-ES"/>
        </w:rPr>
        <w:t>along with the homicide of other</w:t>
      </w:r>
      <w:r w:rsidR="00C41841" w:rsidRPr="00963146">
        <w:rPr>
          <w:rFonts w:ascii="Cambria" w:eastAsia="Cambria" w:hAnsi="Cambria" w:cs="Cambria"/>
          <w:color w:val="000000"/>
          <w:sz w:val="20"/>
          <w:szCs w:val="20"/>
          <w:u w:color="000000"/>
          <w:lang w:eastAsia="es-ES"/>
        </w:rPr>
        <w:t xml:space="preserve"> </w:t>
      </w:r>
      <w:r w:rsidR="00BE5683" w:rsidRPr="00963146">
        <w:rPr>
          <w:rFonts w:ascii="Cambria" w:eastAsia="Cambria" w:hAnsi="Cambria" w:cs="Cambria"/>
          <w:color w:val="000000"/>
          <w:sz w:val="20"/>
          <w:szCs w:val="20"/>
          <w:u w:color="000000"/>
          <w:lang w:eastAsia="es-ES"/>
        </w:rPr>
        <w:t>Uruguayans</w:t>
      </w:r>
      <w:r w:rsidR="002B762A" w:rsidRPr="00963146">
        <w:rPr>
          <w:rFonts w:ascii="Cambria" w:eastAsia="Cambria" w:hAnsi="Cambria" w:cs="Cambria"/>
          <w:color w:val="000000"/>
          <w:sz w:val="20"/>
          <w:szCs w:val="20"/>
          <w:u w:color="000000"/>
          <w:lang w:eastAsia="es-ES"/>
        </w:rPr>
        <w:t xml:space="preserve"> with </w:t>
      </w:r>
      <w:r w:rsidR="00963146">
        <w:rPr>
          <w:rFonts w:ascii="Cambria" w:eastAsia="Cambria" w:hAnsi="Cambria" w:cs="Cambria"/>
          <w:color w:val="000000"/>
          <w:sz w:val="20"/>
          <w:szCs w:val="20"/>
          <w:u w:color="000000"/>
          <w:lang w:eastAsia="es-ES"/>
        </w:rPr>
        <w:t>whom he shared</w:t>
      </w:r>
      <w:r w:rsidR="009A4F91" w:rsidRPr="00963146">
        <w:rPr>
          <w:rFonts w:ascii="Cambria" w:eastAsia="Cambria" w:hAnsi="Cambria" w:cs="Cambria"/>
          <w:color w:val="000000"/>
          <w:sz w:val="20"/>
          <w:szCs w:val="20"/>
          <w:u w:color="000000"/>
          <w:lang w:eastAsia="es-ES"/>
        </w:rPr>
        <w:t xml:space="preserve"> </w:t>
      </w:r>
      <w:r w:rsidR="006E255A" w:rsidRPr="00963146">
        <w:rPr>
          <w:rFonts w:ascii="Cambria" w:eastAsia="Cambria" w:hAnsi="Cambria" w:cs="Cambria"/>
          <w:color w:val="000000"/>
          <w:sz w:val="20"/>
          <w:szCs w:val="20"/>
          <w:u w:color="000000"/>
          <w:lang w:eastAsia="es-ES"/>
        </w:rPr>
        <w:t>detention</w:t>
      </w:r>
      <w:r w:rsidR="00C41841" w:rsidRPr="00963146">
        <w:rPr>
          <w:rFonts w:ascii="Cambria" w:eastAsia="Cambria" w:hAnsi="Cambria" w:cs="Cambria"/>
          <w:color w:val="000000"/>
          <w:sz w:val="20"/>
          <w:szCs w:val="20"/>
          <w:u w:color="000000"/>
          <w:lang w:eastAsia="es-ES"/>
        </w:rPr>
        <w:t>,</w:t>
      </w:r>
      <w:r w:rsidR="005F7F4D" w:rsidRPr="00963146">
        <w:rPr>
          <w:rFonts w:ascii="Cambria" w:eastAsia="Cambria" w:hAnsi="Cambria" w:cs="Cambria"/>
          <w:color w:val="000000"/>
          <w:sz w:val="20"/>
          <w:szCs w:val="20"/>
          <w:u w:color="000000"/>
          <w:lang w:eastAsia="es-ES"/>
        </w:rPr>
        <w:t xml:space="preserve"> which </w:t>
      </w:r>
      <w:r w:rsidR="00C41841" w:rsidRPr="00963146">
        <w:rPr>
          <w:rFonts w:ascii="Cambria" w:eastAsia="Cambria" w:hAnsi="Cambria" w:cs="Cambria"/>
          <w:color w:val="000000"/>
          <w:sz w:val="20"/>
          <w:szCs w:val="20"/>
          <w:u w:color="000000"/>
          <w:lang w:eastAsia="es-ES"/>
        </w:rPr>
        <w:t>final</w:t>
      </w:r>
      <w:r w:rsidR="0029564F" w:rsidRPr="00963146">
        <w:rPr>
          <w:rFonts w:ascii="Cambria" w:eastAsia="Cambria" w:hAnsi="Cambria" w:cs="Cambria"/>
          <w:color w:val="000000"/>
          <w:sz w:val="20"/>
          <w:szCs w:val="20"/>
          <w:u w:color="000000"/>
          <w:lang w:eastAsia="es-ES"/>
        </w:rPr>
        <w:t xml:space="preserve">ly </w:t>
      </w:r>
      <w:r w:rsidR="00C41841" w:rsidRPr="00963146">
        <w:rPr>
          <w:rFonts w:ascii="Cambria" w:eastAsia="Cambria" w:hAnsi="Cambria" w:cs="Cambria"/>
          <w:color w:val="000000"/>
          <w:sz w:val="20"/>
          <w:szCs w:val="20"/>
          <w:u w:color="000000"/>
          <w:lang w:eastAsia="es-ES"/>
        </w:rPr>
        <w:t>motiv</w:t>
      </w:r>
      <w:r w:rsidR="00963146">
        <w:rPr>
          <w:rFonts w:ascii="Cambria" w:eastAsia="Cambria" w:hAnsi="Cambria" w:cs="Cambria"/>
          <w:color w:val="000000"/>
          <w:sz w:val="20"/>
          <w:szCs w:val="20"/>
          <w:u w:color="000000"/>
          <w:lang w:eastAsia="es-ES"/>
        </w:rPr>
        <w:t>ated</w:t>
      </w:r>
      <w:r w:rsidR="009A4F91" w:rsidRPr="00963146">
        <w:rPr>
          <w:rFonts w:ascii="Cambria" w:eastAsia="Cambria" w:hAnsi="Cambria" w:cs="Cambria"/>
          <w:color w:val="000000"/>
          <w:sz w:val="20"/>
          <w:szCs w:val="20"/>
          <w:u w:color="000000"/>
          <w:lang w:eastAsia="es-ES"/>
        </w:rPr>
        <w:t xml:space="preserve"> the </w:t>
      </w:r>
      <w:r w:rsidR="00EF4ED2" w:rsidRPr="00963146">
        <w:rPr>
          <w:rFonts w:ascii="Cambria" w:eastAsia="Cambria" w:hAnsi="Cambria" w:cs="Cambria"/>
          <w:color w:val="000000"/>
          <w:sz w:val="20"/>
          <w:szCs w:val="20"/>
          <w:u w:color="000000"/>
          <w:lang w:eastAsia="es-ES"/>
        </w:rPr>
        <w:t>protection</w:t>
      </w:r>
      <w:r w:rsidR="004969F4" w:rsidRPr="00963146">
        <w:rPr>
          <w:rFonts w:ascii="Cambria" w:eastAsia="Cambria" w:hAnsi="Cambria" w:cs="Cambria"/>
          <w:color w:val="000000"/>
          <w:sz w:val="20"/>
          <w:szCs w:val="20"/>
          <w:u w:color="000000"/>
          <w:lang w:eastAsia="es-ES"/>
        </w:rPr>
        <w:t xml:space="preserve"> of </w:t>
      </w:r>
      <w:r w:rsidR="008E2F10">
        <w:rPr>
          <w:rFonts w:ascii="Cambria" w:eastAsia="Cambria" w:hAnsi="Cambria" w:cs="Cambria"/>
          <w:color w:val="000000"/>
          <w:sz w:val="20"/>
          <w:szCs w:val="20"/>
          <w:u w:color="000000"/>
          <w:lang w:eastAsia="es-ES"/>
        </w:rPr>
        <w:t xml:space="preserve">the HCUNR </w:t>
      </w:r>
      <w:r w:rsidR="00E92985" w:rsidRPr="00963146">
        <w:rPr>
          <w:rFonts w:ascii="Cambria" w:eastAsia="Cambria" w:hAnsi="Cambria" w:cs="Cambria"/>
          <w:color w:val="000000"/>
          <w:sz w:val="20"/>
          <w:szCs w:val="20"/>
          <w:u w:color="000000"/>
          <w:lang w:eastAsia="es-ES"/>
        </w:rPr>
        <w:t xml:space="preserve">and </w:t>
      </w:r>
      <w:r w:rsidR="00963146">
        <w:rPr>
          <w:rFonts w:ascii="Cambria" w:eastAsia="Cambria" w:hAnsi="Cambria" w:cs="Cambria"/>
          <w:color w:val="000000"/>
          <w:sz w:val="20"/>
          <w:szCs w:val="20"/>
          <w:u w:color="000000"/>
          <w:lang w:eastAsia="es-ES"/>
        </w:rPr>
        <w:t>to proceed with actions for him to equally leave</w:t>
      </w:r>
      <w:r w:rsidR="00E92985" w:rsidRPr="00963146">
        <w:rPr>
          <w:rFonts w:ascii="Cambria" w:eastAsia="Cambria" w:hAnsi="Cambria" w:cs="Cambria"/>
          <w:color w:val="000000"/>
          <w:sz w:val="20"/>
          <w:szCs w:val="20"/>
          <w:u w:color="000000"/>
          <w:lang w:eastAsia="es-ES"/>
        </w:rPr>
        <w:t xml:space="preserve"> </w:t>
      </w:r>
      <w:r w:rsidR="00C41841" w:rsidRPr="00963146">
        <w:rPr>
          <w:rFonts w:ascii="Cambria" w:eastAsia="Cambria" w:hAnsi="Cambria" w:cs="Cambria"/>
          <w:color w:val="000000"/>
          <w:sz w:val="20"/>
          <w:szCs w:val="20"/>
          <w:u w:color="000000"/>
          <w:lang w:eastAsia="es-ES"/>
        </w:rPr>
        <w:t>Argentina</w:t>
      </w:r>
      <w:r w:rsidR="002B762A" w:rsidRPr="00963146">
        <w:rPr>
          <w:rFonts w:ascii="Cambria" w:eastAsia="Cambria" w:hAnsi="Cambria" w:cs="Cambria"/>
          <w:color w:val="000000"/>
          <w:sz w:val="20"/>
          <w:szCs w:val="20"/>
          <w:u w:color="000000"/>
          <w:lang w:eastAsia="es-ES"/>
        </w:rPr>
        <w:t xml:space="preserve"> </w:t>
      </w:r>
      <w:r w:rsidR="00963146">
        <w:rPr>
          <w:rFonts w:ascii="Cambria" w:eastAsia="Cambria" w:hAnsi="Cambria" w:cs="Cambria"/>
          <w:color w:val="000000"/>
          <w:sz w:val="20"/>
          <w:szCs w:val="20"/>
          <w:u w:color="000000"/>
          <w:lang w:eastAsia="es-ES"/>
        </w:rPr>
        <w:t>headed for the</w:t>
      </w:r>
      <w:r w:rsidR="00C41841" w:rsidRPr="00963146">
        <w:rPr>
          <w:rFonts w:ascii="Cambria" w:eastAsia="Cambria" w:hAnsi="Cambria" w:cs="Cambria"/>
          <w:color w:val="000000"/>
          <w:sz w:val="20"/>
          <w:szCs w:val="20"/>
          <w:u w:color="000000"/>
          <w:lang w:eastAsia="es-ES"/>
        </w:rPr>
        <w:t xml:space="preserve"> </w:t>
      </w:r>
      <w:r w:rsidR="00963146">
        <w:rPr>
          <w:rFonts w:ascii="Cambria" w:eastAsia="Cambria" w:hAnsi="Cambria" w:cs="Cambria"/>
          <w:color w:val="000000"/>
          <w:sz w:val="20"/>
          <w:szCs w:val="20"/>
          <w:u w:color="000000"/>
          <w:lang w:eastAsia="es-ES"/>
        </w:rPr>
        <w:t>Kingdom</w:t>
      </w:r>
      <w:r w:rsidR="00E92985" w:rsidRPr="00963146">
        <w:rPr>
          <w:rFonts w:ascii="Cambria" w:eastAsia="Cambria" w:hAnsi="Cambria" w:cs="Cambria"/>
          <w:color w:val="000000"/>
          <w:sz w:val="20"/>
          <w:szCs w:val="20"/>
          <w:u w:color="000000"/>
          <w:lang w:eastAsia="es-ES"/>
        </w:rPr>
        <w:t xml:space="preserve"> of </w:t>
      </w:r>
      <w:r w:rsidR="00BD6923" w:rsidRPr="00963146">
        <w:rPr>
          <w:rFonts w:ascii="Cambria" w:eastAsia="Cambria" w:hAnsi="Cambria" w:cs="Cambria"/>
          <w:color w:val="000000"/>
          <w:sz w:val="20"/>
          <w:szCs w:val="20"/>
          <w:u w:color="000000"/>
          <w:lang w:eastAsia="es-ES"/>
        </w:rPr>
        <w:t>Sweden</w:t>
      </w:r>
      <w:r w:rsidR="00C41841" w:rsidRPr="00963146">
        <w:rPr>
          <w:rFonts w:ascii="Cambria" w:eastAsia="Cambria" w:hAnsi="Cambria" w:cs="Cambria"/>
          <w:color w:val="000000"/>
          <w:sz w:val="20"/>
          <w:szCs w:val="20"/>
          <w:u w:color="000000"/>
          <w:lang w:eastAsia="es-ES"/>
        </w:rPr>
        <w:t xml:space="preserve"> </w:t>
      </w:r>
      <w:r w:rsidR="00963146">
        <w:rPr>
          <w:rFonts w:ascii="Cambria" w:eastAsia="Cambria" w:hAnsi="Cambria" w:cs="Cambria"/>
          <w:color w:val="000000"/>
          <w:sz w:val="20"/>
          <w:szCs w:val="20"/>
          <w:u w:color="000000"/>
          <w:lang w:eastAsia="es-ES"/>
        </w:rPr>
        <w:t>as only way to</w:t>
      </w:r>
      <w:r w:rsidR="00E92985" w:rsidRPr="00963146">
        <w:rPr>
          <w:rFonts w:ascii="Cambria" w:eastAsia="Cambria" w:hAnsi="Cambria" w:cs="Cambria"/>
          <w:color w:val="000000"/>
          <w:sz w:val="20"/>
          <w:szCs w:val="20"/>
          <w:u w:color="000000"/>
          <w:lang w:eastAsia="es-ES"/>
        </w:rPr>
        <w:t xml:space="preserve"> </w:t>
      </w:r>
      <w:r w:rsidR="00963146">
        <w:rPr>
          <w:rFonts w:ascii="Cambria" w:eastAsia="Cambria" w:hAnsi="Cambria" w:cs="Cambria"/>
          <w:color w:val="000000"/>
          <w:sz w:val="20"/>
          <w:szCs w:val="20"/>
          <w:u w:color="000000"/>
          <w:lang w:eastAsia="es-ES"/>
        </w:rPr>
        <w:t>safeguard his life and</w:t>
      </w:r>
      <w:r w:rsidR="00E92985" w:rsidRPr="00963146">
        <w:rPr>
          <w:rFonts w:ascii="Cambria" w:eastAsia="Cambria" w:hAnsi="Cambria" w:cs="Cambria"/>
          <w:color w:val="000000"/>
          <w:sz w:val="20"/>
          <w:szCs w:val="20"/>
          <w:u w:color="000000"/>
          <w:lang w:eastAsia="es-ES"/>
        </w:rPr>
        <w:t xml:space="preserve"> </w:t>
      </w:r>
      <w:r w:rsidR="00C41841" w:rsidRPr="00963146">
        <w:rPr>
          <w:rFonts w:ascii="Cambria" w:eastAsia="Cambria" w:hAnsi="Cambria" w:cs="Cambria"/>
          <w:color w:val="000000"/>
          <w:sz w:val="20"/>
          <w:szCs w:val="20"/>
          <w:u w:color="000000"/>
          <w:lang w:eastAsia="es-ES"/>
        </w:rPr>
        <w:t>integri</w:t>
      </w:r>
      <w:r w:rsidR="00963146">
        <w:rPr>
          <w:rFonts w:ascii="Cambria" w:eastAsia="Cambria" w:hAnsi="Cambria" w:cs="Cambria"/>
          <w:color w:val="000000"/>
          <w:sz w:val="20"/>
          <w:szCs w:val="20"/>
          <w:u w:color="000000"/>
          <w:lang w:eastAsia="es-ES"/>
        </w:rPr>
        <w:t>ty</w:t>
      </w:r>
      <w:r w:rsidR="00C41841" w:rsidRPr="00963146">
        <w:rPr>
          <w:rFonts w:ascii="Cambria" w:eastAsia="Cambria" w:hAnsi="Cambria" w:cs="Cambria"/>
          <w:color w:val="000000"/>
          <w:sz w:val="20"/>
          <w:szCs w:val="20"/>
          <w:u w:color="000000"/>
          <w:lang w:eastAsia="es-ES"/>
        </w:rPr>
        <w:t>.</w:t>
      </w:r>
    </w:p>
    <w:p w14:paraId="61D2B466" w14:textId="77777777" w:rsidR="00C41841" w:rsidRPr="00A51861" w:rsidRDefault="00C41841" w:rsidP="008E4D36">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Cambria" w:eastAsia="Cambria" w:hAnsi="Cambria" w:cs="Cambria"/>
          <w:color w:val="000000"/>
          <w:sz w:val="20"/>
          <w:szCs w:val="20"/>
          <w:u w:color="000000"/>
          <w:lang w:eastAsia="es-ES"/>
        </w:rPr>
      </w:pPr>
    </w:p>
    <w:p w14:paraId="6B5F9C9F" w14:textId="72F622DD" w:rsidR="00C41841" w:rsidRPr="00A51861" w:rsidRDefault="00963146"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eastAsia="Cambria" w:hAnsi="Cambria" w:cs="Cambria"/>
          <w:color w:val="000000"/>
          <w:sz w:val="20"/>
          <w:szCs w:val="20"/>
          <w:u w:color="000000"/>
          <w:lang w:eastAsia="es-ES"/>
        </w:rPr>
      </w:pPr>
      <w:r>
        <w:rPr>
          <w:rFonts w:ascii="Cambria" w:eastAsia="Cambria" w:hAnsi="Cambria" w:cs="Cambria"/>
          <w:color w:val="000000"/>
          <w:sz w:val="20"/>
          <w:szCs w:val="20"/>
          <w:u w:color="000000"/>
          <w:lang w:eastAsia="es-ES"/>
        </w:rPr>
        <w:t>Said</w:t>
      </w:r>
      <w:r w:rsidR="005F6157">
        <w:rPr>
          <w:rFonts w:ascii="Cambria" w:eastAsia="Cambria" w:hAnsi="Cambria" w:cs="Cambria"/>
          <w:color w:val="000000"/>
          <w:sz w:val="20"/>
          <w:szCs w:val="20"/>
          <w:u w:color="000000"/>
          <w:lang w:eastAsia="es-ES"/>
        </w:rPr>
        <w:t xml:space="preserve"> fact</w:t>
      </w:r>
      <w:r w:rsidR="00C41841" w:rsidRPr="00A51861">
        <w:rPr>
          <w:rFonts w:ascii="Cambria" w:eastAsia="Cambria" w:hAnsi="Cambria" w:cs="Cambria"/>
          <w:color w:val="000000"/>
          <w:sz w:val="20"/>
          <w:szCs w:val="20"/>
          <w:u w:color="000000"/>
          <w:lang w:eastAsia="es-ES"/>
        </w:rPr>
        <w:t xml:space="preserve">s </w:t>
      </w:r>
      <w:r>
        <w:rPr>
          <w:rFonts w:ascii="Cambria" w:eastAsia="Cambria" w:hAnsi="Cambria" w:cs="Cambria"/>
          <w:color w:val="000000"/>
          <w:sz w:val="20"/>
          <w:szCs w:val="20"/>
          <w:u w:color="000000"/>
          <w:lang w:eastAsia="es-ES"/>
        </w:rPr>
        <w:t>which</w:t>
      </w:r>
      <w:r w:rsidR="00C41841" w:rsidRPr="00A51861">
        <w:rPr>
          <w:rFonts w:ascii="Cambria" w:eastAsia="Cambria" w:hAnsi="Cambria" w:cs="Cambria"/>
          <w:color w:val="000000"/>
          <w:sz w:val="20"/>
          <w:szCs w:val="20"/>
          <w:u w:color="000000"/>
          <w:lang w:eastAsia="es-ES"/>
        </w:rPr>
        <w:t xml:space="preserve"> impli</w:t>
      </w:r>
      <w:r>
        <w:rPr>
          <w:rFonts w:ascii="Cambria" w:eastAsia="Cambria" w:hAnsi="Cambria" w:cs="Cambria"/>
          <w:color w:val="000000"/>
          <w:sz w:val="20"/>
          <w:szCs w:val="20"/>
          <w:u w:color="000000"/>
          <w:lang w:eastAsia="es-ES"/>
        </w:rPr>
        <w:t>ed</w:t>
      </w:r>
      <w:r w:rsidR="00C41841" w:rsidRPr="00A51861">
        <w:rPr>
          <w:rFonts w:ascii="Cambria" w:eastAsia="Cambria" w:hAnsi="Cambria" w:cs="Cambria"/>
          <w:color w:val="000000"/>
          <w:sz w:val="20"/>
          <w:szCs w:val="20"/>
          <w:u w:color="000000"/>
          <w:lang w:eastAsia="es-ES"/>
        </w:rPr>
        <w:t xml:space="preserve"> </w:t>
      </w:r>
      <w:r w:rsidR="004E1083">
        <w:rPr>
          <w:rFonts w:ascii="Cambria" w:eastAsia="Cambria" w:hAnsi="Cambria" w:cs="Cambria"/>
          <w:color w:val="000000"/>
          <w:sz w:val="20"/>
          <w:szCs w:val="20"/>
          <w:u w:color="000000"/>
          <w:lang w:eastAsia="es-ES"/>
        </w:rPr>
        <w:t>violations</w:t>
      </w:r>
      <w:r w:rsidR="00C41841" w:rsidRPr="00A51861">
        <w:rPr>
          <w:rFonts w:ascii="Cambria" w:eastAsia="Cambria" w:hAnsi="Cambria" w:cs="Cambria"/>
          <w:color w:val="000000"/>
          <w:sz w:val="20"/>
          <w:szCs w:val="20"/>
          <w:u w:color="000000"/>
          <w:lang w:eastAsia="es-ES"/>
        </w:rPr>
        <w:t xml:space="preserve"> </w:t>
      </w:r>
      <w:r>
        <w:rPr>
          <w:rFonts w:ascii="Cambria" w:eastAsia="Cambria" w:hAnsi="Cambria" w:cs="Cambria"/>
          <w:color w:val="000000"/>
          <w:sz w:val="20"/>
          <w:szCs w:val="20"/>
          <w:u w:color="000000"/>
          <w:lang w:eastAsia="es-ES"/>
        </w:rPr>
        <w:t>of the rights to life</w:t>
      </w:r>
      <w:r w:rsidR="00C41841" w:rsidRPr="00A51861">
        <w:rPr>
          <w:rFonts w:ascii="Cambria" w:eastAsia="Cambria" w:hAnsi="Cambria" w:cs="Cambria"/>
          <w:color w:val="000000"/>
          <w:sz w:val="20"/>
          <w:szCs w:val="20"/>
          <w:u w:color="000000"/>
          <w:lang w:eastAsia="es-ES"/>
        </w:rPr>
        <w:t xml:space="preserve">, </w:t>
      </w:r>
      <w:r w:rsidR="00387B53">
        <w:rPr>
          <w:rFonts w:ascii="Cambria" w:eastAsia="Cambria" w:hAnsi="Cambria" w:cs="Cambria"/>
          <w:color w:val="000000"/>
          <w:sz w:val="20"/>
          <w:szCs w:val="20"/>
          <w:u w:color="000000"/>
          <w:lang w:eastAsia="es-ES"/>
        </w:rPr>
        <w:t>liberty</w:t>
      </w:r>
      <w:r w:rsidR="00C41841" w:rsidRPr="00A51861">
        <w:rPr>
          <w:rFonts w:ascii="Cambria" w:eastAsia="Cambria" w:hAnsi="Cambria" w:cs="Cambria"/>
          <w:color w:val="000000"/>
          <w:sz w:val="20"/>
          <w:szCs w:val="20"/>
          <w:u w:color="000000"/>
          <w:lang w:eastAsia="es-ES"/>
        </w:rPr>
        <w:t>, se</w:t>
      </w:r>
      <w:r w:rsidR="00B947BD">
        <w:rPr>
          <w:rFonts w:ascii="Cambria" w:eastAsia="Cambria" w:hAnsi="Cambria" w:cs="Cambria"/>
          <w:color w:val="000000"/>
          <w:sz w:val="20"/>
          <w:szCs w:val="20"/>
          <w:u w:color="000000"/>
          <w:lang w:eastAsia="es-ES"/>
        </w:rPr>
        <w:t>curity</w:t>
      </w:r>
      <w:r w:rsidR="00FA2E7B">
        <w:rPr>
          <w:rFonts w:ascii="Cambria" w:eastAsia="Cambria" w:hAnsi="Cambria" w:cs="Cambria"/>
          <w:color w:val="000000"/>
          <w:sz w:val="20"/>
          <w:szCs w:val="20"/>
          <w:u w:color="000000"/>
          <w:lang w:eastAsia="es-ES"/>
        </w:rPr>
        <w:t xml:space="preserve"> </w:t>
      </w:r>
      <w:r w:rsidR="00E92985">
        <w:rPr>
          <w:rFonts w:ascii="Cambria" w:eastAsia="Cambria" w:hAnsi="Cambria" w:cs="Cambria"/>
          <w:color w:val="000000"/>
          <w:sz w:val="20"/>
          <w:szCs w:val="20"/>
          <w:u w:color="000000"/>
          <w:lang w:eastAsia="es-ES"/>
        </w:rPr>
        <w:t xml:space="preserve">and </w:t>
      </w:r>
      <w:r w:rsidR="00C41841" w:rsidRPr="00A51861">
        <w:rPr>
          <w:rFonts w:ascii="Cambria" w:eastAsia="Cambria" w:hAnsi="Cambria" w:cs="Cambria"/>
          <w:color w:val="000000"/>
          <w:sz w:val="20"/>
          <w:szCs w:val="20"/>
          <w:u w:color="000000"/>
          <w:lang w:eastAsia="es-ES"/>
        </w:rPr>
        <w:t>integri</w:t>
      </w:r>
      <w:r w:rsidR="00FA2E7B">
        <w:rPr>
          <w:rFonts w:ascii="Cambria" w:eastAsia="Cambria" w:hAnsi="Cambria" w:cs="Cambria"/>
          <w:color w:val="000000"/>
          <w:sz w:val="20"/>
          <w:szCs w:val="20"/>
          <w:u w:color="000000"/>
          <w:lang w:eastAsia="es-ES"/>
        </w:rPr>
        <w:t xml:space="preserve">ty </w:t>
      </w:r>
      <w:r w:rsidR="00E92985">
        <w:rPr>
          <w:rFonts w:ascii="Cambria" w:eastAsia="Cambria" w:hAnsi="Cambria" w:cs="Cambria"/>
          <w:color w:val="000000"/>
          <w:sz w:val="20"/>
          <w:szCs w:val="20"/>
          <w:u w:color="000000"/>
          <w:lang w:eastAsia="es-ES"/>
        </w:rPr>
        <w:t xml:space="preserve">of the </w:t>
      </w:r>
      <w:r w:rsidR="00C41841" w:rsidRPr="00A51861">
        <w:rPr>
          <w:rFonts w:ascii="Cambria" w:eastAsia="Cambria" w:hAnsi="Cambria" w:cs="Cambria"/>
          <w:color w:val="000000"/>
          <w:sz w:val="20"/>
          <w:szCs w:val="20"/>
          <w:u w:color="000000"/>
          <w:lang w:eastAsia="es-ES"/>
        </w:rPr>
        <w:t>person;</w:t>
      </w:r>
      <w:r w:rsidR="00E92985">
        <w:rPr>
          <w:rFonts w:ascii="Cambria" w:eastAsia="Cambria" w:hAnsi="Cambria" w:cs="Cambria"/>
          <w:color w:val="000000"/>
          <w:sz w:val="20"/>
          <w:szCs w:val="20"/>
          <w:u w:color="000000"/>
          <w:lang w:eastAsia="es-ES"/>
        </w:rPr>
        <w:t xml:space="preserve"> of </w:t>
      </w:r>
      <w:r w:rsidR="008333FF">
        <w:rPr>
          <w:rFonts w:ascii="Cambria" w:eastAsia="Cambria" w:hAnsi="Cambria" w:cs="Cambria"/>
          <w:color w:val="000000"/>
          <w:sz w:val="20"/>
          <w:szCs w:val="20"/>
          <w:u w:color="000000"/>
          <w:lang w:eastAsia="es-ES"/>
        </w:rPr>
        <w:t>residency</w:t>
      </w:r>
      <w:r w:rsidR="00E92985">
        <w:rPr>
          <w:rFonts w:ascii="Cambria" w:eastAsia="Cambria" w:hAnsi="Cambria" w:cs="Cambria"/>
          <w:color w:val="000000"/>
          <w:sz w:val="20"/>
          <w:szCs w:val="20"/>
          <w:u w:color="000000"/>
          <w:lang w:eastAsia="es-ES"/>
        </w:rPr>
        <w:t xml:space="preserve"> and </w:t>
      </w:r>
      <w:r>
        <w:rPr>
          <w:rFonts w:ascii="Cambria" w:eastAsia="Cambria" w:hAnsi="Cambria" w:cs="Cambria"/>
          <w:color w:val="000000"/>
          <w:sz w:val="20"/>
          <w:szCs w:val="20"/>
          <w:u w:color="000000"/>
          <w:lang w:eastAsia="es-ES"/>
        </w:rPr>
        <w:t>movement</w:t>
      </w:r>
      <w:r w:rsidR="00C41841" w:rsidRPr="00A51861">
        <w:rPr>
          <w:rFonts w:ascii="Cambria" w:eastAsia="Cambria" w:hAnsi="Cambria" w:cs="Cambria"/>
          <w:color w:val="000000"/>
          <w:sz w:val="20"/>
          <w:szCs w:val="20"/>
          <w:u w:color="000000"/>
          <w:lang w:eastAsia="es-ES"/>
        </w:rPr>
        <w:t>;</w:t>
      </w:r>
      <w:r w:rsidR="00E92985">
        <w:rPr>
          <w:rFonts w:ascii="Cambria" w:eastAsia="Cambria" w:hAnsi="Cambria" w:cs="Cambria"/>
          <w:color w:val="000000"/>
          <w:sz w:val="20"/>
          <w:szCs w:val="20"/>
          <w:u w:color="000000"/>
          <w:lang w:eastAsia="es-ES"/>
        </w:rPr>
        <w:t xml:space="preserve"> of </w:t>
      </w:r>
      <w:r w:rsidR="001937FB">
        <w:rPr>
          <w:rFonts w:ascii="Cambria" w:eastAsia="Cambria" w:hAnsi="Cambria" w:cs="Cambria"/>
          <w:color w:val="000000"/>
          <w:sz w:val="20"/>
          <w:szCs w:val="20"/>
          <w:u w:color="000000"/>
          <w:lang w:eastAsia="es-ES"/>
        </w:rPr>
        <w:t>justice</w:t>
      </w:r>
      <w:r w:rsidR="00C41841" w:rsidRPr="00A51861">
        <w:rPr>
          <w:rFonts w:ascii="Cambria" w:eastAsia="Cambria" w:hAnsi="Cambria" w:cs="Cambria"/>
          <w:color w:val="000000"/>
          <w:sz w:val="20"/>
          <w:szCs w:val="20"/>
          <w:u w:color="000000"/>
          <w:lang w:eastAsia="es-ES"/>
        </w:rPr>
        <w:t xml:space="preserve">; a </w:t>
      </w:r>
      <w:r w:rsidR="005F7F4D">
        <w:rPr>
          <w:rFonts w:ascii="Cambria" w:eastAsia="Cambria" w:hAnsi="Cambria" w:cs="Cambria"/>
          <w:color w:val="000000"/>
          <w:sz w:val="20"/>
          <w:szCs w:val="20"/>
          <w:u w:color="000000"/>
          <w:lang w:eastAsia="es-ES"/>
        </w:rPr>
        <w:t>due process</w:t>
      </w:r>
      <w:r w:rsidR="00C41841" w:rsidRPr="00A51861">
        <w:rPr>
          <w:rFonts w:ascii="Cambria" w:eastAsia="Cambria" w:hAnsi="Cambria" w:cs="Cambria"/>
          <w:color w:val="000000"/>
          <w:sz w:val="20"/>
          <w:szCs w:val="20"/>
          <w:u w:color="000000"/>
          <w:lang w:eastAsia="es-ES"/>
        </w:rPr>
        <w:t>;</w:t>
      </w:r>
      <w:r w:rsidR="00E92985">
        <w:rPr>
          <w:rFonts w:ascii="Cambria" w:eastAsia="Cambria" w:hAnsi="Cambria" w:cs="Cambria"/>
          <w:color w:val="000000"/>
          <w:sz w:val="20"/>
          <w:szCs w:val="20"/>
          <w:u w:color="000000"/>
          <w:lang w:eastAsia="es-ES"/>
        </w:rPr>
        <w:t xml:space="preserve"> of </w:t>
      </w:r>
      <w:r>
        <w:rPr>
          <w:rFonts w:ascii="Cambria" w:eastAsia="Cambria" w:hAnsi="Cambria" w:cs="Cambria"/>
          <w:color w:val="000000"/>
          <w:sz w:val="20"/>
          <w:szCs w:val="20"/>
          <w:u w:color="000000"/>
          <w:lang w:eastAsia="es-ES"/>
        </w:rPr>
        <w:t>assembly</w:t>
      </w:r>
      <w:r w:rsidR="00E92985">
        <w:rPr>
          <w:rFonts w:ascii="Cambria" w:eastAsia="Cambria" w:hAnsi="Cambria" w:cs="Cambria"/>
          <w:color w:val="000000"/>
          <w:sz w:val="20"/>
          <w:szCs w:val="20"/>
          <w:u w:color="000000"/>
          <w:lang w:eastAsia="es-ES"/>
        </w:rPr>
        <w:t xml:space="preserve"> and of </w:t>
      </w:r>
      <w:r w:rsidR="00EF4ED2">
        <w:rPr>
          <w:rFonts w:ascii="Cambria" w:eastAsia="Cambria" w:hAnsi="Cambria" w:cs="Cambria"/>
          <w:color w:val="000000"/>
          <w:sz w:val="20"/>
          <w:szCs w:val="20"/>
          <w:u w:color="000000"/>
          <w:lang w:eastAsia="es-ES"/>
        </w:rPr>
        <w:t>protection</w:t>
      </w:r>
      <w:r w:rsidR="00CB0928">
        <w:rPr>
          <w:rFonts w:ascii="Cambria" w:eastAsia="Cambria" w:hAnsi="Cambria" w:cs="Cambria"/>
          <w:color w:val="000000"/>
          <w:sz w:val="20"/>
          <w:szCs w:val="20"/>
          <w:u w:color="000000"/>
          <w:lang w:eastAsia="es-ES"/>
        </w:rPr>
        <w:t xml:space="preserve"> against</w:t>
      </w:r>
      <w:r w:rsidR="009A4F91">
        <w:rPr>
          <w:rFonts w:ascii="Cambria" w:eastAsia="Cambria" w:hAnsi="Cambria" w:cs="Cambria"/>
          <w:color w:val="000000"/>
          <w:sz w:val="20"/>
          <w:szCs w:val="20"/>
          <w:u w:color="000000"/>
          <w:lang w:eastAsia="es-ES"/>
        </w:rPr>
        <w:t xml:space="preserve"> </w:t>
      </w:r>
      <w:r w:rsidR="00D70A85">
        <w:rPr>
          <w:rFonts w:ascii="Cambria" w:eastAsia="Cambria" w:hAnsi="Cambria" w:cs="Cambria"/>
          <w:color w:val="000000"/>
          <w:sz w:val="20"/>
          <w:szCs w:val="20"/>
          <w:u w:color="000000"/>
          <w:lang w:eastAsia="es-ES"/>
        </w:rPr>
        <w:t xml:space="preserve">arbitrary detention </w:t>
      </w:r>
      <w:r>
        <w:rPr>
          <w:rFonts w:ascii="Cambria" w:eastAsia="Cambria" w:hAnsi="Cambria" w:cs="Cambria"/>
          <w:color w:val="000000"/>
          <w:sz w:val="20"/>
          <w:szCs w:val="20"/>
          <w:u w:color="000000"/>
          <w:lang w:eastAsia="es-ES"/>
        </w:rPr>
        <w:t xml:space="preserve">included in </w:t>
      </w:r>
      <w:r w:rsidR="009A4F91">
        <w:rPr>
          <w:rFonts w:ascii="Cambria" w:eastAsia="Cambria" w:hAnsi="Cambria" w:cs="Cambria"/>
          <w:color w:val="000000"/>
          <w:sz w:val="20"/>
          <w:szCs w:val="20"/>
          <w:u w:color="000000"/>
          <w:lang w:eastAsia="es-ES"/>
        </w:rPr>
        <w:t xml:space="preserve">the </w:t>
      </w:r>
      <w:r w:rsidR="003F634D">
        <w:rPr>
          <w:rFonts w:ascii="Cambria" w:eastAsia="Cambria" w:hAnsi="Cambria" w:cs="Cambria"/>
          <w:color w:val="000000"/>
          <w:sz w:val="20"/>
          <w:szCs w:val="20"/>
          <w:u w:color="000000"/>
          <w:lang w:eastAsia="es-ES"/>
        </w:rPr>
        <w:t xml:space="preserve">American Declaration </w:t>
      </w:r>
      <w:r w:rsidR="001937FB">
        <w:rPr>
          <w:rFonts w:ascii="Cambria" w:eastAsia="Cambria" w:hAnsi="Cambria" w:cs="Cambria"/>
          <w:color w:val="000000"/>
          <w:sz w:val="20"/>
          <w:szCs w:val="20"/>
          <w:u w:color="000000"/>
          <w:lang w:eastAsia="es-ES"/>
        </w:rPr>
        <w:t xml:space="preserve">of </w:t>
      </w:r>
      <w:r w:rsidR="004C5A00">
        <w:rPr>
          <w:rFonts w:ascii="Cambria" w:eastAsia="Cambria" w:hAnsi="Cambria" w:cs="Cambria"/>
          <w:color w:val="000000"/>
          <w:sz w:val="20"/>
          <w:szCs w:val="20"/>
          <w:u w:color="000000"/>
          <w:lang w:eastAsia="es-ES"/>
        </w:rPr>
        <w:t>Rights</w:t>
      </w:r>
      <w:r w:rsidR="001937FB">
        <w:rPr>
          <w:rFonts w:ascii="Cambria" w:eastAsia="Cambria" w:hAnsi="Cambria" w:cs="Cambria"/>
          <w:color w:val="000000"/>
          <w:sz w:val="20"/>
          <w:szCs w:val="20"/>
          <w:u w:color="000000"/>
          <w:lang w:eastAsia="es-ES"/>
        </w:rPr>
        <w:t xml:space="preserve"> and Duties of Man</w:t>
      </w:r>
      <w:r w:rsidR="006960A8" w:rsidRPr="00A51861">
        <w:rPr>
          <w:rFonts w:ascii="Cambria" w:eastAsia="Cambria" w:hAnsi="Cambria" w:cs="Cambria"/>
          <w:color w:val="000000"/>
          <w:sz w:val="20"/>
          <w:szCs w:val="20"/>
          <w:u w:color="000000"/>
          <w:lang w:eastAsia="es-ES"/>
        </w:rPr>
        <w:t>, genera</w:t>
      </w:r>
      <w:r>
        <w:rPr>
          <w:rFonts w:ascii="Cambria" w:eastAsia="Cambria" w:hAnsi="Cambria" w:cs="Cambria"/>
          <w:color w:val="000000"/>
          <w:sz w:val="20"/>
          <w:szCs w:val="20"/>
          <w:u w:color="000000"/>
          <w:lang w:eastAsia="es-ES"/>
        </w:rPr>
        <w:t>te</w:t>
      </w:r>
      <w:r w:rsidR="009A4F91">
        <w:rPr>
          <w:rFonts w:ascii="Cambria" w:eastAsia="Cambria" w:hAnsi="Cambria" w:cs="Cambria"/>
          <w:color w:val="000000"/>
          <w:sz w:val="20"/>
          <w:szCs w:val="20"/>
          <w:u w:color="000000"/>
          <w:lang w:eastAsia="es-ES"/>
        </w:rPr>
        <w:t xml:space="preserve"> the </w:t>
      </w:r>
      <w:r w:rsidRPr="00A51861">
        <w:rPr>
          <w:rFonts w:ascii="Cambria" w:eastAsia="Cambria" w:hAnsi="Cambria" w:cs="Cambria"/>
          <w:color w:val="000000"/>
          <w:sz w:val="20"/>
          <w:szCs w:val="20"/>
          <w:u w:color="000000"/>
          <w:lang w:eastAsia="es-ES"/>
        </w:rPr>
        <w:t>obligation</w:t>
      </w:r>
      <w:r w:rsidR="00C41841" w:rsidRPr="00A51861">
        <w:rPr>
          <w:rFonts w:ascii="Cambria" w:eastAsia="Cambria" w:hAnsi="Cambria" w:cs="Cambria"/>
          <w:color w:val="000000"/>
          <w:sz w:val="20"/>
          <w:szCs w:val="20"/>
          <w:u w:color="000000"/>
          <w:lang w:eastAsia="es-ES"/>
        </w:rPr>
        <w:t xml:space="preserve"> </w:t>
      </w:r>
      <w:r w:rsidR="00F92BA8">
        <w:rPr>
          <w:rFonts w:ascii="Cambria" w:eastAsia="Cambria" w:hAnsi="Cambria" w:cs="Cambria"/>
          <w:color w:val="000000"/>
          <w:sz w:val="20"/>
          <w:szCs w:val="20"/>
          <w:u w:color="000000"/>
          <w:lang w:eastAsia="es-ES"/>
        </w:rPr>
        <w:t>of the Argentine State</w:t>
      </w:r>
      <w:r w:rsidR="00E92985">
        <w:rPr>
          <w:rFonts w:ascii="Cambria" w:eastAsia="Cambria" w:hAnsi="Cambria" w:cs="Cambria"/>
          <w:color w:val="000000"/>
          <w:sz w:val="20"/>
          <w:szCs w:val="20"/>
          <w:u w:color="000000"/>
          <w:lang w:eastAsia="es-ES"/>
        </w:rPr>
        <w:t xml:space="preserve"> </w:t>
      </w:r>
      <w:r>
        <w:rPr>
          <w:rFonts w:ascii="Cambria" w:eastAsia="Cambria" w:hAnsi="Cambria" w:cs="Cambria"/>
          <w:color w:val="000000"/>
          <w:sz w:val="20"/>
          <w:szCs w:val="20"/>
          <w:u w:color="000000"/>
          <w:lang w:eastAsia="es-ES"/>
        </w:rPr>
        <w:t>to repair the</w:t>
      </w:r>
      <w:r w:rsidR="00C41841" w:rsidRPr="00A51861">
        <w:rPr>
          <w:rFonts w:ascii="Cambria" w:eastAsia="Cambria" w:hAnsi="Cambria" w:cs="Cambria"/>
          <w:color w:val="000000"/>
          <w:sz w:val="20"/>
          <w:szCs w:val="20"/>
          <w:u w:color="000000"/>
          <w:lang w:eastAsia="es-ES"/>
        </w:rPr>
        <w:t xml:space="preserve"> </w:t>
      </w:r>
      <w:r w:rsidR="00B4073F">
        <w:rPr>
          <w:rFonts w:ascii="Cambria" w:eastAsia="Cambria" w:hAnsi="Cambria" w:cs="Cambria"/>
          <w:color w:val="000000"/>
          <w:sz w:val="20"/>
          <w:szCs w:val="20"/>
          <w:u w:color="000000"/>
          <w:lang w:eastAsia="es-ES"/>
        </w:rPr>
        <w:t>victim</w:t>
      </w:r>
      <w:r w:rsidR="00C41841" w:rsidRPr="00A51861">
        <w:rPr>
          <w:rFonts w:ascii="Cambria" w:eastAsia="Cambria" w:hAnsi="Cambria" w:cs="Cambria"/>
          <w:color w:val="000000"/>
          <w:sz w:val="20"/>
          <w:szCs w:val="20"/>
          <w:u w:color="000000"/>
          <w:lang w:eastAsia="es-ES"/>
        </w:rPr>
        <w:t xml:space="preserve">s </w:t>
      </w:r>
      <w:r w:rsidR="004921CF">
        <w:rPr>
          <w:rFonts w:ascii="Cambria" w:eastAsia="Cambria" w:hAnsi="Cambria" w:cs="Cambria"/>
          <w:color w:val="000000"/>
          <w:sz w:val="20"/>
          <w:szCs w:val="20"/>
          <w:u w:color="000000"/>
          <w:lang w:eastAsia="es-ES"/>
        </w:rPr>
        <w:t xml:space="preserve">based on </w:t>
      </w:r>
      <w:r>
        <w:rPr>
          <w:rFonts w:ascii="Cambria" w:eastAsia="Cambria" w:hAnsi="Cambria" w:cs="Cambria"/>
          <w:color w:val="000000"/>
          <w:sz w:val="20"/>
          <w:szCs w:val="20"/>
          <w:u w:color="000000"/>
          <w:lang w:eastAsia="es-ES"/>
        </w:rPr>
        <w:t>the standards which</w:t>
      </w:r>
      <w:r w:rsidR="00C41841" w:rsidRPr="00A51861">
        <w:rPr>
          <w:rFonts w:ascii="Cambria" w:eastAsia="Cambria" w:hAnsi="Cambria" w:cs="Cambria"/>
          <w:color w:val="000000"/>
          <w:sz w:val="20"/>
          <w:szCs w:val="20"/>
          <w:u w:color="000000"/>
          <w:lang w:eastAsia="es-ES"/>
        </w:rPr>
        <w:t xml:space="preserve">, </w:t>
      </w:r>
      <w:r>
        <w:rPr>
          <w:rFonts w:ascii="Cambria" w:eastAsia="Cambria" w:hAnsi="Cambria" w:cs="Cambria"/>
          <w:color w:val="000000"/>
          <w:sz w:val="20"/>
          <w:szCs w:val="20"/>
          <w:u w:color="000000"/>
          <w:lang w:eastAsia="es-ES"/>
        </w:rPr>
        <w:t>on this matter</w:t>
      </w:r>
      <w:r w:rsidR="00C41841" w:rsidRPr="00A51861">
        <w:rPr>
          <w:rFonts w:ascii="Cambria" w:eastAsia="Cambria" w:hAnsi="Cambria" w:cs="Cambria"/>
          <w:color w:val="000000"/>
          <w:sz w:val="20"/>
          <w:szCs w:val="20"/>
          <w:u w:color="000000"/>
          <w:lang w:eastAsia="es-ES"/>
        </w:rPr>
        <w:t xml:space="preserve">, </w:t>
      </w:r>
      <w:r w:rsidR="009A4F91">
        <w:rPr>
          <w:rFonts w:ascii="Cambria" w:eastAsia="Cambria" w:hAnsi="Cambria" w:cs="Cambria"/>
          <w:color w:val="000000"/>
          <w:sz w:val="20"/>
          <w:szCs w:val="20"/>
          <w:u w:color="000000"/>
          <w:lang w:eastAsia="es-ES"/>
        </w:rPr>
        <w:t xml:space="preserve">the </w:t>
      </w:r>
      <w:r w:rsidR="00DD4DB2">
        <w:rPr>
          <w:rFonts w:ascii="Cambria" w:eastAsia="Cambria" w:hAnsi="Cambria" w:cs="Cambria"/>
          <w:color w:val="000000"/>
          <w:sz w:val="20"/>
          <w:szCs w:val="20"/>
          <w:u w:color="000000"/>
          <w:lang w:eastAsia="es-ES"/>
        </w:rPr>
        <w:t>jurisprudence</w:t>
      </w:r>
      <w:r w:rsidR="004969F4">
        <w:rPr>
          <w:rFonts w:ascii="Cambria" w:eastAsia="Cambria" w:hAnsi="Cambria" w:cs="Cambria"/>
          <w:color w:val="000000"/>
          <w:sz w:val="20"/>
          <w:szCs w:val="20"/>
          <w:u w:color="000000"/>
          <w:lang w:eastAsia="es-ES"/>
        </w:rPr>
        <w:t xml:space="preserve"> of the </w:t>
      </w:r>
      <w:r w:rsidR="00CB4E23">
        <w:rPr>
          <w:rFonts w:ascii="Cambria" w:eastAsia="Cambria" w:hAnsi="Cambria" w:cs="Cambria"/>
          <w:color w:val="000000"/>
          <w:sz w:val="20"/>
          <w:szCs w:val="20"/>
          <w:u w:color="000000"/>
          <w:lang w:eastAsia="es-ES"/>
        </w:rPr>
        <w:t>system</w:t>
      </w:r>
      <w:r w:rsidRPr="00963146">
        <w:rPr>
          <w:rFonts w:ascii="Cambria" w:eastAsia="Cambria" w:hAnsi="Cambria" w:cs="Cambria"/>
          <w:color w:val="000000"/>
          <w:sz w:val="20"/>
          <w:szCs w:val="20"/>
          <w:u w:color="000000"/>
          <w:lang w:eastAsia="es-ES"/>
        </w:rPr>
        <w:t xml:space="preserve"> </w:t>
      </w:r>
      <w:r w:rsidRPr="00A51861">
        <w:rPr>
          <w:rFonts w:ascii="Cambria" w:eastAsia="Cambria" w:hAnsi="Cambria" w:cs="Cambria"/>
          <w:color w:val="000000"/>
          <w:sz w:val="20"/>
          <w:szCs w:val="20"/>
          <w:u w:color="000000"/>
          <w:lang w:eastAsia="es-ES"/>
        </w:rPr>
        <w:t>ha</w:t>
      </w:r>
      <w:r>
        <w:rPr>
          <w:rFonts w:ascii="Cambria" w:eastAsia="Cambria" w:hAnsi="Cambria" w:cs="Cambria"/>
          <w:color w:val="000000"/>
          <w:sz w:val="20"/>
          <w:szCs w:val="20"/>
          <w:u w:color="000000"/>
          <w:lang w:eastAsia="es-ES"/>
        </w:rPr>
        <w:t>s</w:t>
      </w:r>
      <w:r w:rsidRPr="00A51861">
        <w:rPr>
          <w:rFonts w:ascii="Cambria" w:eastAsia="Cambria" w:hAnsi="Cambria" w:cs="Cambria"/>
          <w:color w:val="000000"/>
          <w:sz w:val="20"/>
          <w:szCs w:val="20"/>
          <w:u w:color="000000"/>
          <w:lang w:eastAsia="es-ES"/>
        </w:rPr>
        <w:t xml:space="preserve"> </w:t>
      </w:r>
      <w:r>
        <w:rPr>
          <w:rFonts w:ascii="Cambria" w:eastAsia="Cambria" w:hAnsi="Cambria" w:cs="Cambria"/>
          <w:color w:val="000000"/>
          <w:sz w:val="20"/>
          <w:szCs w:val="20"/>
          <w:u w:color="000000"/>
          <w:lang w:eastAsia="es-ES"/>
        </w:rPr>
        <w:t>provided</w:t>
      </w:r>
      <w:r w:rsidR="00C41841" w:rsidRPr="00A51861">
        <w:rPr>
          <w:rFonts w:ascii="Cambria" w:eastAsia="Cambria" w:hAnsi="Cambria" w:cs="Cambria"/>
          <w:color w:val="000000"/>
          <w:sz w:val="20"/>
          <w:szCs w:val="20"/>
          <w:u w:color="000000"/>
          <w:lang w:eastAsia="es-ES"/>
        </w:rPr>
        <w:t xml:space="preserve">. </w:t>
      </w:r>
      <w:r>
        <w:rPr>
          <w:rFonts w:ascii="Cambria" w:eastAsia="Cambria" w:hAnsi="Cambria" w:cs="Cambria"/>
          <w:color w:val="000000"/>
          <w:sz w:val="20"/>
          <w:szCs w:val="20"/>
          <w:u w:color="000000"/>
          <w:lang w:eastAsia="es-ES"/>
        </w:rPr>
        <w:t>Next</w:t>
      </w:r>
      <w:r w:rsidR="00C41841" w:rsidRPr="00A51861">
        <w:rPr>
          <w:rFonts w:ascii="Cambria" w:eastAsia="Cambria" w:hAnsi="Cambria" w:cs="Cambria"/>
          <w:color w:val="000000"/>
          <w:sz w:val="20"/>
          <w:szCs w:val="20"/>
          <w:u w:color="000000"/>
          <w:lang w:eastAsia="es-ES"/>
        </w:rPr>
        <w:t xml:space="preserve">, </w:t>
      </w:r>
      <w:r>
        <w:rPr>
          <w:rFonts w:ascii="Cambria" w:eastAsia="Cambria" w:hAnsi="Cambria" w:cs="Cambria"/>
          <w:color w:val="000000"/>
          <w:sz w:val="20"/>
          <w:szCs w:val="20"/>
          <w:u w:color="000000"/>
          <w:lang w:eastAsia="es-ES"/>
        </w:rPr>
        <w:t>the analysis that the</w:t>
      </w:r>
      <w:r w:rsidR="00A51861" w:rsidRPr="00A51861">
        <w:rPr>
          <w:rFonts w:ascii="Cambria" w:eastAsia="Cambria" w:hAnsi="Cambria" w:cs="Cambria"/>
          <w:color w:val="000000"/>
          <w:sz w:val="20"/>
          <w:szCs w:val="20"/>
          <w:u w:color="000000"/>
          <w:lang w:eastAsia="es-ES"/>
        </w:rPr>
        <w:t xml:space="preserve"> IACHR</w:t>
      </w:r>
      <w:r w:rsidR="00C41841" w:rsidRPr="00A51861">
        <w:rPr>
          <w:rFonts w:ascii="Cambria" w:eastAsia="Cambria" w:hAnsi="Cambria" w:cs="Cambria"/>
          <w:color w:val="000000"/>
          <w:sz w:val="20"/>
          <w:szCs w:val="20"/>
          <w:u w:color="000000"/>
          <w:lang w:eastAsia="es-ES"/>
        </w:rPr>
        <w:t xml:space="preserve"> </w:t>
      </w:r>
      <w:r>
        <w:rPr>
          <w:rFonts w:ascii="Cambria" w:eastAsia="Cambria" w:hAnsi="Cambria" w:cs="Cambria"/>
          <w:color w:val="000000"/>
          <w:sz w:val="20"/>
          <w:szCs w:val="20"/>
          <w:u w:color="000000"/>
          <w:lang w:eastAsia="es-ES"/>
        </w:rPr>
        <w:t>shall perform on the domestic channels tried by the</w:t>
      </w:r>
      <w:r w:rsidR="00C41841" w:rsidRPr="00A51861">
        <w:rPr>
          <w:rFonts w:ascii="Cambria" w:eastAsia="Cambria" w:hAnsi="Cambria" w:cs="Cambria"/>
          <w:color w:val="000000"/>
          <w:sz w:val="20"/>
          <w:szCs w:val="20"/>
          <w:u w:color="000000"/>
          <w:lang w:eastAsia="es-ES"/>
        </w:rPr>
        <w:t xml:space="preserve"> </w:t>
      </w:r>
      <w:r w:rsidR="00B4073F">
        <w:rPr>
          <w:rFonts w:ascii="Cambria" w:eastAsia="Cambria" w:hAnsi="Cambria" w:cs="Cambria"/>
          <w:color w:val="000000"/>
          <w:sz w:val="20"/>
          <w:szCs w:val="20"/>
          <w:u w:color="000000"/>
          <w:lang w:eastAsia="es-ES"/>
        </w:rPr>
        <w:t>victim</w:t>
      </w:r>
      <w:r w:rsidR="00C41841" w:rsidRPr="00A51861">
        <w:rPr>
          <w:rFonts w:ascii="Cambria" w:eastAsia="Cambria" w:hAnsi="Cambria" w:cs="Cambria"/>
          <w:color w:val="000000"/>
          <w:sz w:val="20"/>
          <w:szCs w:val="20"/>
          <w:u w:color="000000"/>
          <w:lang w:eastAsia="es-ES"/>
        </w:rPr>
        <w:t>s</w:t>
      </w:r>
      <w:r w:rsidR="00E92985">
        <w:rPr>
          <w:rFonts w:ascii="Cambria" w:eastAsia="Cambria" w:hAnsi="Cambria" w:cs="Cambria"/>
          <w:color w:val="000000"/>
          <w:sz w:val="20"/>
          <w:szCs w:val="20"/>
          <w:u w:color="000000"/>
          <w:lang w:eastAsia="es-ES"/>
        </w:rPr>
        <w:t xml:space="preserve"> of </w:t>
      </w:r>
      <w:r w:rsidR="00E64C43">
        <w:rPr>
          <w:rFonts w:ascii="Cambria" w:eastAsia="Cambria" w:hAnsi="Cambria" w:cs="Cambria"/>
          <w:color w:val="000000"/>
          <w:sz w:val="20"/>
          <w:szCs w:val="20"/>
          <w:u w:color="000000"/>
          <w:lang w:eastAsia="es-ES"/>
        </w:rPr>
        <w:t>this case</w:t>
      </w:r>
      <w:r w:rsidR="00C41841" w:rsidRPr="00A51861">
        <w:rPr>
          <w:rFonts w:ascii="Cambria" w:eastAsia="Cambria" w:hAnsi="Cambria" w:cs="Cambria"/>
          <w:color w:val="000000"/>
          <w:sz w:val="20"/>
          <w:szCs w:val="20"/>
          <w:u w:color="000000"/>
          <w:lang w:eastAsia="es-ES"/>
        </w:rPr>
        <w:t xml:space="preserve"> </w:t>
      </w:r>
      <w:r>
        <w:rPr>
          <w:rFonts w:ascii="Cambria" w:eastAsia="Cambria" w:hAnsi="Cambria" w:cs="Cambria"/>
          <w:color w:val="000000"/>
          <w:sz w:val="20"/>
          <w:szCs w:val="20"/>
          <w:u w:color="000000"/>
          <w:lang w:eastAsia="es-ES"/>
        </w:rPr>
        <w:t>to</w:t>
      </w:r>
      <w:r w:rsidR="00C41841" w:rsidRPr="00A51861">
        <w:rPr>
          <w:rFonts w:ascii="Cambria" w:eastAsia="Cambria" w:hAnsi="Cambria" w:cs="Cambria"/>
          <w:color w:val="000000"/>
          <w:sz w:val="20"/>
          <w:szCs w:val="20"/>
          <w:u w:color="000000"/>
          <w:lang w:eastAsia="es-ES"/>
        </w:rPr>
        <w:t xml:space="preserve"> acce</w:t>
      </w:r>
      <w:r>
        <w:rPr>
          <w:rFonts w:ascii="Cambria" w:eastAsia="Cambria" w:hAnsi="Cambria" w:cs="Cambria"/>
          <w:color w:val="000000"/>
          <w:sz w:val="20"/>
          <w:szCs w:val="20"/>
          <w:u w:color="000000"/>
          <w:lang w:eastAsia="es-ES"/>
        </w:rPr>
        <w:t>ss</w:t>
      </w:r>
      <w:r w:rsidR="00C41841" w:rsidRPr="00A51861">
        <w:rPr>
          <w:rFonts w:ascii="Cambria" w:eastAsia="Cambria" w:hAnsi="Cambria" w:cs="Cambria"/>
          <w:color w:val="000000"/>
          <w:sz w:val="20"/>
          <w:szCs w:val="20"/>
          <w:u w:color="000000"/>
          <w:lang w:eastAsia="es-ES"/>
        </w:rPr>
        <w:t xml:space="preserve"> a </w:t>
      </w:r>
      <w:r w:rsidRPr="00A51861">
        <w:rPr>
          <w:rFonts w:ascii="Cambria" w:eastAsia="Cambria" w:hAnsi="Cambria" w:cs="Cambria"/>
          <w:color w:val="000000"/>
          <w:sz w:val="20"/>
          <w:szCs w:val="20"/>
          <w:u w:color="000000"/>
          <w:lang w:eastAsia="es-ES"/>
        </w:rPr>
        <w:t>reparation</w:t>
      </w:r>
      <w:r w:rsidR="00C41841" w:rsidRPr="00A51861">
        <w:rPr>
          <w:rFonts w:ascii="Cambria" w:eastAsia="Cambria" w:hAnsi="Cambria" w:cs="Cambria"/>
          <w:color w:val="000000"/>
          <w:sz w:val="20"/>
          <w:szCs w:val="20"/>
          <w:u w:color="000000"/>
          <w:lang w:eastAsia="es-ES"/>
        </w:rPr>
        <w:t xml:space="preserve"> </w:t>
      </w:r>
      <w:r>
        <w:rPr>
          <w:rFonts w:ascii="Cambria" w:eastAsia="Cambria" w:hAnsi="Cambria" w:cs="Cambria"/>
          <w:color w:val="000000"/>
          <w:sz w:val="20"/>
          <w:szCs w:val="20"/>
          <w:u w:color="000000"/>
          <w:lang w:eastAsia="es-ES"/>
        </w:rPr>
        <w:t>pursuant to the legislation in force at the time</w:t>
      </w:r>
      <w:r w:rsidR="00C41841" w:rsidRPr="00A51861">
        <w:rPr>
          <w:rFonts w:ascii="Cambria" w:eastAsia="Cambria" w:hAnsi="Cambria" w:cs="Cambria"/>
          <w:color w:val="000000"/>
          <w:sz w:val="20"/>
          <w:szCs w:val="20"/>
          <w:u w:color="000000"/>
          <w:lang w:eastAsia="es-ES"/>
        </w:rPr>
        <w:t xml:space="preserve">, </w:t>
      </w:r>
      <w:r>
        <w:rPr>
          <w:rFonts w:ascii="Cambria" w:eastAsia="Cambria" w:hAnsi="Cambria" w:cs="Cambria"/>
          <w:color w:val="000000"/>
          <w:sz w:val="20"/>
          <w:szCs w:val="20"/>
          <w:u w:color="000000"/>
          <w:lang w:eastAsia="es-ES"/>
        </w:rPr>
        <w:t>which</w:t>
      </w:r>
      <w:r w:rsidR="00C41841" w:rsidRPr="00A51861">
        <w:rPr>
          <w:rFonts w:ascii="Cambria" w:eastAsia="Cambria" w:hAnsi="Cambria" w:cs="Cambria"/>
          <w:color w:val="000000"/>
          <w:sz w:val="20"/>
          <w:szCs w:val="20"/>
          <w:u w:color="000000"/>
          <w:lang w:eastAsia="es-ES"/>
        </w:rPr>
        <w:t xml:space="preserve"> consiste</w:t>
      </w:r>
      <w:r>
        <w:rPr>
          <w:rFonts w:ascii="Cambria" w:eastAsia="Cambria" w:hAnsi="Cambria" w:cs="Cambria"/>
          <w:color w:val="000000"/>
          <w:sz w:val="20"/>
          <w:szCs w:val="20"/>
          <w:u w:color="000000"/>
          <w:lang w:eastAsia="es-ES"/>
        </w:rPr>
        <w:t xml:space="preserve">d of </w:t>
      </w:r>
      <w:r w:rsidR="009A4F91">
        <w:rPr>
          <w:rFonts w:ascii="Cambria" w:eastAsia="Cambria" w:hAnsi="Cambria" w:cs="Cambria"/>
          <w:color w:val="000000"/>
          <w:sz w:val="20"/>
          <w:szCs w:val="20"/>
          <w:u w:color="000000"/>
          <w:lang w:eastAsia="es-ES"/>
        </w:rPr>
        <w:t xml:space="preserve">the </w:t>
      </w:r>
      <w:r>
        <w:rPr>
          <w:rFonts w:ascii="Cambria" w:eastAsia="Cambria" w:hAnsi="Cambria" w:cs="Cambria"/>
          <w:color w:val="000000"/>
          <w:sz w:val="20"/>
          <w:szCs w:val="20"/>
          <w:u w:color="000000"/>
          <w:lang w:eastAsia="es-ES"/>
        </w:rPr>
        <w:t>request</w:t>
      </w:r>
      <w:r w:rsidR="00E92985">
        <w:rPr>
          <w:rFonts w:ascii="Cambria" w:eastAsia="Cambria" w:hAnsi="Cambria" w:cs="Cambria"/>
          <w:color w:val="000000"/>
          <w:sz w:val="20"/>
          <w:szCs w:val="20"/>
          <w:u w:color="000000"/>
          <w:lang w:eastAsia="es-ES"/>
        </w:rPr>
        <w:t xml:space="preserve"> of </w:t>
      </w:r>
      <w:r w:rsidRPr="00A51861">
        <w:rPr>
          <w:rFonts w:ascii="Cambria" w:eastAsia="Cambria" w:hAnsi="Cambria" w:cs="Cambria"/>
          <w:color w:val="000000"/>
          <w:sz w:val="20"/>
          <w:szCs w:val="20"/>
          <w:u w:color="000000"/>
          <w:lang w:eastAsia="es-ES"/>
        </w:rPr>
        <w:t>application</w:t>
      </w:r>
      <w:r w:rsidR="00E92985">
        <w:rPr>
          <w:rFonts w:ascii="Cambria" w:eastAsia="Cambria" w:hAnsi="Cambria" w:cs="Cambria"/>
          <w:color w:val="000000"/>
          <w:sz w:val="20"/>
          <w:szCs w:val="20"/>
          <w:u w:color="000000"/>
          <w:lang w:eastAsia="es-ES"/>
        </w:rPr>
        <w:t xml:space="preserve"> of </w:t>
      </w:r>
      <w:r w:rsidR="002835FC" w:rsidRPr="00A51861">
        <w:rPr>
          <w:rFonts w:ascii="Cambria" w:eastAsia="Cambria" w:hAnsi="Cambria" w:cs="Cambria"/>
          <w:color w:val="000000"/>
          <w:sz w:val="20"/>
          <w:szCs w:val="20"/>
          <w:u w:color="000000"/>
          <w:lang w:eastAsia="es-ES"/>
        </w:rPr>
        <w:t xml:space="preserve">Law </w:t>
      </w:r>
      <w:r w:rsidR="00C41841" w:rsidRPr="00A51861">
        <w:rPr>
          <w:rFonts w:ascii="Cambria" w:eastAsia="Cambria" w:hAnsi="Cambria" w:cs="Cambria"/>
          <w:color w:val="000000"/>
          <w:sz w:val="20"/>
          <w:szCs w:val="20"/>
          <w:u w:color="000000"/>
          <w:lang w:eastAsia="es-ES"/>
        </w:rPr>
        <w:t xml:space="preserve">24.043 </w:t>
      </w:r>
      <w:r>
        <w:rPr>
          <w:rFonts w:ascii="Cambria" w:eastAsia="Cambria" w:hAnsi="Cambria" w:cs="Cambria"/>
          <w:color w:val="000000"/>
          <w:sz w:val="20"/>
          <w:szCs w:val="20"/>
          <w:u w:color="000000"/>
          <w:lang w:eastAsia="es-ES"/>
        </w:rPr>
        <w:t>and</w:t>
      </w:r>
      <w:r w:rsidR="00C41841" w:rsidRPr="00A51861">
        <w:rPr>
          <w:rFonts w:ascii="Cambria" w:eastAsia="Cambria" w:hAnsi="Cambria" w:cs="Cambria"/>
          <w:color w:val="000000"/>
          <w:sz w:val="20"/>
          <w:szCs w:val="20"/>
          <w:u w:color="000000"/>
          <w:lang w:eastAsia="es-ES"/>
        </w:rPr>
        <w:t xml:space="preserve">, </w:t>
      </w:r>
      <w:r>
        <w:rPr>
          <w:rFonts w:ascii="Cambria" w:eastAsia="Cambria" w:hAnsi="Cambria" w:cs="Cambria"/>
          <w:color w:val="000000"/>
          <w:sz w:val="20"/>
          <w:szCs w:val="20"/>
          <w:u w:color="000000"/>
          <w:lang w:eastAsia="es-ES"/>
        </w:rPr>
        <w:t>in subsidy</w:t>
      </w:r>
      <w:r w:rsidR="00C41841" w:rsidRPr="00A51861">
        <w:rPr>
          <w:rFonts w:ascii="Cambria" w:eastAsia="Cambria" w:hAnsi="Cambria" w:cs="Cambria"/>
          <w:color w:val="000000"/>
          <w:sz w:val="20"/>
          <w:szCs w:val="20"/>
          <w:u w:color="000000"/>
          <w:lang w:eastAsia="es-ES"/>
        </w:rPr>
        <w:t>,</w:t>
      </w:r>
      <w:r w:rsidR="009A4F91">
        <w:rPr>
          <w:rFonts w:ascii="Cambria" w:eastAsia="Cambria" w:hAnsi="Cambria" w:cs="Cambria"/>
          <w:color w:val="000000"/>
          <w:sz w:val="20"/>
          <w:szCs w:val="20"/>
          <w:u w:color="000000"/>
          <w:lang w:eastAsia="es-ES"/>
        </w:rPr>
        <w:t xml:space="preserve"> the </w:t>
      </w:r>
      <w:r>
        <w:rPr>
          <w:rFonts w:ascii="Cambria" w:eastAsia="Cambria" w:hAnsi="Cambria" w:cs="Cambria"/>
          <w:color w:val="000000"/>
          <w:sz w:val="20"/>
          <w:szCs w:val="20"/>
          <w:u w:color="000000"/>
          <w:lang w:eastAsia="es-ES"/>
        </w:rPr>
        <w:t>claim for damages</w:t>
      </w:r>
      <w:r w:rsidR="00C41841" w:rsidRPr="00A51861">
        <w:rPr>
          <w:rFonts w:ascii="Cambria" w:eastAsia="Cambria" w:hAnsi="Cambria" w:cs="Cambria"/>
          <w:color w:val="000000"/>
          <w:sz w:val="20"/>
          <w:szCs w:val="20"/>
          <w:u w:color="000000"/>
          <w:lang w:eastAsia="es-ES"/>
        </w:rPr>
        <w:t>.</w:t>
      </w:r>
    </w:p>
    <w:p w14:paraId="4E086B5C" w14:textId="77777777" w:rsidR="002F0508" w:rsidRPr="00A51861" w:rsidRDefault="002F0508" w:rsidP="008E4D36">
      <w:pPr>
        <w:pStyle w:val="ListParagraph"/>
        <w:rPr>
          <w:sz w:val="20"/>
          <w:szCs w:val="20"/>
        </w:rPr>
      </w:pPr>
    </w:p>
    <w:p w14:paraId="340B7BF8" w14:textId="2F4174D3" w:rsidR="002F0508" w:rsidRPr="00A51861" w:rsidRDefault="00963146"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bdr w:val="none" w:sz="0" w:space="0" w:color="auto"/>
        </w:rPr>
      </w:pPr>
      <w:r>
        <w:rPr>
          <w:rFonts w:ascii="Cambria" w:hAnsi="Cambria"/>
          <w:sz w:val="20"/>
          <w:szCs w:val="20"/>
          <w:bdr w:val="none" w:sz="0" w:space="0" w:color="auto"/>
        </w:rPr>
        <w:t>This way</w:t>
      </w:r>
      <w:r w:rsidR="002F0508" w:rsidRPr="00A51861">
        <w:rPr>
          <w:rFonts w:ascii="Cambria" w:hAnsi="Cambria"/>
          <w:sz w:val="20"/>
          <w:szCs w:val="20"/>
          <w:bdr w:val="none" w:sz="0" w:space="0" w:color="auto"/>
        </w:rPr>
        <w:t xml:space="preserve">, </w:t>
      </w:r>
      <w:r w:rsidR="00B74DB5">
        <w:rPr>
          <w:rFonts w:ascii="Cambria" w:hAnsi="Cambria"/>
          <w:sz w:val="20"/>
          <w:szCs w:val="20"/>
          <w:bdr w:val="none" w:sz="0" w:space="0" w:color="auto"/>
        </w:rPr>
        <w:t xml:space="preserve">in regard to </w:t>
      </w:r>
      <w:r>
        <w:rPr>
          <w:rFonts w:ascii="Cambria" w:hAnsi="Cambria"/>
          <w:sz w:val="20"/>
          <w:szCs w:val="20"/>
          <w:bdr w:val="none" w:sz="0" w:space="0" w:color="auto"/>
        </w:rPr>
        <w:t>the allegations from</w:t>
      </w:r>
      <w:r w:rsidR="00F92BA8">
        <w:rPr>
          <w:rFonts w:ascii="Cambria" w:hAnsi="Cambria"/>
          <w:sz w:val="20"/>
          <w:szCs w:val="20"/>
          <w:bdr w:val="none" w:sz="0" w:space="0" w:color="auto"/>
        </w:rPr>
        <w:t xml:space="preserve"> the Argentine State</w:t>
      </w:r>
      <w:r w:rsidR="002F0508" w:rsidRPr="00A51861">
        <w:rPr>
          <w:rFonts w:ascii="Cambria" w:hAnsi="Cambria"/>
          <w:sz w:val="20"/>
          <w:szCs w:val="20"/>
          <w:bdr w:val="none" w:sz="0" w:space="0" w:color="auto"/>
        </w:rPr>
        <w:t xml:space="preserve"> </w:t>
      </w:r>
      <w:r>
        <w:rPr>
          <w:rFonts w:ascii="Cambria" w:hAnsi="Cambria"/>
          <w:sz w:val="20"/>
          <w:szCs w:val="20"/>
          <w:bdr w:val="none" w:sz="0" w:space="0" w:color="auto"/>
        </w:rPr>
        <w:t>on</w:t>
      </w:r>
      <w:r w:rsidR="009A4F91">
        <w:rPr>
          <w:rFonts w:ascii="Cambria" w:hAnsi="Cambria"/>
          <w:sz w:val="20"/>
          <w:szCs w:val="20"/>
          <w:bdr w:val="none" w:sz="0" w:space="0" w:color="auto"/>
        </w:rPr>
        <w:t xml:space="preserve"> the </w:t>
      </w:r>
      <w:r w:rsidR="006273A5">
        <w:rPr>
          <w:rFonts w:ascii="Cambria" w:hAnsi="Cambria"/>
          <w:sz w:val="20"/>
          <w:szCs w:val="20"/>
          <w:bdr w:val="none" w:sz="0" w:space="0" w:color="auto"/>
        </w:rPr>
        <w:t>existence</w:t>
      </w:r>
      <w:r w:rsidR="00E92985">
        <w:rPr>
          <w:rFonts w:ascii="Cambria" w:hAnsi="Cambria"/>
          <w:sz w:val="20"/>
          <w:szCs w:val="20"/>
          <w:bdr w:val="none" w:sz="0" w:space="0" w:color="auto"/>
        </w:rPr>
        <w:t xml:space="preserve"> of </w:t>
      </w:r>
      <w:r w:rsidR="002835FC" w:rsidRPr="00A51861">
        <w:rPr>
          <w:rFonts w:ascii="Cambria" w:hAnsi="Cambria"/>
          <w:sz w:val="20"/>
          <w:szCs w:val="20"/>
          <w:bdr w:val="none" w:sz="0" w:space="0" w:color="auto"/>
        </w:rPr>
        <w:t xml:space="preserve">Law </w:t>
      </w:r>
      <w:r w:rsidR="002F0508" w:rsidRPr="00A51861">
        <w:rPr>
          <w:rFonts w:ascii="Cambria" w:hAnsi="Cambria"/>
          <w:sz w:val="20"/>
          <w:szCs w:val="20"/>
          <w:bdr w:val="none" w:sz="0" w:space="0" w:color="auto"/>
        </w:rPr>
        <w:t xml:space="preserve">26.564 </w:t>
      </w:r>
      <w:r>
        <w:rPr>
          <w:rFonts w:ascii="Cambria" w:hAnsi="Cambria"/>
          <w:sz w:val="20"/>
          <w:szCs w:val="20"/>
          <w:bdr w:val="none" w:sz="0" w:space="0" w:color="auto"/>
        </w:rPr>
        <w:t>issued in</w:t>
      </w:r>
      <w:r w:rsidR="002F0508" w:rsidRPr="00A51861">
        <w:rPr>
          <w:rFonts w:ascii="Cambria" w:hAnsi="Cambria"/>
          <w:sz w:val="20"/>
          <w:szCs w:val="20"/>
          <w:bdr w:val="none" w:sz="0" w:space="0" w:color="auto"/>
        </w:rPr>
        <w:t xml:space="preserve"> 2009</w:t>
      </w:r>
      <w:r w:rsidR="00E92985">
        <w:rPr>
          <w:rFonts w:ascii="Cambria" w:hAnsi="Cambria"/>
          <w:sz w:val="20"/>
          <w:szCs w:val="20"/>
          <w:bdr w:val="none" w:sz="0" w:space="0" w:color="auto"/>
        </w:rPr>
        <w:t xml:space="preserve"> and</w:t>
      </w:r>
      <w:r w:rsidR="009A4F91">
        <w:rPr>
          <w:rFonts w:ascii="Cambria" w:hAnsi="Cambria"/>
          <w:sz w:val="20"/>
          <w:szCs w:val="20"/>
          <w:bdr w:val="none" w:sz="0" w:space="0" w:color="auto"/>
        </w:rPr>
        <w:t xml:space="preserve"> the </w:t>
      </w:r>
      <w:r w:rsidRPr="00A51861">
        <w:rPr>
          <w:rFonts w:ascii="Cambria" w:hAnsi="Cambria"/>
          <w:sz w:val="20"/>
          <w:szCs w:val="20"/>
          <w:bdr w:val="none" w:sz="0" w:space="0" w:color="auto"/>
        </w:rPr>
        <w:t>necess</w:t>
      </w:r>
      <w:r>
        <w:rPr>
          <w:rFonts w:ascii="Cambria" w:hAnsi="Cambria"/>
          <w:sz w:val="20"/>
          <w:szCs w:val="20"/>
          <w:bdr w:val="none" w:sz="0" w:space="0" w:color="auto"/>
        </w:rPr>
        <w:t>ity</w:t>
      </w:r>
      <w:r w:rsidR="00FA2E7B">
        <w:rPr>
          <w:rFonts w:ascii="Cambria" w:hAnsi="Cambria"/>
          <w:sz w:val="20"/>
          <w:szCs w:val="20"/>
          <w:bdr w:val="none" w:sz="0" w:space="0" w:color="auto"/>
        </w:rPr>
        <w:t xml:space="preserve"> </w:t>
      </w:r>
      <w:r w:rsidR="00E92985">
        <w:rPr>
          <w:rFonts w:ascii="Cambria" w:hAnsi="Cambria"/>
          <w:sz w:val="20"/>
          <w:szCs w:val="20"/>
          <w:bdr w:val="none" w:sz="0" w:space="0" w:color="auto"/>
        </w:rPr>
        <w:t xml:space="preserve">that the </w:t>
      </w:r>
      <w:r w:rsidR="00A274B7">
        <w:rPr>
          <w:rFonts w:ascii="Cambria" w:hAnsi="Cambria"/>
          <w:sz w:val="20"/>
          <w:szCs w:val="20"/>
          <w:bdr w:val="none" w:sz="0" w:space="0" w:color="auto"/>
        </w:rPr>
        <w:t xml:space="preserve">petitioner </w:t>
      </w:r>
      <w:r>
        <w:rPr>
          <w:rFonts w:ascii="Cambria" w:hAnsi="Cambria"/>
          <w:sz w:val="20"/>
          <w:szCs w:val="20"/>
          <w:bdr w:val="none" w:sz="0" w:space="0" w:color="auto"/>
        </w:rPr>
        <w:t>exhaust said remedy</w:t>
      </w:r>
      <w:r w:rsidR="002F0508" w:rsidRPr="00A51861">
        <w:rPr>
          <w:rFonts w:ascii="Cambria" w:hAnsi="Cambria"/>
          <w:sz w:val="20"/>
          <w:szCs w:val="20"/>
          <w:bdr w:val="none" w:sz="0" w:space="0" w:color="auto"/>
        </w:rPr>
        <w:t xml:space="preserve"> </w:t>
      </w:r>
      <w:r>
        <w:rPr>
          <w:rFonts w:ascii="Cambria" w:hAnsi="Cambria"/>
          <w:sz w:val="20"/>
          <w:szCs w:val="20"/>
          <w:bdr w:val="none" w:sz="0" w:space="0" w:color="auto"/>
        </w:rPr>
        <w:t>before assessing a study on the merits of the case</w:t>
      </w:r>
      <w:r w:rsidR="002F0508" w:rsidRPr="00A51861">
        <w:rPr>
          <w:rFonts w:ascii="Cambria" w:hAnsi="Cambria"/>
          <w:sz w:val="20"/>
          <w:szCs w:val="20"/>
          <w:bdr w:val="none" w:sz="0" w:space="0" w:color="auto"/>
        </w:rPr>
        <w:t xml:space="preserve">, </w:t>
      </w:r>
      <w:r w:rsidR="00A51861" w:rsidRPr="00A51861">
        <w:rPr>
          <w:rFonts w:ascii="Cambria" w:hAnsi="Cambria"/>
          <w:sz w:val="20"/>
          <w:szCs w:val="20"/>
          <w:bdr w:val="none" w:sz="0" w:space="0" w:color="auto"/>
        </w:rPr>
        <w:t>the IACHR</w:t>
      </w:r>
      <w:r w:rsidR="00E92985">
        <w:rPr>
          <w:rFonts w:ascii="Cambria" w:hAnsi="Cambria"/>
          <w:sz w:val="20"/>
          <w:szCs w:val="20"/>
          <w:bdr w:val="none" w:sz="0" w:space="0" w:color="auto"/>
        </w:rPr>
        <w:t xml:space="preserve"> </w:t>
      </w:r>
      <w:r w:rsidR="00317A3E">
        <w:rPr>
          <w:rFonts w:ascii="Cambria" w:hAnsi="Cambria"/>
          <w:sz w:val="20"/>
          <w:szCs w:val="20"/>
          <w:bdr w:val="none" w:sz="0" w:space="0" w:color="auto"/>
        </w:rPr>
        <w:t xml:space="preserve">must hold </w:t>
      </w:r>
      <w:r w:rsidR="00E92985">
        <w:rPr>
          <w:rFonts w:ascii="Cambria" w:hAnsi="Cambria"/>
          <w:sz w:val="20"/>
          <w:szCs w:val="20"/>
          <w:bdr w:val="none" w:sz="0" w:space="0" w:color="auto"/>
        </w:rPr>
        <w:t xml:space="preserve">that the </w:t>
      </w:r>
      <w:r w:rsidR="00317A3E">
        <w:rPr>
          <w:rFonts w:ascii="Cambria" w:hAnsi="Cambria"/>
          <w:sz w:val="20"/>
          <w:szCs w:val="20"/>
          <w:bdr w:val="none" w:sz="0" w:space="0" w:color="auto"/>
        </w:rPr>
        <w:t>subject to address on this report</w:t>
      </w:r>
      <w:r w:rsidR="00D70A85">
        <w:rPr>
          <w:rFonts w:ascii="Cambria" w:hAnsi="Cambria"/>
          <w:sz w:val="20"/>
          <w:szCs w:val="20"/>
          <w:bdr w:val="none" w:sz="0" w:space="0" w:color="auto"/>
        </w:rPr>
        <w:t xml:space="preserve"> is </w:t>
      </w:r>
      <w:r w:rsidR="00317A3E">
        <w:rPr>
          <w:rFonts w:ascii="Cambria" w:hAnsi="Cambria"/>
          <w:sz w:val="20"/>
          <w:szCs w:val="20"/>
          <w:bdr w:val="none" w:sz="0" w:space="0" w:color="auto"/>
        </w:rPr>
        <w:t>whether or not a</w:t>
      </w:r>
      <w:r w:rsidR="002F0508" w:rsidRPr="00A51861">
        <w:rPr>
          <w:rFonts w:ascii="Cambria" w:hAnsi="Cambria"/>
          <w:sz w:val="20"/>
          <w:szCs w:val="20"/>
          <w:bdr w:val="none" w:sz="0" w:space="0" w:color="auto"/>
        </w:rPr>
        <w:t xml:space="preserve"> </w:t>
      </w:r>
      <w:r w:rsidR="004E1083">
        <w:rPr>
          <w:rFonts w:ascii="Cambria" w:hAnsi="Cambria"/>
          <w:sz w:val="20"/>
          <w:szCs w:val="20"/>
          <w:bdr w:val="none" w:sz="0" w:space="0" w:color="auto"/>
        </w:rPr>
        <w:t>violation</w:t>
      </w:r>
      <w:r w:rsidR="002F0508" w:rsidRPr="00A51861">
        <w:rPr>
          <w:rFonts w:ascii="Cambria" w:hAnsi="Cambria"/>
          <w:sz w:val="20"/>
          <w:szCs w:val="20"/>
          <w:bdr w:val="none" w:sz="0" w:space="0" w:color="auto"/>
        </w:rPr>
        <w:t xml:space="preserve"> </w:t>
      </w:r>
      <w:r w:rsidR="00317A3E">
        <w:rPr>
          <w:rFonts w:ascii="Cambria" w:hAnsi="Cambria"/>
          <w:sz w:val="20"/>
          <w:szCs w:val="20"/>
          <w:bdr w:val="none" w:sz="0" w:space="0" w:color="auto"/>
        </w:rPr>
        <w:t>to the rights</w:t>
      </w:r>
      <w:r w:rsidR="002F0508" w:rsidRPr="00A51861">
        <w:rPr>
          <w:rFonts w:ascii="Cambria" w:hAnsi="Cambria"/>
          <w:sz w:val="20"/>
          <w:szCs w:val="20"/>
          <w:bdr w:val="none" w:sz="0" w:space="0" w:color="auto"/>
        </w:rPr>
        <w:t xml:space="preserve"> contempla</w:t>
      </w:r>
      <w:r w:rsidR="00317A3E">
        <w:rPr>
          <w:rFonts w:ascii="Cambria" w:hAnsi="Cambria"/>
          <w:sz w:val="20"/>
          <w:szCs w:val="20"/>
          <w:bdr w:val="none" w:sz="0" w:space="0" w:color="auto"/>
        </w:rPr>
        <w:t>ted i</w:t>
      </w:r>
      <w:r w:rsidR="002F0508" w:rsidRPr="00A51861">
        <w:rPr>
          <w:rFonts w:ascii="Cambria" w:hAnsi="Cambria"/>
          <w:sz w:val="20"/>
          <w:szCs w:val="20"/>
          <w:bdr w:val="none" w:sz="0" w:space="0" w:color="auto"/>
        </w:rPr>
        <w:t>n</w:t>
      </w:r>
      <w:r w:rsidR="009A4F91">
        <w:rPr>
          <w:rFonts w:ascii="Cambria" w:hAnsi="Cambria"/>
          <w:sz w:val="20"/>
          <w:szCs w:val="20"/>
          <w:bdr w:val="none" w:sz="0" w:space="0" w:color="auto"/>
        </w:rPr>
        <w:t xml:space="preserve"> the </w:t>
      </w:r>
      <w:r w:rsidR="00CB4E23">
        <w:rPr>
          <w:rFonts w:ascii="Cambria" w:hAnsi="Cambria"/>
          <w:sz w:val="20"/>
          <w:szCs w:val="20"/>
          <w:bdr w:val="none" w:sz="0" w:space="0" w:color="auto"/>
        </w:rPr>
        <w:t>Convention</w:t>
      </w:r>
      <w:r w:rsidR="002F0508" w:rsidRPr="00A51861">
        <w:rPr>
          <w:rFonts w:ascii="Cambria" w:hAnsi="Cambria"/>
          <w:sz w:val="20"/>
          <w:szCs w:val="20"/>
          <w:bdr w:val="none" w:sz="0" w:space="0" w:color="auto"/>
        </w:rPr>
        <w:t xml:space="preserve"> </w:t>
      </w:r>
      <w:r w:rsidR="00317A3E">
        <w:rPr>
          <w:rFonts w:ascii="Cambria" w:hAnsi="Cambria"/>
          <w:sz w:val="20"/>
          <w:szCs w:val="20"/>
          <w:bdr w:val="none" w:sz="0" w:space="0" w:color="auto"/>
        </w:rPr>
        <w:t>took place within the remedies employed by</w:t>
      </w:r>
      <w:r w:rsidR="002F0508" w:rsidRPr="00A51861">
        <w:rPr>
          <w:rFonts w:ascii="Cambria" w:hAnsi="Cambria"/>
          <w:sz w:val="20"/>
          <w:szCs w:val="20"/>
          <w:bdr w:val="none" w:sz="0" w:space="0" w:color="auto"/>
        </w:rPr>
        <w:t xml:space="preserve"> </w:t>
      </w:r>
      <w:r w:rsidR="002835FC" w:rsidRPr="00A51861">
        <w:rPr>
          <w:rFonts w:ascii="Cambria" w:hAnsi="Cambria"/>
          <w:sz w:val="20"/>
          <w:szCs w:val="20"/>
          <w:bdr w:val="none" w:sz="0" w:space="0" w:color="auto"/>
        </w:rPr>
        <w:t xml:space="preserve">the alleged victims </w:t>
      </w:r>
      <w:r w:rsidR="00317A3E">
        <w:rPr>
          <w:rFonts w:ascii="Cambria" w:hAnsi="Cambria"/>
          <w:sz w:val="20"/>
          <w:szCs w:val="20"/>
          <w:bdr w:val="none" w:sz="0" w:space="0" w:color="auto"/>
        </w:rPr>
        <w:t>which were those valid at the time</w:t>
      </w:r>
      <w:r w:rsidR="002F0508" w:rsidRPr="00A51861">
        <w:rPr>
          <w:rFonts w:ascii="Cambria" w:hAnsi="Cambria"/>
          <w:sz w:val="20"/>
          <w:szCs w:val="20"/>
          <w:bdr w:val="none" w:sz="0" w:space="0" w:color="auto"/>
        </w:rPr>
        <w:t xml:space="preserve"> </w:t>
      </w:r>
      <w:r w:rsidR="00E92985">
        <w:rPr>
          <w:rFonts w:ascii="Cambria" w:hAnsi="Cambria"/>
          <w:sz w:val="20"/>
          <w:szCs w:val="20"/>
          <w:bdr w:val="none" w:sz="0" w:space="0" w:color="auto"/>
        </w:rPr>
        <w:t xml:space="preserve">of </w:t>
      </w:r>
      <w:r w:rsidR="00317A3E">
        <w:rPr>
          <w:rFonts w:ascii="Cambria" w:hAnsi="Cambria"/>
          <w:sz w:val="20"/>
          <w:szCs w:val="20"/>
          <w:bdr w:val="none" w:sz="0" w:space="0" w:color="auto"/>
        </w:rPr>
        <w:t>filing</w:t>
      </w:r>
      <w:r w:rsidR="00E92985">
        <w:rPr>
          <w:rFonts w:ascii="Cambria" w:hAnsi="Cambria"/>
          <w:sz w:val="20"/>
          <w:szCs w:val="20"/>
          <w:bdr w:val="none" w:sz="0" w:space="0" w:color="auto"/>
        </w:rPr>
        <w:t xml:space="preserve"> of the </w:t>
      </w:r>
      <w:r w:rsidR="00AA5556">
        <w:rPr>
          <w:rFonts w:ascii="Cambria" w:hAnsi="Cambria"/>
          <w:sz w:val="20"/>
          <w:szCs w:val="20"/>
          <w:bdr w:val="none" w:sz="0" w:space="0" w:color="auto"/>
        </w:rPr>
        <w:t>petition</w:t>
      </w:r>
      <w:r w:rsidR="001D1D61">
        <w:rPr>
          <w:rFonts w:ascii="Cambria" w:hAnsi="Cambria"/>
          <w:sz w:val="20"/>
          <w:szCs w:val="20"/>
          <w:bdr w:val="none" w:sz="0" w:space="0" w:color="auto"/>
        </w:rPr>
        <w:t>. Th</w:t>
      </w:r>
      <w:r w:rsidR="00E92985">
        <w:rPr>
          <w:rFonts w:ascii="Cambria" w:hAnsi="Cambria"/>
          <w:sz w:val="20"/>
          <w:szCs w:val="20"/>
          <w:bdr w:val="none" w:sz="0" w:space="0" w:color="auto"/>
        </w:rPr>
        <w:t>e Commission</w:t>
      </w:r>
      <w:r w:rsidR="00317A3E">
        <w:rPr>
          <w:rFonts w:ascii="Cambria" w:hAnsi="Cambria"/>
          <w:sz w:val="20"/>
          <w:szCs w:val="20"/>
          <w:bdr w:val="none" w:sz="0" w:space="0" w:color="auto"/>
        </w:rPr>
        <w:t xml:space="preserve"> recognizes the efforts</w:t>
      </w:r>
      <w:r w:rsidR="00E92985">
        <w:rPr>
          <w:rFonts w:ascii="Cambria" w:hAnsi="Cambria"/>
          <w:sz w:val="20"/>
          <w:szCs w:val="20"/>
          <w:bdr w:val="none" w:sz="0" w:space="0" w:color="auto"/>
        </w:rPr>
        <w:t xml:space="preserve"> of </w:t>
      </w:r>
      <w:r w:rsidR="002F0508" w:rsidRPr="00A51861">
        <w:rPr>
          <w:rFonts w:ascii="Cambria" w:hAnsi="Cambria"/>
          <w:sz w:val="20"/>
          <w:szCs w:val="20"/>
          <w:bdr w:val="none" w:sz="0" w:space="0" w:color="auto"/>
        </w:rPr>
        <w:t xml:space="preserve">Argentina </w:t>
      </w:r>
      <w:r w:rsidR="00317A3E">
        <w:rPr>
          <w:rFonts w:ascii="Cambria" w:hAnsi="Cambria"/>
          <w:sz w:val="20"/>
          <w:szCs w:val="20"/>
          <w:bdr w:val="none" w:sz="0" w:space="0" w:color="auto"/>
        </w:rPr>
        <w:t xml:space="preserve">for establishing a legal regime of measures </w:t>
      </w:r>
      <w:r w:rsidR="00E92985">
        <w:rPr>
          <w:rFonts w:ascii="Cambria" w:hAnsi="Cambria"/>
          <w:sz w:val="20"/>
          <w:szCs w:val="20"/>
          <w:bdr w:val="none" w:sz="0" w:space="0" w:color="auto"/>
        </w:rPr>
        <w:t xml:space="preserve">of </w:t>
      </w:r>
      <w:r w:rsidR="00317A3E" w:rsidRPr="00A51861">
        <w:rPr>
          <w:rFonts w:ascii="Cambria" w:hAnsi="Cambria"/>
          <w:sz w:val="20"/>
          <w:szCs w:val="20"/>
          <w:bdr w:val="none" w:sz="0" w:space="0" w:color="auto"/>
        </w:rPr>
        <w:t>reparation</w:t>
      </w:r>
      <w:r w:rsidR="00E92985">
        <w:rPr>
          <w:rFonts w:ascii="Cambria" w:hAnsi="Cambria"/>
          <w:sz w:val="20"/>
          <w:szCs w:val="20"/>
          <w:bdr w:val="none" w:sz="0" w:space="0" w:color="auto"/>
        </w:rPr>
        <w:t xml:space="preserve"> </w:t>
      </w:r>
      <w:r w:rsidR="00317A3E">
        <w:rPr>
          <w:rFonts w:ascii="Cambria" w:hAnsi="Cambria"/>
          <w:sz w:val="20"/>
          <w:szCs w:val="20"/>
          <w:bdr w:val="none" w:sz="0" w:space="0" w:color="auto"/>
        </w:rPr>
        <w:t>for the</w:t>
      </w:r>
      <w:r w:rsidR="002F0508" w:rsidRPr="00A51861">
        <w:rPr>
          <w:rFonts w:ascii="Cambria" w:hAnsi="Cambria"/>
          <w:sz w:val="20"/>
          <w:szCs w:val="20"/>
          <w:bdr w:val="none" w:sz="0" w:space="0" w:color="auto"/>
        </w:rPr>
        <w:t xml:space="preserve"> </w:t>
      </w:r>
      <w:r w:rsidR="00B4073F">
        <w:rPr>
          <w:rFonts w:ascii="Cambria" w:hAnsi="Cambria"/>
          <w:sz w:val="20"/>
          <w:szCs w:val="20"/>
          <w:bdr w:val="none" w:sz="0" w:space="0" w:color="auto"/>
        </w:rPr>
        <w:t>victim</w:t>
      </w:r>
      <w:r w:rsidR="002F0508" w:rsidRPr="00A51861">
        <w:rPr>
          <w:rFonts w:ascii="Cambria" w:hAnsi="Cambria"/>
          <w:sz w:val="20"/>
          <w:szCs w:val="20"/>
          <w:bdr w:val="none" w:sz="0" w:space="0" w:color="auto"/>
        </w:rPr>
        <w:t>s</w:t>
      </w:r>
      <w:r w:rsidR="00E92985">
        <w:rPr>
          <w:rFonts w:ascii="Cambria" w:hAnsi="Cambria"/>
          <w:sz w:val="20"/>
          <w:szCs w:val="20"/>
          <w:bdr w:val="none" w:sz="0" w:space="0" w:color="auto"/>
        </w:rPr>
        <w:t xml:space="preserve"> of the </w:t>
      </w:r>
      <w:r w:rsidR="002F0508" w:rsidRPr="00A51861">
        <w:rPr>
          <w:rFonts w:ascii="Cambria" w:hAnsi="Cambria"/>
          <w:sz w:val="20"/>
          <w:szCs w:val="20"/>
          <w:bdr w:val="none" w:sz="0" w:space="0" w:color="auto"/>
        </w:rPr>
        <w:t>dicta</w:t>
      </w:r>
      <w:r w:rsidR="00317A3E">
        <w:rPr>
          <w:rFonts w:ascii="Cambria" w:hAnsi="Cambria"/>
          <w:sz w:val="20"/>
          <w:szCs w:val="20"/>
          <w:bdr w:val="none" w:sz="0" w:space="0" w:color="auto"/>
        </w:rPr>
        <w:t>torship</w:t>
      </w:r>
      <w:r w:rsidR="00E92985">
        <w:rPr>
          <w:rFonts w:ascii="Cambria" w:hAnsi="Cambria"/>
          <w:sz w:val="20"/>
          <w:szCs w:val="20"/>
          <w:bdr w:val="none" w:sz="0" w:space="0" w:color="auto"/>
        </w:rPr>
        <w:t xml:space="preserve"> and </w:t>
      </w:r>
      <w:r w:rsidR="00317A3E">
        <w:rPr>
          <w:rFonts w:ascii="Cambria" w:hAnsi="Cambria"/>
          <w:sz w:val="20"/>
          <w:szCs w:val="20"/>
          <w:bdr w:val="none" w:sz="0" w:space="0" w:color="auto"/>
        </w:rPr>
        <w:t>how</w:t>
      </w:r>
      <w:r w:rsidR="00E64C43">
        <w:rPr>
          <w:rFonts w:ascii="Cambria" w:hAnsi="Cambria"/>
          <w:sz w:val="20"/>
          <w:szCs w:val="20"/>
          <w:bdr w:val="none" w:sz="0" w:space="0" w:color="auto"/>
        </w:rPr>
        <w:t xml:space="preserve"> this </w:t>
      </w:r>
      <w:r w:rsidR="002F0508" w:rsidRPr="00A51861">
        <w:rPr>
          <w:rFonts w:ascii="Cambria" w:hAnsi="Cambria"/>
          <w:sz w:val="20"/>
          <w:szCs w:val="20"/>
          <w:bdr w:val="none" w:sz="0" w:space="0" w:color="auto"/>
        </w:rPr>
        <w:t>pol</w:t>
      </w:r>
      <w:r w:rsidR="00317A3E">
        <w:rPr>
          <w:rFonts w:ascii="Cambria" w:hAnsi="Cambria"/>
          <w:sz w:val="20"/>
          <w:szCs w:val="20"/>
          <w:bdr w:val="none" w:sz="0" w:space="0" w:color="auto"/>
        </w:rPr>
        <w:t>icy</w:t>
      </w:r>
      <w:r w:rsidR="00E92985">
        <w:rPr>
          <w:rFonts w:ascii="Cambria" w:hAnsi="Cambria"/>
          <w:sz w:val="20"/>
          <w:szCs w:val="20"/>
          <w:bdr w:val="none" w:sz="0" w:space="0" w:color="auto"/>
        </w:rPr>
        <w:t xml:space="preserve"> of </w:t>
      </w:r>
      <w:r w:rsidR="002F0508" w:rsidRPr="00A51861">
        <w:rPr>
          <w:rFonts w:ascii="Cambria" w:hAnsi="Cambria"/>
          <w:sz w:val="20"/>
          <w:szCs w:val="20"/>
          <w:bdr w:val="none" w:sz="0" w:space="0" w:color="auto"/>
        </w:rPr>
        <w:t>indemni</w:t>
      </w:r>
      <w:r w:rsidR="00317A3E">
        <w:rPr>
          <w:rFonts w:ascii="Cambria" w:hAnsi="Cambria"/>
          <w:sz w:val="20"/>
          <w:szCs w:val="20"/>
          <w:bdr w:val="none" w:sz="0" w:space="0" w:color="auto"/>
        </w:rPr>
        <w:t>ty</w:t>
      </w:r>
      <w:r w:rsidR="002F0508" w:rsidRPr="00A51861">
        <w:rPr>
          <w:rFonts w:ascii="Cambria" w:hAnsi="Cambria"/>
          <w:sz w:val="20"/>
          <w:szCs w:val="20"/>
          <w:bdr w:val="none" w:sz="0" w:space="0" w:color="auto"/>
        </w:rPr>
        <w:t xml:space="preserve"> ha</w:t>
      </w:r>
      <w:r w:rsidR="00317A3E">
        <w:rPr>
          <w:rFonts w:ascii="Cambria" w:hAnsi="Cambria"/>
          <w:sz w:val="20"/>
          <w:szCs w:val="20"/>
          <w:bdr w:val="none" w:sz="0" w:space="0" w:color="auto"/>
        </w:rPr>
        <w:t>s</w:t>
      </w:r>
      <w:r w:rsidR="002F0508" w:rsidRPr="00A51861">
        <w:rPr>
          <w:rFonts w:ascii="Cambria" w:hAnsi="Cambria"/>
          <w:sz w:val="20"/>
          <w:szCs w:val="20"/>
          <w:bdr w:val="none" w:sz="0" w:space="0" w:color="auto"/>
        </w:rPr>
        <w:t xml:space="preserve"> </w:t>
      </w:r>
      <w:r w:rsidR="00317A3E">
        <w:rPr>
          <w:rFonts w:ascii="Cambria" w:hAnsi="Cambria"/>
          <w:sz w:val="20"/>
          <w:szCs w:val="20"/>
          <w:bdr w:val="none" w:sz="0" w:space="0" w:color="auto"/>
        </w:rPr>
        <w:t>been broadened</w:t>
      </w:r>
      <w:r w:rsidR="00E92985">
        <w:rPr>
          <w:rFonts w:ascii="Cambria" w:hAnsi="Cambria"/>
          <w:sz w:val="20"/>
          <w:szCs w:val="20"/>
          <w:bdr w:val="none" w:sz="0" w:space="0" w:color="auto"/>
        </w:rPr>
        <w:t xml:space="preserve"> and </w:t>
      </w:r>
      <w:r w:rsidR="002F0508" w:rsidRPr="00A51861">
        <w:rPr>
          <w:rFonts w:ascii="Cambria" w:hAnsi="Cambria"/>
          <w:sz w:val="20"/>
          <w:szCs w:val="20"/>
          <w:bdr w:val="none" w:sz="0" w:space="0" w:color="auto"/>
        </w:rPr>
        <w:t>complet</w:t>
      </w:r>
      <w:r w:rsidR="00317A3E">
        <w:rPr>
          <w:rFonts w:ascii="Cambria" w:hAnsi="Cambria"/>
          <w:sz w:val="20"/>
          <w:szCs w:val="20"/>
          <w:bdr w:val="none" w:sz="0" w:space="0" w:color="auto"/>
        </w:rPr>
        <w:t>ed</w:t>
      </w:r>
      <w:r w:rsidR="002F0508" w:rsidRPr="00A51861">
        <w:rPr>
          <w:rFonts w:ascii="Cambria" w:hAnsi="Cambria"/>
          <w:sz w:val="20"/>
          <w:szCs w:val="20"/>
          <w:bdr w:val="none" w:sz="0" w:space="0" w:color="auto"/>
        </w:rPr>
        <w:t xml:space="preserve"> </w:t>
      </w:r>
      <w:r w:rsidR="00317A3E">
        <w:rPr>
          <w:rFonts w:ascii="Cambria" w:hAnsi="Cambria"/>
          <w:sz w:val="20"/>
          <w:szCs w:val="20"/>
          <w:bdr w:val="none" w:sz="0" w:space="0" w:color="auto"/>
        </w:rPr>
        <w:t>by other</w:t>
      </w:r>
      <w:r w:rsidR="002F0508" w:rsidRPr="00A51861">
        <w:rPr>
          <w:rFonts w:ascii="Cambria" w:hAnsi="Cambria"/>
          <w:sz w:val="20"/>
          <w:szCs w:val="20"/>
          <w:bdr w:val="none" w:sz="0" w:space="0" w:color="auto"/>
        </w:rPr>
        <w:t xml:space="preserve"> </w:t>
      </w:r>
      <w:r w:rsidR="00EC7A58">
        <w:rPr>
          <w:rFonts w:ascii="Cambria" w:hAnsi="Cambria"/>
          <w:sz w:val="20"/>
          <w:szCs w:val="20"/>
          <w:bdr w:val="none" w:sz="0" w:space="0" w:color="auto"/>
        </w:rPr>
        <w:t>laws</w:t>
      </w:r>
      <w:r w:rsidR="002F0508" w:rsidRPr="00A51861">
        <w:rPr>
          <w:rFonts w:ascii="Cambria" w:hAnsi="Cambria"/>
          <w:sz w:val="20"/>
          <w:szCs w:val="20"/>
          <w:bdr w:val="none" w:sz="0" w:space="0" w:color="auto"/>
        </w:rPr>
        <w:t xml:space="preserve"> </w:t>
      </w:r>
      <w:r w:rsidR="00317A3E">
        <w:rPr>
          <w:rFonts w:ascii="Cambria" w:hAnsi="Cambria"/>
          <w:sz w:val="20"/>
          <w:szCs w:val="20"/>
          <w:bdr w:val="none" w:sz="0" w:space="0" w:color="auto"/>
        </w:rPr>
        <w:t>which</w:t>
      </w:r>
      <w:r w:rsidR="00CB4E23">
        <w:rPr>
          <w:rFonts w:ascii="Cambria" w:hAnsi="Cambria"/>
          <w:sz w:val="20"/>
          <w:szCs w:val="20"/>
          <w:bdr w:val="none" w:sz="0" w:space="0" w:color="auto"/>
        </w:rPr>
        <w:t xml:space="preserve"> have </w:t>
      </w:r>
      <w:r w:rsidR="00317A3E">
        <w:rPr>
          <w:rFonts w:ascii="Cambria" w:hAnsi="Cambria"/>
          <w:sz w:val="20"/>
          <w:szCs w:val="20"/>
          <w:bdr w:val="none" w:sz="0" w:space="0" w:color="auto"/>
        </w:rPr>
        <w:t>established</w:t>
      </w:r>
      <w:r w:rsidR="002F0508" w:rsidRPr="00A51861">
        <w:rPr>
          <w:rFonts w:ascii="Cambria" w:hAnsi="Cambria"/>
          <w:sz w:val="20"/>
          <w:szCs w:val="20"/>
          <w:bdr w:val="none" w:sz="0" w:space="0" w:color="auto"/>
        </w:rPr>
        <w:t xml:space="preserve"> </w:t>
      </w:r>
      <w:r w:rsidR="00B47E06">
        <w:rPr>
          <w:rFonts w:ascii="Cambria" w:hAnsi="Cambria"/>
          <w:sz w:val="20"/>
          <w:szCs w:val="20"/>
          <w:bdr w:val="none" w:sz="0" w:space="0" w:color="auto"/>
        </w:rPr>
        <w:t>benefit</w:t>
      </w:r>
      <w:r w:rsidR="002F0508" w:rsidRPr="00A51861">
        <w:rPr>
          <w:rFonts w:ascii="Cambria" w:hAnsi="Cambria"/>
          <w:sz w:val="20"/>
          <w:szCs w:val="20"/>
          <w:bdr w:val="none" w:sz="0" w:space="0" w:color="auto"/>
        </w:rPr>
        <w:t xml:space="preserve">s </w:t>
      </w:r>
      <w:r w:rsidR="00317A3E">
        <w:rPr>
          <w:rFonts w:ascii="Cambria" w:hAnsi="Cambria"/>
          <w:sz w:val="20"/>
          <w:szCs w:val="20"/>
          <w:bdr w:val="none" w:sz="0" w:space="0" w:color="auto"/>
        </w:rPr>
        <w:t>for</w:t>
      </w:r>
      <w:r w:rsidR="002F0508" w:rsidRPr="00A51861">
        <w:rPr>
          <w:rFonts w:ascii="Cambria" w:hAnsi="Cambria"/>
          <w:sz w:val="20"/>
          <w:szCs w:val="20"/>
          <w:bdr w:val="none" w:sz="0" w:space="0" w:color="auto"/>
        </w:rPr>
        <w:t xml:space="preserve"> </w:t>
      </w:r>
      <w:r w:rsidR="003A78FE">
        <w:rPr>
          <w:rFonts w:ascii="Cambria" w:hAnsi="Cambria"/>
          <w:sz w:val="20"/>
          <w:szCs w:val="20"/>
          <w:bdr w:val="none" w:sz="0" w:space="0" w:color="auto"/>
        </w:rPr>
        <w:t>several</w:t>
      </w:r>
      <w:r w:rsidR="002F0508" w:rsidRPr="00A51861">
        <w:rPr>
          <w:rFonts w:ascii="Cambria" w:hAnsi="Cambria"/>
          <w:sz w:val="20"/>
          <w:szCs w:val="20"/>
          <w:bdr w:val="none" w:sz="0" w:space="0" w:color="auto"/>
        </w:rPr>
        <w:t xml:space="preserve"> </w:t>
      </w:r>
      <w:r w:rsidR="00317A3E" w:rsidRPr="00A51861">
        <w:rPr>
          <w:rFonts w:ascii="Cambria" w:hAnsi="Cambria"/>
          <w:sz w:val="20"/>
          <w:szCs w:val="20"/>
          <w:bdr w:val="none" w:sz="0" w:space="0" w:color="auto"/>
        </w:rPr>
        <w:t>categories</w:t>
      </w:r>
      <w:r w:rsidR="00E92985">
        <w:rPr>
          <w:rFonts w:ascii="Cambria" w:hAnsi="Cambria"/>
          <w:sz w:val="20"/>
          <w:szCs w:val="20"/>
          <w:bdr w:val="none" w:sz="0" w:space="0" w:color="auto"/>
        </w:rPr>
        <w:t xml:space="preserve"> of </w:t>
      </w:r>
      <w:r w:rsidR="00B4073F">
        <w:rPr>
          <w:rFonts w:ascii="Cambria" w:hAnsi="Cambria"/>
          <w:sz w:val="20"/>
          <w:szCs w:val="20"/>
          <w:bdr w:val="none" w:sz="0" w:space="0" w:color="auto"/>
        </w:rPr>
        <w:t>victim</w:t>
      </w:r>
      <w:r w:rsidR="002F0508" w:rsidRPr="00A51861">
        <w:rPr>
          <w:rFonts w:ascii="Cambria" w:hAnsi="Cambria"/>
          <w:sz w:val="20"/>
          <w:szCs w:val="20"/>
          <w:bdr w:val="none" w:sz="0" w:space="0" w:color="auto"/>
        </w:rPr>
        <w:t>s</w:t>
      </w:r>
      <w:r w:rsidR="00E92985">
        <w:rPr>
          <w:rFonts w:ascii="Cambria" w:hAnsi="Cambria"/>
          <w:sz w:val="20"/>
          <w:szCs w:val="20"/>
          <w:bdr w:val="none" w:sz="0" w:space="0" w:color="auto"/>
        </w:rPr>
        <w:t xml:space="preserve"> of the </w:t>
      </w:r>
      <w:r w:rsidR="00317A3E" w:rsidRPr="00A51861">
        <w:rPr>
          <w:rFonts w:ascii="Cambria" w:hAnsi="Cambria"/>
          <w:sz w:val="20"/>
          <w:szCs w:val="20"/>
          <w:bdr w:val="none" w:sz="0" w:space="0" w:color="auto"/>
        </w:rPr>
        <w:t>dicta</w:t>
      </w:r>
      <w:r w:rsidR="00317A3E">
        <w:rPr>
          <w:rFonts w:ascii="Cambria" w:hAnsi="Cambria"/>
          <w:sz w:val="20"/>
          <w:szCs w:val="20"/>
          <w:bdr w:val="none" w:sz="0" w:space="0" w:color="auto"/>
        </w:rPr>
        <w:t xml:space="preserve">torship </w:t>
      </w:r>
      <w:r w:rsidR="00E92985">
        <w:rPr>
          <w:rFonts w:ascii="Cambria" w:hAnsi="Cambria"/>
          <w:sz w:val="20"/>
          <w:szCs w:val="20"/>
          <w:bdr w:val="none" w:sz="0" w:space="0" w:color="auto"/>
        </w:rPr>
        <w:t xml:space="preserve">and </w:t>
      </w:r>
      <w:r w:rsidR="00317A3E">
        <w:rPr>
          <w:rFonts w:ascii="Cambria" w:hAnsi="Cambria"/>
          <w:sz w:val="20"/>
          <w:szCs w:val="20"/>
          <w:bdr w:val="none" w:sz="0" w:space="0" w:color="auto"/>
        </w:rPr>
        <w:t>their</w:t>
      </w:r>
      <w:r w:rsidR="002F0508" w:rsidRPr="00A51861">
        <w:rPr>
          <w:rFonts w:ascii="Cambria" w:hAnsi="Cambria"/>
          <w:sz w:val="20"/>
          <w:szCs w:val="20"/>
          <w:bdr w:val="none" w:sz="0" w:space="0" w:color="auto"/>
        </w:rPr>
        <w:t xml:space="preserve"> </w:t>
      </w:r>
      <w:r w:rsidR="00317A3E">
        <w:rPr>
          <w:rFonts w:ascii="Cambria" w:hAnsi="Cambria"/>
          <w:sz w:val="20"/>
          <w:szCs w:val="20"/>
          <w:bdr w:val="none" w:sz="0" w:space="0" w:color="auto"/>
        </w:rPr>
        <w:t>successors</w:t>
      </w:r>
      <w:r w:rsidR="002F0508" w:rsidRPr="00A51861">
        <w:rPr>
          <w:rFonts w:ascii="Cambria" w:hAnsi="Cambria"/>
          <w:sz w:val="20"/>
          <w:szCs w:val="20"/>
          <w:bdr w:val="none" w:sz="0" w:space="0" w:color="auto"/>
        </w:rPr>
        <w:t xml:space="preserve">, </w:t>
      </w:r>
      <w:r w:rsidR="00317A3E">
        <w:rPr>
          <w:rFonts w:ascii="Cambria" w:hAnsi="Cambria"/>
          <w:sz w:val="20"/>
          <w:szCs w:val="20"/>
          <w:bdr w:val="none" w:sz="0" w:space="0" w:color="auto"/>
        </w:rPr>
        <w:t>as</w:t>
      </w:r>
      <w:r w:rsidR="00D70A85">
        <w:rPr>
          <w:rFonts w:ascii="Cambria" w:hAnsi="Cambria"/>
          <w:sz w:val="20"/>
          <w:szCs w:val="20"/>
          <w:bdr w:val="none" w:sz="0" w:space="0" w:color="auto"/>
        </w:rPr>
        <w:t xml:space="preserve"> is </w:t>
      </w:r>
      <w:r w:rsidR="00317A3E">
        <w:rPr>
          <w:rFonts w:ascii="Cambria" w:hAnsi="Cambria"/>
          <w:sz w:val="20"/>
          <w:szCs w:val="20"/>
          <w:bdr w:val="none" w:sz="0" w:space="0" w:color="auto"/>
        </w:rPr>
        <w:t>the case</w:t>
      </w:r>
      <w:r w:rsidR="00E92985">
        <w:rPr>
          <w:rFonts w:ascii="Cambria" w:hAnsi="Cambria"/>
          <w:sz w:val="20"/>
          <w:szCs w:val="20"/>
          <w:bdr w:val="none" w:sz="0" w:space="0" w:color="auto"/>
        </w:rPr>
        <w:t xml:space="preserve"> of </w:t>
      </w:r>
      <w:r w:rsidR="002835FC" w:rsidRPr="00A51861">
        <w:rPr>
          <w:rFonts w:ascii="Cambria" w:hAnsi="Cambria"/>
          <w:sz w:val="20"/>
          <w:szCs w:val="20"/>
          <w:bdr w:val="none" w:sz="0" w:space="0" w:color="auto"/>
        </w:rPr>
        <w:t xml:space="preserve">Law </w:t>
      </w:r>
      <w:r w:rsidR="002F0508" w:rsidRPr="00A51861">
        <w:rPr>
          <w:rFonts w:ascii="Cambria" w:hAnsi="Cambria"/>
          <w:sz w:val="20"/>
          <w:szCs w:val="20"/>
          <w:bdr w:val="none" w:sz="0" w:space="0" w:color="auto"/>
        </w:rPr>
        <w:t xml:space="preserve">26.564 </w:t>
      </w:r>
      <w:r w:rsidR="00B74DB5">
        <w:rPr>
          <w:rFonts w:ascii="Cambria" w:hAnsi="Cambria"/>
          <w:sz w:val="20"/>
          <w:szCs w:val="20"/>
          <w:bdr w:val="none" w:sz="0" w:space="0" w:color="auto"/>
        </w:rPr>
        <w:t xml:space="preserve">in regard to </w:t>
      </w:r>
      <w:r w:rsidR="00317A3E">
        <w:rPr>
          <w:rFonts w:ascii="Cambria" w:hAnsi="Cambria"/>
          <w:sz w:val="20"/>
          <w:szCs w:val="20"/>
          <w:bdr w:val="none" w:sz="0" w:space="0" w:color="auto"/>
        </w:rPr>
        <w:t>the</w:t>
      </w:r>
      <w:r w:rsidR="002F0508" w:rsidRPr="00A51861">
        <w:rPr>
          <w:rFonts w:ascii="Cambria" w:hAnsi="Cambria"/>
          <w:sz w:val="20"/>
          <w:szCs w:val="20"/>
          <w:bdr w:val="none" w:sz="0" w:space="0" w:color="auto"/>
        </w:rPr>
        <w:t xml:space="preserve"> </w:t>
      </w:r>
      <w:r w:rsidR="00EC7A58">
        <w:rPr>
          <w:rFonts w:ascii="Cambria" w:hAnsi="Cambria"/>
          <w:sz w:val="20"/>
          <w:szCs w:val="20"/>
          <w:bdr w:val="none" w:sz="0" w:space="0" w:color="auto"/>
        </w:rPr>
        <w:t>persons</w:t>
      </w:r>
      <w:r w:rsidR="002F0508" w:rsidRPr="00A51861">
        <w:rPr>
          <w:rFonts w:ascii="Cambria" w:hAnsi="Cambria"/>
          <w:sz w:val="20"/>
          <w:szCs w:val="20"/>
          <w:bdr w:val="none" w:sz="0" w:space="0" w:color="auto"/>
        </w:rPr>
        <w:t xml:space="preserve"> </w:t>
      </w:r>
      <w:r w:rsidR="00317A3E">
        <w:rPr>
          <w:rFonts w:ascii="Cambria" w:hAnsi="Cambria"/>
          <w:sz w:val="20"/>
          <w:szCs w:val="20"/>
          <w:bdr w:val="none" w:sz="0" w:space="0" w:color="auto"/>
        </w:rPr>
        <w:t>detained</w:t>
      </w:r>
      <w:r w:rsidR="002F0508" w:rsidRPr="00A51861">
        <w:rPr>
          <w:rFonts w:ascii="Cambria" w:hAnsi="Cambria"/>
          <w:sz w:val="20"/>
          <w:szCs w:val="20"/>
          <w:bdr w:val="none" w:sz="0" w:space="0" w:color="auto"/>
        </w:rPr>
        <w:t xml:space="preserve"> </w:t>
      </w:r>
      <w:r w:rsidR="00317A3E">
        <w:rPr>
          <w:rFonts w:ascii="Cambria" w:hAnsi="Cambria"/>
          <w:sz w:val="20"/>
          <w:szCs w:val="20"/>
          <w:bdr w:val="none" w:sz="0" w:space="0" w:color="auto"/>
        </w:rPr>
        <w:t>for</w:t>
      </w:r>
      <w:r w:rsidR="002F0508" w:rsidRPr="00A51861">
        <w:rPr>
          <w:rFonts w:ascii="Cambria" w:hAnsi="Cambria"/>
          <w:sz w:val="20"/>
          <w:szCs w:val="20"/>
          <w:bdr w:val="none" w:sz="0" w:space="0" w:color="auto"/>
        </w:rPr>
        <w:t xml:space="preserve"> </w:t>
      </w:r>
      <w:r w:rsidR="00317A3E">
        <w:rPr>
          <w:rFonts w:ascii="Cambria" w:hAnsi="Cambria"/>
          <w:sz w:val="20"/>
          <w:szCs w:val="20"/>
          <w:bdr w:val="none" w:sz="0" w:space="0" w:color="auto"/>
        </w:rPr>
        <w:t>political reasons</w:t>
      </w:r>
      <w:r w:rsidR="002F0508" w:rsidRPr="00A51861">
        <w:rPr>
          <w:rFonts w:ascii="Cambria" w:hAnsi="Cambria"/>
          <w:sz w:val="20"/>
          <w:szCs w:val="20"/>
          <w:bdr w:val="none" w:sz="0" w:space="0" w:color="auto"/>
        </w:rPr>
        <w:t>.</w:t>
      </w:r>
    </w:p>
    <w:p w14:paraId="379FA0E0" w14:textId="77777777" w:rsidR="002F0508" w:rsidRPr="00A51861" w:rsidRDefault="002F0508" w:rsidP="008E4D36">
      <w:pPr>
        <w:tabs>
          <w:tab w:val="left" w:pos="720"/>
          <w:tab w:val="left" w:pos="1440"/>
        </w:tabs>
        <w:ind w:left="630"/>
        <w:jc w:val="both"/>
        <w:rPr>
          <w:rFonts w:ascii="Cambria" w:hAnsi="Cambria"/>
          <w:sz w:val="20"/>
          <w:szCs w:val="20"/>
          <w:bdr w:val="none" w:sz="0" w:space="0" w:color="auto"/>
        </w:rPr>
      </w:pPr>
    </w:p>
    <w:p w14:paraId="01EB8BAB" w14:textId="57068EFC" w:rsidR="002F0508" w:rsidRPr="00A51861" w:rsidRDefault="00E92985"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bdr w:val="none" w:sz="0" w:space="0" w:color="auto"/>
        </w:rPr>
      </w:pPr>
      <w:r>
        <w:rPr>
          <w:rFonts w:ascii="Cambria" w:hAnsi="Cambria"/>
          <w:sz w:val="20"/>
          <w:szCs w:val="20"/>
          <w:bdr w:val="none" w:sz="0" w:space="0" w:color="auto"/>
        </w:rPr>
        <w:t>The Commission</w:t>
      </w:r>
      <w:r w:rsidR="007D3F09" w:rsidRPr="00A51861">
        <w:rPr>
          <w:rFonts w:ascii="Cambria" w:hAnsi="Cambria"/>
          <w:sz w:val="20"/>
          <w:szCs w:val="20"/>
          <w:bdr w:val="none" w:sz="0" w:space="0" w:color="auto"/>
        </w:rPr>
        <w:t xml:space="preserve"> </w:t>
      </w:r>
      <w:r w:rsidR="00A51861" w:rsidRPr="00A51861">
        <w:rPr>
          <w:rFonts w:ascii="Cambria" w:hAnsi="Cambria"/>
          <w:sz w:val="20"/>
          <w:szCs w:val="20"/>
          <w:bdr w:val="none" w:sz="0" w:space="0" w:color="auto"/>
        </w:rPr>
        <w:t>observes that</w:t>
      </w:r>
      <w:r w:rsidR="007D3F09" w:rsidRPr="00A51861">
        <w:rPr>
          <w:rFonts w:ascii="Cambria" w:hAnsi="Cambria"/>
          <w:sz w:val="20"/>
          <w:szCs w:val="20"/>
          <w:bdr w:val="none" w:sz="0" w:space="0" w:color="auto"/>
        </w:rPr>
        <w:t xml:space="preserve"> </w:t>
      </w:r>
      <w:r w:rsidR="00317A3E">
        <w:rPr>
          <w:rFonts w:ascii="Cambria" w:hAnsi="Cambria"/>
          <w:sz w:val="20"/>
          <w:szCs w:val="20"/>
          <w:bdr w:val="none" w:sz="0" w:space="0" w:color="auto"/>
        </w:rPr>
        <w:t>as held by</w:t>
      </w:r>
      <w:r w:rsidR="009A4F91">
        <w:rPr>
          <w:rFonts w:ascii="Cambria" w:hAnsi="Cambria"/>
          <w:sz w:val="20"/>
          <w:szCs w:val="20"/>
          <w:bdr w:val="none" w:sz="0" w:space="0" w:color="auto"/>
        </w:rPr>
        <w:t xml:space="preserve"> the </w:t>
      </w:r>
      <w:r w:rsidR="00B04009">
        <w:rPr>
          <w:rFonts w:ascii="Cambria" w:hAnsi="Cambria"/>
          <w:sz w:val="20"/>
          <w:szCs w:val="20"/>
          <w:bdr w:val="none" w:sz="0" w:space="0" w:color="auto"/>
        </w:rPr>
        <w:t>Inter-American Court</w:t>
      </w:r>
      <w:r>
        <w:rPr>
          <w:rFonts w:ascii="Cambria" w:hAnsi="Cambria"/>
          <w:sz w:val="20"/>
          <w:szCs w:val="20"/>
          <w:bdr w:val="none" w:sz="0" w:space="0" w:color="auto"/>
        </w:rPr>
        <w:t xml:space="preserve"> </w:t>
      </w:r>
      <w:r w:rsidR="00317A3E">
        <w:rPr>
          <w:rFonts w:ascii="Cambria" w:hAnsi="Cambria"/>
          <w:sz w:val="20"/>
          <w:szCs w:val="20"/>
          <w:bdr w:val="none" w:sz="0" w:space="0" w:color="auto"/>
        </w:rPr>
        <w:t xml:space="preserve">with the existence of </w:t>
      </w:r>
      <w:r w:rsidR="00317A3E" w:rsidRPr="00A51861">
        <w:rPr>
          <w:rFonts w:ascii="Cambria" w:hAnsi="Cambria"/>
          <w:sz w:val="20"/>
          <w:szCs w:val="20"/>
          <w:bdr w:val="none" w:sz="0" w:space="0" w:color="auto"/>
        </w:rPr>
        <w:t xml:space="preserve">national mechanisms </w:t>
      </w:r>
      <w:r w:rsidR="00317A3E">
        <w:rPr>
          <w:rFonts w:ascii="Cambria" w:hAnsi="Cambria"/>
          <w:sz w:val="20"/>
          <w:szCs w:val="20"/>
          <w:bdr w:val="none" w:sz="0" w:space="0" w:color="auto"/>
        </w:rPr>
        <w:t>to</w:t>
      </w:r>
      <w:r w:rsidR="00317A3E" w:rsidRPr="00A51861">
        <w:rPr>
          <w:rFonts w:ascii="Cambria" w:hAnsi="Cambria"/>
          <w:sz w:val="20"/>
          <w:szCs w:val="20"/>
          <w:bdr w:val="none" w:sz="0" w:space="0" w:color="auto"/>
        </w:rPr>
        <w:t xml:space="preserve"> determin</w:t>
      </w:r>
      <w:r w:rsidR="00317A3E">
        <w:rPr>
          <w:rFonts w:ascii="Cambria" w:hAnsi="Cambria"/>
          <w:sz w:val="20"/>
          <w:szCs w:val="20"/>
          <w:bdr w:val="none" w:sz="0" w:space="0" w:color="auto"/>
        </w:rPr>
        <w:t>e</w:t>
      </w:r>
      <w:r w:rsidR="00317A3E" w:rsidRPr="00A51861">
        <w:rPr>
          <w:rFonts w:ascii="Cambria" w:hAnsi="Cambria"/>
          <w:sz w:val="20"/>
          <w:szCs w:val="20"/>
          <w:bdr w:val="none" w:sz="0" w:space="0" w:color="auto"/>
        </w:rPr>
        <w:t xml:space="preserve"> forms</w:t>
      </w:r>
      <w:r w:rsidR="00317A3E">
        <w:rPr>
          <w:rFonts w:ascii="Cambria" w:hAnsi="Cambria"/>
          <w:sz w:val="20"/>
          <w:szCs w:val="20"/>
          <w:bdr w:val="none" w:sz="0" w:space="0" w:color="auto"/>
        </w:rPr>
        <w:t xml:space="preserve"> of </w:t>
      </w:r>
      <w:r w:rsidR="00317A3E" w:rsidRPr="00A51861">
        <w:rPr>
          <w:rFonts w:ascii="Cambria" w:hAnsi="Cambria"/>
          <w:sz w:val="20"/>
          <w:szCs w:val="20"/>
          <w:bdr w:val="none" w:sz="0" w:space="0" w:color="auto"/>
        </w:rPr>
        <w:t>reparation</w:t>
      </w:r>
      <w:r w:rsidR="002F0508" w:rsidRPr="00A51861">
        <w:rPr>
          <w:rFonts w:ascii="Cambria" w:hAnsi="Cambria"/>
          <w:sz w:val="20"/>
          <w:szCs w:val="20"/>
          <w:bdr w:val="none" w:sz="0" w:space="0" w:color="auto"/>
        </w:rPr>
        <w:t>,</w:t>
      </w:r>
      <w:r w:rsidR="00E64C43">
        <w:rPr>
          <w:rFonts w:ascii="Cambria" w:hAnsi="Cambria"/>
          <w:sz w:val="20"/>
          <w:szCs w:val="20"/>
          <w:bdr w:val="none" w:sz="0" w:space="0" w:color="auto"/>
        </w:rPr>
        <w:t xml:space="preserve"> those </w:t>
      </w:r>
      <w:r w:rsidR="002F0508" w:rsidRPr="00A51861">
        <w:rPr>
          <w:rFonts w:ascii="Cambria" w:hAnsi="Cambria"/>
          <w:sz w:val="20"/>
          <w:szCs w:val="20"/>
          <w:bdr w:val="none" w:sz="0" w:space="0" w:color="auto"/>
        </w:rPr>
        <w:t>proced</w:t>
      </w:r>
      <w:r w:rsidR="00317A3E">
        <w:rPr>
          <w:rFonts w:ascii="Cambria" w:hAnsi="Cambria"/>
          <w:sz w:val="20"/>
          <w:szCs w:val="20"/>
          <w:bdr w:val="none" w:sz="0" w:space="0" w:color="auto"/>
        </w:rPr>
        <w:t>ure</w:t>
      </w:r>
      <w:r w:rsidR="002F0508" w:rsidRPr="00A51861">
        <w:rPr>
          <w:rFonts w:ascii="Cambria" w:hAnsi="Cambria"/>
          <w:sz w:val="20"/>
          <w:szCs w:val="20"/>
          <w:bdr w:val="none" w:sz="0" w:space="0" w:color="auto"/>
        </w:rPr>
        <w:t>s</w:t>
      </w:r>
      <w:r>
        <w:rPr>
          <w:rFonts w:ascii="Cambria" w:hAnsi="Cambria"/>
          <w:sz w:val="20"/>
          <w:szCs w:val="20"/>
          <w:bdr w:val="none" w:sz="0" w:space="0" w:color="auto"/>
        </w:rPr>
        <w:t xml:space="preserve"> and </w:t>
      </w:r>
      <w:r w:rsidR="00317A3E">
        <w:rPr>
          <w:rFonts w:ascii="Cambria" w:hAnsi="Cambria"/>
          <w:sz w:val="20"/>
          <w:szCs w:val="20"/>
          <w:bdr w:val="none" w:sz="0" w:space="0" w:color="auto"/>
        </w:rPr>
        <w:t>their</w:t>
      </w:r>
      <w:r w:rsidR="002F0508" w:rsidRPr="00A51861">
        <w:rPr>
          <w:rFonts w:ascii="Cambria" w:hAnsi="Cambria"/>
          <w:sz w:val="20"/>
          <w:szCs w:val="20"/>
          <w:bdr w:val="none" w:sz="0" w:space="0" w:color="auto"/>
        </w:rPr>
        <w:t xml:space="preserve"> results </w:t>
      </w:r>
      <w:r w:rsidR="00317A3E">
        <w:rPr>
          <w:rFonts w:ascii="Cambria" w:hAnsi="Cambria"/>
          <w:sz w:val="20"/>
          <w:szCs w:val="20"/>
          <w:bdr w:val="none" w:sz="0" w:space="0" w:color="auto"/>
        </w:rPr>
        <w:t>must be valued</w:t>
      </w:r>
      <w:r w:rsidR="002F0508" w:rsidRPr="00A51861">
        <w:rPr>
          <w:rFonts w:ascii="Cambria" w:hAnsi="Cambria"/>
          <w:sz w:val="20"/>
          <w:szCs w:val="20"/>
          <w:bdr w:val="none" w:sz="0" w:space="0" w:color="auto"/>
        </w:rPr>
        <w:t xml:space="preserve">, </w:t>
      </w:r>
      <w:r w:rsidR="00317A3E">
        <w:rPr>
          <w:rFonts w:ascii="Cambria" w:hAnsi="Cambria"/>
          <w:sz w:val="20"/>
          <w:szCs w:val="20"/>
          <w:bdr w:val="none" w:sz="0" w:space="0" w:color="auto"/>
        </w:rPr>
        <w:t>since it</w:t>
      </w:r>
      <w:r w:rsidR="002F0508" w:rsidRPr="00A51861">
        <w:rPr>
          <w:rFonts w:ascii="Cambria" w:hAnsi="Cambria"/>
          <w:sz w:val="20"/>
          <w:szCs w:val="20"/>
          <w:bdr w:val="none" w:sz="0" w:space="0" w:color="auto"/>
        </w:rPr>
        <w:t xml:space="preserve"> </w:t>
      </w:r>
      <w:r w:rsidR="005835F2">
        <w:rPr>
          <w:rFonts w:ascii="Cambria" w:hAnsi="Cambria"/>
          <w:sz w:val="20"/>
          <w:szCs w:val="20"/>
          <w:bdr w:val="none" w:sz="0" w:space="0" w:color="auto"/>
        </w:rPr>
        <w:t>constitute</w:t>
      </w:r>
      <w:r w:rsidR="00317A3E">
        <w:rPr>
          <w:rFonts w:ascii="Cambria" w:hAnsi="Cambria"/>
          <w:sz w:val="20"/>
          <w:szCs w:val="20"/>
          <w:bdr w:val="none" w:sz="0" w:space="0" w:color="auto"/>
        </w:rPr>
        <w:t>s an effort</w:t>
      </w:r>
      <w:r w:rsidR="002F0508" w:rsidRPr="00A51861">
        <w:rPr>
          <w:rFonts w:ascii="Cambria" w:hAnsi="Cambria"/>
          <w:sz w:val="20"/>
          <w:szCs w:val="20"/>
          <w:bdr w:val="none" w:sz="0" w:space="0" w:color="auto"/>
        </w:rPr>
        <w:t xml:space="preserve"> </w:t>
      </w:r>
      <w:r w:rsidR="002B762A">
        <w:rPr>
          <w:rFonts w:ascii="Cambria" w:hAnsi="Cambria"/>
          <w:sz w:val="20"/>
          <w:szCs w:val="20"/>
          <w:bdr w:val="none" w:sz="0" w:space="0" w:color="auto"/>
        </w:rPr>
        <w:t xml:space="preserve">by the </w:t>
      </w:r>
      <w:r w:rsidR="00F92BA8">
        <w:rPr>
          <w:rFonts w:ascii="Cambria" w:hAnsi="Cambria"/>
          <w:sz w:val="20"/>
          <w:szCs w:val="20"/>
          <w:bdr w:val="none" w:sz="0" w:space="0" w:color="auto"/>
        </w:rPr>
        <w:t>State</w:t>
      </w:r>
      <w:r w:rsidR="002F0508" w:rsidRPr="00A51861">
        <w:rPr>
          <w:rFonts w:ascii="Cambria" w:hAnsi="Cambria"/>
          <w:sz w:val="20"/>
          <w:szCs w:val="20"/>
          <w:bdr w:val="none" w:sz="0" w:space="0" w:color="auto"/>
        </w:rPr>
        <w:t xml:space="preserve"> </w:t>
      </w:r>
      <w:r w:rsidR="00317A3E">
        <w:rPr>
          <w:rFonts w:ascii="Cambria" w:hAnsi="Cambria"/>
          <w:sz w:val="20"/>
          <w:szCs w:val="20"/>
          <w:bdr w:val="none" w:sz="0" w:space="0" w:color="auto"/>
        </w:rPr>
        <w:t>toward a collective process of</w:t>
      </w:r>
      <w:r>
        <w:rPr>
          <w:rFonts w:ascii="Cambria" w:hAnsi="Cambria"/>
          <w:sz w:val="20"/>
          <w:szCs w:val="20"/>
          <w:bdr w:val="none" w:sz="0" w:space="0" w:color="auto"/>
        </w:rPr>
        <w:t xml:space="preserve"> </w:t>
      </w:r>
      <w:r w:rsidR="00317A3E" w:rsidRPr="00A51861">
        <w:rPr>
          <w:rFonts w:ascii="Cambria" w:hAnsi="Cambria"/>
          <w:sz w:val="20"/>
          <w:szCs w:val="20"/>
          <w:bdr w:val="none" w:sz="0" w:space="0" w:color="auto"/>
        </w:rPr>
        <w:t>reparation</w:t>
      </w:r>
      <w:r>
        <w:rPr>
          <w:rFonts w:ascii="Cambria" w:hAnsi="Cambria"/>
          <w:sz w:val="20"/>
          <w:szCs w:val="20"/>
          <w:bdr w:val="none" w:sz="0" w:space="0" w:color="auto"/>
        </w:rPr>
        <w:t xml:space="preserve"> and </w:t>
      </w:r>
      <w:r w:rsidR="002F0508" w:rsidRPr="00A51861">
        <w:rPr>
          <w:rFonts w:ascii="Cambria" w:hAnsi="Cambria"/>
          <w:sz w:val="20"/>
          <w:szCs w:val="20"/>
          <w:bdr w:val="none" w:sz="0" w:space="0" w:color="auto"/>
        </w:rPr>
        <w:t>social</w:t>
      </w:r>
      <w:r w:rsidR="00317A3E" w:rsidRPr="00317A3E">
        <w:rPr>
          <w:rFonts w:ascii="Cambria" w:hAnsi="Cambria"/>
          <w:sz w:val="20"/>
          <w:szCs w:val="20"/>
          <w:bdr w:val="none" w:sz="0" w:space="0" w:color="auto"/>
        </w:rPr>
        <w:t xml:space="preserve"> </w:t>
      </w:r>
      <w:r w:rsidR="00317A3E">
        <w:rPr>
          <w:rFonts w:ascii="Cambria" w:hAnsi="Cambria"/>
          <w:sz w:val="20"/>
          <w:szCs w:val="20"/>
          <w:bdr w:val="none" w:sz="0" w:space="0" w:color="auto"/>
        </w:rPr>
        <w:t>peace</w:t>
      </w:r>
      <w:r w:rsidR="002F0508" w:rsidRPr="00A51861">
        <w:rPr>
          <w:rFonts w:ascii="Cambria" w:hAnsi="Cambria"/>
          <w:sz w:val="20"/>
          <w:szCs w:val="20"/>
          <w:bdr w:val="none" w:sz="0" w:space="0" w:color="auto"/>
          <w:vertAlign w:val="superscript"/>
        </w:rPr>
        <w:footnoteReference w:id="213"/>
      </w:r>
      <w:r w:rsidR="002F0508" w:rsidRPr="00A51861">
        <w:rPr>
          <w:rFonts w:ascii="Cambria" w:hAnsi="Cambria"/>
          <w:sz w:val="20"/>
          <w:szCs w:val="20"/>
          <w:bdr w:val="none" w:sz="0" w:space="0" w:color="auto"/>
        </w:rPr>
        <w:t xml:space="preserve">. </w:t>
      </w:r>
      <w:r w:rsidR="00317A3E">
        <w:rPr>
          <w:rFonts w:ascii="Cambria" w:hAnsi="Cambria"/>
          <w:sz w:val="20"/>
          <w:szCs w:val="20"/>
          <w:bdr w:val="none" w:sz="0" w:space="0" w:color="auto"/>
        </w:rPr>
        <w:t xml:space="preserve">In </w:t>
      </w:r>
      <w:r w:rsidR="00893808">
        <w:rPr>
          <w:rFonts w:ascii="Cambria" w:hAnsi="Cambria"/>
          <w:sz w:val="20"/>
          <w:szCs w:val="20"/>
          <w:bdr w:val="none" w:sz="0" w:space="0" w:color="auto"/>
        </w:rPr>
        <w:t>addition</w:t>
      </w:r>
      <w:r w:rsidR="002F0508" w:rsidRPr="00A51861">
        <w:rPr>
          <w:rFonts w:ascii="Cambria" w:hAnsi="Cambria"/>
          <w:sz w:val="20"/>
          <w:szCs w:val="20"/>
          <w:bdr w:val="none" w:sz="0" w:space="0" w:color="auto"/>
        </w:rPr>
        <w:t xml:space="preserve">, </w:t>
      </w:r>
      <w:r w:rsidR="00317A3E">
        <w:rPr>
          <w:rFonts w:ascii="Cambria" w:hAnsi="Cambria"/>
          <w:sz w:val="20"/>
          <w:szCs w:val="20"/>
          <w:bdr w:val="none" w:sz="0" w:space="0" w:color="auto"/>
        </w:rPr>
        <w:t>it highlights</w:t>
      </w:r>
      <w:r w:rsidR="002F0508" w:rsidRPr="00A51861">
        <w:rPr>
          <w:rFonts w:ascii="Cambria" w:hAnsi="Cambria"/>
          <w:sz w:val="20"/>
          <w:szCs w:val="20"/>
          <w:bdr w:val="none" w:sz="0" w:space="0" w:color="auto"/>
        </w:rPr>
        <w:t xml:space="preserve"> </w:t>
      </w:r>
      <w:r w:rsidR="003A78FE">
        <w:rPr>
          <w:rFonts w:ascii="Cambria" w:hAnsi="Cambria"/>
          <w:sz w:val="20"/>
          <w:szCs w:val="20"/>
          <w:bdr w:val="none" w:sz="0" w:space="0" w:color="auto"/>
        </w:rPr>
        <w:t>several</w:t>
      </w:r>
      <w:r w:rsidR="002F0508" w:rsidRPr="00A51861">
        <w:rPr>
          <w:rFonts w:ascii="Cambria" w:hAnsi="Cambria"/>
          <w:sz w:val="20"/>
          <w:szCs w:val="20"/>
          <w:bdr w:val="none" w:sz="0" w:space="0" w:color="auto"/>
        </w:rPr>
        <w:t xml:space="preserve"> </w:t>
      </w:r>
      <w:r w:rsidR="002D7CF5">
        <w:rPr>
          <w:rFonts w:ascii="Cambria" w:hAnsi="Cambria"/>
          <w:sz w:val="20"/>
          <w:szCs w:val="20"/>
          <w:bdr w:val="none" w:sz="0" w:space="0" w:color="auto"/>
        </w:rPr>
        <w:t>documents</w:t>
      </w:r>
      <w:r w:rsidR="002F0508" w:rsidRPr="00A51861">
        <w:rPr>
          <w:rFonts w:ascii="Cambria" w:hAnsi="Cambria"/>
          <w:sz w:val="20"/>
          <w:szCs w:val="20"/>
          <w:bdr w:val="none" w:sz="0" w:space="0" w:color="auto"/>
        </w:rPr>
        <w:t xml:space="preserve"> </w:t>
      </w:r>
      <w:r w:rsidR="00893808">
        <w:rPr>
          <w:rFonts w:ascii="Cambria" w:hAnsi="Cambria"/>
          <w:sz w:val="20"/>
          <w:szCs w:val="20"/>
          <w:bdr w:val="none" w:sz="0" w:space="0" w:color="auto"/>
        </w:rPr>
        <w:t>in the</w:t>
      </w:r>
      <w:r w:rsidR="002F0508" w:rsidRPr="00A51861">
        <w:rPr>
          <w:rFonts w:ascii="Cambria" w:hAnsi="Cambria"/>
          <w:sz w:val="20"/>
          <w:szCs w:val="20"/>
          <w:bdr w:val="none" w:sz="0" w:space="0" w:color="auto"/>
        </w:rPr>
        <w:t xml:space="preserve"> </w:t>
      </w:r>
      <w:r w:rsidR="00EF4ED2">
        <w:rPr>
          <w:rFonts w:ascii="Cambria" w:hAnsi="Cambria"/>
          <w:sz w:val="20"/>
          <w:szCs w:val="20"/>
          <w:bdr w:val="none" w:sz="0" w:space="0" w:color="auto"/>
        </w:rPr>
        <w:t>international</w:t>
      </w:r>
      <w:r w:rsidR="002F0508" w:rsidRPr="00A51861">
        <w:rPr>
          <w:rFonts w:ascii="Cambria" w:hAnsi="Cambria"/>
          <w:sz w:val="20"/>
          <w:szCs w:val="20"/>
          <w:bdr w:val="none" w:sz="0" w:space="0" w:color="auto"/>
        </w:rPr>
        <w:t xml:space="preserve"> </w:t>
      </w:r>
      <w:r w:rsidR="00893808">
        <w:rPr>
          <w:rFonts w:ascii="Cambria" w:hAnsi="Cambria"/>
          <w:sz w:val="20"/>
          <w:szCs w:val="20"/>
          <w:bdr w:val="none" w:sz="0" w:space="0" w:color="auto"/>
        </w:rPr>
        <w:t>context</w:t>
      </w:r>
      <w:r w:rsidR="00893808" w:rsidRPr="00A51861">
        <w:rPr>
          <w:rFonts w:ascii="Cambria" w:hAnsi="Cambria"/>
          <w:sz w:val="20"/>
          <w:szCs w:val="20"/>
          <w:bdr w:val="none" w:sz="0" w:space="0" w:color="auto"/>
        </w:rPr>
        <w:t xml:space="preserve"> </w:t>
      </w:r>
      <w:r w:rsidR="00893808">
        <w:rPr>
          <w:rFonts w:ascii="Cambria" w:hAnsi="Cambria"/>
          <w:sz w:val="20"/>
          <w:szCs w:val="20"/>
          <w:bdr w:val="none" w:sz="0" w:space="0" w:color="auto"/>
        </w:rPr>
        <w:t>which</w:t>
      </w:r>
      <w:r w:rsidR="002F0508" w:rsidRPr="00A51861">
        <w:rPr>
          <w:rFonts w:ascii="Cambria" w:hAnsi="Cambria"/>
          <w:sz w:val="20"/>
          <w:szCs w:val="20"/>
          <w:bdr w:val="none" w:sz="0" w:space="0" w:color="auto"/>
        </w:rPr>
        <w:t xml:space="preserve"> </w:t>
      </w:r>
      <w:r w:rsidR="00893808" w:rsidRPr="00A51861">
        <w:rPr>
          <w:rFonts w:ascii="Cambria" w:hAnsi="Cambria"/>
          <w:sz w:val="20"/>
          <w:szCs w:val="20"/>
          <w:bdr w:val="none" w:sz="0" w:space="0" w:color="auto"/>
        </w:rPr>
        <w:t>expres</w:t>
      </w:r>
      <w:r w:rsidR="00893808">
        <w:rPr>
          <w:rFonts w:ascii="Cambria" w:hAnsi="Cambria"/>
          <w:sz w:val="20"/>
          <w:szCs w:val="20"/>
          <w:bdr w:val="none" w:sz="0" w:space="0" w:color="auto"/>
        </w:rPr>
        <w:t>sly recognize the</w:t>
      </w:r>
      <w:r w:rsidR="002F0508" w:rsidRPr="00A51861">
        <w:rPr>
          <w:rFonts w:ascii="Cambria" w:hAnsi="Cambria"/>
          <w:sz w:val="20"/>
          <w:szCs w:val="20"/>
          <w:bdr w:val="none" w:sz="0" w:space="0" w:color="auto"/>
        </w:rPr>
        <w:t xml:space="preserve"> </w:t>
      </w:r>
      <w:r w:rsidR="009B462E">
        <w:rPr>
          <w:rFonts w:ascii="Cambria" w:hAnsi="Cambria"/>
          <w:sz w:val="20"/>
          <w:szCs w:val="20"/>
          <w:bdr w:val="none" w:sz="0" w:space="0" w:color="auto"/>
        </w:rPr>
        <w:t xml:space="preserve">right of </w:t>
      </w:r>
      <w:r w:rsidR="00893808">
        <w:rPr>
          <w:rFonts w:ascii="Cambria" w:hAnsi="Cambria"/>
          <w:sz w:val="20"/>
          <w:szCs w:val="20"/>
          <w:bdr w:val="none" w:sz="0" w:space="0" w:color="auto"/>
        </w:rPr>
        <w:t>the</w:t>
      </w:r>
      <w:r w:rsidR="002F0508" w:rsidRPr="00A51861">
        <w:rPr>
          <w:rFonts w:ascii="Cambria" w:hAnsi="Cambria"/>
          <w:sz w:val="20"/>
          <w:szCs w:val="20"/>
          <w:bdr w:val="none" w:sz="0" w:space="0" w:color="auto"/>
        </w:rPr>
        <w:t xml:space="preserve"> </w:t>
      </w:r>
      <w:r w:rsidR="00B4073F">
        <w:rPr>
          <w:rFonts w:ascii="Cambria" w:hAnsi="Cambria"/>
          <w:color w:val="000000" w:themeColor="text1"/>
          <w:sz w:val="20"/>
          <w:szCs w:val="20"/>
        </w:rPr>
        <w:t>victim</w:t>
      </w:r>
      <w:r w:rsidR="002F0508" w:rsidRPr="00A51861">
        <w:rPr>
          <w:rFonts w:ascii="Cambria" w:hAnsi="Cambria"/>
          <w:color w:val="000000" w:themeColor="text1"/>
          <w:sz w:val="20"/>
          <w:szCs w:val="20"/>
        </w:rPr>
        <w:t>s</w:t>
      </w:r>
      <w:r>
        <w:rPr>
          <w:rFonts w:ascii="Cambria" w:hAnsi="Cambria"/>
          <w:sz w:val="20"/>
          <w:szCs w:val="20"/>
          <w:bdr w:val="none" w:sz="0" w:space="0" w:color="auto"/>
        </w:rPr>
        <w:t xml:space="preserve"> of </w:t>
      </w:r>
      <w:r w:rsidR="00664D70">
        <w:rPr>
          <w:rFonts w:ascii="Cambria" w:hAnsi="Cambria"/>
          <w:sz w:val="20"/>
          <w:szCs w:val="20"/>
          <w:bdr w:val="none" w:sz="0" w:space="0" w:color="auto"/>
        </w:rPr>
        <w:t>Human rights</w:t>
      </w:r>
      <w:r w:rsidR="00F4684B">
        <w:rPr>
          <w:rFonts w:ascii="Cambria" w:hAnsi="Cambria"/>
          <w:sz w:val="20"/>
          <w:szCs w:val="20"/>
          <w:bdr w:val="none" w:sz="0" w:space="0" w:color="auto"/>
        </w:rPr>
        <w:t xml:space="preserve"> </w:t>
      </w:r>
      <w:r w:rsidR="00893808">
        <w:rPr>
          <w:rFonts w:ascii="Cambria" w:hAnsi="Cambria"/>
          <w:sz w:val="20"/>
          <w:szCs w:val="20"/>
          <w:bdr w:val="none" w:sz="0" w:space="0" w:color="auto"/>
        </w:rPr>
        <w:t>violations</w:t>
      </w:r>
      <w:r w:rsidR="00893808" w:rsidRPr="00A51861">
        <w:rPr>
          <w:rFonts w:ascii="Cambria" w:hAnsi="Cambria"/>
          <w:sz w:val="20"/>
          <w:szCs w:val="20"/>
          <w:bdr w:val="none" w:sz="0" w:space="0" w:color="auto"/>
        </w:rPr>
        <w:t xml:space="preserve"> </w:t>
      </w:r>
      <w:r>
        <w:rPr>
          <w:rFonts w:ascii="Cambria" w:hAnsi="Cambria"/>
          <w:sz w:val="20"/>
          <w:szCs w:val="20"/>
          <w:bdr w:val="none" w:sz="0" w:space="0" w:color="auto"/>
        </w:rPr>
        <w:t xml:space="preserve">of </w:t>
      </w:r>
      <w:r w:rsidR="002F0508" w:rsidRPr="00A51861">
        <w:rPr>
          <w:rFonts w:ascii="Cambria" w:hAnsi="Cambria"/>
          <w:sz w:val="20"/>
          <w:szCs w:val="20"/>
          <w:bdr w:val="none" w:sz="0" w:space="0" w:color="auto"/>
        </w:rPr>
        <w:t>acce</w:t>
      </w:r>
      <w:r w:rsidR="00893808">
        <w:rPr>
          <w:rFonts w:ascii="Cambria" w:hAnsi="Cambria"/>
          <w:sz w:val="20"/>
          <w:szCs w:val="20"/>
          <w:bdr w:val="none" w:sz="0" w:space="0" w:color="auto"/>
        </w:rPr>
        <w:t>ssing</w:t>
      </w:r>
      <w:r w:rsidR="002F0508" w:rsidRPr="00A51861">
        <w:rPr>
          <w:rFonts w:ascii="Cambria" w:hAnsi="Cambria"/>
          <w:sz w:val="20"/>
          <w:szCs w:val="20"/>
          <w:bdr w:val="none" w:sz="0" w:space="0" w:color="auto"/>
        </w:rPr>
        <w:t xml:space="preserve"> </w:t>
      </w:r>
      <w:r w:rsidR="00893808">
        <w:rPr>
          <w:rFonts w:ascii="Cambria" w:hAnsi="Cambria"/>
          <w:sz w:val="20"/>
          <w:szCs w:val="20"/>
          <w:bdr w:val="none" w:sz="0" w:space="0" w:color="auto"/>
        </w:rPr>
        <w:t>remedies</w:t>
      </w:r>
      <w:r>
        <w:rPr>
          <w:rFonts w:ascii="Cambria" w:hAnsi="Cambria"/>
          <w:sz w:val="20"/>
          <w:szCs w:val="20"/>
          <w:bdr w:val="none" w:sz="0" w:space="0" w:color="auto"/>
        </w:rPr>
        <w:t xml:space="preserve"> and </w:t>
      </w:r>
      <w:r w:rsidR="002B762A">
        <w:rPr>
          <w:rFonts w:ascii="Cambria" w:hAnsi="Cambria"/>
          <w:sz w:val="20"/>
          <w:szCs w:val="20"/>
          <w:bdr w:val="none" w:sz="0" w:space="0" w:color="auto"/>
        </w:rPr>
        <w:t>obtaining</w:t>
      </w:r>
      <w:r w:rsidR="002F0508" w:rsidRPr="00A51861">
        <w:rPr>
          <w:rFonts w:ascii="Cambria" w:hAnsi="Cambria"/>
          <w:sz w:val="20"/>
          <w:szCs w:val="20"/>
          <w:bdr w:val="none" w:sz="0" w:space="0" w:color="auto"/>
        </w:rPr>
        <w:t xml:space="preserve"> </w:t>
      </w:r>
      <w:r w:rsidR="00893808" w:rsidRPr="00A51861">
        <w:rPr>
          <w:rFonts w:ascii="Cambria" w:hAnsi="Cambria"/>
          <w:sz w:val="20"/>
          <w:szCs w:val="20"/>
          <w:bdr w:val="none" w:sz="0" w:space="0" w:color="auto"/>
        </w:rPr>
        <w:t>individual reparations</w:t>
      </w:r>
      <w:r w:rsidR="002F0508" w:rsidRPr="00A51861">
        <w:rPr>
          <w:rFonts w:ascii="Cambria" w:hAnsi="Cambria"/>
          <w:sz w:val="20"/>
          <w:szCs w:val="20"/>
          <w:bdr w:val="none" w:sz="0" w:space="0" w:color="auto"/>
        </w:rPr>
        <w:t xml:space="preserve">; </w:t>
      </w:r>
      <w:r w:rsidR="00893808">
        <w:rPr>
          <w:rFonts w:ascii="Cambria" w:hAnsi="Cambria"/>
          <w:sz w:val="20"/>
          <w:szCs w:val="20"/>
          <w:bdr w:val="none" w:sz="0" w:space="0" w:color="auto"/>
        </w:rPr>
        <w:t>such as</w:t>
      </w:r>
      <w:r w:rsidR="009A4F91">
        <w:rPr>
          <w:rFonts w:ascii="Cambria" w:hAnsi="Cambria"/>
          <w:sz w:val="20"/>
          <w:szCs w:val="20"/>
          <w:bdr w:val="none" w:sz="0" w:space="0" w:color="auto"/>
        </w:rPr>
        <w:t xml:space="preserve"> </w:t>
      </w:r>
      <w:r w:rsidR="001937FB">
        <w:rPr>
          <w:rFonts w:ascii="Cambria" w:hAnsi="Cambria"/>
          <w:sz w:val="20"/>
          <w:szCs w:val="20"/>
          <w:bdr w:val="none" w:sz="0" w:space="0" w:color="auto"/>
        </w:rPr>
        <w:t>the Declaration</w:t>
      </w:r>
      <w:r w:rsidR="002F0508" w:rsidRPr="00A51861">
        <w:rPr>
          <w:rFonts w:ascii="Cambria" w:hAnsi="Cambria"/>
          <w:sz w:val="20"/>
          <w:szCs w:val="20"/>
          <w:bdr w:val="none" w:sz="0" w:space="0" w:color="auto"/>
        </w:rPr>
        <w:t xml:space="preserve"> </w:t>
      </w:r>
      <w:r w:rsidR="00893808">
        <w:rPr>
          <w:rFonts w:ascii="Cambria" w:hAnsi="Cambria"/>
          <w:sz w:val="20"/>
          <w:szCs w:val="20"/>
          <w:bdr w:val="none" w:sz="0" w:space="0" w:color="auto"/>
        </w:rPr>
        <w:t>on</w:t>
      </w:r>
      <w:r w:rsidR="002F0508" w:rsidRPr="00A51861">
        <w:rPr>
          <w:rFonts w:ascii="Cambria" w:hAnsi="Cambria"/>
          <w:sz w:val="20"/>
          <w:szCs w:val="20"/>
          <w:bdr w:val="none" w:sz="0" w:space="0" w:color="auto"/>
        </w:rPr>
        <w:t xml:space="preserve"> </w:t>
      </w:r>
      <w:r w:rsidR="00893808" w:rsidRPr="00A51861">
        <w:rPr>
          <w:rFonts w:ascii="Cambria" w:hAnsi="Cambria"/>
          <w:sz w:val="20"/>
          <w:szCs w:val="20"/>
          <w:bdr w:val="none" w:sz="0" w:space="0" w:color="auto"/>
        </w:rPr>
        <w:t>fundamental</w:t>
      </w:r>
      <w:r w:rsidR="00893808">
        <w:rPr>
          <w:rFonts w:ascii="Cambria" w:hAnsi="Cambria"/>
          <w:sz w:val="20"/>
          <w:szCs w:val="20"/>
          <w:bdr w:val="none" w:sz="0" w:space="0" w:color="auto"/>
        </w:rPr>
        <w:t xml:space="preserve"> </w:t>
      </w:r>
      <w:r w:rsidR="00444893">
        <w:rPr>
          <w:rFonts w:ascii="Cambria" w:hAnsi="Cambria"/>
          <w:sz w:val="20"/>
          <w:szCs w:val="20"/>
          <w:bdr w:val="none" w:sz="0" w:space="0" w:color="auto"/>
        </w:rPr>
        <w:t>principle</w:t>
      </w:r>
      <w:r w:rsidR="002F0508" w:rsidRPr="00A51861">
        <w:rPr>
          <w:rFonts w:ascii="Cambria" w:hAnsi="Cambria"/>
          <w:sz w:val="20"/>
          <w:szCs w:val="20"/>
          <w:bdr w:val="none" w:sz="0" w:space="0" w:color="auto"/>
        </w:rPr>
        <w:t xml:space="preserve">s </w:t>
      </w:r>
      <w:r>
        <w:rPr>
          <w:rFonts w:ascii="Cambria" w:hAnsi="Cambria"/>
          <w:sz w:val="20"/>
          <w:szCs w:val="20"/>
          <w:bdr w:val="none" w:sz="0" w:space="0" w:color="auto"/>
        </w:rPr>
        <w:t xml:space="preserve">of </w:t>
      </w:r>
      <w:r w:rsidR="001937FB">
        <w:rPr>
          <w:rFonts w:ascii="Cambria" w:hAnsi="Cambria"/>
          <w:sz w:val="20"/>
          <w:szCs w:val="20"/>
          <w:bdr w:val="none" w:sz="0" w:space="0" w:color="auto"/>
        </w:rPr>
        <w:t>justice</w:t>
      </w:r>
      <w:r w:rsidR="002F0508" w:rsidRPr="00A51861">
        <w:rPr>
          <w:rFonts w:ascii="Cambria" w:hAnsi="Cambria"/>
          <w:sz w:val="20"/>
          <w:szCs w:val="20"/>
          <w:bdr w:val="none" w:sz="0" w:space="0" w:color="auto"/>
        </w:rPr>
        <w:t xml:space="preserve"> </w:t>
      </w:r>
      <w:r w:rsidR="00893808">
        <w:rPr>
          <w:rFonts w:ascii="Cambria" w:hAnsi="Cambria"/>
          <w:sz w:val="20"/>
          <w:szCs w:val="20"/>
          <w:bdr w:val="none" w:sz="0" w:space="0" w:color="auto"/>
        </w:rPr>
        <w:t>for</w:t>
      </w:r>
      <w:r w:rsidR="002F0508" w:rsidRPr="00A51861">
        <w:rPr>
          <w:rFonts w:ascii="Cambria" w:hAnsi="Cambria"/>
          <w:sz w:val="20"/>
          <w:szCs w:val="20"/>
          <w:bdr w:val="none" w:sz="0" w:space="0" w:color="auto"/>
        </w:rPr>
        <w:t xml:space="preserve"> las </w:t>
      </w:r>
      <w:r w:rsidR="00B4073F">
        <w:rPr>
          <w:rFonts w:ascii="Cambria" w:hAnsi="Cambria"/>
          <w:sz w:val="20"/>
          <w:szCs w:val="20"/>
          <w:bdr w:val="none" w:sz="0" w:space="0" w:color="auto"/>
        </w:rPr>
        <w:t>victim</w:t>
      </w:r>
      <w:r w:rsidR="002F0508" w:rsidRPr="00A51861">
        <w:rPr>
          <w:rFonts w:ascii="Cambria" w:hAnsi="Cambria"/>
          <w:sz w:val="20"/>
          <w:szCs w:val="20"/>
          <w:bdr w:val="none" w:sz="0" w:space="0" w:color="auto"/>
        </w:rPr>
        <w:t>s</w:t>
      </w:r>
      <w:r>
        <w:rPr>
          <w:rFonts w:ascii="Cambria" w:hAnsi="Cambria"/>
          <w:sz w:val="20"/>
          <w:szCs w:val="20"/>
          <w:bdr w:val="none" w:sz="0" w:space="0" w:color="auto"/>
        </w:rPr>
        <w:t xml:space="preserve"> of </w:t>
      </w:r>
      <w:r w:rsidR="00893808">
        <w:rPr>
          <w:rFonts w:ascii="Cambria" w:hAnsi="Cambria"/>
          <w:sz w:val="20"/>
          <w:szCs w:val="20"/>
          <w:bdr w:val="none" w:sz="0" w:space="0" w:color="auto"/>
        </w:rPr>
        <w:t>crimes</w:t>
      </w:r>
      <w:r>
        <w:rPr>
          <w:rFonts w:ascii="Cambria" w:hAnsi="Cambria"/>
          <w:sz w:val="20"/>
          <w:szCs w:val="20"/>
          <w:bdr w:val="none" w:sz="0" w:space="0" w:color="auto"/>
        </w:rPr>
        <w:t xml:space="preserve"> and </w:t>
      </w:r>
      <w:r w:rsidR="002F0508" w:rsidRPr="00A51861">
        <w:rPr>
          <w:rFonts w:ascii="Cambria" w:hAnsi="Cambria"/>
          <w:sz w:val="20"/>
          <w:szCs w:val="20"/>
          <w:bdr w:val="none" w:sz="0" w:space="0" w:color="auto"/>
        </w:rPr>
        <w:t>abus</w:t>
      </w:r>
      <w:r w:rsidR="00893808">
        <w:rPr>
          <w:rFonts w:ascii="Cambria" w:hAnsi="Cambria"/>
          <w:sz w:val="20"/>
          <w:szCs w:val="20"/>
          <w:bdr w:val="none" w:sz="0" w:space="0" w:color="auto"/>
        </w:rPr>
        <w:t>e</w:t>
      </w:r>
      <w:r>
        <w:rPr>
          <w:rFonts w:ascii="Cambria" w:hAnsi="Cambria"/>
          <w:sz w:val="20"/>
          <w:szCs w:val="20"/>
          <w:bdr w:val="none" w:sz="0" w:space="0" w:color="auto"/>
        </w:rPr>
        <w:t xml:space="preserve"> of </w:t>
      </w:r>
      <w:r w:rsidR="002F0508" w:rsidRPr="00A51861">
        <w:rPr>
          <w:rFonts w:ascii="Cambria" w:hAnsi="Cambria"/>
          <w:sz w:val="20"/>
          <w:szCs w:val="20"/>
          <w:bdr w:val="none" w:sz="0" w:space="0" w:color="auto"/>
        </w:rPr>
        <w:t>po</w:t>
      </w:r>
      <w:r w:rsidR="00893808">
        <w:rPr>
          <w:rFonts w:ascii="Cambria" w:hAnsi="Cambria"/>
          <w:sz w:val="20"/>
          <w:szCs w:val="20"/>
          <w:bdr w:val="none" w:sz="0" w:space="0" w:color="auto"/>
        </w:rPr>
        <w:t>we</w:t>
      </w:r>
      <w:r w:rsidR="002F0508" w:rsidRPr="00A51861">
        <w:rPr>
          <w:rFonts w:ascii="Cambria" w:hAnsi="Cambria"/>
          <w:sz w:val="20"/>
          <w:szCs w:val="20"/>
          <w:bdr w:val="none" w:sz="0" w:space="0" w:color="auto"/>
        </w:rPr>
        <w:t>r</w:t>
      </w:r>
      <w:r w:rsidR="002F0508" w:rsidRPr="00A51861">
        <w:rPr>
          <w:rFonts w:ascii="Cambria" w:hAnsi="Cambria"/>
          <w:sz w:val="20"/>
          <w:szCs w:val="20"/>
          <w:bdr w:val="none" w:sz="0" w:space="0" w:color="auto"/>
          <w:vertAlign w:val="superscript"/>
        </w:rPr>
        <w:footnoteReference w:id="214"/>
      </w:r>
      <w:r w:rsidR="002F0508" w:rsidRPr="00A51861">
        <w:rPr>
          <w:rFonts w:ascii="Cambria" w:hAnsi="Cambria"/>
          <w:sz w:val="20"/>
          <w:szCs w:val="20"/>
          <w:bdr w:val="none" w:sz="0" w:space="0" w:color="auto"/>
        </w:rPr>
        <w:t xml:space="preserve">, </w:t>
      </w:r>
      <w:r w:rsidR="00893808">
        <w:rPr>
          <w:rFonts w:ascii="Cambria" w:hAnsi="Cambria"/>
          <w:sz w:val="20"/>
          <w:szCs w:val="20"/>
          <w:bdr w:val="none" w:sz="0" w:space="0" w:color="auto"/>
        </w:rPr>
        <w:t>the</w:t>
      </w:r>
      <w:r w:rsidR="002F0508" w:rsidRPr="00A51861">
        <w:rPr>
          <w:rFonts w:ascii="Cambria" w:hAnsi="Cambria"/>
          <w:sz w:val="20"/>
          <w:szCs w:val="20"/>
          <w:bdr w:val="none" w:sz="0" w:space="0" w:color="auto"/>
        </w:rPr>
        <w:t xml:space="preserve"> </w:t>
      </w:r>
      <w:r w:rsidR="00FF232F">
        <w:rPr>
          <w:rFonts w:ascii="Cambria" w:hAnsi="Cambria"/>
          <w:sz w:val="20"/>
          <w:szCs w:val="20"/>
          <w:bdr w:val="none" w:sz="0" w:space="0" w:color="auto"/>
        </w:rPr>
        <w:t>Body</w:t>
      </w:r>
      <w:r>
        <w:rPr>
          <w:rFonts w:ascii="Cambria" w:hAnsi="Cambria"/>
          <w:sz w:val="20"/>
          <w:szCs w:val="20"/>
          <w:bdr w:val="none" w:sz="0" w:space="0" w:color="auto"/>
        </w:rPr>
        <w:t xml:space="preserve"> of </w:t>
      </w:r>
      <w:r w:rsidR="00444893">
        <w:rPr>
          <w:rFonts w:ascii="Cambria" w:hAnsi="Cambria"/>
          <w:sz w:val="20"/>
          <w:szCs w:val="20"/>
          <w:bdr w:val="none" w:sz="0" w:space="0" w:color="auto"/>
        </w:rPr>
        <w:t>principle</w:t>
      </w:r>
      <w:r w:rsidR="002F0508" w:rsidRPr="00A51861">
        <w:rPr>
          <w:rFonts w:ascii="Cambria" w:hAnsi="Cambria"/>
          <w:sz w:val="20"/>
          <w:szCs w:val="20"/>
          <w:bdr w:val="none" w:sz="0" w:space="0" w:color="auto"/>
        </w:rPr>
        <w:t xml:space="preserve">s </w:t>
      </w:r>
      <w:r w:rsidR="00FF232F">
        <w:rPr>
          <w:rFonts w:ascii="Cambria" w:hAnsi="Cambria"/>
          <w:sz w:val="20"/>
          <w:szCs w:val="20"/>
          <w:bdr w:val="none" w:sz="0" w:space="0" w:color="auto"/>
        </w:rPr>
        <w:t>for</w:t>
      </w:r>
      <w:r w:rsidR="009A4F91">
        <w:rPr>
          <w:rFonts w:ascii="Cambria" w:hAnsi="Cambria"/>
          <w:sz w:val="20"/>
          <w:szCs w:val="20"/>
          <w:bdr w:val="none" w:sz="0" w:space="0" w:color="auto"/>
        </w:rPr>
        <w:t xml:space="preserve"> </w:t>
      </w:r>
      <w:r w:rsidR="009A4F91">
        <w:rPr>
          <w:rFonts w:ascii="Cambria" w:hAnsi="Cambria"/>
          <w:sz w:val="20"/>
          <w:szCs w:val="20"/>
          <w:bdr w:val="none" w:sz="0" w:space="0" w:color="auto"/>
        </w:rPr>
        <w:lastRenderedPageBreak/>
        <w:t xml:space="preserve">the </w:t>
      </w:r>
      <w:r w:rsidR="00EF4ED2">
        <w:rPr>
          <w:rFonts w:ascii="Cambria" w:hAnsi="Cambria"/>
          <w:sz w:val="20"/>
          <w:szCs w:val="20"/>
          <w:bdr w:val="none" w:sz="0" w:space="0" w:color="auto"/>
        </w:rPr>
        <w:t>protection</w:t>
      </w:r>
      <w:r>
        <w:rPr>
          <w:rFonts w:ascii="Cambria" w:hAnsi="Cambria"/>
          <w:sz w:val="20"/>
          <w:szCs w:val="20"/>
          <w:bdr w:val="none" w:sz="0" w:space="0" w:color="auto"/>
        </w:rPr>
        <w:t xml:space="preserve"> and</w:t>
      </w:r>
      <w:r w:rsidR="009A4F91">
        <w:rPr>
          <w:rFonts w:ascii="Cambria" w:hAnsi="Cambria"/>
          <w:sz w:val="20"/>
          <w:szCs w:val="20"/>
          <w:bdr w:val="none" w:sz="0" w:space="0" w:color="auto"/>
        </w:rPr>
        <w:t xml:space="preserve"> the </w:t>
      </w:r>
      <w:r w:rsidR="00893808" w:rsidRPr="00A51861">
        <w:rPr>
          <w:rFonts w:ascii="Cambria" w:hAnsi="Cambria"/>
          <w:sz w:val="20"/>
          <w:szCs w:val="20"/>
          <w:bdr w:val="none" w:sz="0" w:space="0" w:color="auto"/>
        </w:rPr>
        <w:t>promotion</w:t>
      </w:r>
      <w:r>
        <w:rPr>
          <w:rFonts w:ascii="Cambria" w:hAnsi="Cambria"/>
          <w:sz w:val="20"/>
          <w:szCs w:val="20"/>
          <w:bdr w:val="none" w:sz="0" w:space="0" w:color="auto"/>
        </w:rPr>
        <w:t xml:space="preserve"> of </w:t>
      </w:r>
      <w:r w:rsidR="00664D70">
        <w:rPr>
          <w:rFonts w:ascii="Cambria" w:hAnsi="Cambria"/>
          <w:sz w:val="20"/>
          <w:szCs w:val="20"/>
          <w:bdr w:val="none" w:sz="0" w:space="0" w:color="auto"/>
        </w:rPr>
        <w:t>Human rights</w:t>
      </w:r>
      <w:r w:rsidR="00F4684B">
        <w:rPr>
          <w:rFonts w:ascii="Cambria" w:hAnsi="Cambria"/>
          <w:sz w:val="20"/>
          <w:szCs w:val="20"/>
          <w:bdr w:val="none" w:sz="0" w:space="0" w:color="auto"/>
        </w:rPr>
        <w:t xml:space="preserve"> </w:t>
      </w:r>
      <w:r w:rsidR="00893808">
        <w:rPr>
          <w:rFonts w:ascii="Cambria" w:hAnsi="Cambria"/>
          <w:sz w:val="20"/>
          <w:szCs w:val="20"/>
          <w:bdr w:val="none" w:sz="0" w:space="0" w:color="auto"/>
        </w:rPr>
        <w:t xml:space="preserve">by means of the fight </w:t>
      </w:r>
      <w:r w:rsidR="00CB0928">
        <w:rPr>
          <w:rFonts w:ascii="Cambria" w:hAnsi="Cambria"/>
          <w:sz w:val="20"/>
          <w:szCs w:val="20"/>
          <w:bdr w:val="none" w:sz="0" w:space="0" w:color="auto"/>
        </w:rPr>
        <w:t>against</w:t>
      </w:r>
      <w:r w:rsidR="009A4F91">
        <w:rPr>
          <w:rFonts w:ascii="Cambria" w:hAnsi="Cambria"/>
          <w:sz w:val="20"/>
          <w:szCs w:val="20"/>
          <w:bdr w:val="none" w:sz="0" w:space="0" w:color="auto"/>
        </w:rPr>
        <w:t xml:space="preserve"> </w:t>
      </w:r>
      <w:r w:rsidR="002F0508" w:rsidRPr="00A51861">
        <w:rPr>
          <w:rFonts w:ascii="Cambria" w:hAnsi="Cambria"/>
          <w:sz w:val="20"/>
          <w:szCs w:val="20"/>
          <w:bdr w:val="none" w:sz="0" w:space="0" w:color="auto"/>
        </w:rPr>
        <w:t>impuni</w:t>
      </w:r>
      <w:r w:rsidR="00893808">
        <w:rPr>
          <w:rFonts w:ascii="Cambria" w:hAnsi="Cambria"/>
          <w:sz w:val="20"/>
          <w:szCs w:val="20"/>
          <w:bdr w:val="none" w:sz="0" w:space="0" w:color="auto"/>
        </w:rPr>
        <w:t>ty</w:t>
      </w:r>
      <w:r w:rsidR="002F0508" w:rsidRPr="00A51861">
        <w:rPr>
          <w:rFonts w:ascii="Cambria" w:hAnsi="Cambria"/>
          <w:sz w:val="20"/>
          <w:szCs w:val="20"/>
          <w:bdr w:val="none" w:sz="0" w:space="0" w:color="auto"/>
          <w:vertAlign w:val="superscript"/>
        </w:rPr>
        <w:footnoteReference w:id="215"/>
      </w:r>
      <w:r w:rsidR="002F0508" w:rsidRPr="00A51861">
        <w:rPr>
          <w:rFonts w:ascii="Cambria" w:hAnsi="Cambria"/>
          <w:sz w:val="20"/>
          <w:szCs w:val="20"/>
          <w:bdr w:val="none" w:sz="0" w:space="0" w:color="auto"/>
        </w:rPr>
        <w:t>,</w:t>
      </w:r>
      <w:r>
        <w:rPr>
          <w:rFonts w:ascii="Cambria" w:hAnsi="Cambria"/>
          <w:sz w:val="20"/>
          <w:szCs w:val="20"/>
          <w:bdr w:val="none" w:sz="0" w:space="0" w:color="auto"/>
        </w:rPr>
        <w:t xml:space="preserve"> and </w:t>
      </w:r>
      <w:r w:rsidR="00FF232F">
        <w:rPr>
          <w:rFonts w:ascii="Cambria" w:hAnsi="Cambria"/>
          <w:sz w:val="20"/>
          <w:szCs w:val="20"/>
          <w:bdr w:val="none" w:sz="0" w:space="0" w:color="auto"/>
        </w:rPr>
        <w:t xml:space="preserve">the </w:t>
      </w:r>
      <w:r w:rsidR="00FF232F" w:rsidRPr="00A51861">
        <w:rPr>
          <w:rFonts w:ascii="Cambria" w:hAnsi="Cambria"/>
          <w:sz w:val="20"/>
          <w:szCs w:val="20"/>
          <w:bdr w:val="none" w:sz="0" w:space="0" w:color="auto"/>
        </w:rPr>
        <w:t>b</w:t>
      </w:r>
      <w:r w:rsidR="00FF232F">
        <w:rPr>
          <w:rFonts w:ascii="Cambria" w:hAnsi="Cambria"/>
          <w:sz w:val="20"/>
          <w:szCs w:val="20"/>
          <w:bdr w:val="none" w:sz="0" w:space="0" w:color="auto"/>
        </w:rPr>
        <w:t>a</w:t>
      </w:r>
      <w:r w:rsidR="00FF232F" w:rsidRPr="00A51861">
        <w:rPr>
          <w:rFonts w:ascii="Cambria" w:hAnsi="Cambria"/>
          <w:sz w:val="20"/>
          <w:szCs w:val="20"/>
          <w:bdr w:val="none" w:sz="0" w:space="0" w:color="auto"/>
        </w:rPr>
        <w:t>sic</w:t>
      </w:r>
      <w:r w:rsidR="002F0508" w:rsidRPr="00A51861">
        <w:rPr>
          <w:rFonts w:ascii="Cambria" w:hAnsi="Cambria"/>
          <w:sz w:val="20"/>
          <w:szCs w:val="20"/>
          <w:bdr w:val="none" w:sz="0" w:space="0" w:color="auto"/>
        </w:rPr>
        <w:t xml:space="preserve"> </w:t>
      </w:r>
      <w:r w:rsidR="00444893">
        <w:rPr>
          <w:rFonts w:ascii="Cambria" w:hAnsi="Cambria"/>
          <w:sz w:val="20"/>
          <w:szCs w:val="20"/>
          <w:bdr w:val="none" w:sz="0" w:space="0" w:color="auto"/>
        </w:rPr>
        <w:t>Principle</w:t>
      </w:r>
      <w:r w:rsidR="002F0508" w:rsidRPr="00A51861">
        <w:rPr>
          <w:rFonts w:ascii="Cambria" w:hAnsi="Cambria"/>
          <w:sz w:val="20"/>
          <w:szCs w:val="20"/>
          <w:bdr w:val="none" w:sz="0" w:space="0" w:color="auto"/>
        </w:rPr>
        <w:t>s</w:t>
      </w:r>
      <w:r>
        <w:rPr>
          <w:rFonts w:ascii="Cambria" w:hAnsi="Cambria"/>
          <w:sz w:val="20"/>
          <w:szCs w:val="20"/>
          <w:bdr w:val="none" w:sz="0" w:space="0" w:color="auto"/>
        </w:rPr>
        <w:t xml:space="preserve"> and </w:t>
      </w:r>
      <w:r w:rsidR="00FF232F">
        <w:rPr>
          <w:rFonts w:ascii="Cambria" w:hAnsi="Cambria"/>
          <w:sz w:val="20"/>
          <w:szCs w:val="20"/>
          <w:bdr w:val="none" w:sz="0" w:space="0" w:color="auto"/>
        </w:rPr>
        <w:t>guidelines</w:t>
      </w:r>
      <w:r w:rsidR="002F0508" w:rsidRPr="00A51861">
        <w:rPr>
          <w:rFonts w:ascii="Cambria" w:hAnsi="Cambria"/>
          <w:sz w:val="20"/>
          <w:szCs w:val="20"/>
          <w:bdr w:val="none" w:sz="0" w:space="0" w:color="auto"/>
        </w:rPr>
        <w:t xml:space="preserve"> </w:t>
      </w:r>
      <w:r w:rsidR="00FF232F">
        <w:rPr>
          <w:rFonts w:ascii="Cambria" w:hAnsi="Cambria"/>
          <w:sz w:val="20"/>
          <w:szCs w:val="20"/>
          <w:bdr w:val="none" w:sz="0" w:space="0" w:color="auto"/>
        </w:rPr>
        <w:t>on the</w:t>
      </w:r>
      <w:r w:rsidR="002F0508" w:rsidRPr="00A51861">
        <w:rPr>
          <w:rFonts w:ascii="Cambria" w:hAnsi="Cambria"/>
          <w:sz w:val="20"/>
          <w:szCs w:val="20"/>
          <w:bdr w:val="none" w:sz="0" w:space="0" w:color="auto"/>
        </w:rPr>
        <w:t xml:space="preserve"> </w:t>
      </w:r>
      <w:r w:rsidR="009B462E">
        <w:rPr>
          <w:rFonts w:ascii="Cambria" w:hAnsi="Cambria"/>
          <w:sz w:val="20"/>
          <w:szCs w:val="20"/>
          <w:bdr w:val="none" w:sz="0" w:space="0" w:color="auto"/>
        </w:rPr>
        <w:t xml:space="preserve">right of </w:t>
      </w:r>
      <w:r w:rsidR="002F0508" w:rsidRPr="00A51861">
        <w:rPr>
          <w:rFonts w:ascii="Cambria" w:hAnsi="Cambria"/>
          <w:sz w:val="20"/>
          <w:szCs w:val="20"/>
          <w:bdr w:val="none" w:sz="0" w:space="0" w:color="auto"/>
        </w:rPr>
        <w:t xml:space="preserve">las </w:t>
      </w:r>
      <w:r w:rsidR="00B4073F">
        <w:rPr>
          <w:rFonts w:ascii="Cambria" w:hAnsi="Cambria"/>
          <w:sz w:val="20"/>
          <w:szCs w:val="20"/>
          <w:bdr w:val="none" w:sz="0" w:space="0" w:color="auto"/>
        </w:rPr>
        <w:t>victim</w:t>
      </w:r>
      <w:r w:rsidR="002F0508" w:rsidRPr="00A51861">
        <w:rPr>
          <w:rFonts w:ascii="Cambria" w:hAnsi="Cambria"/>
          <w:sz w:val="20"/>
          <w:szCs w:val="20"/>
          <w:bdr w:val="none" w:sz="0" w:space="0" w:color="auto"/>
        </w:rPr>
        <w:t>s</w:t>
      </w:r>
      <w:r>
        <w:rPr>
          <w:rFonts w:ascii="Cambria" w:hAnsi="Cambria"/>
          <w:sz w:val="20"/>
          <w:szCs w:val="20"/>
          <w:bdr w:val="none" w:sz="0" w:space="0" w:color="auto"/>
        </w:rPr>
        <w:t xml:space="preserve"> of </w:t>
      </w:r>
      <w:r w:rsidR="00FF232F" w:rsidRPr="00A51861">
        <w:rPr>
          <w:rFonts w:ascii="Cambria" w:hAnsi="Cambria"/>
          <w:sz w:val="20"/>
          <w:szCs w:val="20"/>
          <w:bdr w:val="none" w:sz="0" w:space="0" w:color="auto"/>
        </w:rPr>
        <w:t>manifest</w:t>
      </w:r>
      <w:r w:rsidR="00FF232F">
        <w:rPr>
          <w:rFonts w:ascii="Cambria" w:hAnsi="Cambria"/>
          <w:sz w:val="20"/>
          <w:szCs w:val="20"/>
          <w:bdr w:val="none" w:sz="0" w:space="0" w:color="auto"/>
        </w:rPr>
        <w:t xml:space="preserve"> </w:t>
      </w:r>
      <w:r w:rsidR="004E1083">
        <w:rPr>
          <w:rFonts w:ascii="Cambria" w:hAnsi="Cambria"/>
          <w:sz w:val="20"/>
          <w:szCs w:val="20"/>
          <w:bdr w:val="none" w:sz="0" w:space="0" w:color="auto"/>
        </w:rPr>
        <w:t>violations</w:t>
      </w:r>
      <w:r w:rsidR="002F0508" w:rsidRPr="00A51861">
        <w:rPr>
          <w:rFonts w:ascii="Cambria" w:hAnsi="Cambria"/>
          <w:sz w:val="20"/>
          <w:szCs w:val="20"/>
          <w:bdr w:val="none" w:sz="0" w:space="0" w:color="auto"/>
        </w:rPr>
        <w:t xml:space="preserve"> </w:t>
      </w:r>
      <w:r>
        <w:rPr>
          <w:rFonts w:ascii="Cambria" w:hAnsi="Cambria"/>
          <w:sz w:val="20"/>
          <w:szCs w:val="20"/>
          <w:bdr w:val="none" w:sz="0" w:space="0" w:color="auto"/>
        </w:rPr>
        <w:t xml:space="preserve">of </w:t>
      </w:r>
      <w:r w:rsidR="00FF232F">
        <w:rPr>
          <w:rFonts w:ascii="Cambria" w:hAnsi="Cambria"/>
          <w:sz w:val="20"/>
          <w:szCs w:val="20"/>
          <w:bdr w:val="none" w:sz="0" w:space="0" w:color="auto"/>
        </w:rPr>
        <w:t>international</w:t>
      </w:r>
      <w:r>
        <w:rPr>
          <w:rFonts w:ascii="Cambria" w:hAnsi="Cambria"/>
          <w:sz w:val="20"/>
          <w:szCs w:val="20"/>
          <w:bdr w:val="none" w:sz="0" w:space="0" w:color="auto"/>
        </w:rPr>
        <w:t xml:space="preserve"> </w:t>
      </w:r>
      <w:r w:rsidR="00FF232F" w:rsidRPr="00A51861">
        <w:rPr>
          <w:rFonts w:ascii="Cambria" w:hAnsi="Cambria"/>
          <w:sz w:val="20"/>
          <w:szCs w:val="20"/>
          <w:bdr w:val="none" w:sz="0" w:space="0" w:color="auto"/>
        </w:rPr>
        <w:t>norm</w:t>
      </w:r>
      <w:r w:rsidR="00FF232F">
        <w:rPr>
          <w:rFonts w:ascii="Cambria" w:hAnsi="Cambria"/>
          <w:sz w:val="20"/>
          <w:szCs w:val="20"/>
          <w:bdr w:val="none" w:sz="0" w:space="0" w:color="auto"/>
        </w:rPr>
        <w:t>s</w:t>
      </w:r>
      <w:r w:rsidR="00FF232F" w:rsidRPr="00A51861">
        <w:rPr>
          <w:rFonts w:ascii="Cambria" w:hAnsi="Cambria"/>
          <w:sz w:val="20"/>
          <w:szCs w:val="20"/>
          <w:bdr w:val="none" w:sz="0" w:space="0" w:color="auto"/>
        </w:rPr>
        <w:t xml:space="preserve"> </w:t>
      </w:r>
      <w:r>
        <w:rPr>
          <w:rFonts w:ascii="Cambria" w:hAnsi="Cambria"/>
          <w:sz w:val="20"/>
          <w:szCs w:val="20"/>
          <w:bdr w:val="none" w:sz="0" w:space="0" w:color="auto"/>
        </w:rPr>
        <w:t xml:space="preserve">of </w:t>
      </w:r>
      <w:r w:rsidR="008D442C">
        <w:rPr>
          <w:rFonts w:ascii="Cambria" w:hAnsi="Cambria"/>
          <w:sz w:val="20"/>
          <w:szCs w:val="20"/>
          <w:bdr w:val="none" w:sz="0" w:space="0" w:color="auto"/>
        </w:rPr>
        <w:t>h</w:t>
      </w:r>
      <w:r w:rsidR="00664D70">
        <w:rPr>
          <w:rFonts w:ascii="Cambria" w:hAnsi="Cambria"/>
          <w:sz w:val="20"/>
          <w:szCs w:val="20"/>
          <w:bdr w:val="none" w:sz="0" w:space="0" w:color="auto"/>
        </w:rPr>
        <w:t>uman rights</w:t>
      </w:r>
      <w:r w:rsidR="00F4684B">
        <w:rPr>
          <w:rFonts w:ascii="Cambria" w:hAnsi="Cambria"/>
          <w:sz w:val="20"/>
          <w:szCs w:val="20"/>
          <w:bdr w:val="none" w:sz="0" w:space="0" w:color="auto"/>
        </w:rPr>
        <w:t xml:space="preserve"> </w:t>
      </w:r>
      <w:r>
        <w:rPr>
          <w:rFonts w:ascii="Cambria" w:hAnsi="Cambria"/>
          <w:sz w:val="20"/>
          <w:szCs w:val="20"/>
          <w:bdr w:val="none" w:sz="0" w:space="0" w:color="auto"/>
        </w:rPr>
        <w:t>and</w:t>
      </w:r>
      <w:r w:rsidR="004969F4">
        <w:rPr>
          <w:rFonts w:ascii="Cambria" w:hAnsi="Cambria"/>
          <w:sz w:val="20"/>
          <w:szCs w:val="20"/>
          <w:bdr w:val="none" w:sz="0" w:space="0" w:color="auto"/>
        </w:rPr>
        <w:t xml:space="preserve"> of </w:t>
      </w:r>
      <w:r w:rsidR="00F406E1">
        <w:rPr>
          <w:rFonts w:ascii="Cambria" w:hAnsi="Cambria"/>
          <w:sz w:val="20"/>
          <w:szCs w:val="20"/>
          <w:bdr w:val="none" w:sz="0" w:space="0" w:color="auto"/>
        </w:rPr>
        <w:t xml:space="preserve">international </w:t>
      </w:r>
      <w:r w:rsidR="002F0508" w:rsidRPr="00A51861">
        <w:rPr>
          <w:rFonts w:ascii="Cambria" w:hAnsi="Cambria"/>
          <w:sz w:val="20"/>
          <w:szCs w:val="20"/>
          <w:bdr w:val="none" w:sz="0" w:space="0" w:color="auto"/>
        </w:rPr>
        <w:t>humanitar</w:t>
      </w:r>
      <w:r w:rsidR="00FF232F">
        <w:rPr>
          <w:rFonts w:ascii="Cambria" w:hAnsi="Cambria"/>
          <w:sz w:val="20"/>
          <w:szCs w:val="20"/>
          <w:bdr w:val="none" w:sz="0" w:space="0" w:color="auto"/>
        </w:rPr>
        <w:t>ian</w:t>
      </w:r>
      <w:r w:rsidR="002F0508" w:rsidRPr="00A51861">
        <w:rPr>
          <w:rFonts w:ascii="Cambria" w:hAnsi="Cambria"/>
          <w:sz w:val="20"/>
          <w:szCs w:val="20"/>
          <w:bdr w:val="none" w:sz="0" w:space="0" w:color="auto"/>
        </w:rPr>
        <w:t xml:space="preserve"> </w:t>
      </w:r>
      <w:r w:rsidR="00FF232F">
        <w:rPr>
          <w:rFonts w:ascii="Cambria" w:hAnsi="Cambria"/>
          <w:sz w:val="20"/>
          <w:szCs w:val="20"/>
          <w:bdr w:val="none" w:sz="0" w:space="0" w:color="auto"/>
        </w:rPr>
        <w:t>law</w:t>
      </w:r>
      <w:r w:rsidR="00FF232F" w:rsidRPr="00A51861">
        <w:rPr>
          <w:rFonts w:ascii="Cambria" w:hAnsi="Cambria"/>
          <w:sz w:val="20"/>
          <w:szCs w:val="20"/>
          <w:bdr w:val="none" w:sz="0" w:space="0" w:color="auto"/>
        </w:rPr>
        <w:t xml:space="preserve"> </w:t>
      </w:r>
      <w:r w:rsidR="00FF232F">
        <w:rPr>
          <w:rFonts w:ascii="Cambria" w:hAnsi="Cambria"/>
          <w:sz w:val="20"/>
          <w:szCs w:val="20"/>
          <w:bdr w:val="none" w:sz="0" w:space="0" w:color="auto"/>
        </w:rPr>
        <w:t>to file remedies</w:t>
      </w:r>
      <w:r>
        <w:rPr>
          <w:rFonts w:ascii="Cambria" w:hAnsi="Cambria"/>
          <w:sz w:val="20"/>
          <w:szCs w:val="20"/>
          <w:bdr w:val="none" w:sz="0" w:space="0" w:color="auto"/>
        </w:rPr>
        <w:t xml:space="preserve"> and </w:t>
      </w:r>
      <w:r w:rsidR="002B762A">
        <w:rPr>
          <w:rFonts w:ascii="Cambria" w:hAnsi="Cambria"/>
          <w:sz w:val="20"/>
          <w:szCs w:val="20"/>
          <w:bdr w:val="none" w:sz="0" w:space="0" w:color="auto"/>
        </w:rPr>
        <w:t>obtaining</w:t>
      </w:r>
      <w:r w:rsidR="002F0508" w:rsidRPr="00A51861">
        <w:rPr>
          <w:rFonts w:ascii="Cambria" w:hAnsi="Cambria"/>
          <w:sz w:val="20"/>
          <w:szCs w:val="20"/>
          <w:bdr w:val="none" w:sz="0" w:space="0" w:color="auto"/>
        </w:rPr>
        <w:t xml:space="preserve"> </w:t>
      </w:r>
      <w:r w:rsidR="00FF232F" w:rsidRPr="00A51861">
        <w:rPr>
          <w:rFonts w:ascii="Cambria" w:hAnsi="Cambria"/>
          <w:sz w:val="20"/>
          <w:szCs w:val="20"/>
          <w:bdr w:val="none" w:sz="0" w:space="0" w:color="auto"/>
        </w:rPr>
        <w:t>reparations</w:t>
      </w:r>
      <w:r w:rsidR="002F0508" w:rsidRPr="00A51861">
        <w:rPr>
          <w:rFonts w:ascii="Cambria" w:hAnsi="Cambria"/>
          <w:sz w:val="20"/>
          <w:szCs w:val="20"/>
          <w:bdr w:val="none" w:sz="0" w:space="0" w:color="auto"/>
          <w:vertAlign w:val="superscript"/>
        </w:rPr>
        <w:footnoteReference w:id="216"/>
      </w:r>
      <w:r w:rsidR="002F0508" w:rsidRPr="00A51861">
        <w:rPr>
          <w:rFonts w:ascii="Cambria" w:hAnsi="Cambria"/>
          <w:sz w:val="20"/>
          <w:szCs w:val="20"/>
          <w:bdr w:val="none" w:sz="0" w:space="0" w:color="auto"/>
        </w:rPr>
        <w:t xml:space="preserve">. </w:t>
      </w:r>
      <w:r w:rsidR="00FF232F">
        <w:rPr>
          <w:rFonts w:ascii="Cambria" w:hAnsi="Cambria"/>
          <w:sz w:val="20"/>
          <w:szCs w:val="20"/>
          <w:bdr w:val="none" w:sz="0" w:space="0" w:color="auto"/>
        </w:rPr>
        <w:t>Similarly</w:t>
      </w:r>
      <w:r w:rsidR="002F0508" w:rsidRPr="00A51861">
        <w:rPr>
          <w:rFonts w:ascii="Cambria" w:hAnsi="Cambria"/>
          <w:sz w:val="20"/>
          <w:szCs w:val="20"/>
          <w:bdr w:val="none" w:sz="0" w:space="0" w:color="auto"/>
        </w:rPr>
        <w:t xml:space="preserve">, </w:t>
      </w:r>
      <w:r w:rsidR="00FF232F">
        <w:rPr>
          <w:rFonts w:ascii="Cambria" w:hAnsi="Cambria"/>
          <w:sz w:val="20"/>
          <w:szCs w:val="20"/>
          <w:bdr w:val="none" w:sz="0" w:space="0" w:color="auto"/>
        </w:rPr>
        <w:t xml:space="preserve">the set forth by </w:t>
      </w:r>
      <w:r w:rsidR="009A4F91">
        <w:rPr>
          <w:rFonts w:ascii="Cambria" w:hAnsi="Cambria"/>
          <w:sz w:val="20"/>
          <w:szCs w:val="20"/>
          <w:bdr w:val="none" w:sz="0" w:space="0" w:color="auto"/>
        </w:rPr>
        <w:t xml:space="preserve">the </w:t>
      </w:r>
      <w:r w:rsidR="00FF232F">
        <w:rPr>
          <w:rFonts w:ascii="Cambria" w:hAnsi="Cambria"/>
          <w:sz w:val="20"/>
          <w:szCs w:val="20"/>
          <w:bdr w:val="none" w:sz="0" w:space="0" w:color="auto"/>
        </w:rPr>
        <w:t>Court</w:t>
      </w:r>
      <w:r w:rsidR="002F0508" w:rsidRPr="00A51861">
        <w:rPr>
          <w:rFonts w:ascii="Cambria" w:hAnsi="Cambria"/>
          <w:sz w:val="20"/>
          <w:szCs w:val="20"/>
          <w:bdr w:val="none" w:sz="0" w:space="0" w:color="auto"/>
        </w:rPr>
        <w:t xml:space="preserve">, </w:t>
      </w:r>
      <w:r w:rsidR="00FF232F">
        <w:rPr>
          <w:rFonts w:ascii="Cambria" w:hAnsi="Cambria"/>
          <w:sz w:val="20"/>
          <w:szCs w:val="20"/>
          <w:bdr w:val="none" w:sz="0" w:space="0" w:color="auto"/>
        </w:rPr>
        <w:t xml:space="preserve">the European Court </w:t>
      </w:r>
      <w:r w:rsidR="00664D70">
        <w:rPr>
          <w:rFonts w:ascii="Cambria" w:hAnsi="Cambria"/>
          <w:sz w:val="20"/>
          <w:szCs w:val="20"/>
          <w:bdr w:val="none" w:sz="0" w:space="0" w:color="auto"/>
        </w:rPr>
        <w:t>on Human Rights</w:t>
      </w:r>
      <w:r w:rsidR="002F0508" w:rsidRPr="00A51861">
        <w:rPr>
          <w:rFonts w:ascii="Cambria" w:hAnsi="Cambria"/>
          <w:sz w:val="20"/>
          <w:szCs w:val="20"/>
          <w:bdr w:val="none" w:sz="0" w:space="0" w:color="auto"/>
        </w:rPr>
        <w:t xml:space="preserve"> ha</w:t>
      </w:r>
      <w:r w:rsidR="00FF232F">
        <w:rPr>
          <w:rFonts w:ascii="Cambria" w:hAnsi="Cambria"/>
          <w:sz w:val="20"/>
          <w:szCs w:val="20"/>
          <w:bdr w:val="none" w:sz="0" w:space="0" w:color="auto"/>
        </w:rPr>
        <w:t>s</w:t>
      </w:r>
      <w:r w:rsidR="002F0508" w:rsidRPr="00A51861">
        <w:rPr>
          <w:rFonts w:ascii="Cambria" w:hAnsi="Cambria"/>
          <w:sz w:val="20"/>
          <w:szCs w:val="20"/>
          <w:bdr w:val="none" w:sz="0" w:space="0" w:color="auto"/>
        </w:rPr>
        <w:t xml:space="preserve"> </w:t>
      </w:r>
      <w:r w:rsidR="00FF232F">
        <w:rPr>
          <w:rFonts w:ascii="Cambria" w:hAnsi="Cambria"/>
          <w:sz w:val="20"/>
          <w:szCs w:val="20"/>
          <w:bdr w:val="none" w:sz="0" w:space="0" w:color="auto"/>
        </w:rPr>
        <w:t>recognized</w:t>
      </w:r>
      <w:r w:rsidR="009A4F91">
        <w:rPr>
          <w:rFonts w:ascii="Cambria" w:hAnsi="Cambria"/>
          <w:sz w:val="20"/>
          <w:szCs w:val="20"/>
          <w:bdr w:val="none" w:sz="0" w:space="0" w:color="auto"/>
        </w:rPr>
        <w:t xml:space="preserve"> the </w:t>
      </w:r>
      <w:r w:rsidR="002F0508" w:rsidRPr="00A51861">
        <w:rPr>
          <w:rFonts w:ascii="Cambria" w:hAnsi="Cambria"/>
          <w:sz w:val="20"/>
          <w:szCs w:val="20"/>
          <w:bdr w:val="none" w:sz="0" w:space="0" w:color="auto"/>
        </w:rPr>
        <w:t>compatibili</w:t>
      </w:r>
      <w:r w:rsidR="00FA2E7B">
        <w:rPr>
          <w:rFonts w:ascii="Cambria" w:hAnsi="Cambria"/>
          <w:sz w:val="20"/>
          <w:szCs w:val="20"/>
          <w:bdr w:val="none" w:sz="0" w:space="0" w:color="auto"/>
        </w:rPr>
        <w:t xml:space="preserve">ty </w:t>
      </w:r>
      <w:r w:rsidR="00FF232F">
        <w:rPr>
          <w:rFonts w:ascii="Cambria" w:hAnsi="Cambria"/>
          <w:sz w:val="20"/>
          <w:szCs w:val="20"/>
          <w:bdr w:val="none" w:sz="0" w:space="0" w:color="auto"/>
        </w:rPr>
        <w:t xml:space="preserve">between </w:t>
      </w:r>
      <w:r w:rsidR="00FF232F" w:rsidRPr="00A51861">
        <w:rPr>
          <w:rFonts w:ascii="Cambria" w:hAnsi="Cambria"/>
          <w:sz w:val="20"/>
          <w:szCs w:val="20"/>
          <w:bdr w:val="none" w:sz="0" w:space="0" w:color="auto"/>
        </w:rPr>
        <w:t>collective</w:t>
      </w:r>
      <w:r>
        <w:rPr>
          <w:rFonts w:ascii="Cambria" w:hAnsi="Cambria"/>
          <w:sz w:val="20"/>
          <w:szCs w:val="20"/>
          <w:bdr w:val="none" w:sz="0" w:space="0" w:color="auto"/>
        </w:rPr>
        <w:t xml:space="preserve"> and </w:t>
      </w:r>
      <w:r w:rsidR="002F0508" w:rsidRPr="00A51861">
        <w:rPr>
          <w:rFonts w:ascii="Cambria" w:hAnsi="Cambria"/>
          <w:sz w:val="20"/>
          <w:szCs w:val="20"/>
          <w:bdr w:val="none" w:sz="0" w:space="0" w:color="auto"/>
        </w:rPr>
        <w:t>individual</w:t>
      </w:r>
      <w:r w:rsidR="00FF232F">
        <w:rPr>
          <w:rFonts w:ascii="Cambria" w:hAnsi="Cambria"/>
          <w:sz w:val="20"/>
          <w:szCs w:val="20"/>
          <w:bdr w:val="none" w:sz="0" w:space="0" w:color="auto"/>
        </w:rPr>
        <w:t xml:space="preserve"> measur</w:t>
      </w:r>
      <w:r w:rsidR="002F0508" w:rsidRPr="00A51861">
        <w:rPr>
          <w:rFonts w:ascii="Cambria" w:hAnsi="Cambria"/>
          <w:sz w:val="20"/>
          <w:szCs w:val="20"/>
          <w:bdr w:val="none" w:sz="0" w:space="0" w:color="auto"/>
        </w:rPr>
        <w:t>es</w:t>
      </w:r>
      <w:r w:rsidR="002F0508" w:rsidRPr="00A51861">
        <w:rPr>
          <w:rFonts w:ascii="Cambria" w:hAnsi="Cambria"/>
          <w:sz w:val="20"/>
          <w:szCs w:val="20"/>
          <w:bdr w:val="none" w:sz="0" w:space="0" w:color="auto"/>
          <w:vertAlign w:val="superscript"/>
        </w:rPr>
        <w:footnoteReference w:id="217"/>
      </w:r>
      <w:r w:rsidR="001D1D61">
        <w:rPr>
          <w:rFonts w:ascii="Cambria" w:hAnsi="Cambria"/>
          <w:sz w:val="20"/>
          <w:szCs w:val="20"/>
          <w:bdr w:val="none" w:sz="0" w:space="0" w:color="auto"/>
        </w:rPr>
        <w:t>. Th</w:t>
      </w:r>
      <w:r w:rsidR="00E64C43">
        <w:rPr>
          <w:rFonts w:ascii="Cambria" w:hAnsi="Cambria"/>
          <w:sz w:val="20"/>
          <w:szCs w:val="20"/>
          <w:bdr w:val="none" w:sz="0" w:space="0" w:color="auto"/>
        </w:rPr>
        <w:t xml:space="preserve">ese </w:t>
      </w:r>
      <w:r w:rsidR="00FF232F" w:rsidRPr="00A51861">
        <w:rPr>
          <w:rFonts w:ascii="Cambria" w:hAnsi="Cambria"/>
          <w:sz w:val="20"/>
          <w:szCs w:val="20"/>
          <w:bdr w:val="none" w:sz="0" w:space="0" w:color="auto"/>
        </w:rPr>
        <w:t>mechanisms</w:t>
      </w:r>
      <w:r w:rsidR="002F0508" w:rsidRPr="00A51861">
        <w:rPr>
          <w:rFonts w:ascii="Cambria" w:hAnsi="Cambria"/>
          <w:sz w:val="20"/>
          <w:szCs w:val="20"/>
          <w:bdr w:val="none" w:sz="0" w:space="0" w:color="auto"/>
        </w:rPr>
        <w:t xml:space="preserve"> </w:t>
      </w:r>
      <w:r w:rsidR="00FF232F">
        <w:rPr>
          <w:rFonts w:ascii="Cambria" w:hAnsi="Cambria"/>
          <w:sz w:val="20"/>
          <w:szCs w:val="20"/>
          <w:bdr w:val="none" w:sz="0" w:space="0" w:color="auto"/>
        </w:rPr>
        <w:t>must satisfy the</w:t>
      </w:r>
      <w:r w:rsidR="002F0508" w:rsidRPr="00A51861">
        <w:rPr>
          <w:rFonts w:ascii="Cambria" w:hAnsi="Cambria"/>
          <w:sz w:val="20"/>
          <w:szCs w:val="20"/>
          <w:bdr w:val="none" w:sz="0" w:space="0" w:color="auto"/>
        </w:rPr>
        <w:t xml:space="preserve"> criteri</w:t>
      </w:r>
      <w:r w:rsidR="00FF232F">
        <w:rPr>
          <w:rFonts w:ascii="Cambria" w:hAnsi="Cambria"/>
          <w:sz w:val="20"/>
          <w:szCs w:val="20"/>
          <w:bdr w:val="none" w:sz="0" w:space="0" w:color="auto"/>
        </w:rPr>
        <w:t>a</w:t>
      </w:r>
      <w:r>
        <w:rPr>
          <w:rFonts w:ascii="Cambria" w:hAnsi="Cambria"/>
          <w:sz w:val="20"/>
          <w:szCs w:val="20"/>
          <w:bdr w:val="none" w:sz="0" w:space="0" w:color="auto"/>
        </w:rPr>
        <w:t xml:space="preserve"> of </w:t>
      </w:r>
      <w:r w:rsidR="002F0508" w:rsidRPr="00A51861">
        <w:rPr>
          <w:rFonts w:ascii="Cambria" w:hAnsi="Cambria"/>
          <w:sz w:val="20"/>
          <w:szCs w:val="20"/>
          <w:bdr w:val="none" w:sz="0" w:space="0" w:color="auto"/>
        </w:rPr>
        <w:t>obje</w:t>
      </w:r>
      <w:r w:rsidR="00FF232F">
        <w:rPr>
          <w:rFonts w:ascii="Cambria" w:hAnsi="Cambria"/>
          <w:sz w:val="20"/>
          <w:szCs w:val="20"/>
          <w:bdr w:val="none" w:sz="0" w:space="0" w:color="auto"/>
        </w:rPr>
        <w:t>c</w:t>
      </w:r>
      <w:r w:rsidR="002F0508" w:rsidRPr="00A51861">
        <w:rPr>
          <w:rFonts w:ascii="Cambria" w:hAnsi="Cambria"/>
          <w:sz w:val="20"/>
          <w:szCs w:val="20"/>
          <w:bdr w:val="none" w:sz="0" w:space="0" w:color="auto"/>
        </w:rPr>
        <w:t>tivi</w:t>
      </w:r>
      <w:r w:rsidR="00FF232F">
        <w:rPr>
          <w:rFonts w:ascii="Cambria" w:hAnsi="Cambria"/>
          <w:sz w:val="20"/>
          <w:szCs w:val="20"/>
          <w:bdr w:val="none" w:sz="0" w:space="0" w:color="auto"/>
        </w:rPr>
        <w:t>ty</w:t>
      </w:r>
      <w:r w:rsidR="002F0508" w:rsidRPr="00A51861">
        <w:rPr>
          <w:rFonts w:ascii="Cambria" w:hAnsi="Cambria"/>
          <w:sz w:val="20"/>
          <w:szCs w:val="20"/>
          <w:bdr w:val="none" w:sz="0" w:space="0" w:color="auto"/>
        </w:rPr>
        <w:t>, r</w:t>
      </w:r>
      <w:r w:rsidR="00FF232F">
        <w:rPr>
          <w:rFonts w:ascii="Cambria" w:hAnsi="Cambria"/>
          <w:sz w:val="20"/>
          <w:szCs w:val="20"/>
          <w:bdr w:val="none" w:sz="0" w:space="0" w:color="auto"/>
        </w:rPr>
        <w:t>easo</w:t>
      </w:r>
      <w:r w:rsidR="002F0508" w:rsidRPr="00A51861">
        <w:rPr>
          <w:rFonts w:ascii="Cambria" w:hAnsi="Cambria"/>
          <w:sz w:val="20"/>
          <w:szCs w:val="20"/>
          <w:bdr w:val="none" w:sz="0" w:space="0" w:color="auto"/>
        </w:rPr>
        <w:t>nabili</w:t>
      </w:r>
      <w:r w:rsidR="00FA2E7B">
        <w:rPr>
          <w:rFonts w:ascii="Cambria" w:hAnsi="Cambria"/>
          <w:sz w:val="20"/>
          <w:szCs w:val="20"/>
          <w:bdr w:val="none" w:sz="0" w:space="0" w:color="auto"/>
        </w:rPr>
        <w:t xml:space="preserve">ty </w:t>
      </w:r>
      <w:r>
        <w:rPr>
          <w:rFonts w:ascii="Cambria" w:hAnsi="Cambria"/>
          <w:sz w:val="20"/>
          <w:szCs w:val="20"/>
          <w:bdr w:val="none" w:sz="0" w:space="0" w:color="auto"/>
        </w:rPr>
        <w:t xml:space="preserve">and </w:t>
      </w:r>
      <w:r w:rsidR="00FF232F" w:rsidRPr="00A51861">
        <w:rPr>
          <w:rFonts w:ascii="Cambria" w:hAnsi="Cambria"/>
          <w:sz w:val="20"/>
          <w:szCs w:val="20"/>
          <w:bdr w:val="none" w:sz="0" w:space="0" w:color="auto"/>
        </w:rPr>
        <w:t>effectiv</w:t>
      </w:r>
      <w:r w:rsidR="00FF232F">
        <w:rPr>
          <w:rFonts w:ascii="Cambria" w:hAnsi="Cambria"/>
          <w:sz w:val="20"/>
          <w:szCs w:val="20"/>
          <w:bdr w:val="none" w:sz="0" w:space="0" w:color="auto"/>
        </w:rPr>
        <w:t>ity</w:t>
      </w:r>
      <w:r w:rsidR="00FA2E7B">
        <w:rPr>
          <w:rFonts w:ascii="Cambria" w:hAnsi="Cambria"/>
          <w:sz w:val="20"/>
          <w:szCs w:val="20"/>
          <w:bdr w:val="none" w:sz="0" w:space="0" w:color="auto"/>
        </w:rPr>
        <w:t xml:space="preserve"> </w:t>
      </w:r>
      <w:r w:rsidR="00FF232F">
        <w:rPr>
          <w:rFonts w:ascii="Cambria" w:hAnsi="Cambria"/>
          <w:sz w:val="20"/>
          <w:szCs w:val="20"/>
          <w:bdr w:val="none" w:sz="0" w:space="0" w:color="auto"/>
        </w:rPr>
        <w:t>to properly repair the</w:t>
      </w:r>
      <w:r w:rsidR="002F0508" w:rsidRPr="00A51861">
        <w:rPr>
          <w:rFonts w:ascii="Cambria" w:hAnsi="Cambria"/>
          <w:sz w:val="20"/>
          <w:szCs w:val="20"/>
          <w:bdr w:val="none" w:sz="0" w:space="0" w:color="auto"/>
        </w:rPr>
        <w:t xml:space="preserve"> </w:t>
      </w:r>
      <w:r w:rsidR="004E1083">
        <w:rPr>
          <w:rFonts w:ascii="Cambria" w:hAnsi="Cambria"/>
          <w:sz w:val="20"/>
          <w:szCs w:val="20"/>
          <w:bdr w:val="none" w:sz="0" w:space="0" w:color="auto"/>
        </w:rPr>
        <w:t>violation</w:t>
      </w:r>
      <w:r>
        <w:rPr>
          <w:rFonts w:ascii="Cambria" w:hAnsi="Cambria"/>
          <w:sz w:val="20"/>
          <w:szCs w:val="20"/>
          <w:bdr w:val="none" w:sz="0" w:space="0" w:color="auto"/>
        </w:rPr>
        <w:t xml:space="preserve"> of </w:t>
      </w:r>
      <w:r w:rsidR="00FF232F">
        <w:rPr>
          <w:rFonts w:ascii="Cambria" w:hAnsi="Cambria"/>
          <w:sz w:val="20"/>
          <w:szCs w:val="20"/>
          <w:bdr w:val="none" w:sz="0" w:space="0" w:color="auto"/>
        </w:rPr>
        <w:t>rights</w:t>
      </w:r>
      <w:r w:rsidR="002F0508" w:rsidRPr="00A51861">
        <w:rPr>
          <w:rFonts w:ascii="Cambria" w:hAnsi="Cambria"/>
          <w:sz w:val="20"/>
          <w:szCs w:val="20"/>
          <w:bdr w:val="none" w:sz="0" w:space="0" w:color="auto"/>
          <w:vertAlign w:val="superscript"/>
        </w:rPr>
        <w:footnoteReference w:id="218"/>
      </w:r>
      <w:r w:rsidR="002F0508" w:rsidRPr="00A51861">
        <w:rPr>
          <w:rFonts w:ascii="Cambria" w:hAnsi="Cambria"/>
          <w:sz w:val="20"/>
          <w:szCs w:val="20"/>
          <w:bdr w:val="none" w:sz="0" w:space="0" w:color="auto"/>
        </w:rPr>
        <w:t>.</w:t>
      </w:r>
    </w:p>
    <w:p w14:paraId="4459CDE0" w14:textId="77777777" w:rsidR="00773B3C" w:rsidRPr="00A51861" w:rsidRDefault="00773B3C" w:rsidP="008E4D36">
      <w:pPr>
        <w:jc w:val="both"/>
        <w:rPr>
          <w:rFonts w:ascii="Cambria" w:eastAsia="Cambria" w:hAnsi="Cambria" w:cs="Cambria"/>
          <w:b/>
          <w:color w:val="000000"/>
          <w:sz w:val="20"/>
          <w:szCs w:val="20"/>
          <w:u w:color="000000"/>
          <w:lang w:eastAsia="es-ES"/>
        </w:rPr>
      </w:pPr>
    </w:p>
    <w:p w14:paraId="443BF167" w14:textId="132CF92B" w:rsidR="00773B3C" w:rsidRPr="00A51861" w:rsidRDefault="00C03FDF" w:rsidP="00C238A7">
      <w:pPr>
        <w:pStyle w:val="Heading3"/>
        <w:keepNext/>
        <w:numPr>
          <w:ilvl w:val="0"/>
          <w:numId w:val="69"/>
        </w:numPr>
        <w:spacing w:line="240" w:lineRule="auto"/>
        <w:jc w:val="left"/>
        <w:rPr>
          <w:lang w:val="en-US"/>
        </w:rPr>
      </w:pPr>
      <w:bookmarkStart w:id="33" w:name="_Toc196383497"/>
      <w:r>
        <w:rPr>
          <w:lang w:val="en-US"/>
        </w:rPr>
        <w:t>G</w:t>
      </w:r>
      <w:r w:rsidRPr="00A51861">
        <w:rPr>
          <w:lang w:val="en-US"/>
        </w:rPr>
        <w:t>eneral Considerations</w:t>
      </w:r>
      <w:r w:rsidR="00773B3C" w:rsidRPr="00A51861">
        <w:rPr>
          <w:lang w:val="en-US"/>
        </w:rPr>
        <w:t xml:space="preserve"> </w:t>
      </w:r>
      <w:r>
        <w:rPr>
          <w:lang w:val="en-US"/>
        </w:rPr>
        <w:t>on the rights to have</w:t>
      </w:r>
      <w:r w:rsidR="002B762A">
        <w:rPr>
          <w:lang w:val="en-US"/>
        </w:rPr>
        <w:t xml:space="preserve"> </w:t>
      </w:r>
      <w:r>
        <w:rPr>
          <w:lang w:val="en-US"/>
        </w:rPr>
        <w:t xml:space="preserve">duly reasoned </w:t>
      </w:r>
      <w:r w:rsidR="00E92985">
        <w:rPr>
          <w:lang w:val="en-US"/>
        </w:rPr>
        <w:t>decisions</w:t>
      </w:r>
      <w:r w:rsidR="00773B3C" w:rsidRPr="00A51861">
        <w:rPr>
          <w:lang w:val="en-US"/>
        </w:rPr>
        <w:t>, judic</w:t>
      </w:r>
      <w:r w:rsidR="008E4D36" w:rsidRPr="00A51861">
        <w:rPr>
          <w:lang w:val="en-US"/>
        </w:rPr>
        <w:t>ial</w:t>
      </w:r>
      <w:r w:rsidR="00E92985">
        <w:rPr>
          <w:lang w:val="en-US"/>
        </w:rPr>
        <w:t xml:space="preserve"> </w:t>
      </w:r>
      <w:r>
        <w:rPr>
          <w:lang w:val="en-US"/>
        </w:rPr>
        <w:t>protection</w:t>
      </w:r>
      <w:r w:rsidRPr="00A51861">
        <w:rPr>
          <w:lang w:val="en-US"/>
        </w:rPr>
        <w:t xml:space="preserve"> </w:t>
      </w:r>
      <w:r w:rsidR="00E92985">
        <w:rPr>
          <w:lang w:val="en-US"/>
        </w:rPr>
        <w:t xml:space="preserve">and </w:t>
      </w:r>
      <w:r w:rsidR="001D322A">
        <w:rPr>
          <w:lang w:val="en-US"/>
        </w:rPr>
        <w:t>equality before</w:t>
      </w:r>
      <w:r w:rsidR="009A4F91">
        <w:rPr>
          <w:lang w:val="en-US"/>
        </w:rPr>
        <w:t xml:space="preserve"> the </w:t>
      </w:r>
      <w:r w:rsidR="0029564F">
        <w:rPr>
          <w:lang w:val="en-US"/>
        </w:rPr>
        <w:t>law</w:t>
      </w:r>
      <w:bookmarkEnd w:id="33"/>
    </w:p>
    <w:p w14:paraId="4AA8E3E5" w14:textId="77777777" w:rsidR="00773B3C" w:rsidRPr="00A51861" w:rsidRDefault="00773B3C" w:rsidP="008E4D36">
      <w:pPr>
        <w:ind w:left="1080"/>
        <w:jc w:val="both"/>
        <w:rPr>
          <w:rFonts w:ascii="Cambria" w:eastAsia="Cambria" w:hAnsi="Cambria" w:cs="Cambria"/>
          <w:b/>
          <w:color w:val="000000"/>
          <w:sz w:val="20"/>
          <w:szCs w:val="20"/>
          <w:u w:color="000000"/>
          <w:lang w:eastAsia="es-ES"/>
        </w:rPr>
      </w:pPr>
    </w:p>
    <w:p w14:paraId="4C3B9C1C" w14:textId="3933E9FC" w:rsidR="00773B3C" w:rsidRPr="00A51861" w:rsidRDefault="003F75F8"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bdr w:val="none" w:sz="0" w:space="0" w:color="auto"/>
        </w:rPr>
      </w:pPr>
      <w:r>
        <w:rPr>
          <w:rFonts w:ascii="Cambria" w:hAnsi="Cambria"/>
          <w:sz w:val="20"/>
          <w:szCs w:val="20"/>
          <w:bdr w:val="none" w:sz="0" w:space="0" w:color="auto"/>
        </w:rPr>
        <w:t>Regarding the right to have</w:t>
      </w:r>
      <w:r w:rsidR="002B762A">
        <w:rPr>
          <w:rFonts w:ascii="Cambria" w:hAnsi="Cambria"/>
          <w:sz w:val="20"/>
          <w:szCs w:val="20"/>
          <w:bdr w:val="none" w:sz="0" w:space="0" w:color="auto"/>
        </w:rPr>
        <w:t xml:space="preserve"> with </w:t>
      </w:r>
      <w:r>
        <w:rPr>
          <w:rFonts w:ascii="Cambria" w:hAnsi="Cambria"/>
          <w:sz w:val="20"/>
          <w:szCs w:val="20"/>
          <w:bdr w:val="none" w:sz="0" w:space="0" w:color="auto"/>
        </w:rPr>
        <w:t>duly reasoned decisions</w:t>
      </w:r>
      <w:r w:rsidR="00773B3C" w:rsidRPr="00A51861">
        <w:rPr>
          <w:rFonts w:ascii="Cambria" w:hAnsi="Cambria"/>
          <w:sz w:val="20"/>
          <w:szCs w:val="20"/>
          <w:bdr w:val="none" w:sz="0" w:space="0" w:color="auto"/>
        </w:rPr>
        <w:t>,</w:t>
      </w:r>
      <w:r w:rsidR="009A4F91">
        <w:rPr>
          <w:rFonts w:ascii="Cambria" w:hAnsi="Cambria"/>
          <w:sz w:val="20"/>
          <w:szCs w:val="20"/>
          <w:bdr w:val="none" w:sz="0" w:space="0" w:color="auto"/>
        </w:rPr>
        <w:t xml:space="preserve"> the </w:t>
      </w:r>
      <w:r w:rsidR="00B04009">
        <w:rPr>
          <w:rFonts w:ascii="Cambria" w:hAnsi="Cambria"/>
          <w:sz w:val="20"/>
          <w:szCs w:val="20"/>
          <w:bdr w:val="none" w:sz="0" w:space="0" w:color="auto"/>
        </w:rPr>
        <w:t>Inter-American Court</w:t>
      </w:r>
      <w:r w:rsidR="00773B3C" w:rsidRPr="00A51861">
        <w:rPr>
          <w:rFonts w:ascii="Cambria" w:hAnsi="Cambria"/>
          <w:sz w:val="20"/>
          <w:szCs w:val="20"/>
          <w:bdr w:val="none" w:sz="0" w:space="0" w:color="auto"/>
        </w:rPr>
        <w:t xml:space="preserve"> </w:t>
      </w:r>
      <w:r>
        <w:rPr>
          <w:rFonts w:ascii="Cambria" w:hAnsi="Cambria"/>
          <w:sz w:val="20"/>
          <w:szCs w:val="20"/>
          <w:bdr w:val="none" w:sz="0" w:space="0" w:color="auto"/>
        </w:rPr>
        <w:t xml:space="preserve">has held </w:t>
      </w:r>
      <w:r w:rsidR="00E92985">
        <w:rPr>
          <w:rFonts w:ascii="Cambria" w:hAnsi="Cambria"/>
          <w:sz w:val="20"/>
          <w:szCs w:val="20"/>
          <w:bdr w:val="none" w:sz="0" w:space="0" w:color="auto"/>
        </w:rPr>
        <w:t xml:space="preserve">that the </w:t>
      </w:r>
      <w:r>
        <w:rPr>
          <w:rFonts w:ascii="Cambria" w:hAnsi="Cambria"/>
          <w:sz w:val="20"/>
          <w:szCs w:val="20"/>
          <w:bdr w:val="none" w:sz="0" w:space="0" w:color="auto"/>
        </w:rPr>
        <w:t>reasoning</w:t>
      </w:r>
      <w:r w:rsidR="00773B3C" w:rsidRPr="00A51861">
        <w:rPr>
          <w:rFonts w:ascii="Cambria" w:hAnsi="Cambria"/>
          <w:sz w:val="20"/>
          <w:szCs w:val="20"/>
          <w:bdr w:val="none" w:sz="0" w:space="0" w:color="auto"/>
        </w:rPr>
        <w:t xml:space="preserve"> “</w:t>
      </w:r>
      <w:r>
        <w:rPr>
          <w:rFonts w:ascii="Cambria" w:hAnsi="Cambria"/>
          <w:sz w:val="20"/>
          <w:szCs w:val="20"/>
          <w:bdr w:val="none" w:sz="0" w:space="0" w:color="auto"/>
        </w:rPr>
        <w:t>i</w:t>
      </w:r>
      <w:r w:rsidR="00773B3C" w:rsidRPr="00A51861">
        <w:rPr>
          <w:rFonts w:ascii="Cambria" w:hAnsi="Cambria"/>
          <w:sz w:val="20"/>
          <w:szCs w:val="20"/>
          <w:bdr w:val="none" w:sz="0" w:space="0" w:color="auto"/>
        </w:rPr>
        <w:t>s</w:t>
      </w:r>
      <w:r w:rsidR="009A4F91">
        <w:rPr>
          <w:rFonts w:ascii="Cambria" w:hAnsi="Cambria"/>
          <w:sz w:val="20"/>
          <w:szCs w:val="20"/>
          <w:bdr w:val="none" w:sz="0" w:space="0" w:color="auto"/>
        </w:rPr>
        <w:t xml:space="preserve"> the </w:t>
      </w:r>
      <w:r w:rsidRPr="00A51861">
        <w:rPr>
          <w:rFonts w:ascii="Cambria" w:hAnsi="Cambria"/>
          <w:sz w:val="20"/>
          <w:szCs w:val="20"/>
          <w:bdr w:val="none" w:sz="0" w:space="0" w:color="auto"/>
        </w:rPr>
        <w:t>exteriorization</w:t>
      </w:r>
      <w:r w:rsidR="00E92985">
        <w:rPr>
          <w:rFonts w:ascii="Cambria" w:hAnsi="Cambria"/>
          <w:sz w:val="20"/>
          <w:szCs w:val="20"/>
          <w:bdr w:val="none" w:sz="0" w:space="0" w:color="auto"/>
        </w:rPr>
        <w:t xml:space="preserve"> of the </w:t>
      </w:r>
      <w:r>
        <w:rPr>
          <w:rFonts w:ascii="Cambria" w:hAnsi="Cambria"/>
          <w:sz w:val="20"/>
          <w:szCs w:val="20"/>
          <w:bdr w:val="none" w:sz="0" w:space="0" w:color="auto"/>
        </w:rPr>
        <w:t xml:space="preserve">reasoned </w:t>
      </w:r>
      <w:r w:rsidRPr="00A51861">
        <w:rPr>
          <w:rFonts w:ascii="Cambria" w:hAnsi="Cambria"/>
          <w:sz w:val="20"/>
          <w:szCs w:val="20"/>
          <w:bdr w:val="none" w:sz="0" w:space="0" w:color="auto"/>
        </w:rPr>
        <w:t>justification</w:t>
      </w:r>
      <w:r w:rsidR="00773B3C" w:rsidRPr="00A51861">
        <w:rPr>
          <w:rFonts w:ascii="Cambria" w:hAnsi="Cambria"/>
          <w:sz w:val="20"/>
          <w:szCs w:val="20"/>
          <w:bdr w:val="none" w:sz="0" w:space="0" w:color="auto"/>
        </w:rPr>
        <w:t xml:space="preserve"> </w:t>
      </w:r>
      <w:r>
        <w:rPr>
          <w:rFonts w:ascii="Cambria" w:hAnsi="Cambria"/>
          <w:sz w:val="20"/>
          <w:szCs w:val="20"/>
          <w:bdr w:val="none" w:sz="0" w:space="0" w:color="auto"/>
        </w:rPr>
        <w:t>which allows to get to a</w:t>
      </w:r>
      <w:r w:rsidR="00773B3C" w:rsidRPr="00A51861">
        <w:rPr>
          <w:rFonts w:ascii="Cambria" w:hAnsi="Cambria"/>
          <w:sz w:val="20"/>
          <w:szCs w:val="20"/>
          <w:bdr w:val="none" w:sz="0" w:space="0" w:color="auto"/>
        </w:rPr>
        <w:t xml:space="preserve"> </w:t>
      </w:r>
      <w:r w:rsidRPr="00A51861">
        <w:rPr>
          <w:rFonts w:asciiTheme="majorHAnsi" w:hAnsiTheme="majorHAnsi"/>
          <w:sz w:val="20"/>
          <w:szCs w:val="20"/>
        </w:rPr>
        <w:t>conclusion</w:t>
      </w:r>
      <w:r w:rsidR="00773B3C" w:rsidRPr="00A51861">
        <w:rPr>
          <w:rFonts w:ascii="Cambria" w:hAnsi="Cambria"/>
          <w:sz w:val="20"/>
          <w:szCs w:val="20"/>
          <w:bdr w:val="none" w:sz="0" w:space="0" w:color="auto"/>
        </w:rPr>
        <w:t>”</w:t>
      </w:r>
      <w:r w:rsidR="00773B3C" w:rsidRPr="00A51861">
        <w:rPr>
          <w:rFonts w:ascii="Cambria" w:hAnsi="Cambria"/>
          <w:sz w:val="20"/>
          <w:szCs w:val="20"/>
          <w:bdr w:val="none" w:sz="0" w:space="0" w:color="auto"/>
          <w:vertAlign w:val="superscript"/>
        </w:rPr>
        <w:footnoteReference w:id="219"/>
      </w:r>
      <w:r w:rsidR="00773B3C" w:rsidRPr="00A51861">
        <w:rPr>
          <w:rFonts w:ascii="Cambria" w:hAnsi="Cambria"/>
          <w:sz w:val="20"/>
          <w:szCs w:val="20"/>
          <w:bdr w:val="none" w:sz="0" w:space="0" w:color="auto"/>
        </w:rPr>
        <w:t xml:space="preserve">. </w:t>
      </w:r>
      <w:r>
        <w:rPr>
          <w:rFonts w:ascii="Cambria" w:hAnsi="Cambria"/>
          <w:sz w:val="20"/>
          <w:szCs w:val="20"/>
          <w:bdr w:val="none" w:sz="0" w:space="0" w:color="auto"/>
        </w:rPr>
        <w:t>The duty to reason</w:t>
      </w:r>
      <w:r w:rsidR="00773B3C" w:rsidRPr="00A51861">
        <w:rPr>
          <w:rFonts w:ascii="Cambria" w:hAnsi="Cambria"/>
          <w:sz w:val="20"/>
          <w:szCs w:val="20"/>
          <w:bdr w:val="none" w:sz="0" w:space="0" w:color="auto"/>
        </w:rPr>
        <w:t xml:space="preserve"> </w:t>
      </w:r>
      <w:r w:rsidRPr="00A51861">
        <w:rPr>
          <w:rFonts w:ascii="Cambria" w:hAnsi="Cambria"/>
          <w:sz w:val="20"/>
          <w:szCs w:val="20"/>
          <w:bdr w:val="none" w:sz="0" w:space="0" w:color="auto"/>
        </w:rPr>
        <w:t>resolutions</w:t>
      </w:r>
      <w:r w:rsidR="00D70A85">
        <w:rPr>
          <w:rFonts w:ascii="Cambria" w:hAnsi="Cambria"/>
          <w:sz w:val="20"/>
          <w:szCs w:val="20"/>
          <w:bdr w:val="none" w:sz="0" w:space="0" w:color="auto"/>
        </w:rPr>
        <w:t xml:space="preserve"> is </w:t>
      </w:r>
      <w:r>
        <w:rPr>
          <w:rFonts w:ascii="Cambria" w:hAnsi="Cambria"/>
          <w:sz w:val="20"/>
          <w:szCs w:val="20"/>
          <w:bdr w:val="none" w:sz="0" w:space="0" w:color="auto"/>
        </w:rPr>
        <w:t>a</w:t>
      </w:r>
      <w:r w:rsidR="00773B3C" w:rsidRPr="00A51861">
        <w:rPr>
          <w:rFonts w:ascii="Cambria" w:hAnsi="Cambria"/>
          <w:sz w:val="20"/>
          <w:szCs w:val="20"/>
          <w:bdr w:val="none" w:sz="0" w:space="0" w:color="auto"/>
        </w:rPr>
        <w:t xml:space="preserve"> </w:t>
      </w:r>
      <w:r w:rsidR="009A4F91">
        <w:rPr>
          <w:rFonts w:ascii="Cambria" w:hAnsi="Cambria"/>
          <w:sz w:val="20"/>
          <w:szCs w:val="20"/>
          <w:bdr w:val="none" w:sz="0" w:space="0" w:color="auto"/>
        </w:rPr>
        <w:t>guarantee</w:t>
      </w:r>
      <w:r w:rsidR="00773B3C" w:rsidRPr="00A51861">
        <w:rPr>
          <w:rFonts w:ascii="Cambria" w:hAnsi="Cambria"/>
          <w:sz w:val="20"/>
          <w:szCs w:val="20"/>
          <w:bdr w:val="none" w:sz="0" w:space="0" w:color="auto"/>
        </w:rPr>
        <w:t xml:space="preserve"> </w:t>
      </w:r>
      <w:r>
        <w:rPr>
          <w:rFonts w:ascii="Cambria" w:hAnsi="Cambria"/>
          <w:sz w:val="20"/>
          <w:szCs w:val="20"/>
          <w:bdr w:val="none" w:sz="0" w:space="0" w:color="auto"/>
        </w:rPr>
        <w:t>connected to</w:t>
      </w:r>
      <w:r w:rsidR="002B762A">
        <w:rPr>
          <w:rFonts w:ascii="Cambria" w:hAnsi="Cambria"/>
          <w:sz w:val="20"/>
          <w:szCs w:val="20"/>
          <w:bdr w:val="none" w:sz="0" w:space="0" w:color="auto"/>
        </w:rPr>
        <w:t xml:space="preserve"> with </w:t>
      </w:r>
      <w:r w:rsidR="009A4F91">
        <w:rPr>
          <w:rFonts w:ascii="Cambria" w:hAnsi="Cambria"/>
          <w:sz w:val="20"/>
          <w:szCs w:val="20"/>
          <w:bdr w:val="none" w:sz="0" w:space="0" w:color="auto"/>
        </w:rPr>
        <w:t xml:space="preserve">the </w:t>
      </w:r>
      <w:r w:rsidR="00773B3C" w:rsidRPr="00A51861">
        <w:rPr>
          <w:rFonts w:ascii="Cambria" w:hAnsi="Cambria"/>
          <w:sz w:val="20"/>
          <w:szCs w:val="20"/>
          <w:bdr w:val="none" w:sz="0" w:space="0" w:color="auto"/>
        </w:rPr>
        <w:t xml:space="preserve">correct </w:t>
      </w:r>
      <w:r w:rsidR="00EF1F73">
        <w:rPr>
          <w:rFonts w:ascii="Cambria" w:hAnsi="Cambria"/>
          <w:sz w:val="20"/>
          <w:szCs w:val="20"/>
          <w:bdr w:val="none" w:sz="0" w:space="0" w:color="auto"/>
        </w:rPr>
        <w:t>administration</w:t>
      </w:r>
      <w:r w:rsidR="00E92985">
        <w:rPr>
          <w:rFonts w:ascii="Cambria" w:hAnsi="Cambria"/>
          <w:sz w:val="20"/>
          <w:szCs w:val="20"/>
          <w:bdr w:val="none" w:sz="0" w:space="0" w:color="auto"/>
        </w:rPr>
        <w:t xml:space="preserve"> of </w:t>
      </w:r>
      <w:r w:rsidR="001937FB">
        <w:rPr>
          <w:rFonts w:ascii="Cambria" w:hAnsi="Cambria"/>
          <w:sz w:val="20"/>
          <w:szCs w:val="20"/>
          <w:bdr w:val="none" w:sz="0" w:space="0" w:color="auto"/>
        </w:rPr>
        <w:t>justice</w:t>
      </w:r>
      <w:r w:rsidR="00773B3C" w:rsidRPr="00A51861">
        <w:rPr>
          <w:rFonts w:ascii="Cambria" w:hAnsi="Cambria"/>
          <w:sz w:val="20"/>
          <w:szCs w:val="20"/>
          <w:bdr w:val="none" w:sz="0" w:space="0" w:color="auto"/>
        </w:rPr>
        <w:t xml:space="preserve">, </w:t>
      </w:r>
      <w:r>
        <w:rPr>
          <w:rFonts w:ascii="Cambria" w:hAnsi="Cambria"/>
          <w:sz w:val="20"/>
          <w:szCs w:val="20"/>
          <w:bdr w:val="none" w:sz="0" w:space="0" w:color="auto"/>
        </w:rPr>
        <w:t>which</w:t>
      </w:r>
      <w:r w:rsidR="00773B3C" w:rsidRPr="00A51861">
        <w:rPr>
          <w:rFonts w:ascii="Cambria" w:hAnsi="Cambria"/>
          <w:sz w:val="20"/>
          <w:szCs w:val="20"/>
          <w:bdr w:val="none" w:sz="0" w:space="0" w:color="auto"/>
        </w:rPr>
        <w:t xml:space="preserve"> prote</w:t>
      </w:r>
      <w:r>
        <w:rPr>
          <w:rFonts w:ascii="Cambria" w:hAnsi="Cambria"/>
          <w:sz w:val="20"/>
          <w:szCs w:val="20"/>
          <w:bdr w:val="none" w:sz="0" w:space="0" w:color="auto"/>
        </w:rPr>
        <w:t>cts the</w:t>
      </w:r>
      <w:r w:rsidR="00773B3C" w:rsidRPr="00A51861">
        <w:rPr>
          <w:rFonts w:ascii="Cambria" w:hAnsi="Cambria"/>
          <w:sz w:val="20"/>
          <w:szCs w:val="20"/>
          <w:bdr w:val="none" w:sz="0" w:space="0" w:color="auto"/>
        </w:rPr>
        <w:t xml:space="preserve"> </w:t>
      </w:r>
      <w:r w:rsidR="009B462E">
        <w:rPr>
          <w:rFonts w:ascii="Cambria" w:hAnsi="Cambria"/>
          <w:sz w:val="20"/>
          <w:szCs w:val="20"/>
          <w:bdr w:val="none" w:sz="0" w:space="0" w:color="auto"/>
        </w:rPr>
        <w:t xml:space="preserve">right </w:t>
      </w:r>
      <w:r w:rsidR="00773B3C" w:rsidRPr="00A51861">
        <w:rPr>
          <w:rFonts w:ascii="Cambria" w:hAnsi="Cambria"/>
          <w:sz w:val="20"/>
          <w:szCs w:val="20"/>
          <w:bdr w:val="none" w:sz="0" w:space="0" w:color="auto"/>
        </w:rPr>
        <w:t>ci</w:t>
      </w:r>
      <w:r>
        <w:rPr>
          <w:rFonts w:ascii="Cambria" w:hAnsi="Cambria"/>
          <w:sz w:val="20"/>
          <w:szCs w:val="20"/>
          <w:bdr w:val="none" w:sz="0" w:space="0" w:color="auto"/>
        </w:rPr>
        <w:t>tizens to being</w:t>
      </w:r>
      <w:r w:rsidR="00773B3C" w:rsidRPr="00A51861">
        <w:rPr>
          <w:rFonts w:ascii="Cambria" w:hAnsi="Cambria"/>
          <w:sz w:val="20"/>
          <w:szCs w:val="20"/>
          <w:bdr w:val="none" w:sz="0" w:space="0" w:color="auto"/>
        </w:rPr>
        <w:t xml:space="preserve"> ju</w:t>
      </w:r>
      <w:r>
        <w:rPr>
          <w:rFonts w:ascii="Cambria" w:hAnsi="Cambria"/>
          <w:sz w:val="20"/>
          <w:szCs w:val="20"/>
          <w:bdr w:val="none" w:sz="0" w:space="0" w:color="auto"/>
        </w:rPr>
        <w:t>d</w:t>
      </w:r>
      <w:r w:rsidR="00773B3C" w:rsidRPr="00A51861">
        <w:rPr>
          <w:rFonts w:ascii="Cambria" w:hAnsi="Cambria"/>
          <w:sz w:val="20"/>
          <w:szCs w:val="20"/>
          <w:bdr w:val="none" w:sz="0" w:space="0" w:color="auto"/>
        </w:rPr>
        <w:t>g</w:t>
      </w:r>
      <w:r>
        <w:rPr>
          <w:rFonts w:ascii="Cambria" w:hAnsi="Cambria"/>
          <w:sz w:val="20"/>
          <w:szCs w:val="20"/>
          <w:bdr w:val="none" w:sz="0" w:space="0" w:color="auto"/>
        </w:rPr>
        <w:t>e</w:t>
      </w:r>
      <w:r w:rsidR="00773B3C" w:rsidRPr="00A51861">
        <w:rPr>
          <w:rFonts w:ascii="Cambria" w:hAnsi="Cambria"/>
          <w:sz w:val="20"/>
          <w:szCs w:val="20"/>
          <w:bdr w:val="none" w:sz="0" w:space="0" w:color="auto"/>
        </w:rPr>
        <w:t>d</w:t>
      </w:r>
      <w:r>
        <w:rPr>
          <w:rFonts w:ascii="Cambria" w:hAnsi="Cambria"/>
          <w:sz w:val="20"/>
          <w:szCs w:val="20"/>
          <w:bdr w:val="none" w:sz="0" w:space="0" w:color="auto"/>
        </w:rPr>
        <w:t xml:space="preserve"> f</w:t>
      </w:r>
      <w:r w:rsidR="00773B3C" w:rsidRPr="00A51861">
        <w:rPr>
          <w:rFonts w:ascii="Cambria" w:hAnsi="Cambria"/>
          <w:sz w:val="20"/>
          <w:szCs w:val="20"/>
          <w:bdr w:val="none" w:sz="0" w:space="0" w:color="auto"/>
        </w:rPr>
        <w:t xml:space="preserve">or las </w:t>
      </w:r>
      <w:r w:rsidR="00D70A85">
        <w:rPr>
          <w:rFonts w:ascii="Cambria" w:hAnsi="Cambria"/>
          <w:sz w:val="20"/>
          <w:szCs w:val="20"/>
          <w:bdr w:val="none" w:sz="0" w:space="0" w:color="auto"/>
        </w:rPr>
        <w:t>reasons</w:t>
      </w:r>
      <w:r w:rsidR="00E92985">
        <w:rPr>
          <w:rFonts w:ascii="Cambria" w:hAnsi="Cambria"/>
          <w:sz w:val="20"/>
          <w:szCs w:val="20"/>
          <w:bdr w:val="none" w:sz="0" w:space="0" w:color="auto"/>
        </w:rPr>
        <w:t xml:space="preserve"> that </w:t>
      </w:r>
      <w:r>
        <w:rPr>
          <w:rFonts w:ascii="Cambria" w:hAnsi="Cambria"/>
          <w:sz w:val="20"/>
          <w:szCs w:val="20"/>
          <w:bdr w:val="none" w:sz="0" w:space="0" w:color="auto"/>
        </w:rPr>
        <w:t>provided by law</w:t>
      </w:r>
      <w:r w:rsidR="00773B3C" w:rsidRPr="00A51861">
        <w:rPr>
          <w:rFonts w:ascii="Cambria" w:hAnsi="Cambria"/>
          <w:sz w:val="20"/>
          <w:szCs w:val="20"/>
          <w:bdr w:val="none" w:sz="0" w:space="0" w:color="auto"/>
        </w:rPr>
        <w:t>,</w:t>
      </w:r>
      <w:r w:rsidR="00E92985">
        <w:rPr>
          <w:rFonts w:ascii="Cambria" w:hAnsi="Cambria"/>
          <w:sz w:val="20"/>
          <w:szCs w:val="20"/>
          <w:bdr w:val="none" w:sz="0" w:space="0" w:color="auto"/>
        </w:rPr>
        <w:t xml:space="preserve"> and </w:t>
      </w:r>
      <w:r>
        <w:rPr>
          <w:rFonts w:ascii="Cambria" w:hAnsi="Cambria"/>
          <w:sz w:val="20"/>
          <w:szCs w:val="20"/>
          <w:bdr w:val="none" w:sz="0" w:space="0" w:color="auto"/>
        </w:rPr>
        <w:t>grants</w:t>
      </w:r>
      <w:r w:rsidR="00773B3C" w:rsidRPr="00A51861">
        <w:rPr>
          <w:rFonts w:ascii="Cambria" w:hAnsi="Cambria"/>
          <w:sz w:val="20"/>
          <w:szCs w:val="20"/>
          <w:bdr w:val="none" w:sz="0" w:space="0" w:color="auto"/>
        </w:rPr>
        <w:t xml:space="preserve"> credibili</w:t>
      </w:r>
      <w:r w:rsidR="00FA2E7B">
        <w:rPr>
          <w:rFonts w:ascii="Cambria" w:hAnsi="Cambria"/>
          <w:sz w:val="20"/>
          <w:szCs w:val="20"/>
          <w:bdr w:val="none" w:sz="0" w:space="0" w:color="auto"/>
        </w:rPr>
        <w:t xml:space="preserve">ty </w:t>
      </w:r>
      <w:r>
        <w:rPr>
          <w:rFonts w:ascii="Cambria" w:hAnsi="Cambria"/>
          <w:sz w:val="20"/>
          <w:szCs w:val="20"/>
          <w:bdr w:val="none" w:sz="0" w:space="0" w:color="auto"/>
        </w:rPr>
        <w:t>to the</w:t>
      </w:r>
      <w:r w:rsidR="00773B3C" w:rsidRPr="00A51861">
        <w:rPr>
          <w:rFonts w:ascii="Cambria" w:hAnsi="Cambria"/>
          <w:sz w:val="20"/>
          <w:szCs w:val="20"/>
          <w:bdr w:val="none" w:sz="0" w:space="0" w:color="auto"/>
        </w:rPr>
        <w:t xml:space="preserve"> </w:t>
      </w:r>
      <w:r w:rsidRPr="00A51861">
        <w:rPr>
          <w:rFonts w:ascii="Cambria" w:hAnsi="Cambria"/>
          <w:sz w:val="20"/>
          <w:szCs w:val="20"/>
          <w:bdr w:val="none" w:sz="0" w:space="0" w:color="auto"/>
        </w:rPr>
        <w:t xml:space="preserve">juridical </w:t>
      </w:r>
      <w:r w:rsidR="00E92985">
        <w:rPr>
          <w:rFonts w:ascii="Cambria" w:hAnsi="Cambria"/>
          <w:sz w:val="20"/>
          <w:szCs w:val="20"/>
          <w:bdr w:val="none" w:sz="0" w:space="0" w:color="auto"/>
        </w:rPr>
        <w:t>decisions</w:t>
      </w:r>
      <w:r w:rsidR="00773B3C" w:rsidRPr="00A51861">
        <w:rPr>
          <w:rFonts w:ascii="Cambria" w:hAnsi="Cambria"/>
          <w:sz w:val="20"/>
          <w:szCs w:val="20"/>
          <w:bdr w:val="none" w:sz="0" w:space="0" w:color="auto"/>
        </w:rPr>
        <w:t xml:space="preserve"> </w:t>
      </w:r>
      <w:r>
        <w:rPr>
          <w:rFonts w:ascii="Cambria" w:hAnsi="Cambria"/>
          <w:sz w:val="20"/>
          <w:szCs w:val="20"/>
          <w:bdr w:val="none" w:sz="0" w:space="0" w:color="auto"/>
        </w:rPr>
        <w:t>within a</w:t>
      </w:r>
      <w:r w:rsidR="00773B3C" w:rsidRPr="00A51861">
        <w:rPr>
          <w:rFonts w:ascii="Cambria" w:hAnsi="Cambria"/>
          <w:sz w:val="20"/>
          <w:szCs w:val="20"/>
          <w:bdr w:val="none" w:sz="0" w:space="0" w:color="auto"/>
        </w:rPr>
        <w:t xml:space="preserve"> </w:t>
      </w:r>
      <w:r w:rsidR="00B920CA">
        <w:rPr>
          <w:rFonts w:ascii="Cambria" w:hAnsi="Cambria"/>
          <w:sz w:val="20"/>
          <w:szCs w:val="20"/>
          <w:bdr w:val="none" w:sz="0" w:space="0" w:color="auto"/>
        </w:rPr>
        <w:t>democratic</w:t>
      </w:r>
      <w:r w:rsidRPr="003F75F8">
        <w:rPr>
          <w:rFonts w:ascii="Cambria" w:hAnsi="Cambria"/>
          <w:sz w:val="20"/>
          <w:szCs w:val="20"/>
          <w:bdr w:val="none" w:sz="0" w:space="0" w:color="auto"/>
        </w:rPr>
        <w:t xml:space="preserve"> </w:t>
      </w:r>
      <w:r w:rsidRPr="00A51861">
        <w:rPr>
          <w:rFonts w:ascii="Cambria" w:hAnsi="Cambria"/>
          <w:sz w:val="20"/>
          <w:szCs w:val="20"/>
          <w:bdr w:val="none" w:sz="0" w:space="0" w:color="auto"/>
        </w:rPr>
        <w:t>socie</w:t>
      </w:r>
      <w:r>
        <w:rPr>
          <w:rFonts w:ascii="Cambria" w:hAnsi="Cambria"/>
          <w:sz w:val="20"/>
          <w:szCs w:val="20"/>
          <w:bdr w:val="none" w:sz="0" w:space="0" w:color="auto"/>
        </w:rPr>
        <w:t xml:space="preserve">ty </w:t>
      </w:r>
      <w:r w:rsidR="00773B3C" w:rsidRPr="00A51861">
        <w:rPr>
          <w:rFonts w:ascii="Cambria" w:hAnsi="Cambria"/>
          <w:sz w:val="20"/>
          <w:szCs w:val="20"/>
          <w:bdr w:val="none" w:sz="0" w:space="0" w:color="auto"/>
          <w:vertAlign w:val="superscript"/>
        </w:rPr>
        <w:footnoteReference w:id="220"/>
      </w:r>
      <w:r w:rsidR="00773B3C" w:rsidRPr="00A51861">
        <w:rPr>
          <w:rFonts w:ascii="Cambria" w:hAnsi="Cambria"/>
          <w:sz w:val="20"/>
          <w:szCs w:val="20"/>
          <w:bdr w:val="none" w:sz="0" w:space="0" w:color="auto"/>
        </w:rPr>
        <w:t xml:space="preserve">. </w:t>
      </w:r>
    </w:p>
    <w:p w14:paraId="25E0C8CC" w14:textId="77777777" w:rsidR="00773B3C" w:rsidRPr="00A51861" w:rsidRDefault="00773B3C" w:rsidP="008E4D36">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Cambria" w:hAnsi="Cambria"/>
          <w:sz w:val="20"/>
          <w:szCs w:val="20"/>
          <w:bdr w:val="none" w:sz="0" w:space="0" w:color="auto"/>
        </w:rPr>
      </w:pPr>
    </w:p>
    <w:p w14:paraId="3B83FFCB" w14:textId="198E134A" w:rsidR="00773B3C" w:rsidRPr="00A51861" w:rsidRDefault="009749F1"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bdr w:val="none" w:sz="0" w:space="0" w:color="auto"/>
        </w:rPr>
      </w:pPr>
      <w:r>
        <w:rPr>
          <w:rFonts w:ascii="Cambria" w:hAnsi="Cambria"/>
          <w:sz w:val="20"/>
          <w:szCs w:val="20"/>
          <w:bdr w:val="none" w:sz="0" w:space="0" w:color="auto"/>
        </w:rPr>
        <w:t xml:space="preserve">Therefore, </w:t>
      </w:r>
      <w:r w:rsidR="003F75F8">
        <w:rPr>
          <w:rFonts w:ascii="Cambria" w:hAnsi="Cambria"/>
          <w:sz w:val="20"/>
          <w:szCs w:val="20"/>
          <w:bdr w:val="none" w:sz="0" w:space="0" w:color="auto"/>
        </w:rPr>
        <w:t>the</w:t>
      </w:r>
      <w:r w:rsidR="00773B3C" w:rsidRPr="00A51861">
        <w:rPr>
          <w:rFonts w:ascii="Cambria" w:hAnsi="Cambria"/>
          <w:sz w:val="20"/>
          <w:szCs w:val="20"/>
          <w:bdr w:val="none" w:sz="0" w:space="0" w:color="auto"/>
        </w:rPr>
        <w:t xml:space="preserve"> </w:t>
      </w:r>
      <w:r w:rsidR="00E92985">
        <w:rPr>
          <w:rFonts w:ascii="Cambria" w:hAnsi="Cambria"/>
          <w:sz w:val="20"/>
          <w:szCs w:val="20"/>
          <w:bdr w:val="none" w:sz="0" w:space="0" w:color="auto"/>
        </w:rPr>
        <w:t>decisions</w:t>
      </w:r>
      <w:r w:rsidR="00773B3C" w:rsidRPr="00A51861">
        <w:rPr>
          <w:rFonts w:ascii="Cambria" w:hAnsi="Cambria"/>
          <w:sz w:val="20"/>
          <w:szCs w:val="20"/>
          <w:bdr w:val="none" w:sz="0" w:space="0" w:color="auto"/>
        </w:rPr>
        <w:t xml:space="preserve"> adopte</w:t>
      </w:r>
      <w:r w:rsidR="003F75F8">
        <w:rPr>
          <w:rFonts w:ascii="Cambria" w:hAnsi="Cambria"/>
          <w:sz w:val="20"/>
          <w:szCs w:val="20"/>
          <w:bdr w:val="none" w:sz="0" w:space="0" w:color="auto"/>
        </w:rPr>
        <w:t>d</w:t>
      </w:r>
      <w:r w:rsidR="00773B3C" w:rsidRPr="00A51861">
        <w:rPr>
          <w:rFonts w:ascii="Cambria" w:hAnsi="Cambria"/>
          <w:sz w:val="20"/>
          <w:szCs w:val="20"/>
          <w:bdr w:val="none" w:sz="0" w:space="0" w:color="auto"/>
        </w:rPr>
        <w:t xml:space="preserve"> </w:t>
      </w:r>
      <w:r w:rsidR="003F75F8">
        <w:rPr>
          <w:rFonts w:ascii="Cambria" w:hAnsi="Cambria"/>
          <w:sz w:val="20"/>
          <w:szCs w:val="20"/>
          <w:bdr w:val="none" w:sz="0" w:space="0" w:color="auto"/>
        </w:rPr>
        <w:t>by domestic bodies</w:t>
      </w:r>
      <w:r w:rsidR="00773B3C" w:rsidRPr="00A51861">
        <w:rPr>
          <w:rFonts w:ascii="Cambria" w:hAnsi="Cambria"/>
          <w:sz w:val="20"/>
          <w:szCs w:val="20"/>
          <w:bdr w:val="none" w:sz="0" w:space="0" w:color="auto"/>
        </w:rPr>
        <w:t xml:space="preserve"> </w:t>
      </w:r>
      <w:r w:rsidR="003F75F8">
        <w:rPr>
          <w:rFonts w:ascii="Cambria" w:hAnsi="Cambria"/>
          <w:sz w:val="20"/>
          <w:szCs w:val="20"/>
          <w:bdr w:val="none" w:sz="0" w:space="0" w:color="auto"/>
        </w:rPr>
        <w:t xml:space="preserve">which may </w:t>
      </w:r>
      <w:r w:rsidR="003F75F8" w:rsidRPr="00A51861">
        <w:rPr>
          <w:rFonts w:ascii="Cambria" w:hAnsi="Cambria"/>
          <w:sz w:val="20"/>
          <w:szCs w:val="20"/>
          <w:bdr w:val="none" w:sz="0" w:space="0" w:color="auto"/>
        </w:rPr>
        <w:t>affect</w:t>
      </w:r>
      <w:r w:rsidR="00773B3C" w:rsidRPr="00A51861">
        <w:rPr>
          <w:rFonts w:ascii="Cambria" w:hAnsi="Cambria"/>
          <w:sz w:val="20"/>
          <w:szCs w:val="20"/>
          <w:bdr w:val="none" w:sz="0" w:space="0" w:color="auto"/>
        </w:rPr>
        <w:t xml:space="preserve"> </w:t>
      </w:r>
      <w:r w:rsidR="008D442C">
        <w:rPr>
          <w:rFonts w:ascii="Cambria" w:hAnsi="Cambria"/>
          <w:sz w:val="20"/>
          <w:szCs w:val="20"/>
          <w:bdr w:val="none" w:sz="0" w:space="0" w:color="auto"/>
        </w:rPr>
        <w:t>h</w:t>
      </w:r>
      <w:r w:rsidR="00664D70">
        <w:rPr>
          <w:rFonts w:ascii="Cambria" w:hAnsi="Cambria"/>
          <w:sz w:val="20"/>
          <w:szCs w:val="20"/>
          <w:bdr w:val="none" w:sz="0" w:space="0" w:color="auto"/>
        </w:rPr>
        <w:t>uman rights</w:t>
      </w:r>
      <w:r w:rsidR="00F4684B">
        <w:rPr>
          <w:rFonts w:ascii="Cambria" w:hAnsi="Cambria"/>
          <w:sz w:val="20"/>
          <w:szCs w:val="20"/>
          <w:bdr w:val="none" w:sz="0" w:space="0" w:color="auto"/>
        </w:rPr>
        <w:t xml:space="preserve"> </w:t>
      </w:r>
      <w:r w:rsidR="003F75F8">
        <w:rPr>
          <w:rFonts w:ascii="Cambria" w:hAnsi="Cambria"/>
          <w:sz w:val="20"/>
          <w:szCs w:val="20"/>
          <w:bdr w:val="none" w:sz="0" w:space="0" w:color="auto"/>
        </w:rPr>
        <w:t>must be duly founded</w:t>
      </w:r>
      <w:r w:rsidR="00773B3C" w:rsidRPr="00A51861">
        <w:rPr>
          <w:rFonts w:ascii="Cambria" w:hAnsi="Cambria"/>
          <w:sz w:val="20"/>
          <w:szCs w:val="20"/>
          <w:bdr w:val="none" w:sz="0" w:space="0" w:color="auto"/>
        </w:rPr>
        <w:t xml:space="preserve">, </w:t>
      </w:r>
      <w:r w:rsidR="003F75F8">
        <w:rPr>
          <w:rFonts w:ascii="Cambria" w:hAnsi="Cambria"/>
          <w:sz w:val="20"/>
          <w:szCs w:val="20"/>
          <w:bdr w:val="none" w:sz="0" w:space="0" w:color="auto"/>
        </w:rPr>
        <w:t>since they would otherwise be</w:t>
      </w:r>
      <w:r w:rsidR="00773B3C" w:rsidRPr="00A51861">
        <w:rPr>
          <w:rFonts w:ascii="Cambria" w:hAnsi="Cambria"/>
          <w:sz w:val="20"/>
          <w:szCs w:val="20"/>
          <w:bdr w:val="none" w:sz="0" w:space="0" w:color="auto"/>
        </w:rPr>
        <w:t xml:space="preserve"> </w:t>
      </w:r>
      <w:r w:rsidR="00FA2E7B">
        <w:rPr>
          <w:rFonts w:ascii="Cambria" w:hAnsi="Cambria"/>
          <w:sz w:val="20"/>
          <w:szCs w:val="20"/>
          <w:bdr w:val="none" w:sz="0" w:space="0" w:color="auto"/>
        </w:rPr>
        <w:t>arbitrary</w:t>
      </w:r>
      <w:r w:rsidR="003F75F8" w:rsidRPr="003F75F8">
        <w:rPr>
          <w:rFonts w:ascii="Cambria" w:hAnsi="Cambria"/>
          <w:sz w:val="20"/>
          <w:szCs w:val="20"/>
          <w:bdr w:val="none" w:sz="0" w:space="0" w:color="auto"/>
        </w:rPr>
        <w:t xml:space="preserve"> </w:t>
      </w:r>
      <w:r w:rsidR="003F75F8">
        <w:rPr>
          <w:rFonts w:ascii="Cambria" w:hAnsi="Cambria"/>
          <w:sz w:val="20"/>
          <w:szCs w:val="20"/>
          <w:bdr w:val="none" w:sz="0" w:space="0" w:color="auto"/>
        </w:rPr>
        <w:t>decisions</w:t>
      </w:r>
      <w:r w:rsidR="003F75F8" w:rsidRPr="00A51861">
        <w:rPr>
          <w:rFonts w:ascii="Cambria" w:hAnsi="Cambria"/>
          <w:sz w:val="20"/>
          <w:szCs w:val="20"/>
          <w:bdr w:val="none" w:sz="0" w:space="0" w:color="auto"/>
        </w:rPr>
        <w:t xml:space="preserve"> </w:t>
      </w:r>
      <w:r w:rsidR="00773B3C" w:rsidRPr="00A51861">
        <w:rPr>
          <w:rFonts w:ascii="Cambria" w:hAnsi="Cambria"/>
          <w:sz w:val="20"/>
          <w:szCs w:val="20"/>
          <w:bdr w:val="none" w:sz="0" w:space="0" w:color="auto"/>
          <w:vertAlign w:val="superscript"/>
        </w:rPr>
        <w:footnoteReference w:id="221"/>
      </w:r>
      <w:r w:rsidR="00773B3C" w:rsidRPr="00A51861">
        <w:rPr>
          <w:rFonts w:ascii="Cambria" w:hAnsi="Cambria"/>
          <w:sz w:val="20"/>
          <w:szCs w:val="20"/>
          <w:bdr w:val="none" w:sz="0" w:space="0" w:color="auto"/>
        </w:rPr>
        <w:t xml:space="preserve">. </w:t>
      </w:r>
      <w:r w:rsidR="002B762A">
        <w:rPr>
          <w:rFonts w:ascii="Cambria" w:hAnsi="Cambria"/>
          <w:sz w:val="20"/>
          <w:szCs w:val="20"/>
          <w:bdr w:val="none" w:sz="0" w:space="0" w:color="auto"/>
        </w:rPr>
        <w:t>In this sense</w:t>
      </w:r>
      <w:r w:rsidR="00773B3C" w:rsidRPr="00A51861">
        <w:rPr>
          <w:rFonts w:ascii="Cambria" w:hAnsi="Cambria"/>
          <w:sz w:val="20"/>
          <w:szCs w:val="20"/>
          <w:bdr w:val="none" w:sz="0" w:space="0" w:color="auto"/>
        </w:rPr>
        <w:t>,</w:t>
      </w:r>
      <w:r w:rsidR="009A4F91">
        <w:rPr>
          <w:rFonts w:ascii="Cambria" w:hAnsi="Cambria"/>
          <w:sz w:val="20"/>
          <w:szCs w:val="20"/>
          <w:bdr w:val="none" w:sz="0" w:space="0" w:color="auto"/>
        </w:rPr>
        <w:t xml:space="preserve"> the </w:t>
      </w:r>
      <w:r w:rsidR="003F75F8">
        <w:rPr>
          <w:rFonts w:ascii="Cambria" w:hAnsi="Cambria"/>
          <w:sz w:val="20"/>
          <w:szCs w:val="20"/>
          <w:bdr w:val="none" w:sz="0" w:space="0" w:color="auto"/>
        </w:rPr>
        <w:t>foundation</w:t>
      </w:r>
      <w:r w:rsidR="00E92985">
        <w:rPr>
          <w:rFonts w:ascii="Cambria" w:hAnsi="Cambria"/>
          <w:sz w:val="20"/>
          <w:szCs w:val="20"/>
          <w:bdr w:val="none" w:sz="0" w:space="0" w:color="auto"/>
        </w:rPr>
        <w:t xml:space="preserve"> of </w:t>
      </w:r>
      <w:r w:rsidR="003F75F8">
        <w:rPr>
          <w:rFonts w:ascii="Cambria" w:hAnsi="Cambria"/>
          <w:sz w:val="20"/>
          <w:szCs w:val="20"/>
          <w:bdr w:val="none" w:sz="0" w:space="0" w:color="auto"/>
        </w:rPr>
        <w:t>a judgment</w:t>
      </w:r>
      <w:r w:rsidR="00E92985">
        <w:rPr>
          <w:rFonts w:ascii="Cambria" w:hAnsi="Cambria"/>
          <w:sz w:val="20"/>
          <w:szCs w:val="20"/>
          <w:bdr w:val="none" w:sz="0" w:space="0" w:color="auto"/>
        </w:rPr>
        <w:t xml:space="preserve"> and of </w:t>
      </w:r>
      <w:r w:rsidR="003F75F8">
        <w:rPr>
          <w:rFonts w:ascii="Cambria" w:hAnsi="Cambria"/>
          <w:sz w:val="20"/>
          <w:szCs w:val="20"/>
          <w:bdr w:val="none" w:sz="0" w:space="0" w:color="auto"/>
        </w:rPr>
        <w:t>certain</w:t>
      </w:r>
      <w:r w:rsidR="00773B3C" w:rsidRPr="00A51861">
        <w:rPr>
          <w:rFonts w:ascii="Cambria" w:hAnsi="Cambria"/>
          <w:sz w:val="20"/>
          <w:szCs w:val="20"/>
          <w:bdr w:val="none" w:sz="0" w:space="0" w:color="auto"/>
        </w:rPr>
        <w:t xml:space="preserve"> administrativ</w:t>
      </w:r>
      <w:r w:rsidR="003F75F8">
        <w:rPr>
          <w:rFonts w:ascii="Cambria" w:hAnsi="Cambria"/>
          <w:sz w:val="20"/>
          <w:szCs w:val="20"/>
          <w:bdr w:val="none" w:sz="0" w:space="0" w:color="auto"/>
        </w:rPr>
        <w:t>e acts must</w:t>
      </w:r>
      <w:r w:rsidR="00773B3C" w:rsidRPr="00A51861">
        <w:rPr>
          <w:rFonts w:ascii="Cambria" w:hAnsi="Cambria"/>
          <w:sz w:val="20"/>
          <w:szCs w:val="20"/>
          <w:bdr w:val="none" w:sz="0" w:space="0" w:color="auto"/>
        </w:rPr>
        <w:t xml:space="preserve"> </w:t>
      </w:r>
      <w:r w:rsidR="003F75F8">
        <w:rPr>
          <w:rFonts w:ascii="Cambria" w:hAnsi="Cambria"/>
          <w:sz w:val="20"/>
          <w:szCs w:val="20"/>
          <w:bdr w:val="none" w:sz="0" w:space="0" w:color="auto"/>
        </w:rPr>
        <w:t>allow to know</w:t>
      </w:r>
      <w:r w:rsidR="00773B3C" w:rsidRPr="00A51861">
        <w:rPr>
          <w:rFonts w:ascii="Cambria" w:hAnsi="Cambria"/>
          <w:sz w:val="20"/>
          <w:szCs w:val="20"/>
          <w:bdr w:val="none" w:sz="0" w:space="0" w:color="auto"/>
        </w:rPr>
        <w:t xml:space="preserve"> </w:t>
      </w:r>
      <w:r w:rsidR="003F75F8">
        <w:rPr>
          <w:rFonts w:ascii="Cambria" w:hAnsi="Cambria"/>
          <w:sz w:val="20"/>
          <w:szCs w:val="20"/>
          <w:bdr w:val="none" w:sz="0" w:space="0" w:color="auto"/>
        </w:rPr>
        <w:t xml:space="preserve">which </w:t>
      </w:r>
      <w:r w:rsidR="006A3C04">
        <w:rPr>
          <w:rFonts w:ascii="Cambria" w:eastAsia="Calibri" w:hAnsi="Cambria"/>
          <w:sz w:val="20"/>
          <w:szCs w:val="20"/>
          <w:bdr w:val="none" w:sz="0" w:space="0" w:color="auto"/>
        </w:rPr>
        <w:t>the facts</w:t>
      </w:r>
      <w:r w:rsidR="00773B3C" w:rsidRPr="00A51861">
        <w:rPr>
          <w:rFonts w:ascii="Cambria" w:hAnsi="Cambria"/>
          <w:sz w:val="20"/>
          <w:szCs w:val="20"/>
          <w:bdr w:val="none" w:sz="0" w:space="0" w:color="auto"/>
        </w:rPr>
        <w:t xml:space="preserve">, </w:t>
      </w:r>
      <w:r w:rsidR="003F75F8" w:rsidRPr="00A51861">
        <w:rPr>
          <w:rFonts w:ascii="Cambria" w:hAnsi="Cambria"/>
          <w:sz w:val="20"/>
          <w:szCs w:val="20"/>
          <w:bdr w:val="none" w:sz="0" w:space="0" w:color="auto"/>
        </w:rPr>
        <w:t>motives</w:t>
      </w:r>
      <w:r w:rsidR="00E92985">
        <w:rPr>
          <w:rFonts w:ascii="Cambria" w:hAnsi="Cambria"/>
          <w:sz w:val="20"/>
          <w:szCs w:val="20"/>
          <w:bdr w:val="none" w:sz="0" w:space="0" w:color="auto"/>
        </w:rPr>
        <w:t xml:space="preserve"> and </w:t>
      </w:r>
      <w:r w:rsidR="00773B3C" w:rsidRPr="00A51861">
        <w:rPr>
          <w:rFonts w:ascii="Cambria" w:hAnsi="Cambria"/>
          <w:sz w:val="20"/>
          <w:szCs w:val="20"/>
          <w:bdr w:val="none" w:sz="0" w:space="0" w:color="auto"/>
        </w:rPr>
        <w:t xml:space="preserve">norms </w:t>
      </w:r>
      <w:r w:rsidR="003F75F8">
        <w:rPr>
          <w:rFonts w:ascii="Cambria" w:eastAsia="Calibri" w:hAnsi="Cambria"/>
          <w:sz w:val="20"/>
          <w:szCs w:val="20"/>
          <w:bdr w:val="none" w:sz="0" w:space="0" w:color="auto"/>
        </w:rPr>
        <w:t>were</w:t>
      </w:r>
      <w:r w:rsidR="003F75F8" w:rsidRPr="00A51861">
        <w:rPr>
          <w:rFonts w:ascii="Cambria" w:hAnsi="Cambria"/>
          <w:sz w:val="20"/>
          <w:szCs w:val="20"/>
          <w:bdr w:val="none" w:sz="0" w:space="0" w:color="auto"/>
        </w:rPr>
        <w:t xml:space="preserve"> </w:t>
      </w:r>
      <w:r w:rsidR="003F75F8">
        <w:rPr>
          <w:rFonts w:ascii="Cambria" w:hAnsi="Cambria"/>
          <w:sz w:val="20"/>
          <w:szCs w:val="20"/>
          <w:bdr w:val="none" w:sz="0" w:space="0" w:color="auto"/>
        </w:rPr>
        <w:t>on which</w:t>
      </w:r>
      <w:r w:rsidR="009A4F91">
        <w:rPr>
          <w:rFonts w:ascii="Cambria" w:hAnsi="Cambria"/>
          <w:sz w:val="20"/>
          <w:szCs w:val="20"/>
          <w:bdr w:val="none" w:sz="0" w:space="0" w:color="auto"/>
        </w:rPr>
        <w:t xml:space="preserve"> the </w:t>
      </w:r>
      <w:r w:rsidR="000A3625">
        <w:rPr>
          <w:rFonts w:ascii="Cambria" w:hAnsi="Cambria"/>
          <w:sz w:val="20"/>
          <w:szCs w:val="20"/>
          <w:bdr w:val="none" w:sz="0" w:space="0" w:color="auto"/>
        </w:rPr>
        <w:t>authority</w:t>
      </w:r>
      <w:r w:rsidR="00773B3C" w:rsidRPr="00A51861">
        <w:rPr>
          <w:rFonts w:ascii="Cambria" w:hAnsi="Cambria"/>
          <w:sz w:val="20"/>
          <w:szCs w:val="20"/>
          <w:bdr w:val="none" w:sz="0" w:space="0" w:color="auto"/>
        </w:rPr>
        <w:t xml:space="preserve"> </w:t>
      </w:r>
      <w:r w:rsidR="003F75F8">
        <w:rPr>
          <w:rFonts w:ascii="Cambria" w:hAnsi="Cambria"/>
          <w:sz w:val="20"/>
          <w:szCs w:val="20"/>
          <w:bdr w:val="none" w:sz="0" w:space="0" w:color="auto"/>
        </w:rPr>
        <w:t>based to take its</w:t>
      </w:r>
      <w:r w:rsidR="00773B3C" w:rsidRPr="00A51861">
        <w:rPr>
          <w:rFonts w:ascii="Cambria" w:hAnsi="Cambria"/>
          <w:sz w:val="20"/>
          <w:szCs w:val="20"/>
          <w:bdr w:val="none" w:sz="0" w:space="0" w:color="auto"/>
        </w:rPr>
        <w:t xml:space="preserve"> </w:t>
      </w:r>
      <w:r w:rsidR="003F75F8" w:rsidRPr="00A51861">
        <w:rPr>
          <w:rFonts w:ascii="Cambria" w:hAnsi="Cambria"/>
          <w:sz w:val="20"/>
          <w:szCs w:val="20"/>
          <w:bdr w:val="none" w:sz="0" w:space="0" w:color="auto"/>
        </w:rPr>
        <w:t>decision</w:t>
      </w:r>
      <w:r w:rsidR="00773B3C" w:rsidRPr="00A51861">
        <w:rPr>
          <w:rFonts w:ascii="Cambria" w:hAnsi="Cambria"/>
          <w:sz w:val="20"/>
          <w:szCs w:val="20"/>
          <w:bdr w:val="none" w:sz="0" w:space="0" w:color="auto"/>
        </w:rPr>
        <w:t xml:space="preserve">, </w:t>
      </w:r>
      <w:r w:rsidR="003F75F8">
        <w:rPr>
          <w:rFonts w:ascii="Cambria" w:hAnsi="Cambria"/>
          <w:sz w:val="20"/>
          <w:szCs w:val="20"/>
          <w:bdr w:val="none" w:sz="0" w:space="0" w:color="auto"/>
        </w:rPr>
        <w:t>in order to discard</w:t>
      </w:r>
      <w:r w:rsidR="00773B3C" w:rsidRPr="00A51861">
        <w:rPr>
          <w:rFonts w:ascii="Cambria" w:hAnsi="Cambria"/>
          <w:sz w:val="20"/>
          <w:szCs w:val="20"/>
          <w:bdr w:val="none" w:sz="0" w:space="0" w:color="auto"/>
        </w:rPr>
        <w:t xml:space="preserve"> </w:t>
      </w:r>
      <w:r w:rsidR="005617BA">
        <w:rPr>
          <w:rFonts w:ascii="Cambria" w:hAnsi="Cambria"/>
          <w:sz w:val="20"/>
          <w:szCs w:val="20"/>
          <w:bdr w:val="none" w:sz="0" w:space="0" w:color="auto"/>
        </w:rPr>
        <w:t xml:space="preserve">any </w:t>
      </w:r>
      <w:r w:rsidR="003F75F8">
        <w:rPr>
          <w:rFonts w:ascii="Cambria" w:hAnsi="Cambria"/>
          <w:sz w:val="20"/>
          <w:szCs w:val="20"/>
          <w:bdr w:val="none" w:sz="0" w:space="0" w:color="auto"/>
        </w:rPr>
        <w:t>sign</w:t>
      </w:r>
      <w:r w:rsidR="00E92985">
        <w:rPr>
          <w:rFonts w:ascii="Cambria" w:hAnsi="Cambria"/>
          <w:sz w:val="20"/>
          <w:szCs w:val="20"/>
          <w:bdr w:val="none" w:sz="0" w:space="0" w:color="auto"/>
        </w:rPr>
        <w:t xml:space="preserve"> of </w:t>
      </w:r>
      <w:r w:rsidR="003F75F8" w:rsidRPr="00A51861">
        <w:rPr>
          <w:rFonts w:ascii="Cambria" w:hAnsi="Cambria"/>
          <w:sz w:val="20"/>
          <w:szCs w:val="20"/>
          <w:bdr w:val="none" w:sz="0" w:space="0" w:color="auto"/>
        </w:rPr>
        <w:t>arbitrar</w:t>
      </w:r>
      <w:r w:rsidR="003F75F8">
        <w:rPr>
          <w:rFonts w:ascii="Cambria" w:hAnsi="Cambria"/>
          <w:sz w:val="20"/>
          <w:szCs w:val="20"/>
          <w:bdr w:val="none" w:sz="0" w:space="0" w:color="auto"/>
        </w:rPr>
        <w:t>iness</w:t>
      </w:r>
      <w:r w:rsidR="00773B3C" w:rsidRPr="00A51861">
        <w:rPr>
          <w:rFonts w:ascii="Cambria" w:hAnsi="Cambria"/>
          <w:sz w:val="20"/>
          <w:szCs w:val="20"/>
          <w:bdr w:val="none" w:sz="0" w:space="0" w:color="auto"/>
        </w:rPr>
        <w:t>.</w:t>
      </w:r>
      <w:r w:rsidR="00FC257E">
        <w:rPr>
          <w:rFonts w:ascii="Cambria" w:hAnsi="Cambria"/>
          <w:sz w:val="20"/>
          <w:szCs w:val="20"/>
          <w:bdr w:val="none" w:sz="0" w:space="0" w:color="auto"/>
        </w:rPr>
        <w:t xml:space="preserve"> Likewise,</w:t>
      </w:r>
      <w:r w:rsidR="009A4F91">
        <w:rPr>
          <w:rFonts w:ascii="Cambria" w:hAnsi="Cambria"/>
          <w:sz w:val="20"/>
          <w:szCs w:val="20"/>
          <w:bdr w:val="none" w:sz="0" w:space="0" w:color="auto"/>
        </w:rPr>
        <w:t xml:space="preserve"> the </w:t>
      </w:r>
      <w:r w:rsidR="003F75F8" w:rsidRPr="00A51861">
        <w:rPr>
          <w:rFonts w:ascii="Cambria" w:hAnsi="Cambria"/>
          <w:sz w:val="20"/>
          <w:szCs w:val="20"/>
          <w:bdr w:val="none" w:sz="0" w:space="0" w:color="auto"/>
        </w:rPr>
        <w:t>motivation</w:t>
      </w:r>
      <w:r w:rsidR="00773B3C" w:rsidRPr="00A51861">
        <w:rPr>
          <w:rFonts w:ascii="Cambria" w:hAnsi="Cambria"/>
          <w:sz w:val="20"/>
          <w:szCs w:val="20"/>
          <w:bdr w:val="none" w:sz="0" w:space="0" w:color="auto"/>
        </w:rPr>
        <w:t xml:space="preserve"> </w:t>
      </w:r>
      <w:r w:rsidR="003F75F8">
        <w:rPr>
          <w:rFonts w:ascii="Cambria" w:hAnsi="Cambria"/>
          <w:sz w:val="20"/>
          <w:szCs w:val="20"/>
          <w:bdr w:val="none" w:sz="0" w:space="0" w:color="auto"/>
        </w:rPr>
        <w:t>shows to the</w:t>
      </w:r>
      <w:r w:rsidR="00773B3C" w:rsidRPr="00A51861">
        <w:rPr>
          <w:rFonts w:ascii="Cambria" w:hAnsi="Cambria"/>
          <w:sz w:val="20"/>
          <w:szCs w:val="20"/>
          <w:bdr w:val="none" w:sz="0" w:space="0" w:color="auto"/>
        </w:rPr>
        <w:t xml:space="preserve"> part</w:t>
      </w:r>
      <w:r w:rsidR="003F75F8">
        <w:rPr>
          <w:rFonts w:ascii="Cambria" w:hAnsi="Cambria"/>
          <w:sz w:val="20"/>
          <w:szCs w:val="20"/>
          <w:bdr w:val="none" w:sz="0" w:space="0" w:color="auto"/>
        </w:rPr>
        <w:t>i</w:t>
      </w:r>
      <w:r w:rsidR="00773B3C" w:rsidRPr="00A51861">
        <w:rPr>
          <w:rFonts w:ascii="Cambria" w:hAnsi="Cambria"/>
          <w:sz w:val="20"/>
          <w:szCs w:val="20"/>
          <w:bdr w:val="none" w:sz="0" w:space="0" w:color="auto"/>
        </w:rPr>
        <w:t xml:space="preserve">es </w:t>
      </w:r>
      <w:r w:rsidR="003F75F8">
        <w:rPr>
          <w:rFonts w:ascii="Cambria" w:hAnsi="Cambria"/>
          <w:sz w:val="20"/>
          <w:szCs w:val="20"/>
          <w:bdr w:val="none" w:sz="0" w:space="0" w:color="auto"/>
        </w:rPr>
        <w:t>that they have been heard</w:t>
      </w:r>
      <w:r w:rsidR="00773B3C" w:rsidRPr="00A51861">
        <w:rPr>
          <w:rFonts w:ascii="Cambria" w:hAnsi="Cambria"/>
          <w:sz w:val="20"/>
          <w:szCs w:val="20"/>
          <w:bdr w:val="none" w:sz="0" w:space="0" w:color="auto"/>
        </w:rPr>
        <w:t>,</w:t>
      </w:r>
      <w:r w:rsidR="00CB4E23">
        <w:rPr>
          <w:rFonts w:ascii="Cambria" w:eastAsia="Calibri" w:hAnsi="Cambria"/>
          <w:sz w:val="20"/>
          <w:szCs w:val="20"/>
          <w:bdr w:val="none" w:sz="0" w:space="0" w:color="auto"/>
        </w:rPr>
        <w:t xml:space="preserve"> </w:t>
      </w:r>
      <w:r w:rsidR="003F75F8">
        <w:rPr>
          <w:rFonts w:ascii="Cambria" w:eastAsia="Calibri" w:hAnsi="Cambria"/>
          <w:sz w:val="20"/>
          <w:szCs w:val="20"/>
          <w:bdr w:val="none" w:sz="0" w:space="0" w:color="auto"/>
        </w:rPr>
        <w:t>their allegations being duly taken into account</w:t>
      </w:r>
      <w:r w:rsidR="00773B3C" w:rsidRPr="00A51861">
        <w:rPr>
          <w:rFonts w:ascii="Cambria" w:hAnsi="Cambria"/>
          <w:sz w:val="20"/>
          <w:szCs w:val="20"/>
          <w:bdr w:val="none" w:sz="0" w:space="0" w:color="auto"/>
        </w:rPr>
        <w:t xml:space="preserve">, </w:t>
      </w:r>
      <w:r w:rsidR="003F75F8">
        <w:rPr>
          <w:rFonts w:ascii="Cambria" w:hAnsi="Cambria"/>
          <w:sz w:val="20"/>
          <w:szCs w:val="20"/>
          <w:bdr w:val="none" w:sz="0" w:space="0" w:color="auto"/>
        </w:rPr>
        <w:t>the body of evidence been analyzed</w:t>
      </w:r>
      <w:r w:rsidR="00773B3C" w:rsidRPr="00A51861">
        <w:rPr>
          <w:rFonts w:ascii="Cambria" w:hAnsi="Cambria"/>
          <w:sz w:val="20"/>
          <w:szCs w:val="20"/>
          <w:bdr w:val="none" w:sz="0" w:space="0" w:color="auto"/>
        </w:rPr>
        <w:t xml:space="preserve"> </w:t>
      </w:r>
      <w:r w:rsidR="003F75F8">
        <w:rPr>
          <w:rFonts w:ascii="Cambria" w:hAnsi="Cambria"/>
          <w:sz w:val="20"/>
          <w:szCs w:val="20"/>
          <w:bdr w:val="none" w:sz="0" w:space="0" w:color="auto"/>
        </w:rPr>
        <w:t>and</w:t>
      </w:r>
      <w:r w:rsidR="00773B3C" w:rsidRPr="00A51861">
        <w:rPr>
          <w:rFonts w:ascii="Cambria" w:hAnsi="Cambria"/>
          <w:sz w:val="20"/>
          <w:szCs w:val="20"/>
          <w:bdr w:val="none" w:sz="0" w:space="0" w:color="auto"/>
        </w:rPr>
        <w:t xml:space="preserve">, </w:t>
      </w:r>
      <w:r w:rsidR="003F75F8">
        <w:rPr>
          <w:rFonts w:ascii="Cambria" w:hAnsi="Cambria"/>
          <w:sz w:val="20"/>
          <w:szCs w:val="20"/>
          <w:bdr w:val="none" w:sz="0" w:space="0" w:color="auto"/>
        </w:rPr>
        <w:t>in those cases</w:t>
      </w:r>
      <w:r w:rsidR="00773B3C" w:rsidRPr="00A51861">
        <w:rPr>
          <w:rFonts w:ascii="Cambria" w:hAnsi="Cambria"/>
          <w:sz w:val="20"/>
          <w:szCs w:val="20"/>
          <w:bdr w:val="none" w:sz="0" w:space="0" w:color="auto"/>
        </w:rPr>
        <w:t xml:space="preserve"> </w:t>
      </w:r>
      <w:r w:rsidR="003F75F8">
        <w:rPr>
          <w:rFonts w:ascii="Cambria" w:hAnsi="Cambria"/>
          <w:sz w:val="20"/>
          <w:szCs w:val="20"/>
          <w:bdr w:val="none" w:sz="0" w:space="0" w:color="auto"/>
        </w:rPr>
        <w:t>in which</w:t>
      </w:r>
      <w:r w:rsidR="00773B3C" w:rsidRPr="00A51861">
        <w:rPr>
          <w:rFonts w:ascii="Cambria" w:hAnsi="Cambria"/>
          <w:sz w:val="20"/>
          <w:szCs w:val="20"/>
          <w:bdr w:val="none" w:sz="0" w:space="0" w:color="auto"/>
        </w:rPr>
        <w:t xml:space="preserve"> </w:t>
      </w:r>
      <w:r w:rsidR="00E92985">
        <w:rPr>
          <w:rFonts w:ascii="Cambria" w:hAnsi="Cambria"/>
          <w:sz w:val="20"/>
          <w:szCs w:val="20"/>
          <w:bdr w:val="none" w:sz="0" w:space="0" w:color="auto"/>
        </w:rPr>
        <w:t>decisions</w:t>
      </w:r>
      <w:r w:rsidR="00B947BD">
        <w:rPr>
          <w:rFonts w:ascii="Cambria" w:hAnsi="Cambria"/>
          <w:sz w:val="20"/>
          <w:szCs w:val="20"/>
          <w:bdr w:val="none" w:sz="0" w:space="0" w:color="auto"/>
        </w:rPr>
        <w:t xml:space="preserve"> are </w:t>
      </w:r>
      <w:r w:rsidR="003F75F8">
        <w:rPr>
          <w:rFonts w:ascii="Cambria" w:hAnsi="Cambria"/>
          <w:sz w:val="20"/>
          <w:szCs w:val="20"/>
          <w:bdr w:val="none" w:sz="0" w:space="0" w:color="auto"/>
        </w:rPr>
        <w:t>contestable</w:t>
      </w:r>
      <w:r w:rsidR="00773B3C" w:rsidRPr="00A51861">
        <w:rPr>
          <w:rFonts w:ascii="Cambria" w:hAnsi="Cambria"/>
          <w:sz w:val="20"/>
          <w:szCs w:val="20"/>
          <w:bdr w:val="none" w:sz="0" w:space="0" w:color="auto"/>
        </w:rPr>
        <w:t xml:space="preserve">, </w:t>
      </w:r>
      <w:r w:rsidR="003F75F8">
        <w:rPr>
          <w:rFonts w:ascii="Cambria" w:hAnsi="Cambria"/>
          <w:sz w:val="20"/>
          <w:szCs w:val="20"/>
          <w:bdr w:val="none" w:sz="0" w:space="0" w:color="auto"/>
        </w:rPr>
        <w:t>grants them</w:t>
      </w:r>
      <w:r w:rsidR="009A4F91">
        <w:rPr>
          <w:rFonts w:ascii="Cambria" w:hAnsi="Cambria"/>
          <w:sz w:val="20"/>
          <w:szCs w:val="20"/>
          <w:bdr w:val="none" w:sz="0" w:space="0" w:color="auto"/>
        </w:rPr>
        <w:t xml:space="preserve"> the </w:t>
      </w:r>
      <w:r w:rsidR="00414B18">
        <w:rPr>
          <w:rFonts w:ascii="Cambria" w:hAnsi="Cambria"/>
          <w:sz w:val="20"/>
          <w:szCs w:val="20"/>
          <w:bdr w:val="none" w:sz="0" w:space="0" w:color="auto"/>
        </w:rPr>
        <w:t xml:space="preserve">possibility </w:t>
      </w:r>
      <w:r w:rsidR="00BF5EB0">
        <w:rPr>
          <w:rFonts w:ascii="Cambria" w:hAnsi="Cambria"/>
          <w:sz w:val="20"/>
          <w:szCs w:val="20"/>
          <w:bdr w:val="none" w:sz="0" w:space="0" w:color="auto"/>
        </w:rPr>
        <w:t>to criticize</w:t>
      </w:r>
      <w:r w:rsidR="009A4F91">
        <w:rPr>
          <w:rFonts w:ascii="Cambria" w:hAnsi="Cambria"/>
          <w:sz w:val="20"/>
          <w:szCs w:val="20"/>
          <w:bdr w:val="none" w:sz="0" w:space="0" w:color="auto"/>
        </w:rPr>
        <w:t xml:space="preserve"> the </w:t>
      </w:r>
      <w:r w:rsidR="0029564F">
        <w:rPr>
          <w:rFonts w:ascii="Cambria" w:hAnsi="Cambria"/>
          <w:sz w:val="20"/>
          <w:szCs w:val="20"/>
          <w:bdr w:val="none" w:sz="0" w:space="0" w:color="auto"/>
        </w:rPr>
        <w:t>resolution</w:t>
      </w:r>
      <w:r w:rsidR="00E92985">
        <w:rPr>
          <w:rFonts w:ascii="Cambria" w:hAnsi="Cambria"/>
          <w:sz w:val="20"/>
          <w:szCs w:val="20"/>
          <w:bdr w:val="none" w:sz="0" w:space="0" w:color="auto"/>
        </w:rPr>
        <w:t xml:space="preserve"> and </w:t>
      </w:r>
      <w:r w:rsidR="00BF5EB0">
        <w:rPr>
          <w:rFonts w:ascii="Cambria" w:hAnsi="Cambria"/>
          <w:sz w:val="20"/>
          <w:szCs w:val="20"/>
          <w:bdr w:val="none" w:sz="0" w:space="0" w:color="auto"/>
        </w:rPr>
        <w:t>obtain a new exam on the matter</w:t>
      </w:r>
      <w:r w:rsidR="00773B3C" w:rsidRPr="00A51861">
        <w:rPr>
          <w:rFonts w:ascii="Cambria" w:hAnsi="Cambria"/>
          <w:sz w:val="20"/>
          <w:szCs w:val="20"/>
          <w:bdr w:val="none" w:sz="0" w:space="0" w:color="auto"/>
        </w:rPr>
        <w:t xml:space="preserve"> </w:t>
      </w:r>
      <w:r w:rsidR="00BF5EB0">
        <w:rPr>
          <w:rFonts w:ascii="Cambria" w:hAnsi="Cambria"/>
          <w:sz w:val="20"/>
          <w:szCs w:val="20"/>
          <w:bdr w:val="none" w:sz="0" w:space="0" w:color="auto"/>
        </w:rPr>
        <w:t>before higher instances</w:t>
      </w:r>
      <w:r w:rsidR="00773B3C" w:rsidRPr="00A51861">
        <w:rPr>
          <w:rFonts w:ascii="Cambria" w:hAnsi="Cambria"/>
          <w:sz w:val="20"/>
          <w:szCs w:val="20"/>
          <w:bdr w:val="none" w:sz="0" w:space="0" w:color="auto"/>
        </w:rPr>
        <w:t xml:space="preserve">. </w:t>
      </w:r>
      <w:r w:rsidR="00BF5EB0">
        <w:rPr>
          <w:rFonts w:ascii="Cambria" w:hAnsi="Cambria"/>
          <w:sz w:val="20"/>
          <w:szCs w:val="20"/>
          <w:bdr w:val="none" w:sz="0" w:space="0" w:color="auto"/>
        </w:rPr>
        <w:t>Therefore</w:t>
      </w:r>
      <w:r w:rsidR="00773B3C" w:rsidRPr="00A51861">
        <w:rPr>
          <w:rFonts w:ascii="Cambria" w:hAnsi="Cambria"/>
          <w:sz w:val="20"/>
          <w:szCs w:val="20"/>
          <w:bdr w:val="none" w:sz="0" w:space="0" w:color="auto"/>
        </w:rPr>
        <w:t xml:space="preserve">, </w:t>
      </w:r>
      <w:r w:rsidR="00BF5EB0">
        <w:rPr>
          <w:rFonts w:ascii="Cambria" w:hAnsi="Cambria"/>
          <w:sz w:val="20"/>
          <w:szCs w:val="20"/>
          <w:bdr w:val="none" w:sz="0" w:space="0" w:color="auto"/>
        </w:rPr>
        <w:t>the duty</w:t>
      </w:r>
      <w:r w:rsidR="00E92985">
        <w:rPr>
          <w:rFonts w:ascii="Cambria" w:hAnsi="Cambria"/>
          <w:sz w:val="20"/>
          <w:szCs w:val="20"/>
          <w:bdr w:val="none" w:sz="0" w:space="0" w:color="auto"/>
        </w:rPr>
        <w:t xml:space="preserve"> of </w:t>
      </w:r>
      <w:r w:rsidR="00BF5EB0" w:rsidRPr="00A51861">
        <w:rPr>
          <w:rFonts w:ascii="Cambria" w:hAnsi="Cambria"/>
          <w:sz w:val="20"/>
          <w:szCs w:val="20"/>
          <w:bdr w:val="none" w:sz="0" w:space="0" w:color="auto"/>
        </w:rPr>
        <w:t>motivation</w:t>
      </w:r>
      <w:r w:rsidR="00D70A85">
        <w:rPr>
          <w:rFonts w:ascii="Cambria" w:hAnsi="Cambria"/>
          <w:sz w:val="20"/>
          <w:szCs w:val="20"/>
          <w:bdr w:val="none" w:sz="0" w:space="0" w:color="auto"/>
        </w:rPr>
        <w:t xml:space="preserve"> is </w:t>
      </w:r>
      <w:r w:rsidR="00BF5EB0">
        <w:rPr>
          <w:rFonts w:ascii="Cambria" w:hAnsi="Cambria"/>
          <w:sz w:val="20"/>
          <w:szCs w:val="20"/>
          <w:bdr w:val="none" w:sz="0" w:space="0" w:color="auto"/>
        </w:rPr>
        <w:t>one of the</w:t>
      </w:r>
      <w:r w:rsidR="00773B3C" w:rsidRPr="00A51861">
        <w:rPr>
          <w:rFonts w:ascii="Cambria" w:hAnsi="Cambria"/>
          <w:sz w:val="20"/>
          <w:szCs w:val="20"/>
          <w:bdr w:val="none" w:sz="0" w:space="0" w:color="auto"/>
        </w:rPr>
        <w:t xml:space="preserve"> “</w:t>
      </w:r>
      <w:r w:rsidR="00BF5EB0">
        <w:rPr>
          <w:rFonts w:ascii="Cambria" w:hAnsi="Cambria"/>
          <w:sz w:val="20"/>
          <w:szCs w:val="20"/>
          <w:bdr w:val="none" w:sz="0" w:space="0" w:color="auto"/>
        </w:rPr>
        <w:t>due</w:t>
      </w:r>
      <w:r w:rsidR="00773B3C" w:rsidRPr="00A51861">
        <w:rPr>
          <w:rFonts w:ascii="Cambria" w:hAnsi="Cambria"/>
          <w:sz w:val="20"/>
          <w:szCs w:val="20"/>
          <w:bdr w:val="none" w:sz="0" w:space="0" w:color="auto"/>
        </w:rPr>
        <w:t xml:space="preserve"> </w:t>
      </w:r>
      <w:r w:rsidR="009A4F91">
        <w:rPr>
          <w:rFonts w:ascii="Cambria" w:hAnsi="Cambria"/>
          <w:sz w:val="20"/>
          <w:szCs w:val="20"/>
          <w:bdr w:val="none" w:sz="0" w:space="0" w:color="auto"/>
        </w:rPr>
        <w:t>guarantee</w:t>
      </w:r>
      <w:r w:rsidR="00773B3C" w:rsidRPr="00A51861">
        <w:rPr>
          <w:rFonts w:ascii="Cambria" w:hAnsi="Cambria"/>
          <w:sz w:val="20"/>
          <w:szCs w:val="20"/>
          <w:bdr w:val="none" w:sz="0" w:space="0" w:color="auto"/>
        </w:rPr>
        <w:t xml:space="preserve">s” </w:t>
      </w:r>
      <w:r w:rsidR="00BF5EB0">
        <w:rPr>
          <w:rFonts w:ascii="Cambria" w:hAnsi="Cambria"/>
          <w:sz w:val="20"/>
          <w:szCs w:val="20"/>
          <w:bdr w:val="none" w:sz="0" w:space="0" w:color="auto"/>
        </w:rPr>
        <w:t>included in</w:t>
      </w:r>
      <w:r w:rsidR="004C5A00">
        <w:rPr>
          <w:rFonts w:ascii="Cambria" w:hAnsi="Cambria"/>
          <w:sz w:val="20"/>
          <w:szCs w:val="20"/>
          <w:bdr w:val="none" w:sz="0" w:space="0" w:color="auto"/>
        </w:rPr>
        <w:t xml:space="preserve"> article </w:t>
      </w:r>
      <w:r w:rsidR="00773B3C" w:rsidRPr="00A51861">
        <w:rPr>
          <w:rFonts w:ascii="Cambria" w:hAnsi="Cambria"/>
          <w:sz w:val="20"/>
          <w:szCs w:val="20"/>
          <w:bdr w:val="none" w:sz="0" w:space="0" w:color="auto"/>
        </w:rPr>
        <w:t xml:space="preserve">8.1 </w:t>
      </w:r>
      <w:r w:rsidR="00BF5EB0">
        <w:rPr>
          <w:rFonts w:ascii="Cambria" w:hAnsi="Cambria"/>
          <w:sz w:val="20"/>
          <w:szCs w:val="20"/>
          <w:bdr w:val="none" w:sz="0" w:space="0" w:color="auto"/>
        </w:rPr>
        <w:t>to protect</w:t>
      </w:r>
      <w:r w:rsidR="00773B3C" w:rsidRPr="00A51861">
        <w:rPr>
          <w:rFonts w:ascii="Cambria" w:hAnsi="Cambria"/>
          <w:sz w:val="20"/>
          <w:szCs w:val="20"/>
          <w:bdr w:val="none" w:sz="0" w:space="0" w:color="auto"/>
        </w:rPr>
        <w:t xml:space="preserve"> </w:t>
      </w:r>
      <w:r w:rsidR="00A65E37">
        <w:rPr>
          <w:rFonts w:ascii="Cambria" w:hAnsi="Cambria"/>
          <w:sz w:val="20"/>
          <w:szCs w:val="20"/>
          <w:bdr w:val="none" w:sz="0" w:space="0" w:color="auto"/>
        </w:rPr>
        <w:t>the right to</w:t>
      </w:r>
      <w:r w:rsidR="00773B3C" w:rsidRPr="00A51861">
        <w:rPr>
          <w:rFonts w:ascii="Cambria" w:hAnsi="Cambria"/>
          <w:sz w:val="20"/>
          <w:szCs w:val="20"/>
          <w:bdr w:val="none" w:sz="0" w:space="0" w:color="auto"/>
        </w:rPr>
        <w:t xml:space="preserve"> </w:t>
      </w:r>
      <w:r w:rsidR="00E92985">
        <w:rPr>
          <w:rFonts w:ascii="Cambria" w:hAnsi="Cambria"/>
          <w:sz w:val="20"/>
          <w:szCs w:val="20"/>
          <w:bdr w:val="none" w:sz="0" w:space="0" w:color="auto"/>
        </w:rPr>
        <w:t>due process</w:t>
      </w:r>
      <w:r w:rsidR="00773B3C" w:rsidRPr="00A51861">
        <w:rPr>
          <w:rFonts w:ascii="Cambria" w:hAnsi="Cambria"/>
          <w:sz w:val="20"/>
          <w:szCs w:val="20"/>
          <w:bdr w:val="none" w:sz="0" w:space="0" w:color="auto"/>
          <w:vertAlign w:val="superscript"/>
        </w:rPr>
        <w:footnoteReference w:id="222"/>
      </w:r>
      <w:r w:rsidR="00773B3C" w:rsidRPr="00A51861">
        <w:rPr>
          <w:rFonts w:ascii="Cambria" w:hAnsi="Cambria"/>
          <w:sz w:val="20"/>
          <w:szCs w:val="20"/>
          <w:bdr w:val="none" w:sz="0" w:space="0" w:color="auto"/>
        </w:rPr>
        <w:t>.</w:t>
      </w:r>
    </w:p>
    <w:p w14:paraId="51F8E5BD" w14:textId="77777777" w:rsidR="00773B3C" w:rsidRPr="00A51861" w:rsidRDefault="00773B3C" w:rsidP="008E4D36">
      <w:pPr>
        <w:ind w:left="720"/>
        <w:rPr>
          <w:rFonts w:ascii="Cambria" w:hAnsi="Cambria"/>
          <w:color w:val="000000"/>
          <w:sz w:val="20"/>
          <w:szCs w:val="20"/>
          <w:u w:color="000000"/>
          <w:lang w:eastAsia="es-ES"/>
        </w:rPr>
      </w:pPr>
    </w:p>
    <w:p w14:paraId="54925914" w14:textId="74989466" w:rsidR="00773B3C" w:rsidRPr="00A51861" w:rsidRDefault="00BF5EB0"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bdr w:val="none" w:sz="0" w:space="0" w:color="auto"/>
        </w:rPr>
      </w:pPr>
      <w:r>
        <w:rPr>
          <w:rFonts w:ascii="Cambria" w:hAnsi="Cambria"/>
          <w:sz w:val="20"/>
          <w:szCs w:val="20"/>
          <w:bdr w:val="none" w:sz="0" w:space="0" w:color="auto"/>
        </w:rPr>
        <w:t xml:space="preserve">The duty of </w:t>
      </w:r>
      <w:r w:rsidRPr="00A51861">
        <w:rPr>
          <w:rFonts w:ascii="Cambria" w:hAnsi="Cambria"/>
          <w:sz w:val="20"/>
          <w:szCs w:val="20"/>
          <w:bdr w:val="none" w:sz="0" w:space="0" w:color="auto"/>
        </w:rPr>
        <w:t>motivation</w:t>
      </w:r>
      <w:r>
        <w:rPr>
          <w:rFonts w:ascii="Cambria" w:hAnsi="Cambria"/>
          <w:sz w:val="20"/>
          <w:szCs w:val="20"/>
          <w:bdr w:val="none" w:sz="0" w:space="0" w:color="auto"/>
        </w:rPr>
        <w:t xml:space="preserve"> does not demand a detailed answer to each and every one of the </w:t>
      </w:r>
      <w:r w:rsidR="00773B3C" w:rsidRPr="00A51861">
        <w:rPr>
          <w:rFonts w:ascii="Cambria" w:hAnsi="Cambria"/>
          <w:sz w:val="20"/>
          <w:szCs w:val="20"/>
          <w:bdr w:val="none" w:sz="0" w:space="0" w:color="auto"/>
        </w:rPr>
        <w:t>arguments</w:t>
      </w:r>
      <w:r w:rsidR="00E92985">
        <w:rPr>
          <w:rFonts w:ascii="Cambria" w:hAnsi="Cambria"/>
          <w:sz w:val="20"/>
          <w:szCs w:val="20"/>
          <w:bdr w:val="none" w:sz="0" w:space="0" w:color="auto"/>
        </w:rPr>
        <w:t xml:space="preserve"> of </w:t>
      </w:r>
      <w:r>
        <w:rPr>
          <w:rFonts w:ascii="Cambria" w:hAnsi="Cambria"/>
          <w:sz w:val="20"/>
          <w:szCs w:val="20"/>
          <w:bdr w:val="none" w:sz="0" w:space="0" w:color="auto"/>
        </w:rPr>
        <w:t>the</w:t>
      </w:r>
      <w:r w:rsidR="00773B3C" w:rsidRPr="00A51861">
        <w:rPr>
          <w:rFonts w:ascii="Cambria" w:hAnsi="Cambria"/>
          <w:sz w:val="20"/>
          <w:szCs w:val="20"/>
          <w:bdr w:val="none" w:sz="0" w:space="0" w:color="auto"/>
        </w:rPr>
        <w:t xml:space="preserve"> part</w:t>
      </w:r>
      <w:r>
        <w:rPr>
          <w:rFonts w:ascii="Cambria" w:hAnsi="Cambria"/>
          <w:sz w:val="20"/>
          <w:szCs w:val="20"/>
          <w:bdr w:val="none" w:sz="0" w:space="0" w:color="auto"/>
        </w:rPr>
        <w:t>i</w:t>
      </w:r>
      <w:r w:rsidR="00773B3C" w:rsidRPr="00A51861">
        <w:rPr>
          <w:rFonts w:ascii="Cambria" w:hAnsi="Cambria"/>
          <w:sz w:val="20"/>
          <w:szCs w:val="20"/>
          <w:bdr w:val="none" w:sz="0" w:space="0" w:color="auto"/>
        </w:rPr>
        <w:t xml:space="preserve">es, </w:t>
      </w:r>
      <w:r>
        <w:rPr>
          <w:rFonts w:ascii="Cambria" w:hAnsi="Cambria"/>
          <w:sz w:val="20"/>
          <w:szCs w:val="20"/>
          <w:bdr w:val="none" w:sz="0" w:space="0" w:color="auto"/>
        </w:rPr>
        <w:t>but an answer to the main</w:t>
      </w:r>
      <w:r w:rsidR="00773B3C" w:rsidRPr="00A51861">
        <w:rPr>
          <w:rFonts w:ascii="Cambria" w:hAnsi="Cambria"/>
          <w:sz w:val="20"/>
          <w:szCs w:val="20"/>
          <w:bdr w:val="none" w:sz="0" w:space="0" w:color="auto"/>
        </w:rPr>
        <w:t xml:space="preserve"> </w:t>
      </w:r>
      <w:r w:rsidR="00E92985">
        <w:rPr>
          <w:rFonts w:ascii="Cambria" w:hAnsi="Cambria"/>
          <w:sz w:val="20"/>
          <w:szCs w:val="20"/>
          <w:bdr w:val="none" w:sz="0" w:space="0" w:color="auto"/>
        </w:rPr>
        <w:t xml:space="preserve">and </w:t>
      </w:r>
      <w:r w:rsidR="004366F2">
        <w:rPr>
          <w:rFonts w:ascii="Cambria" w:hAnsi="Cambria"/>
          <w:sz w:val="20"/>
          <w:szCs w:val="20"/>
          <w:bdr w:val="none" w:sz="0" w:space="0" w:color="auto"/>
        </w:rPr>
        <w:t>essential</w:t>
      </w:r>
      <w:r w:rsidR="00773B3C" w:rsidRPr="00A51861">
        <w:rPr>
          <w:rFonts w:ascii="Cambria" w:hAnsi="Cambria"/>
          <w:sz w:val="20"/>
          <w:szCs w:val="20"/>
          <w:bdr w:val="none" w:sz="0" w:space="0" w:color="auto"/>
        </w:rPr>
        <w:t xml:space="preserve"> </w:t>
      </w:r>
      <w:r w:rsidRPr="00A51861">
        <w:rPr>
          <w:rFonts w:ascii="Cambria" w:hAnsi="Cambria"/>
          <w:sz w:val="20"/>
          <w:szCs w:val="20"/>
          <w:bdr w:val="none" w:sz="0" w:space="0" w:color="auto"/>
        </w:rPr>
        <w:t xml:space="preserve">arguments </w:t>
      </w:r>
      <w:r>
        <w:rPr>
          <w:rFonts w:ascii="Cambria" w:hAnsi="Cambria"/>
          <w:sz w:val="20"/>
          <w:szCs w:val="20"/>
          <w:bdr w:val="none" w:sz="0" w:space="0" w:color="auto"/>
        </w:rPr>
        <w:t>subject</w:t>
      </w:r>
      <w:r w:rsidR="00E92985">
        <w:rPr>
          <w:rFonts w:ascii="Cambria" w:hAnsi="Cambria"/>
          <w:sz w:val="20"/>
          <w:szCs w:val="20"/>
          <w:bdr w:val="none" w:sz="0" w:space="0" w:color="auto"/>
        </w:rPr>
        <w:t xml:space="preserve"> of </w:t>
      </w:r>
      <w:r w:rsidR="00773B3C" w:rsidRPr="00A51861">
        <w:rPr>
          <w:rFonts w:ascii="Cambria" w:hAnsi="Cambria"/>
          <w:sz w:val="20"/>
          <w:szCs w:val="20"/>
          <w:bdr w:val="none" w:sz="0" w:space="0" w:color="auto"/>
        </w:rPr>
        <w:t>controvers</w:t>
      </w:r>
      <w:r>
        <w:rPr>
          <w:rFonts w:ascii="Cambria" w:hAnsi="Cambria"/>
          <w:sz w:val="20"/>
          <w:szCs w:val="20"/>
          <w:bdr w:val="none" w:sz="0" w:space="0" w:color="auto"/>
        </w:rPr>
        <w:t>y</w:t>
      </w:r>
      <w:r w:rsidR="00773B3C" w:rsidRPr="00A51861">
        <w:rPr>
          <w:rFonts w:ascii="Cambria" w:hAnsi="Cambria"/>
          <w:sz w:val="20"/>
          <w:szCs w:val="20"/>
          <w:bdr w:val="none" w:sz="0" w:space="0" w:color="auto"/>
        </w:rPr>
        <w:t xml:space="preserve"> </w:t>
      </w:r>
      <w:r>
        <w:rPr>
          <w:rFonts w:ascii="Cambria" w:hAnsi="Cambria"/>
          <w:sz w:val="20"/>
          <w:szCs w:val="20"/>
          <w:bdr w:val="none" w:sz="0" w:space="0" w:color="auto"/>
        </w:rPr>
        <w:t>which allow to</w:t>
      </w:r>
      <w:r w:rsidR="00773B3C" w:rsidRPr="00A51861">
        <w:rPr>
          <w:rFonts w:ascii="Cambria" w:hAnsi="Cambria"/>
          <w:sz w:val="20"/>
          <w:szCs w:val="20"/>
          <w:bdr w:val="none" w:sz="0" w:space="0" w:color="auto"/>
        </w:rPr>
        <w:t xml:space="preserve"> </w:t>
      </w:r>
      <w:r w:rsidR="009A4F91">
        <w:rPr>
          <w:rFonts w:ascii="Cambria" w:hAnsi="Cambria"/>
          <w:sz w:val="20"/>
          <w:szCs w:val="20"/>
          <w:bdr w:val="none" w:sz="0" w:space="0" w:color="auto"/>
        </w:rPr>
        <w:t>ensure</w:t>
      </w:r>
      <w:r w:rsidR="00773B3C" w:rsidRPr="00A51861">
        <w:rPr>
          <w:rFonts w:ascii="Cambria" w:hAnsi="Cambria"/>
          <w:sz w:val="20"/>
          <w:szCs w:val="20"/>
          <w:bdr w:val="none" w:sz="0" w:space="0" w:color="auto"/>
        </w:rPr>
        <w:t xml:space="preserve"> </w:t>
      </w:r>
      <w:r w:rsidR="00485D90">
        <w:rPr>
          <w:rFonts w:ascii="Cambria" w:hAnsi="Cambria"/>
          <w:sz w:val="20"/>
          <w:szCs w:val="20"/>
          <w:bdr w:val="none" w:sz="0" w:space="0" w:color="auto"/>
        </w:rPr>
        <w:t>the</w:t>
      </w:r>
      <w:r w:rsidR="00773B3C" w:rsidRPr="00A51861">
        <w:rPr>
          <w:rFonts w:ascii="Cambria" w:hAnsi="Cambria"/>
          <w:sz w:val="20"/>
          <w:szCs w:val="20"/>
          <w:bdr w:val="none" w:sz="0" w:space="0" w:color="auto"/>
        </w:rPr>
        <w:t xml:space="preserve"> part</w:t>
      </w:r>
      <w:r w:rsidR="00485D90">
        <w:rPr>
          <w:rFonts w:ascii="Cambria" w:hAnsi="Cambria"/>
          <w:sz w:val="20"/>
          <w:szCs w:val="20"/>
          <w:bdr w:val="none" w:sz="0" w:space="0" w:color="auto"/>
        </w:rPr>
        <w:t>i</w:t>
      </w:r>
      <w:r w:rsidR="00773B3C" w:rsidRPr="00A51861">
        <w:rPr>
          <w:rFonts w:ascii="Cambria" w:hAnsi="Cambria"/>
          <w:sz w:val="20"/>
          <w:szCs w:val="20"/>
          <w:bdr w:val="none" w:sz="0" w:space="0" w:color="auto"/>
        </w:rPr>
        <w:t xml:space="preserve">es </w:t>
      </w:r>
      <w:r w:rsidR="00485D90">
        <w:rPr>
          <w:rFonts w:ascii="Cambria" w:hAnsi="Cambria"/>
          <w:sz w:val="20"/>
          <w:szCs w:val="20"/>
          <w:bdr w:val="none" w:sz="0" w:space="0" w:color="auto"/>
        </w:rPr>
        <w:t>that they have been heard throughout the proceedings.</w:t>
      </w:r>
      <w:r w:rsidR="00773B3C" w:rsidRPr="00A51861">
        <w:rPr>
          <w:rFonts w:ascii="Cambria" w:hAnsi="Cambria"/>
          <w:sz w:val="20"/>
          <w:szCs w:val="20"/>
          <w:bdr w:val="none" w:sz="0" w:space="0" w:color="auto"/>
          <w:vertAlign w:val="superscript"/>
        </w:rPr>
        <w:footnoteReference w:id="223"/>
      </w:r>
      <w:r w:rsidR="00773B3C" w:rsidRPr="00A51861">
        <w:rPr>
          <w:rFonts w:ascii="Cambria" w:hAnsi="Cambria"/>
          <w:sz w:val="20"/>
          <w:szCs w:val="20"/>
          <w:bdr w:val="none" w:sz="0" w:space="0" w:color="auto"/>
          <w:vertAlign w:val="superscript"/>
        </w:rPr>
        <w:t>.</w:t>
      </w:r>
    </w:p>
    <w:p w14:paraId="0D7030CE" w14:textId="77777777" w:rsidR="00773B3C" w:rsidRPr="00A51861" w:rsidRDefault="00773B3C" w:rsidP="008E4D36">
      <w:pPr>
        <w:ind w:left="720"/>
        <w:rPr>
          <w:rFonts w:ascii="Cambria" w:hAnsi="Cambria"/>
          <w:color w:val="000000"/>
          <w:sz w:val="20"/>
          <w:szCs w:val="20"/>
          <w:u w:color="000000"/>
          <w:lang w:eastAsia="es-ES"/>
        </w:rPr>
      </w:pPr>
    </w:p>
    <w:p w14:paraId="240D0ED4" w14:textId="08EE20C6" w:rsidR="00773B3C" w:rsidRPr="00A51861" w:rsidRDefault="00485D90"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rPr>
      </w:pPr>
      <w:r>
        <w:rPr>
          <w:rFonts w:ascii="Cambria" w:hAnsi="Cambria"/>
          <w:sz w:val="20"/>
          <w:szCs w:val="20"/>
        </w:rPr>
        <w:t>Concerning</w:t>
      </w:r>
      <w:r w:rsidR="00773B3C" w:rsidRPr="00A51861">
        <w:rPr>
          <w:rFonts w:ascii="Cambria" w:hAnsi="Cambria"/>
          <w:sz w:val="20"/>
          <w:szCs w:val="20"/>
        </w:rPr>
        <w:t xml:space="preserve"> </w:t>
      </w:r>
      <w:r w:rsidR="0029564F">
        <w:rPr>
          <w:rFonts w:ascii="Cambria" w:hAnsi="Cambria"/>
          <w:sz w:val="20"/>
          <w:szCs w:val="20"/>
        </w:rPr>
        <w:t>article</w:t>
      </w:r>
      <w:r w:rsidR="00773B3C" w:rsidRPr="00A51861">
        <w:rPr>
          <w:rFonts w:ascii="Cambria" w:hAnsi="Cambria"/>
          <w:sz w:val="20"/>
          <w:szCs w:val="20"/>
        </w:rPr>
        <w:t xml:space="preserve"> 25.1</w:t>
      </w:r>
      <w:r w:rsidR="00E92985">
        <w:rPr>
          <w:rFonts w:ascii="Cambria" w:hAnsi="Cambria"/>
          <w:sz w:val="20"/>
          <w:szCs w:val="20"/>
        </w:rPr>
        <w:t xml:space="preserve"> of the </w:t>
      </w:r>
      <w:r w:rsidR="00CB4E23">
        <w:rPr>
          <w:rFonts w:ascii="Cambria" w:hAnsi="Cambria"/>
          <w:sz w:val="20"/>
          <w:szCs w:val="20"/>
        </w:rPr>
        <w:t>Convention</w:t>
      </w:r>
      <w:r w:rsidR="00773B3C" w:rsidRPr="00A51861">
        <w:rPr>
          <w:rFonts w:ascii="Cambria" w:hAnsi="Cambria"/>
          <w:sz w:val="20"/>
          <w:szCs w:val="20"/>
        </w:rPr>
        <w:t>,</w:t>
      </w:r>
      <w:r w:rsidR="009A4F91">
        <w:rPr>
          <w:rFonts w:ascii="Cambria" w:hAnsi="Cambria"/>
          <w:sz w:val="20"/>
          <w:szCs w:val="20"/>
        </w:rPr>
        <w:t xml:space="preserve"> the </w:t>
      </w:r>
      <w:r w:rsidR="00B04009">
        <w:rPr>
          <w:rFonts w:ascii="Cambria" w:hAnsi="Cambria"/>
          <w:sz w:val="20"/>
          <w:szCs w:val="20"/>
        </w:rPr>
        <w:t>Inter-American Court</w:t>
      </w:r>
      <w:r w:rsidR="00773B3C" w:rsidRPr="00A51861">
        <w:rPr>
          <w:rFonts w:ascii="Cambria" w:hAnsi="Cambria"/>
          <w:sz w:val="20"/>
          <w:szCs w:val="20"/>
        </w:rPr>
        <w:t xml:space="preserve"> ha</w:t>
      </w:r>
      <w:r>
        <w:rPr>
          <w:rFonts w:ascii="Cambria" w:hAnsi="Cambria"/>
          <w:sz w:val="20"/>
          <w:szCs w:val="20"/>
        </w:rPr>
        <w:t>s</w:t>
      </w:r>
      <w:r w:rsidR="00773B3C" w:rsidRPr="00A51861">
        <w:rPr>
          <w:rFonts w:ascii="Cambria" w:hAnsi="Cambria"/>
          <w:sz w:val="20"/>
          <w:szCs w:val="20"/>
        </w:rPr>
        <w:t xml:space="preserve"> </w:t>
      </w:r>
      <w:r>
        <w:rPr>
          <w:rFonts w:ascii="Cambria" w:hAnsi="Cambria"/>
          <w:sz w:val="20"/>
          <w:szCs w:val="20"/>
        </w:rPr>
        <w:t>held</w:t>
      </w:r>
      <w:r w:rsidR="00E92985">
        <w:rPr>
          <w:rFonts w:ascii="Cambria" w:hAnsi="Cambria"/>
          <w:sz w:val="20"/>
          <w:szCs w:val="20"/>
        </w:rPr>
        <w:t xml:space="preserve"> that </w:t>
      </w:r>
      <w:r>
        <w:rPr>
          <w:rFonts w:ascii="Cambria" w:hAnsi="Cambria"/>
          <w:sz w:val="20"/>
          <w:szCs w:val="20"/>
        </w:rPr>
        <w:t>it provides</w:t>
      </w:r>
      <w:r w:rsidR="00773B3C" w:rsidRPr="00A51861">
        <w:rPr>
          <w:rFonts w:ascii="Cambria" w:hAnsi="Cambria"/>
          <w:sz w:val="20"/>
          <w:szCs w:val="20"/>
        </w:rPr>
        <w:t xml:space="preserve">, </w:t>
      </w:r>
      <w:r>
        <w:rPr>
          <w:rFonts w:ascii="Cambria" w:hAnsi="Cambria"/>
          <w:sz w:val="20"/>
          <w:szCs w:val="20"/>
        </w:rPr>
        <w:t>in broad terms</w:t>
      </w:r>
      <w:r w:rsidR="00773B3C" w:rsidRPr="00A51861">
        <w:rPr>
          <w:rFonts w:ascii="Cambria" w:hAnsi="Cambria"/>
          <w:sz w:val="20"/>
          <w:szCs w:val="20"/>
        </w:rPr>
        <w:t>,</w:t>
      </w:r>
      <w:r w:rsidR="009A4F91">
        <w:rPr>
          <w:rFonts w:ascii="Cambria" w:hAnsi="Cambria"/>
          <w:sz w:val="20"/>
          <w:szCs w:val="20"/>
        </w:rPr>
        <w:t xml:space="preserve"> the </w:t>
      </w:r>
      <w:r w:rsidRPr="00A51861">
        <w:rPr>
          <w:rFonts w:ascii="Cambria" w:hAnsi="Cambria"/>
          <w:sz w:val="20"/>
          <w:szCs w:val="20"/>
        </w:rPr>
        <w:t>obligation</w:t>
      </w:r>
      <w:r w:rsidR="00773B3C" w:rsidRPr="00A51861">
        <w:rPr>
          <w:rFonts w:ascii="Cambria" w:hAnsi="Cambria"/>
          <w:sz w:val="20"/>
          <w:szCs w:val="20"/>
        </w:rPr>
        <w:t xml:space="preserve"> </w:t>
      </w:r>
      <w:r w:rsidR="00E92985">
        <w:rPr>
          <w:rFonts w:ascii="Cambria" w:hAnsi="Cambria"/>
          <w:sz w:val="20"/>
          <w:szCs w:val="20"/>
        </w:rPr>
        <w:t xml:space="preserve">of </w:t>
      </w:r>
      <w:r w:rsidR="002D6E83">
        <w:rPr>
          <w:rFonts w:ascii="Cambria" w:hAnsi="Cambria"/>
          <w:sz w:val="20"/>
          <w:szCs w:val="20"/>
        </w:rPr>
        <w:t>the States</w:t>
      </w:r>
      <w:r w:rsidR="00E92985">
        <w:rPr>
          <w:rFonts w:ascii="Cambria" w:hAnsi="Cambria"/>
          <w:sz w:val="20"/>
          <w:szCs w:val="20"/>
        </w:rPr>
        <w:t xml:space="preserve"> </w:t>
      </w:r>
      <w:r>
        <w:rPr>
          <w:rFonts w:ascii="Cambria" w:hAnsi="Cambria"/>
          <w:sz w:val="20"/>
          <w:szCs w:val="20"/>
        </w:rPr>
        <w:t>to offer</w:t>
      </w:r>
      <w:r w:rsidR="00E53384">
        <w:rPr>
          <w:rFonts w:ascii="Cambria" w:hAnsi="Cambria"/>
          <w:sz w:val="20"/>
          <w:szCs w:val="20"/>
        </w:rPr>
        <w:t xml:space="preserve"> </w:t>
      </w:r>
      <w:r>
        <w:rPr>
          <w:rFonts w:ascii="Cambria" w:hAnsi="Cambria"/>
          <w:sz w:val="20"/>
          <w:szCs w:val="20"/>
        </w:rPr>
        <w:t>all</w:t>
      </w:r>
      <w:r w:rsidR="00773B3C" w:rsidRPr="00A51861">
        <w:rPr>
          <w:rFonts w:ascii="Cambria" w:hAnsi="Cambria"/>
          <w:sz w:val="20"/>
          <w:szCs w:val="20"/>
        </w:rPr>
        <w:t xml:space="preserve"> </w:t>
      </w:r>
      <w:r w:rsidR="00EC7A58">
        <w:rPr>
          <w:rFonts w:ascii="Cambria" w:hAnsi="Cambria"/>
          <w:sz w:val="20"/>
          <w:szCs w:val="20"/>
        </w:rPr>
        <w:t>persons</w:t>
      </w:r>
      <w:r w:rsidR="00773B3C" w:rsidRPr="00A51861">
        <w:rPr>
          <w:rFonts w:ascii="Cambria" w:hAnsi="Cambria"/>
          <w:sz w:val="20"/>
          <w:szCs w:val="20"/>
        </w:rPr>
        <w:t xml:space="preserve"> </w:t>
      </w:r>
      <w:r>
        <w:rPr>
          <w:rFonts w:ascii="Cambria" w:hAnsi="Cambria"/>
          <w:sz w:val="20"/>
          <w:szCs w:val="20"/>
        </w:rPr>
        <w:t>under its</w:t>
      </w:r>
      <w:r w:rsidR="00773B3C" w:rsidRPr="00A51861">
        <w:rPr>
          <w:rFonts w:ascii="Cambria" w:hAnsi="Cambria"/>
          <w:sz w:val="20"/>
          <w:szCs w:val="20"/>
        </w:rPr>
        <w:t xml:space="preserve"> </w:t>
      </w:r>
      <w:r w:rsidR="004C5A00">
        <w:rPr>
          <w:rFonts w:ascii="Cambria" w:hAnsi="Cambria"/>
          <w:sz w:val="20"/>
          <w:szCs w:val="20"/>
        </w:rPr>
        <w:t>jurisdiction</w:t>
      </w:r>
      <w:r w:rsidR="00773B3C" w:rsidRPr="00A51861">
        <w:rPr>
          <w:rFonts w:ascii="Cambria" w:hAnsi="Cambria"/>
          <w:sz w:val="20"/>
          <w:szCs w:val="20"/>
        </w:rPr>
        <w:t xml:space="preserve">, </w:t>
      </w:r>
      <w:r>
        <w:rPr>
          <w:rFonts w:ascii="Cambria" w:hAnsi="Cambria"/>
          <w:sz w:val="20"/>
          <w:szCs w:val="20"/>
        </w:rPr>
        <w:t>an</w:t>
      </w:r>
      <w:r w:rsidR="00773B3C" w:rsidRPr="00A51861">
        <w:rPr>
          <w:rFonts w:ascii="Cambria" w:hAnsi="Cambria"/>
          <w:sz w:val="20"/>
          <w:szCs w:val="20"/>
        </w:rPr>
        <w:t xml:space="preserve"> </w:t>
      </w:r>
      <w:r>
        <w:rPr>
          <w:rFonts w:ascii="Cambria" w:hAnsi="Cambria"/>
          <w:color w:val="000000" w:themeColor="text1"/>
          <w:sz w:val="20"/>
          <w:szCs w:val="20"/>
        </w:rPr>
        <w:t>effective</w:t>
      </w:r>
      <w:r>
        <w:rPr>
          <w:rFonts w:ascii="Cambria" w:hAnsi="Cambria"/>
          <w:sz w:val="20"/>
          <w:szCs w:val="20"/>
        </w:rPr>
        <w:t xml:space="preserve"> </w:t>
      </w:r>
      <w:r w:rsidR="00773B3C" w:rsidRPr="00A51861">
        <w:rPr>
          <w:rFonts w:ascii="Cambria" w:hAnsi="Cambria"/>
          <w:sz w:val="20"/>
          <w:szCs w:val="20"/>
        </w:rPr>
        <w:t xml:space="preserve">judicial </w:t>
      </w:r>
      <w:r>
        <w:rPr>
          <w:rFonts w:ascii="Cambria" w:hAnsi="Cambria"/>
          <w:sz w:val="20"/>
          <w:szCs w:val="20"/>
        </w:rPr>
        <w:t xml:space="preserve">remedy </w:t>
      </w:r>
      <w:r w:rsidR="00CB0928">
        <w:rPr>
          <w:rFonts w:ascii="Cambria" w:hAnsi="Cambria"/>
          <w:sz w:val="20"/>
          <w:szCs w:val="20"/>
        </w:rPr>
        <w:t xml:space="preserve">against </w:t>
      </w:r>
      <w:r w:rsidR="00404714">
        <w:rPr>
          <w:rFonts w:ascii="Cambria" w:hAnsi="Cambria"/>
          <w:sz w:val="20"/>
          <w:szCs w:val="20"/>
        </w:rPr>
        <w:t xml:space="preserve">acts </w:t>
      </w:r>
      <w:r>
        <w:rPr>
          <w:rFonts w:ascii="Cambria" w:hAnsi="Cambria"/>
          <w:sz w:val="20"/>
          <w:szCs w:val="20"/>
        </w:rPr>
        <w:t>which violate their</w:t>
      </w:r>
      <w:r w:rsidR="00773B3C" w:rsidRPr="00A51861">
        <w:rPr>
          <w:rFonts w:ascii="Cambria" w:hAnsi="Cambria"/>
          <w:sz w:val="20"/>
          <w:szCs w:val="20"/>
        </w:rPr>
        <w:t xml:space="preserve"> </w:t>
      </w:r>
      <w:r w:rsidRPr="00A51861">
        <w:rPr>
          <w:rFonts w:ascii="Cambria" w:hAnsi="Cambria"/>
          <w:sz w:val="20"/>
          <w:szCs w:val="20"/>
        </w:rPr>
        <w:t>fundamental</w:t>
      </w:r>
      <w:r>
        <w:rPr>
          <w:rFonts w:ascii="Cambria" w:hAnsi="Cambria"/>
          <w:sz w:val="20"/>
          <w:szCs w:val="20"/>
        </w:rPr>
        <w:t xml:space="preserve"> right</w:t>
      </w:r>
      <w:r w:rsidR="00773B3C" w:rsidRPr="00A51861">
        <w:rPr>
          <w:rFonts w:ascii="Cambria" w:hAnsi="Cambria"/>
          <w:sz w:val="20"/>
          <w:szCs w:val="20"/>
        </w:rPr>
        <w:t>s</w:t>
      </w:r>
      <w:r w:rsidR="00773B3C" w:rsidRPr="00A51861">
        <w:rPr>
          <w:rFonts w:ascii="Cambria" w:hAnsi="Cambria"/>
          <w:sz w:val="20"/>
          <w:szCs w:val="20"/>
          <w:vertAlign w:val="superscript"/>
        </w:rPr>
        <w:footnoteReference w:id="224"/>
      </w:r>
      <w:r w:rsidR="00773B3C" w:rsidRPr="00A51861">
        <w:rPr>
          <w:rFonts w:ascii="Cambria" w:hAnsi="Cambria"/>
          <w:sz w:val="20"/>
          <w:szCs w:val="20"/>
        </w:rPr>
        <w:t xml:space="preserve">. </w:t>
      </w:r>
    </w:p>
    <w:p w14:paraId="23FE9324" w14:textId="77777777" w:rsidR="00773B3C" w:rsidRPr="00A51861" w:rsidRDefault="00773B3C" w:rsidP="008E4D36">
      <w:pPr>
        <w:ind w:left="720"/>
        <w:rPr>
          <w:rFonts w:ascii="Cambria" w:hAnsi="Cambria"/>
          <w:color w:val="000000"/>
          <w:sz w:val="20"/>
          <w:szCs w:val="20"/>
          <w:u w:color="000000"/>
          <w:lang w:eastAsia="es-ES"/>
        </w:rPr>
      </w:pPr>
    </w:p>
    <w:p w14:paraId="785F816D" w14:textId="5D09D110" w:rsidR="00773B3C" w:rsidRPr="00A51861" w:rsidRDefault="00485D90"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rPr>
      </w:pPr>
      <w:r>
        <w:rPr>
          <w:rFonts w:ascii="Cambria" w:hAnsi="Cambria"/>
          <w:sz w:val="20"/>
          <w:szCs w:val="20"/>
        </w:rPr>
        <w:t>Also</w:t>
      </w:r>
      <w:r w:rsidR="00773B3C" w:rsidRPr="00A51861">
        <w:rPr>
          <w:rFonts w:ascii="Cambria" w:hAnsi="Cambria"/>
          <w:sz w:val="20"/>
          <w:szCs w:val="20"/>
        </w:rPr>
        <w:t>,</w:t>
      </w:r>
      <w:r w:rsidR="009A4F91">
        <w:rPr>
          <w:rFonts w:ascii="Cambria" w:hAnsi="Cambria"/>
          <w:sz w:val="20"/>
          <w:szCs w:val="20"/>
        </w:rPr>
        <w:t xml:space="preserve"> </w:t>
      </w:r>
      <w:r w:rsidR="00D70A85">
        <w:rPr>
          <w:rFonts w:ascii="Cambria" w:hAnsi="Cambria"/>
          <w:sz w:val="20"/>
          <w:szCs w:val="20"/>
        </w:rPr>
        <w:t xml:space="preserve">the Court </w:t>
      </w:r>
      <w:r w:rsidR="00CE4CA1">
        <w:rPr>
          <w:rFonts w:ascii="Cambria" w:hAnsi="Cambria"/>
          <w:sz w:val="20"/>
          <w:szCs w:val="20"/>
        </w:rPr>
        <w:t xml:space="preserve">has established that </w:t>
      </w:r>
      <w:r>
        <w:rPr>
          <w:rFonts w:ascii="Cambria" w:hAnsi="Cambria"/>
          <w:sz w:val="20"/>
          <w:szCs w:val="20"/>
        </w:rPr>
        <w:t>for</w:t>
      </w:r>
      <w:r w:rsidR="00773B3C" w:rsidRPr="00A51861">
        <w:rPr>
          <w:rFonts w:ascii="Cambria" w:hAnsi="Cambria"/>
          <w:sz w:val="20"/>
          <w:szCs w:val="20"/>
        </w:rPr>
        <w:t xml:space="preserve"> </w:t>
      </w:r>
      <w:r w:rsidR="00F92BA8">
        <w:rPr>
          <w:rFonts w:ascii="Cambria" w:hAnsi="Cambria"/>
          <w:sz w:val="20"/>
          <w:szCs w:val="20"/>
        </w:rPr>
        <w:t>the State</w:t>
      </w:r>
      <w:r w:rsidR="00773B3C" w:rsidRPr="00A51861">
        <w:rPr>
          <w:rFonts w:ascii="Cambria" w:hAnsi="Cambria"/>
          <w:sz w:val="20"/>
          <w:szCs w:val="20"/>
        </w:rPr>
        <w:t xml:space="preserve"> </w:t>
      </w:r>
      <w:r>
        <w:rPr>
          <w:rFonts w:ascii="Cambria" w:hAnsi="Cambria"/>
          <w:sz w:val="20"/>
          <w:szCs w:val="20"/>
        </w:rPr>
        <w:t>to fulfill the set forth in</w:t>
      </w:r>
      <w:r w:rsidR="004C5A00">
        <w:rPr>
          <w:rFonts w:ascii="Cambria" w:hAnsi="Cambria"/>
          <w:sz w:val="20"/>
          <w:szCs w:val="20"/>
        </w:rPr>
        <w:t xml:space="preserve"> article </w:t>
      </w:r>
      <w:r w:rsidR="00773B3C" w:rsidRPr="00A51861">
        <w:rPr>
          <w:rFonts w:ascii="Cambria" w:hAnsi="Cambria"/>
          <w:sz w:val="20"/>
          <w:szCs w:val="20"/>
        </w:rPr>
        <w:t>25</w:t>
      </w:r>
      <w:r w:rsidR="00E92985">
        <w:rPr>
          <w:rFonts w:ascii="Cambria" w:hAnsi="Cambria"/>
          <w:sz w:val="20"/>
          <w:szCs w:val="20"/>
        </w:rPr>
        <w:t xml:space="preserve"> of the </w:t>
      </w:r>
      <w:r w:rsidR="00CB4E23">
        <w:rPr>
          <w:rFonts w:ascii="Cambria" w:hAnsi="Cambria"/>
          <w:sz w:val="20"/>
          <w:szCs w:val="20"/>
        </w:rPr>
        <w:t>Convention</w:t>
      </w:r>
      <w:r w:rsidR="00773B3C" w:rsidRPr="00A51861">
        <w:rPr>
          <w:rFonts w:ascii="Cambria" w:hAnsi="Cambria"/>
          <w:sz w:val="20"/>
          <w:szCs w:val="20"/>
        </w:rPr>
        <w:t xml:space="preserve"> </w:t>
      </w:r>
      <w:r>
        <w:rPr>
          <w:rFonts w:ascii="Cambria" w:hAnsi="Cambria"/>
          <w:sz w:val="20"/>
          <w:szCs w:val="20"/>
        </w:rPr>
        <w:t>the formal exist</w:t>
      </w:r>
      <w:r w:rsidR="00E53384">
        <w:rPr>
          <w:rFonts w:ascii="Cambria" w:hAnsi="Cambria"/>
          <w:sz w:val="20"/>
          <w:szCs w:val="20"/>
        </w:rPr>
        <w:t>ence of the</w:t>
      </w:r>
      <w:r>
        <w:rPr>
          <w:rFonts w:ascii="Cambria" w:hAnsi="Cambria"/>
          <w:sz w:val="20"/>
          <w:szCs w:val="20"/>
        </w:rPr>
        <w:t xml:space="preserve"> remedies do</w:t>
      </w:r>
      <w:r w:rsidR="00A065BD">
        <w:rPr>
          <w:rFonts w:ascii="Cambria" w:hAnsi="Cambria"/>
          <w:sz w:val="20"/>
          <w:szCs w:val="20"/>
        </w:rPr>
        <w:t>es</w:t>
      </w:r>
      <w:r>
        <w:rPr>
          <w:rFonts w:ascii="Cambria" w:hAnsi="Cambria"/>
          <w:sz w:val="20"/>
          <w:szCs w:val="20"/>
        </w:rPr>
        <w:t xml:space="preserve"> not suffice</w:t>
      </w:r>
      <w:r w:rsidR="00773B3C" w:rsidRPr="00A51861">
        <w:rPr>
          <w:rFonts w:ascii="Cambria" w:hAnsi="Cambria"/>
          <w:sz w:val="20"/>
          <w:szCs w:val="20"/>
        </w:rPr>
        <w:t xml:space="preserve">, </w:t>
      </w:r>
      <w:r>
        <w:rPr>
          <w:rFonts w:ascii="Cambria" w:hAnsi="Cambria"/>
          <w:sz w:val="20"/>
          <w:szCs w:val="20"/>
        </w:rPr>
        <w:t>but it is necessary</w:t>
      </w:r>
      <w:r w:rsidR="00773B3C" w:rsidRPr="00A51861">
        <w:rPr>
          <w:rFonts w:ascii="Cambria" w:hAnsi="Cambria"/>
          <w:sz w:val="20"/>
          <w:szCs w:val="20"/>
        </w:rPr>
        <w:t xml:space="preserve"> </w:t>
      </w:r>
      <w:r>
        <w:rPr>
          <w:rFonts w:ascii="Cambria" w:hAnsi="Cambria"/>
          <w:sz w:val="20"/>
          <w:szCs w:val="20"/>
        </w:rPr>
        <w:t>that they be effective in its own terms,</w:t>
      </w:r>
      <w:r w:rsidR="00D70A85">
        <w:rPr>
          <w:rFonts w:ascii="Cambria" w:hAnsi="Cambria"/>
          <w:sz w:val="20"/>
          <w:szCs w:val="20"/>
        </w:rPr>
        <w:t xml:space="preserve"> </w:t>
      </w:r>
      <w:r>
        <w:rPr>
          <w:rFonts w:ascii="Cambria" w:hAnsi="Cambria"/>
          <w:sz w:val="20"/>
          <w:szCs w:val="20"/>
        </w:rPr>
        <w:t>which means that they yield results</w:t>
      </w:r>
      <w:r w:rsidR="00E92985">
        <w:rPr>
          <w:rFonts w:ascii="Cambria" w:hAnsi="Cambria"/>
          <w:sz w:val="20"/>
          <w:szCs w:val="20"/>
        </w:rPr>
        <w:t xml:space="preserve"> or </w:t>
      </w:r>
      <w:r>
        <w:rPr>
          <w:rFonts w:ascii="Cambria" w:hAnsi="Cambria"/>
          <w:sz w:val="20"/>
          <w:szCs w:val="20"/>
        </w:rPr>
        <w:t>answers to the</w:t>
      </w:r>
      <w:r w:rsidR="00773B3C" w:rsidRPr="00A51861">
        <w:rPr>
          <w:rFonts w:ascii="Cambria" w:hAnsi="Cambria"/>
          <w:sz w:val="20"/>
          <w:szCs w:val="20"/>
        </w:rPr>
        <w:t xml:space="preserve"> </w:t>
      </w:r>
      <w:r w:rsidR="004E1083">
        <w:rPr>
          <w:rFonts w:ascii="Cambria" w:hAnsi="Cambria"/>
          <w:sz w:val="20"/>
          <w:szCs w:val="20"/>
        </w:rPr>
        <w:t>violations</w:t>
      </w:r>
      <w:r w:rsidR="00E92985">
        <w:rPr>
          <w:rFonts w:ascii="Cambria" w:hAnsi="Cambria"/>
          <w:sz w:val="20"/>
          <w:szCs w:val="20"/>
        </w:rPr>
        <w:t xml:space="preserve"> of </w:t>
      </w:r>
      <w:r>
        <w:rPr>
          <w:rFonts w:ascii="Cambria" w:hAnsi="Cambria"/>
          <w:sz w:val="20"/>
          <w:szCs w:val="20"/>
        </w:rPr>
        <w:t>rights</w:t>
      </w:r>
      <w:r w:rsidR="00773B3C" w:rsidRPr="00A51861">
        <w:rPr>
          <w:rFonts w:ascii="Cambria" w:hAnsi="Cambria"/>
          <w:sz w:val="20"/>
          <w:szCs w:val="20"/>
        </w:rPr>
        <w:t xml:space="preserve"> </w:t>
      </w:r>
      <w:r>
        <w:rPr>
          <w:rFonts w:ascii="Cambria" w:hAnsi="Cambria"/>
          <w:sz w:val="20"/>
          <w:szCs w:val="20"/>
        </w:rPr>
        <w:t>recognized</w:t>
      </w:r>
      <w:r w:rsidR="00773B3C" w:rsidRPr="00A51861">
        <w:rPr>
          <w:rFonts w:ascii="Cambria" w:hAnsi="Cambria"/>
          <w:sz w:val="20"/>
          <w:szCs w:val="20"/>
        </w:rPr>
        <w:t xml:space="preserve">, </w:t>
      </w:r>
      <w:r>
        <w:rPr>
          <w:rFonts w:ascii="Cambria" w:hAnsi="Cambria"/>
          <w:sz w:val="20"/>
          <w:szCs w:val="20"/>
        </w:rPr>
        <w:t>either in</w:t>
      </w:r>
      <w:r w:rsidR="009A4F91">
        <w:rPr>
          <w:rFonts w:ascii="Cambria" w:hAnsi="Cambria"/>
          <w:sz w:val="20"/>
          <w:szCs w:val="20"/>
        </w:rPr>
        <w:t xml:space="preserve"> the </w:t>
      </w:r>
      <w:r w:rsidR="00CB4E23">
        <w:rPr>
          <w:rFonts w:ascii="Cambria" w:hAnsi="Cambria"/>
          <w:sz w:val="20"/>
          <w:szCs w:val="20"/>
        </w:rPr>
        <w:t>Convention</w:t>
      </w:r>
      <w:r w:rsidR="00773B3C" w:rsidRPr="00A51861">
        <w:rPr>
          <w:rFonts w:ascii="Cambria" w:hAnsi="Cambria"/>
          <w:sz w:val="20"/>
          <w:szCs w:val="20"/>
        </w:rPr>
        <w:t xml:space="preserve">, </w:t>
      </w:r>
      <w:r>
        <w:rPr>
          <w:rFonts w:ascii="Cambria" w:hAnsi="Cambria"/>
          <w:sz w:val="20"/>
          <w:szCs w:val="20"/>
        </w:rPr>
        <w:lastRenderedPageBreak/>
        <w:t>i</w:t>
      </w:r>
      <w:r w:rsidR="00773B3C" w:rsidRPr="00A51861">
        <w:rPr>
          <w:rFonts w:ascii="Cambria" w:hAnsi="Cambria"/>
          <w:sz w:val="20"/>
          <w:szCs w:val="20"/>
        </w:rPr>
        <w:t>n</w:t>
      </w:r>
      <w:r w:rsidR="009A4F91">
        <w:rPr>
          <w:rFonts w:ascii="Cambria" w:hAnsi="Cambria"/>
          <w:sz w:val="20"/>
          <w:szCs w:val="20"/>
        </w:rPr>
        <w:t xml:space="preserve"> the </w:t>
      </w:r>
      <w:r w:rsidRPr="00A51861">
        <w:rPr>
          <w:rFonts w:ascii="Cambria" w:hAnsi="Cambria"/>
          <w:sz w:val="20"/>
          <w:szCs w:val="20"/>
        </w:rPr>
        <w:t>Constitution</w:t>
      </w:r>
      <w:r w:rsidR="00E92985">
        <w:rPr>
          <w:rFonts w:ascii="Cambria" w:hAnsi="Cambria"/>
          <w:sz w:val="20"/>
          <w:szCs w:val="20"/>
        </w:rPr>
        <w:t xml:space="preserve"> or </w:t>
      </w:r>
      <w:r>
        <w:rPr>
          <w:rFonts w:ascii="Cambria" w:hAnsi="Cambria"/>
          <w:sz w:val="20"/>
          <w:szCs w:val="20"/>
        </w:rPr>
        <w:t>i</w:t>
      </w:r>
      <w:r w:rsidR="00773B3C" w:rsidRPr="00A51861">
        <w:rPr>
          <w:rFonts w:ascii="Cambria" w:hAnsi="Cambria"/>
          <w:sz w:val="20"/>
          <w:szCs w:val="20"/>
        </w:rPr>
        <w:t>n</w:t>
      </w:r>
      <w:r w:rsidR="009A4F91">
        <w:rPr>
          <w:rFonts w:ascii="Cambria" w:hAnsi="Cambria"/>
          <w:sz w:val="20"/>
          <w:szCs w:val="20"/>
        </w:rPr>
        <w:t xml:space="preserve"> the </w:t>
      </w:r>
      <w:r w:rsidR="0029564F">
        <w:rPr>
          <w:rFonts w:ascii="Cambria" w:hAnsi="Cambria"/>
          <w:sz w:val="20"/>
          <w:szCs w:val="20"/>
        </w:rPr>
        <w:t>law</w:t>
      </w:r>
      <w:r w:rsidR="00773B3C" w:rsidRPr="00A51861">
        <w:rPr>
          <w:rFonts w:ascii="Cambria" w:hAnsi="Cambria"/>
          <w:sz w:val="20"/>
          <w:szCs w:val="20"/>
        </w:rPr>
        <w:t xml:space="preserve">. </w:t>
      </w:r>
      <w:r>
        <w:rPr>
          <w:rFonts w:ascii="Cambria" w:hAnsi="Cambria"/>
          <w:sz w:val="20"/>
          <w:szCs w:val="20"/>
        </w:rPr>
        <w:t>The aforesaid</w:t>
      </w:r>
      <w:r w:rsidR="00773B3C" w:rsidRPr="00A51861">
        <w:rPr>
          <w:rFonts w:ascii="Cambria" w:hAnsi="Cambria"/>
          <w:sz w:val="20"/>
          <w:szCs w:val="20"/>
        </w:rPr>
        <w:t xml:space="preserve"> </w:t>
      </w:r>
      <w:r w:rsidR="005617BA">
        <w:rPr>
          <w:rFonts w:ascii="Cambria" w:hAnsi="Cambria"/>
          <w:sz w:val="20"/>
          <w:szCs w:val="20"/>
        </w:rPr>
        <w:t xml:space="preserve">implies </w:t>
      </w:r>
      <w:r w:rsidR="00E92985">
        <w:rPr>
          <w:rFonts w:ascii="Cambria" w:hAnsi="Cambria"/>
          <w:sz w:val="20"/>
          <w:szCs w:val="20"/>
        </w:rPr>
        <w:t xml:space="preserve">that the </w:t>
      </w:r>
      <w:r>
        <w:rPr>
          <w:rFonts w:ascii="Cambria" w:hAnsi="Cambria"/>
          <w:sz w:val="20"/>
          <w:szCs w:val="20"/>
        </w:rPr>
        <w:t>remedy</w:t>
      </w:r>
      <w:r w:rsidR="00773B3C" w:rsidRPr="00A51861">
        <w:rPr>
          <w:rFonts w:ascii="Cambria" w:hAnsi="Cambria"/>
          <w:sz w:val="20"/>
          <w:szCs w:val="20"/>
        </w:rPr>
        <w:t xml:space="preserve"> </w:t>
      </w:r>
      <w:r>
        <w:rPr>
          <w:rFonts w:ascii="Cambria" w:hAnsi="Cambria"/>
          <w:sz w:val="20"/>
          <w:szCs w:val="20"/>
        </w:rPr>
        <w:t>is to be suitable to fight</w:t>
      </w:r>
      <w:r w:rsidR="009A4F91">
        <w:rPr>
          <w:rFonts w:ascii="Cambria" w:hAnsi="Cambria"/>
          <w:sz w:val="20"/>
          <w:szCs w:val="20"/>
        </w:rPr>
        <w:t xml:space="preserve"> </w:t>
      </w:r>
      <w:r>
        <w:rPr>
          <w:rFonts w:ascii="Cambria" w:hAnsi="Cambria"/>
          <w:sz w:val="20"/>
          <w:szCs w:val="20"/>
        </w:rPr>
        <w:t xml:space="preserve">against </w:t>
      </w:r>
      <w:r w:rsidR="009A4F91">
        <w:rPr>
          <w:rFonts w:ascii="Cambria" w:hAnsi="Cambria"/>
          <w:sz w:val="20"/>
          <w:szCs w:val="20"/>
        </w:rPr>
        <w:t xml:space="preserve">the </w:t>
      </w:r>
      <w:r w:rsidR="004E1083">
        <w:rPr>
          <w:rFonts w:ascii="Cambria" w:hAnsi="Cambria"/>
          <w:sz w:val="20"/>
          <w:szCs w:val="20"/>
        </w:rPr>
        <w:t>violation</w:t>
      </w:r>
      <w:r w:rsidR="00E92985">
        <w:rPr>
          <w:rFonts w:ascii="Cambria" w:hAnsi="Cambria"/>
          <w:sz w:val="20"/>
          <w:szCs w:val="20"/>
        </w:rPr>
        <w:t xml:space="preserve"> and </w:t>
      </w:r>
      <w:r>
        <w:rPr>
          <w:rFonts w:ascii="Cambria" w:hAnsi="Cambria"/>
          <w:sz w:val="20"/>
          <w:szCs w:val="20"/>
        </w:rPr>
        <w:t>that it be</w:t>
      </w:r>
      <w:r w:rsidR="00773B3C" w:rsidRPr="00A51861">
        <w:rPr>
          <w:rFonts w:ascii="Cambria" w:hAnsi="Cambria"/>
          <w:sz w:val="20"/>
          <w:szCs w:val="20"/>
        </w:rPr>
        <w:t xml:space="preserve"> </w:t>
      </w:r>
      <w:r w:rsidR="00E64C43">
        <w:rPr>
          <w:rFonts w:ascii="Cambria" w:hAnsi="Cambria"/>
          <w:sz w:val="20"/>
          <w:szCs w:val="20"/>
        </w:rPr>
        <w:t>effective</w:t>
      </w:r>
      <w:r w:rsidR="00773B3C" w:rsidRPr="00A51861">
        <w:rPr>
          <w:rFonts w:ascii="Cambria" w:hAnsi="Cambria"/>
          <w:sz w:val="20"/>
          <w:szCs w:val="20"/>
        </w:rPr>
        <w:t xml:space="preserve"> </w:t>
      </w:r>
      <w:r>
        <w:rPr>
          <w:rFonts w:ascii="Cambria" w:hAnsi="Cambria"/>
          <w:sz w:val="20"/>
          <w:szCs w:val="20"/>
        </w:rPr>
        <w:t>in its implementation by</w:t>
      </w:r>
      <w:r w:rsidR="009A4F91">
        <w:rPr>
          <w:rFonts w:ascii="Cambria" w:hAnsi="Cambria"/>
          <w:sz w:val="20"/>
          <w:szCs w:val="20"/>
        </w:rPr>
        <w:t xml:space="preserve"> the </w:t>
      </w:r>
      <w:r w:rsidR="00B8762F">
        <w:rPr>
          <w:rFonts w:ascii="Cambria" w:hAnsi="Cambria"/>
          <w:sz w:val="20"/>
          <w:szCs w:val="20"/>
        </w:rPr>
        <w:t>competent authority</w:t>
      </w:r>
      <w:r w:rsidR="00773B3C" w:rsidRPr="00A51861">
        <w:rPr>
          <w:rFonts w:ascii="Cambria" w:hAnsi="Cambria"/>
          <w:sz w:val="20"/>
          <w:szCs w:val="20"/>
          <w:vertAlign w:val="superscript"/>
        </w:rPr>
        <w:footnoteReference w:id="225"/>
      </w:r>
      <w:r w:rsidR="00773B3C" w:rsidRPr="00A51861">
        <w:rPr>
          <w:rFonts w:ascii="Cambria" w:hAnsi="Cambria"/>
          <w:sz w:val="20"/>
          <w:szCs w:val="20"/>
        </w:rPr>
        <w:t>.</w:t>
      </w:r>
      <w:r w:rsidR="00E92985">
        <w:rPr>
          <w:rFonts w:ascii="Cambria" w:hAnsi="Cambria"/>
          <w:sz w:val="20"/>
          <w:szCs w:val="20"/>
        </w:rPr>
        <w:t xml:space="preserve"> </w:t>
      </w:r>
      <w:r>
        <w:rPr>
          <w:rFonts w:ascii="Cambria" w:hAnsi="Cambria"/>
          <w:sz w:val="20"/>
          <w:szCs w:val="20"/>
        </w:rPr>
        <w:t>Likewise, an</w:t>
      </w:r>
      <w:r w:rsidR="00773B3C" w:rsidRPr="00A51861">
        <w:rPr>
          <w:rFonts w:ascii="Cambria" w:hAnsi="Cambria"/>
          <w:sz w:val="20"/>
          <w:szCs w:val="20"/>
        </w:rPr>
        <w:t xml:space="preserve"> </w:t>
      </w:r>
      <w:r w:rsidR="00E64C43">
        <w:rPr>
          <w:rFonts w:ascii="Cambria" w:hAnsi="Cambria"/>
          <w:sz w:val="20"/>
          <w:szCs w:val="20"/>
        </w:rPr>
        <w:t>effective</w:t>
      </w:r>
      <w:r w:rsidR="00773B3C" w:rsidRPr="00A51861">
        <w:rPr>
          <w:rFonts w:ascii="Cambria" w:hAnsi="Cambria"/>
          <w:sz w:val="20"/>
          <w:szCs w:val="20"/>
        </w:rPr>
        <w:t xml:space="preserve"> </w:t>
      </w:r>
      <w:r>
        <w:rPr>
          <w:rFonts w:ascii="Cambria" w:hAnsi="Cambria"/>
          <w:sz w:val="20"/>
          <w:szCs w:val="20"/>
        </w:rPr>
        <w:t xml:space="preserve">remedy </w:t>
      </w:r>
      <w:r w:rsidR="005617BA">
        <w:rPr>
          <w:rFonts w:ascii="Cambria" w:hAnsi="Cambria"/>
          <w:sz w:val="20"/>
          <w:szCs w:val="20"/>
        </w:rPr>
        <w:t xml:space="preserve">implies </w:t>
      </w:r>
      <w:r w:rsidR="00E92985">
        <w:rPr>
          <w:rFonts w:ascii="Cambria" w:hAnsi="Cambria"/>
          <w:sz w:val="20"/>
          <w:szCs w:val="20"/>
        </w:rPr>
        <w:t xml:space="preserve">that the </w:t>
      </w:r>
      <w:r w:rsidRPr="00A51861">
        <w:rPr>
          <w:rFonts w:ascii="Cambria" w:hAnsi="Cambria"/>
          <w:sz w:val="20"/>
          <w:szCs w:val="20"/>
        </w:rPr>
        <w:t>analysis</w:t>
      </w:r>
      <w:r w:rsidR="00773B3C" w:rsidRPr="00A51861">
        <w:rPr>
          <w:rFonts w:ascii="Cambria" w:hAnsi="Cambria"/>
          <w:sz w:val="20"/>
          <w:szCs w:val="20"/>
        </w:rPr>
        <w:t xml:space="preserve"> </w:t>
      </w:r>
      <w:r>
        <w:rPr>
          <w:rFonts w:ascii="Cambria" w:hAnsi="Cambria"/>
          <w:sz w:val="20"/>
          <w:szCs w:val="20"/>
        </w:rPr>
        <w:t xml:space="preserve">by </w:t>
      </w:r>
      <w:r w:rsidR="009A4F91">
        <w:rPr>
          <w:rFonts w:ascii="Cambria" w:hAnsi="Cambria"/>
          <w:sz w:val="20"/>
          <w:szCs w:val="20"/>
        </w:rPr>
        <w:t xml:space="preserve">the </w:t>
      </w:r>
      <w:r w:rsidR="00B8762F">
        <w:rPr>
          <w:rFonts w:ascii="Cambria" w:hAnsi="Cambria"/>
          <w:color w:val="000000" w:themeColor="text1"/>
          <w:sz w:val="20"/>
          <w:szCs w:val="20"/>
        </w:rPr>
        <w:t>competent authority</w:t>
      </w:r>
      <w:r w:rsidR="00E92985">
        <w:rPr>
          <w:rFonts w:ascii="Cambria" w:hAnsi="Cambria"/>
          <w:sz w:val="20"/>
          <w:szCs w:val="20"/>
        </w:rPr>
        <w:t xml:space="preserve"> of </w:t>
      </w:r>
      <w:r>
        <w:rPr>
          <w:rFonts w:ascii="Cambria" w:hAnsi="Cambria"/>
          <w:sz w:val="20"/>
          <w:szCs w:val="20"/>
        </w:rPr>
        <w:t>a</w:t>
      </w:r>
      <w:r w:rsidR="00773B3C" w:rsidRPr="00A51861">
        <w:rPr>
          <w:rFonts w:ascii="Cambria" w:hAnsi="Cambria"/>
          <w:sz w:val="20"/>
          <w:szCs w:val="20"/>
        </w:rPr>
        <w:t xml:space="preserve"> judicial</w:t>
      </w:r>
      <w:r>
        <w:rPr>
          <w:rFonts w:ascii="Cambria" w:hAnsi="Cambria"/>
          <w:sz w:val="20"/>
          <w:szCs w:val="20"/>
        </w:rPr>
        <w:t xml:space="preserve"> remedy</w:t>
      </w:r>
      <w:r w:rsidR="00773B3C" w:rsidRPr="00A51861">
        <w:rPr>
          <w:rFonts w:ascii="Cambria" w:hAnsi="Cambria"/>
          <w:sz w:val="20"/>
          <w:szCs w:val="20"/>
        </w:rPr>
        <w:t xml:space="preserve"> </w:t>
      </w:r>
      <w:r>
        <w:rPr>
          <w:rFonts w:ascii="Cambria" w:hAnsi="Cambria"/>
          <w:sz w:val="20"/>
          <w:szCs w:val="20"/>
        </w:rPr>
        <w:t>cannot be reduced to a mere formality</w:t>
      </w:r>
      <w:r w:rsidR="00773B3C" w:rsidRPr="00A51861">
        <w:rPr>
          <w:rFonts w:ascii="Cambria" w:hAnsi="Cambria"/>
          <w:sz w:val="20"/>
          <w:szCs w:val="20"/>
        </w:rPr>
        <w:t xml:space="preserve">, </w:t>
      </w:r>
      <w:r>
        <w:rPr>
          <w:rFonts w:ascii="Cambria" w:hAnsi="Cambria"/>
          <w:sz w:val="20"/>
          <w:szCs w:val="20"/>
        </w:rPr>
        <w:t>but the</w:t>
      </w:r>
      <w:r w:rsidR="00773B3C" w:rsidRPr="00A51861">
        <w:rPr>
          <w:rFonts w:ascii="Cambria" w:hAnsi="Cambria"/>
          <w:sz w:val="20"/>
          <w:szCs w:val="20"/>
        </w:rPr>
        <w:t xml:space="preserve"> </w:t>
      </w:r>
      <w:r w:rsidR="00D70A85">
        <w:rPr>
          <w:rFonts w:ascii="Cambria" w:hAnsi="Cambria"/>
          <w:sz w:val="20"/>
          <w:szCs w:val="20"/>
        </w:rPr>
        <w:t>reasons</w:t>
      </w:r>
      <w:r w:rsidR="00773B3C" w:rsidRPr="00A51861">
        <w:rPr>
          <w:rFonts w:ascii="Cambria" w:hAnsi="Cambria"/>
          <w:sz w:val="20"/>
          <w:szCs w:val="20"/>
        </w:rPr>
        <w:t xml:space="preserve"> invo</w:t>
      </w:r>
      <w:r>
        <w:rPr>
          <w:rFonts w:ascii="Cambria" w:hAnsi="Cambria"/>
          <w:sz w:val="20"/>
          <w:szCs w:val="20"/>
        </w:rPr>
        <w:t>ked by the claimant must be examined</w:t>
      </w:r>
      <w:r w:rsidR="00E92985">
        <w:rPr>
          <w:rFonts w:ascii="Cambria" w:hAnsi="Cambria"/>
          <w:sz w:val="20"/>
          <w:szCs w:val="20"/>
        </w:rPr>
        <w:t xml:space="preserve"> and </w:t>
      </w:r>
      <w:r>
        <w:rPr>
          <w:rFonts w:ascii="Cambria" w:hAnsi="Cambria"/>
          <w:sz w:val="20"/>
          <w:szCs w:val="20"/>
        </w:rPr>
        <w:t xml:space="preserve">to </w:t>
      </w:r>
      <w:r w:rsidRPr="00A51861">
        <w:rPr>
          <w:rFonts w:ascii="Cambria" w:hAnsi="Cambria"/>
          <w:sz w:val="20"/>
          <w:szCs w:val="20"/>
        </w:rPr>
        <w:t>expres</w:t>
      </w:r>
      <w:r>
        <w:rPr>
          <w:rFonts w:ascii="Cambria" w:hAnsi="Cambria"/>
          <w:sz w:val="20"/>
          <w:szCs w:val="20"/>
        </w:rPr>
        <w:t xml:space="preserve">sly refer to them </w:t>
      </w:r>
      <w:r w:rsidR="00773B3C" w:rsidRPr="00A51861">
        <w:rPr>
          <w:rFonts w:ascii="Cambria" w:hAnsi="Cambria"/>
          <w:sz w:val="20"/>
          <w:szCs w:val="20"/>
          <w:vertAlign w:val="superscript"/>
        </w:rPr>
        <w:footnoteReference w:id="226"/>
      </w:r>
      <w:r w:rsidR="00773B3C" w:rsidRPr="00A51861">
        <w:rPr>
          <w:rFonts w:ascii="Cambria" w:hAnsi="Cambria"/>
          <w:sz w:val="20"/>
          <w:szCs w:val="20"/>
        </w:rPr>
        <w:t xml:space="preserve">. </w:t>
      </w:r>
      <w:r>
        <w:rPr>
          <w:rFonts w:ascii="Cambria" w:hAnsi="Cambria"/>
          <w:sz w:val="20"/>
          <w:szCs w:val="20"/>
        </w:rPr>
        <w:t>It cannot be considered as</w:t>
      </w:r>
      <w:r w:rsidR="00773B3C" w:rsidRPr="00A51861">
        <w:rPr>
          <w:rFonts w:ascii="Cambria" w:hAnsi="Cambria"/>
          <w:sz w:val="20"/>
          <w:szCs w:val="20"/>
        </w:rPr>
        <w:t xml:space="preserve"> </w:t>
      </w:r>
      <w:r w:rsidR="00E64C43">
        <w:rPr>
          <w:rFonts w:ascii="Cambria" w:hAnsi="Cambria"/>
          <w:sz w:val="20"/>
          <w:szCs w:val="20"/>
        </w:rPr>
        <w:t>effective</w:t>
      </w:r>
      <w:r w:rsidR="00773B3C" w:rsidRPr="00A51861">
        <w:rPr>
          <w:rFonts w:ascii="Cambria" w:hAnsi="Cambria"/>
          <w:sz w:val="20"/>
          <w:szCs w:val="20"/>
        </w:rPr>
        <w:t xml:space="preserve"> </w:t>
      </w:r>
      <w:r>
        <w:rPr>
          <w:rFonts w:ascii="Cambria" w:hAnsi="Cambria"/>
          <w:sz w:val="20"/>
          <w:szCs w:val="20"/>
        </w:rPr>
        <w:t>any remedy which</w:t>
      </w:r>
      <w:r w:rsidR="00773B3C" w:rsidRPr="00A51861">
        <w:rPr>
          <w:rFonts w:ascii="Cambria" w:hAnsi="Cambria"/>
          <w:sz w:val="20"/>
          <w:szCs w:val="20"/>
        </w:rPr>
        <w:t>,</w:t>
      </w:r>
      <w:r w:rsidR="00A3537C">
        <w:rPr>
          <w:rFonts w:ascii="Cambria" w:hAnsi="Cambria"/>
          <w:sz w:val="20"/>
          <w:szCs w:val="20"/>
        </w:rPr>
        <w:t xml:space="preserve"> due to the</w:t>
      </w:r>
      <w:r w:rsidR="00773B3C" w:rsidRPr="00A51861">
        <w:rPr>
          <w:rFonts w:ascii="Cambria" w:hAnsi="Cambria"/>
          <w:sz w:val="20"/>
          <w:szCs w:val="20"/>
        </w:rPr>
        <w:t xml:space="preserve"> </w:t>
      </w:r>
      <w:r w:rsidR="00A3537C" w:rsidRPr="00A51861">
        <w:rPr>
          <w:rFonts w:ascii="Cambria" w:hAnsi="Cambria"/>
          <w:sz w:val="20"/>
          <w:szCs w:val="20"/>
        </w:rPr>
        <w:t>general</w:t>
      </w:r>
      <w:r w:rsidR="004969F4">
        <w:rPr>
          <w:rFonts w:ascii="Cambria" w:hAnsi="Cambria"/>
          <w:sz w:val="20"/>
          <w:szCs w:val="20"/>
        </w:rPr>
        <w:t xml:space="preserve"> </w:t>
      </w:r>
      <w:r w:rsidR="00A3537C" w:rsidRPr="00A51861">
        <w:rPr>
          <w:rFonts w:ascii="Cambria" w:hAnsi="Cambria"/>
          <w:sz w:val="20"/>
          <w:szCs w:val="20"/>
        </w:rPr>
        <w:t xml:space="preserve">conditions </w:t>
      </w:r>
      <w:r w:rsidR="004969F4">
        <w:rPr>
          <w:rFonts w:ascii="Cambria" w:hAnsi="Cambria"/>
          <w:sz w:val="20"/>
          <w:szCs w:val="20"/>
        </w:rPr>
        <w:t xml:space="preserve">of the </w:t>
      </w:r>
      <w:r w:rsidR="00A3537C">
        <w:rPr>
          <w:rFonts w:ascii="Cambria" w:hAnsi="Cambria"/>
          <w:sz w:val="20"/>
          <w:szCs w:val="20"/>
        </w:rPr>
        <w:t>country</w:t>
      </w:r>
      <w:r w:rsidR="00E92985">
        <w:rPr>
          <w:rFonts w:ascii="Cambria" w:hAnsi="Cambria"/>
          <w:sz w:val="20"/>
          <w:szCs w:val="20"/>
        </w:rPr>
        <w:t xml:space="preserve"> or </w:t>
      </w:r>
      <w:r w:rsidR="00404714">
        <w:rPr>
          <w:rFonts w:ascii="Cambria" w:hAnsi="Cambria"/>
          <w:sz w:val="20"/>
          <w:szCs w:val="20"/>
        </w:rPr>
        <w:t>even</w:t>
      </w:r>
      <w:r w:rsidR="00773B3C" w:rsidRPr="00A51861">
        <w:rPr>
          <w:rFonts w:ascii="Cambria" w:hAnsi="Cambria"/>
          <w:sz w:val="20"/>
          <w:szCs w:val="20"/>
        </w:rPr>
        <w:t xml:space="preserve"> </w:t>
      </w:r>
      <w:r w:rsidR="00A3537C">
        <w:rPr>
          <w:rFonts w:ascii="Cambria" w:hAnsi="Cambria"/>
          <w:sz w:val="20"/>
          <w:szCs w:val="20"/>
        </w:rPr>
        <w:t>due to the</w:t>
      </w:r>
      <w:r w:rsidR="00773B3C" w:rsidRPr="00A51861">
        <w:rPr>
          <w:rFonts w:ascii="Cambria" w:hAnsi="Cambria"/>
          <w:sz w:val="20"/>
          <w:szCs w:val="20"/>
        </w:rPr>
        <w:t xml:space="preserve"> particular</w:t>
      </w:r>
      <w:r w:rsidR="00E92985">
        <w:rPr>
          <w:rFonts w:ascii="Cambria" w:hAnsi="Cambria"/>
          <w:sz w:val="20"/>
          <w:szCs w:val="20"/>
        </w:rPr>
        <w:t xml:space="preserve"> </w:t>
      </w:r>
      <w:r w:rsidR="00A3537C" w:rsidRPr="00A51861">
        <w:rPr>
          <w:rFonts w:ascii="Cambria" w:hAnsi="Cambria"/>
          <w:sz w:val="20"/>
          <w:szCs w:val="20"/>
        </w:rPr>
        <w:t xml:space="preserve">circumstances </w:t>
      </w:r>
      <w:r w:rsidR="00E92985">
        <w:rPr>
          <w:rFonts w:ascii="Cambria" w:hAnsi="Cambria"/>
          <w:sz w:val="20"/>
          <w:szCs w:val="20"/>
        </w:rPr>
        <w:t xml:space="preserve">of </w:t>
      </w:r>
      <w:r w:rsidR="00A3537C">
        <w:rPr>
          <w:rFonts w:ascii="Cambria" w:hAnsi="Cambria"/>
          <w:sz w:val="20"/>
          <w:szCs w:val="20"/>
        </w:rPr>
        <w:t>any given case</w:t>
      </w:r>
      <w:r w:rsidR="00773B3C" w:rsidRPr="00A51861">
        <w:rPr>
          <w:rFonts w:ascii="Cambria" w:hAnsi="Cambria"/>
          <w:sz w:val="20"/>
          <w:szCs w:val="20"/>
        </w:rPr>
        <w:t xml:space="preserve">, </w:t>
      </w:r>
      <w:r w:rsidR="00A3537C">
        <w:rPr>
          <w:rFonts w:ascii="Cambria" w:hAnsi="Cambria"/>
          <w:sz w:val="20"/>
          <w:szCs w:val="20"/>
        </w:rPr>
        <w:t>become</w:t>
      </w:r>
      <w:r w:rsidR="00773B3C" w:rsidRPr="00A51861">
        <w:rPr>
          <w:rFonts w:ascii="Cambria" w:hAnsi="Cambria"/>
          <w:sz w:val="20"/>
          <w:szCs w:val="20"/>
        </w:rPr>
        <w:t xml:space="preserve"> il</w:t>
      </w:r>
      <w:r w:rsidR="00A3537C">
        <w:rPr>
          <w:rFonts w:ascii="Cambria" w:hAnsi="Cambria"/>
          <w:sz w:val="20"/>
          <w:szCs w:val="20"/>
        </w:rPr>
        <w:t>l</w:t>
      </w:r>
      <w:r w:rsidR="00773B3C" w:rsidRPr="00A51861">
        <w:rPr>
          <w:rFonts w:ascii="Cambria" w:hAnsi="Cambria"/>
          <w:sz w:val="20"/>
          <w:szCs w:val="20"/>
        </w:rPr>
        <w:t>usor</w:t>
      </w:r>
      <w:r w:rsidR="00A3537C">
        <w:rPr>
          <w:rFonts w:ascii="Cambria" w:hAnsi="Cambria"/>
          <w:sz w:val="20"/>
          <w:szCs w:val="20"/>
        </w:rPr>
        <w:t>y</w:t>
      </w:r>
      <w:r w:rsidR="00773B3C" w:rsidRPr="00A51861">
        <w:rPr>
          <w:rFonts w:ascii="Cambria" w:hAnsi="Cambria"/>
          <w:sz w:val="20"/>
          <w:szCs w:val="20"/>
          <w:vertAlign w:val="superscript"/>
        </w:rPr>
        <w:footnoteReference w:id="227"/>
      </w:r>
      <w:r w:rsidR="00773B3C" w:rsidRPr="00A51861">
        <w:rPr>
          <w:rFonts w:ascii="Cambria" w:hAnsi="Cambria"/>
          <w:sz w:val="20"/>
          <w:szCs w:val="20"/>
        </w:rPr>
        <w:t xml:space="preserve">. </w:t>
      </w:r>
      <w:r w:rsidR="00A3537C">
        <w:rPr>
          <w:rFonts w:ascii="Cambria" w:hAnsi="Cambria"/>
          <w:sz w:val="20"/>
          <w:szCs w:val="20"/>
        </w:rPr>
        <w:t>This may happen</w:t>
      </w:r>
      <w:r w:rsidR="00773B3C" w:rsidRPr="00A51861">
        <w:rPr>
          <w:rFonts w:ascii="Cambria" w:hAnsi="Cambria"/>
          <w:sz w:val="20"/>
          <w:szCs w:val="20"/>
        </w:rPr>
        <w:t xml:space="preserve">, </w:t>
      </w:r>
      <w:r w:rsidR="00A3537C">
        <w:rPr>
          <w:rFonts w:ascii="Cambria" w:hAnsi="Cambria"/>
          <w:sz w:val="20"/>
          <w:szCs w:val="20"/>
        </w:rPr>
        <w:t>for example</w:t>
      </w:r>
      <w:r w:rsidR="00773B3C" w:rsidRPr="00A51861">
        <w:rPr>
          <w:rFonts w:ascii="Cambria" w:hAnsi="Cambria"/>
          <w:sz w:val="20"/>
          <w:szCs w:val="20"/>
        </w:rPr>
        <w:t xml:space="preserve">, </w:t>
      </w:r>
      <w:r w:rsidR="00A3537C">
        <w:rPr>
          <w:rFonts w:ascii="Cambria" w:hAnsi="Cambria"/>
          <w:sz w:val="20"/>
          <w:szCs w:val="20"/>
        </w:rPr>
        <w:t>when their</w:t>
      </w:r>
      <w:r w:rsidR="00773B3C" w:rsidRPr="00A51861">
        <w:rPr>
          <w:rFonts w:ascii="Cambria" w:hAnsi="Cambria"/>
          <w:sz w:val="20"/>
          <w:szCs w:val="20"/>
        </w:rPr>
        <w:t xml:space="preserve"> </w:t>
      </w:r>
      <w:r w:rsidR="00A3537C">
        <w:rPr>
          <w:rFonts w:ascii="Cambria" w:hAnsi="Cambria"/>
          <w:sz w:val="20"/>
          <w:szCs w:val="20"/>
        </w:rPr>
        <w:t>uselessness</w:t>
      </w:r>
      <w:r w:rsidR="00FA2E7B">
        <w:rPr>
          <w:rFonts w:ascii="Cambria" w:hAnsi="Cambria"/>
          <w:sz w:val="20"/>
          <w:szCs w:val="20"/>
        </w:rPr>
        <w:t xml:space="preserve"> </w:t>
      </w:r>
      <w:r w:rsidR="00A3537C">
        <w:rPr>
          <w:rFonts w:ascii="Cambria" w:hAnsi="Cambria"/>
          <w:sz w:val="20"/>
          <w:szCs w:val="20"/>
        </w:rPr>
        <w:t>becomes proven by the practice</w:t>
      </w:r>
      <w:r w:rsidR="00773B3C" w:rsidRPr="00A51861">
        <w:rPr>
          <w:rFonts w:ascii="Cambria" w:hAnsi="Cambria"/>
          <w:sz w:val="20"/>
          <w:szCs w:val="20"/>
        </w:rPr>
        <w:t xml:space="preserve">, </w:t>
      </w:r>
      <w:r w:rsidR="00A3537C">
        <w:rPr>
          <w:rFonts w:ascii="Cambria" w:hAnsi="Cambria"/>
          <w:sz w:val="20"/>
          <w:szCs w:val="20"/>
        </w:rPr>
        <w:t>for lack of means to execute its</w:t>
      </w:r>
      <w:r w:rsidR="00773B3C" w:rsidRPr="00A51861">
        <w:rPr>
          <w:rFonts w:ascii="Cambria" w:hAnsi="Cambria"/>
          <w:sz w:val="20"/>
          <w:szCs w:val="20"/>
        </w:rPr>
        <w:t xml:space="preserve"> </w:t>
      </w:r>
      <w:r w:rsidR="00E92985">
        <w:rPr>
          <w:rFonts w:ascii="Cambria" w:hAnsi="Cambria"/>
          <w:sz w:val="20"/>
          <w:szCs w:val="20"/>
        </w:rPr>
        <w:t xml:space="preserve">decisions or </w:t>
      </w:r>
      <w:r w:rsidR="00A3537C">
        <w:rPr>
          <w:rFonts w:ascii="Cambria" w:hAnsi="Cambria"/>
          <w:sz w:val="20"/>
          <w:szCs w:val="20"/>
        </w:rPr>
        <w:t>f</w:t>
      </w:r>
      <w:r w:rsidR="00773B3C" w:rsidRPr="00A51861">
        <w:rPr>
          <w:rFonts w:ascii="Cambria" w:hAnsi="Cambria"/>
          <w:sz w:val="20"/>
          <w:szCs w:val="20"/>
        </w:rPr>
        <w:t xml:space="preserve">or </w:t>
      </w:r>
      <w:r w:rsidR="005617BA">
        <w:rPr>
          <w:rFonts w:ascii="Cambria" w:hAnsi="Cambria"/>
          <w:sz w:val="20"/>
          <w:szCs w:val="20"/>
        </w:rPr>
        <w:t xml:space="preserve">any </w:t>
      </w:r>
      <w:r w:rsidR="00A3537C">
        <w:rPr>
          <w:rFonts w:ascii="Cambria" w:hAnsi="Cambria"/>
          <w:sz w:val="20"/>
          <w:szCs w:val="20"/>
        </w:rPr>
        <w:t>other</w:t>
      </w:r>
      <w:r w:rsidR="00773B3C" w:rsidRPr="00A51861">
        <w:rPr>
          <w:rFonts w:ascii="Cambria" w:hAnsi="Cambria"/>
          <w:sz w:val="20"/>
          <w:szCs w:val="20"/>
        </w:rPr>
        <w:t xml:space="preserve"> </w:t>
      </w:r>
      <w:r w:rsidR="00E92985">
        <w:rPr>
          <w:rFonts w:ascii="Cambria" w:hAnsi="Cambria"/>
          <w:sz w:val="20"/>
          <w:szCs w:val="20"/>
        </w:rPr>
        <w:t>situation</w:t>
      </w:r>
      <w:r w:rsidR="00773B3C" w:rsidRPr="00A51861">
        <w:rPr>
          <w:rFonts w:ascii="Cambria" w:hAnsi="Cambria"/>
          <w:sz w:val="20"/>
          <w:szCs w:val="20"/>
        </w:rPr>
        <w:t xml:space="preserve"> </w:t>
      </w:r>
      <w:r w:rsidR="00A3537C">
        <w:rPr>
          <w:rFonts w:ascii="Cambria" w:hAnsi="Cambria"/>
          <w:sz w:val="20"/>
          <w:szCs w:val="20"/>
        </w:rPr>
        <w:t>which</w:t>
      </w:r>
      <w:r w:rsidR="00773B3C" w:rsidRPr="00A51861">
        <w:rPr>
          <w:rFonts w:ascii="Cambria" w:hAnsi="Cambria"/>
          <w:sz w:val="20"/>
          <w:szCs w:val="20"/>
        </w:rPr>
        <w:t xml:space="preserve"> configure</w:t>
      </w:r>
      <w:r w:rsidR="00A3537C">
        <w:rPr>
          <w:rFonts w:ascii="Cambria" w:hAnsi="Cambria"/>
          <w:sz w:val="20"/>
          <w:szCs w:val="20"/>
        </w:rPr>
        <w:t>s</w:t>
      </w:r>
      <w:r w:rsidR="00773B3C" w:rsidRPr="00A51861">
        <w:rPr>
          <w:rFonts w:ascii="Cambria" w:hAnsi="Cambria"/>
          <w:sz w:val="20"/>
          <w:szCs w:val="20"/>
        </w:rPr>
        <w:t xml:space="preserve"> </w:t>
      </w:r>
      <w:r w:rsidR="00A3537C">
        <w:rPr>
          <w:rFonts w:ascii="Cambria" w:hAnsi="Cambria"/>
          <w:sz w:val="20"/>
          <w:szCs w:val="20"/>
        </w:rPr>
        <w:t>a setting of</w:t>
      </w:r>
      <w:r w:rsidR="00E92985">
        <w:rPr>
          <w:rFonts w:ascii="Cambria" w:hAnsi="Cambria"/>
          <w:sz w:val="20"/>
          <w:szCs w:val="20"/>
        </w:rPr>
        <w:t xml:space="preserve"> </w:t>
      </w:r>
      <w:r w:rsidR="00A3537C">
        <w:rPr>
          <w:rFonts w:ascii="Cambria" w:hAnsi="Cambria"/>
          <w:sz w:val="20"/>
          <w:szCs w:val="20"/>
        </w:rPr>
        <w:t xml:space="preserve">denegation </w:t>
      </w:r>
      <w:r w:rsidR="00E92985">
        <w:rPr>
          <w:rFonts w:ascii="Cambria" w:hAnsi="Cambria"/>
          <w:sz w:val="20"/>
          <w:szCs w:val="20"/>
        </w:rPr>
        <w:t xml:space="preserve">of </w:t>
      </w:r>
      <w:r w:rsidR="001937FB">
        <w:rPr>
          <w:rFonts w:ascii="Cambria" w:hAnsi="Cambria"/>
          <w:sz w:val="20"/>
          <w:szCs w:val="20"/>
        </w:rPr>
        <w:t>justice</w:t>
      </w:r>
      <w:r w:rsidR="00773B3C" w:rsidRPr="00A51861">
        <w:rPr>
          <w:rFonts w:ascii="Cambria" w:hAnsi="Cambria"/>
          <w:sz w:val="20"/>
          <w:szCs w:val="20"/>
        </w:rPr>
        <w:t xml:space="preserve">. </w:t>
      </w:r>
      <w:r w:rsidR="00A3537C">
        <w:rPr>
          <w:rFonts w:ascii="Cambria" w:hAnsi="Cambria"/>
          <w:sz w:val="20"/>
          <w:szCs w:val="20"/>
        </w:rPr>
        <w:t>Thus</w:t>
      </w:r>
      <w:r w:rsidR="00773B3C" w:rsidRPr="00A51861">
        <w:rPr>
          <w:rFonts w:ascii="Cambria" w:hAnsi="Cambria"/>
          <w:sz w:val="20"/>
          <w:szCs w:val="20"/>
        </w:rPr>
        <w:t xml:space="preserve">, </w:t>
      </w:r>
      <w:r w:rsidR="00A3537C">
        <w:rPr>
          <w:rFonts w:ascii="Cambria" w:hAnsi="Cambria"/>
          <w:sz w:val="20"/>
          <w:szCs w:val="20"/>
        </w:rPr>
        <w:t xml:space="preserve">the proceedings must lead to </w:t>
      </w:r>
      <w:r w:rsidR="009A4F91">
        <w:rPr>
          <w:rFonts w:ascii="Cambria" w:hAnsi="Cambria"/>
          <w:sz w:val="20"/>
          <w:szCs w:val="20"/>
        </w:rPr>
        <w:t xml:space="preserve">the </w:t>
      </w:r>
      <w:r w:rsidR="00A3537C" w:rsidRPr="00A51861">
        <w:rPr>
          <w:rFonts w:ascii="Cambria" w:hAnsi="Cambria"/>
          <w:sz w:val="20"/>
          <w:szCs w:val="20"/>
        </w:rPr>
        <w:t>materialization</w:t>
      </w:r>
      <w:r w:rsidR="00E92985">
        <w:rPr>
          <w:rFonts w:ascii="Cambria" w:hAnsi="Cambria"/>
          <w:sz w:val="20"/>
          <w:szCs w:val="20"/>
        </w:rPr>
        <w:t xml:space="preserve"> of the </w:t>
      </w:r>
      <w:r w:rsidR="00EF4ED2">
        <w:rPr>
          <w:rFonts w:ascii="Cambria" w:hAnsi="Cambria"/>
          <w:sz w:val="20"/>
          <w:szCs w:val="20"/>
        </w:rPr>
        <w:t>protection</w:t>
      </w:r>
      <w:r w:rsidR="004969F4">
        <w:rPr>
          <w:rFonts w:ascii="Cambria" w:hAnsi="Cambria"/>
          <w:sz w:val="20"/>
          <w:szCs w:val="20"/>
        </w:rPr>
        <w:t xml:space="preserve"> of the </w:t>
      </w:r>
      <w:r w:rsidR="00A3537C">
        <w:rPr>
          <w:rFonts w:ascii="Cambria" w:hAnsi="Cambria"/>
          <w:sz w:val="20"/>
          <w:szCs w:val="20"/>
        </w:rPr>
        <w:t>right</w:t>
      </w:r>
      <w:r w:rsidR="00773B3C" w:rsidRPr="00A51861">
        <w:rPr>
          <w:rFonts w:ascii="Cambria" w:hAnsi="Cambria"/>
          <w:sz w:val="20"/>
          <w:szCs w:val="20"/>
        </w:rPr>
        <w:t xml:space="preserve"> reco</w:t>
      </w:r>
      <w:r w:rsidR="00A3537C">
        <w:rPr>
          <w:rFonts w:ascii="Cambria" w:hAnsi="Cambria"/>
          <w:sz w:val="20"/>
          <w:szCs w:val="20"/>
        </w:rPr>
        <w:t>g</w:t>
      </w:r>
      <w:r w:rsidR="00773B3C" w:rsidRPr="00A51861">
        <w:rPr>
          <w:rFonts w:ascii="Cambria" w:hAnsi="Cambria"/>
          <w:sz w:val="20"/>
          <w:szCs w:val="20"/>
        </w:rPr>
        <w:t>n</w:t>
      </w:r>
      <w:r w:rsidR="00A3537C">
        <w:rPr>
          <w:rFonts w:ascii="Cambria" w:hAnsi="Cambria"/>
          <w:sz w:val="20"/>
          <w:szCs w:val="20"/>
        </w:rPr>
        <w:t>ized</w:t>
      </w:r>
      <w:r w:rsidR="00773B3C" w:rsidRPr="00A51861">
        <w:rPr>
          <w:rFonts w:ascii="Cambria" w:hAnsi="Cambria"/>
          <w:sz w:val="20"/>
          <w:szCs w:val="20"/>
        </w:rPr>
        <w:t xml:space="preserve"> </w:t>
      </w:r>
      <w:r w:rsidR="00A3537C">
        <w:rPr>
          <w:rFonts w:ascii="Cambria" w:hAnsi="Cambria"/>
          <w:sz w:val="20"/>
          <w:szCs w:val="20"/>
        </w:rPr>
        <w:t>in the</w:t>
      </w:r>
      <w:r w:rsidR="00773B3C" w:rsidRPr="00A51861">
        <w:rPr>
          <w:rFonts w:ascii="Cambria" w:hAnsi="Cambria"/>
          <w:sz w:val="20"/>
          <w:szCs w:val="20"/>
        </w:rPr>
        <w:t xml:space="preserve"> judicial </w:t>
      </w:r>
      <w:r w:rsidR="00A3537C">
        <w:rPr>
          <w:rFonts w:ascii="Cambria" w:hAnsi="Cambria"/>
          <w:sz w:val="20"/>
          <w:szCs w:val="20"/>
        </w:rPr>
        <w:t xml:space="preserve">resolution via suitable </w:t>
      </w:r>
      <w:r w:rsidR="00A3537C" w:rsidRPr="00A51861">
        <w:rPr>
          <w:rFonts w:ascii="Cambria" w:hAnsi="Cambria"/>
          <w:sz w:val="20"/>
          <w:szCs w:val="20"/>
        </w:rPr>
        <w:t>application</w:t>
      </w:r>
      <w:r w:rsidR="00773B3C" w:rsidRPr="00A51861">
        <w:rPr>
          <w:rFonts w:ascii="Cambria" w:hAnsi="Cambria"/>
          <w:sz w:val="20"/>
          <w:szCs w:val="20"/>
        </w:rPr>
        <w:t xml:space="preserve"> </w:t>
      </w:r>
      <w:r w:rsidR="00E92985">
        <w:rPr>
          <w:rFonts w:ascii="Cambria" w:hAnsi="Cambria"/>
          <w:sz w:val="20"/>
          <w:szCs w:val="20"/>
        </w:rPr>
        <w:t xml:space="preserve">of </w:t>
      </w:r>
      <w:r w:rsidR="00A3537C">
        <w:rPr>
          <w:rFonts w:ascii="Cambria" w:hAnsi="Cambria"/>
          <w:sz w:val="20"/>
          <w:szCs w:val="20"/>
        </w:rPr>
        <w:t>said</w:t>
      </w:r>
      <w:r w:rsidR="00773B3C" w:rsidRPr="00A51861">
        <w:rPr>
          <w:rFonts w:ascii="Cambria" w:hAnsi="Cambria"/>
          <w:sz w:val="20"/>
          <w:szCs w:val="20"/>
        </w:rPr>
        <w:t xml:space="preserve"> </w:t>
      </w:r>
      <w:r w:rsidR="00A3537C">
        <w:rPr>
          <w:rFonts w:ascii="Cambria" w:hAnsi="Cambria"/>
          <w:sz w:val="20"/>
          <w:szCs w:val="20"/>
        </w:rPr>
        <w:t>resolution</w:t>
      </w:r>
      <w:r w:rsidR="00773B3C" w:rsidRPr="00A51861">
        <w:rPr>
          <w:rFonts w:ascii="Cambria" w:hAnsi="Cambria"/>
          <w:sz w:val="20"/>
          <w:szCs w:val="20"/>
          <w:vertAlign w:val="superscript"/>
        </w:rPr>
        <w:footnoteReference w:id="228"/>
      </w:r>
      <w:r w:rsidR="00773B3C" w:rsidRPr="00A51861">
        <w:rPr>
          <w:rFonts w:ascii="Cambria" w:hAnsi="Cambria"/>
          <w:sz w:val="20"/>
          <w:szCs w:val="20"/>
        </w:rPr>
        <w:t xml:space="preserve">. </w:t>
      </w:r>
    </w:p>
    <w:p w14:paraId="02F51907" w14:textId="77777777" w:rsidR="00773B3C" w:rsidRPr="00A51861" w:rsidRDefault="00773B3C" w:rsidP="008E4D36">
      <w:pPr>
        <w:tabs>
          <w:tab w:val="left" w:pos="720"/>
          <w:tab w:val="left" w:pos="1440"/>
        </w:tabs>
        <w:ind w:left="630"/>
        <w:jc w:val="both"/>
        <w:rPr>
          <w:rFonts w:ascii="Cambria" w:hAnsi="Cambria"/>
          <w:sz w:val="20"/>
          <w:szCs w:val="20"/>
        </w:rPr>
      </w:pPr>
    </w:p>
    <w:p w14:paraId="0FCDE0B6" w14:textId="5CA62CF3" w:rsidR="00773B3C" w:rsidRPr="00A51861" w:rsidRDefault="00775F21"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rPr>
      </w:pPr>
      <w:r>
        <w:rPr>
          <w:rFonts w:ascii="Cambria" w:hAnsi="Cambria"/>
          <w:sz w:val="20"/>
          <w:szCs w:val="20"/>
        </w:rPr>
        <w:t>The Court</w:t>
      </w:r>
      <w:r w:rsidR="00773B3C" w:rsidRPr="00A51861">
        <w:rPr>
          <w:rFonts w:ascii="Cambria" w:hAnsi="Cambria"/>
          <w:sz w:val="20"/>
          <w:szCs w:val="20"/>
        </w:rPr>
        <w:t xml:space="preserve"> </w:t>
      </w:r>
      <w:r w:rsidR="003F75F8">
        <w:rPr>
          <w:rFonts w:ascii="Cambria" w:hAnsi="Cambria"/>
          <w:sz w:val="20"/>
          <w:szCs w:val="20"/>
        </w:rPr>
        <w:t>has held</w:t>
      </w:r>
      <w:r>
        <w:rPr>
          <w:rFonts w:ascii="Cambria" w:hAnsi="Cambria"/>
          <w:sz w:val="20"/>
          <w:szCs w:val="20"/>
        </w:rPr>
        <w:t xml:space="preserve"> that, in the terms of </w:t>
      </w:r>
      <w:r w:rsidR="0029564F">
        <w:rPr>
          <w:rFonts w:ascii="Cambria" w:hAnsi="Cambria"/>
          <w:sz w:val="20"/>
          <w:szCs w:val="20"/>
        </w:rPr>
        <w:t>article</w:t>
      </w:r>
      <w:r w:rsidR="00773B3C" w:rsidRPr="00A51861">
        <w:rPr>
          <w:rFonts w:ascii="Cambria" w:hAnsi="Cambria"/>
          <w:sz w:val="20"/>
          <w:szCs w:val="20"/>
        </w:rPr>
        <w:t xml:space="preserve"> 25</w:t>
      </w:r>
      <w:r w:rsidR="00E92985">
        <w:rPr>
          <w:rFonts w:ascii="Cambria" w:hAnsi="Cambria"/>
          <w:sz w:val="20"/>
          <w:szCs w:val="20"/>
        </w:rPr>
        <w:t xml:space="preserve"> of the </w:t>
      </w:r>
      <w:r w:rsidR="00CB4E23">
        <w:rPr>
          <w:rFonts w:ascii="Cambria" w:hAnsi="Cambria"/>
          <w:sz w:val="20"/>
          <w:szCs w:val="20"/>
        </w:rPr>
        <w:t>Convention</w:t>
      </w:r>
      <w:r w:rsidR="00773B3C" w:rsidRPr="00A51861">
        <w:rPr>
          <w:rFonts w:ascii="Cambria" w:hAnsi="Cambria"/>
          <w:sz w:val="20"/>
          <w:szCs w:val="20"/>
        </w:rPr>
        <w:t>,</w:t>
      </w:r>
      <w:r w:rsidR="00D70A85">
        <w:rPr>
          <w:rFonts w:ascii="Cambria" w:hAnsi="Cambria"/>
          <w:sz w:val="20"/>
          <w:szCs w:val="20"/>
        </w:rPr>
        <w:t xml:space="preserve"> </w:t>
      </w:r>
      <w:r>
        <w:rPr>
          <w:rFonts w:ascii="Cambria" w:hAnsi="Cambria"/>
          <w:sz w:val="20"/>
          <w:szCs w:val="20"/>
        </w:rPr>
        <w:t xml:space="preserve">it </w:t>
      </w:r>
      <w:r w:rsidR="00D70A85">
        <w:rPr>
          <w:rFonts w:ascii="Cambria" w:hAnsi="Cambria"/>
          <w:sz w:val="20"/>
          <w:szCs w:val="20"/>
        </w:rPr>
        <w:t xml:space="preserve">is </w:t>
      </w:r>
      <w:r>
        <w:rPr>
          <w:rFonts w:ascii="Cambria" w:hAnsi="Cambria"/>
          <w:sz w:val="20"/>
          <w:szCs w:val="20"/>
        </w:rPr>
        <w:t xml:space="preserve">possible to </w:t>
      </w:r>
      <w:r w:rsidR="00773B3C" w:rsidRPr="00A51861">
        <w:rPr>
          <w:rFonts w:ascii="Cambria" w:hAnsi="Cambria"/>
          <w:sz w:val="20"/>
          <w:szCs w:val="20"/>
        </w:rPr>
        <w:t>identif</w:t>
      </w:r>
      <w:r>
        <w:rPr>
          <w:rFonts w:ascii="Cambria" w:hAnsi="Cambria"/>
          <w:sz w:val="20"/>
          <w:szCs w:val="20"/>
        </w:rPr>
        <w:t>y two</w:t>
      </w:r>
      <w:r w:rsidR="00773B3C" w:rsidRPr="00A51861">
        <w:rPr>
          <w:rFonts w:ascii="Cambria" w:hAnsi="Cambria"/>
          <w:sz w:val="20"/>
          <w:szCs w:val="20"/>
        </w:rPr>
        <w:t xml:space="preserve"> </w:t>
      </w:r>
      <w:r w:rsidRPr="00A51861">
        <w:rPr>
          <w:rFonts w:ascii="Cambria" w:hAnsi="Cambria"/>
          <w:sz w:val="20"/>
          <w:szCs w:val="20"/>
        </w:rPr>
        <w:t>specific obligations</w:t>
      </w:r>
      <w:r w:rsidR="00773B3C" w:rsidRPr="00A51861">
        <w:rPr>
          <w:rFonts w:ascii="Cambria" w:hAnsi="Cambria"/>
          <w:sz w:val="20"/>
          <w:szCs w:val="20"/>
        </w:rPr>
        <w:t xml:space="preserve"> </w:t>
      </w:r>
      <w:r w:rsidR="00F92BA8">
        <w:rPr>
          <w:rFonts w:ascii="Cambria" w:hAnsi="Cambria"/>
          <w:sz w:val="20"/>
          <w:szCs w:val="20"/>
        </w:rPr>
        <w:t>of the State</w:t>
      </w:r>
      <w:r w:rsidR="001D1D61">
        <w:rPr>
          <w:rFonts w:ascii="Cambria" w:hAnsi="Cambria"/>
          <w:sz w:val="20"/>
          <w:szCs w:val="20"/>
        </w:rPr>
        <w:t>. Th</w:t>
      </w:r>
      <w:r w:rsidR="009A4F91">
        <w:rPr>
          <w:rFonts w:ascii="Cambria" w:hAnsi="Cambria"/>
          <w:sz w:val="20"/>
          <w:szCs w:val="20"/>
        </w:rPr>
        <w:t xml:space="preserve">e </w:t>
      </w:r>
      <w:r>
        <w:rPr>
          <w:rFonts w:ascii="Cambria" w:hAnsi="Cambria"/>
          <w:sz w:val="20"/>
          <w:szCs w:val="20"/>
        </w:rPr>
        <w:t>first</w:t>
      </w:r>
      <w:r w:rsidR="00773B3C" w:rsidRPr="00A51861">
        <w:rPr>
          <w:rFonts w:ascii="Cambria" w:hAnsi="Cambria"/>
          <w:sz w:val="20"/>
          <w:szCs w:val="20"/>
        </w:rPr>
        <w:t xml:space="preserve">, </w:t>
      </w:r>
      <w:r w:rsidR="005E38F7">
        <w:rPr>
          <w:rFonts w:ascii="Cambria" w:hAnsi="Cambria"/>
          <w:sz w:val="20"/>
          <w:szCs w:val="20"/>
        </w:rPr>
        <w:t xml:space="preserve">to </w:t>
      </w:r>
      <w:r w:rsidR="005E38F7" w:rsidRPr="00A51861">
        <w:rPr>
          <w:rFonts w:ascii="Cambria" w:hAnsi="Cambria"/>
          <w:sz w:val="20"/>
          <w:szCs w:val="20"/>
        </w:rPr>
        <w:t>normative</w:t>
      </w:r>
      <w:r w:rsidR="005E38F7">
        <w:rPr>
          <w:rFonts w:ascii="Cambria" w:hAnsi="Cambria"/>
          <w:sz w:val="20"/>
          <w:szCs w:val="20"/>
        </w:rPr>
        <w:t xml:space="preserve">ly </w:t>
      </w:r>
      <w:r w:rsidR="00773B3C" w:rsidRPr="00A51861">
        <w:rPr>
          <w:rFonts w:ascii="Cambria" w:hAnsi="Cambria"/>
          <w:sz w:val="20"/>
          <w:szCs w:val="20"/>
        </w:rPr>
        <w:t>cons</w:t>
      </w:r>
      <w:r w:rsidR="005E38F7">
        <w:rPr>
          <w:rFonts w:ascii="Cambria" w:hAnsi="Cambria"/>
          <w:sz w:val="20"/>
          <w:szCs w:val="20"/>
        </w:rPr>
        <w:t>ecrate</w:t>
      </w:r>
      <w:r w:rsidR="00773B3C" w:rsidRPr="00A51861">
        <w:rPr>
          <w:rFonts w:ascii="Cambria" w:hAnsi="Cambria"/>
          <w:sz w:val="20"/>
          <w:szCs w:val="20"/>
        </w:rPr>
        <w:t xml:space="preserve"> </w:t>
      </w:r>
      <w:r w:rsidR="00E92985">
        <w:rPr>
          <w:rFonts w:ascii="Cambria" w:hAnsi="Cambria"/>
          <w:sz w:val="20"/>
          <w:szCs w:val="20"/>
        </w:rPr>
        <w:t xml:space="preserve">and </w:t>
      </w:r>
      <w:r w:rsidR="005E38F7">
        <w:rPr>
          <w:rFonts w:ascii="Cambria" w:hAnsi="Cambria"/>
          <w:sz w:val="20"/>
          <w:szCs w:val="20"/>
        </w:rPr>
        <w:t>ensure</w:t>
      </w:r>
      <w:r w:rsidR="009A4F91">
        <w:rPr>
          <w:rFonts w:ascii="Cambria" w:hAnsi="Cambria"/>
          <w:sz w:val="20"/>
          <w:szCs w:val="20"/>
        </w:rPr>
        <w:t xml:space="preserve"> the </w:t>
      </w:r>
      <w:r w:rsidR="005E38F7">
        <w:rPr>
          <w:rFonts w:ascii="Cambria" w:hAnsi="Cambria"/>
          <w:sz w:val="20"/>
          <w:szCs w:val="20"/>
        </w:rPr>
        <w:t xml:space="preserve">due </w:t>
      </w:r>
      <w:r w:rsidR="005E38F7" w:rsidRPr="00A51861">
        <w:rPr>
          <w:rFonts w:ascii="Cambria" w:hAnsi="Cambria"/>
          <w:sz w:val="20"/>
          <w:szCs w:val="20"/>
        </w:rPr>
        <w:t>application</w:t>
      </w:r>
      <w:r w:rsidR="00E92985">
        <w:rPr>
          <w:rFonts w:ascii="Cambria" w:hAnsi="Cambria"/>
          <w:sz w:val="20"/>
          <w:szCs w:val="20"/>
        </w:rPr>
        <w:t xml:space="preserve"> of </w:t>
      </w:r>
      <w:r w:rsidR="00E64C43">
        <w:rPr>
          <w:rFonts w:ascii="Cambria" w:hAnsi="Cambria"/>
          <w:sz w:val="20"/>
          <w:szCs w:val="20"/>
        </w:rPr>
        <w:t>effective</w:t>
      </w:r>
      <w:r w:rsidR="005E38F7">
        <w:rPr>
          <w:rFonts w:ascii="Cambria" w:hAnsi="Cambria"/>
          <w:sz w:val="20"/>
          <w:szCs w:val="20"/>
        </w:rPr>
        <w:t xml:space="preserve"> remedie</w:t>
      </w:r>
      <w:r w:rsidR="00773B3C" w:rsidRPr="00A51861">
        <w:rPr>
          <w:rFonts w:ascii="Cambria" w:hAnsi="Cambria"/>
          <w:sz w:val="20"/>
          <w:szCs w:val="20"/>
        </w:rPr>
        <w:t xml:space="preserve">s </w:t>
      </w:r>
      <w:r w:rsidR="005E38F7">
        <w:rPr>
          <w:rFonts w:ascii="Cambria" w:hAnsi="Cambria"/>
          <w:sz w:val="20"/>
          <w:szCs w:val="20"/>
        </w:rPr>
        <w:t>before</w:t>
      </w:r>
      <w:r w:rsidR="00773B3C" w:rsidRPr="00A51861">
        <w:rPr>
          <w:rFonts w:ascii="Cambria" w:hAnsi="Cambria"/>
          <w:sz w:val="20"/>
          <w:szCs w:val="20"/>
        </w:rPr>
        <w:t xml:space="preserve"> </w:t>
      </w:r>
      <w:r w:rsidR="005E38F7">
        <w:rPr>
          <w:rFonts w:ascii="Cambria" w:hAnsi="Cambria"/>
          <w:sz w:val="20"/>
          <w:szCs w:val="20"/>
        </w:rPr>
        <w:t>competent authorities</w:t>
      </w:r>
      <w:r w:rsidR="00773B3C" w:rsidRPr="00A51861">
        <w:rPr>
          <w:rFonts w:ascii="Cambria" w:hAnsi="Cambria"/>
          <w:sz w:val="20"/>
          <w:szCs w:val="20"/>
        </w:rPr>
        <w:t xml:space="preserve">, </w:t>
      </w:r>
      <w:r w:rsidR="005E38F7">
        <w:rPr>
          <w:rFonts w:ascii="Cambria" w:hAnsi="Cambria"/>
          <w:sz w:val="20"/>
          <w:szCs w:val="20"/>
        </w:rPr>
        <w:t>so that they safeguard all</w:t>
      </w:r>
      <w:r w:rsidR="00773B3C" w:rsidRPr="00A51861">
        <w:rPr>
          <w:rFonts w:ascii="Cambria" w:hAnsi="Cambria"/>
          <w:sz w:val="20"/>
          <w:szCs w:val="20"/>
        </w:rPr>
        <w:t xml:space="preserve"> </w:t>
      </w:r>
      <w:r w:rsidR="00EC7A58">
        <w:rPr>
          <w:rFonts w:ascii="Cambria" w:hAnsi="Cambria"/>
          <w:sz w:val="20"/>
          <w:szCs w:val="20"/>
        </w:rPr>
        <w:t>persons</w:t>
      </w:r>
      <w:r w:rsidR="00773B3C" w:rsidRPr="00A51861">
        <w:rPr>
          <w:rFonts w:ascii="Cambria" w:hAnsi="Cambria"/>
          <w:sz w:val="20"/>
          <w:szCs w:val="20"/>
        </w:rPr>
        <w:t xml:space="preserve"> </w:t>
      </w:r>
      <w:r w:rsidR="005E38F7">
        <w:rPr>
          <w:rFonts w:ascii="Cambria" w:hAnsi="Cambria"/>
          <w:sz w:val="20"/>
          <w:szCs w:val="20"/>
        </w:rPr>
        <w:t>under its j</w:t>
      </w:r>
      <w:r w:rsidR="004C5A00">
        <w:rPr>
          <w:rFonts w:ascii="Cambria" w:hAnsi="Cambria"/>
          <w:sz w:val="20"/>
          <w:szCs w:val="20"/>
        </w:rPr>
        <w:t>urisdiction</w:t>
      </w:r>
      <w:r w:rsidR="00CB0928">
        <w:rPr>
          <w:rFonts w:ascii="Cambria" w:hAnsi="Cambria"/>
          <w:sz w:val="20"/>
          <w:szCs w:val="20"/>
        </w:rPr>
        <w:t xml:space="preserve"> against </w:t>
      </w:r>
      <w:r w:rsidR="00404714">
        <w:rPr>
          <w:rFonts w:ascii="Cambria" w:hAnsi="Cambria"/>
          <w:sz w:val="20"/>
          <w:szCs w:val="20"/>
        </w:rPr>
        <w:t xml:space="preserve">acts </w:t>
      </w:r>
      <w:r w:rsidR="005E38F7">
        <w:rPr>
          <w:rFonts w:ascii="Cambria" w:hAnsi="Cambria"/>
          <w:sz w:val="20"/>
          <w:szCs w:val="20"/>
        </w:rPr>
        <w:t>which violate their</w:t>
      </w:r>
      <w:r w:rsidR="00773B3C" w:rsidRPr="00A51861">
        <w:rPr>
          <w:rFonts w:ascii="Cambria" w:hAnsi="Cambria"/>
          <w:sz w:val="20"/>
          <w:szCs w:val="20"/>
        </w:rPr>
        <w:t xml:space="preserve"> </w:t>
      </w:r>
      <w:r w:rsidR="005E38F7">
        <w:rPr>
          <w:rFonts w:ascii="Cambria" w:hAnsi="Cambria"/>
          <w:sz w:val="20"/>
          <w:szCs w:val="20"/>
        </w:rPr>
        <w:t>fundamental rights</w:t>
      </w:r>
      <w:r w:rsidR="00E92985">
        <w:rPr>
          <w:rFonts w:ascii="Cambria" w:hAnsi="Cambria"/>
          <w:sz w:val="20"/>
          <w:szCs w:val="20"/>
        </w:rPr>
        <w:t xml:space="preserve"> or </w:t>
      </w:r>
      <w:r w:rsidR="005E38F7">
        <w:rPr>
          <w:rFonts w:ascii="Cambria" w:hAnsi="Cambria"/>
          <w:sz w:val="20"/>
          <w:szCs w:val="20"/>
        </w:rPr>
        <w:t>which entail</w:t>
      </w:r>
      <w:r w:rsidR="009A4F91">
        <w:rPr>
          <w:rFonts w:ascii="Cambria" w:hAnsi="Cambria"/>
          <w:sz w:val="20"/>
          <w:szCs w:val="20"/>
        </w:rPr>
        <w:t xml:space="preserve"> the </w:t>
      </w:r>
      <w:r w:rsidR="00414B18">
        <w:rPr>
          <w:rFonts w:ascii="Cambria" w:hAnsi="Cambria"/>
          <w:sz w:val="20"/>
          <w:szCs w:val="20"/>
        </w:rPr>
        <w:t xml:space="preserve">determination </w:t>
      </w:r>
      <w:r w:rsidR="00E92985">
        <w:rPr>
          <w:rFonts w:ascii="Cambria" w:hAnsi="Cambria"/>
          <w:sz w:val="20"/>
          <w:szCs w:val="20"/>
        </w:rPr>
        <w:t xml:space="preserve">of </w:t>
      </w:r>
      <w:r w:rsidR="005E38F7">
        <w:rPr>
          <w:rFonts w:ascii="Cambria" w:hAnsi="Cambria"/>
          <w:sz w:val="20"/>
          <w:szCs w:val="20"/>
        </w:rPr>
        <w:t>their rights</w:t>
      </w:r>
      <w:r w:rsidR="00E92985">
        <w:rPr>
          <w:rFonts w:ascii="Cambria" w:hAnsi="Cambria"/>
          <w:sz w:val="20"/>
          <w:szCs w:val="20"/>
        </w:rPr>
        <w:t xml:space="preserve"> and </w:t>
      </w:r>
      <w:r w:rsidR="005E38F7" w:rsidRPr="00A51861">
        <w:rPr>
          <w:rFonts w:ascii="Cambria" w:hAnsi="Cambria"/>
          <w:sz w:val="20"/>
          <w:szCs w:val="20"/>
        </w:rPr>
        <w:t>obligations</w:t>
      </w:r>
      <w:r w:rsidR="001D1D61">
        <w:rPr>
          <w:rFonts w:ascii="Cambria" w:hAnsi="Cambria"/>
          <w:sz w:val="20"/>
          <w:szCs w:val="20"/>
        </w:rPr>
        <w:t>. Th</w:t>
      </w:r>
      <w:r w:rsidR="009A4F91">
        <w:rPr>
          <w:rFonts w:ascii="Cambria" w:hAnsi="Cambria"/>
          <w:sz w:val="20"/>
          <w:szCs w:val="20"/>
        </w:rPr>
        <w:t xml:space="preserve">e </w:t>
      </w:r>
      <w:r w:rsidR="005E38F7">
        <w:rPr>
          <w:rFonts w:ascii="Cambria" w:hAnsi="Cambria"/>
          <w:sz w:val="20"/>
          <w:szCs w:val="20"/>
        </w:rPr>
        <w:t>second</w:t>
      </w:r>
      <w:r w:rsidR="00773B3C" w:rsidRPr="00A51861">
        <w:rPr>
          <w:rFonts w:ascii="Cambria" w:hAnsi="Cambria"/>
          <w:sz w:val="20"/>
          <w:szCs w:val="20"/>
        </w:rPr>
        <w:t xml:space="preserve">, </w:t>
      </w:r>
      <w:r w:rsidR="005E38F7">
        <w:rPr>
          <w:rFonts w:ascii="Cambria" w:hAnsi="Cambria"/>
          <w:sz w:val="20"/>
          <w:szCs w:val="20"/>
        </w:rPr>
        <w:t xml:space="preserve">to </w:t>
      </w:r>
      <w:r w:rsidR="009A4F91">
        <w:rPr>
          <w:rFonts w:ascii="Cambria" w:hAnsi="Cambria"/>
          <w:sz w:val="20"/>
          <w:szCs w:val="20"/>
        </w:rPr>
        <w:t>ensure</w:t>
      </w:r>
      <w:r w:rsidR="00773B3C" w:rsidRPr="00A51861">
        <w:rPr>
          <w:rFonts w:ascii="Cambria" w:hAnsi="Cambria"/>
          <w:sz w:val="20"/>
          <w:szCs w:val="20"/>
        </w:rPr>
        <w:t xml:space="preserve"> </w:t>
      </w:r>
      <w:r w:rsidR="00061033">
        <w:rPr>
          <w:rFonts w:ascii="Cambria" w:hAnsi="Cambria"/>
          <w:sz w:val="20"/>
          <w:szCs w:val="20"/>
        </w:rPr>
        <w:t>the means to execute the</w:t>
      </w:r>
      <w:r w:rsidR="00773B3C" w:rsidRPr="00A51861">
        <w:rPr>
          <w:rFonts w:ascii="Cambria" w:hAnsi="Cambria"/>
          <w:sz w:val="20"/>
          <w:szCs w:val="20"/>
        </w:rPr>
        <w:t xml:space="preserve"> </w:t>
      </w:r>
      <w:r>
        <w:rPr>
          <w:rFonts w:ascii="Cambria" w:hAnsi="Cambria"/>
          <w:sz w:val="20"/>
          <w:szCs w:val="20"/>
        </w:rPr>
        <w:t>respective</w:t>
      </w:r>
      <w:r w:rsidR="00773B3C" w:rsidRPr="00A51861">
        <w:rPr>
          <w:rFonts w:ascii="Cambria" w:hAnsi="Cambria"/>
          <w:sz w:val="20"/>
          <w:szCs w:val="20"/>
        </w:rPr>
        <w:t xml:space="preserve"> </w:t>
      </w:r>
      <w:r w:rsidR="00061033" w:rsidRPr="00A51861">
        <w:rPr>
          <w:rFonts w:ascii="Cambria" w:hAnsi="Cambria"/>
          <w:sz w:val="20"/>
          <w:szCs w:val="20"/>
        </w:rPr>
        <w:t>definitive</w:t>
      </w:r>
      <w:r w:rsidR="00773B3C" w:rsidRPr="00A51861">
        <w:rPr>
          <w:rFonts w:ascii="Cambria" w:hAnsi="Cambria"/>
          <w:sz w:val="20"/>
          <w:szCs w:val="20"/>
        </w:rPr>
        <w:t xml:space="preserve"> </w:t>
      </w:r>
      <w:r w:rsidR="00061033">
        <w:rPr>
          <w:rFonts w:ascii="Cambria" w:hAnsi="Cambria"/>
          <w:sz w:val="20"/>
          <w:szCs w:val="20"/>
        </w:rPr>
        <w:t>decisions and sentence</w:t>
      </w:r>
      <w:r w:rsidR="00061033" w:rsidRPr="00A51861">
        <w:rPr>
          <w:rFonts w:ascii="Cambria" w:hAnsi="Cambria"/>
          <w:sz w:val="20"/>
          <w:szCs w:val="20"/>
        </w:rPr>
        <w:t xml:space="preserve">s </w:t>
      </w:r>
      <w:r w:rsidR="00061033">
        <w:rPr>
          <w:rFonts w:ascii="Cambria" w:hAnsi="Cambria"/>
          <w:sz w:val="20"/>
          <w:szCs w:val="20"/>
        </w:rPr>
        <w:t>issued by said</w:t>
      </w:r>
      <w:r w:rsidR="00773B3C" w:rsidRPr="00A51861">
        <w:rPr>
          <w:rFonts w:ascii="Cambria" w:hAnsi="Cambria"/>
          <w:sz w:val="20"/>
          <w:szCs w:val="20"/>
        </w:rPr>
        <w:t xml:space="preserve"> </w:t>
      </w:r>
      <w:r w:rsidR="005E38F7">
        <w:rPr>
          <w:rFonts w:ascii="Cambria" w:hAnsi="Cambria"/>
          <w:sz w:val="20"/>
          <w:szCs w:val="20"/>
        </w:rPr>
        <w:t>competent authorities</w:t>
      </w:r>
      <w:r w:rsidR="00773B3C" w:rsidRPr="00A51861">
        <w:rPr>
          <w:rFonts w:ascii="Cambria" w:hAnsi="Cambria"/>
          <w:sz w:val="20"/>
          <w:szCs w:val="20"/>
        </w:rPr>
        <w:t>,</w:t>
      </w:r>
      <w:r w:rsidR="00E92985">
        <w:rPr>
          <w:rFonts w:ascii="Cambria" w:hAnsi="Cambria"/>
          <w:sz w:val="20"/>
          <w:szCs w:val="20"/>
        </w:rPr>
        <w:t xml:space="preserve"> </w:t>
      </w:r>
      <w:r w:rsidR="00061033">
        <w:rPr>
          <w:rFonts w:ascii="Cambria" w:hAnsi="Cambria"/>
          <w:sz w:val="20"/>
          <w:szCs w:val="20"/>
        </w:rPr>
        <w:t>so that they</w:t>
      </w:r>
      <w:r w:rsidR="00773B3C" w:rsidRPr="00A51861">
        <w:rPr>
          <w:rFonts w:ascii="Cambria" w:hAnsi="Cambria"/>
          <w:sz w:val="20"/>
          <w:szCs w:val="20"/>
        </w:rPr>
        <w:t xml:space="preserve"> </w:t>
      </w:r>
      <w:r w:rsidR="00E64C43">
        <w:rPr>
          <w:rFonts w:ascii="Cambria" w:hAnsi="Cambria"/>
          <w:sz w:val="20"/>
          <w:szCs w:val="20"/>
        </w:rPr>
        <w:t>effective</w:t>
      </w:r>
      <w:r w:rsidR="0029564F">
        <w:rPr>
          <w:rFonts w:ascii="Cambria" w:hAnsi="Cambria"/>
          <w:sz w:val="20"/>
          <w:szCs w:val="20"/>
        </w:rPr>
        <w:t xml:space="preserve">ly </w:t>
      </w:r>
      <w:r w:rsidR="00061033">
        <w:rPr>
          <w:rFonts w:ascii="Cambria" w:hAnsi="Cambria"/>
          <w:sz w:val="20"/>
          <w:szCs w:val="20"/>
        </w:rPr>
        <w:t>protect the</w:t>
      </w:r>
      <w:r w:rsidR="00773B3C" w:rsidRPr="00A51861">
        <w:rPr>
          <w:rFonts w:ascii="Cambria" w:hAnsi="Cambria"/>
          <w:sz w:val="20"/>
          <w:szCs w:val="20"/>
        </w:rPr>
        <w:t xml:space="preserve"> </w:t>
      </w:r>
      <w:r w:rsidR="00061033" w:rsidRPr="00A51861">
        <w:rPr>
          <w:rFonts w:ascii="Cambria" w:hAnsi="Cambria"/>
          <w:sz w:val="20"/>
          <w:szCs w:val="20"/>
        </w:rPr>
        <w:t>declared</w:t>
      </w:r>
      <w:r w:rsidR="00E92985">
        <w:rPr>
          <w:rFonts w:ascii="Cambria" w:hAnsi="Cambria"/>
          <w:sz w:val="20"/>
          <w:szCs w:val="20"/>
        </w:rPr>
        <w:t xml:space="preserve"> or </w:t>
      </w:r>
      <w:r w:rsidR="00773B3C" w:rsidRPr="00A51861">
        <w:rPr>
          <w:rFonts w:ascii="Cambria" w:hAnsi="Cambria"/>
          <w:sz w:val="20"/>
          <w:szCs w:val="20"/>
        </w:rPr>
        <w:t>reco</w:t>
      </w:r>
      <w:r w:rsidR="00061033">
        <w:rPr>
          <w:rFonts w:ascii="Cambria" w:hAnsi="Cambria"/>
          <w:sz w:val="20"/>
          <w:szCs w:val="20"/>
        </w:rPr>
        <w:t>gnized</w:t>
      </w:r>
      <w:r w:rsidR="00061033" w:rsidRPr="00061033">
        <w:rPr>
          <w:rFonts w:ascii="Cambria" w:hAnsi="Cambria"/>
          <w:sz w:val="20"/>
          <w:szCs w:val="20"/>
        </w:rPr>
        <w:t xml:space="preserve"> </w:t>
      </w:r>
      <w:r w:rsidR="00061033">
        <w:rPr>
          <w:rFonts w:ascii="Cambria" w:hAnsi="Cambria"/>
          <w:sz w:val="20"/>
          <w:szCs w:val="20"/>
        </w:rPr>
        <w:t>rights</w:t>
      </w:r>
      <w:r w:rsidR="00773B3C" w:rsidRPr="00A51861">
        <w:rPr>
          <w:rFonts w:ascii="Cambria" w:hAnsi="Cambria"/>
          <w:sz w:val="20"/>
          <w:szCs w:val="20"/>
        </w:rPr>
        <w:t xml:space="preserve">. </w:t>
      </w:r>
      <w:r w:rsidR="00061033">
        <w:rPr>
          <w:rFonts w:ascii="Cambria" w:hAnsi="Cambria"/>
          <w:sz w:val="20"/>
          <w:szCs w:val="20"/>
        </w:rPr>
        <w:t>The right</w:t>
      </w:r>
      <w:r w:rsidR="00773B3C" w:rsidRPr="00A51861">
        <w:rPr>
          <w:rFonts w:ascii="Cambria" w:hAnsi="Cambria"/>
          <w:sz w:val="20"/>
          <w:szCs w:val="20"/>
        </w:rPr>
        <w:t xml:space="preserve"> </w:t>
      </w:r>
      <w:r w:rsidR="00061033">
        <w:rPr>
          <w:rFonts w:ascii="Cambria" w:hAnsi="Cambria"/>
          <w:sz w:val="20"/>
          <w:szCs w:val="20"/>
        </w:rPr>
        <w:t>set forth in</w:t>
      </w:r>
      <w:r w:rsidR="004C5A00">
        <w:rPr>
          <w:rFonts w:ascii="Cambria" w:hAnsi="Cambria"/>
          <w:sz w:val="20"/>
          <w:szCs w:val="20"/>
        </w:rPr>
        <w:t xml:space="preserve"> article </w:t>
      </w:r>
      <w:r w:rsidR="00773B3C" w:rsidRPr="00A51861">
        <w:rPr>
          <w:rFonts w:ascii="Cambria" w:hAnsi="Cambria"/>
          <w:sz w:val="20"/>
          <w:szCs w:val="20"/>
        </w:rPr>
        <w:t xml:space="preserve">25 </w:t>
      </w:r>
      <w:r w:rsidR="00061033">
        <w:rPr>
          <w:rFonts w:ascii="Cambria" w:hAnsi="Cambria"/>
          <w:sz w:val="20"/>
          <w:szCs w:val="20"/>
        </w:rPr>
        <w:t>in closely connected to</w:t>
      </w:r>
      <w:r w:rsidR="002B762A">
        <w:rPr>
          <w:rFonts w:ascii="Cambria" w:hAnsi="Cambria"/>
          <w:sz w:val="20"/>
          <w:szCs w:val="20"/>
        </w:rPr>
        <w:t xml:space="preserve"> </w:t>
      </w:r>
      <w:r w:rsidR="009A4F91">
        <w:rPr>
          <w:rFonts w:ascii="Cambria" w:hAnsi="Cambria"/>
          <w:sz w:val="20"/>
          <w:szCs w:val="20"/>
        </w:rPr>
        <w:t xml:space="preserve">the </w:t>
      </w:r>
      <w:r w:rsidR="00773B3C" w:rsidRPr="00A51861">
        <w:rPr>
          <w:rFonts w:ascii="Cambria" w:hAnsi="Cambria"/>
          <w:sz w:val="20"/>
          <w:szCs w:val="20"/>
        </w:rPr>
        <w:t>general</w:t>
      </w:r>
      <w:r w:rsidR="004969F4">
        <w:rPr>
          <w:rFonts w:ascii="Cambria" w:hAnsi="Cambria"/>
          <w:sz w:val="20"/>
          <w:szCs w:val="20"/>
        </w:rPr>
        <w:t xml:space="preserve"> </w:t>
      </w:r>
      <w:r w:rsidR="00061033" w:rsidRPr="00A51861">
        <w:rPr>
          <w:rFonts w:ascii="Cambria" w:hAnsi="Cambria"/>
          <w:sz w:val="20"/>
          <w:szCs w:val="20"/>
        </w:rPr>
        <w:t xml:space="preserve">obligation </w:t>
      </w:r>
      <w:r w:rsidR="004969F4">
        <w:rPr>
          <w:rFonts w:ascii="Cambria" w:hAnsi="Cambria"/>
          <w:sz w:val="20"/>
          <w:szCs w:val="20"/>
        </w:rPr>
        <w:t xml:space="preserve">of </w:t>
      </w:r>
      <w:r w:rsidR="0029564F">
        <w:rPr>
          <w:rFonts w:ascii="Cambria" w:hAnsi="Cambria"/>
          <w:sz w:val="20"/>
          <w:szCs w:val="20"/>
        </w:rPr>
        <w:t>article</w:t>
      </w:r>
      <w:r w:rsidR="00773B3C" w:rsidRPr="00A51861">
        <w:rPr>
          <w:rFonts w:ascii="Cambria" w:hAnsi="Cambria"/>
          <w:sz w:val="20"/>
          <w:szCs w:val="20"/>
        </w:rPr>
        <w:t xml:space="preserve"> 1.1</w:t>
      </w:r>
      <w:r w:rsidR="00E92985">
        <w:rPr>
          <w:rFonts w:ascii="Cambria" w:hAnsi="Cambria"/>
          <w:sz w:val="20"/>
          <w:szCs w:val="20"/>
        </w:rPr>
        <w:t xml:space="preserve"> of the </w:t>
      </w:r>
      <w:r w:rsidR="00CB4E23">
        <w:rPr>
          <w:rFonts w:ascii="Cambria" w:hAnsi="Cambria"/>
          <w:sz w:val="20"/>
          <w:szCs w:val="20"/>
        </w:rPr>
        <w:t>Convention</w:t>
      </w:r>
      <w:r w:rsidR="00773B3C" w:rsidRPr="00A51861">
        <w:rPr>
          <w:rFonts w:ascii="Cambria" w:hAnsi="Cambria"/>
          <w:sz w:val="20"/>
          <w:szCs w:val="20"/>
        </w:rPr>
        <w:t xml:space="preserve">, </w:t>
      </w:r>
      <w:r w:rsidR="00061033">
        <w:rPr>
          <w:rFonts w:ascii="Cambria" w:hAnsi="Cambria"/>
          <w:sz w:val="20"/>
          <w:szCs w:val="20"/>
        </w:rPr>
        <w:t>by attributing functions</w:t>
      </w:r>
      <w:r w:rsidR="00E92985">
        <w:rPr>
          <w:rFonts w:ascii="Cambria" w:hAnsi="Cambria"/>
          <w:sz w:val="20"/>
          <w:szCs w:val="20"/>
        </w:rPr>
        <w:t xml:space="preserve"> of </w:t>
      </w:r>
      <w:r w:rsidR="00EF4ED2">
        <w:rPr>
          <w:rFonts w:ascii="Cambria" w:hAnsi="Cambria"/>
          <w:sz w:val="20"/>
          <w:szCs w:val="20"/>
        </w:rPr>
        <w:t>protection</w:t>
      </w:r>
      <w:r w:rsidR="00773B3C" w:rsidRPr="00A51861">
        <w:rPr>
          <w:rFonts w:ascii="Cambria" w:hAnsi="Cambria"/>
          <w:sz w:val="20"/>
          <w:szCs w:val="20"/>
        </w:rPr>
        <w:t xml:space="preserve"> </w:t>
      </w:r>
      <w:r w:rsidR="00061033">
        <w:rPr>
          <w:rFonts w:ascii="Cambria" w:hAnsi="Cambria"/>
          <w:sz w:val="20"/>
          <w:szCs w:val="20"/>
        </w:rPr>
        <w:t>to the domestic law</w:t>
      </w:r>
      <w:r w:rsidR="00E92985">
        <w:rPr>
          <w:rFonts w:ascii="Cambria" w:hAnsi="Cambria"/>
          <w:sz w:val="20"/>
          <w:szCs w:val="20"/>
        </w:rPr>
        <w:t xml:space="preserve"> of </w:t>
      </w:r>
      <w:r w:rsidR="002D6E83">
        <w:rPr>
          <w:rFonts w:ascii="Cambria" w:hAnsi="Cambria"/>
          <w:sz w:val="20"/>
          <w:szCs w:val="20"/>
        </w:rPr>
        <w:t>the States</w:t>
      </w:r>
      <w:r w:rsidR="00773B3C" w:rsidRPr="00A51861">
        <w:rPr>
          <w:rFonts w:ascii="Cambria" w:hAnsi="Cambria"/>
          <w:sz w:val="20"/>
          <w:szCs w:val="20"/>
        </w:rPr>
        <w:t xml:space="preserve"> Part</w:t>
      </w:r>
      <w:r w:rsidR="00061033">
        <w:rPr>
          <w:rFonts w:ascii="Cambria" w:hAnsi="Cambria"/>
          <w:sz w:val="20"/>
          <w:szCs w:val="20"/>
        </w:rPr>
        <w:t>i</w:t>
      </w:r>
      <w:r w:rsidR="00773B3C" w:rsidRPr="00A51861">
        <w:rPr>
          <w:rFonts w:ascii="Cambria" w:hAnsi="Cambria"/>
          <w:sz w:val="20"/>
          <w:szCs w:val="20"/>
        </w:rPr>
        <w:t xml:space="preserve">es. </w:t>
      </w:r>
      <w:r>
        <w:rPr>
          <w:rFonts w:ascii="Cambria" w:hAnsi="Cambria"/>
          <w:sz w:val="20"/>
          <w:szCs w:val="20"/>
        </w:rPr>
        <w:t>In light of the above</w:t>
      </w:r>
      <w:r w:rsidR="00773B3C" w:rsidRPr="00A51861">
        <w:rPr>
          <w:rFonts w:ascii="Cambria" w:hAnsi="Cambria"/>
          <w:sz w:val="20"/>
          <w:szCs w:val="20"/>
        </w:rPr>
        <w:t xml:space="preserve">, </w:t>
      </w:r>
      <w:r w:rsidR="00F92BA8">
        <w:rPr>
          <w:rFonts w:ascii="Cambria" w:hAnsi="Cambria"/>
          <w:sz w:val="20"/>
          <w:szCs w:val="20"/>
        </w:rPr>
        <w:t>the State</w:t>
      </w:r>
      <w:r>
        <w:rPr>
          <w:rFonts w:ascii="Cambria" w:hAnsi="Cambria"/>
          <w:sz w:val="20"/>
          <w:szCs w:val="20"/>
        </w:rPr>
        <w:t xml:space="preserve"> has </w:t>
      </w:r>
      <w:r w:rsidR="009A4F91">
        <w:rPr>
          <w:rFonts w:ascii="Cambria" w:hAnsi="Cambria"/>
          <w:sz w:val="20"/>
          <w:szCs w:val="20"/>
        </w:rPr>
        <w:t xml:space="preserve">the </w:t>
      </w:r>
      <w:r w:rsidR="00E92985">
        <w:rPr>
          <w:rFonts w:ascii="Cambria" w:hAnsi="Cambria"/>
          <w:sz w:val="20"/>
          <w:szCs w:val="20"/>
        </w:rPr>
        <w:t>responsibility</w:t>
      </w:r>
      <w:r w:rsidR="00773B3C" w:rsidRPr="00A51861">
        <w:rPr>
          <w:rFonts w:ascii="Cambria" w:hAnsi="Cambria"/>
          <w:sz w:val="20"/>
          <w:szCs w:val="20"/>
        </w:rPr>
        <w:t xml:space="preserve"> </w:t>
      </w:r>
      <w:r w:rsidR="00061033">
        <w:rPr>
          <w:rFonts w:ascii="Cambria" w:hAnsi="Cambria"/>
          <w:sz w:val="20"/>
          <w:szCs w:val="20"/>
        </w:rPr>
        <w:t xml:space="preserve">not only of </w:t>
      </w:r>
      <w:r w:rsidR="00061033" w:rsidRPr="00A51861">
        <w:rPr>
          <w:rFonts w:ascii="Cambria" w:hAnsi="Cambria"/>
          <w:sz w:val="20"/>
          <w:szCs w:val="20"/>
        </w:rPr>
        <w:t>normativ</w:t>
      </w:r>
      <w:r w:rsidR="00061033">
        <w:rPr>
          <w:rFonts w:ascii="Cambria" w:hAnsi="Cambria"/>
          <w:sz w:val="20"/>
          <w:szCs w:val="20"/>
        </w:rPr>
        <w:t>ely designing</w:t>
      </w:r>
      <w:r w:rsidR="00E92985">
        <w:rPr>
          <w:rFonts w:ascii="Cambria" w:hAnsi="Cambria"/>
          <w:sz w:val="20"/>
          <w:szCs w:val="20"/>
        </w:rPr>
        <w:t xml:space="preserve"> and </w:t>
      </w:r>
      <w:r w:rsidR="00061033">
        <w:rPr>
          <w:rFonts w:ascii="Cambria" w:hAnsi="Cambria"/>
          <w:sz w:val="20"/>
          <w:szCs w:val="20"/>
        </w:rPr>
        <w:t>enshrining</w:t>
      </w:r>
      <w:r w:rsidR="00773B3C" w:rsidRPr="00A51861">
        <w:rPr>
          <w:rFonts w:ascii="Cambria" w:hAnsi="Cambria"/>
          <w:sz w:val="20"/>
          <w:szCs w:val="20"/>
        </w:rPr>
        <w:t xml:space="preserve"> </w:t>
      </w:r>
      <w:r w:rsidR="00061033">
        <w:rPr>
          <w:rFonts w:ascii="Cambria" w:hAnsi="Cambria"/>
          <w:sz w:val="20"/>
          <w:szCs w:val="20"/>
        </w:rPr>
        <w:t>an efficient remedy</w:t>
      </w:r>
      <w:r w:rsidR="00773B3C" w:rsidRPr="00A51861">
        <w:rPr>
          <w:rFonts w:ascii="Cambria" w:hAnsi="Cambria"/>
          <w:sz w:val="20"/>
          <w:szCs w:val="20"/>
        </w:rPr>
        <w:t xml:space="preserve">, </w:t>
      </w:r>
      <w:r w:rsidR="00061033">
        <w:rPr>
          <w:rFonts w:ascii="Cambria" w:hAnsi="Cambria"/>
          <w:sz w:val="20"/>
          <w:szCs w:val="20"/>
        </w:rPr>
        <w:t>but also to ensure</w:t>
      </w:r>
      <w:r w:rsidR="00E92985">
        <w:rPr>
          <w:rFonts w:ascii="Cambria" w:hAnsi="Cambria"/>
          <w:sz w:val="20"/>
          <w:szCs w:val="20"/>
        </w:rPr>
        <w:t xml:space="preserve"> </w:t>
      </w:r>
      <w:r w:rsidR="009A4F91">
        <w:rPr>
          <w:rFonts w:ascii="Cambria" w:hAnsi="Cambria"/>
          <w:sz w:val="20"/>
          <w:szCs w:val="20"/>
        </w:rPr>
        <w:t xml:space="preserve">the </w:t>
      </w:r>
      <w:r w:rsidR="00061033">
        <w:rPr>
          <w:rFonts w:ascii="Cambria" w:hAnsi="Cambria"/>
          <w:sz w:val="20"/>
          <w:szCs w:val="20"/>
        </w:rPr>
        <w:t>due</w:t>
      </w:r>
      <w:r w:rsidR="00773B3C" w:rsidRPr="00A51861">
        <w:rPr>
          <w:rFonts w:ascii="Cambria" w:hAnsi="Cambria"/>
          <w:sz w:val="20"/>
          <w:szCs w:val="20"/>
        </w:rPr>
        <w:t xml:space="preserve"> </w:t>
      </w:r>
      <w:r w:rsidR="00061033" w:rsidRPr="00A51861">
        <w:rPr>
          <w:rFonts w:ascii="Cambria" w:hAnsi="Cambria"/>
          <w:sz w:val="20"/>
          <w:szCs w:val="20"/>
        </w:rPr>
        <w:t>ap</w:t>
      </w:r>
      <w:r w:rsidR="00061033">
        <w:rPr>
          <w:rFonts w:ascii="Cambria" w:hAnsi="Cambria"/>
          <w:sz w:val="20"/>
          <w:szCs w:val="20"/>
        </w:rPr>
        <w:t>p</w:t>
      </w:r>
      <w:r w:rsidR="00061033" w:rsidRPr="00A51861">
        <w:rPr>
          <w:rFonts w:ascii="Cambria" w:hAnsi="Cambria"/>
          <w:sz w:val="20"/>
          <w:szCs w:val="20"/>
        </w:rPr>
        <w:t>lication</w:t>
      </w:r>
      <w:r w:rsidR="00E92985">
        <w:rPr>
          <w:rFonts w:ascii="Cambria" w:hAnsi="Cambria"/>
          <w:sz w:val="20"/>
          <w:szCs w:val="20"/>
        </w:rPr>
        <w:t xml:space="preserve"> of </w:t>
      </w:r>
      <w:r w:rsidR="00061033">
        <w:rPr>
          <w:rFonts w:ascii="Cambria" w:hAnsi="Cambria"/>
          <w:sz w:val="20"/>
          <w:szCs w:val="20"/>
        </w:rPr>
        <w:t>said remedy by its</w:t>
      </w:r>
      <w:r w:rsidR="00773B3C" w:rsidRPr="00A51861">
        <w:rPr>
          <w:rFonts w:ascii="Cambria" w:hAnsi="Cambria"/>
          <w:sz w:val="20"/>
          <w:szCs w:val="20"/>
        </w:rPr>
        <w:t xml:space="preserve"> </w:t>
      </w:r>
      <w:r w:rsidR="00061033" w:rsidRPr="00A51861">
        <w:rPr>
          <w:rFonts w:ascii="Cambria" w:hAnsi="Cambria"/>
          <w:sz w:val="20"/>
          <w:szCs w:val="20"/>
        </w:rPr>
        <w:t>judicial</w:t>
      </w:r>
      <w:r w:rsidR="00061033">
        <w:rPr>
          <w:rFonts w:ascii="Cambria" w:hAnsi="Cambria"/>
          <w:sz w:val="20"/>
          <w:szCs w:val="20"/>
        </w:rPr>
        <w:t xml:space="preserve"> </w:t>
      </w:r>
      <w:r w:rsidR="00940530">
        <w:rPr>
          <w:rFonts w:ascii="Cambria" w:hAnsi="Cambria"/>
          <w:sz w:val="20"/>
          <w:szCs w:val="20"/>
        </w:rPr>
        <w:t>authorities</w:t>
      </w:r>
      <w:r w:rsidR="00773B3C" w:rsidRPr="00A51861">
        <w:rPr>
          <w:rFonts w:ascii="Cambria" w:hAnsi="Cambria"/>
          <w:sz w:val="20"/>
          <w:szCs w:val="20"/>
          <w:vertAlign w:val="superscript"/>
        </w:rPr>
        <w:footnoteReference w:id="229"/>
      </w:r>
      <w:r w:rsidR="00773B3C" w:rsidRPr="00A51861">
        <w:rPr>
          <w:rFonts w:ascii="Cambria" w:hAnsi="Cambria"/>
          <w:sz w:val="20"/>
          <w:szCs w:val="20"/>
        </w:rPr>
        <w:t>.</w:t>
      </w:r>
    </w:p>
    <w:p w14:paraId="68325E50" w14:textId="77777777" w:rsidR="00773B3C" w:rsidRPr="00A51861" w:rsidRDefault="00773B3C" w:rsidP="008E4D36">
      <w:pPr>
        <w:tabs>
          <w:tab w:val="left" w:pos="720"/>
          <w:tab w:val="left" w:pos="1440"/>
        </w:tabs>
        <w:ind w:left="630"/>
        <w:jc w:val="both"/>
        <w:rPr>
          <w:rFonts w:ascii="Cambria" w:hAnsi="Cambria"/>
          <w:sz w:val="20"/>
          <w:szCs w:val="20"/>
        </w:rPr>
      </w:pPr>
    </w:p>
    <w:p w14:paraId="6F591CBE" w14:textId="19D5F774" w:rsidR="00773B3C" w:rsidRPr="00A51861" w:rsidRDefault="00061033"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rPr>
      </w:pPr>
      <w:r>
        <w:rPr>
          <w:rFonts w:ascii="Cambria" w:eastAsia="Calibri" w:hAnsi="Cambria"/>
          <w:sz w:val="20"/>
          <w:szCs w:val="20"/>
          <w:bdr w:val="none" w:sz="0" w:space="0" w:color="auto"/>
        </w:rPr>
        <w:t>Finally</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 xml:space="preserve">concerning the </w:t>
      </w:r>
      <w:r w:rsidR="00773B3C" w:rsidRPr="00A51861">
        <w:rPr>
          <w:rFonts w:ascii="Cambria" w:eastAsia="Calibri" w:hAnsi="Cambria"/>
          <w:sz w:val="20"/>
          <w:szCs w:val="20"/>
          <w:bdr w:val="none" w:sz="0" w:space="0" w:color="auto"/>
        </w:rPr>
        <w:t>no</w:t>
      </w:r>
      <w:r>
        <w:rPr>
          <w:rFonts w:ascii="Cambria" w:eastAsia="Calibri" w:hAnsi="Cambria"/>
          <w:sz w:val="20"/>
          <w:szCs w:val="20"/>
          <w:bdr w:val="none" w:sz="0" w:space="0" w:color="auto"/>
        </w:rPr>
        <w:t>tio</w:t>
      </w:r>
      <w:r w:rsidR="00773B3C" w:rsidRPr="00A51861">
        <w:rPr>
          <w:rFonts w:ascii="Cambria" w:eastAsia="Calibri" w:hAnsi="Cambria"/>
          <w:sz w:val="20"/>
          <w:szCs w:val="20"/>
          <w:bdr w:val="none" w:sz="0" w:space="0" w:color="auto"/>
        </w:rPr>
        <w:t>n</w:t>
      </w:r>
      <w:r w:rsidR="00E92985">
        <w:rPr>
          <w:rFonts w:ascii="Cambria" w:eastAsia="Calibri" w:hAnsi="Cambria"/>
          <w:sz w:val="20"/>
          <w:szCs w:val="20"/>
          <w:bdr w:val="none" w:sz="0" w:space="0" w:color="auto"/>
        </w:rPr>
        <w:t xml:space="preserve"> of </w:t>
      </w:r>
      <w:r w:rsidR="00775F21">
        <w:rPr>
          <w:rFonts w:ascii="Cambria" w:eastAsia="Calibri" w:hAnsi="Cambria"/>
          <w:sz w:val="20"/>
          <w:szCs w:val="20"/>
          <w:bdr w:val="none" w:sz="0" w:space="0" w:color="auto"/>
        </w:rPr>
        <w:t>equality</w:t>
      </w:r>
      <w:r w:rsidR="00FA2E7B">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t</w:t>
      </w:r>
      <w:r w:rsidR="001D1D61">
        <w:rPr>
          <w:rFonts w:ascii="Cambria" w:eastAsia="Calibri" w:hAnsi="Cambria"/>
          <w:sz w:val="20"/>
          <w:szCs w:val="20"/>
          <w:bdr w:val="none" w:sz="0" w:space="0" w:color="auto"/>
        </w:rPr>
        <w:t xml:space="preserve">he Court has </w:t>
      </w:r>
      <w:r>
        <w:rPr>
          <w:rFonts w:ascii="Cambria" w:eastAsia="Calibri" w:hAnsi="Cambria"/>
          <w:sz w:val="20"/>
          <w:szCs w:val="20"/>
          <w:bdr w:val="none" w:sz="0" w:space="0" w:color="auto"/>
        </w:rPr>
        <w:t>held that it stems</w:t>
      </w:r>
      <w:r w:rsidR="00773B3C" w:rsidRPr="00A51861">
        <w:rPr>
          <w:rFonts w:ascii="Cambria" w:eastAsia="Calibri" w:hAnsi="Cambria"/>
          <w:sz w:val="20"/>
          <w:szCs w:val="20"/>
          <w:bdr w:val="none" w:sz="0" w:space="0" w:color="auto"/>
        </w:rPr>
        <w:t xml:space="preserve"> direct</w:t>
      </w:r>
      <w:r w:rsidR="0029564F">
        <w:rPr>
          <w:rFonts w:ascii="Cambria" w:eastAsia="Calibri" w:hAnsi="Cambria"/>
          <w:sz w:val="20"/>
          <w:szCs w:val="20"/>
          <w:bdr w:val="none" w:sz="0" w:space="0" w:color="auto"/>
        </w:rPr>
        <w:t>ly</w:t>
      </w:r>
      <w:r w:rsidR="00E92985">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from</w:t>
      </w:r>
      <w:r w:rsidR="00E92985">
        <w:rPr>
          <w:rFonts w:ascii="Cambria" w:eastAsia="Calibri" w:hAnsi="Cambria"/>
          <w:sz w:val="20"/>
          <w:szCs w:val="20"/>
          <w:bdr w:val="none" w:sz="0" w:space="0" w:color="auto"/>
        </w:rPr>
        <w:t xml:space="preserve"> the </w:t>
      </w:r>
      <w:r w:rsidR="00773B3C" w:rsidRPr="00A51861">
        <w:rPr>
          <w:rFonts w:ascii="Cambria" w:eastAsia="Calibri" w:hAnsi="Cambria"/>
          <w:sz w:val="20"/>
          <w:szCs w:val="20"/>
          <w:bdr w:val="none" w:sz="0" w:space="0" w:color="auto"/>
        </w:rPr>
        <w:t>uni</w:t>
      </w:r>
      <w:r w:rsidR="00FA2E7B">
        <w:rPr>
          <w:rFonts w:ascii="Cambria" w:eastAsia="Calibri" w:hAnsi="Cambria"/>
          <w:sz w:val="20"/>
          <w:szCs w:val="20"/>
          <w:bdr w:val="none" w:sz="0" w:space="0" w:color="auto"/>
        </w:rPr>
        <w:t xml:space="preserve">ty </w:t>
      </w:r>
      <w:r w:rsidR="00E92985">
        <w:rPr>
          <w:rFonts w:ascii="Cambria" w:eastAsia="Calibri" w:hAnsi="Cambria"/>
          <w:sz w:val="20"/>
          <w:szCs w:val="20"/>
          <w:bdr w:val="none" w:sz="0" w:space="0" w:color="auto"/>
        </w:rPr>
        <w:t xml:space="preserve">of </w:t>
      </w:r>
      <w:r w:rsidR="00773B3C" w:rsidRPr="00A51861">
        <w:rPr>
          <w:rFonts w:ascii="Cambria" w:eastAsia="Calibri" w:hAnsi="Cambria"/>
          <w:sz w:val="20"/>
          <w:szCs w:val="20"/>
          <w:bdr w:val="none" w:sz="0" w:space="0" w:color="auto"/>
        </w:rPr>
        <w:t>natur</w:t>
      </w:r>
      <w:r>
        <w:rPr>
          <w:rFonts w:ascii="Cambria" w:eastAsia="Calibri" w:hAnsi="Cambria"/>
          <w:sz w:val="20"/>
          <w:szCs w:val="20"/>
          <w:bdr w:val="none" w:sz="0" w:space="0" w:color="auto"/>
        </w:rPr>
        <w:t>e</w:t>
      </w:r>
      <w:r w:rsidR="004969F4">
        <w:rPr>
          <w:rFonts w:ascii="Cambria" w:eastAsia="Calibri" w:hAnsi="Cambria"/>
          <w:sz w:val="20"/>
          <w:szCs w:val="20"/>
          <w:bdr w:val="none" w:sz="0" w:space="0" w:color="auto"/>
        </w:rPr>
        <w:t xml:space="preserve"> of </w:t>
      </w:r>
      <w:r>
        <w:rPr>
          <w:rFonts w:ascii="Cambria" w:eastAsia="Calibri" w:hAnsi="Cambria"/>
          <w:sz w:val="20"/>
          <w:szCs w:val="20"/>
          <w:bdr w:val="none" w:sz="0" w:space="0" w:color="auto"/>
        </w:rPr>
        <w:t>mankind</w:t>
      </w:r>
      <w:r w:rsidR="00E92985">
        <w:rPr>
          <w:rFonts w:ascii="Cambria" w:eastAsia="Calibri" w:hAnsi="Cambria"/>
          <w:sz w:val="20"/>
          <w:szCs w:val="20"/>
          <w:bdr w:val="none" w:sz="0" w:space="0" w:color="auto"/>
        </w:rPr>
        <w:t xml:space="preserve"> and</w:t>
      </w:r>
      <w:r w:rsidR="00D70A85">
        <w:rPr>
          <w:rFonts w:ascii="Cambria" w:eastAsia="Calibri" w:hAnsi="Cambria"/>
          <w:sz w:val="20"/>
          <w:szCs w:val="20"/>
          <w:bdr w:val="none" w:sz="0" w:space="0" w:color="auto"/>
        </w:rPr>
        <w:t xml:space="preserve"> i</w:t>
      </w:r>
      <w:r>
        <w:rPr>
          <w:rFonts w:ascii="Cambria" w:eastAsia="Calibri" w:hAnsi="Cambria"/>
          <w:sz w:val="20"/>
          <w:szCs w:val="20"/>
          <w:bdr w:val="none" w:sz="0" w:space="0" w:color="auto"/>
        </w:rPr>
        <w:t>t i</w:t>
      </w:r>
      <w:r w:rsidR="00D70A85">
        <w:rPr>
          <w:rFonts w:ascii="Cambria" w:eastAsia="Calibri" w:hAnsi="Cambria"/>
          <w:sz w:val="20"/>
          <w:szCs w:val="20"/>
          <w:bdr w:val="none" w:sz="0" w:space="0" w:color="auto"/>
        </w:rPr>
        <w:t xml:space="preserve">s </w:t>
      </w:r>
      <w:r w:rsidR="00773B3C" w:rsidRPr="00A51861">
        <w:rPr>
          <w:rFonts w:ascii="Cambria" w:eastAsia="Calibri" w:hAnsi="Cambria"/>
          <w:sz w:val="20"/>
          <w:szCs w:val="20"/>
          <w:bdr w:val="none" w:sz="0" w:space="0" w:color="auto"/>
        </w:rPr>
        <w:t>inseparable</w:t>
      </w:r>
      <w:r w:rsidR="00E92985">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from</w:t>
      </w:r>
      <w:r w:rsidR="00E92985">
        <w:rPr>
          <w:rFonts w:ascii="Cambria" w:eastAsia="Calibri" w:hAnsi="Cambria"/>
          <w:sz w:val="20"/>
          <w:szCs w:val="20"/>
          <w:bdr w:val="none" w:sz="0" w:space="0" w:color="auto"/>
        </w:rPr>
        <w:t xml:space="preserve"> the </w:t>
      </w:r>
      <w:r w:rsidR="004366F2">
        <w:rPr>
          <w:rFonts w:ascii="Cambria" w:eastAsia="Calibri" w:hAnsi="Cambria"/>
          <w:sz w:val="20"/>
          <w:szCs w:val="20"/>
          <w:bdr w:val="none" w:sz="0" w:space="0" w:color="auto"/>
        </w:rPr>
        <w:t>essential</w:t>
      </w:r>
      <w:r w:rsidR="00E92985">
        <w:rPr>
          <w:rFonts w:ascii="Cambria" w:eastAsia="Calibri" w:hAnsi="Cambria"/>
          <w:sz w:val="20"/>
          <w:szCs w:val="20"/>
          <w:bdr w:val="none" w:sz="0" w:space="0" w:color="auto"/>
        </w:rPr>
        <w:t xml:space="preserve"> </w:t>
      </w:r>
      <w:r w:rsidRPr="00A51861">
        <w:rPr>
          <w:rFonts w:ascii="Cambria" w:eastAsia="Calibri" w:hAnsi="Cambria"/>
          <w:sz w:val="20"/>
          <w:szCs w:val="20"/>
          <w:bdr w:val="none" w:sz="0" w:space="0" w:color="auto"/>
        </w:rPr>
        <w:t>digni</w:t>
      </w:r>
      <w:r>
        <w:rPr>
          <w:rFonts w:ascii="Cambria" w:eastAsia="Calibri" w:hAnsi="Cambria"/>
          <w:sz w:val="20"/>
          <w:szCs w:val="20"/>
          <w:bdr w:val="none" w:sz="0" w:space="0" w:color="auto"/>
        </w:rPr>
        <w:t xml:space="preserve">ty </w:t>
      </w:r>
      <w:r w:rsidR="00E92985">
        <w:rPr>
          <w:rFonts w:ascii="Cambria" w:eastAsia="Calibri" w:hAnsi="Cambria"/>
          <w:sz w:val="20"/>
          <w:szCs w:val="20"/>
          <w:bdr w:val="none" w:sz="0" w:space="0" w:color="auto"/>
        </w:rPr>
        <w:t xml:space="preserve">of the </w:t>
      </w:r>
      <w:r w:rsidR="00773B3C" w:rsidRPr="00A51861">
        <w:rPr>
          <w:rFonts w:ascii="Cambria" w:eastAsia="Calibri" w:hAnsi="Cambria"/>
          <w:sz w:val="20"/>
          <w:szCs w:val="20"/>
          <w:bdr w:val="none" w:sz="0" w:space="0" w:color="auto"/>
        </w:rPr>
        <w:t xml:space="preserve">person, </w:t>
      </w:r>
      <w:r>
        <w:rPr>
          <w:rFonts w:ascii="Cambria" w:eastAsia="Calibri" w:hAnsi="Cambria"/>
          <w:sz w:val="20"/>
          <w:szCs w:val="20"/>
          <w:bdr w:val="none" w:sz="0" w:space="0" w:color="auto"/>
        </w:rPr>
        <w:t>upon which it</w:t>
      </w:r>
      <w:r w:rsidR="00D70A85">
        <w:rPr>
          <w:rFonts w:ascii="Cambria" w:eastAsia="Calibri" w:hAnsi="Cambria"/>
          <w:sz w:val="20"/>
          <w:szCs w:val="20"/>
          <w:bdr w:val="none" w:sz="0" w:space="0" w:color="auto"/>
        </w:rPr>
        <w:t xml:space="preserve"> is </w:t>
      </w:r>
      <w:r w:rsidR="00773B3C" w:rsidRPr="00A51861">
        <w:rPr>
          <w:rFonts w:ascii="Cambria" w:eastAsia="Calibri" w:hAnsi="Cambria"/>
          <w:sz w:val="20"/>
          <w:szCs w:val="20"/>
          <w:bdr w:val="none" w:sz="0" w:space="0" w:color="auto"/>
        </w:rPr>
        <w:t xml:space="preserve">incompatible </w:t>
      </w:r>
      <w:r>
        <w:rPr>
          <w:rFonts w:ascii="Cambria" w:eastAsia="Calibri" w:hAnsi="Cambria"/>
          <w:sz w:val="20"/>
          <w:szCs w:val="20"/>
          <w:bdr w:val="none" w:sz="0" w:space="0" w:color="auto"/>
        </w:rPr>
        <w:t xml:space="preserve">every </w:t>
      </w:r>
      <w:r w:rsidR="00773B3C" w:rsidRPr="00A51861">
        <w:rPr>
          <w:rFonts w:ascii="Cambria" w:eastAsia="Calibri" w:hAnsi="Cambria"/>
          <w:sz w:val="20"/>
          <w:szCs w:val="20"/>
          <w:bdr w:val="none" w:sz="0" w:space="0" w:color="auto"/>
        </w:rPr>
        <w:t xml:space="preserve"> </w:t>
      </w:r>
      <w:r w:rsidR="00E92985">
        <w:rPr>
          <w:rFonts w:ascii="Cambria" w:eastAsia="Calibri" w:hAnsi="Cambria"/>
          <w:sz w:val="20"/>
          <w:szCs w:val="20"/>
          <w:bdr w:val="none" w:sz="0" w:space="0" w:color="auto"/>
        </w:rPr>
        <w:t>situation</w:t>
      </w:r>
      <w:r w:rsidR="00775F21">
        <w:rPr>
          <w:rFonts w:ascii="Cambria" w:eastAsia="Calibri" w:hAnsi="Cambria"/>
          <w:sz w:val="20"/>
          <w:szCs w:val="20"/>
          <w:bdr w:val="none" w:sz="0" w:space="0" w:color="auto"/>
        </w:rPr>
        <w:t xml:space="preserve"> that, </w:t>
      </w:r>
      <w:r>
        <w:rPr>
          <w:rFonts w:ascii="Cambria" w:eastAsia="Calibri" w:hAnsi="Cambria"/>
          <w:sz w:val="20"/>
          <w:szCs w:val="20"/>
          <w:bdr w:val="none" w:sz="0" w:space="0" w:color="auto"/>
        </w:rPr>
        <w:t>fo</w:t>
      </w:r>
      <w:r w:rsidR="00773B3C" w:rsidRPr="00A51861">
        <w:rPr>
          <w:rFonts w:ascii="Cambria" w:eastAsia="Calibri" w:hAnsi="Cambria"/>
          <w:sz w:val="20"/>
          <w:szCs w:val="20"/>
          <w:bdr w:val="none" w:sz="0" w:space="0" w:color="auto"/>
        </w:rPr>
        <w:t xml:space="preserve">r a </w:t>
      </w:r>
      <w:r w:rsidRPr="00A51861">
        <w:rPr>
          <w:rFonts w:ascii="Cambria" w:eastAsia="Calibri" w:hAnsi="Cambria"/>
          <w:sz w:val="20"/>
          <w:szCs w:val="20"/>
          <w:bdr w:val="none" w:sz="0" w:space="0" w:color="auto"/>
        </w:rPr>
        <w:t>determined</w:t>
      </w:r>
      <w:r w:rsidR="00773B3C" w:rsidRPr="00A51861">
        <w:rPr>
          <w:rFonts w:ascii="Cambria" w:eastAsia="Calibri" w:hAnsi="Cambria"/>
          <w:sz w:val="20"/>
          <w:szCs w:val="20"/>
          <w:bdr w:val="none" w:sz="0" w:space="0" w:color="auto"/>
        </w:rPr>
        <w:t xml:space="preserve"> gr</w:t>
      </w:r>
      <w:r w:rsidRPr="00A51861">
        <w:rPr>
          <w:rFonts w:ascii="Cambria" w:eastAsia="Calibri" w:hAnsi="Cambria"/>
          <w:sz w:val="20"/>
          <w:szCs w:val="20"/>
          <w:bdr w:val="none" w:sz="0" w:space="0" w:color="auto"/>
        </w:rPr>
        <w:t>o</w:t>
      </w:r>
      <w:r w:rsidR="00773B3C" w:rsidRPr="00A51861">
        <w:rPr>
          <w:rFonts w:ascii="Cambria" w:eastAsia="Calibri" w:hAnsi="Cambria"/>
          <w:sz w:val="20"/>
          <w:szCs w:val="20"/>
          <w:bdr w:val="none" w:sz="0" w:space="0" w:color="auto"/>
        </w:rPr>
        <w:t>up</w:t>
      </w:r>
      <w:r w:rsidRPr="00061033">
        <w:rPr>
          <w:rFonts w:ascii="Cambria" w:eastAsia="Calibri" w:hAnsi="Cambria"/>
          <w:sz w:val="20"/>
          <w:szCs w:val="20"/>
          <w:bdr w:val="none" w:sz="0" w:space="0" w:color="auto"/>
        </w:rPr>
        <w:t xml:space="preserve"> </w:t>
      </w:r>
      <w:r w:rsidRPr="00A51861">
        <w:rPr>
          <w:rFonts w:ascii="Cambria" w:eastAsia="Calibri" w:hAnsi="Cambria"/>
          <w:sz w:val="20"/>
          <w:szCs w:val="20"/>
          <w:bdr w:val="none" w:sz="0" w:space="0" w:color="auto"/>
        </w:rPr>
        <w:t>consider</w:t>
      </w:r>
      <w:r>
        <w:rPr>
          <w:rFonts w:ascii="Cambria" w:eastAsia="Calibri" w:hAnsi="Cambria"/>
          <w:sz w:val="20"/>
          <w:szCs w:val="20"/>
          <w:bdr w:val="none" w:sz="0" w:space="0" w:color="auto"/>
        </w:rPr>
        <w:t>ing itself</w:t>
      </w:r>
      <w:r w:rsidRPr="00A51861">
        <w:rPr>
          <w:rFonts w:ascii="Cambria" w:eastAsia="Calibri" w:hAnsi="Cambria"/>
          <w:sz w:val="20"/>
          <w:szCs w:val="20"/>
          <w:bdr w:val="none" w:sz="0" w:space="0" w:color="auto"/>
        </w:rPr>
        <w:t xml:space="preserve"> superior</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leads to treating it</w:t>
      </w:r>
      <w:r w:rsidR="002B762A">
        <w:rPr>
          <w:rFonts w:ascii="Cambria" w:eastAsia="Calibri" w:hAnsi="Cambria"/>
          <w:sz w:val="20"/>
          <w:szCs w:val="20"/>
          <w:bdr w:val="none" w:sz="0" w:space="0" w:color="auto"/>
        </w:rPr>
        <w:t xml:space="preserve"> with </w:t>
      </w:r>
      <w:r w:rsidR="00773B3C" w:rsidRPr="00A51861">
        <w:rPr>
          <w:rFonts w:ascii="Cambria" w:eastAsia="Calibri" w:hAnsi="Cambria"/>
          <w:sz w:val="20"/>
          <w:szCs w:val="20"/>
          <w:bdr w:val="none" w:sz="0" w:space="0" w:color="auto"/>
        </w:rPr>
        <w:t>privileg</w:t>
      </w:r>
      <w:r>
        <w:rPr>
          <w:rFonts w:ascii="Cambria" w:eastAsia="Calibri" w:hAnsi="Cambria"/>
          <w:sz w:val="20"/>
          <w:szCs w:val="20"/>
          <w:bdr w:val="none" w:sz="0" w:space="0" w:color="auto"/>
        </w:rPr>
        <w:t>e</w:t>
      </w:r>
      <w:r w:rsidR="00773B3C" w:rsidRPr="00A51861">
        <w:rPr>
          <w:rFonts w:ascii="Cambria" w:eastAsia="Calibri" w:hAnsi="Cambria"/>
          <w:sz w:val="20"/>
          <w:szCs w:val="20"/>
          <w:bdr w:val="none" w:sz="0" w:space="0" w:color="auto"/>
        </w:rPr>
        <w:t>;</w:t>
      </w:r>
      <w:r w:rsidR="00E92985">
        <w:rPr>
          <w:rFonts w:ascii="Cambria" w:eastAsia="Calibri" w:hAnsi="Cambria"/>
          <w:sz w:val="20"/>
          <w:szCs w:val="20"/>
          <w:bdr w:val="none" w:sz="0" w:space="0" w:color="auto"/>
        </w:rPr>
        <w:t xml:space="preserve"> or</w:t>
      </w:r>
      <w:r w:rsidR="00775F21">
        <w:rPr>
          <w:rFonts w:ascii="Cambria" w:eastAsia="Calibri" w:hAnsi="Cambria"/>
          <w:sz w:val="20"/>
          <w:szCs w:val="20"/>
          <w:bdr w:val="none" w:sz="0" w:space="0" w:color="auto"/>
        </w:rPr>
        <w:t xml:space="preserve"> that, </w:t>
      </w:r>
      <w:r w:rsidR="004B185F">
        <w:rPr>
          <w:rFonts w:ascii="Cambria" w:eastAsia="Calibri" w:hAnsi="Cambria"/>
          <w:sz w:val="20"/>
          <w:szCs w:val="20"/>
          <w:bdr w:val="none" w:sz="0" w:space="0" w:color="auto"/>
        </w:rPr>
        <w:t>on the contrary</w:t>
      </w:r>
      <w:r w:rsidR="00773B3C" w:rsidRPr="00A51861">
        <w:rPr>
          <w:rFonts w:ascii="Cambria" w:eastAsia="Calibri" w:hAnsi="Cambria"/>
          <w:sz w:val="20"/>
          <w:szCs w:val="20"/>
          <w:bdr w:val="none" w:sz="0" w:space="0" w:color="auto"/>
        </w:rPr>
        <w:t xml:space="preserve">, </w:t>
      </w:r>
      <w:r w:rsidR="00C91385">
        <w:rPr>
          <w:rFonts w:ascii="Cambria" w:eastAsia="Calibri" w:hAnsi="Cambria"/>
          <w:sz w:val="20"/>
          <w:szCs w:val="20"/>
          <w:bdr w:val="none" w:sz="0" w:space="0" w:color="auto"/>
        </w:rPr>
        <w:t>in</w:t>
      </w:r>
      <w:r w:rsidR="00773B3C" w:rsidRPr="00A51861">
        <w:rPr>
          <w:rFonts w:ascii="Cambria" w:eastAsia="Calibri" w:hAnsi="Cambria"/>
          <w:sz w:val="20"/>
          <w:szCs w:val="20"/>
          <w:bdr w:val="none" w:sz="0" w:space="0" w:color="auto"/>
        </w:rPr>
        <w:t xml:space="preserve"> consider</w:t>
      </w:r>
      <w:r w:rsidR="004B185F">
        <w:rPr>
          <w:rFonts w:ascii="Cambria" w:eastAsia="Calibri" w:hAnsi="Cambria"/>
          <w:sz w:val="20"/>
          <w:szCs w:val="20"/>
          <w:bdr w:val="none" w:sz="0" w:space="0" w:color="auto"/>
        </w:rPr>
        <w:t>ing it</w:t>
      </w:r>
      <w:r w:rsidR="00773B3C" w:rsidRPr="00A51861">
        <w:rPr>
          <w:rFonts w:ascii="Cambria" w:eastAsia="Calibri" w:hAnsi="Cambria"/>
          <w:sz w:val="20"/>
          <w:szCs w:val="20"/>
          <w:bdr w:val="none" w:sz="0" w:space="0" w:color="auto"/>
        </w:rPr>
        <w:t xml:space="preserve"> inferior, </w:t>
      </w:r>
      <w:r w:rsidR="004B185F">
        <w:rPr>
          <w:rFonts w:ascii="Cambria" w:eastAsia="Calibri" w:hAnsi="Cambria"/>
          <w:sz w:val="20"/>
          <w:szCs w:val="20"/>
          <w:bdr w:val="none" w:sz="0" w:space="0" w:color="auto"/>
        </w:rPr>
        <w:t>treats it</w:t>
      </w:r>
      <w:r w:rsidR="002B762A">
        <w:rPr>
          <w:rFonts w:ascii="Cambria" w:eastAsia="Calibri" w:hAnsi="Cambria"/>
          <w:sz w:val="20"/>
          <w:szCs w:val="20"/>
          <w:bdr w:val="none" w:sz="0" w:space="0" w:color="auto"/>
        </w:rPr>
        <w:t xml:space="preserve"> with </w:t>
      </w:r>
      <w:r w:rsidR="00773B3C" w:rsidRPr="00A51861">
        <w:rPr>
          <w:rFonts w:ascii="Cambria" w:eastAsia="Calibri" w:hAnsi="Cambria"/>
          <w:sz w:val="20"/>
          <w:szCs w:val="20"/>
          <w:bdr w:val="none" w:sz="0" w:space="0" w:color="auto"/>
        </w:rPr>
        <w:t>hostili</w:t>
      </w:r>
      <w:r w:rsidR="00FA2E7B">
        <w:rPr>
          <w:rFonts w:ascii="Cambria" w:eastAsia="Calibri" w:hAnsi="Cambria"/>
          <w:sz w:val="20"/>
          <w:szCs w:val="20"/>
          <w:bdr w:val="none" w:sz="0" w:space="0" w:color="auto"/>
        </w:rPr>
        <w:t xml:space="preserve">ty </w:t>
      </w:r>
      <w:r w:rsidR="00E92985">
        <w:rPr>
          <w:rFonts w:ascii="Cambria" w:eastAsia="Calibri" w:hAnsi="Cambria"/>
          <w:sz w:val="20"/>
          <w:szCs w:val="20"/>
          <w:bdr w:val="none" w:sz="0" w:space="0" w:color="auto"/>
        </w:rPr>
        <w:t xml:space="preserve">or of </w:t>
      </w:r>
      <w:r w:rsidR="005617BA">
        <w:rPr>
          <w:rFonts w:ascii="Cambria" w:eastAsia="Calibri" w:hAnsi="Cambria"/>
          <w:sz w:val="20"/>
          <w:szCs w:val="20"/>
          <w:bdr w:val="none" w:sz="0" w:space="0" w:color="auto"/>
        </w:rPr>
        <w:t xml:space="preserve">any </w:t>
      </w:r>
      <w:r w:rsidR="00773B3C" w:rsidRPr="00A51861">
        <w:rPr>
          <w:rFonts w:ascii="Cambria" w:eastAsia="Calibri" w:hAnsi="Cambria"/>
          <w:sz w:val="20"/>
          <w:szCs w:val="20"/>
          <w:bdr w:val="none" w:sz="0" w:space="0" w:color="auto"/>
        </w:rPr>
        <w:t xml:space="preserve">form </w:t>
      </w:r>
      <w:r w:rsidR="004B185F">
        <w:rPr>
          <w:rFonts w:ascii="Cambria" w:eastAsia="Calibri" w:hAnsi="Cambria"/>
          <w:sz w:val="20"/>
          <w:szCs w:val="20"/>
          <w:bdr w:val="none" w:sz="0" w:space="0" w:color="auto"/>
        </w:rPr>
        <w:t>which</w:t>
      </w:r>
      <w:r w:rsidR="00773B3C" w:rsidRPr="00A51861">
        <w:rPr>
          <w:rFonts w:ascii="Cambria" w:eastAsia="Calibri" w:hAnsi="Cambria"/>
          <w:sz w:val="20"/>
          <w:szCs w:val="20"/>
          <w:bdr w:val="none" w:sz="0" w:space="0" w:color="auto"/>
        </w:rPr>
        <w:t xml:space="preserve"> discrimin</w:t>
      </w:r>
      <w:r w:rsidR="004B185F">
        <w:rPr>
          <w:rFonts w:ascii="Cambria" w:eastAsia="Calibri" w:hAnsi="Cambria"/>
          <w:sz w:val="20"/>
          <w:szCs w:val="20"/>
          <w:bdr w:val="none" w:sz="0" w:space="0" w:color="auto"/>
        </w:rPr>
        <w:t>at</w:t>
      </w:r>
      <w:r w:rsidR="00773B3C" w:rsidRPr="00A51861">
        <w:rPr>
          <w:rFonts w:ascii="Cambria" w:eastAsia="Calibri" w:hAnsi="Cambria"/>
          <w:sz w:val="20"/>
          <w:szCs w:val="20"/>
          <w:bdr w:val="none" w:sz="0" w:space="0" w:color="auto"/>
        </w:rPr>
        <w:t>e</w:t>
      </w:r>
      <w:r w:rsidR="004B185F">
        <w:rPr>
          <w:rFonts w:ascii="Cambria" w:eastAsia="Calibri" w:hAnsi="Cambria"/>
          <w:sz w:val="20"/>
          <w:szCs w:val="20"/>
          <w:bdr w:val="none" w:sz="0" w:space="0" w:color="auto"/>
        </w:rPr>
        <w:t>s</w:t>
      </w:r>
      <w:r w:rsidR="004969F4">
        <w:rPr>
          <w:rFonts w:ascii="Cambria" w:eastAsia="Calibri" w:hAnsi="Cambria"/>
          <w:sz w:val="20"/>
          <w:szCs w:val="20"/>
          <w:bdr w:val="none" w:sz="0" w:space="0" w:color="auto"/>
        </w:rPr>
        <w:t xml:space="preserve"> </w:t>
      </w:r>
      <w:r w:rsidR="004B185F">
        <w:rPr>
          <w:rFonts w:ascii="Cambria" w:eastAsia="Calibri" w:hAnsi="Cambria"/>
          <w:sz w:val="20"/>
          <w:szCs w:val="20"/>
          <w:bdr w:val="none" w:sz="0" w:space="0" w:color="auto"/>
        </w:rPr>
        <w:t>from</w:t>
      </w:r>
      <w:r w:rsidR="004969F4">
        <w:rPr>
          <w:rFonts w:ascii="Cambria" w:eastAsia="Calibri" w:hAnsi="Cambria"/>
          <w:sz w:val="20"/>
          <w:szCs w:val="20"/>
          <w:bdr w:val="none" w:sz="0" w:space="0" w:color="auto"/>
        </w:rPr>
        <w:t xml:space="preserve"> </w:t>
      </w:r>
      <w:r w:rsidR="004B185F">
        <w:rPr>
          <w:rFonts w:ascii="Cambria" w:eastAsia="Calibri" w:hAnsi="Cambria"/>
          <w:sz w:val="20"/>
          <w:szCs w:val="20"/>
          <w:bdr w:val="none" w:sz="0" w:space="0" w:color="auto"/>
        </w:rPr>
        <w:t>the enjoyment of rights</w:t>
      </w:r>
      <w:r w:rsidR="00773B3C" w:rsidRPr="00A51861">
        <w:rPr>
          <w:rFonts w:ascii="Cambria" w:eastAsia="Calibri" w:hAnsi="Cambria"/>
          <w:sz w:val="20"/>
          <w:szCs w:val="20"/>
          <w:bdr w:val="none" w:sz="0" w:space="0" w:color="auto"/>
        </w:rPr>
        <w:t xml:space="preserve"> </w:t>
      </w:r>
      <w:r w:rsidR="004B185F">
        <w:rPr>
          <w:rFonts w:ascii="Cambria" w:eastAsia="Calibri" w:hAnsi="Cambria"/>
          <w:sz w:val="20"/>
          <w:szCs w:val="20"/>
          <w:bdr w:val="none" w:sz="0" w:space="0" w:color="auto"/>
        </w:rPr>
        <w:t>which are recognized for those who</w:t>
      </w:r>
      <w:r w:rsidR="00773B3C" w:rsidRPr="00A51861">
        <w:rPr>
          <w:rFonts w:ascii="Cambria" w:eastAsia="Calibri" w:hAnsi="Cambria"/>
          <w:sz w:val="20"/>
          <w:szCs w:val="20"/>
          <w:bdr w:val="none" w:sz="0" w:space="0" w:color="auto"/>
        </w:rPr>
        <w:t xml:space="preserve"> </w:t>
      </w:r>
      <w:r w:rsidR="004B185F">
        <w:rPr>
          <w:rFonts w:ascii="Cambria" w:eastAsia="Calibri" w:hAnsi="Cambria"/>
          <w:sz w:val="20"/>
          <w:szCs w:val="20"/>
          <w:bdr w:val="none" w:sz="0" w:space="0" w:color="auto"/>
        </w:rPr>
        <w:t>are not considered incurred in said situation</w:t>
      </w:r>
      <w:r w:rsidR="001D1D61">
        <w:rPr>
          <w:rFonts w:ascii="Cambria" w:eastAsia="Calibri" w:hAnsi="Cambria"/>
          <w:sz w:val="20"/>
          <w:szCs w:val="20"/>
          <w:bdr w:val="none" w:sz="0" w:space="0" w:color="auto"/>
        </w:rPr>
        <w:t>. Th</w:t>
      </w:r>
      <w:r w:rsidR="009A4F91">
        <w:rPr>
          <w:rFonts w:ascii="Cambria" w:eastAsia="Calibri" w:hAnsi="Cambria"/>
          <w:sz w:val="20"/>
          <w:szCs w:val="20"/>
          <w:bdr w:val="none" w:sz="0" w:space="0" w:color="auto"/>
        </w:rPr>
        <w:t xml:space="preserve">e </w:t>
      </w:r>
      <w:r w:rsidR="00DD4DB2">
        <w:rPr>
          <w:rFonts w:ascii="Cambria" w:eastAsia="Calibri" w:hAnsi="Cambria"/>
          <w:sz w:val="20"/>
          <w:szCs w:val="20"/>
          <w:bdr w:val="none" w:sz="0" w:space="0" w:color="auto"/>
        </w:rPr>
        <w:t>jurisprudence</w:t>
      </w:r>
      <w:r w:rsidR="00E92985">
        <w:rPr>
          <w:rFonts w:ascii="Cambria" w:eastAsia="Calibri" w:hAnsi="Cambria"/>
          <w:sz w:val="20"/>
          <w:szCs w:val="20"/>
          <w:bdr w:val="none" w:sz="0" w:space="0" w:color="auto"/>
        </w:rPr>
        <w:t xml:space="preserve"> of </w:t>
      </w:r>
      <w:r w:rsidR="00806D1B">
        <w:rPr>
          <w:rFonts w:ascii="Cambria" w:eastAsia="Calibri" w:hAnsi="Cambria"/>
          <w:sz w:val="20"/>
          <w:szCs w:val="20"/>
          <w:bdr w:val="none" w:sz="0" w:space="0" w:color="auto"/>
        </w:rPr>
        <w:t xml:space="preserve">the Court </w:t>
      </w:r>
      <w:r w:rsidR="00773B3C" w:rsidRPr="00A51861">
        <w:rPr>
          <w:rFonts w:ascii="Cambria" w:eastAsia="Calibri" w:hAnsi="Cambria"/>
          <w:sz w:val="20"/>
          <w:szCs w:val="20"/>
          <w:bdr w:val="none" w:sz="0" w:space="0" w:color="auto"/>
        </w:rPr>
        <w:t>ha</w:t>
      </w:r>
      <w:r w:rsidR="004B185F">
        <w:rPr>
          <w:rFonts w:ascii="Cambria" w:eastAsia="Calibri" w:hAnsi="Cambria"/>
          <w:sz w:val="20"/>
          <w:szCs w:val="20"/>
          <w:bdr w:val="none" w:sz="0" w:space="0" w:color="auto"/>
        </w:rPr>
        <w:t>s</w:t>
      </w:r>
      <w:r w:rsidR="00773B3C" w:rsidRPr="00A51861">
        <w:rPr>
          <w:rFonts w:ascii="Cambria" w:eastAsia="Calibri" w:hAnsi="Cambria"/>
          <w:sz w:val="20"/>
          <w:szCs w:val="20"/>
          <w:bdr w:val="none" w:sz="0" w:space="0" w:color="auto"/>
        </w:rPr>
        <w:t xml:space="preserve"> indica</w:t>
      </w:r>
      <w:r w:rsidR="004B185F">
        <w:rPr>
          <w:rFonts w:ascii="Cambria" w:eastAsia="Calibri" w:hAnsi="Cambria"/>
          <w:sz w:val="20"/>
          <w:szCs w:val="20"/>
          <w:bdr w:val="none" w:sz="0" w:space="0" w:color="auto"/>
        </w:rPr>
        <w:t>te</w:t>
      </w:r>
      <w:r w:rsidR="00773B3C" w:rsidRPr="00A51861">
        <w:rPr>
          <w:rFonts w:ascii="Cambria" w:eastAsia="Calibri" w:hAnsi="Cambria"/>
          <w:sz w:val="20"/>
          <w:szCs w:val="20"/>
          <w:bdr w:val="none" w:sz="0" w:space="0" w:color="auto"/>
        </w:rPr>
        <w:t xml:space="preserve">d </w:t>
      </w:r>
      <w:r w:rsidR="004B185F">
        <w:rPr>
          <w:rFonts w:ascii="Cambria" w:eastAsia="Calibri" w:hAnsi="Cambria"/>
          <w:sz w:val="20"/>
          <w:szCs w:val="20"/>
          <w:bdr w:val="none" w:sz="0" w:space="0" w:color="auto"/>
        </w:rPr>
        <w:t>that i</w:t>
      </w:r>
      <w:r w:rsidR="00773B3C" w:rsidRPr="00A51861">
        <w:rPr>
          <w:rFonts w:ascii="Cambria" w:eastAsia="Calibri" w:hAnsi="Cambria"/>
          <w:sz w:val="20"/>
          <w:szCs w:val="20"/>
          <w:bdr w:val="none" w:sz="0" w:space="0" w:color="auto"/>
        </w:rPr>
        <w:t>n</w:t>
      </w:r>
      <w:r w:rsidR="009A4F91">
        <w:rPr>
          <w:rFonts w:ascii="Cambria" w:eastAsia="Calibri" w:hAnsi="Cambria"/>
          <w:sz w:val="20"/>
          <w:szCs w:val="20"/>
          <w:bdr w:val="none" w:sz="0" w:space="0" w:color="auto"/>
        </w:rPr>
        <w:t xml:space="preserve"> the </w:t>
      </w:r>
      <w:r w:rsidR="004B185F">
        <w:rPr>
          <w:rFonts w:ascii="Cambria" w:eastAsia="Calibri" w:hAnsi="Cambria"/>
          <w:sz w:val="20"/>
          <w:szCs w:val="20"/>
          <w:bdr w:val="none" w:sz="0" w:space="0" w:color="auto"/>
        </w:rPr>
        <w:t>current</w:t>
      </w:r>
      <w:r w:rsidR="00773B3C" w:rsidRPr="00A51861">
        <w:rPr>
          <w:rFonts w:ascii="Cambria" w:eastAsia="Calibri" w:hAnsi="Cambria"/>
          <w:sz w:val="20"/>
          <w:szCs w:val="20"/>
          <w:bdr w:val="none" w:sz="0" w:space="0" w:color="auto"/>
        </w:rPr>
        <w:t xml:space="preserve"> </w:t>
      </w:r>
      <w:r w:rsidR="004B185F">
        <w:rPr>
          <w:rFonts w:ascii="Cambria" w:eastAsia="Calibri" w:hAnsi="Cambria"/>
          <w:sz w:val="20"/>
          <w:szCs w:val="20"/>
          <w:bdr w:val="none" w:sz="0" w:space="0" w:color="auto"/>
        </w:rPr>
        <w:t>stage of</w:t>
      </w:r>
      <w:r w:rsidR="00E92985">
        <w:rPr>
          <w:rFonts w:ascii="Cambria" w:eastAsia="Calibri" w:hAnsi="Cambria"/>
          <w:sz w:val="20"/>
          <w:szCs w:val="20"/>
          <w:bdr w:val="none" w:sz="0" w:space="0" w:color="auto"/>
        </w:rPr>
        <w:t xml:space="preserve"> </w:t>
      </w:r>
      <w:r w:rsidR="00516FEE" w:rsidRPr="00A51861">
        <w:rPr>
          <w:rFonts w:ascii="Cambria" w:eastAsia="Calibri" w:hAnsi="Cambria"/>
          <w:sz w:val="20"/>
          <w:szCs w:val="20"/>
          <w:bdr w:val="none" w:sz="0" w:space="0" w:color="auto"/>
        </w:rPr>
        <w:t>evolution</w:t>
      </w:r>
      <w:r w:rsidR="004969F4">
        <w:rPr>
          <w:rFonts w:ascii="Cambria" w:eastAsia="Calibri" w:hAnsi="Cambria"/>
          <w:sz w:val="20"/>
          <w:szCs w:val="20"/>
          <w:bdr w:val="none" w:sz="0" w:space="0" w:color="auto"/>
        </w:rPr>
        <w:t xml:space="preserve"> of </w:t>
      </w:r>
      <w:r w:rsidR="00F406E1">
        <w:rPr>
          <w:rFonts w:ascii="Cambria" w:eastAsia="Calibri" w:hAnsi="Cambria"/>
          <w:sz w:val="20"/>
          <w:szCs w:val="20"/>
          <w:bdr w:val="none" w:sz="0" w:space="0" w:color="auto"/>
        </w:rPr>
        <w:t>international law</w:t>
      </w:r>
      <w:r w:rsidR="00773B3C" w:rsidRPr="00A51861">
        <w:rPr>
          <w:rFonts w:ascii="Cambria" w:eastAsia="Calibri" w:hAnsi="Cambria"/>
          <w:sz w:val="20"/>
          <w:szCs w:val="20"/>
          <w:bdr w:val="none" w:sz="0" w:space="0" w:color="auto"/>
        </w:rPr>
        <w:t>,</w:t>
      </w:r>
      <w:r w:rsidR="00516FEE">
        <w:rPr>
          <w:rFonts w:ascii="Cambria" w:eastAsia="Calibri" w:hAnsi="Cambria"/>
          <w:sz w:val="20"/>
          <w:szCs w:val="20"/>
          <w:bdr w:val="none" w:sz="0" w:space="0" w:color="auto"/>
        </w:rPr>
        <w:t xml:space="preserve"> </w:t>
      </w:r>
      <w:r w:rsidR="0045141A">
        <w:rPr>
          <w:rFonts w:ascii="Cambria" w:eastAsia="Calibri" w:hAnsi="Cambria"/>
          <w:sz w:val="20"/>
          <w:szCs w:val="20"/>
          <w:bdr w:val="none" w:sz="0" w:space="0" w:color="auto"/>
        </w:rPr>
        <w:t xml:space="preserve">the </w:t>
      </w:r>
      <w:r w:rsidR="00516FEE" w:rsidRPr="00A51861">
        <w:rPr>
          <w:rFonts w:ascii="Cambria" w:eastAsia="Calibri" w:hAnsi="Cambria"/>
          <w:sz w:val="20"/>
          <w:szCs w:val="20"/>
          <w:bdr w:val="none" w:sz="0" w:space="0" w:color="auto"/>
        </w:rPr>
        <w:t>fundamental</w:t>
      </w:r>
      <w:r w:rsidR="00516FEE">
        <w:rPr>
          <w:rFonts w:ascii="Cambria" w:eastAsia="Calibri" w:hAnsi="Cambria"/>
          <w:sz w:val="20"/>
          <w:szCs w:val="20"/>
          <w:bdr w:val="none" w:sz="0" w:space="0" w:color="auto"/>
        </w:rPr>
        <w:t xml:space="preserve"> </w:t>
      </w:r>
      <w:r w:rsidR="0045141A">
        <w:rPr>
          <w:rFonts w:ascii="Cambria" w:eastAsia="Calibri" w:hAnsi="Cambria"/>
          <w:sz w:val="20"/>
          <w:szCs w:val="20"/>
          <w:bdr w:val="none" w:sz="0" w:space="0" w:color="auto"/>
        </w:rPr>
        <w:t xml:space="preserve">principle </w:t>
      </w:r>
      <w:r w:rsidR="00E92985">
        <w:rPr>
          <w:rFonts w:ascii="Cambria" w:eastAsia="Calibri" w:hAnsi="Cambria"/>
          <w:sz w:val="20"/>
          <w:szCs w:val="20"/>
          <w:bdr w:val="none" w:sz="0" w:space="0" w:color="auto"/>
        </w:rPr>
        <w:t xml:space="preserve">of </w:t>
      </w:r>
      <w:r w:rsidR="00775F21">
        <w:rPr>
          <w:rFonts w:ascii="Cambria" w:eastAsia="Calibri" w:hAnsi="Cambria"/>
          <w:sz w:val="20"/>
          <w:szCs w:val="20"/>
          <w:bdr w:val="none" w:sz="0" w:space="0" w:color="auto"/>
        </w:rPr>
        <w:t>equality</w:t>
      </w:r>
      <w:r w:rsidR="00FA2E7B">
        <w:rPr>
          <w:rFonts w:ascii="Cambria" w:eastAsia="Calibri" w:hAnsi="Cambria"/>
          <w:sz w:val="20"/>
          <w:szCs w:val="20"/>
          <w:bdr w:val="none" w:sz="0" w:space="0" w:color="auto"/>
        </w:rPr>
        <w:t xml:space="preserve"> </w:t>
      </w:r>
      <w:r w:rsidR="00E92985">
        <w:rPr>
          <w:rFonts w:ascii="Cambria" w:eastAsia="Calibri" w:hAnsi="Cambria"/>
          <w:sz w:val="20"/>
          <w:szCs w:val="20"/>
          <w:bdr w:val="none" w:sz="0" w:space="0" w:color="auto"/>
        </w:rPr>
        <w:t xml:space="preserve">and </w:t>
      </w:r>
      <w:r w:rsidR="00775F21">
        <w:rPr>
          <w:rFonts w:ascii="Cambria" w:eastAsia="Calibri" w:hAnsi="Cambria"/>
          <w:sz w:val="20"/>
          <w:szCs w:val="20"/>
          <w:bdr w:val="none" w:sz="0" w:space="0" w:color="auto"/>
        </w:rPr>
        <w:t xml:space="preserve">non-discrimination </w:t>
      </w:r>
      <w:r w:rsidR="00773B3C" w:rsidRPr="00A51861">
        <w:rPr>
          <w:rFonts w:ascii="Cambria" w:eastAsia="Calibri" w:hAnsi="Cambria"/>
          <w:sz w:val="20"/>
          <w:szCs w:val="20"/>
          <w:bdr w:val="none" w:sz="0" w:space="0" w:color="auto"/>
        </w:rPr>
        <w:t>ha</w:t>
      </w:r>
      <w:r w:rsidR="00516FEE">
        <w:rPr>
          <w:rFonts w:ascii="Cambria" w:eastAsia="Calibri" w:hAnsi="Cambria"/>
          <w:sz w:val="20"/>
          <w:szCs w:val="20"/>
          <w:bdr w:val="none" w:sz="0" w:space="0" w:color="auto"/>
        </w:rPr>
        <w:t>s</w:t>
      </w:r>
      <w:r w:rsidR="00773B3C" w:rsidRPr="00A51861">
        <w:rPr>
          <w:rFonts w:ascii="Cambria" w:eastAsia="Calibri" w:hAnsi="Cambria"/>
          <w:sz w:val="20"/>
          <w:szCs w:val="20"/>
          <w:bdr w:val="none" w:sz="0" w:space="0" w:color="auto"/>
        </w:rPr>
        <w:t xml:space="preserve"> </w:t>
      </w:r>
      <w:r w:rsidR="00516FEE">
        <w:rPr>
          <w:rFonts w:ascii="Cambria" w:eastAsia="Calibri" w:hAnsi="Cambria"/>
          <w:sz w:val="20"/>
          <w:szCs w:val="20"/>
          <w:bdr w:val="none" w:sz="0" w:space="0" w:color="auto"/>
        </w:rPr>
        <w:t>entered the domain of t</w:t>
      </w:r>
      <w:r w:rsidR="004969F4">
        <w:rPr>
          <w:rFonts w:ascii="Cambria" w:eastAsia="Calibri" w:hAnsi="Cambria"/>
          <w:sz w:val="20"/>
          <w:szCs w:val="20"/>
          <w:bdr w:val="none" w:sz="0" w:space="0" w:color="auto"/>
        </w:rPr>
        <w:t xml:space="preserve">he </w:t>
      </w:r>
      <w:r w:rsidR="00773B3C" w:rsidRPr="00516FEE">
        <w:rPr>
          <w:rFonts w:ascii="Cambria" w:eastAsia="Calibri" w:hAnsi="Cambria"/>
          <w:i/>
          <w:iCs/>
          <w:sz w:val="20"/>
          <w:szCs w:val="20"/>
          <w:bdr w:val="none" w:sz="0" w:space="0" w:color="auto"/>
        </w:rPr>
        <w:t>ius cogens</w:t>
      </w:r>
      <w:r w:rsidR="00773B3C" w:rsidRPr="00A51861">
        <w:rPr>
          <w:rFonts w:ascii="Cambria" w:eastAsia="Calibri" w:hAnsi="Cambria"/>
          <w:sz w:val="20"/>
          <w:szCs w:val="20"/>
          <w:bdr w:val="none" w:sz="0" w:space="0" w:color="auto"/>
        </w:rPr>
        <w:t xml:space="preserve">. </w:t>
      </w:r>
      <w:r w:rsidR="00516FEE">
        <w:rPr>
          <w:rFonts w:ascii="Cambria" w:eastAsia="Calibri" w:hAnsi="Cambria"/>
          <w:sz w:val="20"/>
          <w:szCs w:val="20"/>
          <w:bdr w:val="none" w:sz="0" w:space="0" w:color="auto"/>
        </w:rPr>
        <w:t>Upon it lie the</w:t>
      </w:r>
      <w:r w:rsidR="00773B3C" w:rsidRPr="00A51861">
        <w:rPr>
          <w:rFonts w:ascii="Cambria" w:eastAsia="Calibri" w:hAnsi="Cambria"/>
          <w:sz w:val="20"/>
          <w:szCs w:val="20"/>
          <w:bdr w:val="none" w:sz="0" w:space="0" w:color="auto"/>
        </w:rPr>
        <w:t xml:space="preserve"> </w:t>
      </w:r>
      <w:r w:rsidR="00516FEE" w:rsidRPr="00A51861">
        <w:rPr>
          <w:rFonts w:ascii="Cambria" w:eastAsia="Calibri" w:hAnsi="Cambria"/>
          <w:sz w:val="20"/>
          <w:szCs w:val="20"/>
          <w:bdr w:val="none" w:sz="0" w:space="0" w:color="auto"/>
        </w:rPr>
        <w:t>juridical</w:t>
      </w:r>
      <w:r w:rsidR="00516FEE">
        <w:rPr>
          <w:rFonts w:ascii="Cambria" w:eastAsia="Calibri" w:hAnsi="Cambria"/>
          <w:sz w:val="20"/>
          <w:szCs w:val="20"/>
          <w:bdr w:val="none" w:sz="0" w:space="0" w:color="auto"/>
        </w:rPr>
        <w:t xml:space="preserve"> framework</w:t>
      </w:r>
      <w:r w:rsidR="004969F4">
        <w:rPr>
          <w:rFonts w:ascii="Cambria" w:eastAsia="Calibri" w:hAnsi="Cambria"/>
          <w:sz w:val="20"/>
          <w:szCs w:val="20"/>
          <w:bdr w:val="none" w:sz="0" w:space="0" w:color="auto"/>
        </w:rPr>
        <w:t xml:space="preserve"> of </w:t>
      </w:r>
      <w:r w:rsidR="00516FEE" w:rsidRPr="00A51861">
        <w:rPr>
          <w:rFonts w:ascii="Cambria" w:eastAsia="Calibri" w:hAnsi="Cambria"/>
          <w:sz w:val="20"/>
          <w:szCs w:val="20"/>
          <w:bdr w:val="none" w:sz="0" w:space="0" w:color="auto"/>
        </w:rPr>
        <w:t>national</w:t>
      </w:r>
      <w:r w:rsidR="00E92985">
        <w:rPr>
          <w:rFonts w:ascii="Cambria" w:eastAsia="Calibri" w:hAnsi="Cambria"/>
          <w:sz w:val="20"/>
          <w:szCs w:val="20"/>
          <w:bdr w:val="none" w:sz="0" w:space="0" w:color="auto"/>
        </w:rPr>
        <w:t xml:space="preserve"> and </w:t>
      </w:r>
      <w:r w:rsidR="00EF4ED2">
        <w:rPr>
          <w:rFonts w:ascii="Cambria" w:eastAsia="Calibri" w:hAnsi="Cambria"/>
          <w:sz w:val="20"/>
          <w:szCs w:val="20"/>
          <w:bdr w:val="none" w:sz="0" w:space="0" w:color="auto"/>
        </w:rPr>
        <w:t>international</w:t>
      </w:r>
      <w:r w:rsidR="00E92985">
        <w:rPr>
          <w:rFonts w:ascii="Cambria" w:eastAsia="Calibri" w:hAnsi="Cambria"/>
          <w:sz w:val="20"/>
          <w:szCs w:val="20"/>
          <w:bdr w:val="none" w:sz="0" w:space="0" w:color="auto"/>
        </w:rPr>
        <w:t xml:space="preserve"> </w:t>
      </w:r>
      <w:r w:rsidR="00516FEE">
        <w:rPr>
          <w:rFonts w:ascii="Cambria" w:eastAsia="Calibri" w:hAnsi="Cambria"/>
          <w:sz w:val="20"/>
          <w:szCs w:val="20"/>
          <w:bdr w:val="none" w:sz="0" w:space="0" w:color="auto"/>
        </w:rPr>
        <w:t>public order</w:t>
      </w:r>
      <w:r w:rsidR="00516FEE" w:rsidRPr="00A51861">
        <w:rPr>
          <w:rFonts w:ascii="Cambria" w:eastAsia="Calibri" w:hAnsi="Cambria"/>
          <w:sz w:val="20"/>
          <w:szCs w:val="20"/>
          <w:bdr w:val="none" w:sz="0" w:space="0" w:color="auto"/>
        </w:rPr>
        <w:t xml:space="preserve"> </w:t>
      </w:r>
      <w:r w:rsidR="00E92985">
        <w:rPr>
          <w:rFonts w:ascii="Cambria" w:eastAsia="Calibri" w:hAnsi="Cambria"/>
          <w:sz w:val="20"/>
          <w:szCs w:val="20"/>
          <w:bdr w:val="none" w:sz="0" w:space="0" w:color="auto"/>
        </w:rPr>
        <w:t xml:space="preserve">and </w:t>
      </w:r>
      <w:r w:rsidR="00773B3C" w:rsidRPr="00A51861">
        <w:rPr>
          <w:rFonts w:ascii="Cambria" w:eastAsia="Calibri" w:hAnsi="Cambria"/>
          <w:sz w:val="20"/>
          <w:szCs w:val="20"/>
          <w:bdr w:val="none" w:sz="0" w:space="0" w:color="auto"/>
        </w:rPr>
        <w:t>permea</w:t>
      </w:r>
      <w:r w:rsidR="00516FEE">
        <w:rPr>
          <w:rFonts w:ascii="Cambria" w:eastAsia="Calibri" w:hAnsi="Cambria"/>
          <w:sz w:val="20"/>
          <w:szCs w:val="20"/>
          <w:bdr w:val="none" w:sz="0" w:space="0" w:color="auto"/>
        </w:rPr>
        <w:t>tes</w:t>
      </w:r>
      <w:r w:rsidR="00773B3C" w:rsidRPr="00A51861">
        <w:rPr>
          <w:rFonts w:ascii="Cambria" w:eastAsia="Calibri" w:hAnsi="Cambria"/>
          <w:sz w:val="20"/>
          <w:szCs w:val="20"/>
          <w:bdr w:val="none" w:sz="0" w:space="0" w:color="auto"/>
        </w:rPr>
        <w:t xml:space="preserve"> </w:t>
      </w:r>
      <w:r w:rsidR="00516FEE">
        <w:rPr>
          <w:rFonts w:ascii="Cambria" w:eastAsia="Calibri" w:hAnsi="Cambria"/>
          <w:sz w:val="20"/>
          <w:szCs w:val="20"/>
          <w:bdr w:val="none" w:sz="0" w:space="0" w:color="auto"/>
        </w:rPr>
        <w:t>every legal system</w:t>
      </w:r>
      <w:r w:rsidR="00773B3C" w:rsidRPr="00A51861">
        <w:rPr>
          <w:rFonts w:ascii="Cambria" w:eastAsia="Calibri" w:hAnsi="Cambria"/>
          <w:sz w:val="20"/>
          <w:szCs w:val="20"/>
          <w:bdr w:val="none" w:sz="0" w:space="0" w:color="auto"/>
          <w:vertAlign w:val="superscript"/>
        </w:rPr>
        <w:footnoteReference w:id="230"/>
      </w:r>
      <w:r w:rsidR="00773B3C" w:rsidRPr="00A51861">
        <w:rPr>
          <w:rFonts w:ascii="Cambria" w:eastAsia="Calibri" w:hAnsi="Cambria"/>
          <w:sz w:val="20"/>
          <w:szCs w:val="20"/>
          <w:bdr w:val="none" w:sz="0" w:space="0" w:color="auto"/>
        </w:rPr>
        <w:t>.</w:t>
      </w:r>
    </w:p>
    <w:p w14:paraId="48B0A4A0" w14:textId="77777777" w:rsidR="00773B3C" w:rsidRPr="00A51861" w:rsidRDefault="00773B3C" w:rsidP="008E4D36">
      <w:pPr>
        <w:ind w:left="720"/>
        <w:rPr>
          <w:rFonts w:ascii="Cambria" w:eastAsia="Cambria" w:hAnsi="Cambria" w:cs="Cambria"/>
          <w:color w:val="000000"/>
          <w:sz w:val="20"/>
          <w:szCs w:val="20"/>
          <w:u w:color="000000"/>
          <w:lang w:eastAsia="es-ES"/>
        </w:rPr>
      </w:pPr>
    </w:p>
    <w:p w14:paraId="3BA874DA" w14:textId="02A2165E" w:rsidR="00773B3C" w:rsidRPr="00A51861" w:rsidRDefault="0045141A"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rPr>
      </w:pPr>
      <w:r>
        <w:rPr>
          <w:rFonts w:ascii="Cambria" w:eastAsia="Calibri" w:hAnsi="Cambria"/>
          <w:sz w:val="20"/>
          <w:szCs w:val="20"/>
          <w:bdr w:val="none" w:sz="0" w:space="0" w:color="auto"/>
        </w:rPr>
        <w:t xml:space="preserve">The principle </w:t>
      </w:r>
      <w:r w:rsidR="00E92985">
        <w:rPr>
          <w:rFonts w:ascii="Cambria" w:eastAsia="Calibri" w:hAnsi="Cambria"/>
          <w:sz w:val="20"/>
          <w:szCs w:val="20"/>
          <w:bdr w:val="none" w:sz="0" w:space="0" w:color="auto"/>
        </w:rPr>
        <w:t xml:space="preserve">of </w:t>
      </w:r>
      <w:r w:rsidR="00775F21">
        <w:rPr>
          <w:rFonts w:ascii="Cambria" w:eastAsia="Calibri" w:hAnsi="Cambria"/>
          <w:sz w:val="20"/>
          <w:szCs w:val="20"/>
          <w:bdr w:val="none" w:sz="0" w:space="0" w:color="auto"/>
        </w:rPr>
        <w:t>equality</w:t>
      </w:r>
      <w:r w:rsidR="00FA2E7B">
        <w:rPr>
          <w:rFonts w:ascii="Cambria" w:eastAsia="Calibri" w:hAnsi="Cambria"/>
          <w:sz w:val="20"/>
          <w:szCs w:val="20"/>
          <w:bdr w:val="none" w:sz="0" w:space="0" w:color="auto"/>
        </w:rPr>
        <w:t xml:space="preserve"> </w:t>
      </w:r>
      <w:r w:rsidR="00E92985">
        <w:rPr>
          <w:rFonts w:ascii="Cambria" w:eastAsia="Calibri" w:hAnsi="Cambria"/>
          <w:sz w:val="20"/>
          <w:szCs w:val="20"/>
          <w:bdr w:val="none" w:sz="0" w:space="0" w:color="auto"/>
        </w:rPr>
        <w:t xml:space="preserve">and </w:t>
      </w:r>
      <w:r w:rsidR="00775F21">
        <w:rPr>
          <w:rFonts w:ascii="Cambria" w:eastAsia="Calibri" w:hAnsi="Cambria"/>
          <w:sz w:val="20"/>
          <w:szCs w:val="20"/>
          <w:bdr w:val="none" w:sz="0" w:space="0" w:color="auto"/>
        </w:rPr>
        <w:t xml:space="preserve">non-discrimination </w:t>
      </w:r>
      <w:r w:rsidR="00516FEE">
        <w:rPr>
          <w:rFonts w:ascii="Cambria" w:eastAsia="Calibri" w:hAnsi="Cambria"/>
          <w:sz w:val="20"/>
          <w:szCs w:val="20"/>
          <w:bdr w:val="none" w:sz="0" w:space="0" w:color="auto"/>
        </w:rPr>
        <w:t>must be understood in the sense o</w:t>
      </w:r>
      <w:r w:rsidR="00E92985">
        <w:rPr>
          <w:rFonts w:ascii="Cambria" w:eastAsia="Calibri" w:hAnsi="Cambria"/>
          <w:sz w:val="20"/>
          <w:szCs w:val="20"/>
          <w:bdr w:val="none" w:sz="0" w:space="0" w:color="auto"/>
        </w:rPr>
        <w:t xml:space="preserve">f </w:t>
      </w:r>
      <w:r w:rsidR="00773B3C" w:rsidRPr="00A51861">
        <w:rPr>
          <w:rFonts w:ascii="Cambria" w:eastAsia="Calibri" w:hAnsi="Cambria"/>
          <w:sz w:val="20"/>
          <w:szCs w:val="20"/>
          <w:bdr w:val="none" w:sz="0" w:space="0" w:color="auto"/>
        </w:rPr>
        <w:t>incorpora</w:t>
      </w:r>
      <w:r w:rsidR="00516FEE">
        <w:rPr>
          <w:rFonts w:ascii="Cambria" w:eastAsia="Calibri" w:hAnsi="Cambria"/>
          <w:sz w:val="20"/>
          <w:szCs w:val="20"/>
          <w:bdr w:val="none" w:sz="0" w:space="0" w:color="auto"/>
        </w:rPr>
        <w:t>ting</w:t>
      </w:r>
      <w:r w:rsidR="00773B3C" w:rsidRPr="00A51861">
        <w:rPr>
          <w:rFonts w:ascii="Cambria" w:eastAsia="Calibri" w:hAnsi="Cambria"/>
          <w:sz w:val="20"/>
          <w:szCs w:val="20"/>
          <w:bdr w:val="none" w:sz="0" w:space="0" w:color="auto"/>
        </w:rPr>
        <w:t xml:space="preserve"> </w:t>
      </w:r>
      <w:r w:rsidR="00516FEE">
        <w:rPr>
          <w:rFonts w:ascii="Cambria" w:eastAsia="Calibri" w:hAnsi="Cambria"/>
          <w:sz w:val="20"/>
          <w:szCs w:val="20"/>
          <w:bdr w:val="none" w:sz="0" w:space="0" w:color="auto"/>
        </w:rPr>
        <w:t>two</w:t>
      </w:r>
      <w:r w:rsidR="00773B3C" w:rsidRPr="00A51861">
        <w:rPr>
          <w:rFonts w:ascii="Cambria" w:eastAsia="Calibri" w:hAnsi="Cambria"/>
          <w:sz w:val="20"/>
          <w:szCs w:val="20"/>
          <w:bdr w:val="none" w:sz="0" w:space="0" w:color="auto"/>
        </w:rPr>
        <w:t xml:space="preserve"> </w:t>
      </w:r>
      <w:r w:rsidR="00516FEE" w:rsidRPr="00A51861">
        <w:rPr>
          <w:rFonts w:ascii="Cambria" w:eastAsia="Calibri" w:hAnsi="Cambria"/>
          <w:sz w:val="20"/>
          <w:szCs w:val="20"/>
          <w:bdr w:val="none" w:sz="0" w:space="0" w:color="auto"/>
        </w:rPr>
        <w:t>conceptions</w:t>
      </w:r>
      <w:r w:rsidR="00773B3C" w:rsidRPr="00A51861">
        <w:rPr>
          <w:rFonts w:ascii="Cambria" w:eastAsia="Calibri" w:hAnsi="Cambria"/>
          <w:sz w:val="20"/>
          <w:szCs w:val="20"/>
          <w:bdr w:val="none" w:sz="0" w:space="0" w:color="auto"/>
        </w:rPr>
        <w:t xml:space="preserve">: “(…) </w:t>
      </w:r>
      <w:r w:rsidR="00516FEE">
        <w:rPr>
          <w:rFonts w:ascii="Cambria" w:eastAsia="Calibri" w:hAnsi="Cambria"/>
          <w:sz w:val="20"/>
          <w:szCs w:val="20"/>
          <w:bdr w:val="none" w:sz="0" w:space="0" w:color="auto"/>
        </w:rPr>
        <w:t>one negative conception related to the prohibition</w:t>
      </w:r>
      <w:r w:rsidR="002B762A">
        <w:rPr>
          <w:rFonts w:ascii="Cambria" w:eastAsia="Calibri" w:hAnsi="Cambria"/>
          <w:sz w:val="20"/>
          <w:szCs w:val="20"/>
          <w:bdr w:val="none" w:sz="0" w:space="0" w:color="auto"/>
        </w:rPr>
        <w:t xml:space="preserve"> </w:t>
      </w:r>
      <w:r w:rsidR="009A4F91">
        <w:rPr>
          <w:rFonts w:ascii="Cambria" w:eastAsia="Calibri" w:hAnsi="Cambria"/>
          <w:sz w:val="20"/>
          <w:szCs w:val="20"/>
          <w:bdr w:val="none" w:sz="0" w:space="0" w:color="auto"/>
        </w:rPr>
        <w:t xml:space="preserve">the </w:t>
      </w:r>
      <w:r w:rsidR="00E92985">
        <w:rPr>
          <w:rFonts w:ascii="Cambria" w:eastAsia="Calibri" w:hAnsi="Cambria"/>
          <w:sz w:val="20"/>
          <w:szCs w:val="20"/>
          <w:bdr w:val="none" w:sz="0" w:space="0" w:color="auto"/>
        </w:rPr>
        <w:t xml:space="preserve">of </w:t>
      </w:r>
      <w:r w:rsidR="00516FEE">
        <w:rPr>
          <w:rFonts w:ascii="Cambria" w:eastAsia="Calibri" w:hAnsi="Cambria"/>
          <w:sz w:val="20"/>
          <w:szCs w:val="20"/>
          <w:bdr w:val="none" w:sz="0" w:space="0" w:color="auto"/>
        </w:rPr>
        <w:t xml:space="preserve">arbitrary </w:t>
      </w:r>
      <w:r w:rsidR="00E64C43">
        <w:rPr>
          <w:rFonts w:ascii="Cambria" w:eastAsia="Calibri" w:hAnsi="Cambria"/>
          <w:sz w:val="20"/>
          <w:szCs w:val="20"/>
          <w:bdr w:val="none" w:sz="0" w:space="0" w:color="auto"/>
        </w:rPr>
        <w:t>difference</w:t>
      </w:r>
      <w:r w:rsidR="00773B3C" w:rsidRPr="00A51861">
        <w:rPr>
          <w:rFonts w:ascii="Cambria" w:eastAsia="Calibri" w:hAnsi="Cambria"/>
          <w:sz w:val="20"/>
          <w:szCs w:val="20"/>
          <w:bdr w:val="none" w:sz="0" w:space="0" w:color="auto"/>
        </w:rPr>
        <w:t>s</w:t>
      </w:r>
      <w:r w:rsidR="00775F21">
        <w:rPr>
          <w:rFonts w:ascii="Cambria" w:eastAsia="Calibri" w:hAnsi="Cambria"/>
          <w:sz w:val="20"/>
          <w:szCs w:val="20"/>
          <w:bdr w:val="none" w:sz="0" w:space="0" w:color="auto"/>
        </w:rPr>
        <w:t xml:space="preserve"> of treatment</w:t>
      </w:r>
      <w:r w:rsidR="00773B3C" w:rsidRPr="00A51861">
        <w:rPr>
          <w:rFonts w:ascii="Cambria" w:eastAsia="Calibri" w:hAnsi="Cambria"/>
          <w:sz w:val="20"/>
          <w:szCs w:val="20"/>
          <w:bdr w:val="none" w:sz="0" w:space="0" w:color="auto"/>
        </w:rPr>
        <w:t>,</w:t>
      </w:r>
      <w:r w:rsidR="00E92985">
        <w:rPr>
          <w:rFonts w:ascii="Cambria" w:eastAsia="Calibri" w:hAnsi="Cambria"/>
          <w:sz w:val="20"/>
          <w:szCs w:val="20"/>
          <w:bdr w:val="none" w:sz="0" w:space="0" w:color="auto"/>
        </w:rPr>
        <w:t xml:space="preserve"> and </w:t>
      </w:r>
      <w:r w:rsidR="00516FEE">
        <w:rPr>
          <w:rFonts w:ascii="Cambria" w:eastAsia="Calibri" w:hAnsi="Cambria"/>
          <w:sz w:val="20"/>
          <w:szCs w:val="20"/>
          <w:bdr w:val="none" w:sz="0" w:space="0" w:color="auto"/>
        </w:rPr>
        <w:t>one positive conception related to the obligation</w:t>
      </w:r>
      <w:r w:rsidR="00E92985">
        <w:rPr>
          <w:rFonts w:ascii="Cambria" w:eastAsia="Calibri" w:hAnsi="Cambria"/>
          <w:sz w:val="20"/>
          <w:szCs w:val="20"/>
          <w:bdr w:val="none" w:sz="0" w:space="0" w:color="auto"/>
        </w:rPr>
        <w:t xml:space="preserve"> of </w:t>
      </w:r>
      <w:r w:rsidR="002D6E83">
        <w:rPr>
          <w:rFonts w:ascii="Cambria" w:eastAsia="Calibri" w:hAnsi="Cambria"/>
          <w:sz w:val="20"/>
          <w:szCs w:val="20"/>
          <w:bdr w:val="none" w:sz="0" w:space="0" w:color="auto"/>
        </w:rPr>
        <w:t>the States</w:t>
      </w:r>
      <w:r w:rsidR="00E92985">
        <w:rPr>
          <w:rFonts w:ascii="Cambria" w:eastAsia="Calibri" w:hAnsi="Cambria"/>
          <w:sz w:val="20"/>
          <w:szCs w:val="20"/>
          <w:bdr w:val="none" w:sz="0" w:space="0" w:color="auto"/>
        </w:rPr>
        <w:t xml:space="preserve"> </w:t>
      </w:r>
      <w:r w:rsidR="00516FEE">
        <w:rPr>
          <w:rFonts w:ascii="Cambria" w:eastAsia="Calibri" w:hAnsi="Cambria"/>
          <w:sz w:val="20"/>
          <w:szCs w:val="20"/>
          <w:bdr w:val="none" w:sz="0" w:space="0" w:color="auto"/>
        </w:rPr>
        <w:t>to create conditions</w:t>
      </w:r>
      <w:r w:rsidR="00E92985">
        <w:rPr>
          <w:rFonts w:ascii="Cambria" w:eastAsia="Calibri" w:hAnsi="Cambria"/>
          <w:sz w:val="20"/>
          <w:szCs w:val="20"/>
          <w:bdr w:val="none" w:sz="0" w:space="0" w:color="auto"/>
        </w:rPr>
        <w:t xml:space="preserve"> of </w:t>
      </w:r>
      <w:r w:rsidR="00516FEE">
        <w:rPr>
          <w:rFonts w:ascii="Cambria" w:eastAsia="Calibri" w:hAnsi="Cambria"/>
          <w:sz w:val="20"/>
          <w:szCs w:val="20"/>
          <w:bdr w:val="none" w:sz="0" w:space="0" w:color="auto"/>
        </w:rPr>
        <w:t>true</w:t>
      </w:r>
      <w:r w:rsidR="00773B3C" w:rsidRPr="00A51861">
        <w:rPr>
          <w:rFonts w:ascii="Cambria" w:eastAsia="Calibri" w:hAnsi="Cambria"/>
          <w:sz w:val="20"/>
          <w:szCs w:val="20"/>
          <w:bdr w:val="none" w:sz="0" w:space="0" w:color="auto"/>
        </w:rPr>
        <w:t xml:space="preserve"> </w:t>
      </w:r>
      <w:r w:rsidR="00516FEE">
        <w:rPr>
          <w:rFonts w:ascii="Cambria" w:eastAsia="Calibri" w:hAnsi="Cambria"/>
          <w:sz w:val="20"/>
          <w:szCs w:val="20"/>
          <w:bdr w:val="none" w:sz="0" w:space="0" w:color="auto"/>
        </w:rPr>
        <w:t>equality before groups who have been historically excluded</w:t>
      </w:r>
      <w:r w:rsidR="00E92985">
        <w:rPr>
          <w:rFonts w:ascii="Cambria" w:eastAsia="Calibri" w:hAnsi="Cambria"/>
          <w:sz w:val="20"/>
          <w:szCs w:val="20"/>
          <w:bdr w:val="none" w:sz="0" w:space="0" w:color="auto"/>
        </w:rPr>
        <w:t xml:space="preserve"> or </w:t>
      </w:r>
      <w:r w:rsidR="00516FEE">
        <w:rPr>
          <w:rFonts w:ascii="Cambria" w:eastAsia="Calibri" w:hAnsi="Cambria"/>
          <w:sz w:val="20"/>
          <w:szCs w:val="20"/>
          <w:bdr w:val="none" w:sz="0" w:space="0" w:color="auto"/>
        </w:rPr>
        <w:t>who are at a greater risk of being</w:t>
      </w:r>
      <w:r w:rsidR="00773B3C" w:rsidRPr="00A51861">
        <w:rPr>
          <w:rFonts w:ascii="Cambria" w:eastAsia="Calibri" w:hAnsi="Cambria"/>
          <w:sz w:val="20"/>
          <w:szCs w:val="20"/>
          <w:bdr w:val="none" w:sz="0" w:space="0" w:color="auto"/>
        </w:rPr>
        <w:t xml:space="preserve"> discrimina</w:t>
      </w:r>
      <w:r w:rsidR="00516FEE">
        <w:rPr>
          <w:rFonts w:ascii="Cambria" w:eastAsia="Calibri" w:hAnsi="Cambria"/>
          <w:sz w:val="20"/>
          <w:szCs w:val="20"/>
          <w:bdr w:val="none" w:sz="0" w:space="0" w:color="auto"/>
        </w:rPr>
        <w:t>te</w:t>
      </w:r>
      <w:r w:rsidR="00773B3C" w:rsidRPr="00A51861">
        <w:rPr>
          <w:rFonts w:ascii="Cambria" w:eastAsia="Calibri" w:hAnsi="Cambria"/>
          <w:sz w:val="20"/>
          <w:szCs w:val="20"/>
          <w:bdr w:val="none" w:sz="0" w:space="0" w:color="auto"/>
        </w:rPr>
        <w:t>d”</w:t>
      </w:r>
      <w:r w:rsidR="00773B3C" w:rsidRPr="00A51861">
        <w:rPr>
          <w:rFonts w:ascii="Cambria" w:eastAsia="Calibri" w:hAnsi="Cambria"/>
          <w:sz w:val="20"/>
          <w:szCs w:val="20"/>
          <w:bdr w:val="none" w:sz="0" w:space="0" w:color="auto"/>
          <w:vertAlign w:val="superscript"/>
        </w:rPr>
        <w:footnoteReference w:id="231"/>
      </w:r>
      <w:r w:rsidR="00773B3C" w:rsidRPr="00A51861">
        <w:rPr>
          <w:rFonts w:ascii="Cambria" w:eastAsia="Calibri" w:hAnsi="Cambria"/>
          <w:sz w:val="20"/>
          <w:szCs w:val="20"/>
          <w:bdr w:val="none" w:sz="0" w:space="0" w:color="auto"/>
        </w:rPr>
        <w:t xml:space="preserve">. </w:t>
      </w:r>
      <w:r w:rsidR="00516FEE">
        <w:rPr>
          <w:rFonts w:ascii="Cambria" w:eastAsia="Calibri" w:hAnsi="Cambria"/>
          <w:sz w:val="20"/>
          <w:szCs w:val="20"/>
          <w:bdr w:val="none" w:sz="0" w:space="0" w:color="auto"/>
        </w:rPr>
        <w:t>The</w:t>
      </w:r>
      <w:r w:rsidR="00773B3C" w:rsidRPr="00A51861">
        <w:rPr>
          <w:rFonts w:ascii="Cambria" w:eastAsia="Calibri" w:hAnsi="Cambria"/>
          <w:sz w:val="20"/>
          <w:szCs w:val="20"/>
          <w:bdr w:val="none" w:sz="0" w:space="0" w:color="auto"/>
        </w:rPr>
        <w:t xml:space="preserve"> present cas</w:t>
      </w:r>
      <w:r w:rsidR="00516FEE">
        <w:rPr>
          <w:rFonts w:ascii="Cambria" w:eastAsia="Calibri" w:hAnsi="Cambria"/>
          <w:sz w:val="20"/>
          <w:szCs w:val="20"/>
          <w:bdr w:val="none" w:sz="0" w:space="0" w:color="auto"/>
        </w:rPr>
        <w:t>e</w:t>
      </w:r>
      <w:r w:rsidR="00773B3C" w:rsidRPr="00A51861">
        <w:rPr>
          <w:rFonts w:ascii="Cambria" w:eastAsia="Calibri" w:hAnsi="Cambria"/>
          <w:sz w:val="20"/>
          <w:szCs w:val="20"/>
          <w:bdr w:val="none" w:sz="0" w:space="0" w:color="auto"/>
        </w:rPr>
        <w:t xml:space="preserve">, </w:t>
      </w:r>
      <w:r w:rsidR="00516FEE">
        <w:rPr>
          <w:rFonts w:ascii="Cambria" w:eastAsia="Calibri" w:hAnsi="Cambria"/>
          <w:sz w:val="20"/>
          <w:szCs w:val="20"/>
          <w:bdr w:val="none" w:sz="0" w:space="0" w:color="auto"/>
        </w:rPr>
        <w:t>falls within the first conception</w:t>
      </w:r>
      <w:r w:rsidR="00773B3C" w:rsidRPr="00A51861">
        <w:rPr>
          <w:rFonts w:ascii="Cambria" w:eastAsia="Calibri" w:hAnsi="Cambria"/>
          <w:sz w:val="20"/>
          <w:szCs w:val="20"/>
          <w:bdr w:val="none" w:sz="0" w:space="0" w:color="auto"/>
        </w:rPr>
        <w:t xml:space="preserve">, </w:t>
      </w:r>
      <w:r w:rsidR="00516FEE">
        <w:rPr>
          <w:rFonts w:ascii="Cambria" w:eastAsia="Calibri" w:hAnsi="Cambria"/>
          <w:sz w:val="20"/>
          <w:szCs w:val="20"/>
          <w:bdr w:val="none" w:sz="0" w:space="0" w:color="auto"/>
        </w:rPr>
        <w:t>pursuant to which not all</w:t>
      </w:r>
      <w:r w:rsidR="00773B3C" w:rsidRPr="00A51861">
        <w:rPr>
          <w:rFonts w:ascii="Cambria" w:eastAsia="Calibri" w:hAnsi="Cambria"/>
          <w:sz w:val="20"/>
          <w:szCs w:val="20"/>
          <w:bdr w:val="none" w:sz="0" w:space="0" w:color="auto"/>
        </w:rPr>
        <w:t xml:space="preserve"> </w:t>
      </w:r>
      <w:r w:rsidR="00310943" w:rsidRPr="00A51861">
        <w:rPr>
          <w:rFonts w:ascii="Cambria" w:eastAsia="Calibri" w:hAnsi="Cambria"/>
          <w:sz w:val="20"/>
          <w:szCs w:val="20"/>
          <w:bdr w:val="none" w:sz="0" w:space="0" w:color="auto"/>
        </w:rPr>
        <w:t>dif</w:t>
      </w:r>
      <w:r w:rsidR="00310943">
        <w:rPr>
          <w:rFonts w:ascii="Cambria" w:eastAsia="Calibri" w:hAnsi="Cambria"/>
          <w:sz w:val="20"/>
          <w:szCs w:val="20"/>
          <w:bdr w:val="none" w:sz="0" w:space="0" w:color="auto"/>
        </w:rPr>
        <w:t>f</w:t>
      </w:r>
      <w:r w:rsidR="00310943" w:rsidRPr="00A51861">
        <w:rPr>
          <w:rFonts w:ascii="Cambria" w:eastAsia="Calibri" w:hAnsi="Cambria"/>
          <w:sz w:val="20"/>
          <w:szCs w:val="20"/>
          <w:bdr w:val="none" w:sz="0" w:space="0" w:color="auto"/>
        </w:rPr>
        <w:t>erent</w:t>
      </w:r>
      <w:r w:rsidR="00310943">
        <w:rPr>
          <w:rFonts w:ascii="Cambria" w:eastAsia="Calibri" w:hAnsi="Cambria"/>
          <w:sz w:val="20"/>
          <w:szCs w:val="20"/>
          <w:bdr w:val="none" w:sz="0" w:space="0" w:color="auto"/>
        </w:rPr>
        <w:t xml:space="preserve"> </w:t>
      </w:r>
      <w:r w:rsidR="00310943" w:rsidRPr="00A51861">
        <w:rPr>
          <w:rFonts w:ascii="Cambria" w:eastAsia="Calibri" w:hAnsi="Cambria"/>
          <w:sz w:val="20"/>
          <w:szCs w:val="20"/>
          <w:bdr w:val="none" w:sz="0" w:space="0" w:color="auto"/>
        </w:rPr>
        <w:t xml:space="preserve">juridical </w:t>
      </w:r>
      <w:r w:rsidR="008A5EBA">
        <w:rPr>
          <w:rFonts w:ascii="Cambria" w:eastAsia="Calibri" w:hAnsi="Cambria"/>
          <w:sz w:val="20"/>
          <w:szCs w:val="20"/>
          <w:bdr w:val="none" w:sz="0" w:space="0" w:color="auto"/>
        </w:rPr>
        <w:t>treatment</w:t>
      </w:r>
      <w:r w:rsidR="00773B3C" w:rsidRPr="00A51861">
        <w:rPr>
          <w:rFonts w:ascii="Cambria" w:eastAsia="Calibri" w:hAnsi="Cambria"/>
          <w:sz w:val="20"/>
          <w:szCs w:val="20"/>
          <w:bdr w:val="none" w:sz="0" w:space="0" w:color="auto"/>
        </w:rPr>
        <w:t xml:space="preserve"> </w:t>
      </w:r>
      <w:r w:rsidR="00D70A85">
        <w:rPr>
          <w:rFonts w:ascii="Cambria" w:eastAsia="Calibri" w:hAnsi="Cambria"/>
          <w:sz w:val="20"/>
          <w:szCs w:val="20"/>
          <w:bdr w:val="none" w:sz="0" w:space="0" w:color="auto"/>
        </w:rPr>
        <w:t xml:space="preserve">is </w:t>
      </w:r>
      <w:r w:rsidR="00310943">
        <w:rPr>
          <w:rFonts w:ascii="Cambria" w:eastAsia="Calibri" w:hAnsi="Cambria"/>
          <w:sz w:val="20"/>
          <w:szCs w:val="20"/>
          <w:bdr w:val="none" w:sz="0" w:space="0" w:color="auto"/>
        </w:rPr>
        <w:t xml:space="preserve">essentially </w:t>
      </w:r>
      <w:r w:rsidR="00775F21">
        <w:rPr>
          <w:rFonts w:ascii="Cambria" w:eastAsia="Calibri" w:hAnsi="Cambria"/>
          <w:sz w:val="20"/>
          <w:szCs w:val="20"/>
          <w:bdr w:val="none" w:sz="0" w:space="0" w:color="auto"/>
        </w:rPr>
        <w:t>discriminatory</w:t>
      </w:r>
      <w:r w:rsidR="00773B3C" w:rsidRPr="00A51861">
        <w:rPr>
          <w:rFonts w:ascii="Cambria" w:eastAsia="Calibri" w:hAnsi="Cambria"/>
          <w:sz w:val="20"/>
          <w:szCs w:val="20"/>
          <w:bdr w:val="none" w:sz="0" w:space="0" w:color="auto"/>
        </w:rPr>
        <w:t xml:space="preserve">, </w:t>
      </w:r>
      <w:r w:rsidR="00310943">
        <w:rPr>
          <w:rFonts w:ascii="Cambria" w:eastAsia="Calibri" w:hAnsi="Cambria"/>
          <w:sz w:val="20"/>
          <w:szCs w:val="20"/>
          <w:bdr w:val="none" w:sz="0" w:space="0" w:color="auto"/>
        </w:rPr>
        <w:t>because not every</w:t>
      </w:r>
      <w:r w:rsidR="00773B3C" w:rsidRPr="00A51861">
        <w:rPr>
          <w:rFonts w:ascii="Cambria" w:eastAsia="Calibri" w:hAnsi="Cambria"/>
          <w:sz w:val="20"/>
          <w:szCs w:val="20"/>
          <w:bdr w:val="none" w:sz="0" w:space="0" w:color="auto"/>
        </w:rPr>
        <w:t xml:space="preserve"> </w:t>
      </w:r>
      <w:r w:rsidR="00775F21">
        <w:rPr>
          <w:rFonts w:ascii="Cambria" w:eastAsia="Calibri" w:hAnsi="Cambria"/>
          <w:sz w:val="20"/>
          <w:szCs w:val="20"/>
          <w:bdr w:val="none" w:sz="0" w:space="0" w:color="auto"/>
        </w:rPr>
        <w:t>distinction of treatment</w:t>
      </w:r>
      <w:r w:rsidR="00773B3C" w:rsidRPr="00A51861">
        <w:rPr>
          <w:rFonts w:ascii="Cambria" w:eastAsia="Calibri" w:hAnsi="Cambria"/>
          <w:sz w:val="20"/>
          <w:szCs w:val="20"/>
          <w:bdr w:val="none" w:sz="0" w:space="0" w:color="auto"/>
        </w:rPr>
        <w:t xml:space="preserve"> </w:t>
      </w:r>
      <w:r w:rsidR="00310943">
        <w:rPr>
          <w:rFonts w:ascii="Cambria" w:eastAsia="Calibri" w:hAnsi="Cambria"/>
          <w:sz w:val="20"/>
          <w:szCs w:val="20"/>
          <w:bdr w:val="none" w:sz="0" w:space="0" w:color="auto"/>
        </w:rPr>
        <w:t>can be considered offensive</w:t>
      </w:r>
      <w:r w:rsidR="00773B3C" w:rsidRPr="00A51861">
        <w:rPr>
          <w:rFonts w:ascii="Cambria" w:eastAsia="Calibri" w:hAnsi="Cambria"/>
          <w:sz w:val="20"/>
          <w:szCs w:val="20"/>
          <w:bdr w:val="none" w:sz="0" w:space="0" w:color="auto"/>
        </w:rPr>
        <w:t xml:space="preserve">, </w:t>
      </w:r>
      <w:r w:rsidR="00310943">
        <w:rPr>
          <w:rFonts w:ascii="Cambria" w:eastAsia="Calibri" w:hAnsi="Cambria"/>
          <w:sz w:val="20"/>
          <w:szCs w:val="20"/>
          <w:bdr w:val="none" w:sz="0" w:space="0" w:color="auto"/>
        </w:rPr>
        <w:t>in itself</w:t>
      </w:r>
      <w:r w:rsidR="00773B3C" w:rsidRPr="00A51861">
        <w:rPr>
          <w:rFonts w:ascii="Cambria" w:eastAsia="Calibri" w:hAnsi="Cambria"/>
          <w:sz w:val="20"/>
          <w:szCs w:val="20"/>
          <w:bdr w:val="none" w:sz="0" w:space="0" w:color="auto"/>
        </w:rPr>
        <w:t>,</w:t>
      </w:r>
      <w:r w:rsidR="00E92985">
        <w:rPr>
          <w:rFonts w:ascii="Cambria" w:eastAsia="Calibri" w:hAnsi="Cambria"/>
          <w:sz w:val="20"/>
          <w:szCs w:val="20"/>
          <w:bdr w:val="none" w:sz="0" w:space="0" w:color="auto"/>
        </w:rPr>
        <w:t xml:space="preserve"> </w:t>
      </w:r>
      <w:r w:rsidR="00310943">
        <w:rPr>
          <w:rFonts w:ascii="Cambria" w:eastAsia="Calibri" w:hAnsi="Cambria"/>
          <w:sz w:val="20"/>
          <w:szCs w:val="20"/>
          <w:bdr w:val="none" w:sz="0" w:space="0" w:color="auto"/>
        </w:rPr>
        <w:t>toward</w:t>
      </w:r>
      <w:r w:rsidR="00E92985">
        <w:rPr>
          <w:rFonts w:ascii="Cambria" w:eastAsia="Calibri" w:hAnsi="Cambria"/>
          <w:sz w:val="20"/>
          <w:szCs w:val="20"/>
          <w:bdr w:val="none" w:sz="0" w:space="0" w:color="auto"/>
        </w:rPr>
        <w:t xml:space="preserve"> </w:t>
      </w:r>
      <w:r w:rsidR="00310943" w:rsidRPr="00A51861">
        <w:rPr>
          <w:rFonts w:ascii="Cambria" w:eastAsia="Calibri" w:hAnsi="Cambria"/>
          <w:sz w:val="20"/>
          <w:szCs w:val="20"/>
          <w:bdr w:val="none" w:sz="0" w:space="0" w:color="auto"/>
        </w:rPr>
        <w:t>human</w:t>
      </w:r>
      <w:r w:rsidR="00310943" w:rsidRPr="00A51861">
        <w:rPr>
          <w:rFonts w:ascii="Cambria" w:hAnsi="Cambria"/>
          <w:color w:val="000000" w:themeColor="text1"/>
          <w:sz w:val="20"/>
          <w:szCs w:val="20"/>
        </w:rPr>
        <w:t xml:space="preserve"> </w:t>
      </w:r>
      <w:r w:rsidR="00773B3C" w:rsidRPr="00A51861">
        <w:rPr>
          <w:rFonts w:ascii="Cambria" w:hAnsi="Cambria"/>
          <w:color w:val="000000" w:themeColor="text1"/>
          <w:sz w:val="20"/>
          <w:szCs w:val="20"/>
        </w:rPr>
        <w:t>digni</w:t>
      </w:r>
      <w:r w:rsidR="00FA2E7B">
        <w:rPr>
          <w:rFonts w:ascii="Cambria" w:hAnsi="Cambria"/>
          <w:color w:val="000000" w:themeColor="text1"/>
          <w:sz w:val="20"/>
          <w:szCs w:val="20"/>
        </w:rPr>
        <w:t>ty</w:t>
      </w:r>
      <w:r w:rsidR="00773B3C" w:rsidRPr="00A51861">
        <w:rPr>
          <w:rFonts w:ascii="Cambria" w:eastAsia="Calibri" w:hAnsi="Cambria"/>
          <w:sz w:val="20"/>
          <w:szCs w:val="20"/>
          <w:bdr w:val="none" w:sz="0" w:space="0" w:color="auto"/>
        </w:rPr>
        <w:t xml:space="preserve">. </w:t>
      </w:r>
      <w:r w:rsidR="00310943">
        <w:rPr>
          <w:rFonts w:ascii="Cambria" w:eastAsia="Calibri" w:hAnsi="Cambria"/>
          <w:sz w:val="20"/>
          <w:szCs w:val="20"/>
          <w:bdr w:val="none" w:sz="0" w:space="0" w:color="auto"/>
        </w:rPr>
        <w:t>In that sense</w:t>
      </w:r>
      <w:r w:rsidR="00773B3C" w:rsidRPr="00A51861">
        <w:rPr>
          <w:rFonts w:ascii="Cambria" w:eastAsia="Calibri" w:hAnsi="Cambria"/>
          <w:sz w:val="20"/>
          <w:szCs w:val="20"/>
          <w:bdr w:val="none" w:sz="0" w:space="0" w:color="auto"/>
        </w:rPr>
        <w:t xml:space="preserve">, </w:t>
      </w:r>
      <w:r w:rsidR="00310943">
        <w:rPr>
          <w:rFonts w:ascii="Cambria" w:eastAsia="Calibri" w:hAnsi="Cambria"/>
          <w:sz w:val="20"/>
          <w:szCs w:val="20"/>
          <w:bdr w:val="none" w:sz="0" w:space="0" w:color="auto"/>
        </w:rPr>
        <w:t>a</w:t>
      </w:r>
      <w:r w:rsidR="00D70A85">
        <w:rPr>
          <w:rFonts w:ascii="Cambria" w:eastAsia="Calibri" w:hAnsi="Cambria"/>
          <w:sz w:val="20"/>
          <w:szCs w:val="20"/>
          <w:bdr w:val="none" w:sz="0" w:space="0" w:color="auto"/>
        </w:rPr>
        <w:t xml:space="preserve"> </w:t>
      </w:r>
      <w:r w:rsidR="00310943">
        <w:rPr>
          <w:rFonts w:ascii="Cambria" w:eastAsia="Calibri" w:hAnsi="Cambria"/>
          <w:sz w:val="20"/>
          <w:szCs w:val="20"/>
          <w:bdr w:val="none" w:sz="0" w:space="0" w:color="auto"/>
        </w:rPr>
        <w:t>distinction</w:t>
      </w:r>
      <w:r w:rsidR="00310943" w:rsidRPr="00A51861">
        <w:rPr>
          <w:rFonts w:ascii="Cambria" w:eastAsia="Calibri" w:hAnsi="Cambria"/>
          <w:sz w:val="20"/>
          <w:szCs w:val="20"/>
          <w:bdr w:val="none" w:sz="0" w:space="0" w:color="auto"/>
        </w:rPr>
        <w:t xml:space="preserve"> </w:t>
      </w:r>
      <w:r w:rsidR="00310943">
        <w:rPr>
          <w:rFonts w:ascii="Cambria" w:eastAsia="Calibri" w:hAnsi="Cambria"/>
          <w:sz w:val="20"/>
          <w:szCs w:val="20"/>
          <w:bdr w:val="none" w:sz="0" w:space="0" w:color="auto"/>
        </w:rPr>
        <w:t xml:space="preserve">is </w:t>
      </w:r>
      <w:r w:rsidR="00775F21">
        <w:rPr>
          <w:rFonts w:ascii="Cambria" w:eastAsia="Calibri" w:hAnsi="Cambria"/>
          <w:sz w:val="20"/>
          <w:szCs w:val="20"/>
          <w:bdr w:val="none" w:sz="0" w:space="0" w:color="auto"/>
        </w:rPr>
        <w:t>discriminatory</w:t>
      </w:r>
      <w:r w:rsidR="00773B3C" w:rsidRPr="00A51861">
        <w:rPr>
          <w:rFonts w:ascii="Cambria" w:eastAsia="Calibri" w:hAnsi="Cambria"/>
          <w:sz w:val="20"/>
          <w:szCs w:val="20"/>
          <w:bdr w:val="none" w:sz="0" w:space="0" w:color="auto"/>
        </w:rPr>
        <w:t xml:space="preserve"> </w:t>
      </w:r>
      <w:r w:rsidR="00310943">
        <w:rPr>
          <w:rFonts w:ascii="Cambria" w:eastAsia="Calibri" w:hAnsi="Cambria"/>
          <w:sz w:val="20"/>
          <w:szCs w:val="20"/>
          <w:bdr w:val="none" w:sz="0" w:space="0" w:color="auto"/>
        </w:rPr>
        <w:t>only when it</w:t>
      </w:r>
      <w:r w:rsidR="00773B3C" w:rsidRPr="00A51861">
        <w:rPr>
          <w:rFonts w:ascii="Cambria" w:eastAsia="Calibri" w:hAnsi="Cambria"/>
          <w:sz w:val="20"/>
          <w:szCs w:val="20"/>
          <w:bdr w:val="none" w:sz="0" w:space="0" w:color="auto"/>
        </w:rPr>
        <w:t xml:space="preserve"> "</w:t>
      </w:r>
      <w:r w:rsidR="00310943">
        <w:rPr>
          <w:rFonts w:ascii="Cambria" w:eastAsia="Calibri" w:hAnsi="Cambria"/>
          <w:sz w:val="20"/>
          <w:szCs w:val="20"/>
          <w:bdr w:val="none" w:sz="0" w:space="0" w:color="auto"/>
        </w:rPr>
        <w:t>lacks</w:t>
      </w:r>
      <w:r w:rsidR="00E92985">
        <w:rPr>
          <w:rFonts w:ascii="Cambria" w:eastAsia="Calibri" w:hAnsi="Cambria"/>
          <w:sz w:val="20"/>
          <w:szCs w:val="20"/>
          <w:bdr w:val="none" w:sz="0" w:space="0" w:color="auto"/>
        </w:rPr>
        <w:t xml:space="preserve"> </w:t>
      </w:r>
      <w:r w:rsidR="00310943" w:rsidRPr="00A51861">
        <w:rPr>
          <w:rFonts w:ascii="Cambria" w:eastAsia="Calibri" w:hAnsi="Cambria"/>
          <w:sz w:val="20"/>
          <w:szCs w:val="20"/>
          <w:bdr w:val="none" w:sz="0" w:space="0" w:color="auto"/>
        </w:rPr>
        <w:t>objective</w:t>
      </w:r>
      <w:r w:rsidR="00310943">
        <w:rPr>
          <w:rFonts w:ascii="Cambria" w:eastAsia="Calibri" w:hAnsi="Cambria"/>
          <w:sz w:val="20"/>
          <w:szCs w:val="20"/>
          <w:bdr w:val="none" w:sz="0" w:space="0" w:color="auto"/>
        </w:rPr>
        <w:t xml:space="preserve"> </w:t>
      </w:r>
      <w:r w:rsidR="00E92985">
        <w:rPr>
          <w:rFonts w:ascii="Cambria" w:eastAsia="Calibri" w:hAnsi="Cambria"/>
          <w:sz w:val="20"/>
          <w:szCs w:val="20"/>
          <w:bdr w:val="none" w:sz="0" w:space="0" w:color="auto"/>
        </w:rPr>
        <w:t xml:space="preserve">and </w:t>
      </w:r>
      <w:r w:rsidR="00310943" w:rsidRPr="00A51861">
        <w:rPr>
          <w:rFonts w:ascii="Cambria" w:eastAsia="Calibri" w:hAnsi="Cambria"/>
          <w:sz w:val="20"/>
          <w:szCs w:val="20"/>
          <w:bdr w:val="none" w:sz="0" w:space="0" w:color="auto"/>
        </w:rPr>
        <w:t>reasonable</w:t>
      </w:r>
      <w:r w:rsidR="00310943" w:rsidRPr="00310943">
        <w:rPr>
          <w:rFonts w:ascii="Cambria" w:eastAsia="Calibri" w:hAnsi="Cambria"/>
          <w:sz w:val="20"/>
          <w:szCs w:val="20"/>
          <w:bdr w:val="none" w:sz="0" w:space="0" w:color="auto"/>
        </w:rPr>
        <w:t xml:space="preserve"> </w:t>
      </w:r>
      <w:r w:rsidR="00310943" w:rsidRPr="00A51861">
        <w:rPr>
          <w:rFonts w:ascii="Cambria" w:eastAsia="Calibri" w:hAnsi="Cambria"/>
          <w:sz w:val="20"/>
          <w:szCs w:val="20"/>
          <w:bdr w:val="none" w:sz="0" w:space="0" w:color="auto"/>
        </w:rPr>
        <w:lastRenderedPageBreak/>
        <w:t>justification</w:t>
      </w:r>
      <w:r w:rsidR="00773B3C" w:rsidRPr="00A51861">
        <w:rPr>
          <w:rFonts w:ascii="Cambria" w:eastAsia="Calibri" w:hAnsi="Cambria"/>
          <w:sz w:val="20"/>
          <w:szCs w:val="20"/>
          <w:bdr w:val="none" w:sz="0" w:space="0" w:color="auto"/>
        </w:rPr>
        <w:t>”</w:t>
      </w:r>
      <w:r w:rsidR="00773B3C" w:rsidRPr="00A51861">
        <w:rPr>
          <w:rFonts w:ascii="Cambria" w:eastAsia="Calibri" w:hAnsi="Cambria"/>
          <w:sz w:val="20"/>
          <w:szCs w:val="20"/>
          <w:bdr w:val="none" w:sz="0" w:space="0" w:color="auto"/>
          <w:vertAlign w:val="superscript"/>
        </w:rPr>
        <w:footnoteReference w:id="232"/>
      </w:r>
      <w:r w:rsidR="00773B3C" w:rsidRPr="00A51861">
        <w:rPr>
          <w:rFonts w:ascii="Cambria" w:eastAsia="Calibri" w:hAnsi="Cambria"/>
          <w:sz w:val="20"/>
          <w:szCs w:val="20"/>
          <w:bdr w:val="none" w:sz="0" w:space="0" w:color="auto"/>
        </w:rPr>
        <w:t xml:space="preserve">, </w:t>
      </w:r>
      <w:r w:rsidR="00E92985">
        <w:rPr>
          <w:rFonts w:ascii="Cambria" w:eastAsia="Calibri" w:hAnsi="Cambria"/>
          <w:sz w:val="20"/>
          <w:szCs w:val="20"/>
          <w:bdr w:val="none" w:sz="0" w:space="0" w:color="auto"/>
        </w:rPr>
        <w:t>situation</w:t>
      </w:r>
      <w:r w:rsidR="00773B3C" w:rsidRPr="00A51861">
        <w:rPr>
          <w:rFonts w:ascii="Cambria" w:eastAsia="Calibri" w:hAnsi="Cambria"/>
          <w:sz w:val="20"/>
          <w:szCs w:val="20"/>
          <w:bdr w:val="none" w:sz="0" w:space="0" w:color="auto"/>
        </w:rPr>
        <w:t xml:space="preserve"> </w:t>
      </w:r>
      <w:r w:rsidR="00310943">
        <w:rPr>
          <w:rFonts w:ascii="Cambria" w:eastAsia="Calibri" w:hAnsi="Cambria"/>
          <w:sz w:val="20"/>
          <w:szCs w:val="20"/>
          <w:bdr w:val="none" w:sz="0" w:space="0" w:color="auto"/>
        </w:rPr>
        <w:t>to be assessed case by case</w:t>
      </w:r>
      <w:r w:rsidR="00E92985">
        <w:rPr>
          <w:rFonts w:ascii="Cambria" w:eastAsia="Calibri" w:hAnsi="Cambria"/>
          <w:sz w:val="20"/>
          <w:szCs w:val="20"/>
          <w:bdr w:val="none" w:sz="0" w:space="0" w:color="auto"/>
        </w:rPr>
        <w:t xml:space="preserve"> and</w:t>
      </w:r>
      <w:r w:rsidR="002B762A">
        <w:rPr>
          <w:rFonts w:ascii="Cambria" w:eastAsia="Calibri" w:hAnsi="Cambria"/>
          <w:sz w:val="20"/>
          <w:szCs w:val="20"/>
          <w:bdr w:val="none" w:sz="0" w:space="0" w:color="auto"/>
        </w:rPr>
        <w:t xml:space="preserve"> with </w:t>
      </w:r>
      <w:r w:rsidR="00310943">
        <w:rPr>
          <w:rFonts w:ascii="Cambria" w:eastAsia="Calibri" w:hAnsi="Cambria"/>
          <w:sz w:val="20"/>
          <w:szCs w:val="20"/>
          <w:bdr w:val="none" w:sz="0" w:space="0" w:color="auto"/>
        </w:rPr>
        <w:t>greater or less</w:t>
      </w:r>
      <w:r w:rsidR="00773B3C" w:rsidRPr="00A51861">
        <w:rPr>
          <w:rFonts w:ascii="Cambria" w:eastAsia="Calibri" w:hAnsi="Cambria"/>
          <w:sz w:val="20"/>
          <w:szCs w:val="20"/>
          <w:bdr w:val="none" w:sz="0" w:space="0" w:color="auto"/>
        </w:rPr>
        <w:t xml:space="preserve"> intensi</w:t>
      </w:r>
      <w:r w:rsidR="00FA2E7B">
        <w:rPr>
          <w:rFonts w:ascii="Cambria" w:eastAsia="Calibri" w:hAnsi="Cambria"/>
          <w:sz w:val="20"/>
          <w:szCs w:val="20"/>
          <w:bdr w:val="none" w:sz="0" w:space="0" w:color="auto"/>
        </w:rPr>
        <w:t xml:space="preserve">ty </w:t>
      </w:r>
      <w:r w:rsidR="00310943">
        <w:rPr>
          <w:rFonts w:ascii="Cambria" w:eastAsia="Calibri" w:hAnsi="Cambria"/>
          <w:sz w:val="20"/>
          <w:szCs w:val="20"/>
          <w:bdr w:val="none" w:sz="0" w:space="0" w:color="auto"/>
        </w:rPr>
        <w:t>according to the rights</w:t>
      </w:r>
      <w:r w:rsidR="00E92985">
        <w:rPr>
          <w:rFonts w:ascii="Cambria" w:eastAsia="Calibri" w:hAnsi="Cambria"/>
          <w:sz w:val="20"/>
          <w:szCs w:val="20"/>
          <w:bdr w:val="none" w:sz="0" w:space="0" w:color="auto"/>
        </w:rPr>
        <w:t xml:space="preserve"> or </w:t>
      </w:r>
      <w:r w:rsidR="00773B3C" w:rsidRPr="00A51861">
        <w:rPr>
          <w:rFonts w:ascii="Cambria" w:eastAsia="Calibri" w:hAnsi="Cambria"/>
          <w:sz w:val="20"/>
          <w:szCs w:val="20"/>
          <w:bdr w:val="none" w:sz="0" w:space="0" w:color="auto"/>
        </w:rPr>
        <w:t>interes</w:t>
      </w:r>
      <w:r w:rsidR="00310943">
        <w:rPr>
          <w:rFonts w:ascii="Cambria" w:eastAsia="Calibri" w:hAnsi="Cambria"/>
          <w:sz w:val="20"/>
          <w:szCs w:val="20"/>
          <w:bdr w:val="none" w:sz="0" w:space="0" w:color="auto"/>
        </w:rPr>
        <w:t>t</w:t>
      </w:r>
      <w:r w:rsidR="00773B3C" w:rsidRPr="00A51861">
        <w:rPr>
          <w:rFonts w:ascii="Cambria" w:eastAsia="Calibri" w:hAnsi="Cambria"/>
          <w:sz w:val="20"/>
          <w:szCs w:val="20"/>
          <w:bdr w:val="none" w:sz="0" w:space="0" w:color="auto"/>
        </w:rPr>
        <w:t>s invol</w:t>
      </w:r>
      <w:r w:rsidR="00310943">
        <w:rPr>
          <w:rFonts w:ascii="Cambria" w:eastAsia="Calibri" w:hAnsi="Cambria"/>
          <w:sz w:val="20"/>
          <w:szCs w:val="20"/>
          <w:bdr w:val="none" w:sz="0" w:space="0" w:color="auto"/>
        </w:rPr>
        <w:t>ved</w:t>
      </w:r>
      <w:r w:rsidR="00773B3C" w:rsidRPr="00A51861">
        <w:rPr>
          <w:rFonts w:ascii="Cambria" w:eastAsia="Calibri" w:hAnsi="Cambria"/>
          <w:sz w:val="20"/>
          <w:szCs w:val="20"/>
          <w:bdr w:val="none" w:sz="0" w:space="0" w:color="auto"/>
        </w:rPr>
        <w:t>,</w:t>
      </w:r>
      <w:r w:rsidR="00E92985">
        <w:rPr>
          <w:rFonts w:ascii="Cambria" w:eastAsia="Calibri" w:hAnsi="Cambria"/>
          <w:sz w:val="20"/>
          <w:szCs w:val="20"/>
          <w:bdr w:val="none" w:sz="0" w:space="0" w:color="auto"/>
        </w:rPr>
        <w:t xml:space="preserve"> or </w:t>
      </w:r>
      <w:r w:rsidR="00310943">
        <w:rPr>
          <w:rFonts w:ascii="Cambria" w:eastAsia="Calibri" w:hAnsi="Cambria"/>
          <w:sz w:val="20"/>
          <w:szCs w:val="20"/>
          <w:bdr w:val="none" w:sz="0" w:space="0" w:color="auto"/>
        </w:rPr>
        <w:t>whether it is a</w:t>
      </w:r>
      <w:r w:rsidR="009B462E">
        <w:rPr>
          <w:rFonts w:ascii="Cambria" w:eastAsia="Calibri" w:hAnsi="Cambria"/>
          <w:sz w:val="20"/>
          <w:szCs w:val="20"/>
          <w:bdr w:val="none" w:sz="0" w:space="0" w:color="auto"/>
        </w:rPr>
        <w:t xml:space="preserve"> group </w:t>
      </w:r>
      <w:r w:rsidR="00310943" w:rsidRPr="00A51861">
        <w:rPr>
          <w:rFonts w:ascii="Cambria" w:eastAsia="Calibri" w:hAnsi="Cambria"/>
          <w:sz w:val="20"/>
          <w:szCs w:val="20"/>
          <w:bdr w:val="none" w:sz="0" w:space="0" w:color="auto"/>
        </w:rPr>
        <w:t>historica</w:t>
      </w:r>
      <w:r w:rsidR="00310943">
        <w:rPr>
          <w:rFonts w:ascii="Cambria" w:eastAsia="Calibri" w:hAnsi="Cambria"/>
          <w:sz w:val="20"/>
          <w:szCs w:val="20"/>
          <w:bdr w:val="none" w:sz="0" w:space="0" w:color="auto"/>
        </w:rPr>
        <w:t>lly</w:t>
      </w:r>
      <w:r w:rsidR="0029564F">
        <w:rPr>
          <w:rFonts w:ascii="Cambria" w:eastAsia="Calibri" w:hAnsi="Cambria"/>
          <w:sz w:val="20"/>
          <w:szCs w:val="20"/>
          <w:bdr w:val="none" w:sz="0" w:space="0" w:color="auto"/>
        </w:rPr>
        <w:t xml:space="preserve"> </w:t>
      </w:r>
      <w:r w:rsidR="00310943">
        <w:rPr>
          <w:rFonts w:ascii="Cambria" w:eastAsia="Calibri" w:hAnsi="Cambria"/>
          <w:sz w:val="20"/>
          <w:szCs w:val="20"/>
          <w:bdr w:val="none" w:sz="0" w:space="0" w:color="auto"/>
        </w:rPr>
        <w:t>subjected</w:t>
      </w:r>
      <w:r w:rsidR="00773B3C" w:rsidRPr="00A51861">
        <w:rPr>
          <w:rFonts w:ascii="Cambria" w:eastAsia="Calibri" w:hAnsi="Cambria"/>
          <w:sz w:val="20"/>
          <w:szCs w:val="20"/>
          <w:bdr w:val="none" w:sz="0" w:space="0" w:color="auto"/>
        </w:rPr>
        <w:t xml:space="preserve"> </w:t>
      </w:r>
      <w:r w:rsidR="00310943">
        <w:rPr>
          <w:rFonts w:ascii="Cambria" w:eastAsia="Calibri" w:hAnsi="Cambria"/>
          <w:sz w:val="20"/>
          <w:szCs w:val="20"/>
          <w:bdr w:val="none" w:sz="0" w:space="0" w:color="auto"/>
        </w:rPr>
        <w:t>to</w:t>
      </w:r>
      <w:r w:rsidR="00773B3C" w:rsidRPr="00A51861">
        <w:rPr>
          <w:rFonts w:ascii="Cambria" w:eastAsia="Calibri" w:hAnsi="Cambria"/>
          <w:sz w:val="20"/>
          <w:szCs w:val="20"/>
          <w:bdr w:val="none" w:sz="0" w:space="0" w:color="auto"/>
        </w:rPr>
        <w:t xml:space="preserve"> </w:t>
      </w:r>
      <w:r w:rsidR="00775F21">
        <w:rPr>
          <w:rFonts w:ascii="Cambria" w:eastAsia="Calibri" w:hAnsi="Cambria"/>
          <w:sz w:val="20"/>
          <w:szCs w:val="20"/>
          <w:bdr w:val="none" w:sz="0" w:space="0" w:color="auto"/>
        </w:rPr>
        <w:t xml:space="preserve">discrimination </w:t>
      </w:r>
      <w:r w:rsidR="00E92985">
        <w:rPr>
          <w:rFonts w:ascii="Cambria" w:eastAsia="Calibri" w:hAnsi="Cambria"/>
          <w:sz w:val="20"/>
          <w:szCs w:val="20"/>
          <w:bdr w:val="none" w:sz="0" w:space="0" w:color="auto"/>
        </w:rPr>
        <w:t xml:space="preserve">or </w:t>
      </w:r>
      <w:r w:rsidR="00310943" w:rsidRPr="00A51861">
        <w:rPr>
          <w:rFonts w:ascii="Cambria" w:eastAsia="Calibri" w:hAnsi="Cambria"/>
          <w:sz w:val="20"/>
          <w:szCs w:val="20"/>
          <w:bdr w:val="none" w:sz="0" w:space="0" w:color="auto"/>
        </w:rPr>
        <w:t>exclusion</w:t>
      </w:r>
      <w:r w:rsidR="00773B3C" w:rsidRPr="00A51861">
        <w:rPr>
          <w:rFonts w:ascii="Cambria" w:eastAsia="Calibri" w:hAnsi="Cambria"/>
          <w:sz w:val="20"/>
          <w:szCs w:val="20"/>
          <w:bdr w:val="none" w:sz="0" w:space="0" w:color="auto"/>
        </w:rPr>
        <w:t>.</w:t>
      </w:r>
    </w:p>
    <w:p w14:paraId="4897AA28" w14:textId="77777777" w:rsidR="00773B3C" w:rsidRPr="00A51861" w:rsidRDefault="00773B3C" w:rsidP="008E4D36">
      <w:pPr>
        <w:ind w:left="720"/>
        <w:jc w:val="both"/>
        <w:rPr>
          <w:rFonts w:ascii="Cambria" w:eastAsia="Cambria" w:hAnsi="Cambria" w:cs="Cambria"/>
          <w:b/>
          <w:color w:val="000000"/>
          <w:sz w:val="20"/>
          <w:szCs w:val="20"/>
          <w:u w:color="000000"/>
          <w:lang w:eastAsia="es-ES"/>
        </w:rPr>
      </w:pPr>
    </w:p>
    <w:p w14:paraId="7D67AE00" w14:textId="00DC3AEE" w:rsidR="00773B3C" w:rsidRPr="00A51861" w:rsidRDefault="00C612F5" w:rsidP="00C238A7">
      <w:pPr>
        <w:pStyle w:val="Heading3"/>
        <w:keepNext/>
        <w:numPr>
          <w:ilvl w:val="0"/>
          <w:numId w:val="69"/>
        </w:numPr>
        <w:spacing w:line="240" w:lineRule="auto"/>
        <w:jc w:val="left"/>
        <w:rPr>
          <w:lang w:val="en-US"/>
        </w:rPr>
      </w:pPr>
      <w:bookmarkStart w:id="34" w:name="_Toc196383498"/>
      <w:r w:rsidRPr="00A51861">
        <w:rPr>
          <w:lang w:val="en-US"/>
        </w:rPr>
        <w:t>Analysis</w:t>
      </w:r>
      <w:r w:rsidR="00773B3C" w:rsidRPr="00A51861">
        <w:rPr>
          <w:lang w:val="en-US"/>
        </w:rPr>
        <w:t xml:space="preserve"> </w:t>
      </w:r>
      <w:r>
        <w:rPr>
          <w:lang w:val="en-US"/>
        </w:rPr>
        <w:t>on whether</w:t>
      </w:r>
      <w:r w:rsidR="00773B3C" w:rsidRPr="00A51861">
        <w:rPr>
          <w:lang w:val="en-US"/>
        </w:rPr>
        <w:t xml:space="preserve"> </w:t>
      </w:r>
      <w:r w:rsidR="002835FC" w:rsidRPr="00A51861">
        <w:rPr>
          <w:lang w:val="en-US"/>
        </w:rPr>
        <w:t xml:space="preserve">Law </w:t>
      </w:r>
      <w:r w:rsidR="00773B3C" w:rsidRPr="00A51861">
        <w:rPr>
          <w:lang w:val="en-US"/>
        </w:rPr>
        <w:t>24.043</w:t>
      </w:r>
      <w:r w:rsidR="00E92985">
        <w:rPr>
          <w:lang w:val="en-US"/>
        </w:rPr>
        <w:t xml:space="preserve"> and </w:t>
      </w:r>
      <w:r>
        <w:rPr>
          <w:lang w:val="en-US"/>
        </w:rPr>
        <w:t>its</w:t>
      </w:r>
      <w:r w:rsidR="00773B3C" w:rsidRPr="00A51861">
        <w:rPr>
          <w:lang w:val="en-US"/>
        </w:rPr>
        <w:t xml:space="preserve"> </w:t>
      </w:r>
      <w:r w:rsidRPr="00A51861">
        <w:rPr>
          <w:lang w:val="en-US"/>
        </w:rPr>
        <w:t>application</w:t>
      </w:r>
      <w:r w:rsidR="00773B3C" w:rsidRPr="00A51861">
        <w:rPr>
          <w:lang w:val="en-US"/>
        </w:rPr>
        <w:t xml:space="preserve"> </w:t>
      </w:r>
      <w:r>
        <w:rPr>
          <w:lang w:val="en-US"/>
        </w:rPr>
        <w:t>in the proceedings initiated by</w:t>
      </w:r>
      <w:r w:rsidR="00773B3C" w:rsidRPr="00A51861">
        <w:rPr>
          <w:lang w:val="en-US"/>
        </w:rPr>
        <w:t xml:space="preserve"> </w:t>
      </w:r>
      <w:r w:rsidR="002835FC" w:rsidRPr="00A51861">
        <w:rPr>
          <w:lang w:val="en-US"/>
        </w:rPr>
        <w:t xml:space="preserve">the alleged victims </w:t>
      </w:r>
      <w:r>
        <w:rPr>
          <w:lang w:val="en-US"/>
        </w:rPr>
        <w:t>violated rights</w:t>
      </w:r>
      <w:r w:rsidR="00773B3C" w:rsidRPr="00A51861">
        <w:rPr>
          <w:lang w:val="en-US"/>
        </w:rPr>
        <w:t xml:space="preserve"> contempla</w:t>
      </w:r>
      <w:r>
        <w:rPr>
          <w:lang w:val="en-US"/>
        </w:rPr>
        <w:t>ted i</w:t>
      </w:r>
      <w:r w:rsidR="00773B3C" w:rsidRPr="00A51861">
        <w:rPr>
          <w:lang w:val="en-US"/>
        </w:rPr>
        <w:t>n</w:t>
      </w:r>
      <w:r w:rsidR="009A4F91">
        <w:rPr>
          <w:lang w:val="en-US"/>
        </w:rPr>
        <w:t xml:space="preserve"> the </w:t>
      </w:r>
      <w:r w:rsidR="00CB4E23">
        <w:rPr>
          <w:lang w:val="en-US"/>
        </w:rPr>
        <w:t>Convention</w:t>
      </w:r>
      <w:bookmarkEnd w:id="34"/>
      <w:r w:rsidR="00773B3C" w:rsidRPr="00A51861">
        <w:rPr>
          <w:lang w:val="en-US"/>
        </w:rPr>
        <w:t xml:space="preserve"> </w:t>
      </w:r>
    </w:p>
    <w:p w14:paraId="0D8B1E4E" w14:textId="77777777" w:rsidR="00773B3C" w:rsidRPr="00A51861" w:rsidRDefault="00773B3C" w:rsidP="008E4D3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bdr w:val="none" w:sz="0" w:space="0" w:color="auto"/>
        </w:rPr>
      </w:pPr>
    </w:p>
    <w:p w14:paraId="2D1643D2" w14:textId="515E4C2A" w:rsidR="00773B3C" w:rsidRPr="00A51861" w:rsidRDefault="001A0B84"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bdr w:val="none" w:sz="0" w:space="0" w:color="auto"/>
        </w:rPr>
      </w:pPr>
      <w:r>
        <w:rPr>
          <w:rFonts w:ascii="Cambria" w:hAnsi="Cambria"/>
          <w:sz w:val="20"/>
          <w:szCs w:val="20"/>
          <w:bdr w:val="none" w:sz="0" w:space="0" w:color="auto"/>
        </w:rPr>
        <w:t>In the early</w:t>
      </w:r>
      <w:r w:rsidR="00773B3C" w:rsidRPr="00A51861">
        <w:rPr>
          <w:rFonts w:ascii="Cambria" w:hAnsi="Cambria"/>
          <w:sz w:val="20"/>
          <w:szCs w:val="20"/>
          <w:bdr w:val="none" w:sz="0" w:space="0" w:color="auto"/>
        </w:rPr>
        <w:t xml:space="preserve"> 1990</w:t>
      </w:r>
      <w:r>
        <w:rPr>
          <w:rFonts w:ascii="Cambria" w:hAnsi="Cambria"/>
          <w:sz w:val="20"/>
          <w:szCs w:val="20"/>
          <w:bdr w:val="none" w:sz="0" w:space="0" w:color="auto"/>
        </w:rPr>
        <w:t>’s</w:t>
      </w:r>
      <w:r w:rsidR="00773B3C" w:rsidRPr="00A51861">
        <w:rPr>
          <w:rFonts w:ascii="Cambria" w:hAnsi="Cambria"/>
          <w:sz w:val="20"/>
          <w:szCs w:val="20"/>
          <w:bdr w:val="none" w:sz="0" w:space="0" w:color="auto"/>
        </w:rPr>
        <w:t xml:space="preserve">, Argentina </w:t>
      </w:r>
      <w:r>
        <w:rPr>
          <w:rFonts w:ascii="Cambria" w:hAnsi="Cambria"/>
          <w:sz w:val="20"/>
          <w:szCs w:val="20"/>
          <w:bdr w:val="none" w:sz="0" w:space="0" w:color="auto"/>
        </w:rPr>
        <w:t>started to develop a policy of</w:t>
      </w:r>
      <w:r w:rsidR="00E92985">
        <w:rPr>
          <w:rFonts w:ascii="Cambria" w:hAnsi="Cambria"/>
          <w:sz w:val="20"/>
          <w:szCs w:val="20"/>
          <w:bdr w:val="none" w:sz="0" w:space="0" w:color="auto"/>
        </w:rPr>
        <w:t xml:space="preserve"> </w:t>
      </w:r>
      <w:r w:rsidR="00773B3C" w:rsidRPr="00A51861">
        <w:rPr>
          <w:rFonts w:ascii="Cambria" w:hAnsi="Cambria"/>
          <w:sz w:val="20"/>
          <w:szCs w:val="20"/>
          <w:bdr w:val="none" w:sz="0" w:space="0" w:color="auto"/>
        </w:rPr>
        <w:t>administrativ</w:t>
      </w:r>
      <w:r>
        <w:rPr>
          <w:rFonts w:ascii="Cambria" w:hAnsi="Cambria"/>
          <w:sz w:val="20"/>
          <w:szCs w:val="20"/>
          <w:bdr w:val="none" w:sz="0" w:space="0" w:color="auto"/>
        </w:rPr>
        <w:t>e</w:t>
      </w:r>
      <w:r w:rsidR="00E92985">
        <w:rPr>
          <w:rFonts w:ascii="Cambria" w:hAnsi="Cambria"/>
          <w:sz w:val="20"/>
          <w:szCs w:val="20"/>
          <w:bdr w:val="none" w:sz="0" w:space="0" w:color="auto"/>
        </w:rPr>
        <w:t xml:space="preserve"> </w:t>
      </w:r>
      <w:r w:rsidRPr="00A51861">
        <w:rPr>
          <w:rFonts w:ascii="Cambria" w:hAnsi="Cambria"/>
          <w:sz w:val="20"/>
          <w:szCs w:val="20"/>
          <w:bdr w:val="none" w:sz="0" w:space="0" w:color="auto"/>
        </w:rPr>
        <w:t>me</w:t>
      </w:r>
      <w:r>
        <w:rPr>
          <w:rFonts w:ascii="Cambria" w:hAnsi="Cambria"/>
          <w:sz w:val="20"/>
          <w:szCs w:val="20"/>
          <w:bdr w:val="none" w:sz="0" w:space="0" w:color="auto"/>
        </w:rPr>
        <w:t>asure</w:t>
      </w:r>
      <w:r w:rsidRPr="00A51861">
        <w:rPr>
          <w:rFonts w:ascii="Cambria" w:hAnsi="Cambria"/>
          <w:sz w:val="20"/>
          <w:szCs w:val="20"/>
          <w:bdr w:val="none" w:sz="0" w:space="0" w:color="auto"/>
        </w:rPr>
        <w:t xml:space="preserve">s </w:t>
      </w:r>
      <w:r w:rsidR="00E92985">
        <w:rPr>
          <w:rFonts w:ascii="Cambria" w:hAnsi="Cambria"/>
          <w:sz w:val="20"/>
          <w:szCs w:val="20"/>
          <w:bdr w:val="none" w:sz="0" w:space="0" w:color="auto"/>
        </w:rPr>
        <w:t xml:space="preserve">of </w:t>
      </w:r>
      <w:r>
        <w:rPr>
          <w:rFonts w:ascii="Cambria" w:eastAsia="Calibri" w:hAnsi="Cambria"/>
          <w:sz w:val="20"/>
          <w:szCs w:val="20"/>
          <w:bdr w:val="none" w:sz="0" w:space="0" w:color="auto"/>
        </w:rPr>
        <w:t>reparation</w:t>
      </w:r>
      <w:r w:rsidR="00E92985">
        <w:rPr>
          <w:rFonts w:ascii="Cambria" w:hAnsi="Cambria"/>
          <w:sz w:val="20"/>
          <w:szCs w:val="20"/>
          <w:bdr w:val="none" w:sz="0" w:space="0" w:color="auto"/>
        </w:rPr>
        <w:t xml:space="preserve"> of </w:t>
      </w:r>
      <w:r>
        <w:rPr>
          <w:rFonts w:ascii="Cambria" w:hAnsi="Cambria"/>
          <w:sz w:val="20"/>
          <w:szCs w:val="20"/>
          <w:bdr w:val="none" w:sz="0" w:space="0" w:color="auto"/>
        </w:rPr>
        <w:t>the</w:t>
      </w:r>
      <w:r w:rsidR="00773B3C" w:rsidRPr="00A51861">
        <w:rPr>
          <w:rFonts w:ascii="Cambria" w:hAnsi="Cambria"/>
          <w:sz w:val="20"/>
          <w:szCs w:val="20"/>
          <w:bdr w:val="none" w:sz="0" w:space="0" w:color="auto"/>
        </w:rPr>
        <w:t xml:space="preserve"> </w:t>
      </w:r>
      <w:r w:rsidR="00B4073F">
        <w:rPr>
          <w:rFonts w:ascii="Cambria" w:hAnsi="Cambria"/>
          <w:color w:val="000000" w:themeColor="text1"/>
          <w:sz w:val="20"/>
          <w:szCs w:val="20"/>
        </w:rPr>
        <w:t>victim</w:t>
      </w:r>
      <w:r w:rsidR="00773B3C" w:rsidRPr="00A51861">
        <w:rPr>
          <w:rFonts w:ascii="Cambria" w:hAnsi="Cambria"/>
          <w:color w:val="000000" w:themeColor="text1"/>
          <w:sz w:val="20"/>
          <w:szCs w:val="20"/>
        </w:rPr>
        <w:t>s</w:t>
      </w:r>
      <w:r w:rsidR="00E92985">
        <w:rPr>
          <w:rFonts w:ascii="Cambria" w:hAnsi="Cambria"/>
          <w:sz w:val="20"/>
          <w:szCs w:val="20"/>
          <w:bdr w:val="none" w:sz="0" w:space="0" w:color="auto"/>
        </w:rPr>
        <w:t xml:space="preserve"> of the </w:t>
      </w:r>
      <w:r>
        <w:rPr>
          <w:rFonts w:ascii="Cambria" w:hAnsi="Cambria"/>
          <w:sz w:val="20"/>
          <w:szCs w:val="20"/>
          <w:bdr w:val="none" w:sz="0" w:space="0" w:color="auto"/>
        </w:rPr>
        <w:t>last</w:t>
      </w:r>
      <w:r w:rsidR="00773B3C" w:rsidRPr="00A51861">
        <w:rPr>
          <w:rFonts w:ascii="Cambria" w:hAnsi="Cambria"/>
          <w:sz w:val="20"/>
          <w:szCs w:val="20"/>
          <w:bdr w:val="none" w:sz="0" w:space="0" w:color="auto"/>
        </w:rPr>
        <w:t xml:space="preserve"> </w:t>
      </w:r>
      <w:r>
        <w:rPr>
          <w:rFonts w:ascii="Cambria" w:hAnsi="Cambria"/>
          <w:sz w:val="20"/>
          <w:szCs w:val="20"/>
          <w:bdr w:val="none" w:sz="0" w:space="0" w:color="auto"/>
        </w:rPr>
        <w:t>dictatorship</w:t>
      </w:r>
      <w:r w:rsidR="00773B3C" w:rsidRPr="00A51861">
        <w:rPr>
          <w:rFonts w:ascii="Cambria" w:hAnsi="Cambria"/>
          <w:sz w:val="20"/>
          <w:szCs w:val="20"/>
          <w:bdr w:val="none" w:sz="0" w:space="0" w:color="auto"/>
        </w:rPr>
        <w:t xml:space="preserve">. </w:t>
      </w:r>
      <w:r>
        <w:rPr>
          <w:rFonts w:ascii="Cambria" w:hAnsi="Cambria"/>
          <w:sz w:val="20"/>
          <w:szCs w:val="20"/>
          <w:bdr w:val="none" w:sz="0" w:space="0" w:color="auto"/>
        </w:rPr>
        <w:t>Among these measures</w:t>
      </w:r>
      <w:r w:rsidR="00773B3C" w:rsidRPr="00A51861">
        <w:rPr>
          <w:rFonts w:ascii="Cambria" w:hAnsi="Cambria"/>
          <w:sz w:val="20"/>
          <w:szCs w:val="20"/>
          <w:bdr w:val="none" w:sz="0" w:space="0" w:color="auto"/>
        </w:rPr>
        <w:t xml:space="preserve">, </w:t>
      </w:r>
      <w:r w:rsidR="002835FC" w:rsidRPr="00A51861">
        <w:rPr>
          <w:rFonts w:ascii="Cambria" w:hAnsi="Cambria"/>
          <w:sz w:val="20"/>
          <w:szCs w:val="20"/>
          <w:bdr w:val="none" w:sz="0" w:space="0" w:color="auto"/>
        </w:rPr>
        <w:t xml:space="preserve">Law </w:t>
      </w:r>
      <w:r w:rsidR="00773B3C" w:rsidRPr="00A51861">
        <w:rPr>
          <w:rFonts w:ascii="Cambria" w:hAnsi="Cambria"/>
          <w:sz w:val="20"/>
          <w:szCs w:val="20"/>
          <w:bdr w:val="none" w:sz="0" w:space="0" w:color="auto"/>
        </w:rPr>
        <w:t>No. 24.043 establ</w:t>
      </w:r>
      <w:r>
        <w:rPr>
          <w:rFonts w:ascii="Cambria" w:hAnsi="Cambria"/>
          <w:sz w:val="20"/>
          <w:szCs w:val="20"/>
          <w:bdr w:val="none" w:sz="0" w:space="0" w:color="auto"/>
        </w:rPr>
        <w:t>ished</w:t>
      </w:r>
      <w:r w:rsidR="00773B3C" w:rsidRPr="00A51861">
        <w:rPr>
          <w:rFonts w:ascii="Cambria" w:hAnsi="Cambria"/>
          <w:sz w:val="20"/>
          <w:szCs w:val="20"/>
          <w:bdr w:val="none" w:sz="0" w:space="0" w:color="auto"/>
        </w:rPr>
        <w:t xml:space="preserve"> </w:t>
      </w:r>
      <w:r w:rsidR="00B47E06">
        <w:rPr>
          <w:rFonts w:ascii="Cambria" w:hAnsi="Cambria"/>
          <w:sz w:val="20"/>
          <w:szCs w:val="20"/>
          <w:bdr w:val="none" w:sz="0" w:space="0" w:color="auto"/>
        </w:rPr>
        <w:t>benefit</w:t>
      </w:r>
      <w:r w:rsidR="00773B3C" w:rsidRPr="00A51861">
        <w:rPr>
          <w:rFonts w:ascii="Cambria" w:hAnsi="Cambria"/>
          <w:sz w:val="20"/>
          <w:szCs w:val="20"/>
          <w:bdr w:val="none" w:sz="0" w:space="0" w:color="auto"/>
        </w:rPr>
        <w:t xml:space="preserve">s </w:t>
      </w:r>
      <w:r>
        <w:rPr>
          <w:rFonts w:ascii="Cambria" w:hAnsi="Cambria"/>
          <w:sz w:val="20"/>
          <w:szCs w:val="20"/>
          <w:bdr w:val="none" w:sz="0" w:space="0" w:color="auto"/>
        </w:rPr>
        <w:t>for</w:t>
      </w:r>
      <w:r w:rsidR="00773B3C" w:rsidRPr="00A51861">
        <w:rPr>
          <w:rFonts w:ascii="Cambria" w:hAnsi="Cambria"/>
          <w:sz w:val="20"/>
          <w:szCs w:val="20"/>
          <w:bdr w:val="none" w:sz="0" w:space="0" w:color="auto"/>
        </w:rPr>
        <w:t xml:space="preserve"> </w:t>
      </w:r>
      <w:r w:rsidR="00EC7A58">
        <w:rPr>
          <w:rFonts w:ascii="Cambria" w:hAnsi="Cambria"/>
          <w:sz w:val="20"/>
          <w:szCs w:val="20"/>
          <w:bdr w:val="none" w:sz="0" w:space="0" w:color="auto"/>
        </w:rPr>
        <w:t>persons</w:t>
      </w:r>
      <w:r w:rsidR="00773B3C" w:rsidRPr="00A51861">
        <w:rPr>
          <w:rFonts w:ascii="Cambria" w:hAnsi="Cambria"/>
          <w:sz w:val="20"/>
          <w:szCs w:val="20"/>
          <w:bdr w:val="none" w:sz="0" w:space="0" w:color="auto"/>
        </w:rPr>
        <w:t xml:space="preserve"> </w:t>
      </w:r>
      <w:r>
        <w:rPr>
          <w:rFonts w:ascii="Cambria" w:hAnsi="Cambria"/>
          <w:sz w:val="20"/>
          <w:szCs w:val="20"/>
          <w:bdr w:val="none" w:sz="0" w:space="0" w:color="auto"/>
        </w:rPr>
        <w:t>placed at the disposal of the NEP during the State of Siege</w:t>
      </w:r>
      <w:r w:rsidR="00773B3C" w:rsidRPr="00A51861">
        <w:rPr>
          <w:rFonts w:ascii="Cambria" w:hAnsi="Cambria"/>
          <w:sz w:val="20"/>
          <w:szCs w:val="20"/>
          <w:bdr w:val="none" w:sz="0" w:space="0" w:color="auto"/>
        </w:rPr>
        <w:t>,</w:t>
      </w:r>
      <w:r w:rsidR="00E92985">
        <w:rPr>
          <w:rFonts w:ascii="Cambria" w:hAnsi="Cambria"/>
          <w:sz w:val="20"/>
          <w:szCs w:val="20"/>
          <w:bdr w:val="none" w:sz="0" w:space="0" w:color="auto"/>
        </w:rPr>
        <w:t xml:space="preserve"> or </w:t>
      </w:r>
      <w:r>
        <w:rPr>
          <w:rFonts w:ascii="Cambria" w:hAnsi="Cambria"/>
          <w:sz w:val="20"/>
          <w:szCs w:val="20"/>
          <w:bdr w:val="none" w:sz="0" w:space="0" w:color="auto"/>
        </w:rPr>
        <w:t xml:space="preserve">being </w:t>
      </w:r>
      <w:r w:rsidR="00773B3C" w:rsidRPr="00A51861">
        <w:rPr>
          <w:rFonts w:ascii="Cambria" w:hAnsi="Cambria"/>
          <w:sz w:val="20"/>
          <w:szCs w:val="20"/>
          <w:bdr w:val="none" w:sz="0" w:space="0" w:color="auto"/>
        </w:rPr>
        <w:t>civil</w:t>
      </w:r>
      <w:r>
        <w:rPr>
          <w:rFonts w:ascii="Cambria" w:hAnsi="Cambria"/>
          <w:sz w:val="20"/>
          <w:szCs w:val="20"/>
          <w:bdr w:val="none" w:sz="0" w:space="0" w:color="auto"/>
        </w:rPr>
        <w:t>ian</w:t>
      </w:r>
      <w:r w:rsidR="00773B3C" w:rsidRPr="00A51861">
        <w:rPr>
          <w:rFonts w:ascii="Cambria" w:hAnsi="Cambria"/>
          <w:sz w:val="20"/>
          <w:szCs w:val="20"/>
          <w:bdr w:val="none" w:sz="0" w:space="0" w:color="auto"/>
        </w:rPr>
        <w:t xml:space="preserve">s, </w:t>
      </w:r>
      <w:r>
        <w:rPr>
          <w:rFonts w:ascii="Cambria" w:hAnsi="Cambria"/>
          <w:sz w:val="20"/>
          <w:szCs w:val="20"/>
          <w:bdr w:val="none" w:sz="0" w:space="0" w:color="auto"/>
        </w:rPr>
        <w:t>suffered</w:t>
      </w:r>
      <w:r w:rsidR="00773B3C" w:rsidRPr="00A51861">
        <w:rPr>
          <w:rFonts w:ascii="Cambria" w:hAnsi="Cambria"/>
          <w:sz w:val="20"/>
          <w:szCs w:val="20"/>
          <w:bdr w:val="none" w:sz="0" w:space="0" w:color="auto"/>
        </w:rPr>
        <w:t xml:space="preserve"> </w:t>
      </w:r>
      <w:r w:rsidR="006E255A">
        <w:rPr>
          <w:rFonts w:ascii="Cambria" w:hAnsi="Cambria"/>
          <w:sz w:val="20"/>
          <w:szCs w:val="20"/>
          <w:bdr w:val="none" w:sz="0" w:space="0" w:color="auto"/>
        </w:rPr>
        <w:t>detention</w:t>
      </w:r>
      <w:r w:rsidR="00773B3C" w:rsidRPr="00A51861">
        <w:rPr>
          <w:rFonts w:ascii="Cambria" w:hAnsi="Cambria"/>
          <w:sz w:val="20"/>
          <w:szCs w:val="20"/>
          <w:bdr w:val="none" w:sz="0" w:space="0" w:color="auto"/>
        </w:rPr>
        <w:t xml:space="preserve"> </w:t>
      </w:r>
      <w:r>
        <w:rPr>
          <w:rFonts w:ascii="Cambria" w:hAnsi="Cambria"/>
          <w:sz w:val="20"/>
          <w:szCs w:val="20"/>
          <w:bdr w:val="none" w:sz="0" w:space="0" w:color="auto"/>
        </w:rPr>
        <w:t>by virtu</w:t>
      </w:r>
      <w:r w:rsidR="00773B3C" w:rsidRPr="00A51861">
        <w:rPr>
          <w:rFonts w:ascii="Cambria" w:hAnsi="Cambria"/>
          <w:sz w:val="20"/>
          <w:szCs w:val="20"/>
          <w:bdr w:val="none" w:sz="0" w:space="0" w:color="auto"/>
        </w:rPr>
        <w:t xml:space="preserve">e </w:t>
      </w:r>
      <w:r w:rsidR="00E92985">
        <w:rPr>
          <w:rFonts w:ascii="Cambria" w:hAnsi="Cambria"/>
          <w:sz w:val="20"/>
          <w:szCs w:val="20"/>
          <w:bdr w:val="none" w:sz="0" w:space="0" w:color="auto"/>
        </w:rPr>
        <w:t xml:space="preserve">of </w:t>
      </w:r>
      <w:r w:rsidR="00404714">
        <w:rPr>
          <w:rFonts w:ascii="Cambria" w:hAnsi="Cambria"/>
          <w:sz w:val="20"/>
          <w:szCs w:val="20"/>
          <w:bdr w:val="none" w:sz="0" w:space="0" w:color="auto"/>
        </w:rPr>
        <w:t xml:space="preserve">acts </w:t>
      </w:r>
      <w:r>
        <w:rPr>
          <w:rFonts w:ascii="Cambria" w:hAnsi="Cambria"/>
          <w:sz w:val="20"/>
          <w:szCs w:val="20"/>
          <w:bdr w:val="none" w:sz="0" w:space="0" w:color="auto"/>
        </w:rPr>
        <w:t xml:space="preserve">from </w:t>
      </w:r>
      <w:r w:rsidR="00F92BA8">
        <w:rPr>
          <w:rFonts w:ascii="Cambria" w:hAnsi="Cambria"/>
          <w:sz w:val="20"/>
          <w:szCs w:val="20"/>
          <w:bdr w:val="none" w:sz="0" w:space="0" w:color="auto"/>
        </w:rPr>
        <w:t>military courts</w:t>
      </w:r>
      <w:r w:rsidR="00773B3C" w:rsidRPr="00A51861">
        <w:rPr>
          <w:rFonts w:ascii="Cambria" w:hAnsi="Cambria"/>
          <w:sz w:val="20"/>
          <w:szCs w:val="20"/>
          <w:bdr w:val="none" w:sz="0" w:space="0" w:color="auto"/>
          <w:vertAlign w:val="superscript"/>
        </w:rPr>
        <w:footnoteReference w:id="233"/>
      </w:r>
      <w:r w:rsidR="00773B3C" w:rsidRPr="00A51861">
        <w:rPr>
          <w:rFonts w:ascii="Cambria" w:hAnsi="Cambria"/>
          <w:sz w:val="20"/>
          <w:szCs w:val="20"/>
          <w:bdr w:val="none" w:sz="0" w:space="0" w:color="auto"/>
        </w:rPr>
        <w:t xml:space="preserve">. </w:t>
      </w:r>
    </w:p>
    <w:p w14:paraId="4A348C95" w14:textId="77777777" w:rsidR="00773B3C" w:rsidRPr="00A51861" w:rsidRDefault="00773B3C" w:rsidP="008E4D36">
      <w:pPr>
        <w:ind w:left="720"/>
        <w:rPr>
          <w:rFonts w:ascii="Cambria" w:hAnsi="Cambria"/>
          <w:color w:val="000000"/>
          <w:sz w:val="20"/>
          <w:szCs w:val="20"/>
          <w:u w:color="000000"/>
          <w:lang w:eastAsia="es-ES"/>
        </w:rPr>
      </w:pPr>
    </w:p>
    <w:p w14:paraId="5D01F9EF" w14:textId="3437007D" w:rsidR="00773B3C" w:rsidRPr="00A51861" w:rsidRDefault="001A0B84"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bdr w:val="none" w:sz="0" w:space="0" w:color="auto"/>
        </w:rPr>
      </w:pPr>
      <w:r>
        <w:rPr>
          <w:rFonts w:ascii="Cambria" w:eastAsia="Calibri" w:hAnsi="Cambria"/>
          <w:sz w:val="20"/>
          <w:szCs w:val="20"/>
          <w:bdr w:val="none" w:sz="0" w:space="0" w:color="auto"/>
        </w:rPr>
        <w:t>In the case of</w:t>
      </w:r>
      <w:r w:rsidR="00773B3C" w:rsidRPr="00A51861">
        <w:rPr>
          <w:rFonts w:ascii="Cambria" w:eastAsia="Calibri" w:hAnsi="Cambria"/>
          <w:sz w:val="20"/>
          <w:szCs w:val="20"/>
          <w:bdr w:val="none" w:sz="0" w:space="0" w:color="auto"/>
        </w:rPr>
        <w:t xml:space="preserve"> Hanríquez </w:t>
      </w:r>
      <w:r>
        <w:rPr>
          <w:rFonts w:ascii="Cambria" w:eastAsia="Calibri" w:hAnsi="Cambria"/>
          <w:sz w:val="20"/>
          <w:szCs w:val="20"/>
          <w:bdr w:val="none" w:sz="0" w:space="0" w:color="auto"/>
        </w:rPr>
        <w:t>regarding</w:t>
      </w:r>
      <w:r w:rsidR="00E92985">
        <w:rPr>
          <w:rFonts w:ascii="Cambria" w:eastAsia="Calibri" w:hAnsi="Cambria"/>
          <w:sz w:val="20"/>
          <w:szCs w:val="20"/>
          <w:bdr w:val="none" w:sz="0" w:space="0" w:color="auto"/>
        </w:rPr>
        <w:t xml:space="preserve"> </w:t>
      </w:r>
      <w:r w:rsidR="00773B3C" w:rsidRPr="00A51861">
        <w:rPr>
          <w:rFonts w:ascii="Cambria" w:eastAsia="Calibri" w:hAnsi="Cambria"/>
          <w:sz w:val="20"/>
          <w:szCs w:val="20"/>
          <w:bdr w:val="none" w:sz="0" w:space="0" w:color="auto"/>
        </w:rPr>
        <w:t xml:space="preserve">Argentina (2000), </w:t>
      </w:r>
      <w:r w:rsidR="00E92985">
        <w:rPr>
          <w:rFonts w:ascii="Cambria" w:eastAsia="Calibri" w:hAnsi="Cambria"/>
          <w:sz w:val="20"/>
          <w:szCs w:val="20"/>
          <w:bdr w:val="none" w:sz="0" w:space="0" w:color="auto"/>
        </w:rPr>
        <w:t>the Commission</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already had</w:t>
      </w:r>
      <w:r w:rsidR="009A4F91">
        <w:rPr>
          <w:rFonts w:ascii="Cambria" w:eastAsia="Calibri" w:hAnsi="Cambria"/>
          <w:sz w:val="20"/>
          <w:szCs w:val="20"/>
          <w:bdr w:val="none" w:sz="0" w:space="0" w:color="auto"/>
        </w:rPr>
        <w:t xml:space="preserve"> the </w:t>
      </w:r>
      <w:r w:rsidRPr="00A51861">
        <w:rPr>
          <w:rFonts w:ascii="Cambria" w:eastAsia="Calibri" w:hAnsi="Cambria"/>
          <w:sz w:val="20"/>
          <w:szCs w:val="20"/>
          <w:bdr w:val="none" w:sz="0" w:space="0" w:color="auto"/>
        </w:rPr>
        <w:t>opportun</w:t>
      </w:r>
      <w:r>
        <w:rPr>
          <w:rFonts w:ascii="Cambria" w:eastAsia="Calibri" w:hAnsi="Cambria"/>
          <w:sz w:val="20"/>
          <w:szCs w:val="20"/>
          <w:bdr w:val="none" w:sz="0" w:space="0" w:color="auto"/>
        </w:rPr>
        <w:t>ity</w:t>
      </w:r>
      <w:r w:rsidR="00FA2E7B">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to</w:t>
      </w:r>
      <w:r w:rsidR="00E92985">
        <w:rPr>
          <w:rFonts w:ascii="Cambria" w:eastAsia="Calibri" w:hAnsi="Cambria"/>
          <w:sz w:val="20"/>
          <w:szCs w:val="20"/>
          <w:bdr w:val="none" w:sz="0" w:space="0" w:color="auto"/>
        </w:rPr>
        <w:t xml:space="preserve"> </w:t>
      </w:r>
      <w:r w:rsidR="00C50F31">
        <w:rPr>
          <w:rFonts w:ascii="Cambria" w:eastAsia="Calibri" w:hAnsi="Cambria"/>
          <w:sz w:val="20"/>
          <w:szCs w:val="20"/>
          <w:bdr w:val="none" w:sz="0" w:space="0" w:color="auto"/>
        </w:rPr>
        <w:t>resolve on</w:t>
      </w:r>
      <w:r w:rsidR="00773B3C" w:rsidRPr="00A51861">
        <w:rPr>
          <w:rFonts w:ascii="Cambria" w:eastAsia="Calibri" w:hAnsi="Cambria"/>
          <w:sz w:val="20"/>
          <w:szCs w:val="20"/>
          <w:bdr w:val="none" w:sz="0" w:space="0" w:color="auto"/>
        </w:rPr>
        <w:t xml:space="preserve"> </w:t>
      </w:r>
      <w:r w:rsidR="002835FC" w:rsidRPr="00A51861">
        <w:rPr>
          <w:rFonts w:ascii="Cambria" w:hAnsi="Cambria"/>
          <w:sz w:val="20"/>
          <w:szCs w:val="20"/>
          <w:bdr w:val="none" w:sz="0" w:space="0" w:color="auto"/>
        </w:rPr>
        <w:t xml:space="preserve">Law </w:t>
      </w:r>
      <w:r w:rsidR="00773B3C" w:rsidRPr="00A51861">
        <w:rPr>
          <w:rFonts w:ascii="Cambria" w:eastAsia="Calibri" w:hAnsi="Cambria"/>
          <w:sz w:val="20"/>
          <w:szCs w:val="20"/>
          <w:bdr w:val="none" w:sz="0" w:space="0" w:color="auto"/>
        </w:rPr>
        <w:t xml:space="preserve">24.043, </w:t>
      </w:r>
      <w:r w:rsidR="00C50F31">
        <w:rPr>
          <w:rFonts w:ascii="Cambria" w:eastAsia="Calibri" w:hAnsi="Cambria"/>
          <w:sz w:val="20"/>
          <w:szCs w:val="20"/>
          <w:bdr w:val="none" w:sz="0" w:space="0" w:color="auto"/>
        </w:rPr>
        <w:t>stating that</w:t>
      </w:r>
      <w:r w:rsidR="00773B3C" w:rsidRPr="00A51861">
        <w:rPr>
          <w:rFonts w:ascii="Cambria" w:eastAsia="Calibri" w:hAnsi="Cambria"/>
          <w:sz w:val="20"/>
          <w:szCs w:val="20"/>
          <w:bdr w:val="none" w:sz="0" w:space="0" w:color="auto"/>
        </w:rPr>
        <w:t xml:space="preserve"> “</w:t>
      </w:r>
      <w:r w:rsidR="00C50F31">
        <w:rPr>
          <w:rFonts w:ascii="Cambria" w:eastAsia="Calibri" w:hAnsi="Cambria"/>
          <w:sz w:val="20"/>
          <w:szCs w:val="20"/>
          <w:bdr w:val="none" w:sz="0" w:space="0" w:color="auto"/>
        </w:rPr>
        <w:t xml:space="preserve">it is not intended to </w:t>
      </w:r>
      <w:r w:rsidR="00773B3C" w:rsidRPr="00A51861">
        <w:rPr>
          <w:rFonts w:ascii="Cambria" w:eastAsia="Calibri" w:hAnsi="Cambria"/>
          <w:sz w:val="20"/>
          <w:szCs w:val="20"/>
          <w:bdr w:val="none" w:sz="0" w:space="0" w:color="auto"/>
        </w:rPr>
        <w:t>establ</w:t>
      </w:r>
      <w:r w:rsidR="00C50F31">
        <w:rPr>
          <w:rFonts w:ascii="Cambria" w:eastAsia="Calibri" w:hAnsi="Cambria"/>
          <w:sz w:val="20"/>
          <w:szCs w:val="20"/>
          <w:bdr w:val="none" w:sz="0" w:space="0" w:color="auto"/>
        </w:rPr>
        <w:t>ish</w:t>
      </w:r>
      <w:r w:rsidR="00773B3C" w:rsidRPr="00A51861">
        <w:rPr>
          <w:rFonts w:ascii="Cambria" w:eastAsia="Calibri" w:hAnsi="Cambria"/>
          <w:sz w:val="20"/>
          <w:szCs w:val="20"/>
          <w:bdr w:val="none" w:sz="0" w:space="0" w:color="auto"/>
        </w:rPr>
        <w:t xml:space="preserve"> </w:t>
      </w:r>
      <w:r w:rsidR="00C50F31">
        <w:rPr>
          <w:rFonts w:ascii="Cambria" w:eastAsia="Calibri" w:hAnsi="Cambria"/>
          <w:sz w:val="20"/>
          <w:szCs w:val="20"/>
          <w:bdr w:val="none" w:sz="0" w:space="0" w:color="auto"/>
        </w:rPr>
        <w:t>a substantial right to</w:t>
      </w:r>
      <w:r w:rsidR="00773B3C" w:rsidRPr="00A51861">
        <w:rPr>
          <w:rFonts w:ascii="Cambria" w:eastAsia="Calibri" w:hAnsi="Cambria"/>
          <w:sz w:val="20"/>
          <w:szCs w:val="20"/>
          <w:bdr w:val="none" w:sz="0" w:space="0" w:color="auto"/>
        </w:rPr>
        <w:t xml:space="preserve"> </w:t>
      </w:r>
      <w:r w:rsidR="00C50F31">
        <w:rPr>
          <w:rFonts w:ascii="Cambria" w:eastAsia="Calibri" w:hAnsi="Cambria"/>
          <w:sz w:val="20"/>
          <w:szCs w:val="20"/>
          <w:bdr w:val="none" w:sz="0" w:space="0" w:color="auto"/>
        </w:rPr>
        <w:t>compensation</w:t>
      </w:r>
      <w:r w:rsidR="00773B3C" w:rsidRPr="00A51861">
        <w:rPr>
          <w:rFonts w:ascii="Cambria" w:eastAsia="Calibri" w:hAnsi="Cambria"/>
          <w:sz w:val="20"/>
          <w:szCs w:val="20"/>
          <w:bdr w:val="none" w:sz="0" w:space="0" w:color="auto"/>
        </w:rPr>
        <w:t xml:space="preserve"> </w:t>
      </w:r>
      <w:r w:rsidR="00C50F31">
        <w:rPr>
          <w:rFonts w:ascii="Cambria" w:eastAsia="Calibri" w:hAnsi="Cambria"/>
          <w:sz w:val="20"/>
          <w:szCs w:val="20"/>
          <w:bdr w:val="none" w:sz="0" w:space="0" w:color="auto"/>
        </w:rPr>
        <w:t>for persons</w:t>
      </w:r>
      <w:r w:rsidR="00773B3C" w:rsidRPr="00A51861">
        <w:rPr>
          <w:rFonts w:ascii="Cambria" w:eastAsia="Calibri" w:hAnsi="Cambria"/>
          <w:sz w:val="20"/>
          <w:szCs w:val="20"/>
          <w:bdr w:val="none" w:sz="0" w:space="0" w:color="auto"/>
        </w:rPr>
        <w:t xml:space="preserve"> </w:t>
      </w:r>
      <w:r w:rsidR="00C50F31">
        <w:rPr>
          <w:rFonts w:ascii="Cambria" w:eastAsia="Calibri" w:hAnsi="Cambria"/>
          <w:sz w:val="20"/>
          <w:szCs w:val="20"/>
          <w:bdr w:val="none" w:sz="0" w:space="0" w:color="auto"/>
        </w:rPr>
        <w:t>included in it,</w:t>
      </w:r>
      <w:r w:rsidR="004969F4">
        <w:rPr>
          <w:rFonts w:ascii="Cambria" w:eastAsia="Calibri" w:hAnsi="Cambria"/>
          <w:sz w:val="20"/>
          <w:szCs w:val="20"/>
          <w:bdr w:val="none" w:sz="0" w:space="0" w:color="auto"/>
        </w:rPr>
        <w:t xml:space="preserve"> </w:t>
      </w:r>
      <w:r w:rsidR="00C50F31">
        <w:rPr>
          <w:rFonts w:ascii="Cambria" w:eastAsia="Calibri" w:hAnsi="Cambria"/>
          <w:sz w:val="20"/>
          <w:szCs w:val="20"/>
          <w:bdr w:val="none" w:sz="0" w:space="0" w:color="auto"/>
        </w:rPr>
        <w:t>from which</w:t>
      </w:r>
      <w:r w:rsidR="00773B3C" w:rsidRPr="00A51861">
        <w:rPr>
          <w:rFonts w:ascii="Cambria" w:eastAsia="Calibri" w:hAnsi="Cambria"/>
          <w:sz w:val="20"/>
          <w:szCs w:val="20"/>
          <w:bdr w:val="none" w:sz="0" w:space="0" w:color="auto"/>
        </w:rPr>
        <w:t xml:space="preserve"> </w:t>
      </w:r>
      <w:r w:rsidR="00C50F31">
        <w:rPr>
          <w:rFonts w:ascii="Cambria" w:eastAsia="Calibri" w:hAnsi="Cambria"/>
          <w:sz w:val="20"/>
          <w:szCs w:val="20"/>
          <w:bdr w:val="none" w:sz="0" w:space="0" w:color="auto"/>
        </w:rPr>
        <w:t>persons</w:t>
      </w:r>
      <w:r w:rsidR="00C50F31" w:rsidRPr="00A51861">
        <w:rPr>
          <w:rFonts w:ascii="Cambria" w:eastAsia="Calibri" w:hAnsi="Cambria"/>
          <w:sz w:val="20"/>
          <w:szCs w:val="20"/>
          <w:bdr w:val="none" w:sz="0" w:space="0" w:color="auto"/>
        </w:rPr>
        <w:t xml:space="preserve"> </w:t>
      </w:r>
      <w:r w:rsidR="00C50F31">
        <w:rPr>
          <w:rFonts w:ascii="Cambria" w:eastAsia="Calibri" w:hAnsi="Cambria"/>
          <w:sz w:val="20"/>
          <w:szCs w:val="20"/>
          <w:bdr w:val="none" w:sz="0" w:space="0" w:color="auto"/>
        </w:rPr>
        <w:t>who are not be excluded</w:t>
      </w:r>
      <w:r w:rsidR="00773B3C" w:rsidRPr="00A51861">
        <w:rPr>
          <w:rFonts w:ascii="Cambria" w:eastAsia="Calibri" w:hAnsi="Cambria"/>
          <w:sz w:val="20"/>
          <w:szCs w:val="20"/>
          <w:bdr w:val="none" w:sz="0" w:space="0" w:color="auto"/>
        </w:rPr>
        <w:t xml:space="preserve">”, </w:t>
      </w:r>
      <w:r w:rsidR="00C50F31">
        <w:rPr>
          <w:rFonts w:ascii="Cambria" w:eastAsia="Calibri" w:hAnsi="Cambria"/>
          <w:sz w:val="20"/>
          <w:szCs w:val="20"/>
          <w:bdr w:val="none" w:sz="0" w:space="0" w:color="auto"/>
        </w:rPr>
        <w:t>since</w:t>
      </w:r>
      <w:r w:rsidR="009A4F91">
        <w:rPr>
          <w:rFonts w:ascii="Cambria" w:eastAsia="Calibri" w:hAnsi="Cambria"/>
          <w:sz w:val="20"/>
          <w:szCs w:val="20"/>
          <w:bdr w:val="none" w:sz="0" w:space="0" w:color="auto"/>
        </w:rPr>
        <w:t xml:space="preserve"> the </w:t>
      </w:r>
      <w:r>
        <w:rPr>
          <w:rFonts w:ascii="Cambria" w:eastAsia="Calibri" w:hAnsi="Cambria"/>
          <w:sz w:val="20"/>
          <w:szCs w:val="20"/>
          <w:bdr w:val="none" w:sz="0" w:space="0" w:color="auto"/>
        </w:rPr>
        <w:t>reparation</w:t>
      </w:r>
      <w:r w:rsidR="00773B3C" w:rsidRPr="00A51861">
        <w:rPr>
          <w:rFonts w:ascii="Cambria" w:eastAsia="Calibri" w:hAnsi="Cambria"/>
          <w:sz w:val="20"/>
          <w:szCs w:val="20"/>
          <w:bdr w:val="none" w:sz="0" w:space="0" w:color="auto"/>
        </w:rPr>
        <w:t xml:space="preserve"> </w:t>
      </w:r>
      <w:r w:rsidR="00C50F31">
        <w:rPr>
          <w:rFonts w:ascii="Cambria" w:eastAsia="Calibri" w:hAnsi="Cambria"/>
          <w:sz w:val="20"/>
          <w:szCs w:val="20"/>
          <w:bdr w:val="none" w:sz="0" w:space="0" w:color="auto"/>
        </w:rPr>
        <w:t>f</w:t>
      </w:r>
      <w:r w:rsidR="00773B3C" w:rsidRPr="00A51861">
        <w:rPr>
          <w:rFonts w:ascii="Cambria" w:eastAsia="Calibri" w:hAnsi="Cambria"/>
          <w:sz w:val="20"/>
          <w:szCs w:val="20"/>
          <w:bdr w:val="none" w:sz="0" w:space="0" w:color="auto"/>
        </w:rPr>
        <w:t>or</w:t>
      </w:r>
      <w:r w:rsidR="009A4F91">
        <w:rPr>
          <w:rFonts w:ascii="Cambria" w:eastAsia="Calibri" w:hAnsi="Cambria"/>
          <w:sz w:val="20"/>
          <w:szCs w:val="20"/>
          <w:bdr w:val="none" w:sz="0" w:space="0" w:color="auto"/>
        </w:rPr>
        <w:t xml:space="preserve"> the </w:t>
      </w:r>
      <w:r w:rsidR="004E1083">
        <w:rPr>
          <w:rFonts w:ascii="Cambria" w:eastAsia="Calibri" w:hAnsi="Cambria"/>
          <w:sz w:val="20"/>
          <w:szCs w:val="20"/>
          <w:bdr w:val="none" w:sz="0" w:space="0" w:color="auto"/>
        </w:rPr>
        <w:t>violation</w:t>
      </w:r>
      <w:r w:rsidR="00E92985">
        <w:rPr>
          <w:rFonts w:ascii="Cambria" w:eastAsia="Calibri" w:hAnsi="Cambria"/>
          <w:sz w:val="20"/>
          <w:szCs w:val="20"/>
          <w:bdr w:val="none" w:sz="0" w:space="0" w:color="auto"/>
        </w:rPr>
        <w:t xml:space="preserve"> of </w:t>
      </w:r>
      <w:r w:rsidR="00C50F31">
        <w:rPr>
          <w:rFonts w:ascii="Cambria" w:eastAsia="Calibri" w:hAnsi="Cambria"/>
          <w:sz w:val="20"/>
          <w:szCs w:val="20"/>
          <w:bdr w:val="none" w:sz="0" w:space="0" w:color="auto"/>
        </w:rPr>
        <w:t>an</w:t>
      </w:r>
      <w:r w:rsidR="00773B3C" w:rsidRPr="00A51861">
        <w:rPr>
          <w:rFonts w:ascii="Cambria" w:eastAsia="Calibri" w:hAnsi="Cambria"/>
          <w:sz w:val="20"/>
          <w:szCs w:val="20"/>
          <w:bdr w:val="none" w:sz="0" w:space="0" w:color="auto"/>
        </w:rPr>
        <w:t xml:space="preserve"> </w:t>
      </w:r>
      <w:r w:rsidR="00EF4ED2">
        <w:rPr>
          <w:rFonts w:ascii="Cambria" w:eastAsia="Calibri" w:hAnsi="Cambria"/>
          <w:sz w:val="20"/>
          <w:szCs w:val="20"/>
          <w:bdr w:val="none" w:sz="0" w:space="0" w:color="auto"/>
        </w:rPr>
        <w:t>international</w:t>
      </w:r>
      <w:r w:rsidR="00773B3C" w:rsidRPr="00A51861">
        <w:rPr>
          <w:rFonts w:ascii="Cambria" w:eastAsia="Calibri" w:hAnsi="Cambria"/>
          <w:sz w:val="20"/>
          <w:szCs w:val="20"/>
          <w:bdr w:val="none" w:sz="0" w:space="0" w:color="auto"/>
        </w:rPr>
        <w:t xml:space="preserve"> </w:t>
      </w:r>
      <w:r w:rsidR="00C50F31">
        <w:rPr>
          <w:rFonts w:ascii="Cambria" w:eastAsia="Calibri" w:hAnsi="Cambria"/>
          <w:sz w:val="20"/>
          <w:szCs w:val="20"/>
          <w:bdr w:val="none" w:sz="0" w:space="0" w:color="auto"/>
        </w:rPr>
        <w:t>obligation</w:t>
      </w:r>
      <w:r w:rsidR="00C50F31" w:rsidRPr="00A51861">
        <w:rPr>
          <w:rFonts w:ascii="Cambria" w:eastAsia="Calibri" w:hAnsi="Cambria"/>
          <w:sz w:val="20"/>
          <w:szCs w:val="20"/>
          <w:bdr w:val="none" w:sz="0" w:space="0" w:color="auto"/>
        </w:rPr>
        <w:t xml:space="preserve"> </w:t>
      </w:r>
      <w:r w:rsidR="00F92BA8">
        <w:rPr>
          <w:rFonts w:ascii="Cambria" w:eastAsia="Calibri" w:hAnsi="Cambria"/>
          <w:sz w:val="20"/>
          <w:szCs w:val="20"/>
          <w:bdr w:val="none" w:sz="0" w:space="0" w:color="auto"/>
        </w:rPr>
        <w:t>of the State</w:t>
      </w:r>
      <w:r w:rsidR="00773B3C" w:rsidRPr="00A51861">
        <w:rPr>
          <w:rFonts w:ascii="Cambria" w:eastAsia="Calibri" w:hAnsi="Cambria"/>
          <w:sz w:val="20"/>
          <w:szCs w:val="20"/>
          <w:bdr w:val="none" w:sz="0" w:space="0" w:color="auto"/>
        </w:rPr>
        <w:t xml:space="preserve">, </w:t>
      </w:r>
      <w:r w:rsidR="00C50F31">
        <w:rPr>
          <w:rFonts w:ascii="Cambria" w:eastAsia="Calibri" w:hAnsi="Cambria"/>
          <w:sz w:val="20"/>
          <w:szCs w:val="20"/>
          <w:bdr w:val="none" w:sz="0" w:space="0" w:color="auto"/>
        </w:rPr>
        <w:t>as for example a</w:t>
      </w:r>
      <w:r w:rsidR="00773B3C" w:rsidRPr="00A51861">
        <w:rPr>
          <w:rFonts w:ascii="Cambria" w:eastAsia="Calibri" w:hAnsi="Cambria"/>
          <w:sz w:val="20"/>
          <w:szCs w:val="20"/>
          <w:bdr w:val="none" w:sz="0" w:space="0" w:color="auto"/>
        </w:rPr>
        <w:t xml:space="preserve"> </w:t>
      </w:r>
      <w:r w:rsidR="00B920CA">
        <w:rPr>
          <w:rFonts w:ascii="Cambria" w:eastAsia="Calibri" w:hAnsi="Cambria"/>
          <w:sz w:val="20"/>
          <w:szCs w:val="20"/>
          <w:bdr w:val="none" w:sz="0" w:space="0" w:color="auto"/>
        </w:rPr>
        <w:t>restriction</w:t>
      </w:r>
      <w:r w:rsidR="00773B3C" w:rsidRPr="00A51861">
        <w:rPr>
          <w:rFonts w:ascii="Cambria" w:eastAsia="Calibri" w:hAnsi="Cambria"/>
          <w:sz w:val="20"/>
          <w:szCs w:val="20"/>
          <w:bdr w:val="none" w:sz="0" w:space="0" w:color="auto"/>
        </w:rPr>
        <w:t xml:space="preserve"> </w:t>
      </w:r>
      <w:r w:rsidR="00C50F31">
        <w:rPr>
          <w:rFonts w:ascii="Cambria" w:eastAsia="Calibri" w:hAnsi="Cambria"/>
          <w:sz w:val="20"/>
          <w:szCs w:val="20"/>
          <w:bdr w:val="none" w:sz="0" w:space="0" w:color="auto"/>
        </w:rPr>
        <w:t>to</w:t>
      </w:r>
      <w:r w:rsidR="009A4F91">
        <w:rPr>
          <w:rFonts w:ascii="Cambria" w:eastAsia="Calibri" w:hAnsi="Cambria"/>
          <w:sz w:val="20"/>
          <w:szCs w:val="20"/>
          <w:bdr w:val="none" w:sz="0" w:space="0" w:color="auto"/>
        </w:rPr>
        <w:t xml:space="preserve"> </w:t>
      </w:r>
      <w:r w:rsidR="00986A65">
        <w:rPr>
          <w:rFonts w:ascii="Cambria" w:eastAsia="Calibri" w:hAnsi="Cambria"/>
          <w:sz w:val="20"/>
          <w:szCs w:val="20"/>
          <w:bdr w:val="none" w:sz="0" w:space="0" w:color="auto"/>
        </w:rPr>
        <w:t>personal liberty</w:t>
      </w:r>
      <w:r w:rsidR="00773B3C" w:rsidRPr="00A51861">
        <w:rPr>
          <w:rFonts w:ascii="Cambria" w:eastAsia="Calibri" w:hAnsi="Cambria"/>
          <w:sz w:val="20"/>
          <w:szCs w:val="20"/>
          <w:bdr w:val="none" w:sz="0" w:space="0" w:color="auto"/>
        </w:rPr>
        <w:t xml:space="preserve">, </w:t>
      </w:r>
      <w:r w:rsidR="00C50F31">
        <w:rPr>
          <w:rFonts w:ascii="Cambria" w:eastAsia="Calibri" w:hAnsi="Cambria"/>
          <w:sz w:val="20"/>
          <w:szCs w:val="20"/>
          <w:bdr w:val="none" w:sz="0" w:space="0" w:color="auto"/>
        </w:rPr>
        <w:t>is not of optional but imperative compliance</w:t>
      </w:r>
      <w:r w:rsidR="00773B3C" w:rsidRPr="00A51861">
        <w:rPr>
          <w:rFonts w:ascii="Cambria" w:eastAsia="Calibri" w:hAnsi="Cambria"/>
          <w:sz w:val="20"/>
          <w:szCs w:val="20"/>
          <w:bdr w:val="none" w:sz="0" w:space="0" w:color="auto"/>
          <w:vertAlign w:val="superscript"/>
        </w:rPr>
        <w:footnoteReference w:id="234"/>
      </w:r>
      <w:r w:rsidR="00773B3C" w:rsidRPr="00A51861">
        <w:rPr>
          <w:rFonts w:ascii="Cambria" w:eastAsia="Calibri" w:hAnsi="Cambria"/>
          <w:sz w:val="20"/>
          <w:szCs w:val="20"/>
          <w:bdr w:val="none" w:sz="0" w:space="0" w:color="auto"/>
        </w:rPr>
        <w:t xml:space="preserve">. </w:t>
      </w:r>
      <w:r w:rsidR="002B762A">
        <w:rPr>
          <w:rFonts w:ascii="Cambria" w:eastAsia="Calibri" w:hAnsi="Cambria"/>
          <w:sz w:val="20"/>
          <w:szCs w:val="20"/>
          <w:bdr w:val="none" w:sz="0" w:space="0" w:color="auto"/>
        </w:rPr>
        <w:t>In this sense</w:t>
      </w:r>
      <w:r w:rsidR="00773B3C" w:rsidRPr="00A51861">
        <w:rPr>
          <w:rFonts w:ascii="Cambria" w:eastAsia="Calibri" w:hAnsi="Cambria"/>
          <w:sz w:val="20"/>
          <w:szCs w:val="20"/>
          <w:bdr w:val="none" w:sz="0" w:space="0" w:color="auto"/>
        </w:rPr>
        <w:t xml:space="preserve">, </w:t>
      </w:r>
      <w:r w:rsidR="00A51861" w:rsidRPr="00A51861">
        <w:rPr>
          <w:rFonts w:ascii="Cambria" w:eastAsia="Calibri" w:hAnsi="Cambria"/>
          <w:sz w:val="20"/>
          <w:szCs w:val="20"/>
          <w:bdr w:val="none" w:sz="0" w:space="0" w:color="auto"/>
        </w:rPr>
        <w:t>the IACHR</w:t>
      </w:r>
      <w:r w:rsidR="00773B3C" w:rsidRPr="00A51861">
        <w:rPr>
          <w:rFonts w:ascii="Cambria" w:eastAsia="Calibri" w:hAnsi="Cambria"/>
          <w:sz w:val="20"/>
          <w:szCs w:val="20"/>
          <w:bdr w:val="none" w:sz="0" w:space="0" w:color="auto"/>
        </w:rPr>
        <w:t xml:space="preserve"> consider</w:t>
      </w:r>
      <w:r w:rsidR="00C50F31">
        <w:rPr>
          <w:rFonts w:ascii="Cambria" w:eastAsia="Calibri" w:hAnsi="Cambria"/>
          <w:sz w:val="20"/>
          <w:szCs w:val="20"/>
          <w:bdr w:val="none" w:sz="0" w:space="0" w:color="auto"/>
        </w:rPr>
        <w:t>ed</w:t>
      </w:r>
      <w:r w:rsidR="00773B3C" w:rsidRPr="00A51861">
        <w:rPr>
          <w:rFonts w:ascii="Cambria" w:eastAsia="Calibri" w:hAnsi="Cambria"/>
          <w:sz w:val="20"/>
          <w:szCs w:val="20"/>
          <w:bdr w:val="none" w:sz="0" w:space="0" w:color="auto"/>
        </w:rPr>
        <w:t xml:space="preserve"> </w:t>
      </w:r>
      <w:r w:rsidR="00C50F31">
        <w:rPr>
          <w:rFonts w:ascii="Cambria" w:eastAsia="Calibri" w:hAnsi="Cambria"/>
          <w:sz w:val="20"/>
          <w:szCs w:val="20"/>
          <w:bdr w:val="none" w:sz="0" w:space="0" w:color="auto"/>
        </w:rPr>
        <w:t>that</w:t>
      </w:r>
      <w:r w:rsidR="00773B3C" w:rsidRPr="00A51861">
        <w:rPr>
          <w:rFonts w:ascii="Cambria" w:eastAsia="Calibri" w:hAnsi="Cambria"/>
          <w:sz w:val="20"/>
          <w:szCs w:val="20"/>
          <w:bdr w:val="none" w:sz="0" w:space="0" w:color="auto"/>
        </w:rPr>
        <w:t xml:space="preserve"> “</w:t>
      </w:r>
      <w:r w:rsidR="002835FC" w:rsidRPr="00A51861">
        <w:rPr>
          <w:rFonts w:ascii="Cambria" w:eastAsia="Calibri" w:hAnsi="Cambria"/>
          <w:sz w:val="20"/>
          <w:szCs w:val="20"/>
          <w:bdr w:val="none" w:sz="0" w:space="0" w:color="auto"/>
        </w:rPr>
        <w:t xml:space="preserve">Law </w:t>
      </w:r>
      <w:r w:rsidR="00773B3C" w:rsidRPr="00A51861">
        <w:rPr>
          <w:rFonts w:ascii="Cambria" w:eastAsia="Calibri" w:hAnsi="Cambria"/>
          <w:sz w:val="20"/>
          <w:szCs w:val="20"/>
          <w:bdr w:val="none" w:sz="0" w:space="0" w:color="auto"/>
        </w:rPr>
        <w:t xml:space="preserve">24.043 </w:t>
      </w:r>
      <w:r w:rsidR="00C50F31">
        <w:rPr>
          <w:rFonts w:ascii="Cambria" w:eastAsia="Calibri" w:hAnsi="Cambria"/>
          <w:sz w:val="20"/>
          <w:szCs w:val="20"/>
          <w:bdr w:val="none" w:sz="0" w:space="0" w:color="auto"/>
        </w:rPr>
        <w:t xml:space="preserve">only </w:t>
      </w:r>
      <w:r w:rsidR="00773B3C" w:rsidRPr="00A51861">
        <w:rPr>
          <w:rFonts w:ascii="Cambria" w:hAnsi="Cambria"/>
          <w:color w:val="000000" w:themeColor="text1"/>
          <w:sz w:val="20"/>
          <w:szCs w:val="20"/>
        </w:rPr>
        <w:t>regula</w:t>
      </w:r>
      <w:r w:rsidR="00C50F31">
        <w:rPr>
          <w:rFonts w:ascii="Cambria" w:hAnsi="Cambria"/>
          <w:color w:val="000000" w:themeColor="text1"/>
          <w:sz w:val="20"/>
          <w:szCs w:val="20"/>
        </w:rPr>
        <w:t>tes</w:t>
      </w:r>
      <w:r w:rsidR="00773B3C" w:rsidRPr="00A51861">
        <w:rPr>
          <w:rFonts w:ascii="Cambria" w:eastAsia="Calibri" w:hAnsi="Cambria"/>
          <w:sz w:val="20"/>
          <w:szCs w:val="20"/>
          <w:bdr w:val="none" w:sz="0" w:space="0" w:color="auto"/>
        </w:rPr>
        <w:t xml:space="preserve"> </w:t>
      </w:r>
      <w:r w:rsidR="00C50F31">
        <w:rPr>
          <w:rFonts w:ascii="Cambria" w:eastAsia="Calibri" w:hAnsi="Cambria"/>
          <w:sz w:val="20"/>
          <w:szCs w:val="20"/>
          <w:bdr w:val="none" w:sz="0" w:space="0" w:color="auto"/>
        </w:rPr>
        <w:t>a</w:t>
      </w:r>
      <w:r w:rsidR="00773B3C" w:rsidRPr="00A51861">
        <w:rPr>
          <w:rFonts w:ascii="Cambria" w:eastAsia="Calibri" w:hAnsi="Cambria"/>
          <w:sz w:val="20"/>
          <w:szCs w:val="20"/>
          <w:bdr w:val="none" w:sz="0" w:space="0" w:color="auto"/>
        </w:rPr>
        <w:t xml:space="preserve"> special </w:t>
      </w:r>
      <w:r w:rsidR="00C50F31" w:rsidRPr="00A51861">
        <w:rPr>
          <w:rFonts w:ascii="Cambria" w:eastAsia="Calibri" w:hAnsi="Cambria"/>
          <w:sz w:val="20"/>
          <w:szCs w:val="20"/>
          <w:bdr w:val="none" w:sz="0" w:space="0" w:color="auto"/>
        </w:rPr>
        <w:t>proced</w:t>
      </w:r>
      <w:r w:rsidR="00C50F31">
        <w:rPr>
          <w:rFonts w:ascii="Cambria" w:eastAsia="Calibri" w:hAnsi="Cambria"/>
          <w:sz w:val="20"/>
          <w:szCs w:val="20"/>
          <w:bdr w:val="none" w:sz="0" w:space="0" w:color="auto"/>
        </w:rPr>
        <w:t>ure</w:t>
      </w:r>
      <w:r w:rsidR="00C50F31" w:rsidRPr="00A51861">
        <w:rPr>
          <w:rFonts w:ascii="Cambria" w:eastAsia="Calibri" w:hAnsi="Cambria"/>
          <w:sz w:val="20"/>
          <w:szCs w:val="20"/>
          <w:bdr w:val="none" w:sz="0" w:space="0" w:color="auto"/>
        </w:rPr>
        <w:t xml:space="preserve"> </w:t>
      </w:r>
      <w:r w:rsidR="00C50F31">
        <w:rPr>
          <w:rFonts w:ascii="Cambria" w:eastAsia="Calibri" w:hAnsi="Cambria"/>
          <w:sz w:val="20"/>
          <w:szCs w:val="20"/>
          <w:bdr w:val="none" w:sz="0" w:space="0" w:color="auto"/>
        </w:rPr>
        <w:t>to be applied in</w:t>
      </w:r>
      <w:r w:rsidR="009A4F91">
        <w:rPr>
          <w:rFonts w:ascii="Cambria" w:eastAsia="Calibri" w:hAnsi="Cambria"/>
          <w:sz w:val="20"/>
          <w:szCs w:val="20"/>
          <w:bdr w:val="none" w:sz="0" w:space="0" w:color="auto"/>
        </w:rPr>
        <w:t xml:space="preserve"> the </w:t>
      </w:r>
      <w:r w:rsidR="00C50F31" w:rsidRPr="00A51861">
        <w:rPr>
          <w:rFonts w:ascii="Cambria" w:eastAsia="Calibri" w:hAnsi="Cambria"/>
          <w:sz w:val="20"/>
          <w:szCs w:val="20"/>
          <w:bdr w:val="none" w:sz="0" w:space="0" w:color="auto"/>
        </w:rPr>
        <w:t>determination</w:t>
      </w:r>
      <w:r w:rsidR="00773B3C" w:rsidRPr="00A51861">
        <w:rPr>
          <w:rFonts w:ascii="Cambria" w:eastAsia="Calibri" w:hAnsi="Cambria"/>
          <w:sz w:val="20"/>
          <w:szCs w:val="20"/>
          <w:bdr w:val="none" w:sz="0" w:space="0" w:color="auto"/>
        </w:rPr>
        <w:t>: a)</w:t>
      </w:r>
      <w:r w:rsidR="00E92985">
        <w:rPr>
          <w:rFonts w:ascii="Cambria" w:eastAsia="Calibri" w:hAnsi="Cambria"/>
          <w:sz w:val="20"/>
          <w:szCs w:val="20"/>
          <w:bdr w:val="none" w:sz="0" w:space="0" w:color="auto"/>
        </w:rPr>
        <w:t xml:space="preserve"> </w:t>
      </w:r>
      <w:r w:rsidR="00C50F31">
        <w:rPr>
          <w:rFonts w:ascii="Cambria" w:eastAsia="Calibri" w:hAnsi="Cambria"/>
          <w:sz w:val="20"/>
          <w:szCs w:val="20"/>
          <w:bdr w:val="none" w:sz="0" w:space="0" w:color="auto"/>
        </w:rPr>
        <w:t>of the existence of a</w:t>
      </w:r>
      <w:r w:rsidR="00A65E37">
        <w:rPr>
          <w:rFonts w:ascii="Cambria" w:eastAsia="Calibri" w:hAnsi="Cambria"/>
          <w:sz w:val="20"/>
          <w:szCs w:val="20"/>
          <w:bdr w:val="none" w:sz="0" w:space="0" w:color="auto"/>
        </w:rPr>
        <w:t xml:space="preserve"> right to</w:t>
      </w:r>
      <w:r w:rsidR="00773B3C" w:rsidRPr="00A51861">
        <w:rPr>
          <w:rFonts w:ascii="Cambria" w:eastAsia="Calibri" w:hAnsi="Cambria"/>
          <w:sz w:val="20"/>
          <w:szCs w:val="20"/>
          <w:bdr w:val="none" w:sz="0" w:space="0" w:color="auto"/>
        </w:rPr>
        <w:t xml:space="preserve"> </w:t>
      </w:r>
      <w:r w:rsidR="00C50F31">
        <w:rPr>
          <w:rFonts w:ascii="Cambria" w:eastAsia="Calibri" w:hAnsi="Cambria"/>
          <w:sz w:val="20"/>
          <w:szCs w:val="20"/>
          <w:bdr w:val="none" w:sz="0" w:space="0" w:color="auto"/>
        </w:rPr>
        <w:t>compensation</w:t>
      </w:r>
      <w:r w:rsidR="00773B3C" w:rsidRPr="00A51861">
        <w:rPr>
          <w:rFonts w:ascii="Cambria" w:eastAsia="Calibri" w:hAnsi="Cambria"/>
          <w:sz w:val="20"/>
          <w:szCs w:val="20"/>
          <w:bdr w:val="none" w:sz="0" w:space="0" w:color="auto"/>
        </w:rPr>
        <w:t xml:space="preserve"> </w:t>
      </w:r>
      <w:r w:rsidR="00C50F31">
        <w:rPr>
          <w:rFonts w:ascii="Cambria" w:eastAsia="Calibri" w:hAnsi="Cambria"/>
          <w:sz w:val="20"/>
          <w:szCs w:val="20"/>
          <w:bdr w:val="none" w:sz="0" w:space="0" w:color="auto"/>
        </w:rPr>
        <w:t>in someone’s mind</w:t>
      </w:r>
      <w:r w:rsidR="00773B3C" w:rsidRPr="00A51861">
        <w:rPr>
          <w:rFonts w:ascii="Cambria" w:eastAsia="Calibri" w:hAnsi="Cambria"/>
          <w:sz w:val="20"/>
          <w:szCs w:val="20"/>
          <w:bdr w:val="none" w:sz="0" w:space="0" w:color="auto"/>
        </w:rPr>
        <w:t>, b)</w:t>
      </w:r>
      <w:r w:rsidR="004969F4">
        <w:rPr>
          <w:rFonts w:ascii="Cambria" w:eastAsia="Calibri" w:hAnsi="Cambria"/>
          <w:sz w:val="20"/>
          <w:szCs w:val="20"/>
          <w:bdr w:val="none" w:sz="0" w:space="0" w:color="auto"/>
        </w:rPr>
        <w:t xml:space="preserve"> of </w:t>
      </w:r>
      <w:r w:rsidR="00C50F31">
        <w:rPr>
          <w:rFonts w:ascii="Cambria" w:eastAsia="Calibri" w:hAnsi="Cambria"/>
          <w:sz w:val="20"/>
          <w:szCs w:val="20"/>
          <w:bdr w:val="none" w:sz="0" w:space="0" w:color="auto"/>
        </w:rPr>
        <w:t>its amount</w:t>
      </w:r>
      <w:r w:rsidR="00773B3C" w:rsidRPr="00A51861">
        <w:rPr>
          <w:rFonts w:ascii="Cambria" w:eastAsia="Calibri" w:hAnsi="Cambria"/>
          <w:sz w:val="20"/>
          <w:szCs w:val="20"/>
          <w:bdr w:val="none" w:sz="0" w:space="0" w:color="auto"/>
        </w:rPr>
        <w:t>, c)</w:t>
      </w:r>
      <w:r w:rsidR="00E92985">
        <w:rPr>
          <w:rFonts w:ascii="Cambria" w:eastAsia="Calibri" w:hAnsi="Cambria"/>
          <w:sz w:val="20"/>
          <w:szCs w:val="20"/>
          <w:bdr w:val="none" w:sz="0" w:space="0" w:color="auto"/>
        </w:rPr>
        <w:t xml:space="preserve"> of the </w:t>
      </w:r>
      <w:r w:rsidR="00773B3C" w:rsidRPr="00A51861">
        <w:rPr>
          <w:rFonts w:ascii="Cambria" w:eastAsia="Calibri" w:hAnsi="Cambria"/>
          <w:sz w:val="20"/>
          <w:szCs w:val="20"/>
          <w:bdr w:val="none" w:sz="0" w:space="0" w:color="auto"/>
        </w:rPr>
        <w:t>form</w:t>
      </w:r>
      <w:r w:rsidR="00E92985">
        <w:rPr>
          <w:rFonts w:ascii="Cambria" w:eastAsia="Calibri" w:hAnsi="Cambria"/>
          <w:sz w:val="20"/>
          <w:szCs w:val="20"/>
          <w:bdr w:val="none" w:sz="0" w:space="0" w:color="auto"/>
        </w:rPr>
        <w:t xml:space="preserve"> of </w:t>
      </w:r>
      <w:r w:rsidR="00C50F31">
        <w:rPr>
          <w:rFonts w:ascii="Cambria" w:eastAsia="Calibri" w:hAnsi="Cambria"/>
          <w:sz w:val="20"/>
          <w:szCs w:val="20"/>
          <w:bdr w:val="none" w:sz="0" w:space="0" w:color="auto"/>
        </w:rPr>
        <w:t>payment</w:t>
      </w:r>
      <w:r w:rsidR="00773B3C" w:rsidRPr="00A51861">
        <w:rPr>
          <w:rFonts w:ascii="Cambria" w:eastAsia="Calibri" w:hAnsi="Cambria"/>
          <w:sz w:val="20"/>
          <w:szCs w:val="20"/>
          <w:bdr w:val="none" w:sz="0" w:space="0" w:color="auto"/>
        </w:rPr>
        <w:t>”</w:t>
      </w:r>
      <w:r w:rsidR="00773B3C" w:rsidRPr="00A51861">
        <w:rPr>
          <w:rFonts w:ascii="Cambria" w:eastAsia="Calibri" w:hAnsi="Cambria"/>
          <w:sz w:val="20"/>
          <w:szCs w:val="20"/>
          <w:bdr w:val="none" w:sz="0" w:space="0" w:color="auto"/>
          <w:vertAlign w:val="superscript"/>
        </w:rPr>
        <w:footnoteReference w:id="235"/>
      </w:r>
      <w:r w:rsidR="00773B3C" w:rsidRPr="00A51861">
        <w:rPr>
          <w:rFonts w:ascii="Cambria" w:eastAsia="Calibri" w:hAnsi="Cambria"/>
          <w:sz w:val="20"/>
          <w:szCs w:val="20"/>
          <w:bdr w:val="none" w:sz="0" w:space="0" w:color="auto"/>
        </w:rPr>
        <w:t xml:space="preserve">, </w:t>
      </w:r>
      <w:r w:rsidR="00C50F31">
        <w:rPr>
          <w:rFonts w:ascii="Cambria" w:eastAsia="Calibri" w:hAnsi="Cambria"/>
          <w:sz w:val="20"/>
          <w:szCs w:val="20"/>
          <w:bdr w:val="none" w:sz="0" w:space="0" w:color="auto"/>
        </w:rPr>
        <w:t>in exchange of which the</w:t>
      </w:r>
      <w:r w:rsidR="00773B3C" w:rsidRPr="00A51861">
        <w:rPr>
          <w:rFonts w:ascii="Cambria" w:eastAsia="Calibri" w:hAnsi="Cambria"/>
          <w:sz w:val="20"/>
          <w:szCs w:val="20"/>
          <w:bdr w:val="none" w:sz="0" w:space="0" w:color="auto"/>
        </w:rPr>
        <w:t xml:space="preserve"> </w:t>
      </w:r>
      <w:r w:rsidR="00EC7A58">
        <w:rPr>
          <w:rFonts w:ascii="Cambria" w:eastAsia="Calibri" w:hAnsi="Cambria"/>
          <w:sz w:val="20"/>
          <w:szCs w:val="20"/>
          <w:bdr w:val="none" w:sz="0" w:space="0" w:color="auto"/>
        </w:rPr>
        <w:t>persons</w:t>
      </w:r>
      <w:r w:rsidR="00773B3C" w:rsidRPr="00A51861">
        <w:rPr>
          <w:rFonts w:ascii="Cambria" w:eastAsia="Calibri" w:hAnsi="Cambria"/>
          <w:sz w:val="20"/>
          <w:szCs w:val="20"/>
          <w:bdr w:val="none" w:sz="0" w:space="0" w:color="auto"/>
        </w:rPr>
        <w:t xml:space="preserve"> </w:t>
      </w:r>
      <w:r w:rsidR="00C50F31">
        <w:rPr>
          <w:rFonts w:ascii="Cambria" w:eastAsia="Calibri" w:hAnsi="Cambria"/>
          <w:sz w:val="20"/>
          <w:szCs w:val="20"/>
          <w:bdr w:val="none" w:sz="0" w:space="0" w:color="auto"/>
        </w:rPr>
        <w:t>who opt for it</w:t>
      </w:r>
      <w:r w:rsidR="00773B3C" w:rsidRPr="00A51861">
        <w:rPr>
          <w:rFonts w:ascii="Cambria" w:eastAsia="Calibri" w:hAnsi="Cambria"/>
          <w:sz w:val="20"/>
          <w:szCs w:val="20"/>
          <w:bdr w:val="none" w:sz="0" w:space="0" w:color="auto"/>
        </w:rPr>
        <w:t xml:space="preserve"> “</w:t>
      </w:r>
      <w:r w:rsidR="00C50F31">
        <w:rPr>
          <w:rFonts w:ascii="Cambria" w:eastAsia="Calibri" w:hAnsi="Cambria"/>
          <w:sz w:val="20"/>
          <w:szCs w:val="20"/>
          <w:bdr w:val="none" w:sz="0" w:space="0" w:color="auto"/>
        </w:rPr>
        <w:t>waive</w:t>
      </w:r>
      <w:r w:rsidR="00773B3C" w:rsidRPr="00A51861">
        <w:rPr>
          <w:rFonts w:ascii="Cambria" w:eastAsia="Calibri" w:hAnsi="Cambria"/>
          <w:sz w:val="20"/>
          <w:szCs w:val="20"/>
          <w:bdr w:val="none" w:sz="0" w:space="0" w:color="auto"/>
        </w:rPr>
        <w:t xml:space="preserve"> </w:t>
      </w:r>
      <w:r w:rsidR="00C50F31">
        <w:rPr>
          <w:rFonts w:ascii="Cambria" w:eastAsia="Calibri" w:hAnsi="Cambria"/>
          <w:sz w:val="20"/>
          <w:szCs w:val="20"/>
          <w:bdr w:val="none" w:sz="0" w:space="0" w:color="auto"/>
        </w:rPr>
        <w:t>certain</w:t>
      </w:r>
      <w:r w:rsidR="00773B3C" w:rsidRPr="00A51861">
        <w:rPr>
          <w:rFonts w:ascii="Cambria" w:eastAsia="Calibri" w:hAnsi="Cambria"/>
          <w:sz w:val="20"/>
          <w:szCs w:val="20"/>
          <w:bdr w:val="none" w:sz="0" w:space="0" w:color="auto"/>
        </w:rPr>
        <w:t xml:space="preserve"> </w:t>
      </w:r>
      <w:r w:rsidR="00C50F31">
        <w:rPr>
          <w:rFonts w:ascii="Cambria" w:eastAsia="Calibri" w:hAnsi="Cambria"/>
          <w:sz w:val="20"/>
          <w:szCs w:val="20"/>
          <w:bdr w:val="none" w:sz="0" w:space="0" w:color="auto"/>
        </w:rPr>
        <w:t>right</w:t>
      </w:r>
      <w:r w:rsidR="00773B3C" w:rsidRPr="00A51861">
        <w:rPr>
          <w:rFonts w:ascii="Cambria" w:eastAsia="Calibri" w:hAnsi="Cambria"/>
          <w:sz w:val="20"/>
          <w:szCs w:val="20"/>
          <w:bdr w:val="none" w:sz="0" w:space="0" w:color="auto"/>
        </w:rPr>
        <w:t xml:space="preserve">s, </w:t>
      </w:r>
      <w:r w:rsidR="00C50F31">
        <w:rPr>
          <w:rFonts w:ascii="Cambria" w:eastAsia="Calibri" w:hAnsi="Cambria"/>
          <w:sz w:val="20"/>
          <w:szCs w:val="20"/>
          <w:bdr w:val="none" w:sz="0" w:space="0" w:color="auto"/>
        </w:rPr>
        <w:t>inter alia</w:t>
      </w:r>
      <w:r w:rsidR="00773B3C" w:rsidRPr="00A51861">
        <w:rPr>
          <w:rFonts w:ascii="Cambria" w:eastAsia="Calibri" w:hAnsi="Cambria"/>
          <w:sz w:val="20"/>
          <w:szCs w:val="20"/>
          <w:bdr w:val="none" w:sz="0" w:space="0" w:color="auto"/>
        </w:rPr>
        <w:t xml:space="preserve">, </w:t>
      </w:r>
      <w:r w:rsidR="00A65E37">
        <w:rPr>
          <w:rFonts w:ascii="Cambria" w:eastAsia="Calibri" w:hAnsi="Cambria"/>
          <w:sz w:val="20"/>
          <w:szCs w:val="20"/>
          <w:bdr w:val="none" w:sz="0" w:space="0" w:color="auto"/>
        </w:rPr>
        <w:t>the right to</w:t>
      </w:r>
      <w:r w:rsidR="00773B3C" w:rsidRPr="00A51861">
        <w:rPr>
          <w:rFonts w:ascii="Cambria" w:eastAsia="Calibri" w:hAnsi="Cambria"/>
          <w:sz w:val="20"/>
          <w:szCs w:val="20"/>
          <w:bdr w:val="none" w:sz="0" w:space="0" w:color="auto"/>
        </w:rPr>
        <w:t xml:space="preserve"> </w:t>
      </w:r>
      <w:r w:rsidR="00C50F31" w:rsidRPr="00A51861">
        <w:rPr>
          <w:rFonts w:ascii="Cambria" w:eastAsia="Calibri" w:hAnsi="Cambria"/>
          <w:sz w:val="20"/>
          <w:szCs w:val="20"/>
          <w:bdr w:val="none" w:sz="0" w:space="0" w:color="auto"/>
        </w:rPr>
        <w:t>initia</w:t>
      </w:r>
      <w:r w:rsidR="00C50F31">
        <w:rPr>
          <w:rFonts w:ascii="Cambria" w:eastAsia="Calibri" w:hAnsi="Cambria"/>
          <w:sz w:val="20"/>
          <w:szCs w:val="20"/>
          <w:bdr w:val="none" w:sz="0" w:space="0" w:color="auto"/>
        </w:rPr>
        <w:t>te</w:t>
      </w:r>
      <w:r w:rsidR="00E92985">
        <w:rPr>
          <w:rFonts w:ascii="Cambria" w:eastAsia="Calibri" w:hAnsi="Cambria"/>
          <w:sz w:val="20"/>
          <w:szCs w:val="20"/>
          <w:bdr w:val="none" w:sz="0" w:space="0" w:color="auto"/>
        </w:rPr>
        <w:t xml:space="preserve"> or </w:t>
      </w:r>
      <w:r w:rsidR="00773B3C" w:rsidRPr="00A51861">
        <w:rPr>
          <w:rFonts w:ascii="Cambria" w:eastAsia="Calibri" w:hAnsi="Cambria"/>
          <w:sz w:val="20"/>
          <w:szCs w:val="20"/>
          <w:bdr w:val="none" w:sz="0" w:space="0" w:color="auto"/>
        </w:rPr>
        <w:t>pro</w:t>
      </w:r>
      <w:r w:rsidR="00A065BD">
        <w:rPr>
          <w:rFonts w:ascii="Cambria" w:eastAsia="Calibri" w:hAnsi="Cambria"/>
          <w:sz w:val="20"/>
          <w:szCs w:val="20"/>
          <w:bdr w:val="none" w:sz="0" w:space="0" w:color="auto"/>
        </w:rPr>
        <w:t>ceed with</w:t>
      </w:r>
      <w:r w:rsidR="00773B3C" w:rsidRPr="00A51861">
        <w:rPr>
          <w:rFonts w:ascii="Cambria" w:eastAsia="Calibri" w:hAnsi="Cambria"/>
          <w:sz w:val="20"/>
          <w:szCs w:val="20"/>
          <w:bdr w:val="none" w:sz="0" w:space="0" w:color="auto"/>
        </w:rPr>
        <w:t xml:space="preserve"> </w:t>
      </w:r>
      <w:r w:rsidR="00C50F31">
        <w:rPr>
          <w:rFonts w:ascii="Cambria" w:eastAsia="Calibri" w:hAnsi="Cambria"/>
          <w:sz w:val="20"/>
          <w:szCs w:val="20"/>
          <w:bdr w:val="none" w:sz="0" w:space="0" w:color="auto"/>
        </w:rPr>
        <w:t>a trial for damages</w:t>
      </w:r>
      <w:r w:rsidR="00773B3C" w:rsidRPr="00A51861">
        <w:rPr>
          <w:rFonts w:ascii="Cambria" w:eastAsia="Calibri" w:hAnsi="Cambria"/>
          <w:sz w:val="20"/>
          <w:szCs w:val="20"/>
          <w:bdr w:val="none" w:sz="0" w:space="0" w:color="auto"/>
        </w:rPr>
        <w:t xml:space="preserve">, </w:t>
      </w:r>
      <w:r w:rsidR="00C50F31">
        <w:rPr>
          <w:rFonts w:ascii="Cambria" w:eastAsia="Calibri" w:hAnsi="Cambria"/>
          <w:sz w:val="20"/>
          <w:szCs w:val="20"/>
          <w:bdr w:val="none" w:sz="0" w:space="0" w:color="auto"/>
        </w:rPr>
        <w:t>right which they would otherwise preserve</w:t>
      </w:r>
      <w:r w:rsidR="00773B3C" w:rsidRPr="00A51861">
        <w:rPr>
          <w:rFonts w:ascii="Cambria" w:eastAsia="Calibri" w:hAnsi="Cambria"/>
          <w:sz w:val="20"/>
          <w:szCs w:val="20"/>
          <w:bdr w:val="none" w:sz="0" w:space="0" w:color="auto"/>
        </w:rPr>
        <w:t>”</w:t>
      </w:r>
      <w:r w:rsidR="00773B3C" w:rsidRPr="00A51861">
        <w:rPr>
          <w:rFonts w:ascii="Cambria" w:eastAsia="Calibri" w:hAnsi="Cambria"/>
          <w:sz w:val="20"/>
          <w:szCs w:val="20"/>
          <w:bdr w:val="none" w:sz="0" w:space="0" w:color="auto"/>
          <w:vertAlign w:val="superscript"/>
        </w:rPr>
        <w:footnoteReference w:id="236"/>
      </w:r>
      <w:r w:rsidR="00773B3C" w:rsidRPr="00A51861">
        <w:rPr>
          <w:rFonts w:ascii="Cambria" w:eastAsia="Calibri" w:hAnsi="Cambria"/>
          <w:sz w:val="20"/>
          <w:szCs w:val="20"/>
          <w:bdr w:val="none" w:sz="0" w:space="0" w:color="auto"/>
        </w:rPr>
        <w:t xml:space="preserve">. </w:t>
      </w:r>
    </w:p>
    <w:p w14:paraId="2FDE1C71" w14:textId="77777777" w:rsidR="00773B3C" w:rsidRPr="00A51861" w:rsidRDefault="00773B3C" w:rsidP="008E4D36">
      <w:pPr>
        <w:ind w:left="720"/>
        <w:rPr>
          <w:rFonts w:ascii="Cambria" w:eastAsia="Cambria" w:hAnsi="Cambria" w:cs="Cambria"/>
          <w:color w:val="000000"/>
          <w:sz w:val="20"/>
          <w:szCs w:val="20"/>
          <w:u w:color="000000"/>
          <w:lang w:eastAsia="es-ES"/>
        </w:rPr>
      </w:pPr>
    </w:p>
    <w:p w14:paraId="76F5F3FD" w14:textId="4724B56D" w:rsidR="00773B3C" w:rsidRPr="00A51861" w:rsidRDefault="00A51861"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eastAsia="Calibri" w:hAnsi="Cambria"/>
          <w:sz w:val="20"/>
          <w:szCs w:val="20"/>
          <w:bdr w:val="none" w:sz="0" w:space="0" w:color="auto"/>
        </w:rPr>
      </w:pPr>
      <w:r w:rsidRPr="00A51861">
        <w:rPr>
          <w:rFonts w:ascii="Cambria" w:eastAsia="Calibri" w:hAnsi="Cambria"/>
          <w:sz w:val="20"/>
          <w:szCs w:val="20"/>
          <w:bdr w:val="none" w:sz="0" w:space="0" w:color="auto"/>
        </w:rPr>
        <w:t>The IACHR</w:t>
      </w:r>
      <w:r w:rsidR="00773B3C" w:rsidRPr="00A51861">
        <w:rPr>
          <w:rFonts w:ascii="Cambria" w:eastAsia="Calibri" w:hAnsi="Cambria"/>
          <w:sz w:val="20"/>
          <w:szCs w:val="20"/>
          <w:bdr w:val="none" w:sz="0" w:space="0" w:color="auto"/>
        </w:rPr>
        <w:t xml:space="preserve"> observ</w:t>
      </w:r>
      <w:r w:rsidR="00A63EC5">
        <w:rPr>
          <w:rFonts w:ascii="Cambria" w:eastAsia="Calibri" w:hAnsi="Cambria"/>
          <w:sz w:val="20"/>
          <w:szCs w:val="20"/>
          <w:bdr w:val="none" w:sz="0" w:space="0" w:color="auto"/>
        </w:rPr>
        <w:t>ed</w:t>
      </w:r>
      <w:r w:rsidR="00773B3C" w:rsidRPr="00A51861">
        <w:rPr>
          <w:rFonts w:ascii="Cambria" w:eastAsia="Calibri" w:hAnsi="Cambria"/>
          <w:sz w:val="20"/>
          <w:szCs w:val="20"/>
          <w:bdr w:val="none" w:sz="0" w:space="0" w:color="auto"/>
        </w:rPr>
        <w:t xml:space="preserve"> </w:t>
      </w:r>
      <w:r w:rsidR="00A63EC5">
        <w:rPr>
          <w:rFonts w:ascii="Cambria" w:eastAsia="Calibri" w:hAnsi="Cambria"/>
          <w:sz w:val="20"/>
          <w:szCs w:val="20"/>
          <w:bdr w:val="none" w:sz="0" w:space="0" w:color="auto"/>
        </w:rPr>
        <w:t>in the referred case that</w:t>
      </w:r>
      <w:r w:rsidR="00773B3C" w:rsidRPr="00A51861">
        <w:rPr>
          <w:rFonts w:ascii="Cambria" w:eastAsia="Calibri" w:hAnsi="Cambria"/>
          <w:sz w:val="20"/>
          <w:szCs w:val="20"/>
          <w:bdr w:val="none" w:sz="0" w:space="0" w:color="auto"/>
        </w:rPr>
        <w:t xml:space="preserve"> </w:t>
      </w:r>
      <w:r w:rsidR="002835FC" w:rsidRPr="00A51861">
        <w:rPr>
          <w:rFonts w:ascii="Cambria" w:eastAsia="Calibri" w:hAnsi="Cambria"/>
          <w:sz w:val="20"/>
          <w:szCs w:val="20"/>
          <w:bdr w:val="none" w:sz="0" w:space="0" w:color="auto"/>
        </w:rPr>
        <w:t xml:space="preserve">Law </w:t>
      </w:r>
      <w:r w:rsidR="00773B3C" w:rsidRPr="00A51861">
        <w:rPr>
          <w:rFonts w:ascii="Cambria" w:eastAsia="Calibri" w:hAnsi="Cambria"/>
          <w:sz w:val="20"/>
          <w:szCs w:val="20"/>
          <w:bdr w:val="none" w:sz="0" w:space="0" w:color="auto"/>
        </w:rPr>
        <w:t xml:space="preserve">24.043 </w:t>
      </w:r>
      <w:r w:rsidR="00A63EC5">
        <w:rPr>
          <w:rFonts w:ascii="Cambria" w:eastAsia="Calibri" w:hAnsi="Cambria"/>
          <w:sz w:val="20"/>
          <w:szCs w:val="20"/>
          <w:bdr w:val="none" w:sz="0" w:space="0" w:color="auto"/>
        </w:rPr>
        <w:t>does not intend to encompass all</w:t>
      </w:r>
      <w:r w:rsidR="00E92985">
        <w:rPr>
          <w:rFonts w:ascii="Cambria" w:eastAsia="Calibri" w:hAnsi="Cambria"/>
          <w:sz w:val="20"/>
          <w:szCs w:val="20"/>
          <w:bdr w:val="none" w:sz="0" w:space="0" w:color="auto"/>
        </w:rPr>
        <w:t xml:space="preserve"> </w:t>
      </w:r>
      <w:r w:rsidR="00DE0F0F">
        <w:rPr>
          <w:rFonts w:ascii="Cambria" w:hAnsi="Cambria"/>
          <w:sz w:val="20"/>
          <w:szCs w:val="20"/>
          <w:bdr w:val="none" w:sz="0" w:space="0" w:color="auto"/>
        </w:rPr>
        <w:t>h</w:t>
      </w:r>
      <w:r w:rsidR="00664D70">
        <w:rPr>
          <w:rFonts w:ascii="Cambria" w:hAnsi="Cambria"/>
          <w:sz w:val="20"/>
          <w:szCs w:val="20"/>
          <w:bdr w:val="none" w:sz="0" w:space="0" w:color="auto"/>
        </w:rPr>
        <w:t>uman rights</w:t>
      </w:r>
      <w:r w:rsidR="00F4684B">
        <w:rPr>
          <w:rFonts w:ascii="Cambria" w:hAnsi="Cambria"/>
          <w:sz w:val="20"/>
          <w:szCs w:val="20"/>
          <w:bdr w:val="none" w:sz="0" w:space="0" w:color="auto"/>
        </w:rPr>
        <w:t xml:space="preserve"> </w:t>
      </w:r>
      <w:r w:rsidR="00A63EC5">
        <w:rPr>
          <w:rFonts w:ascii="Cambria" w:eastAsia="Calibri" w:hAnsi="Cambria"/>
          <w:sz w:val="20"/>
          <w:szCs w:val="20"/>
          <w:bdr w:val="none" w:sz="0" w:space="0" w:color="auto"/>
        </w:rPr>
        <w:t>violations</w:t>
      </w:r>
      <w:r w:rsidR="00A63EC5" w:rsidRPr="00A51861">
        <w:rPr>
          <w:rFonts w:ascii="Cambria" w:eastAsia="Calibri" w:hAnsi="Cambria"/>
          <w:sz w:val="20"/>
          <w:szCs w:val="20"/>
          <w:bdr w:val="none" w:sz="0" w:space="0" w:color="auto"/>
        </w:rPr>
        <w:t xml:space="preserve"> </w:t>
      </w:r>
      <w:r w:rsidR="00A63EC5">
        <w:rPr>
          <w:rFonts w:ascii="Cambria" w:eastAsia="Calibri" w:hAnsi="Cambria"/>
          <w:sz w:val="20"/>
          <w:szCs w:val="20"/>
          <w:bdr w:val="none" w:sz="0" w:space="0" w:color="auto"/>
        </w:rPr>
        <w:t>occurred during the last</w:t>
      </w:r>
      <w:r w:rsidR="00773B3C" w:rsidRPr="00A51861">
        <w:rPr>
          <w:rFonts w:ascii="Cambria" w:eastAsia="Calibri" w:hAnsi="Cambria"/>
          <w:sz w:val="20"/>
          <w:szCs w:val="20"/>
          <w:bdr w:val="none" w:sz="0" w:space="0" w:color="auto"/>
        </w:rPr>
        <w:t xml:space="preserve"> c</w:t>
      </w:r>
      <w:r w:rsidR="00A63EC5">
        <w:rPr>
          <w:rFonts w:ascii="Cambria" w:eastAsia="Calibri" w:hAnsi="Cambria"/>
          <w:sz w:val="20"/>
          <w:szCs w:val="20"/>
          <w:bdr w:val="none" w:sz="0" w:space="0" w:color="auto"/>
        </w:rPr>
        <w:t>i</w:t>
      </w:r>
      <w:r w:rsidR="00773B3C" w:rsidRPr="00A51861">
        <w:rPr>
          <w:rFonts w:ascii="Cambria" w:eastAsia="Calibri" w:hAnsi="Cambria"/>
          <w:sz w:val="20"/>
          <w:szCs w:val="20"/>
          <w:bdr w:val="none" w:sz="0" w:space="0" w:color="auto"/>
        </w:rPr>
        <w:t>vi</w:t>
      </w:r>
      <w:r w:rsidR="00A63EC5">
        <w:rPr>
          <w:rFonts w:ascii="Cambria" w:eastAsia="Calibri" w:hAnsi="Cambria"/>
          <w:sz w:val="20"/>
          <w:szCs w:val="20"/>
          <w:bdr w:val="none" w:sz="0" w:space="0" w:color="auto"/>
        </w:rPr>
        <w:t>l</w:t>
      </w:r>
      <w:r w:rsidR="00773B3C" w:rsidRPr="00A51861">
        <w:rPr>
          <w:rFonts w:ascii="Cambria" w:eastAsia="Calibri" w:hAnsi="Cambria"/>
          <w:sz w:val="20"/>
          <w:szCs w:val="20"/>
          <w:bdr w:val="none" w:sz="0" w:space="0" w:color="auto"/>
        </w:rPr>
        <w:t>-militar</w:t>
      </w:r>
      <w:r w:rsidR="00A63EC5">
        <w:rPr>
          <w:rFonts w:ascii="Cambria" w:eastAsia="Calibri" w:hAnsi="Cambria"/>
          <w:sz w:val="20"/>
          <w:szCs w:val="20"/>
          <w:bdr w:val="none" w:sz="0" w:space="0" w:color="auto"/>
        </w:rPr>
        <w:t>y</w:t>
      </w:r>
      <w:r w:rsidR="00773B3C" w:rsidRPr="00A51861">
        <w:rPr>
          <w:rFonts w:ascii="Cambria" w:eastAsia="Calibri" w:hAnsi="Cambria"/>
          <w:sz w:val="20"/>
          <w:szCs w:val="20"/>
          <w:bdr w:val="none" w:sz="0" w:space="0" w:color="auto"/>
        </w:rPr>
        <w:t xml:space="preserve"> </w:t>
      </w:r>
      <w:r w:rsidR="00A63EC5">
        <w:rPr>
          <w:rFonts w:ascii="Cambria" w:eastAsia="Calibri" w:hAnsi="Cambria"/>
          <w:sz w:val="20"/>
          <w:szCs w:val="20"/>
          <w:bdr w:val="none" w:sz="0" w:space="0" w:color="auto"/>
        </w:rPr>
        <w:t>dictatorship</w:t>
      </w:r>
      <w:r w:rsidR="00A63EC5" w:rsidRPr="00A51861">
        <w:rPr>
          <w:rFonts w:ascii="Cambria" w:eastAsia="Calibri" w:hAnsi="Cambria"/>
          <w:sz w:val="20"/>
          <w:szCs w:val="20"/>
          <w:bdr w:val="none" w:sz="0" w:space="0" w:color="auto"/>
        </w:rPr>
        <w:t xml:space="preserve"> </w:t>
      </w:r>
      <w:r w:rsidR="00A23BB6">
        <w:rPr>
          <w:rFonts w:ascii="Cambria" w:eastAsia="Calibri" w:hAnsi="Cambria"/>
          <w:sz w:val="20"/>
          <w:szCs w:val="20"/>
          <w:bdr w:val="none" w:sz="0" w:space="0" w:color="auto"/>
        </w:rPr>
        <w:t>in the country and,</w:t>
      </w:r>
      <w:r w:rsidR="00773B3C" w:rsidRPr="00A51861">
        <w:rPr>
          <w:rFonts w:ascii="Cambria" w:eastAsia="Calibri" w:hAnsi="Cambria"/>
          <w:sz w:val="20"/>
          <w:szCs w:val="20"/>
          <w:bdr w:val="none" w:sz="0" w:space="0" w:color="auto"/>
        </w:rPr>
        <w:t xml:space="preserve"> </w:t>
      </w:r>
      <w:r w:rsidR="000B3507">
        <w:rPr>
          <w:rFonts w:ascii="Cambria" w:eastAsia="Calibri" w:hAnsi="Cambria"/>
          <w:sz w:val="20"/>
          <w:szCs w:val="20"/>
          <w:bdr w:val="none" w:sz="0" w:space="0" w:color="auto"/>
        </w:rPr>
        <w:t>therefore</w:t>
      </w:r>
      <w:r w:rsidR="00773B3C" w:rsidRPr="00A51861">
        <w:rPr>
          <w:rFonts w:ascii="Cambria" w:eastAsia="Calibri" w:hAnsi="Cambria"/>
          <w:sz w:val="20"/>
          <w:szCs w:val="20"/>
          <w:bdr w:val="none" w:sz="0" w:space="0" w:color="auto"/>
        </w:rPr>
        <w:t>,</w:t>
      </w:r>
      <w:r w:rsidR="009A4F91">
        <w:rPr>
          <w:rFonts w:ascii="Cambria" w:eastAsia="Calibri" w:hAnsi="Cambria"/>
          <w:sz w:val="20"/>
          <w:szCs w:val="20"/>
          <w:bdr w:val="none" w:sz="0" w:space="0" w:color="auto"/>
        </w:rPr>
        <w:t xml:space="preserve"> the </w:t>
      </w:r>
      <w:r w:rsidR="00A23BB6" w:rsidRPr="00A51861">
        <w:rPr>
          <w:rFonts w:ascii="Cambria" w:eastAsia="Calibri" w:hAnsi="Cambria"/>
          <w:sz w:val="20"/>
          <w:szCs w:val="20"/>
          <w:bdr w:val="none" w:sz="0" w:space="0" w:color="auto"/>
        </w:rPr>
        <w:t>exclusion</w:t>
      </w:r>
      <w:r w:rsidR="00E92985">
        <w:rPr>
          <w:rFonts w:ascii="Cambria" w:eastAsia="Calibri" w:hAnsi="Cambria"/>
          <w:sz w:val="20"/>
          <w:szCs w:val="20"/>
          <w:bdr w:val="none" w:sz="0" w:space="0" w:color="auto"/>
        </w:rPr>
        <w:t xml:space="preserve"> of </w:t>
      </w:r>
      <w:r w:rsidR="00A23BB6">
        <w:rPr>
          <w:rFonts w:ascii="Cambria" w:eastAsia="Calibri" w:hAnsi="Cambria"/>
          <w:sz w:val="20"/>
          <w:szCs w:val="20"/>
          <w:bdr w:val="none" w:sz="0" w:space="0" w:color="auto"/>
        </w:rPr>
        <w:t>certain types of cases of the</w:t>
      </w:r>
      <w:r w:rsidR="00E92985">
        <w:rPr>
          <w:rFonts w:ascii="Cambria" w:eastAsia="Calibri" w:hAnsi="Cambria"/>
          <w:sz w:val="20"/>
          <w:szCs w:val="20"/>
          <w:bdr w:val="none" w:sz="0" w:space="0" w:color="auto"/>
        </w:rPr>
        <w:t xml:space="preserve"> </w:t>
      </w:r>
      <w:r w:rsidR="00A23BB6">
        <w:rPr>
          <w:rFonts w:ascii="Cambria" w:eastAsia="Calibri" w:hAnsi="Cambria"/>
          <w:sz w:val="20"/>
          <w:szCs w:val="20"/>
          <w:bdr w:val="none" w:sz="0" w:space="0" w:color="auto"/>
        </w:rPr>
        <w:t>essences of lay which</w:t>
      </w:r>
      <w:r w:rsidR="002835FC" w:rsidRPr="00A51861">
        <w:rPr>
          <w:rFonts w:ascii="Cambria" w:eastAsia="Calibri" w:hAnsi="Cambria"/>
          <w:sz w:val="20"/>
          <w:szCs w:val="20"/>
          <w:bdr w:val="none" w:sz="0" w:space="0" w:color="auto"/>
        </w:rPr>
        <w:t xml:space="preserve"> </w:t>
      </w:r>
      <w:r w:rsidR="00A23BB6">
        <w:rPr>
          <w:rFonts w:ascii="Cambria" w:eastAsia="Calibri" w:hAnsi="Cambria"/>
          <w:sz w:val="20"/>
          <w:szCs w:val="20"/>
          <w:bdr w:val="none" w:sz="0" w:space="0" w:color="auto"/>
        </w:rPr>
        <w:t>do not</w:t>
      </w:r>
      <w:r w:rsidR="00773B3C" w:rsidRPr="00A51861">
        <w:rPr>
          <w:rFonts w:ascii="Cambria" w:eastAsia="Calibri" w:hAnsi="Cambria"/>
          <w:sz w:val="20"/>
          <w:szCs w:val="20"/>
          <w:bdr w:val="none" w:sz="0" w:space="0" w:color="auto"/>
        </w:rPr>
        <w:t xml:space="preserve"> </w:t>
      </w:r>
      <w:r w:rsidR="00773B3C" w:rsidRPr="00A51861">
        <w:rPr>
          <w:rFonts w:ascii="Cambria" w:eastAsia="Calibri" w:hAnsi="Cambria"/>
          <w:i/>
          <w:sz w:val="20"/>
          <w:szCs w:val="20"/>
          <w:bdr w:val="none" w:sz="0" w:space="0" w:color="auto"/>
        </w:rPr>
        <w:t>per se</w:t>
      </w:r>
      <w:r w:rsidR="00773B3C" w:rsidRPr="00A51861">
        <w:rPr>
          <w:rFonts w:ascii="Cambria" w:eastAsia="Calibri" w:hAnsi="Cambria"/>
          <w:sz w:val="20"/>
          <w:szCs w:val="20"/>
          <w:bdr w:val="none" w:sz="0" w:space="0" w:color="auto"/>
        </w:rPr>
        <w:t xml:space="preserve"> violat</w:t>
      </w:r>
      <w:r w:rsidR="00A23BB6">
        <w:rPr>
          <w:rFonts w:ascii="Cambria" w:eastAsia="Calibri" w:hAnsi="Cambria"/>
          <w:sz w:val="20"/>
          <w:szCs w:val="20"/>
          <w:bdr w:val="none" w:sz="0" w:space="0" w:color="auto"/>
        </w:rPr>
        <w:t>e</w:t>
      </w:r>
      <w:r w:rsidR="004969F4">
        <w:rPr>
          <w:rFonts w:ascii="Cambria" w:eastAsia="Calibri" w:hAnsi="Cambria"/>
          <w:sz w:val="20"/>
          <w:szCs w:val="20"/>
          <w:bdr w:val="none" w:sz="0" w:space="0" w:color="auto"/>
        </w:rPr>
        <w:t xml:space="preserve"> </w:t>
      </w:r>
      <w:r w:rsidR="009A4F91">
        <w:rPr>
          <w:rFonts w:ascii="Cambria" w:eastAsia="Calibri" w:hAnsi="Cambria"/>
          <w:sz w:val="20"/>
          <w:szCs w:val="20"/>
          <w:bdr w:val="none" w:sz="0" w:space="0" w:color="auto"/>
        </w:rPr>
        <w:t xml:space="preserve">the right to </w:t>
      </w:r>
      <w:r w:rsidR="00775F21">
        <w:rPr>
          <w:rFonts w:ascii="Cambria" w:eastAsia="Calibri" w:hAnsi="Cambria"/>
          <w:sz w:val="20"/>
          <w:szCs w:val="20"/>
          <w:bdr w:val="none" w:sz="0" w:space="0" w:color="auto"/>
        </w:rPr>
        <w:t>equality</w:t>
      </w:r>
      <w:r w:rsidR="00FA2E7B">
        <w:rPr>
          <w:rFonts w:ascii="Cambria" w:eastAsia="Calibri" w:hAnsi="Cambria"/>
          <w:sz w:val="20"/>
          <w:szCs w:val="20"/>
          <w:bdr w:val="none" w:sz="0" w:space="0" w:color="auto"/>
        </w:rPr>
        <w:t xml:space="preserve"> </w:t>
      </w:r>
      <w:r w:rsidR="00A23BB6">
        <w:rPr>
          <w:rFonts w:ascii="Cambria" w:eastAsia="Calibri" w:hAnsi="Cambria"/>
          <w:sz w:val="20"/>
          <w:szCs w:val="20"/>
          <w:bdr w:val="none" w:sz="0" w:space="0" w:color="auto"/>
        </w:rPr>
        <w:t>before</w:t>
      </w:r>
      <w:r w:rsidR="009A4F91">
        <w:rPr>
          <w:rFonts w:ascii="Cambria" w:eastAsia="Calibri" w:hAnsi="Cambria"/>
          <w:sz w:val="20"/>
          <w:szCs w:val="20"/>
          <w:bdr w:val="none" w:sz="0" w:space="0" w:color="auto"/>
        </w:rPr>
        <w:t xml:space="preserve"> the </w:t>
      </w:r>
      <w:r w:rsidR="0029564F">
        <w:rPr>
          <w:rFonts w:ascii="Cambria" w:eastAsia="Calibri" w:hAnsi="Cambria"/>
          <w:sz w:val="20"/>
          <w:szCs w:val="20"/>
          <w:bdr w:val="none" w:sz="0" w:space="0" w:color="auto"/>
        </w:rPr>
        <w:t>law</w:t>
      </w:r>
      <w:r w:rsidR="00773B3C" w:rsidRPr="00A51861">
        <w:rPr>
          <w:rFonts w:ascii="Cambria" w:eastAsia="Calibri" w:hAnsi="Cambria"/>
          <w:sz w:val="20"/>
          <w:szCs w:val="20"/>
          <w:bdr w:val="none" w:sz="0" w:space="0" w:color="auto"/>
        </w:rPr>
        <w:t xml:space="preserve">, </w:t>
      </w:r>
      <w:r w:rsidR="00A23BB6">
        <w:rPr>
          <w:rFonts w:ascii="Cambria" w:eastAsia="Calibri" w:hAnsi="Cambria"/>
          <w:sz w:val="20"/>
          <w:szCs w:val="20"/>
          <w:bdr w:val="none" w:sz="0" w:space="0" w:color="auto"/>
        </w:rPr>
        <w:t>as long as said</w:t>
      </w:r>
      <w:r w:rsidR="00773B3C" w:rsidRPr="00A51861">
        <w:rPr>
          <w:rFonts w:ascii="Cambria" w:eastAsia="Calibri" w:hAnsi="Cambria"/>
          <w:sz w:val="20"/>
          <w:szCs w:val="20"/>
          <w:bdr w:val="none" w:sz="0" w:space="0" w:color="auto"/>
        </w:rPr>
        <w:t xml:space="preserve"> </w:t>
      </w:r>
      <w:r w:rsidR="00A23BB6">
        <w:rPr>
          <w:rFonts w:ascii="Cambria" w:eastAsia="Calibri" w:hAnsi="Cambria"/>
          <w:sz w:val="20"/>
          <w:szCs w:val="20"/>
          <w:bdr w:val="none" w:sz="0" w:space="0" w:color="auto"/>
        </w:rPr>
        <w:t>exclusion</w:t>
      </w:r>
      <w:r w:rsidR="00773B3C" w:rsidRPr="00A51861">
        <w:rPr>
          <w:rFonts w:ascii="Cambria" w:eastAsia="Calibri" w:hAnsi="Cambria"/>
          <w:sz w:val="20"/>
          <w:szCs w:val="20"/>
          <w:bdr w:val="none" w:sz="0" w:space="0" w:color="auto"/>
        </w:rPr>
        <w:t xml:space="preserve"> respond</w:t>
      </w:r>
      <w:r w:rsidR="00A23BB6">
        <w:rPr>
          <w:rFonts w:ascii="Cambria" w:eastAsia="Calibri" w:hAnsi="Cambria"/>
          <w:sz w:val="20"/>
          <w:szCs w:val="20"/>
          <w:bdr w:val="none" w:sz="0" w:space="0" w:color="auto"/>
        </w:rPr>
        <w:t>s</w:t>
      </w:r>
      <w:r w:rsidR="00773B3C" w:rsidRPr="00A51861">
        <w:rPr>
          <w:rFonts w:ascii="Cambria" w:eastAsia="Calibri" w:hAnsi="Cambria"/>
          <w:sz w:val="20"/>
          <w:szCs w:val="20"/>
          <w:bdr w:val="none" w:sz="0" w:space="0" w:color="auto"/>
        </w:rPr>
        <w:t xml:space="preserve"> </w:t>
      </w:r>
      <w:r w:rsidR="00A23BB6">
        <w:rPr>
          <w:rFonts w:ascii="Cambria" w:eastAsia="Calibri" w:hAnsi="Cambria"/>
          <w:sz w:val="20"/>
          <w:szCs w:val="20"/>
          <w:bdr w:val="none" w:sz="0" w:space="0" w:color="auto"/>
        </w:rPr>
        <w:t>to an</w:t>
      </w:r>
      <w:r w:rsidR="00773B3C" w:rsidRPr="00A51861">
        <w:rPr>
          <w:rFonts w:ascii="Cambria" w:eastAsia="Calibri" w:hAnsi="Cambria"/>
          <w:sz w:val="20"/>
          <w:szCs w:val="20"/>
          <w:bdr w:val="none" w:sz="0" w:space="0" w:color="auto"/>
        </w:rPr>
        <w:t xml:space="preserve"> </w:t>
      </w:r>
      <w:r w:rsidR="00A23BB6" w:rsidRPr="00A51861">
        <w:rPr>
          <w:rFonts w:ascii="Cambria" w:eastAsia="Calibri" w:hAnsi="Cambria"/>
          <w:sz w:val="20"/>
          <w:szCs w:val="20"/>
          <w:bdr w:val="none" w:sz="0" w:space="0" w:color="auto"/>
        </w:rPr>
        <w:t>objective</w:t>
      </w:r>
      <w:r w:rsidR="00E92985">
        <w:rPr>
          <w:rFonts w:ascii="Cambria" w:eastAsia="Calibri" w:hAnsi="Cambria"/>
          <w:sz w:val="20"/>
          <w:szCs w:val="20"/>
          <w:bdr w:val="none" w:sz="0" w:space="0" w:color="auto"/>
        </w:rPr>
        <w:t xml:space="preserve"> and </w:t>
      </w:r>
      <w:r w:rsidR="00A23BB6" w:rsidRPr="00A51861">
        <w:rPr>
          <w:rFonts w:ascii="Cambria" w:eastAsia="Calibri" w:hAnsi="Cambria"/>
          <w:sz w:val="20"/>
          <w:szCs w:val="20"/>
          <w:bdr w:val="none" w:sz="0" w:space="0" w:color="auto"/>
        </w:rPr>
        <w:t>reasonable</w:t>
      </w:r>
      <w:r w:rsidR="00A23BB6" w:rsidRPr="00A23BB6">
        <w:rPr>
          <w:rFonts w:ascii="Cambria" w:eastAsia="Calibri" w:hAnsi="Cambria"/>
          <w:sz w:val="20"/>
          <w:szCs w:val="20"/>
          <w:bdr w:val="none" w:sz="0" w:space="0" w:color="auto"/>
        </w:rPr>
        <w:t xml:space="preserve"> </w:t>
      </w:r>
      <w:r w:rsidR="00A23BB6" w:rsidRPr="00A51861">
        <w:rPr>
          <w:rFonts w:ascii="Cambria" w:eastAsia="Calibri" w:hAnsi="Cambria"/>
          <w:sz w:val="20"/>
          <w:szCs w:val="20"/>
          <w:bdr w:val="none" w:sz="0" w:space="0" w:color="auto"/>
        </w:rPr>
        <w:t>justification</w:t>
      </w:r>
      <w:r w:rsidR="00773B3C" w:rsidRPr="00A51861">
        <w:rPr>
          <w:rFonts w:ascii="Cambria" w:eastAsia="Calibri" w:hAnsi="Cambria"/>
          <w:sz w:val="20"/>
          <w:szCs w:val="20"/>
          <w:bdr w:val="none" w:sz="0" w:space="0" w:color="auto"/>
        </w:rPr>
        <w:t>,</w:t>
      </w:r>
      <w:r w:rsidR="00E92985">
        <w:rPr>
          <w:rFonts w:ascii="Cambria" w:eastAsia="Calibri" w:hAnsi="Cambria"/>
          <w:sz w:val="20"/>
          <w:szCs w:val="20"/>
          <w:bdr w:val="none" w:sz="0" w:space="0" w:color="auto"/>
        </w:rPr>
        <w:t xml:space="preserve"> and </w:t>
      </w:r>
      <w:r w:rsidR="00773B3C" w:rsidRPr="00A51861">
        <w:rPr>
          <w:rFonts w:ascii="Cambria" w:eastAsia="Calibri" w:hAnsi="Cambria"/>
          <w:sz w:val="20"/>
          <w:szCs w:val="20"/>
          <w:bdr w:val="none" w:sz="0" w:space="0" w:color="auto"/>
        </w:rPr>
        <w:t>result</w:t>
      </w:r>
      <w:r w:rsidR="00A23BB6">
        <w:rPr>
          <w:rFonts w:ascii="Cambria" w:eastAsia="Calibri" w:hAnsi="Cambria"/>
          <w:sz w:val="20"/>
          <w:szCs w:val="20"/>
          <w:bdr w:val="none" w:sz="0" w:space="0" w:color="auto"/>
        </w:rPr>
        <w:t>s</w:t>
      </w:r>
      <w:r w:rsidR="00773B3C" w:rsidRPr="00A51861">
        <w:rPr>
          <w:rFonts w:ascii="Cambria" w:eastAsia="Calibri" w:hAnsi="Cambria"/>
          <w:sz w:val="20"/>
          <w:szCs w:val="20"/>
          <w:bdr w:val="none" w:sz="0" w:space="0" w:color="auto"/>
        </w:rPr>
        <w:t xml:space="preserve"> </w:t>
      </w:r>
      <w:r w:rsidR="00A23BB6" w:rsidRPr="00A51861">
        <w:rPr>
          <w:rFonts w:ascii="Cambria" w:eastAsia="Calibri" w:hAnsi="Cambria"/>
          <w:sz w:val="20"/>
          <w:szCs w:val="20"/>
          <w:bdr w:val="none" w:sz="0" w:space="0" w:color="auto"/>
        </w:rPr>
        <w:t>proportional</w:t>
      </w:r>
      <w:r w:rsidR="00773B3C" w:rsidRPr="00A51861">
        <w:rPr>
          <w:rFonts w:ascii="Cambria" w:eastAsia="Calibri" w:hAnsi="Cambria"/>
          <w:sz w:val="20"/>
          <w:szCs w:val="20"/>
          <w:bdr w:val="none" w:sz="0" w:space="0" w:color="auto"/>
        </w:rPr>
        <w:t xml:space="preserve"> </w:t>
      </w:r>
      <w:r w:rsidR="00A23BB6">
        <w:rPr>
          <w:rFonts w:ascii="Cambria" w:eastAsia="Calibri" w:hAnsi="Cambria"/>
          <w:sz w:val="20"/>
          <w:szCs w:val="20"/>
          <w:bdr w:val="none" w:sz="0" w:space="0" w:color="auto"/>
        </w:rPr>
        <w:t>to the intended goals</w:t>
      </w:r>
      <w:r w:rsidR="00773B3C" w:rsidRPr="00A51861">
        <w:rPr>
          <w:rFonts w:ascii="Cambria" w:eastAsia="Calibri" w:hAnsi="Cambria"/>
          <w:sz w:val="20"/>
          <w:szCs w:val="20"/>
          <w:bdr w:val="none" w:sz="0" w:space="0" w:color="auto"/>
        </w:rPr>
        <w:t xml:space="preserve">. </w:t>
      </w:r>
      <w:r w:rsidR="00A23BB6">
        <w:rPr>
          <w:rFonts w:ascii="Cambria" w:eastAsia="Calibri" w:hAnsi="Cambria"/>
          <w:sz w:val="20"/>
          <w:szCs w:val="20"/>
          <w:bdr w:val="none" w:sz="0" w:space="0" w:color="auto"/>
        </w:rPr>
        <w:t>This</w:t>
      </w:r>
      <w:r w:rsidR="00773B3C" w:rsidRPr="00A51861">
        <w:rPr>
          <w:rFonts w:ascii="Cambria" w:eastAsia="Calibri" w:hAnsi="Cambria"/>
          <w:sz w:val="20"/>
          <w:szCs w:val="20"/>
          <w:bdr w:val="none" w:sz="0" w:space="0" w:color="auto"/>
        </w:rPr>
        <w:t xml:space="preserve">, </w:t>
      </w:r>
      <w:r w:rsidR="00A23BB6">
        <w:rPr>
          <w:rFonts w:ascii="Cambria" w:eastAsia="Calibri" w:hAnsi="Cambria"/>
          <w:sz w:val="20"/>
          <w:szCs w:val="20"/>
          <w:bdr w:val="none" w:sz="0" w:space="0" w:color="auto"/>
        </w:rPr>
        <w:t>considering</w:t>
      </w:r>
      <w:r w:rsidR="009A4F91">
        <w:rPr>
          <w:rFonts w:ascii="Cambria" w:eastAsia="Calibri" w:hAnsi="Cambria"/>
          <w:sz w:val="20"/>
          <w:szCs w:val="20"/>
          <w:bdr w:val="none" w:sz="0" w:space="0" w:color="auto"/>
        </w:rPr>
        <w:t xml:space="preserve"> the </w:t>
      </w:r>
      <w:r w:rsidR="00773B3C" w:rsidRPr="00A51861">
        <w:rPr>
          <w:rFonts w:ascii="Cambria" w:eastAsia="Calibri" w:hAnsi="Cambria"/>
          <w:sz w:val="20"/>
          <w:szCs w:val="20"/>
          <w:bdr w:val="none" w:sz="0" w:space="0" w:color="auto"/>
        </w:rPr>
        <w:t>continu</w:t>
      </w:r>
      <w:r w:rsidR="00A23BB6">
        <w:rPr>
          <w:rFonts w:ascii="Cambria" w:eastAsia="Calibri" w:hAnsi="Cambria"/>
          <w:sz w:val="20"/>
          <w:szCs w:val="20"/>
          <w:bdr w:val="none" w:sz="0" w:space="0" w:color="auto"/>
        </w:rPr>
        <w:t>ous</w:t>
      </w:r>
      <w:r w:rsidR="00E92985">
        <w:rPr>
          <w:rFonts w:ascii="Cambria" w:eastAsia="Calibri" w:hAnsi="Cambria"/>
          <w:sz w:val="20"/>
          <w:szCs w:val="20"/>
          <w:bdr w:val="none" w:sz="0" w:space="0" w:color="auto"/>
        </w:rPr>
        <w:t xml:space="preserve"> </w:t>
      </w:r>
      <w:r w:rsidR="00A23BB6">
        <w:rPr>
          <w:rFonts w:ascii="Cambria" w:eastAsia="Calibri" w:hAnsi="Cambria"/>
          <w:sz w:val="20"/>
          <w:szCs w:val="20"/>
          <w:bdr w:val="none" w:sz="0" w:space="0" w:color="auto"/>
        </w:rPr>
        <w:t>existence</w:t>
      </w:r>
      <w:r w:rsidR="00A23BB6" w:rsidRPr="00A51861">
        <w:rPr>
          <w:rFonts w:ascii="Cambria" w:eastAsia="Calibri" w:hAnsi="Cambria"/>
          <w:sz w:val="20"/>
          <w:szCs w:val="20"/>
          <w:bdr w:val="none" w:sz="0" w:space="0" w:color="auto"/>
        </w:rPr>
        <w:t xml:space="preserve"> </w:t>
      </w:r>
      <w:r w:rsidR="00E92985">
        <w:rPr>
          <w:rFonts w:ascii="Cambria" w:eastAsia="Calibri" w:hAnsi="Cambria"/>
          <w:sz w:val="20"/>
          <w:szCs w:val="20"/>
          <w:bdr w:val="none" w:sz="0" w:space="0" w:color="auto"/>
        </w:rPr>
        <w:t xml:space="preserve">of the </w:t>
      </w:r>
      <w:r w:rsidR="00773B3C" w:rsidRPr="00A51861">
        <w:rPr>
          <w:rFonts w:ascii="Cambria" w:eastAsia="Calibri" w:hAnsi="Cambria"/>
          <w:sz w:val="20"/>
          <w:szCs w:val="20"/>
          <w:bdr w:val="none" w:sz="0" w:space="0" w:color="auto"/>
        </w:rPr>
        <w:t xml:space="preserve">civil </w:t>
      </w:r>
      <w:r w:rsidR="00A23BB6" w:rsidRPr="00A51861">
        <w:rPr>
          <w:rFonts w:ascii="Cambria" w:eastAsia="Calibri" w:hAnsi="Cambria"/>
          <w:sz w:val="20"/>
          <w:szCs w:val="20"/>
          <w:bdr w:val="none" w:sz="0" w:space="0" w:color="auto"/>
        </w:rPr>
        <w:t xml:space="preserve">action </w:t>
      </w:r>
      <w:r w:rsidR="00A23BB6">
        <w:rPr>
          <w:rFonts w:ascii="Cambria" w:eastAsia="Calibri" w:hAnsi="Cambria"/>
          <w:sz w:val="20"/>
          <w:szCs w:val="20"/>
          <w:bdr w:val="none" w:sz="0" w:space="0" w:color="auto"/>
        </w:rPr>
        <w:t>as an alternate channel for</w:t>
      </w:r>
      <w:r w:rsidR="00773B3C" w:rsidRPr="00A51861">
        <w:rPr>
          <w:rFonts w:ascii="Cambria" w:eastAsia="Calibri" w:hAnsi="Cambria"/>
          <w:sz w:val="20"/>
          <w:szCs w:val="20"/>
          <w:bdr w:val="none" w:sz="0" w:space="0" w:color="auto"/>
        </w:rPr>
        <w:t xml:space="preserve"> </w:t>
      </w:r>
      <w:r w:rsidR="00A23BB6">
        <w:rPr>
          <w:rFonts w:ascii="Cambria" w:eastAsia="Calibri" w:hAnsi="Cambria"/>
          <w:sz w:val="20"/>
          <w:szCs w:val="20"/>
          <w:bdr w:val="none" w:sz="0" w:space="0" w:color="auto"/>
        </w:rPr>
        <w:t>compensation</w:t>
      </w:r>
      <w:r w:rsidR="00773B3C" w:rsidRPr="00A51861">
        <w:rPr>
          <w:rFonts w:ascii="Cambria" w:eastAsia="Calibri" w:hAnsi="Cambria"/>
          <w:sz w:val="20"/>
          <w:szCs w:val="20"/>
          <w:bdr w:val="none" w:sz="0" w:space="0" w:color="auto"/>
          <w:vertAlign w:val="superscript"/>
        </w:rPr>
        <w:footnoteReference w:id="237"/>
      </w:r>
      <w:r w:rsidR="00773B3C" w:rsidRPr="00A51861">
        <w:rPr>
          <w:rFonts w:ascii="Cambria" w:eastAsia="Calibri" w:hAnsi="Cambria"/>
          <w:sz w:val="20"/>
          <w:szCs w:val="20"/>
          <w:bdr w:val="none" w:sz="0" w:space="0" w:color="auto"/>
        </w:rPr>
        <w:t>.</w:t>
      </w:r>
      <w:r w:rsidR="00C238A7">
        <w:rPr>
          <w:rFonts w:ascii="Cambria" w:eastAsia="Calibri" w:hAnsi="Cambria"/>
          <w:sz w:val="20"/>
          <w:szCs w:val="20"/>
          <w:bdr w:val="none" w:sz="0" w:space="0" w:color="auto"/>
        </w:rPr>
        <w:t xml:space="preserve"> </w:t>
      </w:r>
      <w:r w:rsidR="00A23BB6">
        <w:rPr>
          <w:rFonts w:ascii="Cambria" w:eastAsia="Calibri" w:hAnsi="Cambria"/>
          <w:sz w:val="20"/>
          <w:szCs w:val="20"/>
          <w:bdr w:val="none" w:sz="0" w:space="0" w:color="auto"/>
        </w:rPr>
        <w:t>Thus</w:t>
      </w:r>
      <w:r w:rsidR="00773B3C" w:rsidRPr="00A51861">
        <w:rPr>
          <w:rFonts w:ascii="Cambria" w:eastAsia="Calibri" w:hAnsi="Cambria"/>
          <w:sz w:val="20"/>
          <w:szCs w:val="20"/>
          <w:bdr w:val="none" w:sz="0" w:space="0" w:color="auto"/>
        </w:rPr>
        <w:t xml:space="preserve">, </w:t>
      </w:r>
      <w:r w:rsidR="00E64C43">
        <w:rPr>
          <w:rFonts w:ascii="Cambria" w:eastAsia="Calibri" w:hAnsi="Cambria"/>
          <w:sz w:val="20"/>
          <w:szCs w:val="20"/>
          <w:bdr w:val="none" w:sz="0" w:space="0" w:color="auto"/>
        </w:rPr>
        <w:t xml:space="preserve">this </w:t>
      </w:r>
      <w:r w:rsidR="00A23BB6" w:rsidRPr="00A51861">
        <w:rPr>
          <w:rFonts w:ascii="Cambria" w:eastAsia="Calibri" w:hAnsi="Cambria"/>
          <w:sz w:val="20"/>
          <w:szCs w:val="20"/>
          <w:bdr w:val="none" w:sz="0" w:space="0" w:color="auto"/>
        </w:rPr>
        <w:t>Commission</w:t>
      </w:r>
      <w:r w:rsidR="00773B3C" w:rsidRPr="00A51861">
        <w:rPr>
          <w:rFonts w:ascii="Cambria" w:eastAsia="Calibri" w:hAnsi="Cambria"/>
          <w:sz w:val="20"/>
          <w:szCs w:val="20"/>
          <w:bdr w:val="none" w:sz="0" w:space="0" w:color="auto"/>
        </w:rPr>
        <w:t xml:space="preserve"> </w:t>
      </w:r>
      <w:r w:rsidR="00A23BB6">
        <w:rPr>
          <w:rFonts w:ascii="Cambria" w:eastAsia="Calibri" w:hAnsi="Cambria"/>
          <w:sz w:val="20"/>
          <w:szCs w:val="20"/>
          <w:bdr w:val="none" w:sz="0" w:space="0" w:color="auto"/>
        </w:rPr>
        <w:t xml:space="preserve">has said that </w:t>
      </w:r>
      <w:r w:rsidR="00773B3C" w:rsidRPr="00A51861">
        <w:rPr>
          <w:rFonts w:ascii="Cambria" w:eastAsia="Calibri" w:hAnsi="Cambria"/>
          <w:sz w:val="20"/>
          <w:szCs w:val="20"/>
          <w:bdr w:val="none" w:sz="0" w:space="0" w:color="auto"/>
        </w:rPr>
        <w:t>“</w:t>
      </w:r>
      <w:r w:rsidR="002835FC" w:rsidRPr="00A51861">
        <w:rPr>
          <w:rFonts w:ascii="Cambria" w:eastAsia="Calibri" w:hAnsi="Cambria"/>
          <w:sz w:val="20"/>
          <w:szCs w:val="20"/>
          <w:bdr w:val="none" w:sz="0" w:space="0" w:color="auto"/>
        </w:rPr>
        <w:t xml:space="preserve">Law </w:t>
      </w:r>
      <w:r w:rsidR="00773B3C" w:rsidRPr="00A51861">
        <w:rPr>
          <w:rFonts w:ascii="Cambria" w:eastAsia="Calibri" w:hAnsi="Cambria"/>
          <w:sz w:val="20"/>
          <w:szCs w:val="20"/>
          <w:bdr w:val="none" w:sz="0" w:space="0" w:color="auto"/>
        </w:rPr>
        <w:t xml:space="preserve">24.043 </w:t>
      </w:r>
      <w:r w:rsidR="00A23BB6">
        <w:rPr>
          <w:rFonts w:ascii="Cambria" w:eastAsia="Calibri" w:hAnsi="Cambria"/>
          <w:sz w:val="20"/>
          <w:szCs w:val="20"/>
          <w:bdr w:val="none" w:sz="0" w:space="0" w:color="auto"/>
        </w:rPr>
        <w:t xml:space="preserve">far from excluding </w:t>
      </w:r>
      <w:r w:rsidR="00A23BB6" w:rsidRPr="00A51861">
        <w:rPr>
          <w:rFonts w:ascii="Cambria" w:eastAsia="Calibri" w:hAnsi="Cambria"/>
          <w:sz w:val="20"/>
          <w:szCs w:val="20"/>
          <w:bdr w:val="none" w:sz="0" w:space="0" w:color="auto"/>
        </w:rPr>
        <w:t>a</w:t>
      </w:r>
      <w:r w:rsidR="00A23BB6">
        <w:rPr>
          <w:rFonts w:ascii="Cambria" w:eastAsia="Calibri" w:hAnsi="Cambria"/>
          <w:sz w:val="20"/>
          <w:szCs w:val="20"/>
          <w:bdr w:val="none" w:sz="0" w:space="0" w:color="auto"/>
        </w:rPr>
        <w:t>ny</w:t>
      </w:r>
      <w:r w:rsidR="00A23BB6" w:rsidRPr="00A51861">
        <w:rPr>
          <w:rFonts w:ascii="Cambria" w:eastAsia="Calibri" w:hAnsi="Cambria"/>
          <w:sz w:val="20"/>
          <w:szCs w:val="20"/>
          <w:bdr w:val="none" w:sz="0" w:space="0" w:color="auto"/>
        </w:rPr>
        <w:t xml:space="preserve"> </w:t>
      </w:r>
      <w:r w:rsidR="00A23BB6">
        <w:rPr>
          <w:rFonts w:ascii="Cambria" w:eastAsia="Calibri" w:hAnsi="Cambria"/>
          <w:sz w:val="20"/>
          <w:szCs w:val="20"/>
          <w:bdr w:val="none" w:sz="0" w:space="0" w:color="auto"/>
        </w:rPr>
        <w:t>person from</w:t>
      </w:r>
      <w:r w:rsidR="004969F4">
        <w:rPr>
          <w:rFonts w:ascii="Cambria" w:eastAsia="Calibri" w:hAnsi="Cambria"/>
          <w:sz w:val="20"/>
          <w:szCs w:val="20"/>
          <w:bdr w:val="none" w:sz="0" w:space="0" w:color="auto"/>
        </w:rPr>
        <w:t xml:space="preserve"> </w:t>
      </w:r>
      <w:r w:rsidR="009A4F91">
        <w:rPr>
          <w:rFonts w:ascii="Cambria" w:eastAsia="Calibri" w:hAnsi="Cambria"/>
          <w:sz w:val="20"/>
          <w:szCs w:val="20"/>
          <w:bdr w:val="none" w:sz="0" w:space="0" w:color="auto"/>
        </w:rPr>
        <w:t>the right to</w:t>
      </w:r>
      <w:r w:rsidR="00773B3C" w:rsidRPr="00A51861">
        <w:rPr>
          <w:rFonts w:ascii="Cambria" w:eastAsia="Calibri" w:hAnsi="Cambria"/>
          <w:sz w:val="20"/>
          <w:szCs w:val="20"/>
          <w:bdr w:val="none" w:sz="0" w:space="0" w:color="auto"/>
        </w:rPr>
        <w:t xml:space="preserve"> </w:t>
      </w:r>
      <w:r w:rsidR="00A23BB6">
        <w:rPr>
          <w:rFonts w:ascii="Cambria" w:eastAsia="Calibri" w:hAnsi="Cambria"/>
          <w:sz w:val="20"/>
          <w:szCs w:val="20"/>
          <w:bdr w:val="none" w:sz="0" w:space="0" w:color="auto"/>
        </w:rPr>
        <w:t>compensation</w:t>
      </w:r>
      <w:r w:rsidR="00773B3C" w:rsidRPr="00A51861">
        <w:rPr>
          <w:rFonts w:ascii="Cambria" w:eastAsia="Calibri" w:hAnsi="Cambria"/>
          <w:sz w:val="20"/>
          <w:szCs w:val="20"/>
          <w:bdr w:val="none" w:sz="0" w:space="0" w:color="auto"/>
        </w:rPr>
        <w:t>,</w:t>
      </w:r>
      <w:r w:rsidR="005F7F4D">
        <w:rPr>
          <w:rFonts w:ascii="Cambria" w:eastAsia="Calibri" w:hAnsi="Cambria"/>
          <w:sz w:val="20"/>
          <w:szCs w:val="20"/>
          <w:bdr w:val="none" w:sz="0" w:space="0" w:color="auto"/>
        </w:rPr>
        <w:t xml:space="preserve"> </w:t>
      </w:r>
      <w:r w:rsidR="00A23BB6">
        <w:rPr>
          <w:rFonts w:ascii="Cambria" w:eastAsia="Calibri" w:hAnsi="Cambria"/>
          <w:sz w:val="20"/>
          <w:szCs w:val="20"/>
          <w:bdr w:val="none" w:sz="0" w:space="0" w:color="auto"/>
        </w:rPr>
        <w:t>what it establishes is</w:t>
      </w:r>
      <w:r w:rsidR="00D70A85">
        <w:rPr>
          <w:rFonts w:ascii="Cambria" w:eastAsia="Calibri" w:hAnsi="Cambria"/>
          <w:sz w:val="20"/>
          <w:szCs w:val="20"/>
          <w:bdr w:val="none" w:sz="0" w:space="0" w:color="auto"/>
        </w:rPr>
        <w:t xml:space="preserve"> </w:t>
      </w:r>
      <w:r w:rsidR="00A23BB6">
        <w:rPr>
          <w:rFonts w:ascii="Cambria" w:eastAsia="Calibri" w:hAnsi="Cambria"/>
          <w:sz w:val="20"/>
          <w:szCs w:val="20"/>
          <w:bdr w:val="none" w:sz="0" w:space="0" w:color="auto"/>
        </w:rPr>
        <w:t>a</w:t>
      </w:r>
      <w:r w:rsidR="00773B3C" w:rsidRPr="00A51861">
        <w:rPr>
          <w:rFonts w:ascii="Cambria" w:eastAsia="Calibri" w:hAnsi="Cambria"/>
          <w:sz w:val="20"/>
          <w:szCs w:val="20"/>
          <w:bdr w:val="none" w:sz="0" w:space="0" w:color="auto"/>
        </w:rPr>
        <w:t xml:space="preserve"> special </w:t>
      </w:r>
      <w:r w:rsidR="00A23BB6">
        <w:rPr>
          <w:rFonts w:ascii="Cambria" w:eastAsia="Calibri" w:hAnsi="Cambria"/>
          <w:sz w:val="20"/>
          <w:szCs w:val="20"/>
          <w:bdr w:val="none" w:sz="0" w:space="0" w:color="auto"/>
        </w:rPr>
        <w:t>procedure through which</w:t>
      </w:r>
      <w:r w:rsidR="00773B3C" w:rsidRPr="00A51861">
        <w:rPr>
          <w:rFonts w:ascii="Cambria" w:eastAsia="Calibri" w:hAnsi="Cambria"/>
          <w:sz w:val="20"/>
          <w:szCs w:val="20"/>
          <w:bdr w:val="none" w:sz="0" w:space="0" w:color="auto"/>
        </w:rPr>
        <w:t xml:space="preserve"> </w:t>
      </w:r>
      <w:r w:rsidR="005835F2">
        <w:rPr>
          <w:rFonts w:ascii="Cambria" w:eastAsia="Calibri" w:hAnsi="Cambria"/>
          <w:sz w:val="20"/>
          <w:szCs w:val="20"/>
          <w:bdr w:val="none" w:sz="0" w:space="0" w:color="auto"/>
        </w:rPr>
        <w:t>some</w:t>
      </w:r>
      <w:r w:rsidR="00773B3C" w:rsidRPr="00A51861">
        <w:rPr>
          <w:rFonts w:ascii="Cambria" w:eastAsia="Calibri" w:hAnsi="Cambria"/>
          <w:sz w:val="20"/>
          <w:szCs w:val="20"/>
          <w:bdr w:val="none" w:sz="0" w:space="0" w:color="auto"/>
        </w:rPr>
        <w:t xml:space="preserve"> </w:t>
      </w:r>
      <w:r w:rsidR="00EC7A58">
        <w:rPr>
          <w:rFonts w:ascii="Cambria" w:eastAsia="Calibri" w:hAnsi="Cambria"/>
          <w:sz w:val="20"/>
          <w:szCs w:val="20"/>
          <w:bdr w:val="none" w:sz="0" w:space="0" w:color="auto"/>
        </w:rPr>
        <w:t>persons</w:t>
      </w:r>
      <w:r w:rsidR="00773B3C" w:rsidRPr="00A51861">
        <w:rPr>
          <w:rFonts w:ascii="Cambria" w:eastAsia="Calibri" w:hAnsi="Cambria"/>
          <w:sz w:val="20"/>
          <w:szCs w:val="20"/>
          <w:bdr w:val="none" w:sz="0" w:space="0" w:color="auto"/>
        </w:rPr>
        <w:t xml:space="preserve"> </w:t>
      </w:r>
      <w:r w:rsidR="00A23BB6">
        <w:rPr>
          <w:rFonts w:ascii="Cambria" w:eastAsia="Calibri" w:hAnsi="Cambria"/>
          <w:sz w:val="20"/>
          <w:szCs w:val="20"/>
          <w:bdr w:val="none" w:sz="0" w:space="0" w:color="auto"/>
        </w:rPr>
        <w:t>may</w:t>
      </w:r>
      <w:r w:rsidR="00773B3C" w:rsidRPr="00A51861">
        <w:rPr>
          <w:rFonts w:ascii="Cambria" w:eastAsia="Calibri" w:hAnsi="Cambria"/>
          <w:sz w:val="20"/>
          <w:szCs w:val="20"/>
          <w:bdr w:val="none" w:sz="0" w:space="0" w:color="auto"/>
        </w:rPr>
        <w:t xml:space="preserve"> opt </w:t>
      </w:r>
      <w:r w:rsidR="00A23BB6">
        <w:rPr>
          <w:rFonts w:ascii="Cambria" w:eastAsia="Calibri" w:hAnsi="Cambria"/>
          <w:sz w:val="20"/>
          <w:szCs w:val="20"/>
          <w:bdr w:val="none" w:sz="0" w:space="0" w:color="auto"/>
        </w:rPr>
        <w:t>to exert their claim for</w:t>
      </w:r>
      <w:r w:rsidR="00E92985">
        <w:rPr>
          <w:rFonts w:ascii="Cambria" w:eastAsia="Calibri" w:hAnsi="Cambria"/>
          <w:sz w:val="20"/>
          <w:szCs w:val="20"/>
          <w:bdr w:val="none" w:sz="0" w:space="0" w:color="auto"/>
        </w:rPr>
        <w:t xml:space="preserve"> </w:t>
      </w:r>
      <w:r w:rsidR="00A23BB6">
        <w:rPr>
          <w:rFonts w:ascii="Cambria" w:eastAsia="Calibri" w:hAnsi="Cambria"/>
          <w:sz w:val="20"/>
          <w:szCs w:val="20"/>
          <w:bdr w:val="none" w:sz="0" w:space="0" w:color="auto"/>
        </w:rPr>
        <w:t>compensation</w:t>
      </w:r>
      <w:r w:rsidR="00773B3C" w:rsidRPr="00A51861">
        <w:rPr>
          <w:rFonts w:ascii="Cambria" w:eastAsia="Calibri" w:hAnsi="Cambria"/>
          <w:sz w:val="20"/>
          <w:szCs w:val="20"/>
          <w:bdr w:val="none" w:sz="0" w:space="0" w:color="auto"/>
        </w:rPr>
        <w:t>”</w:t>
      </w:r>
      <w:r w:rsidR="00773B3C" w:rsidRPr="00A51861">
        <w:rPr>
          <w:rFonts w:ascii="Cambria" w:eastAsia="Calibri" w:hAnsi="Cambria"/>
          <w:sz w:val="20"/>
          <w:szCs w:val="20"/>
          <w:bdr w:val="none" w:sz="0" w:space="0" w:color="auto"/>
          <w:vertAlign w:val="superscript"/>
        </w:rPr>
        <w:footnoteReference w:id="238"/>
      </w:r>
      <w:r w:rsidR="00773B3C" w:rsidRPr="00A51861">
        <w:rPr>
          <w:rFonts w:ascii="Cambria" w:eastAsia="Calibri" w:hAnsi="Cambria"/>
          <w:sz w:val="20"/>
          <w:szCs w:val="20"/>
          <w:bdr w:val="none" w:sz="0" w:space="0" w:color="auto"/>
        </w:rPr>
        <w:t xml:space="preserve">.    </w:t>
      </w:r>
    </w:p>
    <w:p w14:paraId="549E220D" w14:textId="77777777" w:rsidR="00773B3C" w:rsidRPr="00A51861" w:rsidRDefault="00773B3C" w:rsidP="008E4D36">
      <w:pPr>
        <w:ind w:left="720"/>
        <w:rPr>
          <w:rFonts w:ascii="Cambria" w:eastAsia="Cambria" w:hAnsi="Cambria" w:cs="Cambria"/>
          <w:color w:val="000000"/>
          <w:sz w:val="20"/>
          <w:szCs w:val="20"/>
          <w:u w:color="000000"/>
          <w:lang w:eastAsia="es-ES"/>
        </w:rPr>
      </w:pPr>
    </w:p>
    <w:p w14:paraId="518D315A" w14:textId="796F7E11" w:rsidR="00773B3C" w:rsidRPr="00A51861" w:rsidRDefault="008F7A6D"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eastAsia="Calibri" w:hAnsi="Cambria"/>
          <w:sz w:val="20"/>
          <w:szCs w:val="20"/>
          <w:bdr w:val="none" w:sz="0" w:space="0" w:color="auto"/>
        </w:rPr>
      </w:pPr>
      <w:r>
        <w:rPr>
          <w:rFonts w:ascii="Cambria" w:eastAsia="Calibri" w:hAnsi="Cambria"/>
          <w:sz w:val="20"/>
          <w:szCs w:val="20"/>
          <w:bdr w:val="none" w:sz="0" w:space="0" w:color="auto"/>
        </w:rPr>
        <w:t>In this sense</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the first</w:t>
      </w:r>
      <w:r w:rsidR="00773B3C" w:rsidRPr="00A51861">
        <w:rPr>
          <w:rFonts w:ascii="Cambria" w:eastAsia="Calibri" w:hAnsi="Cambria"/>
          <w:sz w:val="20"/>
          <w:szCs w:val="20"/>
          <w:bdr w:val="none" w:sz="0" w:space="0" w:color="auto"/>
        </w:rPr>
        <w:t xml:space="preserve"> </w:t>
      </w:r>
      <w:r w:rsidRPr="00A51861">
        <w:rPr>
          <w:rFonts w:ascii="Cambria" w:eastAsia="Calibri" w:hAnsi="Cambria"/>
          <w:sz w:val="20"/>
          <w:szCs w:val="20"/>
          <w:bdr w:val="none" w:sz="0" w:space="0" w:color="auto"/>
        </w:rPr>
        <w:t>juridical</w:t>
      </w:r>
      <w:r w:rsidR="00773B3C" w:rsidRPr="00A51861">
        <w:rPr>
          <w:rFonts w:ascii="Cambria" w:eastAsia="Calibri" w:hAnsi="Cambria"/>
          <w:sz w:val="20"/>
          <w:szCs w:val="20"/>
          <w:bdr w:val="none" w:sz="0" w:space="0" w:color="auto"/>
        </w:rPr>
        <w:t xml:space="preserve"> </w:t>
      </w:r>
      <w:r w:rsidRPr="00A51861">
        <w:rPr>
          <w:rFonts w:ascii="Cambria" w:eastAsia="Calibri" w:hAnsi="Cambria"/>
          <w:sz w:val="20"/>
          <w:szCs w:val="20"/>
          <w:bdr w:val="none" w:sz="0" w:space="0" w:color="auto"/>
        </w:rPr>
        <w:t xml:space="preserve">problem </w:t>
      </w:r>
      <w:r>
        <w:rPr>
          <w:rFonts w:ascii="Cambria" w:eastAsia="Calibri" w:hAnsi="Cambria"/>
          <w:sz w:val="20"/>
          <w:szCs w:val="20"/>
          <w:bdr w:val="none" w:sz="0" w:space="0" w:color="auto"/>
        </w:rPr>
        <w:t>to be raised regarding the</w:t>
      </w:r>
      <w:r w:rsidR="00E92985">
        <w:rPr>
          <w:rFonts w:ascii="Cambria" w:eastAsia="Calibri" w:hAnsi="Cambria"/>
          <w:sz w:val="20"/>
          <w:szCs w:val="20"/>
          <w:bdr w:val="none" w:sz="0" w:space="0" w:color="auto"/>
        </w:rPr>
        <w:t xml:space="preserve"> </w:t>
      </w:r>
      <w:r w:rsidR="0029564F">
        <w:rPr>
          <w:rFonts w:ascii="Cambria" w:eastAsia="Calibri" w:hAnsi="Cambria"/>
          <w:sz w:val="20"/>
          <w:szCs w:val="20"/>
          <w:bdr w:val="none" w:sz="0" w:space="0" w:color="auto"/>
        </w:rPr>
        <w:t>law</w:t>
      </w:r>
      <w:r w:rsidR="00773B3C" w:rsidRPr="00A51861">
        <w:rPr>
          <w:rFonts w:ascii="Cambria" w:eastAsia="Calibri" w:hAnsi="Cambria"/>
          <w:sz w:val="20"/>
          <w:szCs w:val="20"/>
          <w:bdr w:val="none" w:sz="0" w:space="0" w:color="auto"/>
        </w:rPr>
        <w:t>,</w:t>
      </w:r>
      <w:r w:rsidR="00D70A85">
        <w:rPr>
          <w:rFonts w:ascii="Cambria" w:eastAsia="Calibri" w:hAnsi="Cambria"/>
          <w:sz w:val="20"/>
          <w:szCs w:val="20"/>
          <w:bdr w:val="none" w:sz="0" w:space="0" w:color="auto"/>
        </w:rPr>
        <w:t xml:space="preserve"> is </w:t>
      </w:r>
      <w:r>
        <w:rPr>
          <w:rFonts w:ascii="Cambria" w:eastAsia="Calibri" w:hAnsi="Cambria"/>
          <w:sz w:val="20"/>
          <w:szCs w:val="20"/>
          <w:bdr w:val="none" w:sz="0" w:space="0" w:color="auto"/>
        </w:rPr>
        <w:t>apparently whether the</w:t>
      </w:r>
      <w:r w:rsidR="005F6157">
        <w:rPr>
          <w:rFonts w:ascii="Cambria" w:eastAsia="Calibri" w:hAnsi="Cambria"/>
          <w:sz w:val="20"/>
          <w:szCs w:val="20"/>
          <w:bdr w:val="none" w:sz="0" w:space="0" w:color="auto"/>
        </w:rPr>
        <w:t xml:space="preserve"> fact</w:t>
      </w:r>
      <w:r w:rsidR="00E92985">
        <w:rPr>
          <w:rFonts w:ascii="Cambria" w:eastAsia="Calibri" w:hAnsi="Cambria"/>
          <w:sz w:val="20"/>
          <w:szCs w:val="20"/>
          <w:bdr w:val="none" w:sz="0" w:space="0" w:color="auto"/>
        </w:rPr>
        <w:t xml:space="preserve"> of </w:t>
      </w:r>
      <w:r w:rsidR="00773B3C" w:rsidRPr="00A51861">
        <w:rPr>
          <w:rFonts w:ascii="Cambria" w:eastAsia="Calibri" w:hAnsi="Cambria"/>
          <w:sz w:val="20"/>
          <w:szCs w:val="20"/>
          <w:bdr w:val="none" w:sz="0" w:space="0" w:color="auto"/>
        </w:rPr>
        <w:t>exclu</w:t>
      </w:r>
      <w:r>
        <w:rPr>
          <w:rFonts w:ascii="Cambria" w:eastAsia="Calibri" w:hAnsi="Cambria"/>
          <w:sz w:val="20"/>
          <w:szCs w:val="20"/>
          <w:bdr w:val="none" w:sz="0" w:space="0" w:color="auto"/>
        </w:rPr>
        <w:t>ding</w:t>
      </w:r>
      <w:r w:rsidR="00773B3C" w:rsidRPr="00A51861">
        <w:rPr>
          <w:rFonts w:ascii="Cambria" w:eastAsia="Calibri" w:hAnsi="Cambria"/>
          <w:sz w:val="20"/>
          <w:szCs w:val="20"/>
          <w:bdr w:val="none" w:sz="0" w:space="0" w:color="auto"/>
        </w:rPr>
        <w:t xml:space="preserve"> </w:t>
      </w:r>
      <w:r w:rsidR="00E92985">
        <w:rPr>
          <w:rFonts w:ascii="Cambria" w:eastAsia="Calibri" w:hAnsi="Cambria"/>
          <w:sz w:val="20"/>
          <w:szCs w:val="20"/>
          <w:bdr w:val="none" w:sz="0" w:space="0" w:color="auto"/>
        </w:rPr>
        <w:t xml:space="preserve">situations of </w:t>
      </w:r>
      <w:r w:rsidR="00773B3C" w:rsidRPr="00A51861">
        <w:rPr>
          <w:rFonts w:ascii="Cambria" w:eastAsia="Calibri" w:hAnsi="Cambria"/>
          <w:sz w:val="20"/>
          <w:szCs w:val="20"/>
          <w:bdr w:val="none" w:sz="0" w:space="0" w:color="auto"/>
        </w:rPr>
        <w:t xml:space="preserve">facto </w:t>
      </w:r>
      <w:r>
        <w:rPr>
          <w:rFonts w:ascii="Cambria" w:eastAsia="Calibri" w:hAnsi="Cambria"/>
          <w:sz w:val="20"/>
          <w:szCs w:val="20"/>
          <w:bdr w:val="none" w:sz="0" w:space="0" w:color="auto"/>
        </w:rPr>
        <w:t>occurred beyond the</w:t>
      </w:r>
      <w:r w:rsidR="00773B3C" w:rsidRPr="00A51861">
        <w:rPr>
          <w:rFonts w:ascii="Cambria" w:eastAsia="Calibri" w:hAnsi="Cambria"/>
          <w:sz w:val="20"/>
          <w:szCs w:val="20"/>
          <w:bdr w:val="none" w:sz="0" w:space="0" w:color="auto"/>
        </w:rPr>
        <w:t xml:space="preserve"> </w:t>
      </w:r>
      <w:r w:rsidR="009B462E">
        <w:rPr>
          <w:rFonts w:ascii="Cambria" w:eastAsia="Calibri" w:hAnsi="Cambria"/>
          <w:sz w:val="20"/>
          <w:szCs w:val="20"/>
          <w:bdr w:val="none" w:sz="0" w:space="0" w:color="auto"/>
        </w:rPr>
        <w:t xml:space="preserve">temporary </w:t>
      </w:r>
      <w:r>
        <w:rPr>
          <w:rFonts w:ascii="Cambria" w:eastAsia="Calibri" w:hAnsi="Cambria"/>
          <w:sz w:val="20"/>
          <w:szCs w:val="20"/>
          <w:bdr w:val="none" w:sz="0" w:space="0" w:color="auto"/>
        </w:rPr>
        <w:t>setting which</w:t>
      </w:r>
      <w:r w:rsidR="00317A3E">
        <w:rPr>
          <w:rFonts w:ascii="Cambria" w:eastAsia="Calibri" w:hAnsi="Cambria"/>
          <w:sz w:val="20"/>
          <w:szCs w:val="20"/>
          <w:bdr w:val="none" w:sz="0" w:space="0" w:color="auto"/>
        </w:rPr>
        <w:t xml:space="preserve"> recognizes </w:t>
      </w:r>
      <w:r w:rsidR="009A4F91">
        <w:rPr>
          <w:rFonts w:ascii="Cambria" w:eastAsia="Calibri" w:hAnsi="Cambria"/>
          <w:sz w:val="20"/>
          <w:szCs w:val="20"/>
          <w:bdr w:val="none" w:sz="0" w:space="0" w:color="auto"/>
        </w:rPr>
        <w:t xml:space="preserve">the </w:t>
      </w:r>
      <w:r w:rsidR="00414B18">
        <w:rPr>
          <w:rFonts w:ascii="Cambria" w:eastAsia="Calibri" w:hAnsi="Cambria"/>
          <w:sz w:val="20"/>
          <w:szCs w:val="20"/>
          <w:bdr w:val="none" w:sz="0" w:space="0" w:color="auto"/>
        </w:rPr>
        <w:t xml:space="preserve">possibility </w:t>
      </w:r>
      <w:r w:rsidR="00E92985">
        <w:rPr>
          <w:rFonts w:ascii="Cambria" w:eastAsia="Calibri" w:hAnsi="Cambria"/>
          <w:sz w:val="20"/>
          <w:szCs w:val="20"/>
          <w:bdr w:val="none" w:sz="0" w:space="0" w:color="auto"/>
        </w:rPr>
        <w:t xml:space="preserve">of </w:t>
      </w:r>
      <w:r>
        <w:rPr>
          <w:rFonts w:ascii="Cambria" w:eastAsia="Calibri" w:hAnsi="Cambria"/>
          <w:sz w:val="20"/>
          <w:szCs w:val="20"/>
          <w:bdr w:val="none" w:sz="0" w:space="0" w:color="auto"/>
        </w:rPr>
        <w:t>receiving a</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compensation</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under said regulatory framework</w:t>
      </w:r>
      <w:r w:rsidR="00773B3C" w:rsidRPr="00A51861">
        <w:rPr>
          <w:rFonts w:ascii="Cambria" w:eastAsia="Calibri" w:hAnsi="Cambria"/>
          <w:sz w:val="20"/>
          <w:szCs w:val="20"/>
          <w:bdr w:val="none" w:sz="0" w:space="0" w:color="auto"/>
        </w:rPr>
        <w:t>,</w:t>
      </w:r>
      <w:r w:rsidR="00D70A85">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violates</w:t>
      </w:r>
      <w:r w:rsidR="004969F4">
        <w:rPr>
          <w:rFonts w:ascii="Cambria" w:eastAsia="Calibri" w:hAnsi="Cambria"/>
          <w:sz w:val="20"/>
          <w:szCs w:val="20"/>
          <w:bdr w:val="none" w:sz="0" w:space="0" w:color="auto"/>
        </w:rPr>
        <w:t xml:space="preserve"> the </w:t>
      </w:r>
      <w:r w:rsidR="00444893">
        <w:rPr>
          <w:rFonts w:ascii="Cambria" w:eastAsia="Calibri" w:hAnsi="Cambria"/>
          <w:sz w:val="20"/>
          <w:szCs w:val="20"/>
          <w:bdr w:val="none" w:sz="0" w:space="0" w:color="auto"/>
        </w:rPr>
        <w:t>principle</w:t>
      </w:r>
      <w:r w:rsidR="00E92985">
        <w:rPr>
          <w:rFonts w:ascii="Cambria" w:eastAsia="Calibri" w:hAnsi="Cambria"/>
          <w:sz w:val="20"/>
          <w:szCs w:val="20"/>
          <w:bdr w:val="none" w:sz="0" w:space="0" w:color="auto"/>
        </w:rPr>
        <w:t xml:space="preserve"> of </w:t>
      </w:r>
      <w:r w:rsidR="00775F21">
        <w:rPr>
          <w:rFonts w:ascii="Cambria" w:eastAsia="Calibri" w:hAnsi="Cambria"/>
          <w:sz w:val="20"/>
          <w:szCs w:val="20"/>
          <w:bdr w:val="none" w:sz="0" w:space="0" w:color="auto"/>
        </w:rPr>
        <w:t>equality</w:t>
      </w:r>
      <w:r w:rsidR="00FA2E7B">
        <w:rPr>
          <w:rFonts w:ascii="Cambria" w:eastAsia="Calibri" w:hAnsi="Cambria"/>
          <w:sz w:val="20"/>
          <w:szCs w:val="20"/>
          <w:bdr w:val="none" w:sz="0" w:space="0" w:color="auto"/>
        </w:rPr>
        <w:t xml:space="preserve"> </w:t>
      </w:r>
      <w:r w:rsidR="00E92985">
        <w:rPr>
          <w:rFonts w:ascii="Cambria" w:eastAsia="Calibri" w:hAnsi="Cambria"/>
          <w:sz w:val="20"/>
          <w:szCs w:val="20"/>
          <w:bdr w:val="none" w:sz="0" w:space="0" w:color="auto"/>
        </w:rPr>
        <w:t xml:space="preserve">and </w:t>
      </w:r>
      <w:r w:rsidR="00773B3C" w:rsidRPr="00A51861">
        <w:rPr>
          <w:rFonts w:ascii="Cambria" w:eastAsia="Calibri" w:hAnsi="Cambria"/>
          <w:sz w:val="20"/>
          <w:szCs w:val="20"/>
          <w:bdr w:val="none" w:sz="0" w:space="0" w:color="auto"/>
        </w:rPr>
        <w:t>no</w:t>
      </w:r>
      <w:r>
        <w:rPr>
          <w:rFonts w:ascii="Cambria" w:eastAsia="Calibri" w:hAnsi="Cambria"/>
          <w:sz w:val="20"/>
          <w:szCs w:val="20"/>
          <w:bdr w:val="none" w:sz="0" w:space="0" w:color="auto"/>
        </w:rPr>
        <w:t>t</w:t>
      </w:r>
      <w:r w:rsidR="00773B3C" w:rsidRPr="00A51861">
        <w:rPr>
          <w:rFonts w:ascii="Cambria" w:eastAsia="Calibri" w:hAnsi="Cambria"/>
          <w:sz w:val="20"/>
          <w:szCs w:val="20"/>
          <w:bdr w:val="none" w:sz="0" w:space="0" w:color="auto"/>
        </w:rPr>
        <w:t xml:space="preserve"> </w:t>
      </w:r>
      <w:r w:rsidRPr="00A51861">
        <w:rPr>
          <w:rFonts w:ascii="Cambria" w:eastAsia="Calibri" w:hAnsi="Cambria"/>
          <w:sz w:val="20"/>
          <w:szCs w:val="20"/>
          <w:bdr w:val="none" w:sz="0" w:space="0" w:color="auto"/>
        </w:rPr>
        <w:t>discrimination</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On this point</w:t>
      </w:r>
      <w:r w:rsidR="00773B3C" w:rsidRPr="00A51861">
        <w:rPr>
          <w:rFonts w:ascii="Cambria" w:eastAsia="Calibri" w:hAnsi="Cambria"/>
          <w:sz w:val="20"/>
          <w:szCs w:val="20"/>
          <w:bdr w:val="none" w:sz="0" w:space="0" w:color="auto"/>
        </w:rPr>
        <w:t>,</w:t>
      </w:r>
      <w:r w:rsidR="00E64C43">
        <w:rPr>
          <w:rFonts w:ascii="Cambria" w:eastAsia="Calibri" w:hAnsi="Cambria"/>
          <w:sz w:val="20"/>
          <w:szCs w:val="20"/>
          <w:bdr w:val="none" w:sz="0" w:space="0" w:color="auto"/>
        </w:rPr>
        <w:t xml:space="preserve"> this</w:t>
      </w:r>
      <w:r>
        <w:rPr>
          <w:rFonts w:ascii="Cambria" w:eastAsia="Calibri" w:hAnsi="Cambria"/>
          <w:sz w:val="20"/>
          <w:szCs w:val="20"/>
          <w:bdr w:val="none" w:sz="0" w:space="0" w:color="auto"/>
        </w:rPr>
        <w:t xml:space="preserve"> Commission</w:t>
      </w:r>
      <w:r w:rsidR="00773B3C" w:rsidRPr="00A51861">
        <w:rPr>
          <w:rFonts w:ascii="Cambria" w:eastAsia="Calibri" w:hAnsi="Cambria"/>
          <w:sz w:val="20"/>
          <w:szCs w:val="20"/>
          <w:bdr w:val="none" w:sz="0" w:space="0" w:color="auto"/>
        </w:rPr>
        <w:t xml:space="preserve"> </w:t>
      </w:r>
      <w:r w:rsidR="00A51861" w:rsidRPr="00A51861">
        <w:rPr>
          <w:rFonts w:ascii="Cambria" w:eastAsia="Calibri" w:hAnsi="Cambria"/>
          <w:sz w:val="20"/>
          <w:szCs w:val="20"/>
          <w:bdr w:val="none" w:sz="0" w:space="0" w:color="auto"/>
        </w:rPr>
        <w:t>considers that</w:t>
      </w:r>
      <w:r w:rsidR="009A4F91">
        <w:rPr>
          <w:rFonts w:ascii="Cambria" w:eastAsia="Calibri" w:hAnsi="Cambria"/>
          <w:sz w:val="20"/>
          <w:szCs w:val="20"/>
          <w:bdr w:val="none" w:sz="0" w:space="0" w:color="auto"/>
        </w:rPr>
        <w:t xml:space="preserve"> the </w:t>
      </w:r>
      <w:r>
        <w:rPr>
          <w:rFonts w:ascii="Cambria" w:eastAsia="Calibri" w:hAnsi="Cambria"/>
          <w:sz w:val="20"/>
          <w:szCs w:val="20"/>
          <w:bdr w:val="none" w:sz="0" w:space="0" w:color="auto"/>
        </w:rPr>
        <w:t>reasoning provided by</w:t>
      </w:r>
      <w:r w:rsidR="00773B3C" w:rsidRPr="00A51861">
        <w:rPr>
          <w:rFonts w:ascii="Cambria" w:eastAsia="Calibri" w:hAnsi="Cambria"/>
          <w:sz w:val="20"/>
          <w:szCs w:val="20"/>
          <w:bdr w:val="none" w:sz="0" w:space="0" w:color="auto"/>
        </w:rPr>
        <w:t xml:space="preserve"> </w:t>
      </w:r>
      <w:r w:rsidR="00F92BA8">
        <w:rPr>
          <w:rFonts w:ascii="Cambria" w:eastAsia="Calibri" w:hAnsi="Cambria"/>
          <w:sz w:val="20"/>
          <w:szCs w:val="20"/>
          <w:bdr w:val="none" w:sz="0" w:space="0" w:color="auto"/>
        </w:rPr>
        <w:t>the State</w:t>
      </w:r>
      <w:r w:rsidR="00773B3C" w:rsidRPr="00A51861">
        <w:rPr>
          <w:rFonts w:ascii="Cambria" w:eastAsia="Calibri" w:hAnsi="Cambria"/>
          <w:sz w:val="20"/>
          <w:szCs w:val="20"/>
          <w:bdr w:val="none" w:sz="0" w:space="0" w:color="auto"/>
        </w:rPr>
        <w:t xml:space="preserve"> </w:t>
      </w:r>
      <w:r w:rsidR="00657B6C">
        <w:rPr>
          <w:rFonts w:ascii="Cambria" w:eastAsia="Calibri" w:hAnsi="Cambria"/>
          <w:sz w:val="20"/>
          <w:szCs w:val="20"/>
          <w:bdr w:val="none" w:sz="0" w:space="0" w:color="auto"/>
        </w:rPr>
        <w:t>to</w:t>
      </w:r>
      <w:r w:rsidR="00773B3C" w:rsidRPr="00A51861">
        <w:rPr>
          <w:rFonts w:ascii="Cambria" w:eastAsia="Calibri" w:hAnsi="Cambria"/>
          <w:sz w:val="20"/>
          <w:szCs w:val="20"/>
          <w:bdr w:val="none" w:sz="0" w:space="0" w:color="auto"/>
        </w:rPr>
        <w:t xml:space="preserve"> establ</w:t>
      </w:r>
      <w:r w:rsidR="00657B6C">
        <w:rPr>
          <w:rFonts w:ascii="Cambria" w:eastAsia="Calibri" w:hAnsi="Cambria"/>
          <w:sz w:val="20"/>
          <w:szCs w:val="20"/>
          <w:bdr w:val="none" w:sz="0" w:space="0" w:color="auto"/>
        </w:rPr>
        <w:t>ish</w:t>
      </w:r>
      <w:r w:rsidR="009A4F91">
        <w:rPr>
          <w:rFonts w:ascii="Cambria" w:eastAsia="Calibri" w:hAnsi="Cambria"/>
          <w:sz w:val="20"/>
          <w:szCs w:val="20"/>
          <w:bdr w:val="none" w:sz="0" w:space="0" w:color="auto"/>
        </w:rPr>
        <w:t xml:space="preserve"> the </w:t>
      </w:r>
      <w:r w:rsidR="00775F21">
        <w:rPr>
          <w:rFonts w:ascii="Cambria" w:eastAsia="Calibri" w:hAnsi="Cambria"/>
          <w:sz w:val="20"/>
          <w:szCs w:val="20"/>
          <w:bdr w:val="none" w:sz="0" w:space="0" w:color="auto"/>
        </w:rPr>
        <w:t>distinction</w:t>
      </w:r>
      <w:r w:rsidR="00773B3C" w:rsidRPr="00A51861">
        <w:rPr>
          <w:rFonts w:ascii="Cambria" w:eastAsia="Calibri" w:hAnsi="Cambria"/>
          <w:sz w:val="20"/>
          <w:szCs w:val="20"/>
          <w:bdr w:val="none" w:sz="0" w:space="0" w:color="auto"/>
        </w:rPr>
        <w:t xml:space="preserve">, </w:t>
      </w:r>
      <w:r w:rsidR="00657B6C">
        <w:rPr>
          <w:rFonts w:ascii="Cambria" w:eastAsia="Calibri" w:hAnsi="Cambria"/>
          <w:sz w:val="20"/>
          <w:szCs w:val="20"/>
          <w:bdr w:val="none" w:sz="0" w:space="0" w:color="auto"/>
        </w:rPr>
        <w:t>namely</w:t>
      </w:r>
      <w:r w:rsidR="00773B3C" w:rsidRPr="00A51861">
        <w:rPr>
          <w:rFonts w:ascii="Cambria" w:eastAsia="Calibri" w:hAnsi="Cambria"/>
          <w:sz w:val="20"/>
          <w:szCs w:val="20"/>
          <w:bdr w:val="none" w:sz="0" w:space="0" w:color="auto"/>
        </w:rPr>
        <w:t xml:space="preserve">, </w:t>
      </w:r>
      <w:r w:rsidR="00657B6C">
        <w:rPr>
          <w:rFonts w:ascii="Cambria" w:eastAsia="Calibri" w:hAnsi="Cambria"/>
          <w:sz w:val="20"/>
          <w:szCs w:val="20"/>
          <w:bdr w:val="none" w:sz="0" w:space="0" w:color="auto"/>
        </w:rPr>
        <w:t>that</w:t>
      </w:r>
      <w:r w:rsidR="00773B3C" w:rsidRPr="00A51861">
        <w:rPr>
          <w:rFonts w:ascii="Cambria" w:eastAsia="Calibri" w:hAnsi="Cambria"/>
          <w:sz w:val="20"/>
          <w:szCs w:val="20"/>
          <w:bdr w:val="none" w:sz="0" w:space="0" w:color="auto"/>
        </w:rPr>
        <w:t xml:space="preserve"> </w:t>
      </w:r>
      <w:r w:rsidR="002835FC" w:rsidRPr="00A51861">
        <w:rPr>
          <w:rFonts w:ascii="Cambria" w:eastAsia="Calibri" w:hAnsi="Cambria"/>
          <w:sz w:val="20"/>
          <w:szCs w:val="20"/>
          <w:bdr w:val="none" w:sz="0" w:space="0" w:color="auto"/>
        </w:rPr>
        <w:t xml:space="preserve">Law </w:t>
      </w:r>
      <w:r w:rsidR="00773B3C" w:rsidRPr="00A51861">
        <w:rPr>
          <w:rFonts w:ascii="Cambria" w:eastAsia="Calibri" w:hAnsi="Cambria"/>
          <w:sz w:val="20"/>
          <w:szCs w:val="20"/>
          <w:bdr w:val="none" w:sz="0" w:space="0" w:color="auto"/>
        </w:rPr>
        <w:t xml:space="preserve">24.043 </w:t>
      </w:r>
      <w:r w:rsidR="00657B6C">
        <w:rPr>
          <w:rFonts w:ascii="Cambria" w:eastAsia="Calibri" w:hAnsi="Cambria"/>
          <w:sz w:val="20"/>
          <w:szCs w:val="20"/>
          <w:bdr w:val="none" w:sz="0" w:space="0" w:color="auto"/>
        </w:rPr>
        <w:t>sets a timeframe for the application</w:t>
      </w:r>
      <w:r w:rsidR="00E92985">
        <w:rPr>
          <w:rFonts w:ascii="Cambria" w:eastAsia="Calibri" w:hAnsi="Cambria"/>
          <w:sz w:val="20"/>
          <w:szCs w:val="20"/>
          <w:bdr w:val="none" w:sz="0" w:space="0" w:color="auto"/>
        </w:rPr>
        <w:t xml:space="preserve"> </w:t>
      </w:r>
      <w:r w:rsidR="00657B6C">
        <w:rPr>
          <w:rFonts w:ascii="Cambria" w:eastAsia="Calibri" w:hAnsi="Cambria"/>
          <w:sz w:val="20"/>
          <w:szCs w:val="20"/>
          <w:bdr w:val="none" w:sz="0" w:space="0" w:color="auto"/>
        </w:rPr>
        <w:t>which</w:t>
      </w:r>
      <w:r w:rsidR="00773B3C" w:rsidRPr="00A51861">
        <w:rPr>
          <w:rFonts w:ascii="Cambria" w:eastAsia="Calibri" w:hAnsi="Cambria"/>
          <w:sz w:val="20"/>
          <w:szCs w:val="20"/>
          <w:bdr w:val="none" w:sz="0" w:space="0" w:color="auto"/>
        </w:rPr>
        <w:t xml:space="preserve"> correspond</w:t>
      </w:r>
      <w:r w:rsidR="00657B6C">
        <w:rPr>
          <w:rFonts w:ascii="Cambria" w:eastAsia="Calibri" w:hAnsi="Cambria"/>
          <w:sz w:val="20"/>
          <w:szCs w:val="20"/>
          <w:bdr w:val="none" w:sz="0" w:space="0" w:color="auto"/>
        </w:rPr>
        <w:t>s to the</w:t>
      </w:r>
      <w:r w:rsidR="00773B3C" w:rsidRPr="00A51861">
        <w:rPr>
          <w:rFonts w:ascii="Cambria" w:eastAsia="Calibri" w:hAnsi="Cambria"/>
          <w:sz w:val="20"/>
          <w:szCs w:val="20"/>
          <w:bdr w:val="none" w:sz="0" w:space="0" w:color="auto"/>
        </w:rPr>
        <w:t xml:space="preserve"> period</w:t>
      </w:r>
      <w:r w:rsidR="00E92985">
        <w:rPr>
          <w:rFonts w:ascii="Cambria" w:eastAsia="Calibri" w:hAnsi="Cambria"/>
          <w:sz w:val="20"/>
          <w:szCs w:val="20"/>
          <w:bdr w:val="none" w:sz="0" w:space="0" w:color="auto"/>
        </w:rPr>
        <w:t xml:space="preserve"> of </w:t>
      </w:r>
      <w:r w:rsidR="00657B6C" w:rsidRPr="00A51861">
        <w:rPr>
          <w:rFonts w:ascii="Cambria" w:eastAsia="Calibri" w:hAnsi="Cambria"/>
          <w:sz w:val="20"/>
          <w:szCs w:val="20"/>
          <w:bdr w:val="none" w:sz="0" w:space="0" w:color="auto"/>
        </w:rPr>
        <w:t>duration</w:t>
      </w:r>
      <w:r w:rsidR="00773B3C" w:rsidRPr="00A51861">
        <w:rPr>
          <w:rFonts w:ascii="Cambria" w:eastAsia="Calibri" w:hAnsi="Cambria"/>
          <w:sz w:val="20"/>
          <w:szCs w:val="20"/>
          <w:bdr w:val="none" w:sz="0" w:space="0" w:color="auto"/>
        </w:rPr>
        <w:t xml:space="preserve"> </w:t>
      </w:r>
      <w:r w:rsidR="00F92BA8">
        <w:rPr>
          <w:rFonts w:ascii="Cambria" w:eastAsia="Calibri" w:hAnsi="Cambria"/>
          <w:sz w:val="20"/>
          <w:szCs w:val="20"/>
          <w:bdr w:val="none" w:sz="0" w:space="0" w:color="auto"/>
        </w:rPr>
        <w:t>of the</w:t>
      </w:r>
      <w:r w:rsidR="0076580C">
        <w:rPr>
          <w:rFonts w:ascii="Cambria" w:eastAsia="Calibri" w:hAnsi="Cambria"/>
          <w:sz w:val="20"/>
          <w:szCs w:val="20"/>
          <w:bdr w:val="none" w:sz="0" w:space="0" w:color="auto"/>
        </w:rPr>
        <w:t xml:space="preserve"> </w:t>
      </w:r>
      <w:r w:rsidR="001A0B84">
        <w:rPr>
          <w:rFonts w:ascii="Cambria" w:eastAsia="Calibri" w:hAnsi="Cambria"/>
          <w:sz w:val="20"/>
          <w:szCs w:val="20"/>
          <w:bdr w:val="none" w:sz="0" w:space="0" w:color="auto"/>
        </w:rPr>
        <w:t>State of Siege</w:t>
      </w:r>
      <w:r w:rsidR="0076580C">
        <w:rPr>
          <w:rFonts w:ascii="Cambria" w:eastAsia="Calibri" w:hAnsi="Cambria"/>
          <w:sz w:val="20"/>
          <w:szCs w:val="20"/>
          <w:bdr w:val="none" w:sz="0" w:space="0" w:color="auto"/>
        </w:rPr>
        <w:t xml:space="preserve"> </w:t>
      </w:r>
      <w:r w:rsidR="00657B6C">
        <w:rPr>
          <w:rFonts w:ascii="Cambria" w:eastAsia="Calibri" w:hAnsi="Cambria"/>
          <w:sz w:val="20"/>
          <w:szCs w:val="20"/>
          <w:bdr w:val="none" w:sz="0" w:space="0" w:color="auto"/>
        </w:rPr>
        <w:t xml:space="preserve">declared on November 6, </w:t>
      </w:r>
      <w:r w:rsidR="00773B3C" w:rsidRPr="00A51861">
        <w:rPr>
          <w:rFonts w:ascii="Cambria" w:eastAsia="Calibri" w:hAnsi="Cambria"/>
          <w:sz w:val="20"/>
          <w:szCs w:val="20"/>
          <w:bdr w:val="none" w:sz="0" w:space="0" w:color="auto"/>
        </w:rPr>
        <w:t>1974</w:t>
      </w:r>
      <w:r w:rsidR="00E92985">
        <w:rPr>
          <w:rFonts w:ascii="Cambria" w:eastAsia="Calibri" w:hAnsi="Cambria"/>
          <w:sz w:val="20"/>
          <w:szCs w:val="20"/>
          <w:bdr w:val="none" w:sz="0" w:space="0" w:color="auto"/>
        </w:rPr>
        <w:t xml:space="preserve"> and </w:t>
      </w:r>
      <w:r w:rsidR="00657B6C">
        <w:rPr>
          <w:rFonts w:ascii="Cambria" w:eastAsia="Calibri" w:hAnsi="Cambria"/>
          <w:sz w:val="20"/>
          <w:szCs w:val="20"/>
          <w:bdr w:val="none" w:sz="0" w:space="0" w:color="auto"/>
        </w:rPr>
        <w:t>that</w:t>
      </w:r>
      <w:r w:rsidR="006A3C04">
        <w:rPr>
          <w:rFonts w:ascii="Cambria" w:eastAsia="Calibri" w:hAnsi="Cambria"/>
          <w:sz w:val="20"/>
          <w:szCs w:val="20"/>
          <w:bdr w:val="none" w:sz="0" w:space="0" w:color="auto"/>
        </w:rPr>
        <w:t xml:space="preserve"> the facts</w:t>
      </w:r>
      <w:r w:rsidR="00773B3C" w:rsidRPr="00A51861">
        <w:rPr>
          <w:rFonts w:ascii="Cambria" w:eastAsia="Calibri" w:hAnsi="Cambria"/>
          <w:sz w:val="20"/>
          <w:szCs w:val="20"/>
          <w:bdr w:val="none" w:sz="0" w:space="0" w:color="auto"/>
        </w:rPr>
        <w:t xml:space="preserve"> </w:t>
      </w:r>
      <w:r w:rsidR="00657B6C">
        <w:rPr>
          <w:rFonts w:ascii="Cambria" w:eastAsia="Calibri" w:hAnsi="Cambria"/>
          <w:sz w:val="20"/>
          <w:szCs w:val="20"/>
          <w:bdr w:val="none" w:sz="0" w:space="0" w:color="auto"/>
        </w:rPr>
        <w:t>taken place beyond</w:t>
      </w:r>
      <w:r w:rsidR="00773B3C" w:rsidRPr="00A51861">
        <w:rPr>
          <w:rFonts w:ascii="Cambria" w:eastAsia="Calibri" w:hAnsi="Cambria"/>
          <w:sz w:val="20"/>
          <w:szCs w:val="20"/>
          <w:bdr w:val="none" w:sz="0" w:space="0" w:color="auto"/>
        </w:rPr>
        <w:t xml:space="preserve"> </w:t>
      </w:r>
      <w:r w:rsidR="00657B6C">
        <w:rPr>
          <w:rFonts w:ascii="Cambria" w:eastAsia="Calibri" w:hAnsi="Cambria"/>
          <w:sz w:val="20"/>
          <w:szCs w:val="20"/>
          <w:bdr w:val="none" w:sz="0" w:space="0" w:color="auto"/>
        </w:rPr>
        <w:t>that period do not meet the</w:t>
      </w:r>
      <w:r w:rsidR="00773B3C" w:rsidRPr="00A51861">
        <w:rPr>
          <w:rFonts w:ascii="Cambria" w:eastAsia="Calibri" w:hAnsi="Cambria"/>
          <w:sz w:val="20"/>
          <w:szCs w:val="20"/>
          <w:bdr w:val="none" w:sz="0" w:space="0" w:color="auto"/>
        </w:rPr>
        <w:t xml:space="preserve"> </w:t>
      </w:r>
      <w:r w:rsidR="00EC7A58">
        <w:rPr>
          <w:rFonts w:ascii="Cambria" w:eastAsia="Calibri" w:hAnsi="Cambria"/>
          <w:sz w:val="20"/>
          <w:szCs w:val="20"/>
          <w:bdr w:val="none" w:sz="0" w:space="0" w:color="auto"/>
        </w:rPr>
        <w:t>requirement</w:t>
      </w:r>
      <w:r w:rsidR="00773B3C" w:rsidRPr="00A51861">
        <w:rPr>
          <w:rFonts w:ascii="Cambria" w:eastAsia="Calibri" w:hAnsi="Cambria"/>
          <w:sz w:val="20"/>
          <w:szCs w:val="20"/>
          <w:bdr w:val="none" w:sz="0" w:space="0" w:color="auto"/>
        </w:rPr>
        <w:t xml:space="preserve">s </w:t>
      </w:r>
      <w:r w:rsidR="00657B6C">
        <w:rPr>
          <w:rFonts w:ascii="Cambria" w:eastAsia="Calibri" w:hAnsi="Cambria"/>
          <w:sz w:val="20"/>
          <w:szCs w:val="20"/>
          <w:bdr w:val="none" w:sz="0" w:space="0" w:color="auto"/>
        </w:rPr>
        <w:t>to be eligible for</w:t>
      </w:r>
      <w:r w:rsidR="00E92985">
        <w:rPr>
          <w:rFonts w:ascii="Cambria" w:eastAsia="Calibri" w:hAnsi="Cambria"/>
          <w:sz w:val="20"/>
          <w:szCs w:val="20"/>
          <w:bdr w:val="none" w:sz="0" w:space="0" w:color="auto"/>
        </w:rPr>
        <w:t xml:space="preserve"> the </w:t>
      </w:r>
      <w:r>
        <w:rPr>
          <w:rFonts w:ascii="Cambria" w:eastAsia="Calibri" w:hAnsi="Cambria"/>
          <w:sz w:val="20"/>
          <w:szCs w:val="20"/>
          <w:bdr w:val="none" w:sz="0" w:space="0" w:color="auto"/>
        </w:rPr>
        <w:t>compensation</w:t>
      </w:r>
      <w:r w:rsidR="00773B3C" w:rsidRPr="00A51861">
        <w:rPr>
          <w:rFonts w:ascii="Cambria" w:eastAsia="Calibri" w:hAnsi="Cambria"/>
          <w:sz w:val="20"/>
          <w:szCs w:val="20"/>
          <w:bdr w:val="none" w:sz="0" w:space="0" w:color="auto"/>
        </w:rPr>
        <w:t xml:space="preserve"> contempla</w:t>
      </w:r>
      <w:r w:rsidR="00657B6C">
        <w:rPr>
          <w:rFonts w:ascii="Cambria" w:eastAsia="Calibri" w:hAnsi="Cambria"/>
          <w:sz w:val="20"/>
          <w:szCs w:val="20"/>
          <w:bdr w:val="none" w:sz="0" w:space="0" w:color="auto"/>
        </w:rPr>
        <w:t>ted</w:t>
      </w:r>
      <w:r w:rsidR="00773B3C" w:rsidRPr="00A51861">
        <w:rPr>
          <w:rFonts w:ascii="Cambria" w:eastAsia="Calibri" w:hAnsi="Cambria"/>
          <w:sz w:val="20"/>
          <w:szCs w:val="20"/>
          <w:bdr w:val="none" w:sz="0" w:space="0" w:color="auto"/>
        </w:rPr>
        <w:t xml:space="preserve"> </w:t>
      </w:r>
      <w:r w:rsidR="00657B6C">
        <w:rPr>
          <w:rFonts w:ascii="Cambria" w:eastAsia="Calibri" w:hAnsi="Cambria"/>
          <w:sz w:val="20"/>
          <w:szCs w:val="20"/>
          <w:bdr w:val="none" w:sz="0" w:space="0" w:color="auto"/>
        </w:rPr>
        <w:t>in said</w:t>
      </w:r>
      <w:r w:rsidR="00773B3C" w:rsidRPr="00A51861">
        <w:rPr>
          <w:rFonts w:ascii="Cambria" w:eastAsia="Calibri" w:hAnsi="Cambria"/>
          <w:sz w:val="20"/>
          <w:szCs w:val="20"/>
          <w:bdr w:val="none" w:sz="0" w:space="0" w:color="auto"/>
        </w:rPr>
        <w:t xml:space="preserve"> </w:t>
      </w:r>
      <w:r w:rsidR="00F406E1">
        <w:rPr>
          <w:rFonts w:ascii="Cambria" w:eastAsia="Calibri" w:hAnsi="Cambria"/>
          <w:sz w:val="20"/>
          <w:szCs w:val="20"/>
          <w:bdr w:val="none" w:sz="0" w:space="0" w:color="auto"/>
        </w:rPr>
        <w:t xml:space="preserve">norm </w:t>
      </w:r>
      <w:r w:rsidR="00E92985">
        <w:rPr>
          <w:rFonts w:ascii="Cambria" w:eastAsia="Calibri" w:hAnsi="Cambria"/>
          <w:sz w:val="20"/>
          <w:szCs w:val="20"/>
          <w:bdr w:val="none" w:sz="0" w:space="0" w:color="auto"/>
        </w:rPr>
        <w:t xml:space="preserve">and </w:t>
      </w:r>
      <w:r w:rsidR="00657B6C">
        <w:rPr>
          <w:rFonts w:ascii="Cambria" w:eastAsia="Calibri" w:hAnsi="Cambria"/>
          <w:sz w:val="20"/>
          <w:szCs w:val="20"/>
          <w:bdr w:val="none" w:sz="0" w:space="0" w:color="auto"/>
        </w:rPr>
        <w:t>its</w:t>
      </w:r>
      <w:r w:rsidR="00773B3C" w:rsidRPr="00A51861">
        <w:rPr>
          <w:rFonts w:ascii="Cambria" w:eastAsia="Calibri" w:hAnsi="Cambria"/>
          <w:sz w:val="20"/>
          <w:szCs w:val="20"/>
          <w:bdr w:val="none" w:sz="0" w:space="0" w:color="auto"/>
        </w:rPr>
        <w:t xml:space="preserve"> </w:t>
      </w:r>
      <w:r w:rsidR="00657B6C">
        <w:rPr>
          <w:rFonts w:ascii="Cambria" w:eastAsia="Calibri" w:hAnsi="Cambria"/>
          <w:sz w:val="20"/>
          <w:szCs w:val="20"/>
          <w:bdr w:val="none" w:sz="0" w:space="0" w:color="auto"/>
        </w:rPr>
        <w:t>amplifiers</w:t>
      </w:r>
      <w:r w:rsidR="00773B3C" w:rsidRPr="00A51861">
        <w:rPr>
          <w:rFonts w:ascii="Cambria" w:eastAsia="Calibri" w:hAnsi="Cambria"/>
          <w:sz w:val="20"/>
          <w:szCs w:val="20"/>
          <w:bdr w:val="none" w:sz="0" w:space="0" w:color="auto"/>
        </w:rPr>
        <w:t>,</w:t>
      </w:r>
      <w:r w:rsidR="00D70A85">
        <w:rPr>
          <w:rFonts w:ascii="Cambria" w:eastAsia="Calibri" w:hAnsi="Cambria"/>
          <w:sz w:val="20"/>
          <w:szCs w:val="20"/>
          <w:bdr w:val="none" w:sz="0" w:space="0" w:color="auto"/>
        </w:rPr>
        <w:t xml:space="preserve"> is </w:t>
      </w:r>
      <w:r w:rsidR="00657B6C" w:rsidRPr="00A51861">
        <w:rPr>
          <w:rFonts w:ascii="Cambria" w:eastAsia="Calibri" w:hAnsi="Cambria"/>
          <w:sz w:val="20"/>
          <w:szCs w:val="20"/>
          <w:bdr w:val="none" w:sz="0" w:space="0" w:color="auto"/>
        </w:rPr>
        <w:t>objective</w:t>
      </w:r>
      <w:r w:rsidR="00E92985">
        <w:rPr>
          <w:rFonts w:ascii="Cambria" w:eastAsia="Calibri" w:hAnsi="Cambria"/>
          <w:sz w:val="20"/>
          <w:szCs w:val="20"/>
          <w:bdr w:val="none" w:sz="0" w:space="0" w:color="auto"/>
        </w:rPr>
        <w:t xml:space="preserve"> and </w:t>
      </w:r>
      <w:r w:rsidR="00657B6C" w:rsidRPr="00A51861">
        <w:rPr>
          <w:rFonts w:ascii="Cambria" w:eastAsia="Calibri" w:hAnsi="Cambria"/>
          <w:sz w:val="20"/>
          <w:szCs w:val="20"/>
          <w:bdr w:val="none" w:sz="0" w:space="0" w:color="auto"/>
        </w:rPr>
        <w:t>reasonable</w:t>
      </w:r>
      <w:r w:rsidR="00773B3C" w:rsidRPr="00A51861">
        <w:rPr>
          <w:rFonts w:ascii="Cambria" w:eastAsia="Calibri" w:hAnsi="Cambria"/>
          <w:sz w:val="20"/>
          <w:szCs w:val="20"/>
          <w:bdr w:val="none" w:sz="0" w:space="0" w:color="auto"/>
        </w:rPr>
        <w:t xml:space="preserve"> </w:t>
      </w:r>
      <w:r w:rsidR="00657B6C">
        <w:rPr>
          <w:rFonts w:ascii="Cambria" w:eastAsia="Calibri" w:hAnsi="Cambria"/>
          <w:sz w:val="20"/>
          <w:szCs w:val="20"/>
          <w:bdr w:val="none" w:sz="0" w:space="0" w:color="auto"/>
        </w:rPr>
        <w:t>considering that the effect of the law is to</w:t>
      </w:r>
      <w:r w:rsidR="00E92985">
        <w:rPr>
          <w:rFonts w:ascii="Cambria" w:eastAsia="Calibri" w:hAnsi="Cambria"/>
          <w:sz w:val="20"/>
          <w:szCs w:val="20"/>
          <w:bdr w:val="none" w:sz="0" w:space="0" w:color="auto"/>
        </w:rPr>
        <w:t xml:space="preserve"> </w:t>
      </w:r>
      <w:r w:rsidR="00657B6C">
        <w:rPr>
          <w:rFonts w:ascii="Cambria" w:eastAsia="Calibri" w:hAnsi="Cambria"/>
          <w:sz w:val="20"/>
          <w:szCs w:val="20"/>
          <w:bdr w:val="none" w:sz="0" w:space="0" w:color="auto"/>
        </w:rPr>
        <w:t>grant</w:t>
      </w:r>
      <w:r w:rsidR="00773B3C" w:rsidRPr="00A51861">
        <w:rPr>
          <w:rFonts w:ascii="Cambria" w:eastAsia="Calibri" w:hAnsi="Cambria"/>
          <w:sz w:val="20"/>
          <w:szCs w:val="20"/>
          <w:bdr w:val="none" w:sz="0" w:space="0" w:color="auto"/>
        </w:rPr>
        <w:t xml:space="preserve"> </w:t>
      </w:r>
      <w:r w:rsidR="00EC7A58">
        <w:rPr>
          <w:rFonts w:ascii="Cambria" w:eastAsia="Calibri" w:hAnsi="Cambria"/>
          <w:sz w:val="20"/>
          <w:szCs w:val="20"/>
          <w:bdr w:val="none" w:sz="0" w:space="0" w:color="auto"/>
        </w:rPr>
        <w:t>persons</w:t>
      </w:r>
      <w:r w:rsidR="00773B3C" w:rsidRPr="00A51861">
        <w:rPr>
          <w:rFonts w:ascii="Cambria" w:eastAsia="Calibri" w:hAnsi="Cambria"/>
          <w:sz w:val="20"/>
          <w:szCs w:val="20"/>
          <w:bdr w:val="none" w:sz="0" w:space="0" w:color="auto"/>
        </w:rPr>
        <w:t xml:space="preserve"> </w:t>
      </w:r>
      <w:r w:rsidR="00657B6C">
        <w:rPr>
          <w:rFonts w:ascii="Cambria" w:eastAsia="Calibri" w:hAnsi="Cambria"/>
          <w:sz w:val="20"/>
          <w:szCs w:val="20"/>
          <w:bdr w:val="none" w:sz="0" w:space="0" w:color="auto"/>
        </w:rPr>
        <w:t>included in it</w:t>
      </w:r>
      <w:r w:rsidR="00773B3C" w:rsidRPr="00A51861">
        <w:rPr>
          <w:rFonts w:ascii="Cambria" w:eastAsia="Calibri" w:hAnsi="Cambria"/>
          <w:sz w:val="20"/>
          <w:szCs w:val="20"/>
          <w:bdr w:val="none" w:sz="0" w:space="0" w:color="auto"/>
        </w:rPr>
        <w:t xml:space="preserve"> </w:t>
      </w:r>
      <w:r w:rsidR="00A65E37">
        <w:rPr>
          <w:rFonts w:ascii="Cambria" w:eastAsia="Calibri" w:hAnsi="Cambria"/>
          <w:sz w:val="20"/>
          <w:szCs w:val="20"/>
          <w:bdr w:val="none" w:sz="0" w:space="0" w:color="auto"/>
        </w:rPr>
        <w:t>the right to</w:t>
      </w:r>
      <w:r w:rsidR="00773B3C" w:rsidRPr="00A51861">
        <w:rPr>
          <w:rFonts w:ascii="Cambria" w:eastAsia="Calibri" w:hAnsi="Cambria"/>
          <w:sz w:val="20"/>
          <w:szCs w:val="20"/>
          <w:bdr w:val="none" w:sz="0" w:space="0" w:color="auto"/>
        </w:rPr>
        <w:t xml:space="preserve"> </w:t>
      </w:r>
      <w:r w:rsidR="00657B6C">
        <w:rPr>
          <w:rFonts w:ascii="Cambria" w:eastAsia="Calibri" w:hAnsi="Cambria"/>
          <w:sz w:val="20"/>
          <w:szCs w:val="20"/>
          <w:bdr w:val="none" w:sz="0" w:space="0" w:color="auto"/>
        </w:rPr>
        <w:t>follow a special settlement procedure</w:t>
      </w:r>
      <w:r w:rsidR="00773B3C" w:rsidRPr="00A51861">
        <w:rPr>
          <w:rFonts w:ascii="Cambria" w:eastAsia="Calibri" w:hAnsi="Cambria"/>
          <w:sz w:val="20"/>
          <w:szCs w:val="20"/>
          <w:bdr w:val="none" w:sz="0" w:space="0" w:color="auto"/>
        </w:rPr>
        <w:t xml:space="preserve"> </w:t>
      </w:r>
      <w:r w:rsidR="00657B6C">
        <w:rPr>
          <w:rFonts w:ascii="Cambria" w:eastAsia="Calibri" w:hAnsi="Cambria"/>
          <w:sz w:val="20"/>
          <w:szCs w:val="20"/>
          <w:bdr w:val="none" w:sz="0" w:space="0" w:color="auto"/>
        </w:rPr>
        <w:t>in matter</w:t>
      </w:r>
      <w:r w:rsidR="00E92985">
        <w:rPr>
          <w:rFonts w:ascii="Cambria" w:eastAsia="Calibri" w:hAnsi="Cambria"/>
          <w:sz w:val="20"/>
          <w:szCs w:val="20"/>
          <w:bdr w:val="none" w:sz="0" w:space="0" w:color="auto"/>
        </w:rPr>
        <w:t xml:space="preserve"> of </w:t>
      </w:r>
      <w:r w:rsidR="00657B6C">
        <w:rPr>
          <w:rFonts w:ascii="Cambria" w:eastAsia="Calibri" w:hAnsi="Cambria"/>
          <w:sz w:val="20"/>
          <w:szCs w:val="20"/>
          <w:bdr w:val="none" w:sz="0" w:space="0" w:color="auto"/>
        </w:rPr>
        <w:t>compensations</w:t>
      </w:r>
      <w:r w:rsidR="00773B3C" w:rsidRPr="00A51861">
        <w:rPr>
          <w:rFonts w:ascii="Cambria" w:eastAsia="Calibri" w:hAnsi="Cambria"/>
          <w:sz w:val="20"/>
          <w:szCs w:val="20"/>
          <w:bdr w:val="none" w:sz="0" w:space="0" w:color="auto"/>
        </w:rPr>
        <w:t xml:space="preserve"> </w:t>
      </w:r>
      <w:r w:rsidR="00657B6C">
        <w:rPr>
          <w:rFonts w:ascii="Cambria" w:eastAsia="Calibri" w:hAnsi="Cambria"/>
          <w:sz w:val="20"/>
          <w:szCs w:val="20"/>
          <w:bdr w:val="none" w:sz="0" w:space="0" w:color="auto"/>
        </w:rPr>
        <w:t>f</w:t>
      </w:r>
      <w:r w:rsidR="00773B3C" w:rsidRPr="00A51861">
        <w:rPr>
          <w:rFonts w:ascii="Cambria" w:eastAsia="Calibri" w:hAnsi="Cambria"/>
          <w:sz w:val="20"/>
          <w:szCs w:val="20"/>
          <w:bdr w:val="none" w:sz="0" w:space="0" w:color="auto"/>
        </w:rPr>
        <w:t xml:space="preserve">or </w:t>
      </w:r>
      <w:r w:rsidR="00DE0F0F">
        <w:rPr>
          <w:rFonts w:ascii="Cambria" w:eastAsia="Calibri" w:hAnsi="Cambria"/>
          <w:sz w:val="20"/>
          <w:szCs w:val="20"/>
          <w:bdr w:val="none" w:sz="0" w:space="0" w:color="auto"/>
        </w:rPr>
        <w:t>h</w:t>
      </w:r>
      <w:r w:rsidR="00664D70">
        <w:rPr>
          <w:rFonts w:ascii="Cambria" w:eastAsia="Calibri" w:hAnsi="Cambria"/>
          <w:sz w:val="20"/>
          <w:szCs w:val="20"/>
          <w:bdr w:val="none" w:sz="0" w:space="0" w:color="auto"/>
        </w:rPr>
        <w:t>uman rights</w:t>
      </w:r>
      <w:r w:rsidR="00657B6C" w:rsidRPr="00657B6C">
        <w:rPr>
          <w:rFonts w:ascii="Cambria" w:eastAsia="Calibri" w:hAnsi="Cambria"/>
          <w:sz w:val="20"/>
          <w:szCs w:val="20"/>
          <w:bdr w:val="none" w:sz="0" w:space="0" w:color="auto"/>
        </w:rPr>
        <w:t xml:space="preserve"> </w:t>
      </w:r>
      <w:r w:rsidR="00657B6C">
        <w:rPr>
          <w:rFonts w:ascii="Cambria" w:eastAsia="Calibri" w:hAnsi="Cambria"/>
          <w:sz w:val="20"/>
          <w:szCs w:val="20"/>
          <w:bdr w:val="none" w:sz="0" w:space="0" w:color="auto"/>
        </w:rPr>
        <w:t>violations</w:t>
      </w:r>
      <w:r w:rsidR="00773B3C" w:rsidRPr="00A51861">
        <w:rPr>
          <w:rFonts w:ascii="Cambria" w:eastAsia="Calibri" w:hAnsi="Cambria"/>
          <w:sz w:val="20"/>
          <w:szCs w:val="20"/>
          <w:bdr w:val="none" w:sz="0" w:space="0" w:color="auto"/>
        </w:rPr>
        <w:t xml:space="preserve">. </w:t>
      </w:r>
      <w:r w:rsidR="00FC257E">
        <w:rPr>
          <w:rFonts w:ascii="Cambria" w:eastAsia="Calibri" w:hAnsi="Cambria"/>
          <w:sz w:val="20"/>
          <w:szCs w:val="20"/>
          <w:bdr w:val="none" w:sz="0" w:space="0" w:color="auto"/>
        </w:rPr>
        <w:t xml:space="preserve"> Likewise,</w:t>
      </w:r>
      <w:r w:rsidR="00657B6C">
        <w:rPr>
          <w:rFonts w:ascii="Cambria" w:eastAsia="Calibri" w:hAnsi="Cambria"/>
          <w:sz w:val="20"/>
          <w:szCs w:val="20"/>
          <w:bdr w:val="none" w:sz="0" w:space="0" w:color="auto"/>
        </w:rPr>
        <w:t xml:space="preserve"> it</w:t>
      </w:r>
      <w:r w:rsidR="00FC257E">
        <w:rPr>
          <w:rFonts w:ascii="Cambria" w:eastAsia="Calibri" w:hAnsi="Cambria"/>
          <w:sz w:val="20"/>
          <w:szCs w:val="20"/>
          <w:bdr w:val="none" w:sz="0" w:space="0" w:color="auto"/>
        </w:rPr>
        <w:t xml:space="preserve"> </w:t>
      </w:r>
      <w:r w:rsidR="00A51861" w:rsidRPr="00A51861">
        <w:rPr>
          <w:rFonts w:ascii="Cambria" w:eastAsia="Calibri" w:hAnsi="Cambria"/>
          <w:sz w:val="20"/>
          <w:szCs w:val="20"/>
          <w:bdr w:val="none" w:sz="0" w:space="0" w:color="auto"/>
        </w:rPr>
        <w:t>considers that</w:t>
      </w:r>
      <w:r w:rsidR="00773B3C" w:rsidRPr="00A51861">
        <w:rPr>
          <w:rFonts w:ascii="Cambria" w:eastAsia="Calibri" w:hAnsi="Cambria"/>
          <w:sz w:val="20"/>
          <w:szCs w:val="20"/>
          <w:bdr w:val="none" w:sz="0" w:space="0" w:color="auto"/>
        </w:rPr>
        <w:t xml:space="preserve"> </w:t>
      </w:r>
      <w:r w:rsidR="00657B6C">
        <w:rPr>
          <w:rFonts w:ascii="Cambria" w:eastAsia="Calibri" w:hAnsi="Cambria"/>
          <w:sz w:val="20"/>
          <w:szCs w:val="20"/>
          <w:bdr w:val="none" w:sz="0" w:space="0" w:color="auto"/>
        </w:rPr>
        <w:t>there is</w:t>
      </w:r>
      <w:r w:rsidR="00773B3C" w:rsidRPr="00A51861">
        <w:rPr>
          <w:rFonts w:ascii="Cambria" w:eastAsia="Calibri" w:hAnsi="Cambria"/>
          <w:sz w:val="20"/>
          <w:szCs w:val="20"/>
          <w:bdr w:val="none" w:sz="0" w:space="0" w:color="auto"/>
        </w:rPr>
        <w:t xml:space="preserve"> </w:t>
      </w:r>
      <w:r w:rsidR="00657B6C" w:rsidRPr="00A51861">
        <w:rPr>
          <w:rFonts w:ascii="Cambria" w:eastAsia="Calibri" w:hAnsi="Cambria"/>
          <w:sz w:val="20"/>
          <w:szCs w:val="20"/>
          <w:bdr w:val="none" w:sz="0" w:space="0" w:color="auto"/>
        </w:rPr>
        <w:t>proportionali</w:t>
      </w:r>
      <w:r w:rsidR="00657B6C">
        <w:rPr>
          <w:rFonts w:ascii="Cambria" w:eastAsia="Calibri" w:hAnsi="Cambria"/>
          <w:sz w:val="20"/>
          <w:szCs w:val="20"/>
          <w:bdr w:val="none" w:sz="0" w:space="0" w:color="auto"/>
        </w:rPr>
        <w:t>ty</w:t>
      </w:r>
      <w:r w:rsidR="00FA2E7B">
        <w:rPr>
          <w:rFonts w:ascii="Cambria" w:eastAsia="Calibri" w:hAnsi="Cambria"/>
          <w:sz w:val="20"/>
          <w:szCs w:val="20"/>
          <w:bdr w:val="none" w:sz="0" w:space="0" w:color="auto"/>
        </w:rPr>
        <w:t xml:space="preserve"> </w:t>
      </w:r>
      <w:r w:rsidR="00657B6C">
        <w:rPr>
          <w:rFonts w:ascii="Cambria" w:eastAsia="Calibri" w:hAnsi="Cambria"/>
          <w:sz w:val="20"/>
          <w:szCs w:val="20"/>
          <w:bdr w:val="none" w:sz="0" w:space="0" w:color="auto"/>
        </w:rPr>
        <w:t>between the means employed</w:t>
      </w:r>
      <w:r w:rsidR="00E92985">
        <w:rPr>
          <w:rFonts w:ascii="Cambria" w:eastAsia="Calibri" w:hAnsi="Cambria"/>
          <w:sz w:val="20"/>
          <w:szCs w:val="20"/>
          <w:bdr w:val="none" w:sz="0" w:space="0" w:color="auto"/>
        </w:rPr>
        <w:t xml:space="preserve"> and </w:t>
      </w:r>
      <w:r w:rsidR="00657B6C">
        <w:rPr>
          <w:rFonts w:ascii="Cambria" w:eastAsia="Calibri" w:hAnsi="Cambria"/>
          <w:sz w:val="20"/>
          <w:szCs w:val="20"/>
          <w:bdr w:val="none" w:sz="0" w:space="0" w:color="auto"/>
        </w:rPr>
        <w:t>intended goal</w:t>
      </w:r>
      <w:r w:rsidR="00773B3C" w:rsidRPr="00A51861">
        <w:rPr>
          <w:rFonts w:ascii="Cambria" w:eastAsia="Calibri" w:hAnsi="Cambria"/>
          <w:sz w:val="20"/>
          <w:szCs w:val="20"/>
          <w:bdr w:val="none" w:sz="0" w:space="0" w:color="auto"/>
        </w:rPr>
        <w:t xml:space="preserve">. </w:t>
      </w:r>
      <w:r w:rsidR="00657B6C">
        <w:rPr>
          <w:rFonts w:ascii="Cambria" w:eastAsia="Calibri" w:hAnsi="Cambria"/>
          <w:sz w:val="20"/>
          <w:szCs w:val="20"/>
          <w:bdr w:val="none" w:sz="0" w:space="0" w:color="auto"/>
        </w:rPr>
        <w:t>Therefore</w:t>
      </w:r>
      <w:r w:rsidR="00773B3C" w:rsidRPr="00A51861">
        <w:rPr>
          <w:rFonts w:ascii="Cambria" w:eastAsia="Calibri" w:hAnsi="Cambria"/>
          <w:sz w:val="20"/>
          <w:szCs w:val="20"/>
          <w:bdr w:val="none" w:sz="0" w:space="0" w:color="auto"/>
        </w:rPr>
        <w:t xml:space="preserve">, </w:t>
      </w:r>
      <w:r w:rsidR="00E92985">
        <w:rPr>
          <w:rFonts w:ascii="Cambria" w:eastAsia="Calibri" w:hAnsi="Cambria"/>
          <w:sz w:val="20"/>
          <w:szCs w:val="20"/>
          <w:bdr w:val="none" w:sz="0" w:space="0" w:color="auto"/>
        </w:rPr>
        <w:t>the Commission</w:t>
      </w:r>
      <w:r w:rsidR="00773B3C" w:rsidRPr="00A51861">
        <w:rPr>
          <w:rFonts w:ascii="Cambria" w:eastAsia="Calibri" w:hAnsi="Cambria"/>
          <w:sz w:val="20"/>
          <w:szCs w:val="20"/>
          <w:bdr w:val="none" w:sz="0" w:space="0" w:color="auto"/>
        </w:rPr>
        <w:t xml:space="preserve"> </w:t>
      </w:r>
      <w:r w:rsidR="00657B6C" w:rsidRPr="00A51861">
        <w:rPr>
          <w:rFonts w:ascii="Cambria" w:eastAsia="Calibri" w:hAnsi="Cambria"/>
          <w:sz w:val="20"/>
          <w:szCs w:val="20"/>
          <w:bdr w:val="none" w:sz="0" w:space="0" w:color="auto"/>
        </w:rPr>
        <w:t>conclu</w:t>
      </w:r>
      <w:r w:rsidR="00657B6C">
        <w:rPr>
          <w:rFonts w:ascii="Cambria" w:eastAsia="Calibri" w:hAnsi="Cambria"/>
          <w:sz w:val="20"/>
          <w:szCs w:val="20"/>
          <w:bdr w:val="none" w:sz="0" w:space="0" w:color="auto"/>
        </w:rPr>
        <w:t>de</w:t>
      </w:r>
      <w:r w:rsidR="00657B6C" w:rsidRPr="00A51861">
        <w:rPr>
          <w:rFonts w:ascii="Cambria" w:eastAsia="Calibri" w:hAnsi="Cambria"/>
          <w:sz w:val="20"/>
          <w:szCs w:val="20"/>
          <w:bdr w:val="none" w:sz="0" w:space="0" w:color="auto"/>
        </w:rPr>
        <w:t>s</w:t>
      </w:r>
      <w:r w:rsidR="00E92985">
        <w:rPr>
          <w:rFonts w:ascii="Cambria" w:eastAsia="Calibri" w:hAnsi="Cambria"/>
          <w:sz w:val="20"/>
          <w:szCs w:val="20"/>
          <w:bdr w:val="none" w:sz="0" w:space="0" w:color="auto"/>
        </w:rPr>
        <w:t xml:space="preserve"> that the </w:t>
      </w:r>
      <w:r w:rsidR="00775F21">
        <w:rPr>
          <w:rFonts w:ascii="Cambria" w:eastAsia="Calibri" w:hAnsi="Cambria"/>
          <w:sz w:val="20"/>
          <w:szCs w:val="20"/>
          <w:bdr w:val="none" w:sz="0" w:space="0" w:color="auto"/>
        </w:rPr>
        <w:t>distinction</w:t>
      </w:r>
      <w:r w:rsidR="00773B3C" w:rsidRPr="00A51861">
        <w:rPr>
          <w:rFonts w:ascii="Cambria" w:eastAsia="Calibri" w:hAnsi="Cambria"/>
          <w:sz w:val="20"/>
          <w:szCs w:val="20"/>
          <w:bdr w:val="none" w:sz="0" w:space="0" w:color="auto"/>
        </w:rPr>
        <w:t xml:space="preserve"> </w:t>
      </w:r>
      <w:r w:rsidR="00657B6C" w:rsidRPr="00A51861">
        <w:rPr>
          <w:rFonts w:ascii="Cambria" w:eastAsia="Calibri" w:hAnsi="Cambria"/>
          <w:sz w:val="20"/>
          <w:szCs w:val="20"/>
          <w:bdr w:val="none" w:sz="0" w:space="0" w:color="auto"/>
        </w:rPr>
        <w:t>consecrated</w:t>
      </w:r>
      <w:r w:rsidR="00773B3C" w:rsidRPr="00A51861">
        <w:rPr>
          <w:rFonts w:ascii="Cambria" w:eastAsia="Calibri" w:hAnsi="Cambria"/>
          <w:sz w:val="20"/>
          <w:szCs w:val="20"/>
          <w:bdr w:val="none" w:sz="0" w:space="0" w:color="auto"/>
        </w:rPr>
        <w:t xml:space="preserve"> </w:t>
      </w:r>
      <w:r w:rsidR="00657B6C">
        <w:rPr>
          <w:rFonts w:ascii="Cambria" w:eastAsia="Calibri" w:hAnsi="Cambria"/>
          <w:sz w:val="20"/>
          <w:szCs w:val="20"/>
          <w:bdr w:val="none" w:sz="0" w:space="0" w:color="auto"/>
        </w:rPr>
        <w:t>by</w:t>
      </w:r>
      <w:r w:rsidR="00773B3C" w:rsidRPr="00A51861">
        <w:rPr>
          <w:rFonts w:ascii="Cambria" w:eastAsia="Calibri" w:hAnsi="Cambria"/>
          <w:sz w:val="20"/>
          <w:szCs w:val="20"/>
          <w:bdr w:val="none" w:sz="0" w:space="0" w:color="auto"/>
        </w:rPr>
        <w:t xml:space="preserve"> </w:t>
      </w:r>
      <w:r w:rsidR="002835FC" w:rsidRPr="00A51861">
        <w:rPr>
          <w:rFonts w:ascii="Cambria" w:eastAsia="Calibri" w:hAnsi="Cambria"/>
          <w:sz w:val="20"/>
          <w:szCs w:val="20"/>
          <w:bdr w:val="none" w:sz="0" w:space="0" w:color="auto"/>
        </w:rPr>
        <w:t xml:space="preserve">Law </w:t>
      </w:r>
      <w:r w:rsidR="00773B3C" w:rsidRPr="00A51861">
        <w:rPr>
          <w:rFonts w:ascii="Cambria" w:eastAsia="Calibri" w:hAnsi="Cambria"/>
          <w:sz w:val="20"/>
          <w:szCs w:val="20"/>
          <w:bdr w:val="none" w:sz="0" w:space="0" w:color="auto"/>
        </w:rPr>
        <w:t xml:space="preserve">24.043 </w:t>
      </w:r>
      <w:r w:rsidR="00657B6C">
        <w:rPr>
          <w:rFonts w:ascii="Cambria" w:eastAsia="Calibri" w:hAnsi="Cambria"/>
          <w:sz w:val="20"/>
          <w:szCs w:val="20"/>
          <w:bdr w:val="none" w:sz="0" w:space="0" w:color="auto"/>
        </w:rPr>
        <w:t xml:space="preserve">does </w:t>
      </w:r>
      <w:r w:rsidR="00773B3C" w:rsidRPr="00A51861">
        <w:rPr>
          <w:rFonts w:ascii="Cambria" w:eastAsia="Calibri" w:hAnsi="Cambria"/>
          <w:sz w:val="20"/>
          <w:szCs w:val="20"/>
          <w:bdr w:val="none" w:sz="0" w:space="0" w:color="auto"/>
        </w:rPr>
        <w:t>no</w:t>
      </w:r>
      <w:r w:rsidR="00657B6C">
        <w:rPr>
          <w:rFonts w:ascii="Cambria" w:eastAsia="Calibri" w:hAnsi="Cambria"/>
          <w:sz w:val="20"/>
          <w:szCs w:val="20"/>
          <w:bdr w:val="none" w:sz="0" w:space="0" w:color="auto"/>
        </w:rPr>
        <w:t>t</w:t>
      </w:r>
      <w:r w:rsidR="00773B3C" w:rsidRPr="00A51861">
        <w:rPr>
          <w:rFonts w:ascii="Cambria" w:eastAsia="Calibri" w:hAnsi="Cambria"/>
          <w:sz w:val="20"/>
          <w:szCs w:val="20"/>
          <w:bdr w:val="none" w:sz="0" w:space="0" w:color="auto"/>
        </w:rPr>
        <w:t xml:space="preserve"> viola</w:t>
      </w:r>
      <w:r w:rsidR="00657B6C">
        <w:rPr>
          <w:rFonts w:ascii="Cambria" w:eastAsia="Calibri" w:hAnsi="Cambria"/>
          <w:sz w:val="20"/>
          <w:szCs w:val="20"/>
          <w:bdr w:val="none" w:sz="0" w:space="0" w:color="auto"/>
        </w:rPr>
        <w:t>te</w:t>
      </w:r>
      <w:r w:rsidR="004C5A00">
        <w:rPr>
          <w:rFonts w:ascii="Cambria" w:eastAsia="Calibri" w:hAnsi="Cambria"/>
          <w:sz w:val="20"/>
          <w:szCs w:val="20"/>
          <w:bdr w:val="none" w:sz="0" w:space="0" w:color="auto"/>
        </w:rPr>
        <w:t xml:space="preserve"> article </w:t>
      </w:r>
      <w:r w:rsidR="00773B3C" w:rsidRPr="00A51861">
        <w:rPr>
          <w:rFonts w:ascii="Cambria" w:eastAsia="Calibri" w:hAnsi="Cambria"/>
          <w:sz w:val="20"/>
          <w:szCs w:val="20"/>
          <w:bdr w:val="none" w:sz="0" w:space="0" w:color="auto"/>
        </w:rPr>
        <w:t>24</w:t>
      </w:r>
      <w:r w:rsidR="00E92985">
        <w:rPr>
          <w:rFonts w:ascii="Cambria" w:eastAsia="Calibri" w:hAnsi="Cambria"/>
          <w:sz w:val="20"/>
          <w:szCs w:val="20"/>
          <w:bdr w:val="none" w:sz="0" w:space="0" w:color="auto"/>
        </w:rPr>
        <w:t xml:space="preserve"> of the </w:t>
      </w:r>
      <w:r w:rsidR="00CB4E23">
        <w:rPr>
          <w:rFonts w:ascii="Cambria" w:eastAsia="Calibri" w:hAnsi="Cambria"/>
          <w:sz w:val="20"/>
          <w:szCs w:val="20"/>
          <w:bdr w:val="none" w:sz="0" w:space="0" w:color="auto"/>
        </w:rPr>
        <w:t>Convention</w:t>
      </w:r>
      <w:r w:rsidR="00773B3C" w:rsidRPr="00A51861">
        <w:rPr>
          <w:rFonts w:ascii="Cambria" w:eastAsia="Calibri" w:hAnsi="Cambria"/>
          <w:sz w:val="20"/>
          <w:szCs w:val="20"/>
          <w:bdr w:val="none" w:sz="0" w:space="0" w:color="auto"/>
          <w:vertAlign w:val="superscript"/>
        </w:rPr>
        <w:footnoteReference w:id="239"/>
      </w:r>
      <w:r w:rsidR="00773B3C" w:rsidRPr="00A51861">
        <w:rPr>
          <w:rFonts w:ascii="Cambria" w:eastAsia="Calibri" w:hAnsi="Cambria"/>
          <w:sz w:val="20"/>
          <w:szCs w:val="20"/>
          <w:bdr w:val="none" w:sz="0" w:space="0" w:color="auto"/>
        </w:rPr>
        <w:t xml:space="preserve">.  </w:t>
      </w:r>
    </w:p>
    <w:p w14:paraId="30AB215D" w14:textId="77777777" w:rsidR="00773B3C" w:rsidRPr="00A51861" w:rsidRDefault="00773B3C" w:rsidP="008E4D36">
      <w:pPr>
        <w:tabs>
          <w:tab w:val="left" w:pos="720"/>
          <w:tab w:val="left" w:pos="1440"/>
        </w:tabs>
        <w:ind w:left="630"/>
        <w:jc w:val="both"/>
        <w:rPr>
          <w:rFonts w:ascii="Cambria" w:eastAsia="Calibri" w:hAnsi="Cambria"/>
          <w:sz w:val="20"/>
          <w:szCs w:val="20"/>
          <w:bdr w:val="none" w:sz="0" w:space="0" w:color="auto"/>
        </w:rPr>
      </w:pPr>
    </w:p>
    <w:p w14:paraId="302BB431" w14:textId="04C3CA19" w:rsidR="00773B3C" w:rsidRPr="00A51861" w:rsidRDefault="00E53740"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bdr w:val="none" w:sz="0" w:space="0" w:color="auto"/>
        </w:rPr>
      </w:pPr>
      <w:r>
        <w:rPr>
          <w:rFonts w:ascii="Cambria" w:hAnsi="Cambria"/>
          <w:sz w:val="20"/>
          <w:szCs w:val="20"/>
          <w:bdr w:val="none" w:sz="0" w:space="0" w:color="auto"/>
        </w:rPr>
        <w:t>However</w:t>
      </w:r>
      <w:r w:rsidR="00773B3C" w:rsidRPr="00A51861">
        <w:rPr>
          <w:rFonts w:ascii="Cambria" w:hAnsi="Cambria"/>
          <w:sz w:val="20"/>
          <w:szCs w:val="20"/>
          <w:bdr w:val="none" w:sz="0" w:space="0" w:color="auto"/>
        </w:rPr>
        <w:t xml:space="preserve">, </w:t>
      </w:r>
      <w:r>
        <w:rPr>
          <w:rFonts w:ascii="Cambria" w:hAnsi="Cambria"/>
          <w:sz w:val="20"/>
          <w:szCs w:val="20"/>
          <w:bdr w:val="none" w:sz="0" w:space="0" w:color="auto"/>
        </w:rPr>
        <w:t>it must be analyzed</w:t>
      </w:r>
      <w:r w:rsidR="00773B3C" w:rsidRPr="00A51861">
        <w:rPr>
          <w:rFonts w:ascii="Cambria" w:hAnsi="Cambria"/>
          <w:sz w:val="20"/>
          <w:szCs w:val="20"/>
          <w:bdr w:val="none" w:sz="0" w:space="0" w:color="auto"/>
        </w:rPr>
        <w:t xml:space="preserve">, </w:t>
      </w:r>
      <w:r>
        <w:rPr>
          <w:rFonts w:ascii="Cambria" w:hAnsi="Cambria"/>
          <w:sz w:val="20"/>
          <w:szCs w:val="20"/>
          <w:bdr w:val="none" w:sz="0" w:space="0" w:color="auto"/>
        </w:rPr>
        <w:t>whether in</w:t>
      </w:r>
      <w:r w:rsidR="006A3C04">
        <w:rPr>
          <w:rFonts w:ascii="Cambria" w:hAnsi="Cambria"/>
          <w:sz w:val="20"/>
          <w:szCs w:val="20"/>
          <w:bdr w:val="none" w:sz="0" w:space="0" w:color="auto"/>
        </w:rPr>
        <w:t xml:space="preserve"> the facts</w:t>
      </w:r>
      <w:r w:rsidR="00773B3C" w:rsidRPr="00A51861">
        <w:rPr>
          <w:rFonts w:ascii="Cambria" w:hAnsi="Cambria"/>
          <w:sz w:val="20"/>
          <w:szCs w:val="20"/>
          <w:bdr w:val="none" w:sz="0" w:space="0" w:color="auto"/>
        </w:rPr>
        <w:t xml:space="preserve"> </w:t>
      </w:r>
      <w:r>
        <w:rPr>
          <w:rFonts w:ascii="Cambria" w:hAnsi="Cambria"/>
          <w:sz w:val="20"/>
          <w:szCs w:val="20"/>
          <w:bdr w:val="none" w:sz="0" w:space="0" w:color="auto"/>
        </w:rPr>
        <w:t>under study which</w:t>
      </w:r>
      <w:r w:rsidR="00773B3C" w:rsidRPr="00A51861">
        <w:rPr>
          <w:rFonts w:ascii="Cambria" w:hAnsi="Cambria"/>
          <w:sz w:val="20"/>
          <w:szCs w:val="20"/>
          <w:bdr w:val="none" w:sz="0" w:space="0" w:color="auto"/>
        </w:rPr>
        <w:t xml:space="preserve"> invol</w:t>
      </w:r>
      <w:r>
        <w:rPr>
          <w:rFonts w:ascii="Cambria" w:hAnsi="Cambria"/>
          <w:sz w:val="20"/>
          <w:szCs w:val="20"/>
          <w:bdr w:val="none" w:sz="0" w:space="0" w:color="auto"/>
        </w:rPr>
        <w:t>ve</w:t>
      </w:r>
      <w:r w:rsidR="00E92985">
        <w:rPr>
          <w:rFonts w:ascii="Cambria" w:hAnsi="Cambria"/>
          <w:sz w:val="20"/>
          <w:szCs w:val="20"/>
          <w:bdr w:val="none" w:sz="0" w:space="0" w:color="auto"/>
        </w:rPr>
        <w:t xml:space="preserve"> the alleged victims</w:t>
      </w:r>
      <w:r w:rsidR="00773B3C" w:rsidRPr="00A51861">
        <w:rPr>
          <w:rFonts w:ascii="Cambria" w:hAnsi="Cambria"/>
          <w:sz w:val="20"/>
          <w:szCs w:val="20"/>
          <w:bdr w:val="none" w:sz="0" w:space="0" w:color="auto"/>
        </w:rPr>
        <w:t>,</w:t>
      </w:r>
      <w:r w:rsidR="009A4F91">
        <w:rPr>
          <w:rFonts w:ascii="Cambria" w:hAnsi="Cambria"/>
          <w:sz w:val="20"/>
          <w:szCs w:val="20"/>
          <w:bdr w:val="none" w:sz="0" w:space="0" w:color="auto"/>
        </w:rPr>
        <w:t xml:space="preserve"> the </w:t>
      </w:r>
      <w:r w:rsidRPr="00A51861">
        <w:rPr>
          <w:rFonts w:ascii="Cambria" w:hAnsi="Cambria"/>
          <w:sz w:val="20"/>
          <w:szCs w:val="20"/>
          <w:bdr w:val="none" w:sz="0" w:space="0" w:color="auto"/>
        </w:rPr>
        <w:t>application</w:t>
      </w:r>
      <w:r w:rsidR="00E92985">
        <w:rPr>
          <w:rFonts w:ascii="Cambria" w:hAnsi="Cambria"/>
          <w:sz w:val="20"/>
          <w:szCs w:val="20"/>
          <w:bdr w:val="none" w:sz="0" w:space="0" w:color="auto"/>
        </w:rPr>
        <w:t xml:space="preserve"> of </w:t>
      </w:r>
      <w:r w:rsidR="002835FC" w:rsidRPr="00A51861">
        <w:rPr>
          <w:rFonts w:ascii="Cambria" w:hAnsi="Cambria"/>
          <w:sz w:val="20"/>
          <w:szCs w:val="20"/>
          <w:bdr w:val="none" w:sz="0" w:space="0" w:color="auto"/>
        </w:rPr>
        <w:t xml:space="preserve">Law </w:t>
      </w:r>
      <w:r w:rsidR="00773B3C" w:rsidRPr="00A51861">
        <w:rPr>
          <w:rFonts w:ascii="Cambria" w:hAnsi="Cambria"/>
          <w:sz w:val="20"/>
          <w:szCs w:val="20"/>
          <w:bdr w:val="none" w:sz="0" w:space="0" w:color="auto"/>
        </w:rPr>
        <w:t xml:space="preserve">24.043 </w:t>
      </w:r>
      <w:r>
        <w:rPr>
          <w:rFonts w:ascii="Cambria" w:hAnsi="Cambria"/>
          <w:sz w:val="20"/>
          <w:szCs w:val="20"/>
          <w:bdr w:val="none" w:sz="0" w:space="0" w:color="auto"/>
        </w:rPr>
        <w:t>adhered to the</w:t>
      </w:r>
      <w:r w:rsidR="00773B3C" w:rsidRPr="00A51861">
        <w:rPr>
          <w:rFonts w:ascii="Cambria" w:hAnsi="Cambria"/>
          <w:sz w:val="20"/>
          <w:szCs w:val="20"/>
          <w:bdr w:val="none" w:sz="0" w:space="0" w:color="auto"/>
        </w:rPr>
        <w:t xml:space="preserve"> </w:t>
      </w:r>
      <w:r w:rsidRPr="00A51861">
        <w:rPr>
          <w:rFonts w:ascii="Cambria" w:hAnsi="Cambria"/>
          <w:sz w:val="20"/>
          <w:szCs w:val="20"/>
          <w:bdr w:val="none" w:sz="0" w:space="0" w:color="auto"/>
        </w:rPr>
        <w:t>standards</w:t>
      </w:r>
      <w:r w:rsidR="00773B3C" w:rsidRPr="00A51861">
        <w:rPr>
          <w:rFonts w:ascii="Cambria" w:hAnsi="Cambria"/>
          <w:sz w:val="20"/>
          <w:szCs w:val="20"/>
          <w:bdr w:val="none" w:sz="0" w:space="0" w:color="auto"/>
        </w:rPr>
        <w:t xml:space="preserve"> </w:t>
      </w:r>
      <w:r>
        <w:rPr>
          <w:rFonts w:ascii="Cambria" w:hAnsi="Cambria"/>
          <w:sz w:val="20"/>
          <w:szCs w:val="20"/>
          <w:bdr w:val="none" w:sz="0" w:space="0" w:color="auto"/>
        </w:rPr>
        <w:t>set forth in itself and in its amplifiers</w:t>
      </w:r>
      <w:r w:rsidR="00773B3C" w:rsidRPr="00A51861">
        <w:rPr>
          <w:rFonts w:ascii="Cambria" w:hAnsi="Cambria"/>
          <w:sz w:val="20"/>
          <w:szCs w:val="20"/>
          <w:bdr w:val="none" w:sz="0" w:space="0" w:color="auto"/>
        </w:rPr>
        <w:t>,</w:t>
      </w:r>
      <w:r w:rsidR="00E92985">
        <w:rPr>
          <w:rFonts w:ascii="Cambria" w:hAnsi="Cambria"/>
          <w:sz w:val="20"/>
          <w:szCs w:val="20"/>
          <w:bdr w:val="none" w:sz="0" w:space="0" w:color="auto"/>
        </w:rPr>
        <w:t xml:space="preserve"> and </w:t>
      </w:r>
      <w:r>
        <w:rPr>
          <w:rFonts w:ascii="Cambria" w:hAnsi="Cambria"/>
          <w:sz w:val="20"/>
          <w:szCs w:val="20"/>
          <w:bdr w:val="none" w:sz="0" w:space="0" w:color="auto"/>
        </w:rPr>
        <w:t>in the</w:t>
      </w:r>
      <w:r w:rsidR="00773B3C" w:rsidRPr="00A51861">
        <w:rPr>
          <w:rFonts w:ascii="Cambria" w:hAnsi="Cambria"/>
          <w:sz w:val="20"/>
          <w:szCs w:val="20"/>
          <w:bdr w:val="none" w:sz="0" w:space="0" w:color="auto"/>
        </w:rPr>
        <w:t xml:space="preserve"> </w:t>
      </w:r>
      <w:r w:rsidR="00E92985">
        <w:rPr>
          <w:rFonts w:ascii="Cambria" w:hAnsi="Cambria"/>
          <w:sz w:val="20"/>
          <w:szCs w:val="20"/>
          <w:bdr w:val="none" w:sz="0" w:space="0" w:color="auto"/>
        </w:rPr>
        <w:t xml:space="preserve">decisions of the </w:t>
      </w:r>
      <w:r>
        <w:rPr>
          <w:rFonts w:ascii="Cambria" w:hAnsi="Cambria"/>
          <w:sz w:val="20"/>
          <w:szCs w:val="20"/>
          <w:bdr w:val="none" w:sz="0" w:space="0" w:color="auto"/>
        </w:rPr>
        <w:t xml:space="preserve">Argentine </w:t>
      </w:r>
      <w:r w:rsidR="00EF1F73">
        <w:rPr>
          <w:rFonts w:ascii="Cambria" w:hAnsi="Cambria"/>
          <w:sz w:val="20"/>
          <w:szCs w:val="20"/>
          <w:bdr w:val="none" w:sz="0" w:space="0" w:color="auto"/>
        </w:rPr>
        <w:t>Supreme Court of Justice of the Nation</w:t>
      </w:r>
      <w:r w:rsidR="00773B3C" w:rsidRPr="00A51861">
        <w:rPr>
          <w:rFonts w:ascii="Cambria" w:hAnsi="Cambria"/>
          <w:sz w:val="20"/>
          <w:szCs w:val="20"/>
          <w:bdr w:val="none" w:sz="0" w:space="0" w:color="auto"/>
        </w:rPr>
        <w:t xml:space="preserve">, </w:t>
      </w:r>
      <w:r>
        <w:rPr>
          <w:rFonts w:ascii="Cambria" w:hAnsi="Cambria"/>
          <w:sz w:val="20"/>
          <w:szCs w:val="20"/>
          <w:bdr w:val="none" w:sz="0" w:space="0" w:color="auto"/>
        </w:rPr>
        <w:t>which has</w:t>
      </w:r>
      <w:r w:rsidR="00CB4E23">
        <w:rPr>
          <w:rFonts w:ascii="Cambria" w:hAnsi="Cambria"/>
          <w:sz w:val="20"/>
          <w:szCs w:val="20"/>
          <w:bdr w:val="none" w:sz="0" w:space="0" w:color="auto"/>
        </w:rPr>
        <w:t xml:space="preserve"> </w:t>
      </w:r>
      <w:r w:rsidR="00773B3C" w:rsidRPr="00A51861">
        <w:rPr>
          <w:rFonts w:ascii="Cambria" w:hAnsi="Cambria"/>
          <w:sz w:val="20"/>
          <w:szCs w:val="20"/>
          <w:bdr w:val="none" w:sz="0" w:space="0" w:color="auto"/>
        </w:rPr>
        <w:t>interpret</w:t>
      </w:r>
      <w:r>
        <w:rPr>
          <w:rFonts w:ascii="Cambria" w:hAnsi="Cambria"/>
          <w:sz w:val="20"/>
          <w:szCs w:val="20"/>
          <w:bdr w:val="none" w:sz="0" w:space="0" w:color="auto"/>
        </w:rPr>
        <w:t>ed</w:t>
      </w:r>
      <w:r w:rsidR="00773B3C" w:rsidRPr="00A51861">
        <w:rPr>
          <w:rFonts w:ascii="Cambria" w:hAnsi="Cambria"/>
          <w:sz w:val="20"/>
          <w:szCs w:val="20"/>
          <w:bdr w:val="none" w:sz="0" w:space="0" w:color="auto"/>
        </w:rPr>
        <w:t xml:space="preserve"> </w:t>
      </w:r>
      <w:r>
        <w:rPr>
          <w:rFonts w:ascii="Cambria" w:hAnsi="Cambria"/>
          <w:sz w:val="20"/>
          <w:szCs w:val="20"/>
          <w:bdr w:val="none" w:sz="0" w:space="0" w:color="auto"/>
        </w:rPr>
        <w:t>it</w:t>
      </w:r>
      <w:r w:rsidR="00773B3C" w:rsidRPr="00A51861">
        <w:rPr>
          <w:rFonts w:ascii="Cambria" w:hAnsi="Cambria"/>
          <w:sz w:val="20"/>
          <w:szCs w:val="20"/>
          <w:bdr w:val="none" w:sz="0" w:space="0" w:color="auto"/>
        </w:rPr>
        <w:t xml:space="preserve">s </w:t>
      </w:r>
      <w:r w:rsidR="0059627A">
        <w:rPr>
          <w:rFonts w:ascii="Cambria" w:hAnsi="Cambria"/>
          <w:sz w:val="20"/>
          <w:szCs w:val="20"/>
          <w:bdr w:val="none" w:sz="0" w:space="0" w:color="auto"/>
        </w:rPr>
        <w:t>application</w:t>
      </w:r>
      <w:r w:rsidR="00773B3C" w:rsidRPr="00A51861">
        <w:rPr>
          <w:rFonts w:ascii="Cambria" w:hAnsi="Cambria"/>
          <w:sz w:val="20"/>
          <w:szCs w:val="20"/>
          <w:bdr w:val="none" w:sz="0" w:space="0" w:color="auto"/>
        </w:rPr>
        <w:t xml:space="preserve">. </w:t>
      </w:r>
    </w:p>
    <w:p w14:paraId="17AC999D" w14:textId="77777777" w:rsidR="00773B3C" w:rsidRPr="00A51861" w:rsidRDefault="00773B3C" w:rsidP="008E4D36">
      <w:pPr>
        <w:ind w:left="720"/>
        <w:rPr>
          <w:rFonts w:ascii="Cambria" w:hAnsi="Cambria"/>
          <w:color w:val="000000"/>
          <w:sz w:val="20"/>
          <w:szCs w:val="20"/>
          <w:u w:color="000000"/>
          <w:lang w:eastAsia="es-ES"/>
        </w:rPr>
      </w:pPr>
    </w:p>
    <w:p w14:paraId="538DDF65" w14:textId="751BE219" w:rsidR="0038318E" w:rsidRPr="00A51861" w:rsidRDefault="0059627A"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bdr w:val="none" w:sz="0" w:space="0" w:color="auto"/>
        </w:rPr>
      </w:pPr>
      <w:r>
        <w:rPr>
          <w:rFonts w:ascii="Cambria" w:hAnsi="Cambria"/>
          <w:sz w:val="20"/>
          <w:szCs w:val="20"/>
          <w:bdr w:val="none" w:sz="0" w:space="0" w:color="auto"/>
        </w:rPr>
        <w:t>According to</w:t>
      </w:r>
      <w:r w:rsidR="009A4F91">
        <w:rPr>
          <w:rFonts w:ascii="Cambria" w:hAnsi="Cambria"/>
          <w:sz w:val="20"/>
          <w:szCs w:val="20"/>
          <w:bdr w:val="none" w:sz="0" w:space="0" w:color="auto"/>
        </w:rPr>
        <w:t xml:space="preserve"> the </w:t>
      </w:r>
      <w:r w:rsidR="001F7816">
        <w:rPr>
          <w:rFonts w:ascii="Cambria" w:hAnsi="Cambria"/>
          <w:sz w:val="20"/>
          <w:szCs w:val="20"/>
          <w:bdr w:val="none" w:sz="0" w:space="0" w:color="auto"/>
        </w:rPr>
        <w:t xml:space="preserve">information present in the </w:t>
      </w:r>
      <w:r w:rsidR="0029564F">
        <w:rPr>
          <w:rFonts w:ascii="Cambria" w:hAnsi="Cambria"/>
          <w:sz w:val="20"/>
          <w:szCs w:val="20"/>
          <w:bdr w:val="none" w:sz="0" w:space="0" w:color="auto"/>
        </w:rPr>
        <w:t>casefile</w:t>
      </w:r>
      <w:r w:rsidR="00773B3C" w:rsidRPr="00A51861">
        <w:rPr>
          <w:rFonts w:ascii="Cambria" w:hAnsi="Cambria"/>
          <w:sz w:val="20"/>
          <w:szCs w:val="20"/>
          <w:bdr w:val="none" w:sz="0" w:space="0" w:color="auto"/>
        </w:rPr>
        <w:t xml:space="preserve">, </w:t>
      </w:r>
      <w:r>
        <w:rPr>
          <w:rFonts w:ascii="Cambria" w:hAnsi="Cambria"/>
          <w:sz w:val="20"/>
          <w:szCs w:val="20"/>
          <w:bdr w:val="none" w:sz="0" w:space="0" w:color="auto"/>
        </w:rPr>
        <w:t>at first it was understood that some alleged facts were excluded</w:t>
      </w:r>
      <w:r w:rsidR="00773B3C" w:rsidRPr="00A51861">
        <w:rPr>
          <w:rFonts w:ascii="Cambria" w:hAnsi="Cambria"/>
          <w:sz w:val="20"/>
          <w:szCs w:val="20"/>
          <w:bdr w:val="none" w:sz="0" w:space="0" w:color="auto"/>
        </w:rPr>
        <w:t xml:space="preserve"> </w:t>
      </w:r>
      <w:r>
        <w:rPr>
          <w:rFonts w:ascii="Cambria" w:hAnsi="Cambria"/>
          <w:sz w:val="20"/>
          <w:szCs w:val="20"/>
          <w:bdr w:val="none" w:sz="0" w:space="0" w:color="auto"/>
        </w:rPr>
        <w:t>from</w:t>
      </w:r>
      <w:r w:rsidR="00E64C43">
        <w:rPr>
          <w:rFonts w:ascii="Cambria" w:hAnsi="Cambria"/>
          <w:sz w:val="20"/>
          <w:szCs w:val="20"/>
          <w:bdr w:val="none" w:sz="0" w:space="0" w:color="auto"/>
        </w:rPr>
        <w:t xml:space="preserve"> this </w:t>
      </w:r>
      <w:r>
        <w:rPr>
          <w:rFonts w:ascii="Cambria" w:hAnsi="Cambria"/>
          <w:sz w:val="20"/>
          <w:szCs w:val="20"/>
          <w:bdr w:val="none" w:sz="0" w:space="0" w:color="auto"/>
        </w:rPr>
        <w:t>compensation</w:t>
      </w:r>
      <w:r w:rsidRPr="00A51861">
        <w:rPr>
          <w:rFonts w:ascii="Cambria" w:hAnsi="Cambria"/>
          <w:sz w:val="20"/>
          <w:szCs w:val="20"/>
          <w:bdr w:val="none" w:sz="0" w:space="0" w:color="auto"/>
        </w:rPr>
        <w:t xml:space="preserve"> </w:t>
      </w:r>
      <w:r>
        <w:rPr>
          <w:rFonts w:ascii="Cambria" w:hAnsi="Cambria"/>
          <w:sz w:val="20"/>
          <w:szCs w:val="20"/>
          <w:bdr w:val="none" w:sz="0" w:space="0" w:color="auto"/>
        </w:rPr>
        <w:t>mechanism</w:t>
      </w:r>
      <w:r w:rsidR="00773B3C" w:rsidRPr="00A51861">
        <w:rPr>
          <w:rFonts w:ascii="Cambria" w:hAnsi="Cambria"/>
          <w:sz w:val="20"/>
          <w:szCs w:val="20"/>
          <w:bdr w:val="none" w:sz="0" w:space="0" w:color="auto"/>
        </w:rPr>
        <w:t xml:space="preserve">. </w:t>
      </w:r>
      <w:r w:rsidR="00376318">
        <w:rPr>
          <w:rFonts w:ascii="Cambria" w:hAnsi="Cambria"/>
          <w:sz w:val="20"/>
          <w:szCs w:val="20"/>
          <w:bdr w:val="none" w:sz="0" w:space="0" w:color="auto"/>
        </w:rPr>
        <w:t>However</w:t>
      </w:r>
      <w:r w:rsidR="00773B3C" w:rsidRPr="00A51861">
        <w:rPr>
          <w:rFonts w:ascii="Cambria" w:hAnsi="Cambria"/>
          <w:sz w:val="20"/>
          <w:szCs w:val="20"/>
          <w:bdr w:val="none" w:sz="0" w:space="0" w:color="auto"/>
        </w:rPr>
        <w:t xml:space="preserve">, </w:t>
      </w:r>
      <w:r>
        <w:rPr>
          <w:rFonts w:ascii="Cambria" w:hAnsi="Cambria"/>
          <w:sz w:val="20"/>
          <w:szCs w:val="20"/>
          <w:bdr w:val="none" w:sz="0" w:space="0" w:color="auto"/>
        </w:rPr>
        <w:t>the</w:t>
      </w:r>
      <w:r w:rsidR="00773B3C" w:rsidRPr="00A51861">
        <w:rPr>
          <w:rFonts w:ascii="Cambria" w:hAnsi="Cambria"/>
          <w:sz w:val="20"/>
          <w:szCs w:val="20"/>
          <w:bdr w:val="none" w:sz="0" w:space="0" w:color="auto"/>
        </w:rPr>
        <w:t xml:space="preserve"> judicial</w:t>
      </w:r>
      <w:r w:rsidR="00CB4E23">
        <w:rPr>
          <w:rFonts w:ascii="Cambria" w:hAnsi="Cambria"/>
          <w:sz w:val="20"/>
          <w:szCs w:val="20"/>
          <w:bdr w:val="none" w:sz="0" w:space="0" w:color="auto"/>
        </w:rPr>
        <w:t xml:space="preserve"> </w:t>
      </w:r>
      <w:r w:rsidRPr="00A51861">
        <w:rPr>
          <w:rFonts w:ascii="Cambria" w:hAnsi="Cambria"/>
          <w:sz w:val="20"/>
          <w:szCs w:val="20"/>
          <w:bdr w:val="none" w:sz="0" w:space="0" w:color="auto"/>
        </w:rPr>
        <w:t xml:space="preserve">interpretations </w:t>
      </w:r>
      <w:r w:rsidR="00CB4E23">
        <w:rPr>
          <w:rFonts w:ascii="Cambria" w:hAnsi="Cambria"/>
          <w:sz w:val="20"/>
          <w:szCs w:val="20"/>
          <w:bdr w:val="none" w:sz="0" w:space="0" w:color="auto"/>
        </w:rPr>
        <w:t xml:space="preserve">have </w:t>
      </w:r>
      <w:r>
        <w:rPr>
          <w:rFonts w:ascii="Cambria" w:hAnsi="Cambria"/>
          <w:sz w:val="20"/>
          <w:szCs w:val="20"/>
          <w:bdr w:val="none" w:sz="0" w:space="0" w:color="auto"/>
        </w:rPr>
        <w:t>allowed</w:t>
      </w:r>
      <w:r w:rsidR="00773B3C" w:rsidRPr="00A51861">
        <w:rPr>
          <w:rFonts w:ascii="Cambria" w:hAnsi="Cambria"/>
          <w:sz w:val="20"/>
          <w:szCs w:val="20"/>
          <w:bdr w:val="none" w:sz="0" w:space="0" w:color="auto"/>
        </w:rPr>
        <w:t xml:space="preserve"> </w:t>
      </w:r>
      <w:r>
        <w:rPr>
          <w:rFonts w:ascii="Cambria" w:hAnsi="Cambria"/>
          <w:sz w:val="20"/>
          <w:szCs w:val="20"/>
          <w:bdr w:val="none" w:sz="0" w:space="0" w:color="auto"/>
        </w:rPr>
        <w:t xml:space="preserve">to </w:t>
      </w:r>
      <w:r w:rsidR="00773B3C" w:rsidRPr="00A51861">
        <w:rPr>
          <w:rFonts w:ascii="Cambria" w:hAnsi="Cambria"/>
          <w:sz w:val="20"/>
          <w:szCs w:val="20"/>
          <w:bdr w:val="none" w:sz="0" w:space="0" w:color="auto"/>
        </w:rPr>
        <w:t>determin</w:t>
      </w:r>
      <w:r>
        <w:rPr>
          <w:rFonts w:ascii="Cambria" w:hAnsi="Cambria"/>
          <w:sz w:val="20"/>
          <w:szCs w:val="20"/>
          <w:bdr w:val="none" w:sz="0" w:space="0" w:color="auto"/>
        </w:rPr>
        <w:t>e</w:t>
      </w:r>
      <w:r w:rsidR="00773B3C" w:rsidRPr="00A51861">
        <w:rPr>
          <w:rFonts w:ascii="Cambria" w:hAnsi="Cambria"/>
          <w:sz w:val="20"/>
          <w:szCs w:val="20"/>
          <w:bdr w:val="none" w:sz="0" w:space="0" w:color="auto"/>
        </w:rPr>
        <w:t xml:space="preserve"> </w:t>
      </w:r>
      <w:r w:rsidR="005835F2">
        <w:rPr>
          <w:rFonts w:ascii="Cambria" w:hAnsi="Cambria"/>
          <w:sz w:val="20"/>
          <w:szCs w:val="20"/>
          <w:bdr w:val="none" w:sz="0" w:space="0" w:color="auto"/>
        </w:rPr>
        <w:t>some</w:t>
      </w:r>
      <w:r w:rsidR="00773B3C" w:rsidRPr="00A51861">
        <w:rPr>
          <w:rFonts w:ascii="Cambria" w:hAnsi="Cambria"/>
          <w:sz w:val="20"/>
          <w:szCs w:val="20"/>
          <w:bdr w:val="none" w:sz="0" w:space="0" w:color="auto"/>
        </w:rPr>
        <w:t xml:space="preserve"> </w:t>
      </w:r>
      <w:r w:rsidRPr="00A51861">
        <w:rPr>
          <w:rFonts w:ascii="Cambria" w:hAnsi="Cambria"/>
          <w:sz w:val="20"/>
          <w:szCs w:val="20"/>
          <w:bdr w:val="none" w:sz="0" w:space="0" w:color="auto"/>
        </w:rPr>
        <w:t>additional</w:t>
      </w:r>
      <w:r w:rsidR="007D3F09" w:rsidRPr="00A51861">
        <w:rPr>
          <w:rFonts w:ascii="Cambria" w:hAnsi="Cambria"/>
          <w:sz w:val="20"/>
          <w:szCs w:val="20"/>
          <w:bdr w:val="none" w:sz="0" w:space="0" w:color="auto"/>
        </w:rPr>
        <w:t xml:space="preserve"> </w:t>
      </w:r>
      <w:r w:rsidRPr="00A51861">
        <w:rPr>
          <w:rFonts w:ascii="Cambria" w:hAnsi="Cambria"/>
          <w:sz w:val="20"/>
          <w:szCs w:val="20"/>
          <w:bdr w:val="none" w:sz="0" w:space="0" w:color="auto"/>
        </w:rPr>
        <w:t>f</w:t>
      </w:r>
      <w:r>
        <w:rPr>
          <w:rFonts w:ascii="Cambria" w:hAnsi="Cambria"/>
          <w:sz w:val="20"/>
          <w:szCs w:val="20"/>
          <w:bdr w:val="none" w:sz="0" w:space="0" w:color="auto"/>
        </w:rPr>
        <w:t>actual</w:t>
      </w:r>
      <w:r w:rsidRPr="00A51861">
        <w:rPr>
          <w:rFonts w:ascii="Cambria" w:hAnsi="Cambria"/>
          <w:sz w:val="20"/>
          <w:szCs w:val="20"/>
          <w:bdr w:val="none" w:sz="0" w:space="0" w:color="auto"/>
        </w:rPr>
        <w:t xml:space="preserve"> </w:t>
      </w:r>
      <w:r>
        <w:rPr>
          <w:rFonts w:ascii="Cambria" w:hAnsi="Cambria"/>
          <w:sz w:val="20"/>
          <w:szCs w:val="20"/>
          <w:bdr w:val="none" w:sz="0" w:space="0" w:color="auto"/>
        </w:rPr>
        <w:t>situations</w:t>
      </w:r>
      <w:r w:rsidRPr="00A51861">
        <w:rPr>
          <w:rFonts w:ascii="Cambria" w:hAnsi="Cambria"/>
          <w:sz w:val="20"/>
          <w:szCs w:val="20"/>
          <w:bdr w:val="none" w:sz="0" w:space="0" w:color="auto"/>
        </w:rPr>
        <w:t xml:space="preserve"> </w:t>
      </w:r>
      <w:r>
        <w:rPr>
          <w:rFonts w:ascii="Cambria" w:hAnsi="Cambria"/>
          <w:sz w:val="20"/>
          <w:szCs w:val="20"/>
          <w:bdr w:val="none" w:sz="0" w:space="0" w:color="auto"/>
        </w:rPr>
        <w:t>as</w:t>
      </w:r>
      <w:r w:rsidR="007D3F09" w:rsidRPr="00A51861">
        <w:rPr>
          <w:rFonts w:ascii="Cambria" w:hAnsi="Cambria"/>
          <w:sz w:val="20"/>
          <w:szCs w:val="20"/>
          <w:bdr w:val="none" w:sz="0" w:space="0" w:color="auto"/>
        </w:rPr>
        <w:t xml:space="preserve"> </w:t>
      </w:r>
      <w:r>
        <w:rPr>
          <w:rFonts w:ascii="Cambria" w:hAnsi="Cambria"/>
          <w:sz w:val="20"/>
          <w:szCs w:val="20"/>
          <w:bdr w:val="none" w:sz="0" w:space="0" w:color="auto"/>
        </w:rPr>
        <w:t>encompassed in the broad spirit</w:t>
      </w:r>
      <w:r w:rsidR="00773B3C" w:rsidRPr="00A51861">
        <w:rPr>
          <w:rFonts w:ascii="Cambria" w:hAnsi="Cambria"/>
          <w:sz w:val="20"/>
          <w:szCs w:val="20"/>
          <w:bdr w:val="none" w:sz="0" w:space="0" w:color="auto"/>
        </w:rPr>
        <w:t xml:space="preserve"> </w:t>
      </w:r>
      <w:r>
        <w:rPr>
          <w:rFonts w:ascii="Cambria" w:hAnsi="Cambria"/>
          <w:sz w:val="20"/>
          <w:szCs w:val="20"/>
          <w:bdr w:val="none" w:sz="0" w:space="0" w:color="auto"/>
        </w:rPr>
        <w:t>which</w:t>
      </w:r>
      <w:r w:rsidR="00773B3C" w:rsidRPr="00A51861">
        <w:rPr>
          <w:rFonts w:ascii="Cambria" w:hAnsi="Cambria"/>
          <w:sz w:val="20"/>
          <w:szCs w:val="20"/>
          <w:bdr w:val="none" w:sz="0" w:space="0" w:color="auto"/>
        </w:rPr>
        <w:t xml:space="preserve"> </w:t>
      </w:r>
      <w:r>
        <w:rPr>
          <w:rFonts w:ascii="Cambria" w:hAnsi="Cambria"/>
          <w:color w:val="000000" w:themeColor="text1"/>
          <w:sz w:val="20"/>
          <w:szCs w:val="20"/>
        </w:rPr>
        <w:t>drove the</w:t>
      </w:r>
      <w:r w:rsidR="00773B3C" w:rsidRPr="00A51861">
        <w:rPr>
          <w:rFonts w:ascii="Cambria" w:hAnsi="Cambria"/>
          <w:sz w:val="20"/>
          <w:szCs w:val="20"/>
          <w:bdr w:val="none" w:sz="0" w:space="0" w:color="auto"/>
        </w:rPr>
        <w:t xml:space="preserve"> legisla</w:t>
      </w:r>
      <w:r>
        <w:rPr>
          <w:rFonts w:ascii="Cambria" w:hAnsi="Cambria"/>
          <w:sz w:val="20"/>
          <w:szCs w:val="20"/>
          <w:bdr w:val="none" w:sz="0" w:space="0" w:color="auto"/>
        </w:rPr>
        <w:t>t</w:t>
      </w:r>
      <w:r w:rsidR="00773B3C" w:rsidRPr="00A51861">
        <w:rPr>
          <w:rFonts w:ascii="Cambria" w:hAnsi="Cambria"/>
          <w:sz w:val="20"/>
          <w:szCs w:val="20"/>
          <w:bdr w:val="none" w:sz="0" w:space="0" w:color="auto"/>
        </w:rPr>
        <w:t xml:space="preserve">or </w:t>
      </w:r>
      <w:r>
        <w:rPr>
          <w:rFonts w:ascii="Cambria" w:hAnsi="Cambria"/>
          <w:sz w:val="20"/>
          <w:szCs w:val="20"/>
          <w:bdr w:val="none" w:sz="0" w:space="0" w:color="auto"/>
        </w:rPr>
        <w:t>to</w:t>
      </w:r>
      <w:r w:rsidR="00773B3C" w:rsidRPr="00A51861">
        <w:rPr>
          <w:rFonts w:ascii="Cambria" w:hAnsi="Cambria"/>
          <w:sz w:val="20"/>
          <w:szCs w:val="20"/>
          <w:bdr w:val="none" w:sz="0" w:space="0" w:color="auto"/>
        </w:rPr>
        <w:t xml:space="preserve"> establ</w:t>
      </w:r>
      <w:r>
        <w:rPr>
          <w:rFonts w:ascii="Cambria" w:hAnsi="Cambria"/>
          <w:sz w:val="20"/>
          <w:szCs w:val="20"/>
          <w:bdr w:val="none" w:sz="0" w:space="0" w:color="auto"/>
        </w:rPr>
        <w:t>ish said</w:t>
      </w:r>
      <w:r w:rsidR="00773B3C" w:rsidRPr="00A51861">
        <w:rPr>
          <w:rFonts w:ascii="Cambria" w:hAnsi="Cambria"/>
          <w:sz w:val="20"/>
          <w:szCs w:val="20"/>
          <w:bdr w:val="none" w:sz="0" w:space="0" w:color="auto"/>
        </w:rPr>
        <w:t xml:space="preserve"> </w:t>
      </w:r>
      <w:r w:rsidRPr="00A51861">
        <w:rPr>
          <w:rFonts w:ascii="Cambria" w:hAnsi="Cambria"/>
          <w:sz w:val="20"/>
          <w:szCs w:val="20"/>
          <w:bdr w:val="none" w:sz="0" w:space="0" w:color="auto"/>
        </w:rPr>
        <w:t>reparatory regime</w:t>
      </w:r>
      <w:r w:rsidR="00773B3C" w:rsidRPr="00A51861">
        <w:rPr>
          <w:rFonts w:ascii="Cambria" w:hAnsi="Cambria"/>
          <w:sz w:val="20"/>
          <w:szCs w:val="20"/>
          <w:bdr w:val="none" w:sz="0" w:space="0" w:color="auto"/>
        </w:rPr>
        <w:t>,</w:t>
      </w:r>
      <w:r w:rsidR="00E92985">
        <w:rPr>
          <w:rFonts w:ascii="Cambria" w:hAnsi="Cambria"/>
          <w:sz w:val="20"/>
          <w:szCs w:val="20"/>
          <w:bdr w:val="none" w:sz="0" w:space="0" w:color="auto"/>
        </w:rPr>
        <w:t xml:space="preserve"> </w:t>
      </w:r>
      <w:r>
        <w:rPr>
          <w:rFonts w:ascii="Cambria" w:hAnsi="Cambria"/>
          <w:sz w:val="20"/>
          <w:szCs w:val="20"/>
          <w:bdr w:val="none" w:sz="0" w:space="0" w:color="auto"/>
        </w:rPr>
        <w:t>for which reason</w:t>
      </w:r>
      <w:r w:rsidR="009A4F91">
        <w:rPr>
          <w:rFonts w:ascii="Cambria" w:hAnsi="Cambria"/>
          <w:sz w:val="20"/>
          <w:szCs w:val="20"/>
          <w:bdr w:val="none" w:sz="0" w:space="0" w:color="auto"/>
        </w:rPr>
        <w:t xml:space="preserve"> the </w:t>
      </w:r>
      <w:r w:rsidR="00414B18">
        <w:rPr>
          <w:rFonts w:ascii="Cambria" w:hAnsi="Cambria"/>
          <w:sz w:val="20"/>
          <w:szCs w:val="20"/>
          <w:bdr w:val="none" w:sz="0" w:space="0" w:color="auto"/>
        </w:rPr>
        <w:t>corresponding</w:t>
      </w:r>
      <w:r w:rsidR="00773B3C" w:rsidRPr="00A51861">
        <w:rPr>
          <w:rFonts w:ascii="Cambria" w:hAnsi="Cambria"/>
          <w:sz w:val="20"/>
          <w:szCs w:val="20"/>
          <w:bdr w:val="none" w:sz="0" w:space="0" w:color="auto"/>
        </w:rPr>
        <w:t xml:space="preserve"> </w:t>
      </w:r>
      <w:r w:rsidR="001A0B84">
        <w:rPr>
          <w:rFonts w:ascii="Cambria" w:hAnsi="Cambria"/>
          <w:sz w:val="20"/>
          <w:szCs w:val="20"/>
          <w:bdr w:val="none" w:sz="0" w:space="0" w:color="auto"/>
        </w:rPr>
        <w:t>reparation</w:t>
      </w:r>
      <w:r w:rsidR="00773B3C" w:rsidRPr="00A51861">
        <w:rPr>
          <w:rFonts w:ascii="Cambria" w:hAnsi="Cambria"/>
          <w:sz w:val="20"/>
          <w:szCs w:val="20"/>
          <w:bdr w:val="none" w:sz="0" w:space="0" w:color="auto"/>
        </w:rPr>
        <w:t xml:space="preserve"> </w:t>
      </w:r>
      <w:r>
        <w:rPr>
          <w:rFonts w:ascii="Cambria" w:hAnsi="Cambria"/>
          <w:sz w:val="20"/>
          <w:szCs w:val="20"/>
          <w:bdr w:val="none" w:sz="0" w:space="0" w:color="auto"/>
        </w:rPr>
        <w:t>has been granted in</w:t>
      </w:r>
      <w:r w:rsidR="00E64C43">
        <w:rPr>
          <w:rFonts w:ascii="Cambria" w:hAnsi="Cambria"/>
          <w:sz w:val="20"/>
          <w:szCs w:val="20"/>
          <w:bdr w:val="none" w:sz="0" w:space="0" w:color="auto"/>
        </w:rPr>
        <w:t xml:space="preserve"> those </w:t>
      </w:r>
      <w:r w:rsidR="00773B3C" w:rsidRPr="00A51861">
        <w:rPr>
          <w:rFonts w:ascii="Cambria" w:hAnsi="Cambria"/>
          <w:sz w:val="20"/>
          <w:szCs w:val="20"/>
          <w:bdr w:val="none" w:sz="0" w:space="0" w:color="auto"/>
        </w:rPr>
        <w:t>cas</w:t>
      </w:r>
      <w:r>
        <w:rPr>
          <w:rFonts w:ascii="Cambria" w:hAnsi="Cambria"/>
          <w:sz w:val="20"/>
          <w:szCs w:val="20"/>
          <w:bdr w:val="none" w:sz="0" w:space="0" w:color="auto"/>
        </w:rPr>
        <w:t>e</w:t>
      </w:r>
      <w:r w:rsidR="00773B3C" w:rsidRPr="00A51861">
        <w:rPr>
          <w:rFonts w:ascii="Cambria" w:hAnsi="Cambria"/>
          <w:sz w:val="20"/>
          <w:szCs w:val="20"/>
          <w:bdr w:val="none" w:sz="0" w:space="0" w:color="auto"/>
        </w:rPr>
        <w:t>s</w:t>
      </w:r>
      <w:r w:rsidR="00773B3C" w:rsidRPr="00A51861">
        <w:rPr>
          <w:rFonts w:ascii="Cambria" w:hAnsi="Cambria"/>
          <w:sz w:val="20"/>
          <w:szCs w:val="20"/>
          <w:bdr w:val="none" w:sz="0" w:space="0" w:color="auto"/>
          <w:vertAlign w:val="superscript"/>
        </w:rPr>
        <w:footnoteReference w:id="240"/>
      </w:r>
      <w:r w:rsidR="00773B3C" w:rsidRPr="00A51861">
        <w:rPr>
          <w:rFonts w:ascii="Cambria" w:hAnsi="Cambria"/>
          <w:sz w:val="20"/>
          <w:szCs w:val="20"/>
          <w:bdr w:val="none" w:sz="0" w:space="0" w:color="auto"/>
        </w:rPr>
        <w:t xml:space="preserve">. </w:t>
      </w:r>
    </w:p>
    <w:p w14:paraId="04C00AD9" w14:textId="77777777" w:rsidR="0038318E" w:rsidRPr="00A51861" w:rsidRDefault="0038318E" w:rsidP="008E4D36">
      <w:pPr>
        <w:pStyle w:val="ListParagraph"/>
        <w:rPr>
          <w:sz w:val="20"/>
          <w:szCs w:val="20"/>
          <w:bdr w:val="none" w:sz="0" w:space="0" w:color="auto"/>
        </w:rPr>
      </w:pPr>
    </w:p>
    <w:p w14:paraId="566CE28D" w14:textId="4844CF0A" w:rsidR="0038318E" w:rsidRPr="00A51861" w:rsidRDefault="0059627A"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bdr w:val="none" w:sz="0" w:space="0" w:color="auto"/>
        </w:rPr>
      </w:pPr>
      <w:r>
        <w:rPr>
          <w:rFonts w:ascii="Cambria" w:hAnsi="Cambria"/>
          <w:sz w:val="20"/>
          <w:szCs w:val="20"/>
          <w:bdr w:val="none" w:sz="0" w:space="0" w:color="auto"/>
        </w:rPr>
        <w:t>I</w:t>
      </w:r>
      <w:r w:rsidR="00773B3C" w:rsidRPr="00A51861">
        <w:rPr>
          <w:rFonts w:ascii="Cambria" w:hAnsi="Cambria"/>
          <w:sz w:val="20"/>
          <w:szCs w:val="20"/>
          <w:bdr w:val="none" w:sz="0" w:space="0" w:color="auto"/>
        </w:rPr>
        <w:t xml:space="preserve">n particular, </w:t>
      </w:r>
      <w:r>
        <w:rPr>
          <w:rFonts w:ascii="Cambria" w:hAnsi="Cambria"/>
          <w:sz w:val="20"/>
          <w:szCs w:val="20"/>
          <w:bdr w:val="none" w:sz="0" w:space="0" w:color="auto"/>
        </w:rPr>
        <w:t>in regard to the case</w:t>
      </w:r>
      <w:r w:rsidR="00773B3C" w:rsidRPr="00A51861">
        <w:rPr>
          <w:rFonts w:ascii="Cambria" w:hAnsi="Cambria"/>
          <w:sz w:val="20"/>
          <w:szCs w:val="20"/>
          <w:bdr w:val="none" w:sz="0" w:space="0" w:color="auto"/>
        </w:rPr>
        <w:t xml:space="preserve"> </w:t>
      </w:r>
      <w:r w:rsidR="00E92985">
        <w:rPr>
          <w:rFonts w:ascii="Cambria" w:hAnsi="Cambria"/>
          <w:sz w:val="20"/>
          <w:szCs w:val="20"/>
          <w:bdr w:val="none" w:sz="0" w:space="0" w:color="auto"/>
        </w:rPr>
        <w:t>of the alleged victims</w:t>
      </w:r>
      <w:r w:rsidR="00773B3C" w:rsidRPr="00A51861">
        <w:rPr>
          <w:rFonts w:ascii="Cambria" w:hAnsi="Cambria"/>
          <w:sz w:val="20"/>
          <w:szCs w:val="20"/>
          <w:bdr w:val="none" w:sz="0" w:space="0" w:color="auto"/>
        </w:rPr>
        <w:t xml:space="preserve">, </w:t>
      </w:r>
      <w:r>
        <w:rPr>
          <w:rFonts w:ascii="Cambria" w:hAnsi="Cambria"/>
          <w:sz w:val="20"/>
          <w:szCs w:val="20"/>
          <w:bdr w:val="none" w:sz="0" w:space="0" w:color="auto"/>
        </w:rPr>
        <w:t>the</w:t>
      </w:r>
      <w:r w:rsidR="00773B3C" w:rsidRPr="00A51861">
        <w:rPr>
          <w:rFonts w:ascii="Cambria" w:hAnsi="Cambria"/>
          <w:sz w:val="20"/>
          <w:szCs w:val="20"/>
          <w:bdr w:val="none" w:sz="0" w:space="0" w:color="auto"/>
        </w:rPr>
        <w:t xml:space="preserve"> </w:t>
      </w:r>
      <w:r w:rsidR="00E92985">
        <w:rPr>
          <w:rFonts w:ascii="Cambria" w:hAnsi="Cambria"/>
          <w:sz w:val="20"/>
          <w:szCs w:val="20"/>
          <w:bdr w:val="none" w:sz="0" w:space="0" w:color="auto"/>
        </w:rPr>
        <w:t xml:space="preserve">situations of </w:t>
      </w:r>
      <w:r w:rsidR="006273A5">
        <w:rPr>
          <w:rFonts w:ascii="Cambria" w:hAnsi="Cambria"/>
          <w:sz w:val="20"/>
          <w:szCs w:val="20"/>
          <w:bdr w:val="none" w:sz="0" w:space="0" w:color="auto"/>
        </w:rPr>
        <w:t>forced exile</w:t>
      </w:r>
      <w:r w:rsidR="00773B3C" w:rsidRPr="00A51861">
        <w:rPr>
          <w:rFonts w:ascii="Cambria" w:hAnsi="Cambria"/>
          <w:sz w:val="20"/>
          <w:szCs w:val="20"/>
          <w:bdr w:val="none" w:sz="0" w:space="0" w:color="auto"/>
        </w:rPr>
        <w:t xml:space="preserve"> </w:t>
      </w:r>
      <w:r>
        <w:rPr>
          <w:rFonts w:ascii="Cambria" w:hAnsi="Cambria"/>
          <w:sz w:val="20"/>
          <w:szCs w:val="20"/>
          <w:bdr w:val="none" w:sz="0" w:space="0" w:color="auto"/>
        </w:rPr>
        <w:t>have been understood</w:t>
      </w:r>
      <w:r w:rsidR="00773B3C" w:rsidRPr="00A51861">
        <w:rPr>
          <w:rFonts w:ascii="Cambria" w:hAnsi="Cambria"/>
          <w:sz w:val="20"/>
          <w:szCs w:val="20"/>
          <w:bdr w:val="none" w:sz="0" w:space="0" w:color="auto"/>
        </w:rPr>
        <w:t xml:space="preserve"> </w:t>
      </w:r>
      <w:r>
        <w:rPr>
          <w:rFonts w:ascii="Cambria" w:hAnsi="Cambria"/>
          <w:sz w:val="20"/>
          <w:szCs w:val="20"/>
          <w:bdr w:val="none" w:sz="0" w:space="0" w:color="auto"/>
        </w:rPr>
        <w:t>as included into those which qualify for granting</w:t>
      </w:r>
      <w:r w:rsidR="00E92985">
        <w:rPr>
          <w:rFonts w:ascii="Cambria" w:hAnsi="Cambria"/>
          <w:sz w:val="20"/>
          <w:szCs w:val="20"/>
          <w:bdr w:val="none" w:sz="0" w:space="0" w:color="auto"/>
        </w:rPr>
        <w:t xml:space="preserve"> </w:t>
      </w:r>
      <w:r w:rsidR="008F7A6D">
        <w:rPr>
          <w:rFonts w:ascii="Cambria" w:hAnsi="Cambria"/>
          <w:sz w:val="20"/>
          <w:szCs w:val="20"/>
          <w:bdr w:val="none" w:sz="0" w:space="0" w:color="auto"/>
        </w:rPr>
        <w:t>compensation</w:t>
      </w:r>
      <w:r w:rsidR="00773B3C" w:rsidRPr="00A51861">
        <w:rPr>
          <w:rFonts w:ascii="Cambria" w:hAnsi="Cambria"/>
          <w:sz w:val="20"/>
          <w:szCs w:val="20"/>
          <w:bdr w:val="none" w:sz="0" w:space="0" w:color="auto"/>
        </w:rPr>
        <w:t xml:space="preserve"> </w:t>
      </w:r>
      <w:r>
        <w:rPr>
          <w:rFonts w:ascii="Cambria" w:hAnsi="Cambria"/>
          <w:sz w:val="20"/>
          <w:szCs w:val="20"/>
          <w:bdr w:val="none" w:sz="0" w:space="0" w:color="auto"/>
        </w:rPr>
        <w:t>under Law</w:t>
      </w:r>
      <w:r w:rsidR="002835FC" w:rsidRPr="00A51861">
        <w:rPr>
          <w:rFonts w:ascii="Cambria" w:hAnsi="Cambria"/>
          <w:sz w:val="20"/>
          <w:szCs w:val="20"/>
          <w:bdr w:val="none" w:sz="0" w:space="0" w:color="auto"/>
        </w:rPr>
        <w:t xml:space="preserve"> </w:t>
      </w:r>
      <w:r w:rsidR="00773B3C" w:rsidRPr="00A51861">
        <w:rPr>
          <w:rFonts w:ascii="Cambria" w:hAnsi="Cambria"/>
          <w:sz w:val="20"/>
          <w:szCs w:val="20"/>
          <w:bdr w:val="none" w:sz="0" w:space="0" w:color="auto"/>
        </w:rPr>
        <w:t xml:space="preserve">24.043. </w:t>
      </w:r>
      <w:r>
        <w:rPr>
          <w:rFonts w:ascii="Cambria" w:hAnsi="Cambria"/>
          <w:sz w:val="20"/>
          <w:szCs w:val="20"/>
          <w:bdr w:val="none" w:sz="0" w:space="0" w:color="auto"/>
        </w:rPr>
        <w:t>Thus</w:t>
      </w:r>
      <w:r w:rsidR="00773B3C" w:rsidRPr="00A51861">
        <w:rPr>
          <w:rFonts w:ascii="Cambria" w:hAnsi="Cambria"/>
          <w:sz w:val="20"/>
          <w:szCs w:val="20"/>
          <w:bdr w:val="none" w:sz="0" w:space="0" w:color="auto"/>
        </w:rPr>
        <w:t xml:space="preserve">, </w:t>
      </w:r>
      <w:r>
        <w:rPr>
          <w:rFonts w:ascii="Cambria" w:hAnsi="Cambria"/>
          <w:sz w:val="20"/>
          <w:szCs w:val="20"/>
          <w:bdr w:val="none" w:sz="0" w:space="0" w:color="auto"/>
        </w:rPr>
        <w:t>as of year</w:t>
      </w:r>
      <w:r w:rsidR="00773B3C" w:rsidRPr="00A51861">
        <w:rPr>
          <w:rFonts w:ascii="Cambria" w:hAnsi="Cambria"/>
          <w:sz w:val="20"/>
          <w:szCs w:val="20"/>
          <w:bdr w:val="none" w:sz="0" w:space="0" w:color="auto"/>
        </w:rPr>
        <w:t xml:space="preserve"> 2000, </w:t>
      </w:r>
      <w:r w:rsidR="00076366">
        <w:rPr>
          <w:rFonts w:ascii="Cambria" w:hAnsi="Cambria"/>
          <w:sz w:val="20"/>
          <w:szCs w:val="20"/>
          <w:bdr w:val="none" w:sz="0" w:space="0" w:color="auto"/>
        </w:rPr>
        <w:t xml:space="preserve">the Supreme </w:t>
      </w:r>
      <w:r w:rsidR="00A9213F">
        <w:rPr>
          <w:rFonts w:ascii="Cambria" w:hAnsi="Cambria"/>
          <w:sz w:val="20"/>
          <w:szCs w:val="20"/>
          <w:bdr w:val="none" w:sz="0" w:space="0" w:color="auto"/>
        </w:rPr>
        <w:t>Court of Justice</w:t>
      </w:r>
      <w:r w:rsidR="00773B3C" w:rsidRPr="00A51861">
        <w:rPr>
          <w:rFonts w:ascii="Cambria" w:hAnsi="Cambria"/>
          <w:sz w:val="20"/>
          <w:szCs w:val="20"/>
          <w:bdr w:val="none" w:sz="0" w:space="0" w:color="auto"/>
        </w:rPr>
        <w:t xml:space="preserve"> </w:t>
      </w:r>
      <w:r>
        <w:rPr>
          <w:rFonts w:ascii="Cambria" w:hAnsi="Cambria"/>
          <w:sz w:val="20"/>
          <w:szCs w:val="20"/>
          <w:bdr w:val="none" w:sz="0" w:space="0" w:color="auto"/>
        </w:rPr>
        <w:t>in its</w:t>
      </w:r>
      <w:r w:rsidR="00773B3C" w:rsidRPr="00A51861">
        <w:rPr>
          <w:rFonts w:ascii="Cambria" w:hAnsi="Cambria"/>
          <w:sz w:val="20"/>
          <w:szCs w:val="20"/>
          <w:bdr w:val="none" w:sz="0" w:space="0" w:color="auto"/>
        </w:rPr>
        <w:t xml:space="preserve"> </w:t>
      </w:r>
      <w:r w:rsidR="00E92985">
        <w:rPr>
          <w:rFonts w:ascii="Cambria" w:hAnsi="Cambria"/>
          <w:sz w:val="20"/>
          <w:szCs w:val="20"/>
          <w:bdr w:val="none" w:sz="0" w:space="0" w:color="auto"/>
        </w:rPr>
        <w:t xml:space="preserve">decisions of </w:t>
      </w:r>
      <w:r>
        <w:rPr>
          <w:rFonts w:ascii="Cambria" w:hAnsi="Cambria"/>
          <w:sz w:val="20"/>
          <w:szCs w:val="20"/>
          <w:bdr w:val="none" w:sz="0" w:space="0" w:color="auto"/>
        </w:rPr>
        <w:t>the cases of</w:t>
      </w:r>
      <w:r w:rsidR="00773B3C" w:rsidRPr="00A51861">
        <w:rPr>
          <w:rFonts w:ascii="Cambria" w:hAnsi="Cambria"/>
          <w:sz w:val="20"/>
          <w:szCs w:val="20"/>
          <w:bdr w:val="none" w:sz="0" w:space="0" w:color="auto"/>
        </w:rPr>
        <w:t xml:space="preserve"> Quiroga</w:t>
      </w:r>
      <w:r w:rsidR="00E92985">
        <w:rPr>
          <w:rFonts w:ascii="Cambria" w:hAnsi="Cambria"/>
          <w:sz w:val="20"/>
          <w:szCs w:val="20"/>
          <w:bdr w:val="none" w:sz="0" w:space="0" w:color="auto"/>
        </w:rPr>
        <w:t xml:space="preserve"> and </w:t>
      </w:r>
      <w:r w:rsidR="00773B3C" w:rsidRPr="00A51861">
        <w:rPr>
          <w:rFonts w:ascii="Cambria" w:hAnsi="Cambria"/>
          <w:sz w:val="20"/>
          <w:szCs w:val="20"/>
          <w:bdr w:val="none" w:sz="0" w:space="0" w:color="auto"/>
        </w:rPr>
        <w:t>Bufano, r</w:t>
      </w:r>
      <w:r>
        <w:rPr>
          <w:rFonts w:ascii="Cambria" w:hAnsi="Cambria"/>
          <w:sz w:val="20"/>
          <w:szCs w:val="20"/>
          <w:bdr w:val="none" w:sz="0" w:space="0" w:color="auto"/>
        </w:rPr>
        <w:t>ecognized that</w:t>
      </w:r>
      <w:r w:rsidR="00E92985">
        <w:rPr>
          <w:rFonts w:ascii="Cambria" w:hAnsi="Cambria"/>
          <w:sz w:val="20"/>
          <w:szCs w:val="20"/>
          <w:bdr w:val="none" w:sz="0" w:space="0" w:color="auto"/>
        </w:rPr>
        <w:t xml:space="preserve"> </w:t>
      </w:r>
      <w:r w:rsidR="005B42FA">
        <w:rPr>
          <w:rFonts w:ascii="Cambria" w:hAnsi="Cambria"/>
          <w:sz w:val="20"/>
          <w:szCs w:val="20"/>
          <w:bdr w:val="none" w:sz="0" w:space="0" w:color="auto"/>
        </w:rPr>
        <w:t>exile</w:t>
      </w:r>
      <w:r w:rsidR="00773B3C" w:rsidRPr="00A51861">
        <w:rPr>
          <w:rFonts w:ascii="Cambria" w:hAnsi="Cambria"/>
          <w:sz w:val="20"/>
          <w:szCs w:val="20"/>
          <w:bdr w:val="none" w:sz="0" w:space="0" w:color="auto"/>
        </w:rPr>
        <w:t xml:space="preserve">, </w:t>
      </w:r>
      <w:r>
        <w:rPr>
          <w:rFonts w:ascii="Cambria" w:hAnsi="Cambria"/>
          <w:sz w:val="20"/>
          <w:szCs w:val="20"/>
          <w:bdr w:val="none" w:sz="0" w:space="0" w:color="auto"/>
        </w:rPr>
        <w:t>as a</w:t>
      </w:r>
      <w:r w:rsidR="00773B3C" w:rsidRPr="00A51861">
        <w:rPr>
          <w:rFonts w:ascii="Cambria" w:hAnsi="Cambria"/>
          <w:sz w:val="20"/>
          <w:szCs w:val="20"/>
          <w:bdr w:val="none" w:sz="0" w:space="0" w:color="auto"/>
        </w:rPr>
        <w:t xml:space="preserve"> </w:t>
      </w:r>
      <w:r w:rsidRPr="00A51861">
        <w:rPr>
          <w:rFonts w:ascii="Cambria" w:hAnsi="Cambria"/>
          <w:sz w:val="20"/>
          <w:szCs w:val="20"/>
          <w:bdr w:val="none" w:sz="0" w:space="0" w:color="auto"/>
        </w:rPr>
        <w:t>consequence</w:t>
      </w:r>
      <w:r w:rsidR="00E92985">
        <w:rPr>
          <w:rFonts w:ascii="Cambria" w:hAnsi="Cambria"/>
          <w:sz w:val="20"/>
          <w:szCs w:val="20"/>
          <w:bdr w:val="none" w:sz="0" w:space="0" w:color="auto"/>
        </w:rPr>
        <w:t xml:space="preserve"> of the </w:t>
      </w:r>
      <w:r w:rsidRPr="00A51861">
        <w:rPr>
          <w:rFonts w:ascii="Cambria" w:hAnsi="Cambria"/>
          <w:sz w:val="20"/>
          <w:szCs w:val="20"/>
          <w:bdr w:val="none" w:sz="0" w:space="0" w:color="auto"/>
        </w:rPr>
        <w:t>illegal</w:t>
      </w:r>
      <w:r w:rsidR="00E92985">
        <w:rPr>
          <w:rFonts w:ascii="Cambria" w:hAnsi="Cambria"/>
          <w:sz w:val="20"/>
          <w:szCs w:val="20"/>
          <w:bdr w:val="none" w:sz="0" w:space="0" w:color="auto"/>
        </w:rPr>
        <w:t xml:space="preserve"> </w:t>
      </w:r>
      <w:r w:rsidRPr="00A51861">
        <w:rPr>
          <w:rFonts w:ascii="Cambria" w:hAnsi="Cambria"/>
          <w:sz w:val="20"/>
          <w:szCs w:val="20"/>
          <w:bdr w:val="none" w:sz="0" w:space="0" w:color="auto"/>
        </w:rPr>
        <w:t xml:space="preserve">imposition </w:t>
      </w:r>
      <w:r w:rsidR="00E92985">
        <w:rPr>
          <w:rFonts w:ascii="Cambria" w:hAnsi="Cambria"/>
          <w:sz w:val="20"/>
          <w:szCs w:val="20"/>
          <w:bdr w:val="none" w:sz="0" w:space="0" w:color="auto"/>
        </w:rPr>
        <w:t xml:space="preserve">of </w:t>
      </w:r>
      <w:r w:rsidR="00B773DC">
        <w:rPr>
          <w:rFonts w:ascii="Cambria" w:hAnsi="Cambria"/>
          <w:sz w:val="20"/>
          <w:szCs w:val="20"/>
          <w:bdr w:val="none" w:sz="0" w:space="0" w:color="auto"/>
        </w:rPr>
        <w:t>those who held power</w:t>
      </w:r>
      <w:r w:rsidR="00E92985">
        <w:rPr>
          <w:rFonts w:ascii="Cambria" w:hAnsi="Cambria"/>
          <w:sz w:val="20"/>
          <w:szCs w:val="20"/>
          <w:bdr w:val="none" w:sz="0" w:space="0" w:color="auto"/>
        </w:rPr>
        <w:t xml:space="preserve"> and </w:t>
      </w:r>
      <w:r w:rsidR="00B773DC">
        <w:rPr>
          <w:rFonts w:ascii="Cambria" w:hAnsi="Cambria"/>
          <w:sz w:val="20"/>
          <w:szCs w:val="20"/>
          <w:bdr w:val="none" w:sz="0" w:space="0" w:color="auto"/>
        </w:rPr>
        <w:t>as</w:t>
      </w:r>
      <w:r w:rsidR="00773B3C" w:rsidRPr="00A51861">
        <w:rPr>
          <w:rFonts w:ascii="Cambria" w:hAnsi="Cambria"/>
          <w:sz w:val="20"/>
          <w:szCs w:val="20"/>
          <w:bdr w:val="none" w:sz="0" w:space="0" w:color="auto"/>
        </w:rPr>
        <w:t xml:space="preserve"> </w:t>
      </w:r>
      <w:r w:rsidR="00B773DC" w:rsidRPr="00A51861">
        <w:rPr>
          <w:rFonts w:ascii="Cambria" w:hAnsi="Cambria"/>
          <w:sz w:val="20"/>
          <w:szCs w:val="20"/>
          <w:bdr w:val="none" w:sz="0" w:space="0" w:color="auto"/>
        </w:rPr>
        <w:t>affectation</w:t>
      </w:r>
      <w:r w:rsidR="00E92985">
        <w:rPr>
          <w:rFonts w:ascii="Cambria" w:hAnsi="Cambria"/>
          <w:sz w:val="20"/>
          <w:szCs w:val="20"/>
          <w:bdr w:val="none" w:sz="0" w:space="0" w:color="auto"/>
        </w:rPr>
        <w:t xml:space="preserve"> of </w:t>
      </w:r>
      <w:r w:rsidR="00387B53">
        <w:rPr>
          <w:rFonts w:ascii="Cambria" w:hAnsi="Cambria"/>
          <w:sz w:val="20"/>
          <w:szCs w:val="20"/>
          <w:bdr w:val="none" w:sz="0" w:space="0" w:color="auto"/>
        </w:rPr>
        <w:t>liberty</w:t>
      </w:r>
      <w:r w:rsidR="00773B3C" w:rsidRPr="00A51861">
        <w:rPr>
          <w:rFonts w:ascii="Cambria" w:hAnsi="Cambria"/>
          <w:sz w:val="20"/>
          <w:szCs w:val="20"/>
          <w:bdr w:val="none" w:sz="0" w:space="0" w:color="auto"/>
        </w:rPr>
        <w:t>,</w:t>
      </w:r>
      <w:r w:rsidR="00D70A85">
        <w:rPr>
          <w:rFonts w:ascii="Cambria" w:hAnsi="Cambria"/>
          <w:sz w:val="20"/>
          <w:szCs w:val="20"/>
          <w:bdr w:val="none" w:sz="0" w:space="0" w:color="auto"/>
        </w:rPr>
        <w:t xml:space="preserve"> is</w:t>
      </w:r>
      <w:r w:rsidR="00B773DC">
        <w:rPr>
          <w:rFonts w:ascii="Cambria" w:hAnsi="Cambria"/>
          <w:sz w:val="20"/>
          <w:szCs w:val="20"/>
          <w:bdr w:val="none" w:sz="0" w:space="0" w:color="auto"/>
        </w:rPr>
        <w:t xml:space="preserve"> a factual </w:t>
      </w:r>
      <w:r w:rsidR="00E92985">
        <w:rPr>
          <w:rFonts w:ascii="Cambria" w:hAnsi="Cambria"/>
          <w:sz w:val="20"/>
          <w:szCs w:val="20"/>
          <w:bdr w:val="none" w:sz="0" w:space="0" w:color="auto"/>
        </w:rPr>
        <w:t>situation</w:t>
      </w:r>
      <w:r w:rsidR="00773B3C" w:rsidRPr="00A51861">
        <w:rPr>
          <w:rFonts w:ascii="Cambria" w:hAnsi="Cambria"/>
          <w:sz w:val="20"/>
          <w:szCs w:val="20"/>
          <w:bdr w:val="none" w:sz="0" w:space="0" w:color="auto"/>
        </w:rPr>
        <w:t xml:space="preserve"> </w:t>
      </w:r>
      <w:r w:rsidR="00B773DC">
        <w:rPr>
          <w:rFonts w:ascii="Cambria" w:hAnsi="Cambria"/>
          <w:sz w:val="20"/>
          <w:szCs w:val="20"/>
          <w:bdr w:val="none" w:sz="0" w:space="0" w:color="auto"/>
        </w:rPr>
        <w:t>reached by the</w:t>
      </w:r>
      <w:r w:rsidR="00773B3C" w:rsidRPr="00A51861">
        <w:rPr>
          <w:rFonts w:ascii="Cambria" w:hAnsi="Cambria"/>
          <w:sz w:val="20"/>
          <w:szCs w:val="20"/>
          <w:bdr w:val="none" w:sz="0" w:space="0" w:color="auto"/>
        </w:rPr>
        <w:t xml:space="preserve"> </w:t>
      </w:r>
      <w:r w:rsidR="00B47E06">
        <w:rPr>
          <w:rFonts w:ascii="Cambria" w:hAnsi="Cambria"/>
          <w:sz w:val="20"/>
          <w:szCs w:val="20"/>
          <w:bdr w:val="none" w:sz="0" w:space="0" w:color="auto"/>
        </w:rPr>
        <w:t>benefit</w:t>
      </w:r>
      <w:r w:rsidR="00773B3C" w:rsidRPr="00A51861">
        <w:rPr>
          <w:rFonts w:ascii="Cambria" w:hAnsi="Cambria"/>
          <w:sz w:val="20"/>
          <w:szCs w:val="20"/>
          <w:bdr w:val="none" w:sz="0" w:space="0" w:color="auto"/>
        </w:rPr>
        <w:t>s</w:t>
      </w:r>
      <w:r w:rsidR="00E92985">
        <w:rPr>
          <w:rFonts w:ascii="Cambria" w:hAnsi="Cambria"/>
          <w:sz w:val="20"/>
          <w:szCs w:val="20"/>
          <w:bdr w:val="none" w:sz="0" w:space="0" w:color="auto"/>
        </w:rPr>
        <w:t xml:space="preserve"> of </w:t>
      </w:r>
      <w:r w:rsidR="002835FC" w:rsidRPr="00A51861">
        <w:rPr>
          <w:rFonts w:ascii="Cambria" w:hAnsi="Cambria"/>
          <w:sz w:val="20"/>
          <w:szCs w:val="20"/>
          <w:bdr w:val="none" w:sz="0" w:space="0" w:color="auto"/>
        </w:rPr>
        <w:t xml:space="preserve">Law </w:t>
      </w:r>
      <w:r w:rsidR="00773B3C" w:rsidRPr="00A51861">
        <w:rPr>
          <w:rFonts w:ascii="Cambria" w:hAnsi="Cambria"/>
          <w:sz w:val="20"/>
          <w:szCs w:val="20"/>
          <w:bdr w:val="none" w:sz="0" w:space="0" w:color="auto"/>
        </w:rPr>
        <w:t>24.043</w:t>
      </w:r>
      <w:r w:rsidR="00773B3C" w:rsidRPr="00A51861">
        <w:rPr>
          <w:rFonts w:ascii="Cambria" w:hAnsi="Cambria"/>
          <w:sz w:val="20"/>
          <w:szCs w:val="20"/>
          <w:bdr w:val="none" w:sz="0" w:space="0" w:color="auto"/>
          <w:vertAlign w:val="superscript"/>
        </w:rPr>
        <w:footnoteReference w:id="241"/>
      </w:r>
      <w:r w:rsidR="00773B3C" w:rsidRPr="00A51861">
        <w:rPr>
          <w:rFonts w:ascii="Cambria" w:hAnsi="Cambria"/>
          <w:sz w:val="20"/>
          <w:szCs w:val="20"/>
          <w:bdr w:val="none" w:sz="0" w:space="0" w:color="auto"/>
        </w:rPr>
        <w:t xml:space="preserve">. </w:t>
      </w:r>
      <w:r w:rsidR="00F92BA8">
        <w:rPr>
          <w:rFonts w:ascii="Cambria" w:hAnsi="Cambria"/>
          <w:sz w:val="20"/>
          <w:szCs w:val="20"/>
          <w:bdr w:val="none" w:sz="0" w:space="0" w:color="auto"/>
        </w:rPr>
        <w:t xml:space="preserve">Likewise, </w:t>
      </w:r>
      <w:r w:rsidR="00B773DC">
        <w:rPr>
          <w:rFonts w:ascii="Cambria" w:hAnsi="Cambria"/>
          <w:sz w:val="20"/>
          <w:szCs w:val="20"/>
          <w:bdr w:val="none" w:sz="0" w:space="0" w:color="auto"/>
        </w:rPr>
        <w:t>in its milestone judgment of</w:t>
      </w:r>
      <w:r w:rsidR="00E92985">
        <w:rPr>
          <w:rFonts w:ascii="Cambria" w:hAnsi="Cambria"/>
          <w:sz w:val="20"/>
          <w:szCs w:val="20"/>
          <w:bdr w:val="none" w:sz="0" w:space="0" w:color="auto"/>
        </w:rPr>
        <w:t xml:space="preserve"> </w:t>
      </w:r>
      <w:r w:rsidR="00773B3C" w:rsidRPr="00A51861">
        <w:rPr>
          <w:rFonts w:ascii="Cambria" w:hAnsi="Cambria"/>
          <w:sz w:val="20"/>
          <w:szCs w:val="20"/>
          <w:bdr w:val="none" w:sz="0" w:space="0" w:color="auto"/>
        </w:rPr>
        <w:t>2004</w:t>
      </w:r>
      <w:r w:rsidR="004969F4">
        <w:rPr>
          <w:rFonts w:ascii="Cambria" w:hAnsi="Cambria"/>
          <w:sz w:val="20"/>
          <w:szCs w:val="20"/>
          <w:bdr w:val="none" w:sz="0" w:space="0" w:color="auto"/>
        </w:rPr>
        <w:t xml:space="preserve"> of the </w:t>
      </w:r>
      <w:r w:rsidR="00B773DC">
        <w:rPr>
          <w:rFonts w:ascii="Cambria" w:hAnsi="Cambria"/>
          <w:sz w:val="20"/>
          <w:szCs w:val="20"/>
          <w:bdr w:val="none" w:sz="0" w:space="0" w:color="auto"/>
        </w:rPr>
        <w:t xml:space="preserve">Yofre de Vaca </w:t>
      </w:r>
      <w:r w:rsidR="00773B3C" w:rsidRPr="00A51861">
        <w:rPr>
          <w:rFonts w:ascii="Cambria" w:hAnsi="Cambria"/>
          <w:sz w:val="20"/>
          <w:szCs w:val="20"/>
          <w:bdr w:val="none" w:sz="0" w:space="0" w:color="auto"/>
        </w:rPr>
        <w:t>Narvaja</w:t>
      </w:r>
      <w:r w:rsidR="00B773DC" w:rsidRPr="00B773DC">
        <w:rPr>
          <w:rFonts w:ascii="Cambria" w:hAnsi="Cambria"/>
          <w:sz w:val="20"/>
          <w:szCs w:val="20"/>
          <w:bdr w:val="none" w:sz="0" w:space="0" w:color="auto"/>
        </w:rPr>
        <w:t xml:space="preserve"> </w:t>
      </w:r>
      <w:r w:rsidR="00B773DC" w:rsidRPr="00A51861">
        <w:rPr>
          <w:rFonts w:ascii="Cambria" w:hAnsi="Cambria"/>
          <w:sz w:val="20"/>
          <w:szCs w:val="20"/>
          <w:bdr w:val="none" w:sz="0" w:space="0" w:color="auto"/>
        </w:rPr>
        <w:t>cas</w:t>
      </w:r>
      <w:r w:rsidR="00B773DC">
        <w:rPr>
          <w:rFonts w:ascii="Cambria" w:hAnsi="Cambria"/>
          <w:sz w:val="20"/>
          <w:szCs w:val="20"/>
          <w:bdr w:val="none" w:sz="0" w:space="0" w:color="auto"/>
        </w:rPr>
        <w:t>e</w:t>
      </w:r>
      <w:r w:rsidR="00773B3C" w:rsidRPr="00A51861">
        <w:rPr>
          <w:rFonts w:ascii="Cambria" w:hAnsi="Cambria"/>
          <w:sz w:val="20"/>
          <w:szCs w:val="20"/>
          <w:bdr w:val="none" w:sz="0" w:space="0" w:color="auto"/>
        </w:rPr>
        <w:t xml:space="preserve">, </w:t>
      </w:r>
      <w:r w:rsidR="00B773DC">
        <w:rPr>
          <w:rFonts w:ascii="Cambria" w:hAnsi="Cambria"/>
          <w:sz w:val="20"/>
          <w:szCs w:val="20"/>
          <w:bdr w:val="none" w:sz="0" w:space="0" w:color="auto"/>
        </w:rPr>
        <w:t>it established that</w:t>
      </w:r>
      <w:r w:rsidR="00773B3C" w:rsidRPr="00A51861">
        <w:rPr>
          <w:rFonts w:ascii="Cambria" w:hAnsi="Cambria"/>
          <w:sz w:val="20"/>
          <w:szCs w:val="20"/>
          <w:bdr w:val="none" w:sz="0" w:space="0" w:color="auto"/>
        </w:rPr>
        <w:t xml:space="preserve"> “</w:t>
      </w:r>
      <w:r w:rsidR="006E255A">
        <w:rPr>
          <w:rFonts w:ascii="Cambria" w:hAnsi="Cambria"/>
          <w:sz w:val="20"/>
          <w:szCs w:val="20"/>
          <w:bdr w:val="none" w:sz="0" w:space="0" w:color="auto"/>
        </w:rPr>
        <w:t>detention</w:t>
      </w:r>
      <w:r w:rsidR="00773B3C" w:rsidRPr="00A51861">
        <w:rPr>
          <w:rFonts w:ascii="Cambria" w:hAnsi="Cambria"/>
          <w:sz w:val="20"/>
          <w:szCs w:val="20"/>
          <w:bdr w:val="none" w:sz="0" w:space="0" w:color="auto"/>
        </w:rPr>
        <w:t>, no</w:t>
      </w:r>
      <w:r w:rsidR="0089366D">
        <w:rPr>
          <w:rFonts w:ascii="Cambria" w:hAnsi="Cambria"/>
          <w:sz w:val="20"/>
          <w:szCs w:val="20"/>
          <w:bdr w:val="none" w:sz="0" w:space="0" w:color="auto"/>
        </w:rPr>
        <w:t>t</w:t>
      </w:r>
      <w:r w:rsidR="00773B3C" w:rsidRPr="00A51861">
        <w:rPr>
          <w:rFonts w:ascii="Cambria" w:hAnsi="Cambria"/>
          <w:sz w:val="20"/>
          <w:szCs w:val="20"/>
          <w:bdr w:val="none" w:sz="0" w:space="0" w:color="auto"/>
        </w:rPr>
        <w:t xml:space="preserve"> </w:t>
      </w:r>
      <w:r w:rsidR="00B773DC">
        <w:rPr>
          <w:rFonts w:ascii="Cambria" w:hAnsi="Cambria"/>
          <w:sz w:val="20"/>
          <w:szCs w:val="20"/>
          <w:bdr w:val="none" w:sz="0" w:space="0" w:color="auto"/>
        </w:rPr>
        <w:t>only in that</w:t>
      </w:r>
      <w:r w:rsidR="00773B3C" w:rsidRPr="00A51861">
        <w:rPr>
          <w:rFonts w:ascii="Cambria" w:hAnsi="Cambria"/>
          <w:sz w:val="20"/>
          <w:szCs w:val="20"/>
          <w:bdr w:val="none" w:sz="0" w:space="0" w:color="auto"/>
        </w:rPr>
        <w:t xml:space="preserve"> </w:t>
      </w:r>
      <w:r w:rsidR="0029564F">
        <w:rPr>
          <w:rFonts w:ascii="Cambria" w:hAnsi="Cambria"/>
          <w:sz w:val="20"/>
          <w:szCs w:val="20"/>
          <w:bdr w:val="none" w:sz="0" w:space="0" w:color="auto"/>
        </w:rPr>
        <w:t>law</w:t>
      </w:r>
      <w:r w:rsidR="00773B3C" w:rsidRPr="00A51861">
        <w:rPr>
          <w:rFonts w:ascii="Cambria" w:hAnsi="Cambria"/>
          <w:sz w:val="20"/>
          <w:szCs w:val="20"/>
          <w:bdr w:val="none" w:sz="0" w:space="0" w:color="auto"/>
        </w:rPr>
        <w:t xml:space="preserve"> </w:t>
      </w:r>
      <w:r w:rsidR="00B773DC">
        <w:rPr>
          <w:rFonts w:ascii="Cambria" w:hAnsi="Cambria"/>
          <w:sz w:val="20"/>
          <w:szCs w:val="20"/>
          <w:bdr w:val="none" w:sz="0" w:space="0" w:color="auto"/>
        </w:rPr>
        <w:t>but also for common sense</w:t>
      </w:r>
      <w:r w:rsidR="00773B3C" w:rsidRPr="00A51861">
        <w:rPr>
          <w:rFonts w:ascii="Cambria" w:hAnsi="Cambria"/>
          <w:sz w:val="20"/>
          <w:szCs w:val="20"/>
          <w:bdr w:val="none" w:sz="0" w:space="0" w:color="auto"/>
        </w:rPr>
        <w:t xml:space="preserve">, </w:t>
      </w:r>
      <w:r w:rsidR="00B773DC">
        <w:rPr>
          <w:rFonts w:ascii="Cambria" w:hAnsi="Cambria"/>
          <w:sz w:val="20"/>
          <w:szCs w:val="20"/>
          <w:bdr w:val="none" w:sz="0" w:space="0" w:color="auto"/>
        </w:rPr>
        <w:t>means</w:t>
      </w:r>
      <w:r w:rsidR="00773B3C" w:rsidRPr="00A51861">
        <w:rPr>
          <w:rFonts w:ascii="Cambria" w:hAnsi="Cambria"/>
          <w:sz w:val="20"/>
          <w:szCs w:val="20"/>
          <w:bdr w:val="none" w:sz="0" w:space="0" w:color="auto"/>
        </w:rPr>
        <w:t xml:space="preserve"> </w:t>
      </w:r>
      <w:r w:rsidR="00B773DC">
        <w:rPr>
          <w:rFonts w:ascii="Cambria" w:hAnsi="Cambria"/>
          <w:sz w:val="20"/>
          <w:szCs w:val="20"/>
          <w:bdr w:val="none" w:sz="0" w:space="0" w:color="auto"/>
        </w:rPr>
        <w:t>different forms</w:t>
      </w:r>
      <w:r w:rsidR="00773B3C" w:rsidRPr="00A51861">
        <w:rPr>
          <w:rFonts w:ascii="Cambria" w:hAnsi="Cambria"/>
          <w:sz w:val="20"/>
          <w:szCs w:val="20"/>
          <w:bdr w:val="none" w:sz="0" w:space="0" w:color="auto"/>
        </w:rPr>
        <w:t xml:space="preserve"> </w:t>
      </w:r>
      <w:r w:rsidR="00E92985">
        <w:rPr>
          <w:rFonts w:ascii="Cambria" w:hAnsi="Cambria"/>
          <w:sz w:val="20"/>
          <w:szCs w:val="20"/>
          <w:bdr w:val="none" w:sz="0" w:space="0" w:color="auto"/>
        </w:rPr>
        <w:t xml:space="preserve">of </w:t>
      </w:r>
      <w:r w:rsidR="00B773DC">
        <w:rPr>
          <w:rFonts w:ascii="Cambria" w:hAnsi="Cambria"/>
          <w:sz w:val="20"/>
          <w:szCs w:val="20"/>
          <w:bdr w:val="none" w:sz="0" w:space="0" w:color="auto"/>
        </w:rPr>
        <w:t>misdemeanor</w:t>
      </w:r>
      <w:r w:rsidR="00773B3C" w:rsidRPr="00A51861">
        <w:rPr>
          <w:rFonts w:ascii="Cambria" w:hAnsi="Cambria"/>
          <w:sz w:val="20"/>
          <w:szCs w:val="20"/>
          <w:bdr w:val="none" w:sz="0" w:space="0" w:color="auto"/>
        </w:rPr>
        <w:t xml:space="preserve"> </w:t>
      </w:r>
      <w:r w:rsidR="00B773DC">
        <w:rPr>
          <w:rFonts w:ascii="Cambria" w:hAnsi="Cambria"/>
          <w:sz w:val="20"/>
          <w:szCs w:val="20"/>
          <w:bdr w:val="none" w:sz="0" w:space="0" w:color="auto"/>
        </w:rPr>
        <w:t>to</w:t>
      </w:r>
      <w:r w:rsidR="009A4F91">
        <w:rPr>
          <w:rFonts w:ascii="Cambria" w:hAnsi="Cambria"/>
          <w:sz w:val="20"/>
          <w:szCs w:val="20"/>
          <w:bdr w:val="none" w:sz="0" w:space="0" w:color="auto"/>
        </w:rPr>
        <w:t xml:space="preserve"> </w:t>
      </w:r>
      <w:r w:rsidR="00387B53">
        <w:rPr>
          <w:rFonts w:ascii="Cambria" w:hAnsi="Cambria"/>
          <w:sz w:val="20"/>
          <w:szCs w:val="20"/>
          <w:bdr w:val="none" w:sz="0" w:space="0" w:color="auto"/>
        </w:rPr>
        <w:t>liberty</w:t>
      </w:r>
      <w:r w:rsidR="00773B3C" w:rsidRPr="00A51861">
        <w:rPr>
          <w:rFonts w:ascii="Cambria" w:hAnsi="Cambria"/>
          <w:sz w:val="20"/>
          <w:szCs w:val="20"/>
          <w:bdr w:val="none" w:sz="0" w:space="0" w:color="auto"/>
        </w:rPr>
        <w:t xml:space="preserve"> </w:t>
      </w:r>
      <w:r w:rsidR="00B773DC">
        <w:rPr>
          <w:rFonts w:ascii="Cambria" w:hAnsi="Cambria"/>
          <w:sz w:val="20"/>
          <w:szCs w:val="20"/>
          <w:bdr w:val="none" w:sz="0" w:space="0" w:color="auto"/>
        </w:rPr>
        <w:t>of movement</w:t>
      </w:r>
      <w:r w:rsidR="00773B3C" w:rsidRPr="00A51861">
        <w:rPr>
          <w:rFonts w:ascii="Cambria" w:hAnsi="Cambria"/>
          <w:sz w:val="20"/>
          <w:szCs w:val="20"/>
          <w:bdr w:val="none" w:sz="0" w:space="0" w:color="auto"/>
        </w:rPr>
        <w:t xml:space="preserve">. (…) </w:t>
      </w:r>
      <w:r w:rsidR="00B773DC">
        <w:rPr>
          <w:rFonts w:ascii="Cambria" w:hAnsi="Cambria"/>
          <w:sz w:val="20"/>
          <w:szCs w:val="20"/>
          <w:bdr w:val="none" w:sz="0" w:space="0" w:color="auto"/>
        </w:rPr>
        <w:t>Because also</w:t>
      </w:r>
      <w:r w:rsidR="00773B3C" w:rsidRPr="00A51861">
        <w:rPr>
          <w:rFonts w:ascii="Cambria" w:hAnsi="Cambria"/>
          <w:sz w:val="20"/>
          <w:szCs w:val="20"/>
          <w:bdr w:val="none" w:sz="0" w:space="0" w:color="auto"/>
        </w:rPr>
        <w:t xml:space="preserve">, </w:t>
      </w:r>
      <w:r w:rsidR="00B773DC">
        <w:rPr>
          <w:rFonts w:ascii="Cambria" w:hAnsi="Cambria"/>
          <w:sz w:val="20"/>
          <w:szCs w:val="20"/>
          <w:bdr w:val="none" w:sz="0" w:space="0" w:color="auto"/>
        </w:rPr>
        <w:t>the</w:t>
      </w:r>
      <w:r w:rsidR="00773B3C" w:rsidRPr="00A51861">
        <w:rPr>
          <w:rFonts w:ascii="Cambria" w:hAnsi="Cambria"/>
          <w:sz w:val="20"/>
          <w:szCs w:val="20"/>
          <w:bdr w:val="none" w:sz="0" w:space="0" w:color="auto"/>
        </w:rPr>
        <w:t xml:space="preserve"> </w:t>
      </w:r>
      <w:r w:rsidR="00B773DC">
        <w:rPr>
          <w:rFonts w:ascii="Cambria" w:hAnsi="Cambria"/>
          <w:sz w:val="20"/>
          <w:szCs w:val="20"/>
          <w:bdr w:val="none" w:sz="0" w:space="0" w:color="auto"/>
        </w:rPr>
        <w:t>Court</w:t>
      </w:r>
      <w:r w:rsidR="00773B3C" w:rsidRPr="00A51861">
        <w:rPr>
          <w:rFonts w:ascii="Cambria" w:hAnsi="Cambria"/>
          <w:sz w:val="20"/>
          <w:szCs w:val="20"/>
          <w:bdr w:val="none" w:sz="0" w:space="0" w:color="auto"/>
        </w:rPr>
        <w:t xml:space="preserve"> ha</w:t>
      </w:r>
      <w:r w:rsidR="00B773DC">
        <w:rPr>
          <w:rFonts w:ascii="Cambria" w:hAnsi="Cambria"/>
          <w:sz w:val="20"/>
          <w:szCs w:val="20"/>
          <w:bdr w:val="none" w:sz="0" w:space="0" w:color="auto"/>
        </w:rPr>
        <w:t>s</w:t>
      </w:r>
      <w:r w:rsidR="00773B3C" w:rsidRPr="00A51861">
        <w:rPr>
          <w:rFonts w:ascii="Cambria" w:hAnsi="Cambria"/>
          <w:sz w:val="20"/>
          <w:szCs w:val="20"/>
          <w:bdr w:val="none" w:sz="0" w:space="0" w:color="auto"/>
        </w:rPr>
        <w:t xml:space="preserve"> </w:t>
      </w:r>
      <w:r w:rsidR="001D1D61">
        <w:rPr>
          <w:rFonts w:ascii="Cambria" w:hAnsi="Cambria"/>
          <w:sz w:val="20"/>
          <w:szCs w:val="20"/>
          <w:bdr w:val="none" w:sz="0" w:space="0" w:color="auto"/>
        </w:rPr>
        <w:t>considered</w:t>
      </w:r>
      <w:r w:rsidR="00775F21">
        <w:rPr>
          <w:rFonts w:ascii="Cambria" w:hAnsi="Cambria"/>
          <w:sz w:val="20"/>
          <w:szCs w:val="20"/>
          <w:bdr w:val="none" w:sz="0" w:space="0" w:color="auto"/>
        </w:rPr>
        <w:t xml:space="preserve"> that, </w:t>
      </w:r>
      <w:r w:rsidR="00B773DC">
        <w:rPr>
          <w:rFonts w:ascii="Cambria" w:hAnsi="Cambria"/>
          <w:sz w:val="20"/>
          <w:szCs w:val="20"/>
          <w:bdr w:val="none" w:sz="0" w:space="0" w:color="auto"/>
        </w:rPr>
        <w:t xml:space="preserve">in the </w:t>
      </w:r>
      <w:r w:rsidR="0029564F">
        <w:rPr>
          <w:rFonts w:ascii="Cambria" w:hAnsi="Cambria"/>
          <w:sz w:val="20"/>
          <w:szCs w:val="20"/>
          <w:bdr w:val="none" w:sz="0" w:space="0" w:color="auto"/>
        </w:rPr>
        <w:t>law</w:t>
      </w:r>
      <w:r w:rsidR="00B773DC">
        <w:rPr>
          <w:rFonts w:ascii="Cambria" w:hAnsi="Cambria"/>
          <w:sz w:val="20"/>
          <w:szCs w:val="20"/>
          <w:bdr w:val="none" w:sz="0" w:space="0" w:color="auto"/>
        </w:rPr>
        <w:t>’s approach</w:t>
      </w:r>
      <w:r w:rsidR="00773B3C" w:rsidRPr="00A51861">
        <w:rPr>
          <w:rFonts w:ascii="Cambria" w:hAnsi="Cambria"/>
          <w:sz w:val="20"/>
          <w:szCs w:val="20"/>
          <w:bdr w:val="none" w:sz="0" w:space="0" w:color="auto"/>
        </w:rPr>
        <w:t>,</w:t>
      </w:r>
      <w:r w:rsidR="009A4F91">
        <w:rPr>
          <w:rFonts w:ascii="Cambria" w:hAnsi="Cambria"/>
          <w:sz w:val="20"/>
          <w:szCs w:val="20"/>
          <w:bdr w:val="none" w:sz="0" w:space="0" w:color="auto"/>
        </w:rPr>
        <w:t xml:space="preserve"> </w:t>
      </w:r>
      <w:r w:rsidR="006E255A">
        <w:rPr>
          <w:rFonts w:ascii="Cambria" w:hAnsi="Cambria"/>
          <w:sz w:val="20"/>
          <w:szCs w:val="20"/>
          <w:bdr w:val="none" w:sz="0" w:space="0" w:color="auto"/>
        </w:rPr>
        <w:t>detention</w:t>
      </w:r>
      <w:r w:rsidR="00D70A85">
        <w:rPr>
          <w:rFonts w:ascii="Cambria" w:hAnsi="Cambria"/>
          <w:sz w:val="20"/>
          <w:szCs w:val="20"/>
          <w:bdr w:val="none" w:sz="0" w:space="0" w:color="auto"/>
        </w:rPr>
        <w:t xml:space="preserve"> is </w:t>
      </w:r>
      <w:r w:rsidR="00B773DC">
        <w:rPr>
          <w:rFonts w:ascii="Cambria" w:hAnsi="Cambria"/>
          <w:sz w:val="20"/>
          <w:szCs w:val="20"/>
          <w:bdr w:val="none" w:sz="0" w:space="0" w:color="auto"/>
        </w:rPr>
        <w:t>comparable to</w:t>
      </w:r>
      <w:r w:rsidR="00773B3C" w:rsidRPr="00A51861">
        <w:rPr>
          <w:rFonts w:ascii="Cambria" w:hAnsi="Cambria"/>
          <w:sz w:val="20"/>
          <w:szCs w:val="20"/>
          <w:bdr w:val="none" w:sz="0" w:space="0" w:color="auto"/>
        </w:rPr>
        <w:t xml:space="preserve"> ostracism, </w:t>
      </w:r>
      <w:r w:rsidR="00B773DC">
        <w:rPr>
          <w:rFonts w:ascii="Cambria" w:hAnsi="Cambria"/>
          <w:sz w:val="20"/>
          <w:szCs w:val="20"/>
          <w:bdr w:val="none" w:sz="0" w:space="0" w:color="auto"/>
        </w:rPr>
        <w:t>therefore there must be a record of the time spent in exile by</w:t>
      </w:r>
      <w:r w:rsidR="00773B3C" w:rsidRPr="00A51861">
        <w:rPr>
          <w:rFonts w:ascii="Cambria" w:hAnsi="Cambria"/>
          <w:sz w:val="20"/>
          <w:szCs w:val="20"/>
          <w:bdr w:val="none" w:sz="0" w:space="0" w:color="auto"/>
        </w:rPr>
        <w:t xml:space="preserve"> </w:t>
      </w:r>
      <w:r w:rsidR="00EC7A58">
        <w:rPr>
          <w:rFonts w:ascii="Cambria" w:hAnsi="Cambria"/>
          <w:sz w:val="20"/>
          <w:szCs w:val="20"/>
          <w:bdr w:val="none" w:sz="0" w:space="0" w:color="auto"/>
        </w:rPr>
        <w:t>persons</w:t>
      </w:r>
      <w:r w:rsidR="00773B3C" w:rsidRPr="00A51861">
        <w:rPr>
          <w:rFonts w:ascii="Cambria" w:hAnsi="Cambria"/>
          <w:sz w:val="20"/>
          <w:szCs w:val="20"/>
          <w:bdr w:val="none" w:sz="0" w:space="0" w:color="auto"/>
        </w:rPr>
        <w:t xml:space="preserve"> il</w:t>
      </w:r>
      <w:r w:rsidR="00B773DC">
        <w:rPr>
          <w:rFonts w:ascii="Cambria" w:hAnsi="Cambria"/>
          <w:sz w:val="20"/>
          <w:szCs w:val="20"/>
          <w:bdr w:val="none" w:sz="0" w:space="0" w:color="auto"/>
        </w:rPr>
        <w:t>l</w:t>
      </w:r>
      <w:r w:rsidR="00773B3C" w:rsidRPr="00A51861">
        <w:rPr>
          <w:rFonts w:ascii="Cambria" w:hAnsi="Cambria"/>
          <w:sz w:val="20"/>
          <w:szCs w:val="20"/>
          <w:bdr w:val="none" w:sz="0" w:space="0" w:color="auto"/>
        </w:rPr>
        <w:t>egal</w:t>
      </w:r>
      <w:r w:rsidR="0029564F">
        <w:rPr>
          <w:rFonts w:ascii="Cambria" w:hAnsi="Cambria"/>
          <w:sz w:val="20"/>
          <w:szCs w:val="20"/>
          <w:bdr w:val="none" w:sz="0" w:space="0" w:color="auto"/>
        </w:rPr>
        <w:t xml:space="preserve">ly </w:t>
      </w:r>
      <w:r w:rsidR="00B773DC">
        <w:rPr>
          <w:rFonts w:ascii="Cambria" w:hAnsi="Cambria"/>
          <w:sz w:val="20"/>
          <w:szCs w:val="20"/>
          <w:bdr w:val="none" w:sz="0" w:space="0" w:color="auto"/>
        </w:rPr>
        <w:t xml:space="preserve">persecuted </w:t>
      </w:r>
      <w:r w:rsidR="00773B3C" w:rsidRPr="00A51861">
        <w:rPr>
          <w:rFonts w:ascii="Cambria" w:hAnsi="Cambria"/>
          <w:sz w:val="20"/>
          <w:szCs w:val="20"/>
          <w:bdr w:val="none" w:sz="0" w:space="0" w:color="auto"/>
        </w:rPr>
        <w:t>(…)”</w:t>
      </w:r>
      <w:r w:rsidR="00773B3C" w:rsidRPr="00A51861">
        <w:rPr>
          <w:rFonts w:ascii="Cambria" w:hAnsi="Cambria"/>
          <w:sz w:val="20"/>
          <w:szCs w:val="20"/>
          <w:bdr w:val="none" w:sz="0" w:space="0" w:color="auto"/>
          <w:vertAlign w:val="superscript"/>
        </w:rPr>
        <w:footnoteReference w:id="242"/>
      </w:r>
      <w:r w:rsidR="00773B3C" w:rsidRPr="00A51861">
        <w:rPr>
          <w:rFonts w:ascii="Cambria" w:hAnsi="Cambria"/>
          <w:sz w:val="20"/>
          <w:szCs w:val="20"/>
          <w:bdr w:val="none" w:sz="0" w:space="0" w:color="auto"/>
        </w:rPr>
        <w:t xml:space="preserve">. </w:t>
      </w:r>
      <w:r w:rsidR="002B762A">
        <w:rPr>
          <w:rFonts w:ascii="Cambria" w:hAnsi="Cambria"/>
          <w:sz w:val="20"/>
          <w:szCs w:val="20"/>
          <w:bdr w:val="none" w:sz="0" w:space="0" w:color="auto"/>
        </w:rPr>
        <w:t>In this sense</w:t>
      </w:r>
      <w:r w:rsidR="00773B3C" w:rsidRPr="00A51861">
        <w:rPr>
          <w:rFonts w:ascii="Cambria" w:hAnsi="Cambria"/>
          <w:sz w:val="20"/>
          <w:szCs w:val="20"/>
          <w:bdr w:val="none" w:sz="0" w:space="0" w:color="auto"/>
        </w:rPr>
        <w:t xml:space="preserve">, </w:t>
      </w:r>
      <w:r w:rsidR="00B773DC">
        <w:rPr>
          <w:rFonts w:ascii="Cambria" w:hAnsi="Cambria"/>
          <w:sz w:val="20"/>
          <w:szCs w:val="20"/>
          <w:bdr w:val="none" w:sz="0" w:space="0" w:color="auto"/>
        </w:rPr>
        <w:t>it established</w:t>
      </w:r>
      <w:r w:rsidR="00773B3C" w:rsidRPr="00A51861">
        <w:rPr>
          <w:rFonts w:ascii="Cambria" w:hAnsi="Cambria"/>
          <w:sz w:val="20"/>
          <w:szCs w:val="20"/>
          <w:bdr w:val="none" w:sz="0" w:space="0" w:color="auto"/>
        </w:rPr>
        <w:t xml:space="preserve">, </w:t>
      </w:r>
      <w:r w:rsidR="00B773DC">
        <w:rPr>
          <w:rFonts w:ascii="Cambria" w:hAnsi="Cambria"/>
          <w:sz w:val="20"/>
          <w:szCs w:val="20"/>
          <w:bdr w:val="none" w:sz="0" w:space="0" w:color="auto"/>
        </w:rPr>
        <w:t>as it had done on previous</w:t>
      </w:r>
      <w:r w:rsidR="00773B3C" w:rsidRPr="00A51861">
        <w:rPr>
          <w:rFonts w:ascii="Cambria" w:hAnsi="Cambria"/>
          <w:sz w:val="20"/>
          <w:szCs w:val="20"/>
          <w:bdr w:val="none" w:sz="0" w:space="0" w:color="auto"/>
        </w:rPr>
        <w:t xml:space="preserve"> </w:t>
      </w:r>
      <w:r w:rsidR="00E92985">
        <w:rPr>
          <w:rFonts w:ascii="Cambria" w:hAnsi="Cambria"/>
          <w:sz w:val="20"/>
          <w:szCs w:val="20"/>
          <w:bdr w:val="none" w:sz="0" w:space="0" w:color="auto"/>
        </w:rPr>
        <w:t>decisions</w:t>
      </w:r>
      <w:r w:rsidR="00773B3C" w:rsidRPr="00A51861">
        <w:rPr>
          <w:rFonts w:ascii="Cambria" w:hAnsi="Cambria"/>
          <w:sz w:val="20"/>
          <w:szCs w:val="20"/>
          <w:bdr w:val="none" w:sz="0" w:space="0" w:color="auto"/>
        </w:rPr>
        <w:t>,</w:t>
      </w:r>
      <w:r w:rsidR="00E92985">
        <w:rPr>
          <w:rFonts w:ascii="Cambria" w:hAnsi="Cambria"/>
          <w:sz w:val="20"/>
          <w:szCs w:val="20"/>
          <w:bdr w:val="none" w:sz="0" w:space="0" w:color="auto"/>
        </w:rPr>
        <w:t xml:space="preserve"> that the </w:t>
      </w:r>
      <w:r w:rsidR="00B773DC">
        <w:rPr>
          <w:rFonts w:ascii="Cambria" w:hAnsi="Cambria"/>
          <w:sz w:val="20"/>
          <w:szCs w:val="20"/>
          <w:bdr w:val="none" w:sz="0" w:space="0" w:color="auto"/>
        </w:rPr>
        <w:t>aim</w:t>
      </w:r>
      <w:r w:rsidR="00FA2E7B">
        <w:rPr>
          <w:rFonts w:ascii="Cambria" w:hAnsi="Cambria"/>
          <w:sz w:val="20"/>
          <w:szCs w:val="20"/>
          <w:bdr w:val="none" w:sz="0" w:space="0" w:color="auto"/>
        </w:rPr>
        <w:t xml:space="preserve"> </w:t>
      </w:r>
      <w:r w:rsidR="00E92985">
        <w:rPr>
          <w:rFonts w:ascii="Cambria" w:hAnsi="Cambria"/>
          <w:sz w:val="20"/>
          <w:szCs w:val="20"/>
          <w:bdr w:val="none" w:sz="0" w:space="0" w:color="auto"/>
        </w:rPr>
        <w:t xml:space="preserve">of </w:t>
      </w:r>
      <w:r w:rsidR="00B773DC">
        <w:rPr>
          <w:rFonts w:ascii="Cambria" w:hAnsi="Cambria"/>
          <w:sz w:val="20"/>
          <w:szCs w:val="20"/>
          <w:bdr w:val="none" w:sz="0" w:space="0" w:color="auto"/>
        </w:rPr>
        <w:t>the l</w:t>
      </w:r>
      <w:r w:rsidR="002835FC" w:rsidRPr="00A51861">
        <w:rPr>
          <w:rFonts w:ascii="Cambria" w:hAnsi="Cambria"/>
          <w:sz w:val="20"/>
          <w:szCs w:val="20"/>
          <w:bdr w:val="none" w:sz="0" w:space="0" w:color="auto"/>
        </w:rPr>
        <w:t xml:space="preserve">aw </w:t>
      </w:r>
      <w:r w:rsidR="00B773DC">
        <w:rPr>
          <w:rFonts w:ascii="Cambria" w:hAnsi="Cambria"/>
          <w:sz w:val="20"/>
          <w:szCs w:val="20"/>
          <w:bdr w:val="none" w:sz="0" w:space="0" w:color="auto"/>
        </w:rPr>
        <w:t xml:space="preserve">was to grant an </w:t>
      </w:r>
      <w:r w:rsidR="00B773DC" w:rsidRPr="00A51861">
        <w:rPr>
          <w:rFonts w:ascii="Cambria" w:hAnsi="Cambria"/>
          <w:sz w:val="20"/>
          <w:szCs w:val="20"/>
          <w:bdr w:val="none" w:sz="0" w:space="0" w:color="auto"/>
        </w:rPr>
        <w:t>economic compensation</w:t>
      </w:r>
      <w:r w:rsidR="00773B3C" w:rsidRPr="00A51861">
        <w:rPr>
          <w:rFonts w:ascii="Cambria" w:hAnsi="Cambria"/>
          <w:sz w:val="20"/>
          <w:szCs w:val="20"/>
          <w:bdr w:val="none" w:sz="0" w:space="0" w:color="auto"/>
        </w:rPr>
        <w:t xml:space="preserve"> </w:t>
      </w:r>
      <w:r w:rsidR="00B773DC">
        <w:rPr>
          <w:rFonts w:ascii="Cambria" w:hAnsi="Cambria"/>
          <w:sz w:val="20"/>
          <w:szCs w:val="20"/>
          <w:bdr w:val="none" w:sz="0" w:space="0" w:color="auto"/>
        </w:rPr>
        <w:t>to</w:t>
      </w:r>
      <w:r w:rsidR="00773B3C" w:rsidRPr="00A51861">
        <w:rPr>
          <w:rFonts w:ascii="Cambria" w:hAnsi="Cambria"/>
          <w:sz w:val="20"/>
          <w:szCs w:val="20"/>
          <w:bdr w:val="none" w:sz="0" w:space="0" w:color="auto"/>
        </w:rPr>
        <w:t xml:space="preserve"> </w:t>
      </w:r>
      <w:r w:rsidR="00EC7A58">
        <w:rPr>
          <w:rFonts w:ascii="Cambria" w:hAnsi="Cambria"/>
          <w:sz w:val="20"/>
          <w:szCs w:val="20"/>
          <w:bdr w:val="none" w:sz="0" w:space="0" w:color="auto"/>
        </w:rPr>
        <w:t>persons</w:t>
      </w:r>
      <w:r w:rsidR="00773B3C" w:rsidRPr="00A51861">
        <w:rPr>
          <w:rFonts w:ascii="Cambria" w:hAnsi="Cambria"/>
          <w:sz w:val="20"/>
          <w:szCs w:val="20"/>
          <w:bdr w:val="none" w:sz="0" w:space="0" w:color="auto"/>
        </w:rPr>
        <w:t xml:space="preserve"> </w:t>
      </w:r>
      <w:r w:rsidR="00B773DC">
        <w:rPr>
          <w:rFonts w:ascii="Cambria" w:hAnsi="Cambria"/>
          <w:sz w:val="20"/>
          <w:szCs w:val="20"/>
          <w:bdr w:val="none" w:sz="0" w:space="0" w:color="auto"/>
        </w:rPr>
        <w:t>deprived of their</w:t>
      </w:r>
      <w:r w:rsidR="00773B3C" w:rsidRPr="00A51861">
        <w:rPr>
          <w:rFonts w:ascii="Cambria" w:hAnsi="Cambria"/>
          <w:sz w:val="20"/>
          <w:szCs w:val="20"/>
          <w:bdr w:val="none" w:sz="0" w:space="0" w:color="auto"/>
        </w:rPr>
        <w:t xml:space="preserve"> </w:t>
      </w:r>
      <w:r w:rsidR="00B773DC" w:rsidRPr="00A51861">
        <w:rPr>
          <w:rFonts w:ascii="Cambria" w:hAnsi="Cambria"/>
          <w:sz w:val="20"/>
          <w:szCs w:val="20"/>
          <w:bdr w:val="none" w:sz="0" w:space="0" w:color="auto"/>
        </w:rPr>
        <w:t>constitutional</w:t>
      </w:r>
      <w:r w:rsidR="00E92985">
        <w:rPr>
          <w:rFonts w:ascii="Cambria" w:hAnsi="Cambria"/>
          <w:sz w:val="20"/>
          <w:szCs w:val="20"/>
          <w:bdr w:val="none" w:sz="0" w:space="0" w:color="auto"/>
        </w:rPr>
        <w:t xml:space="preserve"> </w:t>
      </w:r>
      <w:r w:rsidR="00B773DC">
        <w:rPr>
          <w:rFonts w:ascii="Cambria" w:hAnsi="Cambria"/>
          <w:sz w:val="20"/>
          <w:szCs w:val="20"/>
          <w:bdr w:val="none" w:sz="0" w:space="0" w:color="auto"/>
        </w:rPr>
        <w:t>right to</w:t>
      </w:r>
      <w:r w:rsidR="0045141A">
        <w:rPr>
          <w:rFonts w:ascii="Cambria" w:hAnsi="Cambria"/>
          <w:sz w:val="20"/>
          <w:szCs w:val="20"/>
          <w:bdr w:val="none" w:sz="0" w:space="0" w:color="auto"/>
        </w:rPr>
        <w:t xml:space="preserve"> liberty</w:t>
      </w:r>
      <w:r w:rsidR="00773B3C" w:rsidRPr="00A51861">
        <w:rPr>
          <w:rFonts w:ascii="Cambria" w:hAnsi="Cambria"/>
          <w:sz w:val="20"/>
          <w:szCs w:val="20"/>
          <w:bdr w:val="none" w:sz="0" w:space="0" w:color="auto"/>
        </w:rPr>
        <w:t xml:space="preserve">, </w:t>
      </w:r>
      <w:r w:rsidR="00B773DC">
        <w:rPr>
          <w:rFonts w:ascii="Cambria" w:hAnsi="Cambria"/>
          <w:sz w:val="20"/>
          <w:szCs w:val="20"/>
          <w:bdr w:val="none" w:sz="0" w:space="0" w:color="auto"/>
        </w:rPr>
        <w:t>regardless of the</w:t>
      </w:r>
      <w:r w:rsidR="009A4F91">
        <w:rPr>
          <w:rFonts w:ascii="Cambria" w:hAnsi="Cambria"/>
          <w:sz w:val="20"/>
          <w:szCs w:val="20"/>
          <w:bdr w:val="none" w:sz="0" w:space="0" w:color="auto"/>
        </w:rPr>
        <w:t xml:space="preserve"> </w:t>
      </w:r>
      <w:r w:rsidR="008338EE" w:rsidRPr="00A51861">
        <w:rPr>
          <w:rFonts w:ascii="Cambria" w:hAnsi="Cambria"/>
          <w:sz w:val="20"/>
          <w:szCs w:val="20"/>
          <w:bdr w:val="none" w:sz="0" w:space="0" w:color="auto"/>
        </w:rPr>
        <w:t xml:space="preserve">form </w:t>
      </w:r>
      <w:r w:rsidR="00B773DC">
        <w:rPr>
          <w:rFonts w:ascii="Cambria" w:hAnsi="Cambria"/>
          <w:sz w:val="20"/>
          <w:szCs w:val="20"/>
          <w:bdr w:val="none" w:sz="0" w:space="0" w:color="auto"/>
        </w:rPr>
        <w:t>which produced the</w:t>
      </w:r>
      <w:r w:rsidR="00E92985">
        <w:rPr>
          <w:rFonts w:ascii="Cambria" w:hAnsi="Cambria"/>
          <w:sz w:val="20"/>
          <w:szCs w:val="20"/>
          <w:bdr w:val="none" w:sz="0" w:space="0" w:color="auto"/>
        </w:rPr>
        <w:t xml:space="preserve"> </w:t>
      </w:r>
      <w:r w:rsidR="000A3625">
        <w:rPr>
          <w:rFonts w:ascii="Cambria" w:hAnsi="Cambria"/>
          <w:sz w:val="20"/>
          <w:szCs w:val="20"/>
          <w:bdr w:val="none" w:sz="0" w:space="0" w:color="auto"/>
        </w:rPr>
        <w:t>authority</w:t>
      </w:r>
      <w:r w:rsidR="00B773DC">
        <w:rPr>
          <w:rFonts w:ascii="Cambria" w:hAnsi="Cambria"/>
          <w:sz w:val="20"/>
          <w:szCs w:val="20"/>
          <w:bdr w:val="none" w:sz="0" w:space="0" w:color="auto"/>
        </w:rPr>
        <w:t>’s order</w:t>
      </w:r>
      <w:r w:rsidR="00773B3C" w:rsidRPr="00A51861">
        <w:rPr>
          <w:rFonts w:ascii="Cambria" w:hAnsi="Cambria"/>
          <w:sz w:val="20"/>
          <w:szCs w:val="20"/>
          <w:bdr w:val="none" w:sz="0" w:space="0" w:color="auto"/>
        </w:rPr>
        <w:t xml:space="preserve"> </w:t>
      </w:r>
      <w:r w:rsidR="00B773DC">
        <w:rPr>
          <w:rFonts w:ascii="Cambria" w:hAnsi="Cambria"/>
          <w:sz w:val="20"/>
          <w:szCs w:val="20"/>
          <w:bdr w:val="none" w:sz="0" w:space="0" w:color="auto"/>
        </w:rPr>
        <w:t>which led to said deprivation</w:t>
      </w:r>
      <w:r w:rsidR="00773B3C" w:rsidRPr="00A51861">
        <w:rPr>
          <w:rFonts w:ascii="Cambria" w:hAnsi="Cambria"/>
          <w:sz w:val="20"/>
          <w:szCs w:val="20"/>
          <w:bdr w:val="none" w:sz="0" w:space="0" w:color="auto"/>
        </w:rPr>
        <w:t xml:space="preserve">, </w:t>
      </w:r>
      <w:r w:rsidR="00B773DC">
        <w:rPr>
          <w:rFonts w:ascii="Cambria" w:hAnsi="Cambria"/>
          <w:sz w:val="20"/>
          <w:szCs w:val="20"/>
          <w:bdr w:val="none" w:sz="0" w:space="0" w:color="auto"/>
        </w:rPr>
        <w:t>but the</w:t>
      </w:r>
      <w:r w:rsidR="00773B3C" w:rsidRPr="00A51861">
        <w:rPr>
          <w:rFonts w:ascii="Cambria" w:hAnsi="Cambria"/>
          <w:sz w:val="20"/>
          <w:szCs w:val="20"/>
          <w:bdr w:val="none" w:sz="0" w:space="0" w:color="auto"/>
        </w:rPr>
        <w:t xml:space="preserve"> </w:t>
      </w:r>
      <w:r w:rsidR="00E64C43">
        <w:rPr>
          <w:rFonts w:ascii="Cambria" w:hAnsi="Cambria"/>
          <w:sz w:val="20"/>
          <w:szCs w:val="20"/>
          <w:bdr w:val="none" w:sz="0" w:space="0" w:color="auto"/>
        </w:rPr>
        <w:t>effective</w:t>
      </w:r>
      <w:r w:rsidR="00E92985">
        <w:rPr>
          <w:rFonts w:ascii="Cambria" w:hAnsi="Cambria"/>
          <w:sz w:val="20"/>
          <w:szCs w:val="20"/>
          <w:bdr w:val="none" w:sz="0" w:space="0" w:color="auto"/>
        </w:rPr>
        <w:t xml:space="preserve"> </w:t>
      </w:r>
      <w:r w:rsidR="00FF1CAD">
        <w:rPr>
          <w:rFonts w:ascii="Cambria" w:hAnsi="Cambria"/>
          <w:sz w:val="20"/>
          <w:szCs w:val="20"/>
          <w:bdr w:val="none" w:sz="0" w:space="0" w:color="auto"/>
        </w:rPr>
        <w:t xml:space="preserve">impairment </w:t>
      </w:r>
      <w:r w:rsidR="00E92985">
        <w:rPr>
          <w:rFonts w:ascii="Cambria" w:hAnsi="Cambria"/>
          <w:sz w:val="20"/>
          <w:szCs w:val="20"/>
          <w:bdr w:val="none" w:sz="0" w:space="0" w:color="auto"/>
        </w:rPr>
        <w:t xml:space="preserve">of </w:t>
      </w:r>
      <w:r w:rsidR="00387B53">
        <w:rPr>
          <w:rFonts w:ascii="Cambria" w:hAnsi="Cambria"/>
          <w:sz w:val="20"/>
          <w:szCs w:val="20"/>
          <w:bdr w:val="none" w:sz="0" w:space="0" w:color="auto"/>
        </w:rPr>
        <w:t>liberty</w:t>
      </w:r>
      <w:r w:rsidR="00773B3C" w:rsidRPr="00A51861">
        <w:rPr>
          <w:rFonts w:ascii="Cambria" w:hAnsi="Cambria"/>
          <w:sz w:val="20"/>
          <w:szCs w:val="20"/>
          <w:bdr w:val="none" w:sz="0" w:space="0" w:color="auto"/>
          <w:vertAlign w:val="superscript"/>
        </w:rPr>
        <w:footnoteReference w:id="243"/>
      </w:r>
      <w:r w:rsidR="00773B3C" w:rsidRPr="00A51861">
        <w:rPr>
          <w:rFonts w:ascii="Cambria" w:hAnsi="Cambria"/>
          <w:sz w:val="20"/>
          <w:szCs w:val="20"/>
          <w:bdr w:val="none" w:sz="0" w:space="0" w:color="auto"/>
        </w:rPr>
        <w:t>.</w:t>
      </w:r>
      <w:r w:rsidR="003C5913" w:rsidRPr="00A51861">
        <w:rPr>
          <w:rFonts w:ascii="Cambria" w:hAnsi="Cambria"/>
          <w:sz w:val="20"/>
          <w:szCs w:val="20"/>
          <w:bdr w:val="none" w:sz="0" w:space="0" w:color="auto"/>
        </w:rPr>
        <w:t xml:space="preserve"> </w:t>
      </w:r>
    </w:p>
    <w:p w14:paraId="2A3C0C26" w14:textId="77777777" w:rsidR="0038318E" w:rsidRPr="00A51861" w:rsidRDefault="0038318E" w:rsidP="008E4D36">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Cambria" w:hAnsi="Cambria"/>
          <w:sz w:val="20"/>
          <w:szCs w:val="20"/>
          <w:bdr w:val="none" w:sz="0" w:space="0" w:color="auto"/>
        </w:rPr>
      </w:pPr>
    </w:p>
    <w:p w14:paraId="5CAAC7DF" w14:textId="06F42654" w:rsidR="0038318E" w:rsidRPr="00A51861" w:rsidRDefault="008158C2"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bdr w:val="none" w:sz="0" w:space="0" w:color="auto"/>
        </w:rPr>
      </w:pPr>
      <w:r>
        <w:rPr>
          <w:rFonts w:ascii="Cambria" w:hAnsi="Cambria"/>
          <w:sz w:val="20"/>
          <w:szCs w:val="20"/>
          <w:bdr w:val="none" w:sz="0" w:space="0" w:color="auto"/>
        </w:rPr>
        <w:t xml:space="preserve">Concerning </w:t>
      </w:r>
      <w:r w:rsidR="009A4F91">
        <w:rPr>
          <w:rFonts w:ascii="Cambria" w:hAnsi="Cambria"/>
          <w:sz w:val="20"/>
          <w:szCs w:val="20"/>
          <w:bdr w:val="none" w:sz="0" w:space="0" w:color="auto"/>
        </w:rPr>
        <w:t xml:space="preserve">the </w:t>
      </w:r>
      <w:r w:rsidR="0059627A">
        <w:rPr>
          <w:rFonts w:ascii="Cambria" w:hAnsi="Cambria"/>
          <w:sz w:val="20"/>
          <w:szCs w:val="20"/>
          <w:bdr w:val="none" w:sz="0" w:space="0" w:color="auto"/>
        </w:rPr>
        <w:t>application</w:t>
      </w:r>
      <w:r w:rsidR="004969F4">
        <w:rPr>
          <w:rFonts w:ascii="Cambria" w:hAnsi="Cambria"/>
          <w:sz w:val="20"/>
          <w:szCs w:val="20"/>
          <w:bdr w:val="none" w:sz="0" w:space="0" w:color="auto"/>
        </w:rPr>
        <w:t xml:space="preserve"> of the </w:t>
      </w:r>
      <w:r w:rsidRPr="00A51861">
        <w:rPr>
          <w:rFonts w:ascii="Cambria" w:hAnsi="Cambria"/>
          <w:sz w:val="20"/>
          <w:szCs w:val="20"/>
          <w:bdr w:val="none" w:sz="0" w:space="0" w:color="auto"/>
        </w:rPr>
        <w:t>referred</w:t>
      </w:r>
      <w:r w:rsidR="0038318E" w:rsidRPr="00A51861">
        <w:rPr>
          <w:rFonts w:ascii="Cambria" w:hAnsi="Cambria"/>
          <w:sz w:val="20"/>
          <w:szCs w:val="20"/>
          <w:bdr w:val="none" w:sz="0" w:space="0" w:color="auto"/>
        </w:rPr>
        <w:t xml:space="preserve"> </w:t>
      </w:r>
      <w:r w:rsidRPr="00A51861">
        <w:rPr>
          <w:rFonts w:ascii="Cambria" w:hAnsi="Cambria"/>
          <w:sz w:val="20"/>
          <w:szCs w:val="20"/>
          <w:bdr w:val="none" w:sz="0" w:space="0" w:color="auto"/>
        </w:rPr>
        <w:t>precedent</w:t>
      </w:r>
      <w:r w:rsidR="0038318E" w:rsidRPr="00A51861">
        <w:rPr>
          <w:rFonts w:ascii="Cambria" w:hAnsi="Cambria"/>
          <w:sz w:val="20"/>
          <w:szCs w:val="20"/>
          <w:bdr w:val="none" w:sz="0" w:space="0" w:color="auto"/>
        </w:rPr>
        <w:t xml:space="preserve">, </w:t>
      </w:r>
      <w:r>
        <w:rPr>
          <w:rFonts w:ascii="Cambria" w:hAnsi="Cambria"/>
          <w:sz w:val="20"/>
          <w:szCs w:val="20"/>
          <w:bdr w:val="none" w:sz="0" w:space="0" w:color="auto"/>
        </w:rPr>
        <w:t xml:space="preserve">it must be noted that </w:t>
      </w:r>
      <w:r w:rsidR="0029564F">
        <w:rPr>
          <w:rFonts w:ascii="Cambria" w:hAnsi="Cambria"/>
          <w:sz w:val="20"/>
          <w:szCs w:val="20"/>
          <w:bdr w:val="none" w:sz="0" w:space="0" w:color="auto"/>
        </w:rPr>
        <w:t>Resolution</w:t>
      </w:r>
      <w:r w:rsidR="0038318E" w:rsidRPr="00A51861">
        <w:rPr>
          <w:rFonts w:ascii="Cambria" w:hAnsi="Cambria"/>
          <w:sz w:val="20"/>
          <w:szCs w:val="20"/>
          <w:bdr w:val="none" w:sz="0" w:space="0" w:color="auto"/>
        </w:rPr>
        <w:t xml:space="preserve"> </w:t>
      </w:r>
      <w:r w:rsidR="0038318E" w:rsidRPr="00A51861">
        <w:rPr>
          <w:rFonts w:ascii="Cambria" w:hAnsi="Cambria"/>
          <w:bCs/>
          <w:sz w:val="20"/>
          <w:szCs w:val="20"/>
          <w:bdr w:val="none" w:sz="0" w:space="0" w:color="auto"/>
        </w:rPr>
        <w:t xml:space="preserve">MJyDH N° 670 </w:t>
      </w:r>
      <w:r w:rsidR="00E92985">
        <w:rPr>
          <w:rFonts w:ascii="Cambria" w:hAnsi="Cambria"/>
          <w:bCs/>
          <w:sz w:val="20"/>
          <w:szCs w:val="20"/>
          <w:bdr w:val="none" w:sz="0" w:space="0" w:color="auto"/>
        </w:rPr>
        <w:t xml:space="preserve">of August 19, </w:t>
      </w:r>
      <w:r w:rsidR="0038318E" w:rsidRPr="00A51861">
        <w:rPr>
          <w:rFonts w:ascii="Cambria" w:hAnsi="Cambria"/>
          <w:bCs/>
          <w:sz w:val="20"/>
          <w:szCs w:val="20"/>
          <w:bdr w:val="none" w:sz="0" w:space="0" w:color="auto"/>
        </w:rPr>
        <w:t xml:space="preserve">2016 </w:t>
      </w:r>
      <w:r w:rsidR="00404714">
        <w:rPr>
          <w:rFonts w:ascii="Cambria" w:hAnsi="Cambria"/>
          <w:bCs/>
          <w:sz w:val="20"/>
          <w:szCs w:val="20"/>
          <w:bdr w:val="none" w:sz="0" w:space="0" w:color="auto"/>
        </w:rPr>
        <w:t xml:space="preserve">provided by </w:t>
      </w:r>
      <w:r w:rsidR="00F92BA8">
        <w:rPr>
          <w:rFonts w:ascii="Cambria" w:hAnsi="Cambria"/>
          <w:bCs/>
          <w:sz w:val="20"/>
          <w:szCs w:val="20"/>
          <w:bdr w:val="none" w:sz="0" w:space="0" w:color="auto"/>
        </w:rPr>
        <w:t>the State</w:t>
      </w:r>
      <w:r w:rsidR="0038318E" w:rsidRPr="00A51861">
        <w:rPr>
          <w:rStyle w:val="FootnoteReference"/>
          <w:rFonts w:ascii="Cambria" w:hAnsi="Cambria"/>
          <w:bCs/>
          <w:sz w:val="20"/>
          <w:szCs w:val="20"/>
          <w:bdr w:val="none" w:sz="0" w:space="0" w:color="auto"/>
        </w:rPr>
        <w:footnoteReference w:id="244"/>
      </w:r>
      <w:r w:rsidR="0038318E" w:rsidRPr="00A51861">
        <w:rPr>
          <w:rFonts w:ascii="Cambria" w:hAnsi="Cambria"/>
          <w:bCs/>
          <w:sz w:val="20"/>
          <w:szCs w:val="20"/>
          <w:bdr w:val="none" w:sz="0" w:space="0" w:color="auto"/>
        </w:rPr>
        <w:t xml:space="preserve">, </w:t>
      </w:r>
      <w:r>
        <w:rPr>
          <w:rFonts w:ascii="Cambria" w:hAnsi="Cambria"/>
          <w:bCs/>
          <w:sz w:val="20"/>
          <w:szCs w:val="20"/>
          <w:bdr w:val="none" w:sz="0" w:space="0" w:color="auto"/>
        </w:rPr>
        <w:t xml:space="preserve">held that there was a clear </w:t>
      </w:r>
      <w:r w:rsidR="0038318E" w:rsidRPr="00A51861">
        <w:rPr>
          <w:rFonts w:ascii="Cambria" w:hAnsi="Cambria"/>
          <w:bCs/>
          <w:sz w:val="20"/>
          <w:szCs w:val="20"/>
          <w:bdr w:val="none" w:sz="0" w:space="0" w:color="auto"/>
        </w:rPr>
        <w:t xml:space="preserve"> </w:t>
      </w:r>
      <w:r w:rsidRPr="00A51861">
        <w:rPr>
          <w:rFonts w:ascii="Cambria" w:hAnsi="Cambria"/>
          <w:bCs/>
          <w:sz w:val="20"/>
          <w:szCs w:val="20"/>
          <w:bdr w:val="none" w:sz="0" w:space="0" w:color="auto"/>
        </w:rPr>
        <w:t xml:space="preserve">judicial </w:t>
      </w:r>
      <w:r w:rsidR="00705184">
        <w:rPr>
          <w:rFonts w:ascii="Cambria" w:hAnsi="Cambria"/>
          <w:bCs/>
          <w:sz w:val="20"/>
          <w:szCs w:val="20"/>
          <w:bdr w:val="none" w:sz="0" w:space="0" w:color="auto"/>
        </w:rPr>
        <w:t>doctrine</w:t>
      </w:r>
      <w:r w:rsidR="0038318E" w:rsidRPr="00A51861">
        <w:rPr>
          <w:rFonts w:ascii="Cambria" w:hAnsi="Cambria"/>
          <w:bCs/>
          <w:sz w:val="20"/>
          <w:szCs w:val="20"/>
          <w:bdr w:val="none" w:sz="0" w:space="0" w:color="auto"/>
        </w:rPr>
        <w:t xml:space="preserve"> </w:t>
      </w:r>
      <w:r>
        <w:rPr>
          <w:rFonts w:ascii="Cambria" w:hAnsi="Cambria"/>
          <w:bCs/>
          <w:sz w:val="20"/>
          <w:szCs w:val="20"/>
          <w:bdr w:val="none" w:sz="0" w:space="0" w:color="auto"/>
        </w:rPr>
        <w:t>line for the forced</w:t>
      </w:r>
      <w:r w:rsidR="0038318E" w:rsidRPr="00A51861">
        <w:rPr>
          <w:rFonts w:ascii="Cambria" w:hAnsi="Cambria"/>
          <w:bCs/>
          <w:sz w:val="20"/>
          <w:szCs w:val="20"/>
          <w:bdr w:val="none" w:sz="0" w:space="0" w:color="auto"/>
        </w:rPr>
        <w:t xml:space="preserve"> </w:t>
      </w:r>
      <w:r w:rsidR="005B42FA">
        <w:rPr>
          <w:rFonts w:ascii="Cambria" w:hAnsi="Cambria"/>
          <w:bCs/>
          <w:sz w:val="20"/>
          <w:szCs w:val="20"/>
          <w:bdr w:val="none" w:sz="0" w:space="0" w:color="auto"/>
        </w:rPr>
        <w:t>exile</w:t>
      </w:r>
      <w:r w:rsidR="0038318E" w:rsidRPr="00A51861">
        <w:rPr>
          <w:rFonts w:ascii="Cambria" w:hAnsi="Cambria"/>
          <w:bCs/>
          <w:sz w:val="20"/>
          <w:szCs w:val="20"/>
          <w:bdr w:val="none" w:sz="0" w:space="0" w:color="auto"/>
        </w:rPr>
        <w:t xml:space="preserve"> </w:t>
      </w:r>
      <w:r>
        <w:rPr>
          <w:rFonts w:ascii="Cambria" w:hAnsi="Cambria"/>
          <w:bCs/>
          <w:sz w:val="20"/>
          <w:szCs w:val="20"/>
          <w:bdr w:val="none" w:sz="0" w:space="0" w:color="auto"/>
        </w:rPr>
        <w:t>in the sense of</w:t>
      </w:r>
      <w:r w:rsidR="00E92985">
        <w:rPr>
          <w:rFonts w:ascii="Cambria" w:hAnsi="Cambria"/>
          <w:bCs/>
          <w:sz w:val="20"/>
          <w:szCs w:val="20"/>
          <w:bdr w:val="none" w:sz="0" w:space="0" w:color="auto"/>
        </w:rPr>
        <w:t xml:space="preserve"> the </w:t>
      </w:r>
      <w:r w:rsidRPr="00A51861">
        <w:rPr>
          <w:rFonts w:ascii="Cambria" w:hAnsi="Cambria"/>
          <w:bCs/>
          <w:sz w:val="20"/>
          <w:szCs w:val="20"/>
          <w:bdr w:val="none" w:sz="0" w:space="0" w:color="auto"/>
        </w:rPr>
        <w:t>admission</w:t>
      </w:r>
      <w:r w:rsidR="004969F4">
        <w:rPr>
          <w:rFonts w:ascii="Cambria" w:hAnsi="Cambria"/>
          <w:bCs/>
          <w:sz w:val="20"/>
          <w:szCs w:val="20"/>
          <w:bdr w:val="none" w:sz="0" w:space="0" w:color="auto"/>
        </w:rPr>
        <w:t xml:space="preserve"> of the </w:t>
      </w:r>
      <w:r w:rsidRPr="00A51861">
        <w:rPr>
          <w:rFonts w:ascii="Cambria" w:hAnsi="Cambria"/>
          <w:bCs/>
          <w:sz w:val="20"/>
          <w:szCs w:val="20"/>
          <w:bdr w:val="none" w:sz="0" w:space="0" w:color="auto"/>
        </w:rPr>
        <w:t xml:space="preserve">reparatory </w:t>
      </w:r>
      <w:r w:rsidRPr="00A51861">
        <w:rPr>
          <w:rFonts w:ascii="Cambria" w:hAnsi="Cambria"/>
          <w:color w:val="000000" w:themeColor="text1"/>
          <w:sz w:val="20"/>
          <w:szCs w:val="20"/>
        </w:rPr>
        <w:t>r</w:t>
      </w:r>
      <w:r>
        <w:rPr>
          <w:rFonts w:ascii="Cambria" w:hAnsi="Cambria"/>
          <w:color w:val="000000" w:themeColor="text1"/>
          <w:sz w:val="20"/>
          <w:szCs w:val="20"/>
        </w:rPr>
        <w:t>e</w:t>
      </w:r>
      <w:r w:rsidRPr="00A51861">
        <w:rPr>
          <w:rFonts w:ascii="Cambria" w:hAnsi="Cambria"/>
          <w:color w:val="000000" w:themeColor="text1"/>
          <w:sz w:val="20"/>
          <w:szCs w:val="20"/>
        </w:rPr>
        <w:t>gime</w:t>
      </w:r>
      <w:r w:rsidR="0038318E" w:rsidRPr="00A51861">
        <w:rPr>
          <w:rFonts w:ascii="Cambria" w:hAnsi="Cambria"/>
          <w:bCs/>
          <w:sz w:val="20"/>
          <w:szCs w:val="20"/>
          <w:bdr w:val="none" w:sz="0" w:space="0" w:color="auto"/>
        </w:rPr>
        <w:t xml:space="preserve"> </w:t>
      </w:r>
      <w:r w:rsidR="005D0AC1">
        <w:rPr>
          <w:rFonts w:ascii="Cambria" w:hAnsi="Cambria"/>
          <w:bCs/>
          <w:sz w:val="20"/>
          <w:szCs w:val="20"/>
          <w:bdr w:val="none" w:sz="0" w:space="0" w:color="auto"/>
        </w:rPr>
        <w:t xml:space="preserve">foreseen in </w:t>
      </w:r>
      <w:r w:rsidR="002835FC" w:rsidRPr="00A51861">
        <w:rPr>
          <w:rFonts w:ascii="Cambria" w:hAnsi="Cambria"/>
          <w:bCs/>
          <w:sz w:val="20"/>
          <w:szCs w:val="20"/>
          <w:bdr w:val="none" w:sz="0" w:space="0" w:color="auto"/>
        </w:rPr>
        <w:t xml:space="preserve">Law </w:t>
      </w:r>
      <w:r w:rsidR="0038318E" w:rsidRPr="00A51861">
        <w:rPr>
          <w:rFonts w:ascii="Cambria" w:hAnsi="Cambria"/>
          <w:bCs/>
          <w:sz w:val="20"/>
          <w:szCs w:val="20"/>
          <w:bdr w:val="none" w:sz="0" w:space="0" w:color="auto"/>
        </w:rPr>
        <w:t>N° 24.043, “</w:t>
      </w:r>
      <w:r>
        <w:rPr>
          <w:rFonts w:ascii="Cambria" w:hAnsi="Cambria"/>
          <w:bCs/>
          <w:sz w:val="20"/>
          <w:szCs w:val="20"/>
          <w:bdr w:val="none" w:sz="0" w:space="0" w:color="auto"/>
        </w:rPr>
        <w:t>in those duly proven cases and</w:t>
      </w:r>
      <w:r w:rsidR="00E92985">
        <w:rPr>
          <w:rFonts w:ascii="Cambria" w:hAnsi="Cambria"/>
          <w:bCs/>
          <w:sz w:val="20"/>
          <w:szCs w:val="20"/>
          <w:bdr w:val="none" w:sz="0" w:space="0" w:color="auto"/>
        </w:rPr>
        <w:t xml:space="preserve"> </w:t>
      </w:r>
      <w:r w:rsidR="0038318E" w:rsidRPr="00A51861">
        <w:rPr>
          <w:rFonts w:ascii="Cambria" w:hAnsi="Cambria"/>
          <w:bCs/>
          <w:sz w:val="20"/>
          <w:szCs w:val="20"/>
          <w:bdr w:val="none" w:sz="0" w:space="0" w:color="auto"/>
        </w:rPr>
        <w:t>preced</w:t>
      </w:r>
      <w:r>
        <w:rPr>
          <w:rFonts w:ascii="Cambria" w:hAnsi="Cambria"/>
          <w:bCs/>
          <w:sz w:val="20"/>
          <w:szCs w:val="20"/>
          <w:bdr w:val="none" w:sz="0" w:space="0" w:color="auto"/>
        </w:rPr>
        <w:t>ed by</w:t>
      </w:r>
      <w:r w:rsidR="0038318E" w:rsidRPr="00A51861">
        <w:rPr>
          <w:rFonts w:ascii="Cambria" w:hAnsi="Cambria"/>
          <w:bCs/>
          <w:sz w:val="20"/>
          <w:szCs w:val="20"/>
          <w:bdr w:val="none" w:sz="0" w:space="0" w:color="auto"/>
        </w:rPr>
        <w:t xml:space="preserve"> </w:t>
      </w:r>
      <w:r w:rsidR="00E92985">
        <w:rPr>
          <w:rFonts w:ascii="Cambria" w:hAnsi="Cambria"/>
          <w:bCs/>
          <w:sz w:val="20"/>
          <w:szCs w:val="20"/>
          <w:bdr w:val="none" w:sz="0" w:space="0" w:color="auto"/>
        </w:rPr>
        <w:t xml:space="preserve">situations of </w:t>
      </w:r>
      <w:r>
        <w:rPr>
          <w:rFonts w:ascii="Cambria" w:hAnsi="Cambria"/>
          <w:bCs/>
          <w:sz w:val="20"/>
          <w:szCs w:val="20"/>
          <w:bdr w:val="none" w:sz="0" w:space="0" w:color="auto"/>
        </w:rPr>
        <w:t xml:space="preserve">illegal detention </w:t>
      </w:r>
      <w:r w:rsidR="00B47E06">
        <w:rPr>
          <w:rFonts w:ascii="Cambria" w:hAnsi="Cambria"/>
          <w:bCs/>
          <w:sz w:val="20"/>
          <w:szCs w:val="20"/>
          <w:bdr w:val="none" w:sz="0" w:space="0" w:color="auto"/>
        </w:rPr>
        <w:t xml:space="preserve">and/or </w:t>
      </w:r>
      <w:r w:rsidR="00BD6923">
        <w:rPr>
          <w:rFonts w:ascii="Cambria" w:hAnsi="Cambria"/>
          <w:bCs/>
          <w:sz w:val="20"/>
          <w:szCs w:val="20"/>
          <w:bdr w:val="none" w:sz="0" w:space="0" w:color="auto"/>
        </w:rPr>
        <w:t>persecution</w:t>
      </w:r>
      <w:r w:rsidR="0038318E" w:rsidRPr="00A51861">
        <w:rPr>
          <w:rFonts w:ascii="Cambria" w:hAnsi="Cambria"/>
          <w:bCs/>
          <w:sz w:val="20"/>
          <w:szCs w:val="20"/>
          <w:bdr w:val="none" w:sz="0" w:space="0" w:color="auto"/>
        </w:rPr>
        <w:t xml:space="preserve"> </w:t>
      </w:r>
      <w:r>
        <w:rPr>
          <w:rFonts w:ascii="Cambria" w:hAnsi="Cambria"/>
          <w:bCs/>
          <w:sz w:val="20"/>
          <w:szCs w:val="20"/>
          <w:bdr w:val="none" w:sz="0" w:space="0" w:color="auto"/>
        </w:rPr>
        <w:t>which had generated in those involved</w:t>
      </w:r>
      <w:r w:rsidR="0038318E" w:rsidRPr="00A51861">
        <w:rPr>
          <w:rFonts w:ascii="Cambria" w:hAnsi="Cambria"/>
          <w:bCs/>
          <w:sz w:val="20"/>
          <w:szCs w:val="20"/>
          <w:bdr w:val="none" w:sz="0" w:space="0" w:color="auto"/>
        </w:rPr>
        <w:t xml:space="preserve"> </w:t>
      </w:r>
      <w:r>
        <w:rPr>
          <w:rFonts w:ascii="Cambria" w:hAnsi="Cambria"/>
          <w:bCs/>
          <w:sz w:val="20"/>
          <w:szCs w:val="20"/>
          <w:bdr w:val="none" w:sz="0" w:space="0" w:color="auto"/>
        </w:rPr>
        <w:t>a justified</w:t>
      </w:r>
      <w:r w:rsidR="0038318E" w:rsidRPr="00A51861">
        <w:rPr>
          <w:rFonts w:ascii="Cambria" w:hAnsi="Cambria"/>
          <w:bCs/>
          <w:sz w:val="20"/>
          <w:szCs w:val="20"/>
          <w:bdr w:val="none" w:sz="0" w:space="0" w:color="auto"/>
        </w:rPr>
        <w:t xml:space="preserve"> </w:t>
      </w:r>
      <w:r w:rsidR="001937FB">
        <w:rPr>
          <w:rFonts w:ascii="Cambria" w:hAnsi="Cambria"/>
          <w:bCs/>
          <w:sz w:val="20"/>
          <w:szCs w:val="20"/>
          <w:bdr w:val="none" w:sz="0" w:space="0" w:color="auto"/>
        </w:rPr>
        <w:t>fear</w:t>
      </w:r>
      <w:r w:rsidR="0038318E" w:rsidRPr="00A51861">
        <w:rPr>
          <w:rFonts w:ascii="Cambria" w:hAnsi="Cambria"/>
          <w:bCs/>
          <w:sz w:val="20"/>
          <w:szCs w:val="20"/>
          <w:bdr w:val="none" w:sz="0" w:space="0" w:color="auto"/>
        </w:rPr>
        <w:t xml:space="preserve"> </w:t>
      </w:r>
      <w:r>
        <w:rPr>
          <w:rFonts w:ascii="Cambria" w:hAnsi="Cambria"/>
          <w:bCs/>
          <w:sz w:val="20"/>
          <w:szCs w:val="20"/>
          <w:bdr w:val="none" w:sz="0" w:space="0" w:color="auto"/>
        </w:rPr>
        <w:t>of</w:t>
      </w:r>
      <w:r w:rsidR="0038318E" w:rsidRPr="00A51861">
        <w:rPr>
          <w:rFonts w:ascii="Cambria" w:hAnsi="Cambria"/>
          <w:bCs/>
          <w:sz w:val="20"/>
          <w:szCs w:val="20"/>
          <w:bdr w:val="none" w:sz="0" w:space="0" w:color="auto"/>
        </w:rPr>
        <w:t xml:space="preserve"> experiment</w:t>
      </w:r>
      <w:r>
        <w:rPr>
          <w:rFonts w:ascii="Cambria" w:hAnsi="Cambria"/>
          <w:bCs/>
          <w:sz w:val="20"/>
          <w:szCs w:val="20"/>
          <w:bdr w:val="none" w:sz="0" w:space="0" w:color="auto"/>
        </w:rPr>
        <w:t>ing a severe risk on their lives</w:t>
      </w:r>
      <w:r w:rsidR="0038318E" w:rsidRPr="00A51861">
        <w:rPr>
          <w:rFonts w:ascii="Cambria" w:hAnsi="Cambria"/>
          <w:bCs/>
          <w:sz w:val="20"/>
          <w:szCs w:val="20"/>
          <w:bdr w:val="none" w:sz="0" w:space="0" w:color="auto"/>
        </w:rPr>
        <w:t xml:space="preserve">, </w:t>
      </w:r>
      <w:r w:rsidR="00986A65">
        <w:rPr>
          <w:rFonts w:ascii="Cambria" w:hAnsi="Cambria"/>
          <w:bCs/>
          <w:sz w:val="20"/>
          <w:szCs w:val="20"/>
          <w:bdr w:val="none" w:sz="0" w:space="0" w:color="auto"/>
        </w:rPr>
        <w:t>physical integrity</w:t>
      </w:r>
      <w:r w:rsidR="00B47E06">
        <w:rPr>
          <w:rFonts w:ascii="Cambria" w:hAnsi="Cambria"/>
          <w:bCs/>
          <w:sz w:val="20"/>
          <w:szCs w:val="20"/>
          <w:bdr w:val="none" w:sz="0" w:space="0" w:color="auto"/>
        </w:rPr>
        <w:t xml:space="preserve"> and/or </w:t>
      </w:r>
      <w:r w:rsidR="00986A65">
        <w:rPr>
          <w:rFonts w:ascii="Cambria" w:hAnsi="Cambria"/>
          <w:bCs/>
          <w:sz w:val="20"/>
          <w:szCs w:val="20"/>
          <w:bdr w:val="none" w:sz="0" w:space="0" w:color="auto"/>
        </w:rPr>
        <w:t>personal liberty</w:t>
      </w:r>
      <w:r w:rsidR="00E92985">
        <w:rPr>
          <w:rFonts w:ascii="Cambria" w:hAnsi="Cambria"/>
          <w:bCs/>
          <w:sz w:val="20"/>
          <w:szCs w:val="20"/>
          <w:bdr w:val="none" w:sz="0" w:space="0" w:color="auto"/>
        </w:rPr>
        <w:t xml:space="preserve"> and </w:t>
      </w:r>
      <w:r w:rsidR="0038318E" w:rsidRPr="00A51861">
        <w:rPr>
          <w:rFonts w:ascii="Cambria" w:hAnsi="Cambria"/>
          <w:bCs/>
          <w:sz w:val="20"/>
          <w:szCs w:val="20"/>
          <w:bdr w:val="none" w:sz="0" w:space="0" w:color="auto"/>
        </w:rPr>
        <w:t>no</w:t>
      </w:r>
      <w:r>
        <w:rPr>
          <w:rFonts w:ascii="Cambria" w:hAnsi="Cambria"/>
          <w:bCs/>
          <w:sz w:val="20"/>
          <w:szCs w:val="20"/>
          <w:bdr w:val="none" w:sz="0" w:space="0" w:color="auto"/>
        </w:rPr>
        <w:t>t</w:t>
      </w:r>
      <w:r w:rsidR="0038318E" w:rsidRPr="00A51861">
        <w:rPr>
          <w:rFonts w:ascii="Cambria" w:hAnsi="Cambria"/>
          <w:bCs/>
          <w:sz w:val="20"/>
          <w:szCs w:val="20"/>
          <w:bdr w:val="none" w:sz="0" w:space="0" w:color="auto"/>
        </w:rPr>
        <w:t xml:space="preserve"> </w:t>
      </w:r>
      <w:r>
        <w:rPr>
          <w:rFonts w:ascii="Cambria" w:hAnsi="Cambria"/>
          <w:bCs/>
          <w:sz w:val="20"/>
          <w:szCs w:val="20"/>
          <w:bdr w:val="none" w:sz="0" w:space="0" w:color="auto"/>
        </w:rPr>
        <w:t>for cases in which it is</w:t>
      </w:r>
      <w:r w:rsidR="00D70A85">
        <w:rPr>
          <w:rFonts w:ascii="Cambria" w:hAnsi="Cambria"/>
          <w:bCs/>
          <w:sz w:val="20"/>
          <w:szCs w:val="20"/>
          <w:bdr w:val="none" w:sz="0" w:space="0" w:color="auto"/>
        </w:rPr>
        <w:t xml:space="preserve"> </w:t>
      </w:r>
      <w:r w:rsidR="00775F21">
        <w:rPr>
          <w:rFonts w:ascii="Cambria" w:hAnsi="Cambria"/>
          <w:bCs/>
          <w:sz w:val="20"/>
          <w:szCs w:val="20"/>
          <w:bdr w:val="none" w:sz="0" w:space="0" w:color="auto"/>
        </w:rPr>
        <w:t xml:space="preserve">possible </w:t>
      </w:r>
      <w:r>
        <w:rPr>
          <w:rFonts w:ascii="Cambria" w:hAnsi="Cambria"/>
          <w:bCs/>
          <w:sz w:val="20"/>
          <w:szCs w:val="20"/>
          <w:bdr w:val="none" w:sz="0" w:space="0" w:color="auto"/>
        </w:rPr>
        <w:t xml:space="preserve">to </w:t>
      </w:r>
      <w:r w:rsidR="0038318E" w:rsidRPr="00A51861">
        <w:rPr>
          <w:rFonts w:ascii="Cambria" w:hAnsi="Cambria"/>
          <w:bCs/>
          <w:sz w:val="20"/>
          <w:szCs w:val="20"/>
          <w:bdr w:val="none" w:sz="0" w:space="0" w:color="auto"/>
        </w:rPr>
        <w:t>interpret</w:t>
      </w:r>
      <w:r w:rsidR="009A4F91">
        <w:rPr>
          <w:rFonts w:ascii="Cambria" w:hAnsi="Cambria"/>
          <w:bCs/>
          <w:sz w:val="20"/>
          <w:szCs w:val="20"/>
          <w:bdr w:val="none" w:sz="0" w:space="0" w:color="auto"/>
        </w:rPr>
        <w:t xml:space="preserve"> </w:t>
      </w:r>
      <w:r>
        <w:rPr>
          <w:rFonts w:ascii="Cambria" w:hAnsi="Cambria"/>
          <w:bCs/>
          <w:sz w:val="20"/>
          <w:szCs w:val="20"/>
          <w:bdr w:val="none" w:sz="0" w:space="0" w:color="auto"/>
        </w:rPr>
        <w:t>the departure of the country as</w:t>
      </w:r>
      <w:r w:rsidR="0038318E" w:rsidRPr="00A51861">
        <w:rPr>
          <w:rFonts w:ascii="Cambria" w:hAnsi="Cambria"/>
          <w:bCs/>
          <w:sz w:val="20"/>
          <w:szCs w:val="20"/>
          <w:bdr w:val="none" w:sz="0" w:space="0" w:color="auto"/>
        </w:rPr>
        <w:t xml:space="preserve"> </w:t>
      </w:r>
      <w:r w:rsidRPr="00A51861">
        <w:rPr>
          <w:rFonts w:ascii="Cambria" w:hAnsi="Cambria"/>
          <w:bCs/>
          <w:sz w:val="20"/>
          <w:szCs w:val="20"/>
          <w:bdr w:val="none" w:sz="0" w:space="0" w:color="auto"/>
        </w:rPr>
        <w:t>voluntary</w:t>
      </w:r>
      <w:r w:rsidRPr="008158C2">
        <w:rPr>
          <w:rFonts w:ascii="Cambria" w:hAnsi="Cambria"/>
          <w:bCs/>
          <w:sz w:val="20"/>
          <w:szCs w:val="20"/>
          <w:bdr w:val="none" w:sz="0" w:space="0" w:color="auto"/>
        </w:rPr>
        <w:t xml:space="preserve"> </w:t>
      </w:r>
      <w:r>
        <w:rPr>
          <w:rFonts w:ascii="Cambria" w:hAnsi="Cambria"/>
          <w:bCs/>
          <w:sz w:val="20"/>
          <w:szCs w:val="20"/>
          <w:bdr w:val="none" w:sz="0" w:space="0" w:color="auto"/>
        </w:rPr>
        <w:t>self-exile</w:t>
      </w:r>
      <w:r w:rsidR="0038318E" w:rsidRPr="00A51861">
        <w:rPr>
          <w:rFonts w:ascii="Cambria" w:hAnsi="Cambria"/>
          <w:bCs/>
          <w:sz w:val="20"/>
          <w:szCs w:val="20"/>
          <w:bdr w:val="none" w:sz="0" w:space="0" w:color="auto"/>
        </w:rPr>
        <w:t xml:space="preserve">” </w:t>
      </w:r>
      <w:r>
        <w:rPr>
          <w:rFonts w:ascii="Cambria" w:hAnsi="Cambria"/>
          <w:bCs/>
          <w:sz w:val="20"/>
          <w:szCs w:val="20"/>
          <w:bdr w:val="none" w:sz="0" w:space="0" w:color="auto"/>
        </w:rPr>
        <w:t>upon the</w:t>
      </w:r>
      <w:r w:rsidR="00E92985">
        <w:rPr>
          <w:rFonts w:ascii="Cambria" w:hAnsi="Cambria"/>
          <w:bCs/>
          <w:sz w:val="20"/>
          <w:szCs w:val="20"/>
          <w:bdr w:val="none" w:sz="0" w:space="0" w:color="auto"/>
        </w:rPr>
        <w:t xml:space="preserve"> </w:t>
      </w:r>
      <w:r w:rsidR="00705184">
        <w:rPr>
          <w:rFonts w:ascii="Cambria" w:hAnsi="Cambria"/>
          <w:bCs/>
          <w:sz w:val="20"/>
          <w:szCs w:val="20"/>
          <w:bdr w:val="none" w:sz="0" w:space="0" w:color="auto"/>
        </w:rPr>
        <w:t>doctrine</w:t>
      </w:r>
      <w:r w:rsidR="00E92985">
        <w:rPr>
          <w:rFonts w:ascii="Cambria" w:hAnsi="Cambria"/>
          <w:bCs/>
          <w:sz w:val="20"/>
          <w:szCs w:val="20"/>
          <w:bdr w:val="none" w:sz="0" w:space="0" w:color="auto"/>
        </w:rPr>
        <w:t xml:space="preserve"> of the </w:t>
      </w:r>
      <w:r w:rsidR="00A63761">
        <w:rPr>
          <w:rFonts w:ascii="Cambria" w:hAnsi="Cambria"/>
          <w:bCs/>
          <w:sz w:val="20"/>
          <w:szCs w:val="20"/>
          <w:bdr w:val="none" w:sz="0" w:space="0" w:color="auto"/>
        </w:rPr>
        <w:t>Supreme Court</w:t>
      </w:r>
      <w:r w:rsidR="0038318E" w:rsidRPr="00A51861">
        <w:rPr>
          <w:rFonts w:ascii="Cambria" w:hAnsi="Cambria"/>
          <w:bCs/>
          <w:sz w:val="20"/>
          <w:szCs w:val="20"/>
          <w:bdr w:val="none" w:sz="0" w:space="0" w:color="auto"/>
        </w:rPr>
        <w:t xml:space="preserve"> </w:t>
      </w:r>
      <w:r>
        <w:rPr>
          <w:rFonts w:ascii="Cambria" w:hAnsi="Cambria"/>
          <w:bCs/>
          <w:sz w:val="20"/>
          <w:szCs w:val="20"/>
          <w:bdr w:val="none" w:sz="0" w:space="0" w:color="auto"/>
        </w:rPr>
        <w:t>in the case</w:t>
      </w:r>
      <w:r w:rsidR="0038318E" w:rsidRPr="00A51861">
        <w:rPr>
          <w:rFonts w:ascii="Cambria" w:hAnsi="Cambria"/>
          <w:bCs/>
          <w:sz w:val="20"/>
          <w:szCs w:val="20"/>
          <w:bdr w:val="none" w:sz="0" w:space="0" w:color="auto"/>
        </w:rPr>
        <w:t xml:space="preserve"> Yofre</w:t>
      </w:r>
      <w:r w:rsidR="00E92985">
        <w:rPr>
          <w:rFonts w:ascii="Cambria" w:hAnsi="Cambria"/>
          <w:bCs/>
          <w:sz w:val="20"/>
          <w:szCs w:val="20"/>
          <w:bdr w:val="none" w:sz="0" w:space="0" w:color="auto"/>
        </w:rPr>
        <w:t xml:space="preserve"> </w:t>
      </w:r>
      <w:r>
        <w:rPr>
          <w:rFonts w:ascii="Cambria" w:hAnsi="Cambria"/>
          <w:bCs/>
          <w:sz w:val="20"/>
          <w:szCs w:val="20"/>
          <w:bdr w:val="none" w:sz="0" w:space="0" w:color="auto"/>
        </w:rPr>
        <w:t>de</w:t>
      </w:r>
      <w:r w:rsidR="00E92985">
        <w:rPr>
          <w:rFonts w:ascii="Cambria" w:hAnsi="Cambria"/>
          <w:bCs/>
          <w:sz w:val="20"/>
          <w:szCs w:val="20"/>
          <w:bdr w:val="none" w:sz="0" w:space="0" w:color="auto"/>
        </w:rPr>
        <w:t xml:space="preserve"> </w:t>
      </w:r>
      <w:r w:rsidR="0038318E" w:rsidRPr="00A51861">
        <w:rPr>
          <w:rFonts w:ascii="Cambria" w:hAnsi="Cambria"/>
          <w:bCs/>
          <w:sz w:val="20"/>
          <w:szCs w:val="20"/>
          <w:bdr w:val="none" w:sz="0" w:space="0" w:color="auto"/>
        </w:rPr>
        <w:t>Vaca.</w:t>
      </w:r>
    </w:p>
    <w:p w14:paraId="1EC2AD73" w14:textId="77777777" w:rsidR="00773B3C" w:rsidRPr="00A51861" w:rsidRDefault="00773B3C" w:rsidP="008E4D36">
      <w:pPr>
        <w:tabs>
          <w:tab w:val="left" w:pos="720"/>
          <w:tab w:val="left" w:pos="1440"/>
        </w:tabs>
        <w:ind w:left="630"/>
        <w:jc w:val="both"/>
        <w:rPr>
          <w:rFonts w:ascii="Cambria" w:hAnsi="Cambria"/>
          <w:sz w:val="20"/>
          <w:szCs w:val="20"/>
          <w:bdr w:val="none" w:sz="0" w:space="0" w:color="auto"/>
        </w:rPr>
      </w:pPr>
    </w:p>
    <w:p w14:paraId="2D84DCC9" w14:textId="7D99A92B" w:rsidR="00773B3C" w:rsidRPr="00A51861" w:rsidRDefault="00C9577B"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bdr w:val="none" w:sz="0" w:space="0" w:color="auto"/>
        </w:rPr>
      </w:pPr>
      <w:r>
        <w:rPr>
          <w:rFonts w:ascii="Cambria" w:hAnsi="Cambria"/>
          <w:sz w:val="20"/>
          <w:szCs w:val="20"/>
          <w:bdr w:val="none" w:sz="0" w:space="0" w:color="auto"/>
        </w:rPr>
        <w:lastRenderedPageBreak/>
        <w:t>That being said</w:t>
      </w:r>
      <w:r w:rsidR="00773B3C" w:rsidRPr="00A51861">
        <w:rPr>
          <w:rFonts w:ascii="Cambria" w:hAnsi="Cambria"/>
          <w:sz w:val="20"/>
          <w:szCs w:val="20"/>
          <w:bdr w:val="none" w:sz="0" w:space="0" w:color="auto"/>
        </w:rPr>
        <w:t xml:space="preserve">, </w:t>
      </w:r>
      <w:r w:rsidR="001C7FB7">
        <w:rPr>
          <w:rFonts w:ascii="Cambria" w:hAnsi="Cambria"/>
          <w:sz w:val="20"/>
          <w:szCs w:val="20"/>
          <w:bdr w:val="none" w:sz="0" w:space="0" w:color="auto"/>
        </w:rPr>
        <w:t>in regard to</w:t>
      </w:r>
      <w:r w:rsidR="009A4F91">
        <w:rPr>
          <w:rFonts w:ascii="Cambria" w:hAnsi="Cambria"/>
          <w:sz w:val="20"/>
          <w:szCs w:val="20"/>
          <w:bdr w:val="none" w:sz="0" w:space="0" w:color="auto"/>
        </w:rPr>
        <w:t xml:space="preserve"> the </w:t>
      </w:r>
      <w:r w:rsidR="0059627A">
        <w:rPr>
          <w:rFonts w:ascii="Cambria" w:hAnsi="Cambria"/>
          <w:sz w:val="20"/>
          <w:szCs w:val="20"/>
          <w:bdr w:val="none" w:sz="0" w:space="0" w:color="auto"/>
        </w:rPr>
        <w:t>application</w:t>
      </w:r>
      <w:r w:rsidR="00E92985">
        <w:rPr>
          <w:rFonts w:ascii="Cambria" w:hAnsi="Cambria"/>
          <w:sz w:val="20"/>
          <w:szCs w:val="20"/>
          <w:bdr w:val="none" w:sz="0" w:space="0" w:color="auto"/>
        </w:rPr>
        <w:t xml:space="preserve"> of </w:t>
      </w:r>
      <w:r w:rsidR="002835FC" w:rsidRPr="00A51861">
        <w:rPr>
          <w:rFonts w:ascii="Cambria" w:hAnsi="Cambria"/>
          <w:sz w:val="20"/>
          <w:szCs w:val="20"/>
          <w:bdr w:val="none" w:sz="0" w:space="0" w:color="auto"/>
        </w:rPr>
        <w:t xml:space="preserve">Law </w:t>
      </w:r>
      <w:r w:rsidR="00773B3C" w:rsidRPr="00A51861">
        <w:rPr>
          <w:rFonts w:ascii="Cambria" w:hAnsi="Cambria"/>
          <w:sz w:val="20"/>
          <w:szCs w:val="20"/>
          <w:bdr w:val="none" w:sz="0" w:space="0" w:color="auto"/>
        </w:rPr>
        <w:t xml:space="preserve">24.043 </w:t>
      </w:r>
      <w:r w:rsidR="001C7FB7">
        <w:rPr>
          <w:rFonts w:ascii="Cambria" w:hAnsi="Cambria"/>
          <w:sz w:val="20"/>
          <w:szCs w:val="20"/>
          <w:bdr w:val="none" w:sz="0" w:space="0" w:color="auto"/>
        </w:rPr>
        <w:t>in the cases under study</w:t>
      </w:r>
      <w:r w:rsidR="00773B3C" w:rsidRPr="00A51861">
        <w:rPr>
          <w:rFonts w:ascii="Cambria" w:hAnsi="Cambria"/>
          <w:sz w:val="20"/>
          <w:szCs w:val="20"/>
          <w:bdr w:val="none" w:sz="0" w:space="0" w:color="auto"/>
        </w:rPr>
        <w:t xml:space="preserve">, </w:t>
      </w:r>
      <w:r w:rsidR="001C7FB7">
        <w:rPr>
          <w:rFonts w:ascii="Cambria" w:hAnsi="Cambria"/>
          <w:sz w:val="20"/>
          <w:szCs w:val="20"/>
          <w:bdr w:val="none" w:sz="0" w:space="0" w:color="auto"/>
        </w:rPr>
        <w:t>first of all</w:t>
      </w:r>
      <w:r w:rsidR="00773B3C" w:rsidRPr="00A51861">
        <w:rPr>
          <w:rFonts w:ascii="Cambria" w:hAnsi="Cambria"/>
          <w:sz w:val="20"/>
          <w:szCs w:val="20"/>
          <w:bdr w:val="none" w:sz="0" w:space="0" w:color="auto"/>
        </w:rPr>
        <w:t xml:space="preserve"> </w:t>
      </w:r>
      <w:r w:rsidR="001C7FB7">
        <w:rPr>
          <w:rFonts w:ascii="Cambria" w:hAnsi="Cambria"/>
          <w:sz w:val="20"/>
          <w:szCs w:val="20"/>
          <w:bdr w:val="none" w:sz="0" w:space="0" w:color="auto"/>
        </w:rPr>
        <w:t>it applies that</w:t>
      </w:r>
      <w:r w:rsidR="00773B3C" w:rsidRPr="00A51861">
        <w:rPr>
          <w:rFonts w:ascii="Cambria" w:hAnsi="Cambria"/>
          <w:sz w:val="20"/>
          <w:szCs w:val="20"/>
          <w:bdr w:val="none" w:sz="0" w:space="0" w:color="auto"/>
        </w:rPr>
        <w:t xml:space="preserve"> </w:t>
      </w:r>
      <w:r w:rsidR="00E92985">
        <w:rPr>
          <w:rFonts w:ascii="Cambria" w:hAnsi="Cambria"/>
          <w:sz w:val="20"/>
          <w:szCs w:val="20"/>
          <w:bdr w:val="none" w:sz="0" w:space="0" w:color="auto"/>
        </w:rPr>
        <w:t>the Commission</w:t>
      </w:r>
      <w:r w:rsidR="00773B3C" w:rsidRPr="00A51861">
        <w:rPr>
          <w:rFonts w:ascii="Cambria" w:hAnsi="Cambria"/>
          <w:sz w:val="20"/>
          <w:szCs w:val="20"/>
          <w:bdr w:val="none" w:sz="0" w:space="0" w:color="auto"/>
        </w:rPr>
        <w:t xml:space="preserve"> </w:t>
      </w:r>
      <w:r w:rsidR="001C7FB7">
        <w:rPr>
          <w:rFonts w:ascii="Cambria" w:hAnsi="Cambria"/>
          <w:sz w:val="20"/>
          <w:szCs w:val="20"/>
          <w:bdr w:val="none" w:sz="0" w:space="0" w:color="auto"/>
        </w:rPr>
        <w:t>assess</w:t>
      </w:r>
      <w:r w:rsidR="009A4F91">
        <w:rPr>
          <w:rFonts w:ascii="Cambria" w:hAnsi="Cambria"/>
          <w:sz w:val="20"/>
          <w:szCs w:val="20"/>
          <w:bdr w:val="none" w:sz="0" w:space="0" w:color="auto"/>
        </w:rPr>
        <w:t xml:space="preserve"> the </w:t>
      </w:r>
      <w:r w:rsidR="001C7FB7">
        <w:rPr>
          <w:rFonts w:ascii="Cambria" w:hAnsi="Cambria"/>
          <w:sz w:val="20"/>
          <w:szCs w:val="20"/>
          <w:bdr w:val="none" w:sz="0" w:space="0" w:color="auto"/>
        </w:rPr>
        <w:t xml:space="preserve">factual </w:t>
      </w:r>
      <w:r w:rsidR="00E92985">
        <w:rPr>
          <w:rFonts w:ascii="Cambria" w:hAnsi="Cambria"/>
          <w:sz w:val="20"/>
          <w:szCs w:val="20"/>
          <w:bdr w:val="none" w:sz="0" w:space="0" w:color="auto"/>
        </w:rPr>
        <w:t>situation</w:t>
      </w:r>
      <w:r w:rsidR="00773B3C" w:rsidRPr="00A51861">
        <w:rPr>
          <w:rFonts w:ascii="Cambria" w:hAnsi="Cambria"/>
          <w:sz w:val="20"/>
          <w:szCs w:val="20"/>
          <w:bdr w:val="none" w:sz="0" w:space="0" w:color="auto"/>
        </w:rPr>
        <w:t xml:space="preserve"> </w:t>
      </w:r>
      <w:r w:rsidR="00E92985">
        <w:rPr>
          <w:rFonts w:ascii="Cambria" w:hAnsi="Cambria"/>
          <w:sz w:val="20"/>
          <w:szCs w:val="20"/>
          <w:bdr w:val="none" w:sz="0" w:space="0" w:color="auto"/>
        </w:rPr>
        <w:t xml:space="preserve">of </w:t>
      </w:r>
      <w:r w:rsidR="007057A5">
        <w:rPr>
          <w:rFonts w:ascii="Cambria" w:hAnsi="Cambria"/>
          <w:sz w:val="20"/>
          <w:szCs w:val="20"/>
          <w:bdr w:val="none" w:sz="0" w:space="0" w:color="auto"/>
        </w:rPr>
        <w:t xml:space="preserve">Mr. Julio César Rito de los Santos and Mr. Hugo Daniel Ferreira </w:t>
      </w:r>
      <w:r w:rsidR="001C7FB7">
        <w:rPr>
          <w:rFonts w:ascii="Cambria" w:hAnsi="Cambria"/>
          <w:sz w:val="20"/>
          <w:szCs w:val="20"/>
          <w:bdr w:val="none" w:sz="0" w:space="0" w:color="auto"/>
        </w:rPr>
        <w:t>for those being similar cases</w:t>
      </w:r>
      <w:r w:rsidR="00773B3C" w:rsidRPr="00A51861">
        <w:rPr>
          <w:rFonts w:ascii="Cambria" w:hAnsi="Cambria"/>
          <w:sz w:val="20"/>
          <w:szCs w:val="20"/>
          <w:bdr w:val="none" w:sz="0" w:space="0" w:color="auto"/>
        </w:rPr>
        <w:t xml:space="preserve">. </w:t>
      </w:r>
      <w:r w:rsidR="001C7FB7">
        <w:rPr>
          <w:rFonts w:ascii="Cambria" w:hAnsi="Cambria"/>
          <w:sz w:val="20"/>
          <w:szCs w:val="20"/>
          <w:bdr w:val="none" w:sz="0" w:space="0" w:color="auto"/>
        </w:rPr>
        <w:t>On this point</w:t>
      </w:r>
      <w:r w:rsidR="00773B3C" w:rsidRPr="00A51861">
        <w:rPr>
          <w:rFonts w:ascii="Cambria" w:hAnsi="Cambria"/>
          <w:sz w:val="20"/>
          <w:szCs w:val="20"/>
          <w:bdr w:val="none" w:sz="0" w:space="0" w:color="auto"/>
        </w:rPr>
        <w:t xml:space="preserve">, </w:t>
      </w:r>
      <w:r w:rsidR="00A51861" w:rsidRPr="00A51861">
        <w:rPr>
          <w:rFonts w:ascii="Cambria" w:hAnsi="Cambria"/>
          <w:sz w:val="20"/>
          <w:szCs w:val="20"/>
          <w:bdr w:val="none" w:sz="0" w:space="0" w:color="auto"/>
        </w:rPr>
        <w:t>the IACHR</w:t>
      </w:r>
      <w:r w:rsidR="00773B3C" w:rsidRPr="00A51861">
        <w:rPr>
          <w:rFonts w:ascii="Cambria" w:hAnsi="Cambria"/>
          <w:sz w:val="20"/>
          <w:szCs w:val="20"/>
          <w:bdr w:val="none" w:sz="0" w:space="0" w:color="auto"/>
        </w:rPr>
        <w:t xml:space="preserve"> </w:t>
      </w:r>
      <w:r w:rsidR="001C7FB7" w:rsidRPr="00A51861">
        <w:rPr>
          <w:rFonts w:ascii="Cambria" w:hAnsi="Cambria"/>
          <w:sz w:val="20"/>
          <w:szCs w:val="20"/>
          <w:bdr w:val="none" w:sz="0" w:space="0" w:color="auto"/>
        </w:rPr>
        <w:t>observ</w:t>
      </w:r>
      <w:r w:rsidR="001C7FB7">
        <w:rPr>
          <w:rFonts w:ascii="Cambria" w:hAnsi="Cambria"/>
          <w:sz w:val="20"/>
          <w:szCs w:val="20"/>
          <w:bdr w:val="none" w:sz="0" w:space="0" w:color="auto"/>
        </w:rPr>
        <w:t>es that</w:t>
      </w:r>
      <w:r w:rsidR="00773B3C" w:rsidRPr="00A51861">
        <w:rPr>
          <w:rFonts w:ascii="Cambria" w:hAnsi="Cambria"/>
          <w:sz w:val="20"/>
          <w:szCs w:val="20"/>
          <w:bdr w:val="none" w:sz="0" w:space="0" w:color="auto"/>
        </w:rPr>
        <w:t xml:space="preserve"> </w:t>
      </w:r>
      <w:r w:rsidR="001C7FB7">
        <w:rPr>
          <w:rFonts w:ascii="Cambria" w:hAnsi="Cambria"/>
          <w:sz w:val="20"/>
          <w:szCs w:val="20"/>
          <w:bdr w:val="none" w:sz="0" w:space="0" w:color="auto"/>
        </w:rPr>
        <w:t>indeed</w:t>
      </w:r>
      <w:r w:rsidR="00773B3C" w:rsidRPr="00A51861">
        <w:rPr>
          <w:rFonts w:ascii="Cambria" w:hAnsi="Cambria"/>
          <w:sz w:val="20"/>
          <w:szCs w:val="20"/>
          <w:bdr w:val="none" w:sz="0" w:space="0" w:color="auto"/>
        </w:rPr>
        <w:t xml:space="preserve">, </w:t>
      </w:r>
      <w:r w:rsidR="001C7FB7">
        <w:rPr>
          <w:rFonts w:ascii="Cambria" w:hAnsi="Cambria"/>
          <w:sz w:val="20"/>
          <w:szCs w:val="20"/>
          <w:bdr w:val="none" w:sz="0" w:space="0" w:color="auto"/>
        </w:rPr>
        <w:t>as found in domestic</w:t>
      </w:r>
      <w:r w:rsidR="00773B3C" w:rsidRPr="00A51861">
        <w:rPr>
          <w:rFonts w:ascii="Cambria" w:hAnsi="Cambria"/>
          <w:sz w:val="20"/>
          <w:szCs w:val="20"/>
          <w:bdr w:val="none" w:sz="0" w:space="0" w:color="auto"/>
        </w:rPr>
        <w:t xml:space="preserve"> </w:t>
      </w:r>
      <w:r w:rsidR="00E92985">
        <w:rPr>
          <w:rFonts w:ascii="Cambria" w:hAnsi="Cambria"/>
          <w:sz w:val="20"/>
          <w:szCs w:val="20"/>
          <w:bdr w:val="none" w:sz="0" w:space="0" w:color="auto"/>
        </w:rPr>
        <w:t>decisions</w:t>
      </w:r>
      <w:r w:rsidR="00773B3C" w:rsidRPr="00A51861">
        <w:rPr>
          <w:rFonts w:ascii="Cambria" w:hAnsi="Cambria"/>
          <w:sz w:val="20"/>
          <w:szCs w:val="20"/>
          <w:bdr w:val="none" w:sz="0" w:space="0" w:color="auto"/>
        </w:rPr>
        <w:t>,</w:t>
      </w:r>
      <w:r w:rsidR="006A3C04">
        <w:rPr>
          <w:rFonts w:ascii="Cambria" w:hAnsi="Cambria"/>
          <w:sz w:val="20"/>
          <w:szCs w:val="20"/>
          <w:bdr w:val="none" w:sz="0" w:space="0" w:color="auto"/>
        </w:rPr>
        <w:t xml:space="preserve"> the facts</w:t>
      </w:r>
      <w:r w:rsidR="00E92985">
        <w:rPr>
          <w:rFonts w:ascii="Cambria" w:hAnsi="Cambria"/>
          <w:sz w:val="20"/>
          <w:szCs w:val="20"/>
          <w:bdr w:val="none" w:sz="0" w:space="0" w:color="auto"/>
        </w:rPr>
        <w:t xml:space="preserve"> of </w:t>
      </w:r>
      <w:r w:rsidR="006E255A">
        <w:rPr>
          <w:rFonts w:ascii="Cambria" w:hAnsi="Cambria"/>
          <w:sz w:val="20"/>
          <w:szCs w:val="20"/>
          <w:bdr w:val="none" w:sz="0" w:space="0" w:color="auto"/>
        </w:rPr>
        <w:t>detention</w:t>
      </w:r>
      <w:r w:rsidR="00F178A3" w:rsidRPr="00A51861">
        <w:rPr>
          <w:rFonts w:ascii="Cambria" w:hAnsi="Cambria"/>
          <w:sz w:val="20"/>
          <w:szCs w:val="20"/>
          <w:bdr w:val="none" w:sz="0" w:space="0" w:color="auto"/>
        </w:rPr>
        <w:t xml:space="preserve"> </w:t>
      </w:r>
      <w:r w:rsidR="00B947BD">
        <w:rPr>
          <w:rFonts w:ascii="Cambria" w:hAnsi="Cambria"/>
          <w:sz w:val="20"/>
          <w:szCs w:val="20"/>
          <w:bdr w:val="none" w:sz="0" w:space="0" w:color="auto"/>
        </w:rPr>
        <w:t>occurred</w:t>
      </w:r>
      <w:r w:rsidR="00F178A3" w:rsidRPr="00A51861">
        <w:rPr>
          <w:rFonts w:ascii="Cambria" w:hAnsi="Cambria"/>
          <w:sz w:val="20"/>
          <w:szCs w:val="20"/>
          <w:bdr w:val="none" w:sz="0" w:space="0" w:color="auto"/>
        </w:rPr>
        <w:t xml:space="preserve"> </w:t>
      </w:r>
      <w:r w:rsidR="001C7FB7">
        <w:rPr>
          <w:rFonts w:ascii="Cambria" w:hAnsi="Cambria"/>
          <w:sz w:val="20"/>
          <w:szCs w:val="20"/>
          <w:bdr w:val="none" w:sz="0" w:space="0" w:color="auto"/>
        </w:rPr>
        <w:t>beyond the timeframe set by</w:t>
      </w:r>
      <w:r w:rsidR="00E92985">
        <w:rPr>
          <w:rFonts w:ascii="Cambria" w:hAnsi="Cambria"/>
          <w:sz w:val="20"/>
          <w:szCs w:val="20"/>
          <w:bdr w:val="none" w:sz="0" w:space="0" w:color="auto"/>
        </w:rPr>
        <w:t xml:space="preserve"> </w:t>
      </w:r>
      <w:r w:rsidR="002835FC" w:rsidRPr="00A51861">
        <w:rPr>
          <w:rFonts w:ascii="Cambria" w:hAnsi="Cambria"/>
          <w:sz w:val="20"/>
          <w:szCs w:val="20"/>
          <w:bdr w:val="none" w:sz="0" w:space="0" w:color="auto"/>
        </w:rPr>
        <w:t xml:space="preserve">Law </w:t>
      </w:r>
      <w:r w:rsidR="00773B3C" w:rsidRPr="00A51861">
        <w:rPr>
          <w:rFonts w:ascii="Cambria" w:hAnsi="Cambria"/>
          <w:sz w:val="20"/>
          <w:szCs w:val="20"/>
          <w:bdr w:val="none" w:sz="0" w:space="0" w:color="auto"/>
        </w:rPr>
        <w:t>24.043,</w:t>
      </w:r>
      <w:r w:rsidR="00E64C43">
        <w:rPr>
          <w:rFonts w:ascii="Cambria" w:hAnsi="Cambria"/>
          <w:sz w:val="20"/>
          <w:szCs w:val="20"/>
          <w:bdr w:val="none" w:sz="0" w:space="0" w:color="auto"/>
        </w:rPr>
        <w:t xml:space="preserve"> this</w:t>
      </w:r>
      <w:r w:rsidR="00D70A85">
        <w:rPr>
          <w:rFonts w:ascii="Cambria" w:hAnsi="Cambria"/>
          <w:sz w:val="20"/>
          <w:szCs w:val="20"/>
          <w:bdr w:val="none" w:sz="0" w:space="0" w:color="auto"/>
        </w:rPr>
        <w:t xml:space="preserve"> is </w:t>
      </w:r>
      <w:r w:rsidR="001C7FB7">
        <w:rPr>
          <w:rFonts w:ascii="Cambria" w:hAnsi="Cambria"/>
          <w:sz w:val="20"/>
          <w:szCs w:val="20"/>
          <w:bdr w:val="none" w:sz="0" w:space="0" w:color="auto"/>
        </w:rPr>
        <w:t>in June</w:t>
      </w:r>
      <w:r w:rsidR="00E92985">
        <w:rPr>
          <w:rFonts w:ascii="Cambria" w:hAnsi="Cambria"/>
          <w:sz w:val="20"/>
          <w:szCs w:val="20"/>
          <w:bdr w:val="none" w:sz="0" w:space="0" w:color="auto"/>
        </w:rPr>
        <w:t xml:space="preserve"> of </w:t>
      </w:r>
      <w:r w:rsidR="00773B3C" w:rsidRPr="00A51861">
        <w:rPr>
          <w:rFonts w:ascii="Cambria" w:hAnsi="Cambria"/>
          <w:sz w:val="20"/>
          <w:szCs w:val="20"/>
          <w:bdr w:val="none" w:sz="0" w:space="0" w:color="auto"/>
        </w:rPr>
        <w:t xml:space="preserve">1974. </w:t>
      </w:r>
      <w:r w:rsidR="00376318">
        <w:rPr>
          <w:rFonts w:ascii="Cambria" w:hAnsi="Cambria"/>
          <w:sz w:val="20"/>
          <w:szCs w:val="20"/>
          <w:bdr w:val="none" w:sz="0" w:space="0" w:color="auto"/>
        </w:rPr>
        <w:t>However</w:t>
      </w:r>
      <w:r w:rsidR="00F32162" w:rsidRPr="00A51861">
        <w:rPr>
          <w:rFonts w:ascii="Cambria" w:hAnsi="Cambria"/>
          <w:sz w:val="20"/>
          <w:szCs w:val="20"/>
          <w:bdr w:val="none" w:sz="0" w:space="0" w:color="auto"/>
        </w:rPr>
        <w:t xml:space="preserve">, </w:t>
      </w:r>
      <w:r w:rsidR="001C7FB7">
        <w:rPr>
          <w:rFonts w:ascii="Cambria" w:hAnsi="Cambria"/>
          <w:sz w:val="20"/>
          <w:szCs w:val="20"/>
          <w:bdr w:val="none" w:sz="0" w:space="0" w:color="auto"/>
        </w:rPr>
        <w:t>it is noted that there was a sequence</w:t>
      </w:r>
      <w:r w:rsidR="00773B3C" w:rsidRPr="00A51861">
        <w:rPr>
          <w:rFonts w:ascii="Cambria" w:hAnsi="Cambria"/>
          <w:sz w:val="20"/>
          <w:szCs w:val="20"/>
          <w:u w:color="000000"/>
        </w:rPr>
        <w:t xml:space="preserve"> </w:t>
      </w:r>
      <w:r w:rsidR="001C7FB7">
        <w:rPr>
          <w:rFonts w:ascii="Cambria" w:hAnsi="Cambria"/>
          <w:sz w:val="20"/>
          <w:szCs w:val="20"/>
          <w:u w:color="000000"/>
        </w:rPr>
        <w:t>which followed</w:t>
      </w:r>
      <w:r w:rsidR="009A4F91">
        <w:rPr>
          <w:rFonts w:ascii="Cambria" w:hAnsi="Cambria"/>
          <w:sz w:val="20"/>
          <w:szCs w:val="20"/>
          <w:u w:color="000000"/>
        </w:rPr>
        <w:t xml:space="preserve"> the </w:t>
      </w:r>
      <w:r w:rsidR="006E255A">
        <w:rPr>
          <w:rFonts w:ascii="Cambria" w:hAnsi="Cambria"/>
          <w:sz w:val="20"/>
          <w:szCs w:val="20"/>
          <w:u w:color="000000"/>
        </w:rPr>
        <w:t>detention</w:t>
      </w:r>
      <w:r w:rsidR="00773B3C" w:rsidRPr="00A51861">
        <w:rPr>
          <w:rFonts w:ascii="Cambria" w:hAnsi="Cambria"/>
          <w:sz w:val="20"/>
          <w:szCs w:val="20"/>
          <w:u w:color="000000"/>
        </w:rPr>
        <w:t xml:space="preserve"> </w:t>
      </w:r>
      <w:r w:rsidR="002B762A">
        <w:rPr>
          <w:rFonts w:ascii="Cambria" w:hAnsi="Cambria"/>
          <w:sz w:val="20"/>
          <w:szCs w:val="20"/>
          <w:u w:color="000000"/>
        </w:rPr>
        <w:t xml:space="preserve">by the </w:t>
      </w:r>
      <w:r w:rsidR="000B3507">
        <w:rPr>
          <w:rFonts w:ascii="Cambria" w:hAnsi="Cambria"/>
          <w:sz w:val="20"/>
          <w:szCs w:val="20"/>
          <w:u w:color="000000"/>
        </w:rPr>
        <w:t>National Executive Power</w:t>
      </w:r>
      <w:r w:rsidR="00773B3C" w:rsidRPr="00A51861">
        <w:rPr>
          <w:rFonts w:ascii="Cambria" w:hAnsi="Cambria"/>
          <w:sz w:val="20"/>
          <w:szCs w:val="20"/>
          <w:u w:color="000000"/>
        </w:rPr>
        <w:t xml:space="preserve">, </w:t>
      </w:r>
      <w:r w:rsidR="001C7FB7">
        <w:rPr>
          <w:rFonts w:ascii="Cambria" w:hAnsi="Cambria"/>
          <w:sz w:val="20"/>
          <w:szCs w:val="20"/>
          <w:u w:color="000000"/>
        </w:rPr>
        <w:t>which contain the</w:t>
      </w:r>
      <w:r w:rsidR="006A3C04">
        <w:rPr>
          <w:rFonts w:ascii="Cambria" w:hAnsi="Cambria"/>
          <w:sz w:val="20"/>
          <w:szCs w:val="20"/>
          <w:u w:color="000000"/>
        </w:rPr>
        <w:t xml:space="preserve"> facts</w:t>
      </w:r>
      <w:r w:rsidR="00E92985">
        <w:rPr>
          <w:rFonts w:ascii="Cambria" w:hAnsi="Cambria"/>
          <w:sz w:val="20"/>
          <w:szCs w:val="20"/>
          <w:u w:color="000000"/>
        </w:rPr>
        <w:t xml:space="preserve"> of </w:t>
      </w:r>
      <w:r w:rsidR="00BD6923">
        <w:rPr>
          <w:rFonts w:ascii="Cambria" w:hAnsi="Cambria"/>
          <w:sz w:val="20"/>
          <w:szCs w:val="20"/>
          <w:u w:color="000000"/>
        </w:rPr>
        <w:t>persecution</w:t>
      </w:r>
      <w:r w:rsidR="00E92985">
        <w:rPr>
          <w:rFonts w:ascii="Cambria" w:hAnsi="Cambria"/>
          <w:sz w:val="20"/>
          <w:szCs w:val="20"/>
          <w:u w:color="000000"/>
        </w:rPr>
        <w:t xml:space="preserve"> and </w:t>
      </w:r>
      <w:r w:rsidR="00B74DB5">
        <w:rPr>
          <w:rFonts w:ascii="Cambria" w:hAnsi="Cambria"/>
          <w:sz w:val="20"/>
          <w:szCs w:val="20"/>
          <w:u w:color="000000"/>
        </w:rPr>
        <w:t>harassment</w:t>
      </w:r>
      <w:r w:rsidR="00773B3C" w:rsidRPr="00A51861">
        <w:rPr>
          <w:rFonts w:ascii="Cambria" w:hAnsi="Cambria"/>
          <w:sz w:val="20"/>
          <w:szCs w:val="20"/>
          <w:u w:color="000000"/>
        </w:rPr>
        <w:t xml:space="preserve">, </w:t>
      </w:r>
      <w:r w:rsidR="001C7FB7">
        <w:rPr>
          <w:rFonts w:ascii="Cambria" w:hAnsi="Cambria"/>
          <w:sz w:val="20"/>
          <w:szCs w:val="20"/>
          <w:u w:color="000000"/>
        </w:rPr>
        <w:t>the initiation of proceedings</w:t>
      </w:r>
      <w:r w:rsidR="00E92985">
        <w:rPr>
          <w:rFonts w:ascii="Cambria" w:hAnsi="Cambria"/>
          <w:sz w:val="20"/>
          <w:szCs w:val="20"/>
          <w:u w:color="000000"/>
        </w:rPr>
        <w:t xml:space="preserve"> of </w:t>
      </w:r>
      <w:r w:rsidR="00103579">
        <w:rPr>
          <w:rFonts w:ascii="Cambria" w:hAnsi="Cambria"/>
          <w:sz w:val="20"/>
          <w:szCs w:val="20"/>
          <w:u w:color="000000"/>
        </w:rPr>
        <w:t>expulsion</w:t>
      </w:r>
      <w:r w:rsidR="00E92985">
        <w:rPr>
          <w:rFonts w:ascii="Cambria" w:hAnsi="Cambria"/>
          <w:sz w:val="20"/>
          <w:szCs w:val="20"/>
          <w:u w:color="000000"/>
        </w:rPr>
        <w:t xml:space="preserve"> and </w:t>
      </w:r>
      <w:r w:rsidR="00773B3C" w:rsidRPr="00A51861">
        <w:rPr>
          <w:rFonts w:ascii="Cambria" w:hAnsi="Cambria"/>
          <w:color w:val="000000" w:themeColor="text1"/>
          <w:sz w:val="20"/>
          <w:szCs w:val="20"/>
        </w:rPr>
        <w:t>final</w:t>
      </w:r>
      <w:r w:rsidR="0029564F">
        <w:rPr>
          <w:rFonts w:ascii="Cambria" w:hAnsi="Cambria"/>
          <w:color w:val="000000" w:themeColor="text1"/>
          <w:sz w:val="20"/>
          <w:szCs w:val="20"/>
        </w:rPr>
        <w:t>ly</w:t>
      </w:r>
      <w:r w:rsidR="009A4F91">
        <w:rPr>
          <w:rFonts w:ascii="Cambria" w:hAnsi="Cambria"/>
          <w:color w:val="000000" w:themeColor="text1"/>
          <w:sz w:val="20"/>
          <w:szCs w:val="20"/>
        </w:rPr>
        <w:t xml:space="preserve"> the </w:t>
      </w:r>
      <w:r w:rsidR="001C7FB7">
        <w:rPr>
          <w:rFonts w:ascii="Cambria" w:hAnsi="Cambria"/>
          <w:sz w:val="20"/>
          <w:szCs w:val="20"/>
          <w:u w:color="000000"/>
        </w:rPr>
        <w:t>loss</w:t>
      </w:r>
      <w:r w:rsidR="004969F4">
        <w:rPr>
          <w:rFonts w:ascii="Cambria" w:hAnsi="Cambria"/>
          <w:sz w:val="20"/>
          <w:szCs w:val="20"/>
          <w:u w:color="000000"/>
        </w:rPr>
        <w:t xml:space="preserve"> of </w:t>
      </w:r>
      <w:r w:rsidR="009A4F91">
        <w:rPr>
          <w:rFonts w:ascii="Cambria" w:hAnsi="Cambria"/>
          <w:sz w:val="20"/>
          <w:szCs w:val="20"/>
          <w:u w:color="000000"/>
        </w:rPr>
        <w:t>the right to</w:t>
      </w:r>
      <w:r w:rsidR="00773B3C" w:rsidRPr="00A51861">
        <w:rPr>
          <w:rFonts w:ascii="Cambria" w:hAnsi="Cambria"/>
          <w:sz w:val="20"/>
          <w:szCs w:val="20"/>
          <w:u w:color="000000"/>
        </w:rPr>
        <w:t xml:space="preserve"> </w:t>
      </w:r>
      <w:r w:rsidR="001C7FB7">
        <w:rPr>
          <w:rFonts w:ascii="Cambria" w:hAnsi="Cambria"/>
          <w:sz w:val="20"/>
          <w:szCs w:val="20"/>
          <w:u w:color="000000"/>
        </w:rPr>
        <w:t>remain and move throughout the country</w:t>
      </w:r>
      <w:r w:rsidR="00E92985">
        <w:rPr>
          <w:rFonts w:ascii="Cambria" w:hAnsi="Cambria"/>
          <w:sz w:val="20"/>
          <w:szCs w:val="20"/>
          <w:u w:color="000000"/>
        </w:rPr>
        <w:t xml:space="preserve"> </w:t>
      </w:r>
      <w:r w:rsidR="001C7FB7">
        <w:rPr>
          <w:rFonts w:ascii="Cambria" w:hAnsi="Cambria"/>
          <w:sz w:val="20"/>
          <w:szCs w:val="20"/>
          <w:u w:color="000000"/>
        </w:rPr>
        <w:t>pursuant to the</w:t>
      </w:r>
      <w:r w:rsidR="002B762A">
        <w:rPr>
          <w:rFonts w:ascii="Cambria" w:hAnsi="Cambria"/>
          <w:sz w:val="20"/>
          <w:szCs w:val="20"/>
          <w:u w:color="000000"/>
        </w:rPr>
        <w:t xml:space="preserve"> </w:t>
      </w:r>
      <w:r w:rsidR="001C7FB7">
        <w:rPr>
          <w:rFonts w:ascii="Cambria" w:hAnsi="Cambria"/>
          <w:sz w:val="20"/>
          <w:szCs w:val="20"/>
          <w:u w:color="000000"/>
        </w:rPr>
        <w:t>due exercise of the</w:t>
      </w:r>
      <w:r w:rsidR="00773B3C" w:rsidRPr="00A51861">
        <w:rPr>
          <w:rFonts w:ascii="Cambria" w:hAnsi="Cambria"/>
          <w:sz w:val="20"/>
          <w:szCs w:val="20"/>
          <w:u w:color="000000"/>
        </w:rPr>
        <w:t xml:space="preserve"> </w:t>
      </w:r>
      <w:r w:rsidR="001C7FB7">
        <w:rPr>
          <w:rFonts w:ascii="Cambria" w:hAnsi="Cambria"/>
          <w:sz w:val="20"/>
          <w:szCs w:val="20"/>
          <w:u w:color="000000"/>
        </w:rPr>
        <w:t>power</w:t>
      </w:r>
      <w:r w:rsidR="00773B3C" w:rsidRPr="00A51861">
        <w:rPr>
          <w:rFonts w:ascii="Cambria" w:hAnsi="Cambria"/>
          <w:sz w:val="20"/>
          <w:szCs w:val="20"/>
          <w:u w:color="000000"/>
        </w:rPr>
        <w:t xml:space="preserve">s </w:t>
      </w:r>
      <w:r w:rsidR="001C7FB7">
        <w:rPr>
          <w:rFonts w:ascii="Cambria" w:hAnsi="Cambria"/>
          <w:sz w:val="20"/>
          <w:szCs w:val="20"/>
          <w:u w:color="000000"/>
        </w:rPr>
        <w:t>which had been granted to them by means of</w:t>
      </w:r>
      <w:r w:rsidR="00E92985">
        <w:rPr>
          <w:rFonts w:ascii="Cambria" w:hAnsi="Cambria"/>
          <w:sz w:val="20"/>
          <w:szCs w:val="20"/>
          <w:u w:color="000000"/>
        </w:rPr>
        <w:t xml:space="preserve"> </w:t>
      </w:r>
      <w:r w:rsidR="001C7FB7">
        <w:rPr>
          <w:rFonts w:ascii="Cambria" w:hAnsi="Cambria"/>
          <w:sz w:val="20"/>
          <w:szCs w:val="20"/>
          <w:u w:color="000000"/>
        </w:rPr>
        <w:t>their</w:t>
      </w:r>
      <w:r w:rsidR="00773B3C" w:rsidRPr="00A51861">
        <w:rPr>
          <w:rFonts w:ascii="Cambria" w:hAnsi="Cambria"/>
          <w:sz w:val="20"/>
          <w:szCs w:val="20"/>
          <w:u w:color="000000"/>
        </w:rPr>
        <w:t xml:space="preserve"> </w:t>
      </w:r>
      <w:r w:rsidR="001C7FB7" w:rsidRPr="00A51861">
        <w:rPr>
          <w:rFonts w:ascii="Cambria" w:hAnsi="Cambria"/>
          <w:sz w:val="20"/>
          <w:szCs w:val="20"/>
          <w:u w:color="000000"/>
        </w:rPr>
        <w:t>temporar</w:t>
      </w:r>
      <w:r w:rsidR="001C7FB7">
        <w:rPr>
          <w:rFonts w:ascii="Cambria" w:hAnsi="Cambria"/>
          <w:sz w:val="20"/>
          <w:szCs w:val="20"/>
          <w:u w:color="000000"/>
        </w:rPr>
        <w:t xml:space="preserve">y </w:t>
      </w:r>
      <w:r w:rsidR="008333FF">
        <w:rPr>
          <w:rFonts w:ascii="Cambria" w:hAnsi="Cambria"/>
          <w:sz w:val="20"/>
          <w:szCs w:val="20"/>
          <w:u w:color="000000"/>
        </w:rPr>
        <w:t>residenc</w:t>
      </w:r>
      <w:r w:rsidR="001C7FB7">
        <w:rPr>
          <w:rFonts w:ascii="Cambria" w:hAnsi="Cambria"/>
          <w:sz w:val="20"/>
          <w:szCs w:val="20"/>
          <w:u w:color="000000"/>
        </w:rPr>
        <w:t>ie</w:t>
      </w:r>
      <w:r w:rsidR="00773B3C" w:rsidRPr="00A51861">
        <w:rPr>
          <w:rFonts w:ascii="Cambria" w:hAnsi="Cambria"/>
          <w:sz w:val="20"/>
          <w:szCs w:val="20"/>
          <w:u w:color="000000"/>
        </w:rPr>
        <w:t>s.</w:t>
      </w:r>
      <w:r w:rsidR="00773B3C" w:rsidRPr="00A51861">
        <w:rPr>
          <w:rFonts w:ascii="Cambria" w:hAnsi="Cambria"/>
          <w:sz w:val="20"/>
          <w:szCs w:val="20"/>
          <w:bdr w:val="none" w:sz="0" w:space="0" w:color="auto"/>
        </w:rPr>
        <w:t xml:space="preserve"> </w:t>
      </w:r>
      <w:r w:rsidR="001C7FB7">
        <w:rPr>
          <w:rFonts w:ascii="Cambria" w:hAnsi="Cambria"/>
          <w:sz w:val="20"/>
          <w:szCs w:val="20"/>
          <w:bdr w:val="none" w:sz="0" w:space="0" w:color="auto"/>
        </w:rPr>
        <w:t>Said sequence extended beyond November</w:t>
      </w:r>
      <w:r w:rsidR="004969F4">
        <w:rPr>
          <w:rFonts w:ascii="Cambria" w:hAnsi="Cambria"/>
          <w:sz w:val="20"/>
          <w:szCs w:val="20"/>
          <w:bdr w:val="none" w:sz="0" w:space="0" w:color="auto"/>
        </w:rPr>
        <w:t xml:space="preserve"> </w:t>
      </w:r>
      <w:r w:rsidR="00773B3C" w:rsidRPr="00A51861">
        <w:rPr>
          <w:rFonts w:ascii="Cambria" w:hAnsi="Cambria"/>
          <w:sz w:val="20"/>
          <w:szCs w:val="20"/>
          <w:bdr w:val="none" w:sz="0" w:space="0" w:color="auto"/>
        </w:rPr>
        <w:t>6</w:t>
      </w:r>
      <w:r w:rsidR="001C7FB7">
        <w:rPr>
          <w:rFonts w:ascii="Cambria" w:hAnsi="Cambria"/>
          <w:sz w:val="20"/>
          <w:szCs w:val="20"/>
          <w:bdr w:val="none" w:sz="0" w:space="0" w:color="auto"/>
        </w:rPr>
        <w:t xml:space="preserve">, </w:t>
      </w:r>
      <w:r w:rsidR="00773B3C" w:rsidRPr="00A51861">
        <w:rPr>
          <w:rFonts w:ascii="Cambria" w:hAnsi="Cambria"/>
          <w:sz w:val="20"/>
          <w:szCs w:val="20"/>
          <w:bdr w:val="none" w:sz="0" w:space="0" w:color="auto"/>
        </w:rPr>
        <w:t>1974</w:t>
      </w:r>
      <w:r w:rsidR="00E92985">
        <w:rPr>
          <w:rFonts w:ascii="Cambria" w:hAnsi="Cambria"/>
          <w:sz w:val="20"/>
          <w:szCs w:val="20"/>
          <w:bdr w:val="none" w:sz="0" w:space="0" w:color="auto"/>
        </w:rPr>
        <w:t xml:space="preserve"> and </w:t>
      </w:r>
      <w:r w:rsidR="001C7FB7">
        <w:rPr>
          <w:rFonts w:ascii="Cambria" w:hAnsi="Cambria"/>
          <w:sz w:val="20"/>
          <w:szCs w:val="20"/>
          <w:bdr w:val="none" w:sz="0" w:space="0" w:color="auto"/>
        </w:rPr>
        <w:t>persisted until July</w:t>
      </w:r>
      <w:r w:rsidR="00E92985">
        <w:rPr>
          <w:rFonts w:ascii="Cambria" w:hAnsi="Cambria"/>
          <w:sz w:val="20"/>
          <w:szCs w:val="20"/>
          <w:bdr w:val="none" w:sz="0" w:space="0" w:color="auto"/>
        </w:rPr>
        <w:t xml:space="preserve"> </w:t>
      </w:r>
      <w:r w:rsidR="00773B3C" w:rsidRPr="00A51861">
        <w:rPr>
          <w:rFonts w:ascii="Cambria" w:hAnsi="Cambria"/>
          <w:sz w:val="20"/>
          <w:szCs w:val="20"/>
          <w:bdr w:val="none" w:sz="0" w:space="0" w:color="auto"/>
        </w:rPr>
        <w:t xml:space="preserve">1975 </w:t>
      </w:r>
      <w:r w:rsidR="001C7FB7">
        <w:rPr>
          <w:rFonts w:ascii="Cambria" w:hAnsi="Cambria"/>
          <w:sz w:val="20"/>
          <w:szCs w:val="20"/>
          <w:bdr w:val="none" w:sz="0" w:space="0" w:color="auto"/>
        </w:rPr>
        <w:t>when they were expelled from</w:t>
      </w:r>
      <w:r w:rsidR="00E92985">
        <w:rPr>
          <w:rFonts w:ascii="Cambria" w:hAnsi="Cambria"/>
          <w:sz w:val="20"/>
          <w:szCs w:val="20"/>
          <w:bdr w:val="none" w:sz="0" w:space="0" w:color="auto"/>
        </w:rPr>
        <w:t xml:space="preserve"> </w:t>
      </w:r>
      <w:r w:rsidR="00773B3C" w:rsidRPr="00A51861">
        <w:rPr>
          <w:rFonts w:ascii="Cambria" w:hAnsi="Cambria"/>
          <w:sz w:val="20"/>
          <w:szCs w:val="20"/>
          <w:bdr w:val="none" w:sz="0" w:space="0" w:color="auto"/>
        </w:rPr>
        <w:t>Argentina</w:t>
      </w:r>
      <w:r w:rsidR="00E92985">
        <w:rPr>
          <w:rFonts w:ascii="Cambria" w:hAnsi="Cambria"/>
          <w:sz w:val="20"/>
          <w:szCs w:val="20"/>
          <w:bdr w:val="none" w:sz="0" w:space="0" w:color="auto"/>
        </w:rPr>
        <w:t xml:space="preserve"> and </w:t>
      </w:r>
      <w:r w:rsidR="001C7FB7">
        <w:rPr>
          <w:rFonts w:ascii="Cambria" w:hAnsi="Cambria"/>
          <w:sz w:val="20"/>
          <w:szCs w:val="20"/>
          <w:bdr w:val="none" w:sz="0" w:space="0" w:color="auto"/>
        </w:rPr>
        <w:t>had to leave the country</w:t>
      </w:r>
      <w:r w:rsidR="002B762A">
        <w:rPr>
          <w:rFonts w:ascii="Cambria" w:hAnsi="Cambria"/>
          <w:sz w:val="20"/>
          <w:szCs w:val="20"/>
          <w:bdr w:val="none" w:sz="0" w:space="0" w:color="auto"/>
        </w:rPr>
        <w:t xml:space="preserve"> </w:t>
      </w:r>
      <w:r w:rsidR="001C7FB7">
        <w:rPr>
          <w:rFonts w:ascii="Cambria" w:hAnsi="Cambria"/>
          <w:sz w:val="20"/>
          <w:szCs w:val="20"/>
          <w:bdr w:val="none" w:sz="0" w:space="0" w:color="auto"/>
        </w:rPr>
        <w:t xml:space="preserve">toward </w:t>
      </w:r>
      <w:r w:rsidR="00BD6923">
        <w:rPr>
          <w:rFonts w:ascii="Cambria" w:hAnsi="Cambria"/>
          <w:sz w:val="20"/>
          <w:szCs w:val="20"/>
          <w:bdr w:val="none" w:sz="0" w:space="0" w:color="auto"/>
        </w:rPr>
        <w:t>Sweden</w:t>
      </w:r>
      <w:r w:rsidR="00F646B3" w:rsidRPr="00A51861">
        <w:rPr>
          <w:rFonts w:ascii="Cambria" w:hAnsi="Cambria"/>
          <w:sz w:val="20"/>
          <w:szCs w:val="20"/>
          <w:bdr w:val="none" w:sz="0" w:space="0" w:color="auto"/>
        </w:rPr>
        <w:t xml:space="preserve"> </w:t>
      </w:r>
      <w:r w:rsidR="001C7FB7">
        <w:rPr>
          <w:rFonts w:ascii="Cambria" w:hAnsi="Cambria"/>
          <w:sz w:val="20"/>
          <w:szCs w:val="20"/>
          <w:bdr w:val="none" w:sz="0" w:space="0" w:color="auto"/>
        </w:rPr>
        <w:t xml:space="preserve">as </w:t>
      </w:r>
      <w:r w:rsidR="005F7F4D">
        <w:rPr>
          <w:rFonts w:ascii="Cambria" w:hAnsi="Cambria"/>
          <w:sz w:val="20"/>
          <w:szCs w:val="20"/>
          <w:bdr w:val="none" w:sz="0" w:space="0" w:color="auto"/>
        </w:rPr>
        <w:t>political refugees</w:t>
      </w:r>
      <w:r w:rsidR="00F32162" w:rsidRPr="00A51861">
        <w:rPr>
          <w:rFonts w:ascii="Cambria" w:hAnsi="Cambria"/>
          <w:sz w:val="20"/>
          <w:szCs w:val="20"/>
          <w:bdr w:val="none" w:sz="0" w:space="0" w:color="auto"/>
        </w:rPr>
        <w:t xml:space="preserve">. </w:t>
      </w:r>
      <w:r w:rsidR="00773B3C" w:rsidRPr="00A51861">
        <w:rPr>
          <w:rFonts w:ascii="Cambria" w:hAnsi="Cambria"/>
          <w:sz w:val="20"/>
          <w:szCs w:val="20"/>
          <w:bdr w:val="none" w:sz="0" w:space="0" w:color="auto"/>
        </w:rPr>
        <w:t xml:space="preserve"> </w:t>
      </w:r>
    </w:p>
    <w:p w14:paraId="5D16D3D9" w14:textId="77777777" w:rsidR="00773B3C" w:rsidRPr="00A51861" w:rsidRDefault="00773B3C" w:rsidP="008E4D36">
      <w:pPr>
        <w:ind w:left="720"/>
        <w:rPr>
          <w:rFonts w:ascii="Cambria" w:hAnsi="Cambria"/>
          <w:color w:val="000000"/>
          <w:sz w:val="20"/>
          <w:szCs w:val="20"/>
          <w:u w:color="000000"/>
          <w:lang w:eastAsia="es-ES"/>
        </w:rPr>
      </w:pPr>
    </w:p>
    <w:p w14:paraId="4FCA1AF3" w14:textId="7562AD23" w:rsidR="00F646B3" w:rsidRPr="00A51861" w:rsidRDefault="00E92985"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bdr w:val="none" w:sz="0" w:space="0" w:color="auto"/>
        </w:rPr>
      </w:pPr>
      <w:r>
        <w:rPr>
          <w:rFonts w:ascii="Cambria" w:eastAsia="Calibri" w:hAnsi="Cambria"/>
          <w:sz w:val="20"/>
          <w:szCs w:val="20"/>
          <w:bdr w:val="none" w:sz="0" w:space="0" w:color="auto"/>
        </w:rPr>
        <w:t>The Commission</w:t>
      </w:r>
      <w:r w:rsidR="00773B3C" w:rsidRPr="00A51861">
        <w:rPr>
          <w:rFonts w:ascii="Cambria" w:eastAsia="Calibri" w:hAnsi="Cambria"/>
          <w:sz w:val="20"/>
          <w:szCs w:val="20"/>
          <w:bdr w:val="none" w:sz="0" w:space="0" w:color="auto"/>
        </w:rPr>
        <w:t xml:space="preserve"> </w:t>
      </w:r>
      <w:r w:rsidR="00A51861" w:rsidRPr="00A51861">
        <w:rPr>
          <w:rFonts w:ascii="Cambria" w:eastAsia="Calibri" w:hAnsi="Cambria"/>
          <w:sz w:val="20"/>
          <w:szCs w:val="20"/>
          <w:bdr w:val="none" w:sz="0" w:space="0" w:color="auto"/>
        </w:rPr>
        <w:t>observes that</w:t>
      </w:r>
      <w:r w:rsidR="00773B3C" w:rsidRPr="00A51861">
        <w:rPr>
          <w:rFonts w:ascii="Cambria" w:eastAsia="Calibri" w:hAnsi="Cambria"/>
          <w:sz w:val="20"/>
          <w:szCs w:val="20"/>
          <w:bdr w:val="none" w:sz="0" w:space="0" w:color="auto"/>
        </w:rPr>
        <w:t xml:space="preserve"> </w:t>
      </w:r>
      <w:r w:rsidR="007C16F9">
        <w:rPr>
          <w:rFonts w:ascii="Cambria" w:eastAsia="Calibri" w:hAnsi="Cambria"/>
          <w:sz w:val="20"/>
          <w:szCs w:val="20"/>
          <w:bdr w:val="none" w:sz="0" w:space="0" w:color="auto"/>
        </w:rPr>
        <w:t xml:space="preserve">both </w:t>
      </w:r>
      <w:r w:rsidR="00FA4A3C">
        <w:rPr>
          <w:rFonts w:ascii="Cambria" w:eastAsia="Calibri" w:hAnsi="Cambria"/>
          <w:sz w:val="20"/>
          <w:szCs w:val="20"/>
          <w:bdr w:val="none" w:sz="0" w:space="0" w:color="auto"/>
        </w:rPr>
        <w:t>in their appeal</w:t>
      </w:r>
      <w:r>
        <w:rPr>
          <w:rFonts w:ascii="Cambria" w:eastAsia="Calibri" w:hAnsi="Cambria"/>
          <w:sz w:val="20"/>
          <w:szCs w:val="20"/>
          <w:bdr w:val="none" w:sz="0" w:space="0" w:color="auto"/>
        </w:rPr>
        <w:t xml:space="preserve"> </w:t>
      </w:r>
      <w:r w:rsidR="00FA4A3C">
        <w:rPr>
          <w:rFonts w:ascii="Cambria" w:eastAsia="Calibri" w:hAnsi="Cambria"/>
          <w:sz w:val="20"/>
          <w:szCs w:val="20"/>
          <w:bdr w:val="none" w:sz="0" w:space="0" w:color="auto"/>
        </w:rPr>
        <w:t>and</w:t>
      </w:r>
      <w:r w:rsidR="00773B3C" w:rsidRPr="00A51861">
        <w:rPr>
          <w:rFonts w:ascii="Cambria" w:eastAsia="Calibri" w:hAnsi="Cambria"/>
          <w:sz w:val="20"/>
          <w:szCs w:val="20"/>
          <w:bdr w:val="none" w:sz="0" w:space="0" w:color="auto"/>
        </w:rPr>
        <w:t xml:space="preserve"> extraordinar</w:t>
      </w:r>
      <w:r w:rsidR="00FA4A3C">
        <w:rPr>
          <w:rFonts w:ascii="Cambria" w:eastAsia="Calibri" w:hAnsi="Cambria"/>
          <w:sz w:val="20"/>
          <w:szCs w:val="20"/>
          <w:bdr w:val="none" w:sz="0" w:space="0" w:color="auto"/>
        </w:rPr>
        <w:t>y</w:t>
      </w:r>
      <w:r w:rsidR="007C16F9" w:rsidRPr="007C16F9">
        <w:rPr>
          <w:rFonts w:ascii="Cambria" w:eastAsia="Calibri" w:hAnsi="Cambria"/>
          <w:sz w:val="20"/>
          <w:szCs w:val="20"/>
          <w:bdr w:val="none" w:sz="0" w:space="0" w:color="auto"/>
        </w:rPr>
        <w:t xml:space="preserve"> </w:t>
      </w:r>
      <w:r w:rsidR="007C16F9">
        <w:rPr>
          <w:rFonts w:ascii="Cambria" w:eastAsia="Calibri" w:hAnsi="Cambria"/>
          <w:sz w:val="20"/>
          <w:szCs w:val="20"/>
          <w:bdr w:val="none" w:sz="0" w:space="0" w:color="auto"/>
        </w:rPr>
        <w:t>remedies</w:t>
      </w:r>
      <w:r w:rsidR="00773B3C" w:rsidRPr="00A51861">
        <w:rPr>
          <w:rFonts w:ascii="Cambria" w:eastAsia="Calibri" w:hAnsi="Cambria"/>
          <w:sz w:val="20"/>
          <w:szCs w:val="20"/>
          <w:bdr w:val="none" w:sz="0" w:space="0" w:color="auto"/>
        </w:rPr>
        <w:t xml:space="preserve">, </w:t>
      </w:r>
      <w:r w:rsidR="002835FC" w:rsidRPr="00A51861">
        <w:rPr>
          <w:rFonts w:ascii="Cambria" w:eastAsia="Calibri" w:hAnsi="Cambria"/>
          <w:sz w:val="20"/>
          <w:szCs w:val="20"/>
          <w:bdr w:val="none" w:sz="0" w:space="0" w:color="auto"/>
        </w:rPr>
        <w:t xml:space="preserve">the alleged victims </w:t>
      </w:r>
      <w:r w:rsidR="00FA4A3C">
        <w:rPr>
          <w:rFonts w:ascii="Cambria" w:eastAsia="Calibri" w:hAnsi="Cambria"/>
          <w:sz w:val="20"/>
          <w:szCs w:val="20"/>
          <w:bdr w:val="none" w:sz="0" w:space="0" w:color="auto"/>
        </w:rPr>
        <w:t>raised the</w:t>
      </w:r>
      <w:r w:rsidR="00B773DC">
        <w:rPr>
          <w:rFonts w:ascii="Cambria" w:eastAsia="Calibri" w:hAnsi="Cambria"/>
          <w:sz w:val="20"/>
          <w:szCs w:val="20"/>
          <w:bdr w:val="none" w:sz="0" w:space="0" w:color="auto"/>
        </w:rPr>
        <w:t xml:space="preserve"> </w:t>
      </w:r>
      <w:r w:rsidR="004E1083">
        <w:rPr>
          <w:rFonts w:ascii="Cambria" w:eastAsia="Calibri" w:hAnsi="Cambria"/>
          <w:sz w:val="20"/>
          <w:szCs w:val="20"/>
          <w:bdr w:val="none" w:sz="0" w:space="0" w:color="auto"/>
        </w:rPr>
        <w:t>violation</w:t>
      </w:r>
      <w:r w:rsidR="00773B3C" w:rsidRPr="00A51861">
        <w:rPr>
          <w:rFonts w:ascii="Cambria" w:eastAsia="Calibri" w:hAnsi="Cambria"/>
          <w:sz w:val="20"/>
          <w:szCs w:val="20"/>
          <w:bdr w:val="none" w:sz="0" w:space="0" w:color="auto"/>
        </w:rPr>
        <w:t xml:space="preserve"> </w:t>
      </w:r>
      <w:r w:rsidR="00FA4A3C">
        <w:rPr>
          <w:rFonts w:ascii="Cambria" w:eastAsia="Calibri" w:hAnsi="Cambria"/>
          <w:sz w:val="20"/>
          <w:szCs w:val="20"/>
          <w:bdr w:val="none" w:sz="0" w:space="0" w:color="auto"/>
        </w:rPr>
        <w:t>to the right of</w:t>
      </w:r>
      <w:r w:rsidR="009A4F91">
        <w:rPr>
          <w:rFonts w:ascii="Cambria" w:eastAsia="Calibri" w:hAnsi="Cambria"/>
          <w:sz w:val="20"/>
          <w:szCs w:val="20"/>
          <w:bdr w:val="none" w:sz="0" w:space="0" w:color="auto"/>
        </w:rPr>
        <w:t xml:space="preserve"> </w:t>
      </w:r>
      <w:r w:rsidR="00775F21">
        <w:rPr>
          <w:rFonts w:ascii="Cambria" w:eastAsia="Calibri" w:hAnsi="Cambria"/>
          <w:sz w:val="20"/>
          <w:szCs w:val="20"/>
          <w:bdr w:val="none" w:sz="0" w:space="0" w:color="auto"/>
        </w:rPr>
        <w:t>equality</w:t>
      </w:r>
      <w:r w:rsidR="00FA2E7B">
        <w:rPr>
          <w:rFonts w:ascii="Cambria" w:eastAsia="Calibri" w:hAnsi="Cambria"/>
          <w:sz w:val="20"/>
          <w:szCs w:val="20"/>
          <w:bdr w:val="none" w:sz="0" w:space="0" w:color="auto"/>
        </w:rPr>
        <w:t xml:space="preserve"> </w:t>
      </w:r>
      <w:r w:rsidR="00FA4A3C">
        <w:rPr>
          <w:rFonts w:ascii="Cambria" w:eastAsia="Calibri" w:hAnsi="Cambria"/>
          <w:sz w:val="20"/>
          <w:szCs w:val="20"/>
          <w:bdr w:val="none" w:sz="0" w:space="0" w:color="auto"/>
        </w:rPr>
        <w:t>before</w:t>
      </w:r>
      <w:r w:rsidR="009A4F91">
        <w:rPr>
          <w:rFonts w:ascii="Cambria" w:eastAsia="Calibri" w:hAnsi="Cambria"/>
          <w:sz w:val="20"/>
          <w:szCs w:val="20"/>
          <w:bdr w:val="none" w:sz="0" w:space="0" w:color="auto"/>
        </w:rPr>
        <w:t xml:space="preserve"> the </w:t>
      </w:r>
      <w:r w:rsidR="0029564F">
        <w:rPr>
          <w:rFonts w:ascii="Cambria" w:eastAsia="Calibri" w:hAnsi="Cambria"/>
          <w:sz w:val="20"/>
          <w:szCs w:val="20"/>
          <w:bdr w:val="none" w:sz="0" w:space="0" w:color="auto"/>
        </w:rPr>
        <w:t>law</w:t>
      </w:r>
      <w:r w:rsidR="001D1D61">
        <w:rPr>
          <w:rFonts w:ascii="Cambria" w:eastAsia="Calibri" w:hAnsi="Cambria"/>
          <w:sz w:val="20"/>
          <w:szCs w:val="20"/>
          <w:bdr w:val="none" w:sz="0" w:space="0" w:color="auto"/>
        </w:rPr>
        <w:t>. Th</w:t>
      </w:r>
      <w:r w:rsidR="006A3C04">
        <w:rPr>
          <w:rFonts w:ascii="Cambria" w:eastAsia="Calibri" w:hAnsi="Cambria"/>
          <w:sz w:val="20"/>
          <w:szCs w:val="20"/>
          <w:bdr w:val="none" w:sz="0" w:space="0" w:color="auto"/>
        </w:rPr>
        <w:t>e</w:t>
      </w:r>
      <w:r w:rsidR="00FA4A3C">
        <w:rPr>
          <w:rFonts w:ascii="Cambria" w:eastAsia="Calibri" w:hAnsi="Cambria"/>
          <w:sz w:val="20"/>
          <w:szCs w:val="20"/>
          <w:bdr w:val="none" w:sz="0" w:space="0" w:color="auto"/>
        </w:rPr>
        <w:t xml:space="preserve"> proven</w:t>
      </w:r>
      <w:r w:rsidR="006A3C04">
        <w:rPr>
          <w:rFonts w:ascii="Cambria" w:eastAsia="Calibri" w:hAnsi="Cambria"/>
          <w:sz w:val="20"/>
          <w:szCs w:val="20"/>
          <w:bdr w:val="none" w:sz="0" w:space="0" w:color="auto"/>
        </w:rPr>
        <w:t xml:space="preserve"> facts</w:t>
      </w:r>
      <w:r w:rsidR="00773B3C" w:rsidRPr="00A51861">
        <w:rPr>
          <w:rFonts w:ascii="Cambria" w:eastAsia="Calibri" w:hAnsi="Cambria"/>
          <w:sz w:val="20"/>
          <w:szCs w:val="20"/>
          <w:bdr w:val="none" w:sz="0" w:space="0" w:color="auto"/>
        </w:rPr>
        <w:t xml:space="preserve"> </w:t>
      </w:r>
      <w:r w:rsidR="00FA4A3C">
        <w:rPr>
          <w:rFonts w:ascii="Cambria" w:eastAsia="Calibri" w:hAnsi="Cambria"/>
          <w:sz w:val="20"/>
          <w:szCs w:val="20"/>
          <w:bdr w:val="none" w:sz="0" w:space="0" w:color="auto"/>
        </w:rPr>
        <w:t>show that in said remedies</w:t>
      </w:r>
      <w:r w:rsidR="00773B3C" w:rsidRPr="00A51861">
        <w:rPr>
          <w:rFonts w:ascii="Cambria" w:eastAsia="Calibri" w:hAnsi="Cambria"/>
          <w:sz w:val="20"/>
          <w:szCs w:val="20"/>
          <w:bdr w:val="none" w:sz="0" w:space="0" w:color="auto"/>
        </w:rPr>
        <w:t xml:space="preserve">, </w:t>
      </w:r>
      <w:r w:rsidR="00FA4A3C">
        <w:rPr>
          <w:rFonts w:ascii="Cambria" w:eastAsia="Calibri" w:hAnsi="Cambria"/>
          <w:sz w:val="20"/>
          <w:szCs w:val="20"/>
          <w:bdr w:val="none" w:sz="0" w:space="0" w:color="auto"/>
        </w:rPr>
        <w:t>they referred to</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situations</w:t>
      </w:r>
      <w:r w:rsidR="00773B3C" w:rsidRPr="00A51861">
        <w:rPr>
          <w:rFonts w:ascii="Cambria" w:eastAsia="Calibri" w:hAnsi="Cambria"/>
          <w:sz w:val="20"/>
          <w:szCs w:val="20"/>
          <w:bdr w:val="none" w:sz="0" w:space="0" w:color="auto"/>
        </w:rPr>
        <w:t xml:space="preserve">, </w:t>
      </w:r>
      <w:r w:rsidR="00FA4A3C">
        <w:rPr>
          <w:rFonts w:ascii="Cambria" w:eastAsia="Calibri" w:hAnsi="Cambria"/>
          <w:sz w:val="20"/>
          <w:szCs w:val="20"/>
          <w:bdr w:val="none" w:sz="0" w:space="0" w:color="auto"/>
        </w:rPr>
        <w:t>in their view</w:t>
      </w:r>
      <w:r w:rsidR="00773B3C" w:rsidRPr="00A51861">
        <w:rPr>
          <w:rFonts w:ascii="Cambria" w:eastAsia="Calibri" w:hAnsi="Cambria"/>
          <w:sz w:val="20"/>
          <w:szCs w:val="20"/>
          <w:bdr w:val="none" w:sz="0" w:space="0" w:color="auto"/>
        </w:rPr>
        <w:t xml:space="preserve"> </w:t>
      </w:r>
      <w:r w:rsidR="00FA4A3C">
        <w:rPr>
          <w:rFonts w:ascii="Cambria" w:eastAsia="Calibri" w:hAnsi="Cambria"/>
          <w:sz w:val="20"/>
          <w:szCs w:val="20"/>
          <w:bdr w:val="none" w:sz="0" w:space="0" w:color="auto"/>
        </w:rPr>
        <w:t>alike</w:t>
      </w:r>
      <w:r w:rsidR="00773B3C" w:rsidRPr="00A51861">
        <w:rPr>
          <w:rFonts w:ascii="Cambria" w:eastAsia="Calibri" w:hAnsi="Cambria"/>
          <w:sz w:val="20"/>
          <w:szCs w:val="20"/>
          <w:bdr w:val="none" w:sz="0" w:space="0" w:color="auto"/>
        </w:rPr>
        <w:t xml:space="preserve">, </w:t>
      </w:r>
      <w:r w:rsidR="00FA4A3C">
        <w:rPr>
          <w:rFonts w:ascii="Cambria" w:eastAsia="Calibri" w:hAnsi="Cambria"/>
          <w:sz w:val="20"/>
          <w:szCs w:val="20"/>
          <w:bdr w:val="none" w:sz="0" w:space="0" w:color="auto"/>
        </w:rPr>
        <w:t>in which</w:t>
      </w:r>
      <w:r w:rsidR="00773B3C" w:rsidRPr="00A51861">
        <w:rPr>
          <w:rFonts w:ascii="Cambria" w:eastAsia="Calibri" w:hAnsi="Cambria"/>
          <w:sz w:val="20"/>
          <w:szCs w:val="20"/>
          <w:bdr w:val="none" w:sz="0" w:space="0" w:color="auto"/>
        </w:rPr>
        <w:t xml:space="preserve"> </w:t>
      </w:r>
      <w:r w:rsidR="00076366">
        <w:rPr>
          <w:rFonts w:ascii="Cambria" w:eastAsia="Calibri" w:hAnsi="Cambria"/>
          <w:sz w:val="20"/>
          <w:szCs w:val="20"/>
          <w:bdr w:val="none" w:sz="0" w:space="0" w:color="auto"/>
        </w:rPr>
        <w:t xml:space="preserve">the Supreme </w:t>
      </w:r>
      <w:r w:rsidR="00A63761">
        <w:rPr>
          <w:rFonts w:ascii="Cambria" w:eastAsia="Calibri" w:hAnsi="Cambria"/>
          <w:sz w:val="20"/>
          <w:szCs w:val="20"/>
          <w:bdr w:val="none" w:sz="0" w:space="0" w:color="auto"/>
        </w:rPr>
        <w:t>Court</w:t>
      </w:r>
      <w:r w:rsidR="00773B3C" w:rsidRPr="00A51861">
        <w:rPr>
          <w:rFonts w:ascii="Cambria" w:eastAsia="Calibri" w:hAnsi="Cambria"/>
          <w:sz w:val="20"/>
          <w:szCs w:val="20"/>
          <w:bdr w:val="none" w:sz="0" w:space="0" w:color="auto"/>
        </w:rPr>
        <w:t xml:space="preserve"> interpret</w:t>
      </w:r>
      <w:r w:rsidR="00FA4A3C">
        <w:rPr>
          <w:rFonts w:ascii="Cambria" w:eastAsia="Calibri" w:hAnsi="Cambria"/>
          <w:sz w:val="20"/>
          <w:szCs w:val="20"/>
          <w:bdr w:val="none" w:sz="0" w:space="0" w:color="auto"/>
        </w:rPr>
        <w:t>ed</w:t>
      </w:r>
      <w:r>
        <w:rPr>
          <w:rFonts w:ascii="Cambria" w:eastAsia="Calibri" w:hAnsi="Cambria"/>
          <w:sz w:val="20"/>
          <w:szCs w:val="20"/>
          <w:bdr w:val="none" w:sz="0" w:space="0" w:color="auto"/>
        </w:rPr>
        <w:t xml:space="preserve"> </w:t>
      </w:r>
      <w:r w:rsidR="00FA4A3C">
        <w:rPr>
          <w:rFonts w:ascii="Cambria" w:eastAsia="Calibri" w:hAnsi="Cambria"/>
          <w:sz w:val="20"/>
          <w:szCs w:val="20"/>
          <w:bdr w:val="none" w:sz="0" w:space="0" w:color="auto"/>
        </w:rPr>
        <w:t>the requirements of</w:t>
      </w:r>
      <w:r>
        <w:rPr>
          <w:rFonts w:ascii="Cambria" w:eastAsia="Calibri" w:hAnsi="Cambria"/>
          <w:sz w:val="20"/>
          <w:szCs w:val="20"/>
          <w:bdr w:val="none" w:sz="0" w:space="0" w:color="auto"/>
        </w:rPr>
        <w:t xml:space="preserve"> </w:t>
      </w:r>
      <w:r w:rsidR="002835FC" w:rsidRPr="00A51861">
        <w:rPr>
          <w:rFonts w:ascii="Cambria" w:eastAsia="Calibri" w:hAnsi="Cambria"/>
          <w:sz w:val="20"/>
          <w:szCs w:val="20"/>
          <w:bdr w:val="none" w:sz="0" w:space="0" w:color="auto"/>
        </w:rPr>
        <w:t xml:space="preserve">Law </w:t>
      </w:r>
      <w:r w:rsidR="00773B3C" w:rsidRPr="00A51861">
        <w:rPr>
          <w:rFonts w:ascii="Cambria" w:eastAsia="Calibri" w:hAnsi="Cambria"/>
          <w:sz w:val="20"/>
          <w:szCs w:val="20"/>
          <w:bdr w:val="none" w:sz="0" w:space="0" w:color="auto"/>
        </w:rPr>
        <w:t>24.043</w:t>
      </w:r>
      <w:r w:rsidR="00FA4A3C">
        <w:rPr>
          <w:rFonts w:ascii="Cambria" w:eastAsia="Calibri" w:hAnsi="Cambria"/>
          <w:sz w:val="20"/>
          <w:szCs w:val="20"/>
          <w:bdr w:val="none" w:sz="0" w:space="0" w:color="auto"/>
        </w:rPr>
        <w:t xml:space="preserve"> in a non-strict manner</w:t>
      </w:r>
      <w:r w:rsidR="00773B3C" w:rsidRPr="00A51861">
        <w:rPr>
          <w:rFonts w:ascii="Cambria" w:eastAsia="Calibri" w:hAnsi="Cambria"/>
          <w:sz w:val="20"/>
          <w:szCs w:val="20"/>
          <w:bdr w:val="none" w:sz="0" w:space="0" w:color="auto"/>
        </w:rPr>
        <w:t xml:space="preserve">, </w:t>
      </w:r>
      <w:r w:rsidR="00FA4A3C">
        <w:rPr>
          <w:rFonts w:ascii="Cambria" w:eastAsia="Calibri" w:hAnsi="Cambria"/>
          <w:sz w:val="20"/>
          <w:szCs w:val="20"/>
          <w:bdr w:val="none" w:sz="0" w:space="0" w:color="auto"/>
        </w:rPr>
        <w:t>loosening</w:t>
      </w:r>
      <w:r w:rsidR="00773B3C" w:rsidRPr="00A51861">
        <w:rPr>
          <w:rFonts w:ascii="Cambria" w:eastAsia="Calibri" w:hAnsi="Cambria"/>
          <w:sz w:val="20"/>
          <w:szCs w:val="20"/>
          <w:bdr w:val="none" w:sz="0" w:space="0" w:color="auto"/>
        </w:rPr>
        <w:t xml:space="preserve"> </w:t>
      </w:r>
      <w:r w:rsidR="00FA4A3C">
        <w:rPr>
          <w:rFonts w:ascii="Cambria" w:eastAsia="Calibri" w:hAnsi="Cambria"/>
          <w:sz w:val="20"/>
          <w:szCs w:val="20"/>
          <w:bdr w:val="none" w:sz="0" w:space="0" w:color="auto"/>
        </w:rPr>
        <w:t>the</w:t>
      </w:r>
      <w:r w:rsidR="00773B3C" w:rsidRPr="00A51861">
        <w:rPr>
          <w:rFonts w:ascii="Cambria" w:eastAsia="Calibri" w:hAnsi="Cambria"/>
          <w:sz w:val="20"/>
          <w:szCs w:val="20"/>
          <w:bdr w:val="none" w:sz="0" w:space="0" w:color="auto"/>
        </w:rPr>
        <w:t xml:space="preserve"> criteri</w:t>
      </w:r>
      <w:r w:rsidR="00FA4A3C">
        <w:rPr>
          <w:rFonts w:ascii="Cambria" w:eastAsia="Calibri" w:hAnsi="Cambria"/>
          <w:sz w:val="20"/>
          <w:szCs w:val="20"/>
          <w:bdr w:val="none" w:sz="0" w:space="0" w:color="auto"/>
        </w:rPr>
        <w:t>a</w:t>
      </w:r>
      <w:r w:rsidR="00773B3C" w:rsidRPr="00A51861">
        <w:rPr>
          <w:rFonts w:ascii="Cambria" w:eastAsia="Calibri" w:hAnsi="Cambria"/>
          <w:sz w:val="20"/>
          <w:szCs w:val="20"/>
          <w:bdr w:val="none" w:sz="0" w:space="0" w:color="auto"/>
        </w:rPr>
        <w:t xml:space="preserve"> </w:t>
      </w:r>
      <w:r w:rsidR="00FA4A3C">
        <w:rPr>
          <w:rFonts w:ascii="Cambria" w:eastAsia="Calibri" w:hAnsi="Cambria"/>
          <w:sz w:val="20"/>
          <w:szCs w:val="20"/>
          <w:bdr w:val="none" w:sz="0" w:space="0" w:color="auto"/>
        </w:rPr>
        <w:t>for them to</w:t>
      </w:r>
      <w:r w:rsidR="00773B3C" w:rsidRPr="00A51861">
        <w:rPr>
          <w:rFonts w:ascii="Cambria" w:eastAsia="Calibri" w:hAnsi="Cambria"/>
          <w:sz w:val="20"/>
          <w:szCs w:val="20"/>
          <w:bdr w:val="none" w:sz="0" w:space="0" w:color="auto"/>
        </w:rPr>
        <w:t xml:space="preserve"> </w:t>
      </w:r>
      <w:r w:rsidR="0059627A">
        <w:rPr>
          <w:rFonts w:ascii="Cambria" w:eastAsia="Calibri" w:hAnsi="Cambria"/>
          <w:sz w:val="20"/>
          <w:szCs w:val="20"/>
          <w:bdr w:val="none" w:sz="0" w:space="0" w:color="auto"/>
        </w:rPr>
        <w:t>appl</w:t>
      </w:r>
      <w:r w:rsidR="00FA4A3C">
        <w:rPr>
          <w:rFonts w:ascii="Cambria" w:eastAsia="Calibri" w:hAnsi="Cambria"/>
          <w:sz w:val="20"/>
          <w:szCs w:val="20"/>
          <w:bdr w:val="none" w:sz="0" w:space="0" w:color="auto"/>
        </w:rPr>
        <w:t>y</w:t>
      </w:r>
      <w:r w:rsidR="00773B3C" w:rsidRPr="00A51861">
        <w:rPr>
          <w:rFonts w:ascii="Cambria" w:eastAsia="Calibri" w:hAnsi="Cambria"/>
          <w:sz w:val="20"/>
          <w:szCs w:val="20"/>
          <w:bdr w:val="none" w:sz="0" w:space="0" w:color="auto"/>
        </w:rPr>
        <w:t xml:space="preserve">. </w:t>
      </w:r>
      <w:r w:rsidR="00FA4A3C">
        <w:rPr>
          <w:rFonts w:ascii="Cambria" w:eastAsia="Calibri" w:hAnsi="Cambria"/>
          <w:sz w:val="20"/>
          <w:szCs w:val="20"/>
          <w:bdr w:val="none" w:sz="0" w:space="0" w:color="auto"/>
        </w:rPr>
        <w:t>In</w:t>
      </w:r>
      <w:r w:rsidR="00773B3C" w:rsidRPr="00A51861">
        <w:rPr>
          <w:rFonts w:ascii="Cambria" w:eastAsia="Calibri" w:hAnsi="Cambria"/>
          <w:sz w:val="20"/>
          <w:szCs w:val="20"/>
          <w:bdr w:val="none" w:sz="0" w:space="0" w:color="auto"/>
        </w:rPr>
        <w:t xml:space="preserve"> particular, </w:t>
      </w:r>
      <w:r w:rsidR="00FA4A3C">
        <w:rPr>
          <w:rFonts w:ascii="Cambria" w:eastAsia="Calibri" w:hAnsi="Cambria"/>
          <w:sz w:val="20"/>
          <w:szCs w:val="20"/>
          <w:bdr w:val="none" w:sz="0" w:space="0" w:color="auto"/>
        </w:rPr>
        <w:t>they referred in the remedies</w:t>
      </w:r>
      <w:r w:rsidR="00FA4A3C" w:rsidRPr="00A51861">
        <w:rPr>
          <w:rFonts w:ascii="Cambria" w:eastAsia="Calibri" w:hAnsi="Cambria"/>
          <w:sz w:val="20"/>
          <w:szCs w:val="20"/>
          <w:bdr w:val="none" w:sz="0" w:space="0" w:color="auto"/>
        </w:rPr>
        <w:t xml:space="preserve">, </w:t>
      </w:r>
      <w:r w:rsidR="00FA4A3C">
        <w:rPr>
          <w:rFonts w:ascii="Cambria" w:eastAsia="Calibri" w:hAnsi="Cambria"/>
          <w:sz w:val="20"/>
          <w:szCs w:val="20"/>
          <w:bdr w:val="none" w:sz="0" w:space="0" w:color="auto"/>
        </w:rPr>
        <w:t>inter alia</w:t>
      </w:r>
      <w:r w:rsidR="00FA4A3C" w:rsidRPr="00A51861">
        <w:rPr>
          <w:rFonts w:ascii="Cambria" w:eastAsia="Calibri" w:hAnsi="Cambria"/>
          <w:sz w:val="20"/>
          <w:szCs w:val="20"/>
          <w:bdr w:val="none" w:sz="0" w:space="0" w:color="auto"/>
        </w:rPr>
        <w:t xml:space="preserve">, </w:t>
      </w:r>
      <w:r w:rsidR="00FA4A3C">
        <w:rPr>
          <w:rFonts w:ascii="Cambria" w:eastAsia="Calibri" w:hAnsi="Cambria"/>
          <w:sz w:val="20"/>
          <w:szCs w:val="20"/>
          <w:bdr w:val="none" w:sz="0" w:space="0" w:color="auto"/>
        </w:rPr>
        <w:t>to the cases of</w:t>
      </w:r>
      <w:r w:rsidR="00773B3C" w:rsidRPr="00A51861">
        <w:rPr>
          <w:rFonts w:ascii="Cambria" w:eastAsia="Calibri" w:hAnsi="Cambria"/>
          <w:sz w:val="20"/>
          <w:szCs w:val="20"/>
          <w:bdr w:val="none" w:sz="0" w:space="0" w:color="auto"/>
        </w:rPr>
        <w:t xml:space="preserve"> Geuna, Quiroga, Bufano</w:t>
      </w:r>
      <w:r>
        <w:rPr>
          <w:rFonts w:ascii="Cambria" w:eastAsia="Calibri" w:hAnsi="Cambria"/>
          <w:sz w:val="20"/>
          <w:szCs w:val="20"/>
          <w:bdr w:val="none" w:sz="0" w:space="0" w:color="auto"/>
        </w:rPr>
        <w:t xml:space="preserve"> and </w:t>
      </w:r>
      <w:r w:rsidR="00C91385">
        <w:rPr>
          <w:rFonts w:ascii="Cambria" w:eastAsia="Calibri" w:hAnsi="Cambria"/>
          <w:sz w:val="20"/>
          <w:szCs w:val="20"/>
          <w:bdr w:val="none" w:sz="0" w:space="0" w:color="auto"/>
        </w:rPr>
        <w:t>Yofre de Vaca</w:t>
      </w:r>
      <w:r w:rsidR="00FA4A3C">
        <w:rPr>
          <w:rFonts w:ascii="Cambria" w:eastAsia="Calibri" w:hAnsi="Cambria"/>
          <w:sz w:val="20"/>
          <w:szCs w:val="20"/>
          <w:bdr w:val="none" w:sz="0" w:space="0" w:color="auto"/>
        </w:rPr>
        <w:t>, whose judgments were issued before the</w:t>
      </w:r>
      <w:r>
        <w:rPr>
          <w:rFonts w:ascii="Cambria" w:eastAsia="Calibri" w:hAnsi="Cambria"/>
          <w:sz w:val="20"/>
          <w:szCs w:val="20"/>
          <w:bdr w:val="none" w:sz="0" w:space="0" w:color="auto"/>
        </w:rPr>
        <w:t xml:space="preserve"> </w:t>
      </w:r>
      <w:r w:rsidR="00F92BA8">
        <w:rPr>
          <w:rFonts w:ascii="Cambria" w:eastAsia="Calibri" w:hAnsi="Cambria"/>
          <w:sz w:val="20"/>
          <w:szCs w:val="20"/>
          <w:bdr w:val="none" w:sz="0" w:space="0" w:color="auto"/>
        </w:rPr>
        <w:t>decision</w:t>
      </w:r>
      <w:r>
        <w:rPr>
          <w:rFonts w:ascii="Cambria" w:eastAsia="Calibri" w:hAnsi="Cambria"/>
          <w:sz w:val="20"/>
          <w:szCs w:val="20"/>
          <w:bdr w:val="none" w:sz="0" w:space="0" w:color="auto"/>
        </w:rPr>
        <w:t xml:space="preserve"> of the </w:t>
      </w:r>
      <w:r w:rsidR="00A63761">
        <w:rPr>
          <w:rFonts w:ascii="Cambria" w:eastAsia="Calibri" w:hAnsi="Cambria"/>
          <w:sz w:val="20"/>
          <w:szCs w:val="20"/>
          <w:bdr w:val="none" w:sz="0" w:space="0" w:color="auto"/>
        </w:rPr>
        <w:t>Supreme Court</w:t>
      </w:r>
      <w:r w:rsidR="00F646B3" w:rsidRPr="00A51861">
        <w:rPr>
          <w:rFonts w:ascii="Cambria" w:eastAsia="Calibri" w:hAnsi="Cambria"/>
          <w:sz w:val="20"/>
          <w:szCs w:val="20"/>
          <w:bdr w:val="none" w:sz="0" w:space="0" w:color="auto"/>
        </w:rPr>
        <w:t xml:space="preserve"> </w:t>
      </w:r>
      <w:r w:rsidR="00FA4A3C">
        <w:rPr>
          <w:rFonts w:ascii="Cambria" w:eastAsia="Calibri" w:hAnsi="Cambria"/>
          <w:sz w:val="20"/>
          <w:szCs w:val="20"/>
          <w:bdr w:val="none" w:sz="0" w:space="0" w:color="auto"/>
        </w:rPr>
        <w:t>on the cases in question</w:t>
      </w:r>
      <w:r w:rsidR="003C5913" w:rsidRPr="00A51861">
        <w:rPr>
          <w:rFonts w:ascii="Cambria" w:eastAsia="Calibri" w:hAnsi="Cambria"/>
          <w:sz w:val="20"/>
          <w:szCs w:val="20"/>
          <w:bdr w:val="none" w:sz="0" w:space="0" w:color="auto"/>
        </w:rPr>
        <w:t>,</w:t>
      </w:r>
      <w:r>
        <w:rPr>
          <w:rFonts w:ascii="Cambria" w:eastAsia="Calibri" w:hAnsi="Cambria"/>
          <w:sz w:val="20"/>
          <w:szCs w:val="20"/>
          <w:bdr w:val="none" w:sz="0" w:space="0" w:color="auto"/>
        </w:rPr>
        <w:t xml:space="preserve"> and </w:t>
      </w:r>
      <w:r w:rsidR="00FA4A3C">
        <w:rPr>
          <w:rFonts w:ascii="Cambria" w:eastAsia="Calibri" w:hAnsi="Cambria"/>
          <w:sz w:val="20"/>
          <w:szCs w:val="20"/>
          <w:bdr w:val="none" w:sz="0" w:space="0" w:color="auto"/>
        </w:rPr>
        <w:t>in them the notion of</w:t>
      </w:r>
      <w:r>
        <w:rPr>
          <w:rFonts w:ascii="Cambria" w:eastAsia="Calibri" w:hAnsi="Cambria"/>
          <w:sz w:val="20"/>
          <w:szCs w:val="20"/>
          <w:bdr w:val="none" w:sz="0" w:space="0" w:color="auto"/>
        </w:rPr>
        <w:t xml:space="preserve"> </w:t>
      </w:r>
      <w:r w:rsidR="006273A5">
        <w:rPr>
          <w:rFonts w:ascii="Cambria" w:eastAsia="Calibri" w:hAnsi="Cambria"/>
          <w:sz w:val="20"/>
          <w:szCs w:val="20"/>
          <w:bdr w:val="none" w:sz="0" w:space="0" w:color="auto"/>
        </w:rPr>
        <w:t>forced exile</w:t>
      </w:r>
      <w:r w:rsidR="00773B3C" w:rsidRPr="00A51861">
        <w:rPr>
          <w:rFonts w:ascii="Cambria" w:eastAsia="Calibri" w:hAnsi="Cambria"/>
          <w:sz w:val="20"/>
          <w:szCs w:val="20"/>
          <w:bdr w:val="none" w:sz="0" w:space="0" w:color="auto"/>
        </w:rPr>
        <w:t xml:space="preserve"> susceptible</w:t>
      </w:r>
      <w:r>
        <w:rPr>
          <w:rFonts w:ascii="Cambria" w:eastAsia="Calibri" w:hAnsi="Cambria"/>
          <w:sz w:val="20"/>
          <w:szCs w:val="20"/>
          <w:bdr w:val="none" w:sz="0" w:space="0" w:color="auto"/>
        </w:rPr>
        <w:t xml:space="preserve"> of </w:t>
      </w:r>
      <w:r w:rsidR="001A0B84">
        <w:rPr>
          <w:rFonts w:ascii="Cambria" w:eastAsia="Calibri" w:hAnsi="Cambria"/>
          <w:sz w:val="20"/>
          <w:szCs w:val="20"/>
          <w:bdr w:val="none" w:sz="0" w:space="0" w:color="auto"/>
        </w:rPr>
        <w:t>reparation</w:t>
      </w:r>
      <w:r w:rsidR="00773B3C" w:rsidRPr="00A51861">
        <w:rPr>
          <w:rFonts w:ascii="Cambria" w:eastAsia="Calibri" w:hAnsi="Cambria"/>
          <w:sz w:val="20"/>
          <w:szCs w:val="20"/>
          <w:bdr w:val="none" w:sz="0" w:space="0" w:color="auto"/>
        </w:rPr>
        <w:t xml:space="preserve"> </w:t>
      </w:r>
      <w:r w:rsidR="00FA4A3C">
        <w:rPr>
          <w:rFonts w:ascii="Cambria" w:eastAsia="Calibri" w:hAnsi="Cambria"/>
          <w:sz w:val="20"/>
          <w:szCs w:val="20"/>
          <w:bdr w:val="none" w:sz="0" w:space="0" w:color="auto"/>
        </w:rPr>
        <w:t>under said</w:t>
      </w:r>
      <w:r w:rsidR="00773B3C" w:rsidRPr="00A51861">
        <w:rPr>
          <w:rFonts w:ascii="Cambria" w:eastAsia="Calibri" w:hAnsi="Cambria"/>
          <w:sz w:val="20"/>
          <w:szCs w:val="20"/>
          <w:bdr w:val="none" w:sz="0" w:space="0" w:color="auto"/>
        </w:rPr>
        <w:t xml:space="preserve"> norm</w:t>
      </w:r>
      <w:r w:rsidR="00FA4A3C">
        <w:rPr>
          <w:rFonts w:ascii="Cambria" w:eastAsia="Calibri" w:hAnsi="Cambria"/>
          <w:sz w:val="20"/>
          <w:szCs w:val="20"/>
          <w:bdr w:val="none" w:sz="0" w:space="0" w:color="auto"/>
        </w:rPr>
        <w:t xml:space="preserve"> w</w:t>
      </w:r>
      <w:r w:rsidR="00773B3C" w:rsidRPr="00A51861">
        <w:rPr>
          <w:rFonts w:ascii="Cambria" w:eastAsia="Calibri" w:hAnsi="Cambria"/>
          <w:sz w:val="20"/>
          <w:szCs w:val="20"/>
          <w:bdr w:val="none" w:sz="0" w:space="0" w:color="auto"/>
        </w:rPr>
        <w:t>a</w:t>
      </w:r>
      <w:r w:rsidR="00FA4A3C">
        <w:rPr>
          <w:rFonts w:ascii="Cambria" w:eastAsia="Calibri" w:hAnsi="Cambria"/>
          <w:sz w:val="20"/>
          <w:szCs w:val="20"/>
          <w:bdr w:val="none" w:sz="0" w:space="0" w:color="auto"/>
        </w:rPr>
        <w:t>s broadened</w:t>
      </w:r>
      <w:r w:rsidR="00680DA3">
        <w:rPr>
          <w:rFonts w:ascii="Cambria" w:eastAsia="Calibri" w:hAnsi="Cambria"/>
          <w:sz w:val="20"/>
          <w:szCs w:val="20"/>
          <w:bdr w:val="none" w:sz="0" w:space="0" w:color="auto"/>
        </w:rPr>
        <w:t>.  Th</w:t>
      </w:r>
      <w:r>
        <w:rPr>
          <w:rFonts w:asciiTheme="majorHAnsi" w:eastAsia="Calibri" w:hAnsiTheme="majorHAnsi"/>
          <w:sz w:val="20"/>
          <w:szCs w:val="20"/>
          <w:bdr w:val="none" w:sz="0" w:space="0" w:color="auto"/>
        </w:rPr>
        <w:t>e Commission</w:t>
      </w:r>
      <w:r w:rsidR="00F646B3" w:rsidRPr="00A51861">
        <w:rPr>
          <w:rFonts w:asciiTheme="majorHAnsi" w:eastAsia="Calibri" w:hAnsiTheme="majorHAnsi"/>
          <w:sz w:val="20"/>
          <w:szCs w:val="20"/>
          <w:bdr w:val="none" w:sz="0" w:space="0" w:color="auto"/>
        </w:rPr>
        <w:t xml:space="preserve"> </w:t>
      </w:r>
      <w:r w:rsidR="00FA4A3C">
        <w:rPr>
          <w:rFonts w:asciiTheme="majorHAnsi" w:eastAsia="Calibri" w:hAnsiTheme="majorHAnsi"/>
          <w:sz w:val="20"/>
          <w:szCs w:val="20"/>
          <w:bdr w:val="none" w:sz="0" w:space="0" w:color="auto"/>
        </w:rPr>
        <w:t>understands</w:t>
      </w:r>
      <w:r w:rsidR="00F646B3" w:rsidRPr="00A51861">
        <w:rPr>
          <w:rFonts w:asciiTheme="majorHAnsi" w:eastAsia="Calibri" w:hAnsiTheme="majorHAnsi"/>
          <w:sz w:val="20"/>
          <w:szCs w:val="20"/>
          <w:bdr w:val="none" w:sz="0" w:space="0" w:color="auto"/>
        </w:rPr>
        <w:t xml:space="preserve">, </w:t>
      </w:r>
      <w:r w:rsidR="00FA4A3C">
        <w:rPr>
          <w:rFonts w:asciiTheme="majorHAnsi" w:eastAsia="Calibri" w:hAnsiTheme="majorHAnsi"/>
          <w:sz w:val="20"/>
          <w:szCs w:val="20"/>
          <w:bdr w:val="none" w:sz="0" w:space="0" w:color="auto"/>
        </w:rPr>
        <w:t xml:space="preserve">that said </w:t>
      </w:r>
      <w:r w:rsidR="00F646B3" w:rsidRPr="00A51861">
        <w:rPr>
          <w:rFonts w:asciiTheme="majorHAnsi" w:eastAsia="Calibri" w:hAnsiTheme="majorHAnsi"/>
          <w:sz w:val="20"/>
          <w:szCs w:val="20"/>
          <w:bdr w:val="none" w:sz="0" w:space="0" w:color="auto"/>
        </w:rPr>
        <w:t>precedents,</w:t>
      </w:r>
      <w:r>
        <w:rPr>
          <w:rFonts w:asciiTheme="majorHAnsi" w:eastAsia="Calibri" w:hAnsiTheme="majorHAnsi"/>
          <w:sz w:val="20"/>
          <w:szCs w:val="20"/>
          <w:bdr w:val="none" w:sz="0" w:space="0" w:color="auto"/>
        </w:rPr>
        <w:t xml:space="preserve"> and </w:t>
      </w:r>
      <w:r w:rsidR="00FA4A3C">
        <w:rPr>
          <w:rFonts w:asciiTheme="majorHAnsi" w:eastAsia="Calibri" w:hAnsiTheme="majorHAnsi"/>
          <w:sz w:val="20"/>
          <w:szCs w:val="20"/>
          <w:bdr w:val="none" w:sz="0" w:space="0" w:color="auto"/>
        </w:rPr>
        <w:t>i</w:t>
      </w:r>
      <w:r w:rsidR="00F646B3" w:rsidRPr="00A51861">
        <w:rPr>
          <w:rFonts w:asciiTheme="majorHAnsi" w:eastAsia="Calibri" w:hAnsiTheme="majorHAnsi"/>
          <w:sz w:val="20"/>
          <w:szCs w:val="20"/>
          <w:bdr w:val="none" w:sz="0" w:space="0" w:color="auto"/>
        </w:rPr>
        <w:t>n particular</w:t>
      </w:r>
      <w:r w:rsidR="009A4F91">
        <w:rPr>
          <w:rFonts w:asciiTheme="majorHAnsi" w:eastAsia="Calibri" w:hAnsiTheme="majorHAnsi"/>
          <w:sz w:val="20"/>
          <w:szCs w:val="20"/>
          <w:bdr w:val="none" w:sz="0" w:space="0" w:color="auto"/>
        </w:rPr>
        <w:t xml:space="preserve"> the </w:t>
      </w:r>
      <w:r w:rsidR="00817647">
        <w:rPr>
          <w:rFonts w:asciiTheme="majorHAnsi" w:eastAsia="Calibri" w:hAnsiTheme="majorHAnsi"/>
          <w:sz w:val="20"/>
          <w:szCs w:val="20"/>
          <w:bdr w:val="none" w:sz="0" w:space="0" w:color="auto"/>
        </w:rPr>
        <w:t>sentence</w:t>
      </w:r>
      <w:r w:rsidR="004969F4">
        <w:rPr>
          <w:rFonts w:asciiTheme="majorHAnsi" w:eastAsia="Calibri" w:hAnsiTheme="majorHAnsi"/>
          <w:sz w:val="20"/>
          <w:szCs w:val="20"/>
          <w:bdr w:val="none" w:sz="0" w:space="0" w:color="auto"/>
        </w:rPr>
        <w:t xml:space="preserve"> of the </w:t>
      </w:r>
      <w:r w:rsidR="00C91385">
        <w:rPr>
          <w:rFonts w:asciiTheme="majorHAnsi" w:eastAsia="Calibri" w:hAnsiTheme="majorHAnsi"/>
          <w:sz w:val="20"/>
          <w:szCs w:val="20"/>
          <w:bdr w:val="none" w:sz="0" w:space="0" w:color="auto"/>
        </w:rPr>
        <w:t>Yofre de Vaca</w:t>
      </w:r>
      <w:r w:rsidR="00FA4A3C" w:rsidRPr="00FA4A3C">
        <w:rPr>
          <w:rFonts w:asciiTheme="majorHAnsi" w:eastAsia="Calibri" w:hAnsiTheme="majorHAnsi"/>
          <w:sz w:val="20"/>
          <w:szCs w:val="20"/>
          <w:bdr w:val="none" w:sz="0" w:space="0" w:color="auto"/>
        </w:rPr>
        <w:t xml:space="preserve"> </w:t>
      </w:r>
      <w:r w:rsidR="00FA4A3C" w:rsidRPr="00A51861">
        <w:rPr>
          <w:rFonts w:asciiTheme="majorHAnsi" w:eastAsia="Calibri" w:hAnsiTheme="majorHAnsi"/>
          <w:sz w:val="20"/>
          <w:szCs w:val="20"/>
          <w:bdr w:val="none" w:sz="0" w:space="0" w:color="auto"/>
        </w:rPr>
        <w:t>cas</w:t>
      </w:r>
      <w:r w:rsidR="00FA4A3C">
        <w:rPr>
          <w:rFonts w:asciiTheme="majorHAnsi" w:eastAsia="Calibri" w:hAnsiTheme="majorHAnsi"/>
          <w:sz w:val="20"/>
          <w:szCs w:val="20"/>
          <w:bdr w:val="none" w:sz="0" w:space="0" w:color="auto"/>
        </w:rPr>
        <w:t>e</w:t>
      </w:r>
      <w:r w:rsidR="00F646B3" w:rsidRPr="00A51861">
        <w:rPr>
          <w:rFonts w:asciiTheme="majorHAnsi" w:eastAsia="Calibri" w:hAnsiTheme="majorHAnsi"/>
          <w:sz w:val="20"/>
          <w:szCs w:val="20"/>
          <w:bdr w:val="none" w:sz="0" w:space="0" w:color="auto"/>
        </w:rPr>
        <w:t>,</w:t>
      </w:r>
      <w:r w:rsidR="00B947BD">
        <w:rPr>
          <w:rFonts w:asciiTheme="majorHAnsi" w:eastAsia="Calibri" w:hAnsiTheme="majorHAnsi"/>
          <w:sz w:val="20"/>
          <w:szCs w:val="20"/>
          <w:bdr w:val="none" w:sz="0" w:space="0" w:color="auto"/>
        </w:rPr>
        <w:t xml:space="preserve"> are </w:t>
      </w:r>
      <w:r w:rsidR="00F646B3" w:rsidRPr="00A51861">
        <w:rPr>
          <w:rFonts w:asciiTheme="majorHAnsi" w:eastAsia="Calibri" w:hAnsiTheme="majorHAnsi"/>
          <w:sz w:val="20"/>
          <w:szCs w:val="20"/>
          <w:bdr w:val="none" w:sz="0" w:space="0" w:color="auto"/>
        </w:rPr>
        <w:t xml:space="preserve">relevant </w:t>
      </w:r>
      <w:r w:rsidR="00FA4A3C">
        <w:rPr>
          <w:rFonts w:asciiTheme="majorHAnsi" w:eastAsia="Calibri" w:hAnsiTheme="majorHAnsi"/>
          <w:sz w:val="20"/>
          <w:szCs w:val="20"/>
          <w:bdr w:val="none" w:sz="0" w:space="0" w:color="auto"/>
        </w:rPr>
        <w:t>in the</w:t>
      </w:r>
      <w:r w:rsidR="00F646B3" w:rsidRPr="00A51861">
        <w:rPr>
          <w:rFonts w:asciiTheme="majorHAnsi" w:eastAsia="Calibri" w:hAnsiTheme="majorHAnsi"/>
          <w:sz w:val="20"/>
          <w:szCs w:val="20"/>
          <w:bdr w:val="none" w:sz="0" w:space="0" w:color="auto"/>
        </w:rPr>
        <w:t xml:space="preserve"> </w:t>
      </w:r>
      <w:r w:rsidR="00FA4A3C">
        <w:rPr>
          <w:rFonts w:asciiTheme="majorHAnsi" w:eastAsia="Calibri" w:hAnsiTheme="majorHAnsi"/>
          <w:sz w:val="20"/>
          <w:szCs w:val="20"/>
          <w:bdr w:val="none" w:sz="0" w:space="0" w:color="auto"/>
        </w:rPr>
        <w:t>present case</w:t>
      </w:r>
      <w:r w:rsidR="00F646B3" w:rsidRPr="00A51861">
        <w:rPr>
          <w:rFonts w:asciiTheme="majorHAnsi" w:eastAsia="Calibri" w:hAnsiTheme="majorHAnsi"/>
          <w:sz w:val="20"/>
          <w:szCs w:val="20"/>
          <w:bdr w:val="none" w:sz="0" w:space="0" w:color="auto"/>
        </w:rPr>
        <w:t xml:space="preserve">, </w:t>
      </w:r>
      <w:r w:rsidR="00FA4A3C">
        <w:rPr>
          <w:rFonts w:asciiTheme="majorHAnsi" w:eastAsia="Calibri" w:hAnsiTheme="majorHAnsi"/>
          <w:sz w:val="20"/>
          <w:szCs w:val="20"/>
          <w:bdr w:val="none" w:sz="0" w:space="0" w:color="auto"/>
        </w:rPr>
        <w:t>since they have allowed to understand</w:t>
      </w:r>
      <w:r w:rsidR="00F32162" w:rsidRPr="00A51861">
        <w:rPr>
          <w:rFonts w:asciiTheme="majorHAnsi" w:eastAsia="Calibri" w:hAnsiTheme="majorHAnsi"/>
          <w:sz w:val="20"/>
          <w:szCs w:val="20"/>
          <w:bdr w:val="none" w:sz="0" w:space="0" w:color="auto"/>
        </w:rPr>
        <w:t>,</w:t>
      </w:r>
      <w:r w:rsidR="00F646B3" w:rsidRPr="00A51861">
        <w:rPr>
          <w:rFonts w:asciiTheme="majorHAnsi" w:eastAsia="Calibri" w:hAnsiTheme="majorHAnsi"/>
          <w:sz w:val="20"/>
          <w:szCs w:val="20"/>
          <w:bdr w:val="none" w:sz="0" w:space="0" w:color="auto"/>
        </w:rPr>
        <w:t xml:space="preserve"> </w:t>
      </w:r>
      <w:r w:rsidR="00FA4A3C">
        <w:rPr>
          <w:rFonts w:asciiTheme="majorHAnsi" w:eastAsia="Calibri" w:hAnsiTheme="majorHAnsi"/>
          <w:sz w:val="20"/>
          <w:szCs w:val="20"/>
          <w:bdr w:val="none" w:sz="0" w:space="0" w:color="auto"/>
        </w:rPr>
        <w:t>in domestic proceedings</w:t>
      </w:r>
      <w:r w:rsidR="00F646B3" w:rsidRPr="00A51861">
        <w:rPr>
          <w:rFonts w:asciiTheme="majorHAnsi" w:eastAsia="Calibri" w:hAnsiTheme="majorHAnsi"/>
          <w:sz w:val="20"/>
          <w:szCs w:val="20"/>
          <w:bdr w:val="none" w:sz="0" w:space="0" w:color="auto"/>
        </w:rPr>
        <w:t>,</w:t>
      </w:r>
      <w:r w:rsidR="006A3C04">
        <w:rPr>
          <w:rFonts w:asciiTheme="majorHAnsi" w:eastAsia="Calibri" w:hAnsiTheme="majorHAnsi"/>
          <w:sz w:val="20"/>
          <w:szCs w:val="20"/>
          <w:bdr w:val="none" w:sz="0" w:space="0" w:color="auto"/>
        </w:rPr>
        <w:t xml:space="preserve"> the facts</w:t>
      </w:r>
      <w:r>
        <w:rPr>
          <w:rFonts w:asciiTheme="majorHAnsi" w:eastAsia="Calibri" w:hAnsiTheme="majorHAnsi"/>
          <w:sz w:val="20"/>
          <w:szCs w:val="20"/>
          <w:bdr w:val="none" w:sz="0" w:space="0" w:color="auto"/>
        </w:rPr>
        <w:t xml:space="preserve"> of </w:t>
      </w:r>
      <w:r w:rsidR="005B42FA">
        <w:rPr>
          <w:rFonts w:asciiTheme="majorHAnsi" w:eastAsia="Calibri" w:hAnsiTheme="majorHAnsi"/>
          <w:sz w:val="20"/>
          <w:szCs w:val="20"/>
          <w:bdr w:val="none" w:sz="0" w:space="0" w:color="auto"/>
        </w:rPr>
        <w:t>exile</w:t>
      </w:r>
      <w:r w:rsidR="00F646B3" w:rsidRPr="00A51861">
        <w:rPr>
          <w:rFonts w:asciiTheme="majorHAnsi" w:eastAsia="Calibri" w:hAnsiTheme="majorHAnsi"/>
          <w:sz w:val="20"/>
          <w:szCs w:val="20"/>
          <w:bdr w:val="none" w:sz="0" w:space="0" w:color="auto"/>
        </w:rPr>
        <w:t xml:space="preserve"> </w:t>
      </w:r>
      <w:r w:rsidR="00FA4A3C">
        <w:rPr>
          <w:rFonts w:asciiTheme="majorHAnsi" w:eastAsia="Calibri" w:hAnsiTheme="majorHAnsi"/>
          <w:sz w:val="20"/>
          <w:szCs w:val="20"/>
          <w:bdr w:val="none" w:sz="0" w:space="0" w:color="auto"/>
        </w:rPr>
        <w:t>as</w:t>
      </w:r>
      <w:r w:rsidR="009A4F91">
        <w:rPr>
          <w:rFonts w:asciiTheme="majorHAnsi" w:eastAsia="Calibri" w:hAnsiTheme="majorHAnsi"/>
          <w:sz w:val="20"/>
          <w:szCs w:val="20"/>
          <w:bdr w:val="none" w:sz="0" w:space="0" w:color="auto"/>
        </w:rPr>
        <w:t xml:space="preserve"> the </w:t>
      </w:r>
      <w:r w:rsidR="00F646B3" w:rsidRPr="00A51861">
        <w:rPr>
          <w:rFonts w:asciiTheme="majorHAnsi" w:eastAsia="Calibri" w:hAnsiTheme="majorHAnsi"/>
          <w:sz w:val="20"/>
          <w:szCs w:val="20"/>
          <w:bdr w:val="none" w:sz="0" w:space="0" w:color="auto"/>
        </w:rPr>
        <w:t>continui</w:t>
      </w:r>
      <w:r w:rsidR="00FA2E7B">
        <w:rPr>
          <w:rFonts w:asciiTheme="majorHAnsi" w:eastAsia="Calibri" w:hAnsiTheme="majorHAnsi"/>
          <w:sz w:val="20"/>
          <w:szCs w:val="20"/>
          <w:bdr w:val="none" w:sz="0" w:space="0" w:color="auto"/>
        </w:rPr>
        <w:t xml:space="preserve">ty </w:t>
      </w:r>
      <w:r>
        <w:rPr>
          <w:rFonts w:asciiTheme="majorHAnsi" w:eastAsia="Calibri" w:hAnsiTheme="majorHAnsi"/>
          <w:sz w:val="20"/>
          <w:szCs w:val="20"/>
          <w:bdr w:val="none" w:sz="0" w:space="0" w:color="auto"/>
        </w:rPr>
        <w:t xml:space="preserve">of </w:t>
      </w:r>
      <w:r w:rsidR="00FA4A3C">
        <w:rPr>
          <w:rFonts w:asciiTheme="majorHAnsi" w:eastAsia="Calibri" w:hAnsiTheme="majorHAnsi"/>
          <w:sz w:val="20"/>
          <w:szCs w:val="20"/>
          <w:bdr w:val="none" w:sz="0" w:space="0" w:color="auto"/>
        </w:rPr>
        <w:t>an impairment</w:t>
      </w:r>
      <w:r>
        <w:rPr>
          <w:rFonts w:asciiTheme="majorHAnsi" w:eastAsia="Calibri" w:hAnsiTheme="majorHAnsi"/>
          <w:sz w:val="20"/>
          <w:szCs w:val="20"/>
          <w:bdr w:val="none" w:sz="0" w:space="0" w:color="auto"/>
        </w:rPr>
        <w:t xml:space="preserve"> or </w:t>
      </w:r>
      <w:r w:rsidR="00B920CA">
        <w:rPr>
          <w:rFonts w:asciiTheme="majorHAnsi" w:eastAsia="Calibri" w:hAnsiTheme="majorHAnsi"/>
          <w:sz w:val="20"/>
          <w:szCs w:val="20"/>
          <w:bdr w:val="none" w:sz="0" w:space="0" w:color="auto"/>
        </w:rPr>
        <w:t>restriction</w:t>
      </w:r>
      <w:r w:rsidR="00F646B3" w:rsidRPr="00A51861">
        <w:rPr>
          <w:rFonts w:asciiTheme="majorHAnsi" w:eastAsia="Calibri" w:hAnsiTheme="majorHAnsi"/>
          <w:sz w:val="20"/>
          <w:szCs w:val="20"/>
          <w:bdr w:val="none" w:sz="0" w:space="0" w:color="auto"/>
        </w:rPr>
        <w:t xml:space="preserve"> </w:t>
      </w:r>
      <w:r w:rsidR="00FA4A3C">
        <w:rPr>
          <w:rFonts w:asciiTheme="majorHAnsi" w:eastAsia="Calibri" w:hAnsiTheme="majorHAnsi"/>
          <w:sz w:val="20"/>
          <w:szCs w:val="20"/>
          <w:bdr w:val="none" w:sz="0" w:space="0" w:color="auto"/>
        </w:rPr>
        <w:t>to</w:t>
      </w:r>
      <w:r w:rsidR="009A4F91">
        <w:rPr>
          <w:rFonts w:asciiTheme="majorHAnsi" w:eastAsia="Calibri" w:hAnsiTheme="majorHAnsi"/>
          <w:sz w:val="20"/>
          <w:szCs w:val="20"/>
          <w:bdr w:val="none" w:sz="0" w:space="0" w:color="auto"/>
        </w:rPr>
        <w:t xml:space="preserve"> </w:t>
      </w:r>
      <w:r w:rsidR="00387B53">
        <w:rPr>
          <w:rFonts w:asciiTheme="majorHAnsi" w:eastAsia="Calibri" w:hAnsiTheme="majorHAnsi"/>
          <w:sz w:val="20"/>
          <w:szCs w:val="20"/>
          <w:bdr w:val="none" w:sz="0" w:space="0" w:color="auto"/>
        </w:rPr>
        <w:t>liberty</w:t>
      </w:r>
      <w:r w:rsidR="00F646B3" w:rsidRPr="00A51861">
        <w:rPr>
          <w:rFonts w:asciiTheme="majorHAnsi" w:eastAsia="Calibri" w:hAnsiTheme="majorHAnsi"/>
          <w:sz w:val="20"/>
          <w:szCs w:val="20"/>
          <w:bdr w:val="none" w:sz="0" w:space="0" w:color="auto"/>
        </w:rPr>
        <w:t xml:space="preserve">, </w:t>
      </w:r>
      <w:r w:rsidR="00FA4A3C">
        <w:rPr>
          <w:rFonts w:asciiTheme="majorHAnsi" w:eastAsia="Calibri" w:hAnsiTheme="majorHAnsi"/>
          <w:sz w:val="20"/>
          <w:szCs w:val="20"/>
          <w:bdr w:val="none" w:sz="0" w:space="0" w:color="auto"/>
        </w:rPr>
        <w:t>which is</w:t>
      </w:r>
      <w:r w:rsidR="00D70A85">
        <w:rPr>
          <w:rFonts w:asciiTheme="majorHAnsi" w:eastAsia="Calibri" w:hAnsiTheme="majorHAnsi"/>
          <w:sz w:val="20"/>
          <w:szCs w:val="20"/>
          <w:bdr w:val="none" w:sz="0" w:space="0" w:color="auto"/>
        </w:rPr>
        <w:t xml:space="preserve"> </w:t>
      </w:r>
      <w:r w:rsidR="00F646B3" w:rsidRPr="00A51861">
        <w:rPr>
          <w:rFonts w:asciiTheme="majorHAnsi" w:eastAsia="Calibri" w:hAnsiTheme="majorHAnsi"/>
          <w:sz w:val="20"/>
          <w:szCs w:val="20"/>
          <w:bdr w:val="none" w:sz="0" w:space="0" w:color="auto"/>
        </w:rPr>
        <w:t>preced</w:t>
      </w:r>
      <w:r w:rsidR="00FA4A3C">
        <w:rPr>
          <w:rFonts w:asciiTheme="majorHAnsi" w:eastAsia="Calibri" w:hAnsiTheme="majorHAnsi"/>
          <w:sz w:val="20"/>
          <w:szCs w:val="20"/>
          <w:bdr w:val="none" w:sz="0" w:space="0" w:color="auto"/>
        </w:rPr>
        <w:t>ed</w:t>
      </w:r>
      <w:r w:rsidR="00F646B3" w:rsidRPr="00A51861">
        <w:rPr>
          <w:rFonts w:asciiTheme="majorHAnsi" w:eastAsia="Calibri" w:hAnsiTheme="majorHAnsi"/>
          <w:sz w:val="20"/>
          <w:szCs w:val="20"/>
          <w:bdr w:val="none" w:sz="0" w:space="0" w:color="auto"/>
        </w:rPr>
        <w:t xml:space="preserve"> </w:t>
      </w:r>
      <w:r w:rsidR="00FA4A3C">
        <w:rPr>
          <w:rFonts w:asciiTheme="majorHAnsi" w:eastAsia="Calibri" w:hAnsiTheme="majorHAnsi"/>
          <w:sz w:val="20"/>
          <w:szCs w:val="20"/>
          <w:bdr w:val="none" w:sz="0" w:space="0" w:color="auto"/>
        </w:rPr>
        <w:t>by</w:t>
      </w:r>
      <w:r w:rsidR="00F646B3" w:rsidRPr="00A51861">
        <w:rPr>
          <w:rFonts w:asciiTheme="majorHAnsi" w:hAnsiTheme="majorHAnsi"/>
          <w:color w:val="000000"/>
          <w:sz w:val="20"/>
          <w:szCs w:val="20"/>
        </w:rPr>
        <w:t xml:space="preserve"> </w:t>
      </w:r>
      <w:r>
        <w:rPr>
          <w:rFonts w:asciiTheme="majorHAnsi" w:hAnsiTheme="majorHAnsi"/>
          <w:color w:val="000000"/>
          <w:sz w:val="20"/>
          <w:szCs w:val="20"/>
        </w:rPr>
        <w:t xml:space="preserve">situations of </w:t>
      </w:r>
      <w:r w:rsidR="008158C2">
        <w:rPr>
          <w:rFonts w:asciiTheme="majorHAnsi" w:hAnsiTheme="majorHAnsi"/>
          <w:color w:val="000000"/>
          <w:sz w:val="20"/>
          <w:szCs w:val="20"/>
        </w:rPr>
        <w:t xml:space="preserve">illegal detention </w:t>
      </w:r>
      <w:r w:rsidR="00B47E06">
        <w:rPr>
          <w:rFonts w:asciiTheme="majorHAnsi" w:hAnsiTheme="majorHAnsi"/>
          <w:color w:val="000000"/>
          <w:sz w:val="20"/>
          <w:szCs w:val="20"/>
        </w:rPr>
        <w:t xml:space="preserve">and/or </w:t>
      </w:r>
      <w:r w:rsidR="00BD6923">
        <w:rPr>
          <w:rFonts w:asciiTheme="majorHAnsi" w:hAnsiTheme="majorHAnsi"/>
          <w:color w:val="000000"/>
          <w:sz w:val="20"/>
          <w:szCs w:val="20"/>
        </w:rPr>
        <w:t>persecution</w:t>
      </w:r>
      <w:r w:rsidR="00F646B3" w:rsidRPr="00A51861">
        <w:rPr>
          <w:rStyle w:val="FootnoteReference"/>
          <w:rFonts w:asciiTheme="majorHAnsi" w:hAnsiTheme="majorHAnsi"/>
          <w:color w:val="000000"/>
          <w:sz w:val="20"/>
          <w:szCs w:val="20"/>
        </w:rPr>
        <w:footnoteReference w:id="245"/>
      </w:r>
      <w:r w:rsidR="00F646B3" w:rsidRPr="00A51861">
        <w:rPr>
          <w:rFonts w:asciiTheme="majorHAnsi" w:hAnsiTheme="majorHAnsi"/>
          <w:color w:val="000000"/>
          <w:sz w:val="20"/>
          <w:szCs w:val="20"/>
        </w:rPr>
        <w:t>.</w:t>
      </w:r>
    </w:p>
    <w:p w14:paraId="1778C46E" w14:textId="77777777" w:rsidR="00773B3C" w:rsidRPr="00A51861" w:rsidRDefault="00773B3C" w:rsidP="008E4D36">
      <w:pPr>
        <w:ind w:left="720"/>
        <w:rPr>
          <w:rFonts w:ascii="Cambria" w:eastAsia="Cambria" w:hAnsi="Cambria" w:cs="Cambria"/>
          <w:color w:val="000000"/>
          <w:sz w:val="20"/>
          <w:szCs w:val="20"/>
          <w:u w:color="000000"/>
          <w:lang w:eastAsia="es-ES"/>
        </w:rPr>
      </w:pPr>
    </w:p>
    <w:p w14:paraId="0F1475DF" w14:textId="0C4F3C56" w:rsidR="00943174" w:rsidRPr="00A51861" w:rsidRDefault="007C16F9"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eastAsia="Calibri" w:hAnsi="Cambria"/>
          <w:sz w:val="20"/>
          <w:szCs w:val="20"/>
          <w:bdr w:val="none" w:sz="0" w:space="0" w:color="auto"/>
        </w:rPr>
      </w:pPr>
      <w:r>
        <w:rPr>
          <w:rFonts w:ascii="Cambria" w:eastAsia="Calibri" w:hAnsi="Cambria"/>
          <w:sz w:val="20"/>
          <w:szCs w:val="20"/>
          <w:bdr w:val="none" w:sz="0" w:space="0" w:color="auto"/>
        </w:rPr>
        <w:t>On these arguments related to the</w:t>
      </w:r>
      <w:r w:rsidR="00A65E37">
        <w:rPr>
          <w:rFonts w:ascii="Cambria" w:eastAsia="Calibri" w:hAnsi="Cambria"/>
          <w:sz w:val="20"/>
          <w:szCs w:val="20"/>
          <w:bdr w:val="none" w:sz="0" w:space="0" w:color="auto"/>
        </w:rPr>
        <w:t xml:space="preserve"> right to</w:t>
      </w:r>
      <w:r w:rsidR="009A4F91">
        <w:rPr>
          <w:rFonts w:ascii="Cambria" w:eastAsia="Calibri" w:hAnsi="Cambria"/>
          <w:sz w:val="20"/>
          <w:szCs w:val="20"/>
          <w:bdr w:val="none" w:sz="0" w:space="0" w:color="auto"/>
        </w:rPr>
        <w:t xml:space="preserve"> </w:t>
      </w:r>
      <w:r w:rsidR="00775F21">
        <w:rPr>
          <w:rFonts w:ascii="Cambria" w:eastAsia="Calibri" w:hAnsi="Cambria"/>
          <w:sz w:val="20"/>
          <w:szCs w:val="20"/>
          <w:bdr w:val="none" w:sz="0" w:space="0" w:color="auto"/>
        </w:rPr>
        <w:t>equality</w:t>
      </w:r>
      <w:r w:rsidR="00FA2E7B">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before the</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l</w:t>
      </w:r>
      <w:r w:rsidR="002835FC" w:rsidRPr="00A51861">
        <w:rPr>
          <w:rFonts w:ascii="Cambria" w:eastAsia="Calibri" w:hAnsi="Cambria"/>
          <w:sz w:val="20"/>
          <w:szCs w:val="20"/>
          <w:bdr w:val="none" w:sz="0" w:space="0" w:color="auto"/>
        </w:rPr>
        <w:t>aw</w:t>
      </w:r>
      <w:r w:rsidR="00E92985">
        <w:rPr>
          <w:rFonts w:ascii="Cambria" w:eastAsia="Calibri" w:hAnsi="Cambria"/>
          <w:sz w:val="20"/>
          <w:szCs w:val="20"/>
          <w:bdr w:val="none" w:sz="0" w:space="0" w:color="auto"/>
        </w:rPr>
        <w:t xml:space="preserve"> and </w:t>
      </w:r>
      <w:r>
        <w:rPr>
          <w:rFonts w:ascii="Cambria" w:eastAsia="Calibri" w:hAnsi="Cambria"/>
          <w:sz w:val="20"/>
          <w:szCs w:val="20"/>
          <w:bdr w:val="none" w:sz="0" w:space="0" w:color="auto"/>
        </w:rPr>
        <w:t>the</w:t>
      </w:r>
      <w:r w:rsidR="00773B3C" w:rsidRPr="00A51861">
        <w:rPr>
          <w:rFonts w:ascii="Cambria" w:eastAsia="Calibri" w:hAnsi="Cambria"/>
          <w:sz w:val="20"/>
          <w:szCs w:val="20"/>
          <w:bdr w:val="none" w:sz="0" w:space="0" w:color="auto"/>
        </w:rPr>
        <w:t xml:space="preserve"> </w:t>
      </w:r>
      <w:r w:rsidR="00E92985">
        <w:rPr>
          <w:rFonts w:ascii="Cambria" w:eastAsia="Calibri" w:hAnsi="Cambria"/>
          <w:sz w:val="20"/>
          <w:szCs w:val="20"/>
          <w:bdr w:val="none" w:sz="0" w:space="0" w:color="auto"/>
        </w:rPr>
        <w:t>decisions</w:t>
      </w:r>
      <w:r w:rsidR="00773B3C" w:rsidRPr="00A51861">
        <w:rPr>
          <w:rFonts w:ascii="Cambria" w:eastAsia="Calibri" w:hAnsi="Cambria"/>
          <w:sz w:val="20"/>
          <w:szCs w:val="20"/>
          <w:bdr w:val="none" w:sz="0" w:space="0" w:color="auto"/>
        </w:rPr>
        <w:t xml:space="preserve"> </w:t>
      </w:r>
      <w:r w:rsidR="00CB0928">
        <w:rPr>
          <w:rFonts w:ascii="Cambria" w:eastAsia="Calibri" w:hAnsi="Cambria"/>
          <w:sz w:val="20"/>
          <w:szCs w:val="20"/>
          <w:bdr w:val="none" w:sz="0" w:space="0" w:color="auto"/>
        </w:rPr>
        <w:t>on similar cases</w:t>
      </w:r>
      <w:r w:rsidR="00773B3C" w:rsidRPr="00A51861">
        <w:rPr>
          <w:rFonts w:ascii="Cambria" w:eastAsia="Calibri" w:hAnsi="Cambria"/>
          <w:sz w:val="20"/>
          <w:szCs w:val="20"/>
          <w:bdr w:val="none" w:sz="0" w:space="0" w:color="auto"/>
        </w:rPr>
        <w:t xml:space="preserve"> adopt</w:t>
      </w:r>
      <w:r>
        <w:rPr>
          <w:rFonts w:ascii="Cambria" w:eastAsia="Calibri" w:hAnsi="Cambria"/>
          <w:sz w:val="20"/>
          <w:szCs w:val="20"/>
          <w:bdr w:val="none" w:sz="0" w:space="0" w:color="auto"/>
        </w:rPr>
        <w:t>ed</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by</w:t>
      </w:r>
      <w:r w:rsidR="00773B3C" w:rsidRPr="00A51861">
        <w:rPr>
          <w:rFonts w:ascii="Cambria" w:eastAsia="Calibri" w:hAnsi="Cambria"/>
          <w:sz w:val="20"/>
          <w:szCs w:val="20"/>
          <w:bdr w:val="none" w:sz="0" w:space="0" w:color="auto"/>
        </w:rPr>
        <w:t xml:space="preserve"> </w:t>
      </w:r>
      <w:r w:rsidR="00076366">
        <w:rPr>
          <w:rFonts w:ascii="Cambria" w:eastAsia="Calibri" w:hAnsi="Cambria"/>
          <w:sz w:val="20"/>
          <w:szCs w:val="20"/>
          <w:bdr w:val="none" w:sz="0" w:space="0" w:color="auto"/>
        </w:rPr>
        <w:t xml:space="preserve">the Supreme </w:t>
      </w:r>
      <w:r w:rsidR="00A9213F">
        <w:rPr>
          <w:rFonts w:ascii="Cambria" w:eastAsia="Calibri" w:hAnsi="Cambria"/>
          <w:sz w:val="20"/>
          <w:szCs w:val="20"/>
          <w:bdr w:val="none" w:sz="0" w:space="0" w:color="auto"/>
        </w:rPr>
        <w:t>Court of Justice</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it is noted that from</w:t>
      </w:r>
      <w:r w:rsidR="009A4F91">
        <w:rPr>
          <w:rFonts w:ascii="Cambria" w:eastAsia="Calibri" w:hAnsi="Cambria"/>
          <w:sz w:val="20"/>
          <w:szCs w:val="20"/>
          <w:bdr w:val="none" w:sz="0" w:space="0" w:color="auto"/>
        </w:rPr>
        <w:t xml:space="preserve"> right to </w:t>
      </w:r>
      <w:r>
        <w:rPr>
          <w:rFonts w:ascii="Cambria" w:eastAsia="Calibri" w:hAnsi="Cambria"/>
          <w:sz w:val="20"/>
          <w:szCs w:val="20"/>
          <w:bdr w:val="none" w:sz="0" w:space="0" w:color="auto"/>
        </w:rPr>
        <w:t xml:space="preserve">judicial protection </w:t>
      </w:r>
      <w:r w:rsidR="00E92985">
        <w:rPr>
          <w:rFonts w:ascii="Cambria" w:eastAsia="Calibri" w:hAnsi="Cambria"/>
          <w:sz w:val="20"/>
          <w:szCs w:val="20"/>
          <w:bdr w:val="none" w:sz="0" w:space="0" w:color="auto"/>
        </w:rPr>
        <w:t xml:space="preserve">and </w:t>
      </w:r>
      <w:r>
        <w:rPr>
          <w:rFonts w:ascii="Cambria" w:eastAsia="Calibri" w:hAnsi="Cambria"/>
          <w:sz w:val="20"/>
          <w:szCs w:val="20"/>
          <w:bdr w:val="none" w:sz="0" w:space="0" w:color="auto"/>
        </w:rPr>
        <w:t>to have</w:t>
      </w:r>
      <w:r w:rsidR="002B762A">
        <w:rPr>
          <w:rFonts w:ascii="Cambria" w:eastAsia="Calibri" w:hAnsi="Cambria"/>
          <w:sz w:val="20"/>
          <w:szCs w:val="20"/>
          <w:bdr w:val="none" w:sz="0" w:space="0" w:color="auto"/>
        </w:rPr>
        <w:t xml:space="preserve"> </w:t>
      </w:r>
      <w:r w:rsidR="003F75F8">
        <w:rPr>
          <w:rFonts w:ascii="Cambria" w:eastAsia="Calibri" w:hAnsi="Cambria"/>
          <w:sz w:val="20"/>
          <w:szCs w:val="20"/>
          <w:bdr w:val="none" w:sz="0" w:space="0" w:color="auto"/>
        </w:rPr>
        <w:t>duly reasoned decisions</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stemmed</w:t>
      </w:r>
      <w:r w:rsidR="009A4F91">
        <w:rPr>
          <w:rFonts w:ascii="Cambria" w:eastAsia="Calibri" w:hAnsi="Cambria"/>
          <w:sz w:val="20"/>
          <w:szCs w:val="20"/>
          <w:bdr w:val="none" w:sz="0" w:space="0" w:color="auto"/>
        </w:rPr>
        <w:t xml:space="preserve"> the </w:t>
      </w:r>
      <w:r w:rsidR="00516FEE">
        <w:rPr>
          <w:rFonts w:ascii="Cambria" w:eastAsia="Calibri" w:hAnsi="Cambria"/>
          <w:sz w:val="20"/>
          <w:szCs w:val="20"/>
          <w:bdr w:val="none" w:sz="0" w:space="0" w:color="auto"/>
        </w:rPr>
        <w:t>obligation</w:t>
      </w:r>
      <w:r w:rsidR="00E92985">
        <w:rPr>
          <w:rFonts w:ascii="Cambria" w:eastAsia="Calibri" w:hAnsi="Cambria"/>
          <w:sz w:val="20"/>
          <w:szCs w:val="20"/>
          <w:bdr w:val="none" w:sz="0" w:space="0" w:color="auto"/>
        </w:rPr>
        <w:t xml:space="preserve"> of the </w:t>
      </w:r>
      <w:r>
        <w:rPr>
          <w:rFonts w:ascii="Cambria" w:eastAsia="Calibri" w:hAnsi="Cambria"/>
          <w:sz w:val="20"/>
          <w:szCs w:val="20"/>
          <w:bdr w:val="none" w:sz="0" w:space="0" w:color="auto"/>
        </w:rPr>
        <w:t>judicial authority to take said</w:t>
      </w:r>
      <w:r w:rsidR="00773B3C" w:rsidRPr="00A51861">
        <w:rPr>
          <w:rFonts w:ascii="Cambria" w:eastAsia="Calibri" w:hAnsi="Cambria"/>
          <w:sz w:val="20"/>
          <w:szCs w:val="20"/>
          <w:bdr w:val="none" w:sz="0" w:space="0" w:color="auto"/>
        </w:rPr>
        <w:t xml:space="preserve"> argument</w:t>
      </w:r>
      <w:r>
        <w:rPr>
          <w:rFonts w:ascii="Cambria" w:eastAsia="Calibri" w:hAnsi="Cambria"/>
          <w:sz w:val="20"/>
          <w:szCs w:val="20"/>
          <w:bdr w:val="none" w:sz="0" w:space="0" w:color="auto"/>
        </w:rPr>
        <w:t xml:space="preserve"> seri</w:t>
      </w:r>
      <w:r w:rsidR="00773B3C" w:rsidRPr="00A51861">
        <w:rPr>
          <w:rFonts w:ascii="Cambria" w:eastAsia="Calibri" w:hAnsi="Cambria"/>
          <w:sz w:val="20"/>
          <w:szCs w:val="20"/>
          <w:bdr w:val="none" w:sz="0" w:space="0" w:color="auto"/>
        </w:rPr>
        <w:t>o</w:t>
      </w:r>
      <w:r>
        <w:rPr>
          <w:rFonts w:ascii="Cambria" w:eastAsia="Calibri" w:hAnsi="Cambria"/>
          <w:sz w:val="20"/>
          <w:szCs w:val="20"/>
          <w:bdr w:val="none" w:sz="0" w:space="0" w:color="auto"/>
        </w:rPr>
        <w:t>usly</w:t>
      </w:r>
      <w:r w:rsidR="00E92985">
        <w:rPr>
          <w:rFonts w:ascii="Cambria" w:eastAsia="Calibri" w:hAnsi="Cambria"/>
          <w:sz w:val="20"/>
          <w:szCs w:val="20"/>
          <w:bdr w:val="none" w:sz="0" w:space="0" w:color="auto"/>
        </w:rPr>
        <w:t xml:space="preserve"> and </w:t>
      </w:r>
      <w:r>
        <w:rPr>
          <w:rFonts w:ascii="Cambria" w:eastAsia="Calibri" w:hAnsi="Cambria"/>
          <w:sz w:val="20"/>
          <w:szCs w:val="20"/>
          <w:bdr w:val="none" w:sz="0" w:space="0" w:color="auto"/>
        </w:rPr>
        <w:t>resolve on its merits</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On this point</w:t>
      </w:r>
      <w:r w:rsidR="00943174" w:rsidRPr="00A51861">
        <w:rPr>
          <w:rFonts w:ascii="Cambria" w:eastAsia="Calibri" w:hAnsi="Cambria"/>
          <w:sz w:val="20"/>
          <w:szCs w:val="20"/>
          <w:bdr w:val="none" w:sz="0" w:space="0" w:color="auto"/>
        </w:rPr>
        <w:t>,</w:t>
      </w:r>
      <w:r w:rsidR="00E92985">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 xml:space="preserve">from </w:t>
      </w:r>
      <w:r w:rsidR="00E92985">
        <w:rPr>
          <w:rFonts w:ascii="Cambria" w:eastAsia="Calibri" w:hAnsi="Cambria"/>
          <w:sz w:val="20"/>
          <w:szCs w:val="20"/>
          <w:bdr w:val="none" w:sz="0" w:space="0" w:color="auto"/>
        </w:rPr>
        <w:t xml:space="preserve">the </w:t>
      </w:r>
      <w:r w:rsidR="00943174" w:rsidRPr="00A51861">
        <w:rPr>
          <w:rFonts w:ascii="Cambria" w:eastAsia="Calibri" w:hAnsi="Cambria"/>
          <w:sz w:val="20"/>
          <w:szCs w:val="20"/>
          <w:bdr w:val="none" w:sz="0" w:space="0" w:color="auto"/>
        </w:rPr>
        <w:t>revi</w:t>
      </w:r>
      <w:r>
        <w:rPr>
          <w:rFonts w:ascii="Cambria" w:eastAsia="Calibri" w:hAnsi="Cambria"/>
          <w:sz w:val="20"/>
          <w:szCs w:val="20"/>
          <w:bdr w:val="none" w:sz="0" w:space="0" w:color="auto"/>
        </w:rPr>
        <w:t>ew</w:t>
      </w:r>
      <w:r w:rsidR="00E92985">
        <w:rPr>
          <w:rFonts w:ascii="Cambria" w:eastAsia="Calibri" w:hAnsi="Cambria"/>
          <w:sz w:val="20"/>
          <w:szCs w:val="20"/>
          <w:bdr w:val="none" w:sz="0" w:space="0" w:color="auto"/>
        </w:rPr>
        <w:t xml:space="preserve"> of </w:t>
      </w:r>
      <w:r>
        <w:rPr>
          <w:rFonts w:ascii="Cambria" w:eastAsia="Calibri" w:hAnsi="Cambria"/>
          <w:sz w:val="20"/>
          <w:szCs w:val="20"/>
          <w:bdr w:val="none" w:sz="0" w:space="0" w:color="auto"/>
        </w:rPr>
        <w:t>the</w:t>
      </w:r>
      <w:r w:rsidR="00943174" w:rsidRPr="00A51861">
        <w:rPr>
          <w:rFonts w:ascii="Cambria" w:eastAsia="Calibri" w:hAnsi="Cambria"/>
          <w:sz w:val="20"/>
          <w:szCs w:val="20"/>
          <w:bdr w:val="none" w:sz="0" w:space="0" w:color="auto"/>
        </w:rPr>
        <w:t xml:space="preserve"> </w:t>
      </w:r>
      <w:r w:rsidRPr="00A51861">
        <w:rPr>
          <w:rFonts w:ascii="Cambria" w:eastAsia="Calibri" w:hAnsi="Cambria"/>
          <w:sz w:val="20"/>
          <w:szCs w:val="20"/>
          <w:bdr w:val="none" w:sz="0" w:space="0" w:color="auto"/>
        </w:rPr>
        <w:t xml:space="preserve">final </w:t>
      </w:r>
      <w:r w:rsidR="00E92985">
        <w:rPr>
          <w:rFonts w:ascii="Cambria" w:eastAsia="Calibri" w:hAnsi="Cambria"/>
          <w:sz w:val="20"/>
          <w:szCs w:val="20"/>
          <w:bdr w:val="none" w:sz="0" w:space="0" w:color="auto"/>
        </w:rPr>
        <w:t>decisions</w:t>
      </w:r>
      <w:r w:rsidR="00943174"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adopted by</w:t>
      </w:r>
      <w:r w:rsidR="00943174" w:rsidRPr="00A51861">
        <w:rPr>
          <w:rFonts w:ascii="Cambria" w:eastAsia="Calibri" w:hAnsi="Cambria"/>
          <w:sz w:val="20"/>
          <w:szCs w:val="20"/>
          <w:bdr w:val="none" w:sz="0" w:space="0" w:color="auto"/>
        </w:rPr>
        <w:t xml:space="preserve"> </w:t>
      </w:r>
      <w:r w:rsidR="00076366">
        <w:rPr>
          <w:rFonts w:ascii="Cambria" w:eastAsia="Calibri" w:hAnsi="Cambria"/>
          <w:sz w:val="20"/>
          <w:szCs w:val="20"/>
          <w:bdr w:val="none" w:sz="0" w:space="0" w:color="auto"/>
        </w:rPr>
        <w:t xml:space="preserve">the </w:t>
      </w:r>
      <w:r w:rsidR="00DE5A3D">
        <w:rPr>
          <w:rFonts w:ascii="Cambria" w:eastAsia="Calibri" w:hAnsi="Cambria"/>
          <w:sz w:val="20"/>
          <w:szCs w:val="20"/>
          <w:bdr w:val="none" w:sz="0" w:space="0" w:color="auto"/>
        </w:rPr>
        <w:t>Supreme Court of Justice of the Nation</w:t>
      </w:r>
      <w:r w:rsidR="005F46B6">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 xml:space="preserve">of </w:t>
      </w:r>
      <w:r w:rsidR="00A510D7" w:rsidRPr="00A51861">
        <w:rPr>
          <w:rFonts w:asciiTheme="majorHAnsi" w:eastAsia="Calibri" w:hAnsiTheme="majorHAnsi"/>
          <w:sz w:val="20"/>
          <w:szCs w:val="20"/>
          <w:bdr w:val="none" w:sz="0" w:space="0" w:color="auto"/>
        </w:rPr>
        <w:t>Argentina</w:t>
      </w:r>
      <w:r w:rsidR="00A510D7"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in the cases of</w:t>
      </w:r>
      <w:r w:rsidR="00A510D7"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 xml:space="preserve">Mr. </w:t>
      </w:r>
      <w:r w:rsidR="00BD7402" w:rsidRPr="00A51861">
        <w:rPr>
          <w:rFonts w:ascii="Cambria" w:eastAsia="Calibri" w:hAnsi="Cambria"/>
          <w:sz w:val="20"/>
          <w:szCs w:val="20"/>
          <w:bdr w:val="none" w:sz="0" w:space="0" w:color="auto"/>
        </w:rPr>
        <w:t>Hugo Daniel Ferreira</w:t>
      </w:r>
      <w:r w:rsidR="00E92985">
        <w:rPr>
          <w:rFonts w:ascii="Cambria" w:eastAsia="Calibri" w:hAnsi="Cambria"/>
          <w:sz w:val="20"/>
          <w:szCs w:val="20"/>
          <w:bdr w:val="none" w:sz="0" w:space="0" w:color="auto"/>
        </w:rPr>
        <w:t xml:space="preserve"> and </w:t>
      </w:r>
      <w:r>
        <w:rPr>
          <w:rFonts w:ascii="Cambria" w:eastAsia="Calibri" w:hAnsi="Cambria"/>
          <w:sz w:val="20"/>
          <w:szCs w:val="20"/>
          <w:bdr w:val="none" w:sz="0" w:space="0" w:color="auto"/>
        </w:rPr>
        <w:t xml:space="preserve">Mr. </w:t>
      </w:r>
      <w:r w:rsidR="00BD7402" w:rsidRPr="00A51861">
        <w:rPr>
          <w:rFonts w:ascii="Cambria" w:eastAsia="Calibri" w:hAnsi="Cambria"/>
          <w:sz w:val="20"/>
          <w:szCs w:val="20"/>
          <w:bdr w:val="none" w:sz="0" w:space="0" w:color="auto"/>
        </w:rPr>
        <w:t>Julio César Rito</w:t>
      </w:r>
      <w:r w:rsidR="00943174" w:rsidRPr="00A51861">
        <w:rPr>
          <w:rFonts w:ascii="Cambria" w:eastAsia="Calibri" w:hAnsi="Cambria"/>
          <w:sz w:val="20"/>
          <w:szCs w:val="20"/>
          <w:bdr w:val="none" w:sz="0" w:space="0" w:color="auto"/>
        </w:rPr>
        <w:t>,</w:t>
      </w:r>
      <w:r w:rsidR="00A510D7"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there were different argumentations to deny the</w:t>
      </w:r>
      <w:r w:rsidR="00A510D7" w:rsidRPr="00A51861">
        <w:rPr>
          <w:rFonts w:ascii="Cambria" w:eastAsia="Calibri" w:hAnsi="Cambria"/>
          <w:sz w:val="20"/>
          <w:szCs w:val="20"/>
          <w:bdr w:val="none" w:sz="0" w:space="0" w:color="auto"/>
        </w:rPr>
        <w:t xml:space="preserve"> acces</w:t>
      </w:r>
      <w:r>
        <w:rPr>
          <w:rFonts w:ascii="Cambria" w:eastAsia="Calibri" w:hAnsi="Cambria"/>
          <w:sz w:val="20"/>
          <w:szCs w:val="20"/>
          <w:bdr w:val="none" w:sz="0" w:space="0" w:color="auto"/>
        </w:rPr>
        <w:t>s</w:t>
      </w:r>
      <w:r w:rsidR="00A510D7"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to</w:t>
      </w:r>
      <w:r w:rsidR="009A4F91">
        <w:rPr>
          <w:rFonts w:ascii="Cambria" w:eastAsia="Calibri" w:hAnsi="Cambria"/>
          <w:sz w:val="20"/>
          <w:szCs w:val="20"/>
          <w:bdr w:val="none" w:sz="0" w:space="0" w:color="auto"/>
        </w:rPr>
        <w:t xml:space="preserve"> </w:t>
      </w:r>
      <w:r w:rsidR="001A0B84">
        <w:rPr>
          <w:rFonts w:ascii="Cambria" w:eastAsia="Calibri" w:hAnsi="Cambria"/>
          <w:sz w:val="20"/>
          <w:szCs w:val="20"/>
          <w:bdr w:val="none" w:sz="0" w:space="0" w:color="auto"/>
        </w:rPr>
        <w:t>reparation</w:t>
      </w:r>
      <w:r w:rsidR="00A510D7"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foreseen in</w:t>
      </w:r>
      <w:r w:rsidR="00A510D7" w:rsidRPr="00A51861">
        <w:rPr>
          <w:rFonts w:ascii="Cambria" w:eastAsia="Calibri" w:hAnsi="Cambria"/>
          <w:sz w:val="20"/>
          <w:szCs w:val="20"/>
          <w:bdr w:val="none" w:sz="0" w:space="0" w:color="auto"/>
        </w:rPr>
        <w:t xml:space="preserve"> </w:t>
      </w:r>
      <w:r w:rsidR="002835FC" w:rsidRPr="00A51861">
        <w:rPr>
          <w:rFonts w:ascii="Cambria" w:eastAsia="Calibri" w:hAnsi="Cambria"/>
          <w:sz w:val="20"/>
          <w:szCs w:val="20"/>
          <w:bdr w:val="none" w:sz="0" w:space="0" w:color="auto"/>
        </w:rPr>
        <w:t xml:space="preserve">Law </w:t>
      </w:r>
      <w:r w:rsidR="00A510D7" w:rsidRPr="00A51861">
        <w:rPr>
          <w:rFonts w:ascii="Cambria" w:eastAsia="Calibri" w:hAnsi="Cambria"/>
          <w:sz w:val="20"/>
          <w:szCs w:val="20"/>
          <w:bdr w:val="none" w:sz="0" w:space="0" w:color="auto"/>
        </w:rPr>
        <w:t>24.043,</w:t>
      </w:r>
      <w:r w:rsidR="00E92985">
        <w:rPr>
          <w:rFonts w:ascii="Cambria" w:eastAsia="Calibri" w:hAnsi="Cambria"/>
          <w:sz w:val="20"/>
          <w:szCs w:val="20"/>
          <w:bdr w:val="none" w:sz="0" w:space="0" w:color="auto"/>
        </w:rPr>
        <w:t xml:space="preserve"> and</w:t>
      </w:r>
      <w:r w:rsidR="00D70A85">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it is by virtue of those</w:t>
      </w:r>
      <w:r w:rsidR="00A510D7" w:rsidRPr="00A51861">
        <w:rPr>
          <w:rFonts w:ascii="Cambria" w:eastAsia="Calibri" w:hAnsi="Cambria"/>
          <w:sz w:val="20"/>
          <w:szCs w:val="20"/>
          <w:bdr w:val="none" w:sz="0" w:space="0" w:color="auto"/>
        </w:rPr>
        <w:t xml:space="preserve"> </w:t>
      </w:r>
      <w:r w:rsidR="00817647">
        <w:rPr>
          <w:rFonts w:ascii="Cambria" w:eastAsia="Calibri" w:hAnsi="Cambria"/>
          <w:sz w:val="20"/>
          <w:szCs w:val="20"/>
          <w:bdr w:val="none" w:sz="0" w:space="0" w:color="auto"/>
        </w:rPr>
        <w:t>sentence</w:t>
      </w:r>
      <w:r w:rsidR="00A510D7" w:rsidRPr="00A51861">
        <w:rPr>
          <w:rFonts w:ascii="Cambria" w:eastAsia="Calibri" w:hAnsi="Cambria"/>
          <w:sz w:val="20"/>
          <w:szCs w:val="20"/>
          <w:bdr w:val="none" w:sz="0" w:space="0" w:color="auto"/>
        </w:rPr>
        <w:t xml:space="preserve">s </w:t>
      </w:r>
      <w:r>
        <w:rPr>
          <w:rFonts w:ascii="Cambria" w:eastAsia="Calibri" w:hAnsi="Cambria"/>
          <w:sz w:val="20"/>
          <w:szCs w:val="20"/>
          <w:bdr w:val="none" w:sz="0" w:space="0" w:color="auto"/>
        </w:rPr>
        <w:t>that it shall be analyzed whether the answers</w:t>
      </w:r>
      <w:r w:rsidR="00A510D7"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 xml:space="preserve">yielded were </w:t>
      </w:r>
      <w:r w:rsidR="00A510D7" w:rsidRPr="00A51861">
        <w:rPr>
          <w:rFonts w:ascii="Cambria" w:eastAsia="Calibri" w:hAnsi="Cambria"/>
          <w:sz w:val="20"/>
          <w:szCs w:val="20"/>
          <w:bdr w:val="none" w:sz="0" w:space="0" w:color="auto"/>
        </w:rPr>
        <w:t>consistent</w:t>
      </w:r>
      <w:r w:rsidR="002B762A">
        <w:rPr>
          <w:rFonts w:ascii="Cambria" w:eastAsia="Calibri" w:hAnsi="Cambria"/>
          <w:sz w:val="20"/>
          <w:szCs w:val="20"/>
          <w:bdr w:val="none" w:sz="0" w:space="0" w:color="auto"/>
        </w:rPr>
        <w:t xml:space="preserve"> with </w:t>
      </w:r>
      <w:r w:rsidR="00A65E37">
        <w:rPr>
          <w:rFonts w:ascii="Cambria" w:eastAsia="Calibri" w:hAnsi="Cambria"/>
          <w:sz w:val="20"/>
          <w:szCs w:val="20"/>
          <w:bdr w:val="none" w:sz="0" w:space="0" w:color="auto"/>
        </w:rPr>
        <w:t>the right to</w:t>
      </w:r>
      <w:r w:rsidR="00A510D7"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have duly</w:t>
      </w:r>
      <w:r w:rsidR="002B762A">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 xml:space="preserve">reasoned </w:t>
      </w:r>
      <w:r w:rsidR="00E92985">
        <w:rPr>
          <w:rFonts w:ascii="Cambria" w:eastAsia="Calibri" w:hAnsi="Cambria"/>
          <w:sz w:val="20"/>
          <w:szCs w:val="20"/>
          <w:bdr w:val="none" w:sz="0" w:space="0" w:color="auto"/>
        </w:rPr>
        <w:t>decisions</w:t>
      </w:r>
      <w:r w:rsidR="00A510D7"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read jointly</w:t>
      </w:r>
      <w:r w:rsidR="00A510D7" w:rsidRPr="00A51861">
        <w:rPr>
          <w:rFonts w:ascii="Cambria" w:eastAsia="Calibri" w:hAnsi="Cambria"/>
          <w:sz w:val="20"/>
          <w:szCs w:val="20"/>
          <w:bdr w:val="none" w:sz="0" w:space="0" w:color="auto"/>
        </w:rPr>
        <w:t xml:space="preserve"> </w:t>
      </w:r>
      <w:r w:rsidR="002B762A">
        <w:rPr>
          <w:rFonts w:ascii="Cambria" w:eastAsia="Calibri" w:hAnsi="Cambria"/>
          <w:sz w:val="20"/>
          <w:szCs w:val="20"/>
          <w:bdr w:val="none" w:sz="0" w:space="0" w:color="auto"/>
        </w:rPr>
        <w:t xml:space="preserve">with </w:t>
      </w:r>
      <w:r w:rsidR="00A65E37">
        <w:rPr>
          <w:rFonts w:ascii="Cambria" w:eastAsia="Calibri" w:hAnsi="Cambria"/>
          <w:sz w:val="20"/>
          <w:szCs w:val="20"/>
          <w:bdr w:val="none" w:sz="0" w:space="0" w:color="auto"/>
        </w:rPr>
        <w:t>the right to</w:t>
      </w:r>
      <w:r w:rsidR="009A4F9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 xml:space="preserve">judicial protection </w:t>
      </w:r>
      <w:r w:rsidR="00E92985">
        <w:rPr>
          <w:rFonts w:ascii="Cambria" w:eastAsia="Calibri" w:hAnsi="Cambria"/>
          <w:sz w:val="20"/>
          <w:szCs w:val="20"/>
          <w:bdr w:val="none" w:sz="0" w:space="0" w:color="auto"/>
        </w:rPr>
        <w:t xml:space="preserve">and </w:t>
      </w:r>
      <w:r w:rsidR="00A65E37">
        <w:rPr>
          <w:rFonts w:ascii="Cambria" w:eastAsia="Calibri" w:hAnsi="Cambria"/>
          <w:sz w:val="20"/>
          <w:szCs w:val="20"/>
          <w:bdr w:val="none" w:sz="0" w:space="0" w:color="auto"/>
        </w:rPr>
        <w:t>the right to</w:t>
      </w:r>
      <w:r w:rsidR="009A4F91">
        <w:rPr>
          <w:rFonts w:ascii="Cambria" w:eastAsia="Calibri" w:hAnsi="Cambria"/>
          <w:sz w:val="20"/>
          <w:szCs w:val="20"/>
          <w:bdr w:val="none" w:sz="0" w:space="0" w:color="auto"/>
        </w:rPr>
        <w:t xml:space="preserve"> </w:t>
      </w:r>
      <w:r w:rsidR="00775F21">
        <w:rPr>
          <w:rFonts w:ascii="Cambria" w:eastAsia="Calibri" w:hAnsi="Cambria"/>
          <w:sz w:val="20"/>
          <w:szCs w:val="20"/>
          <w:bdr w:val="none" w:sz="0" w:space="0" w:color="auto"/>
        </w:rPr>
        <w:t>equality</w:t>
      </w:r>
      <w:r w:rsidR="00FA2E7B">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before the</w:t>
      </w:r>
      <w:r w:rsidR="00A510D7" w:rsidRPr="00A51861">
        <w:rPr>
          <w:rFonts w:ascii="Cambria" w:eastAsia="Calibri" w:hAnsi="Cambria"/>
          <w:sz w:val="20"/>
          <w:szCs w:val="20"/>
          <w:bdr w:val="none" w:sz="0" w:space="0" w:color="auto"/>
        </w:rPr>
        <w:t xml:space="preserve"> </w:t>
      </w:r>
      <w:r w:rsidR="002835FC" w:rsidRPr="00A51861">
        <w:rPr>
          <w:rFonts w:ascii="Cambria" w:eastAsia="Calibri" w:hAnsi="Cambria"/>
          <w:sz w:val="20"/>
          <w:szCs w:val="20"/>
          <w:bdr w:val="none" w:sz="0" w:space="0" w:color="auto"/>
        </w:rPr>
        <w:t xml:space="preserve">Law </w:t>
      </w:r>
      <w:r w:rsidR="00E92985">
        <w:rPr>
          <w:rFonts w:ascii="Cambria" w:eastAsia="Calibri" w:hAnsi="Cambria"/>
          <w:sz w:val="20"/>
          <w:szCs w:val="20"/>
          <w:bdr w:val="none" w:sz="0" w:space="0" w:color="auto"/>
        </w:rPr>
        <w:t>of the alleged victims</w:t>
      </w:r>
      <w:r w:rsidR="00A510D7" w:rsidRPr="00A51861">
        <w:rPr>
          <w:rFonts w:ascii="Cambria" w:eastAsia="Calibri" w:hAnsi="Cambria"/>
          <w:sz w:val="20"/>
          <w:szCs w:val="20"/>
          <w:bdr w:val="none" w:sz="0" w:space="0" w:color="auto"/>
        </w:rPr>
        <w:t>.</w:t>
      </w:r>
    </w:p>
    <w:p w14:paraId="1EFAB18C" w14:textId="77777777" w:rsidR="00943174" w:rsidRPr="00A51861" w:rsidRDefault="00943174" w:rsidP="008E4D36">
      <w:pPr>
        <w:pStyle w:val="ListParagraph"/>
        <w:rPr>
          <w:sz w:val="20"/>
          <w:szCs w:val="20"/>
          <w:bdr w:val="none" w:sz="0" w:space="0" w:color="auto"/>
        </w:rPr>
      </w:pPr>
    </w:p>
    <w:p w14:paraId="127A10EB" w14:textId="7CD770A7" w:rsidR="005B4B78" w:rsidRPr="00A51861" w:rsidRDefault="00FA4A3C"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bdr w:val="none" w:sz="0" w:space="0" w:color="auto"/>
        </w:rPr>
      </w:pPr>
      <w:r>
        <w:rPr>
          <w:rFonts w:ascii="Cambria" w:hAnsi="Cambria"/>
          <w:sz w:val="20"/>
          <w:szCs w:val="20"/>
          <w:bdr w:val="none" w:sz="0" w:space="0" w:color="auto"/>
        </w:rPr>
        <w:t xml:space="preserve">First of all, </w:t>
      </w:r>
      <w:r w:rsidR="00B74DB5">
        <w:rPr>
          <w:rFonts w:ascii="Cambria" w:hAnsi="Cambria"/>
          <w:sz w:val="20"/>
          <w:szCs w:val="20"/>
          <w:bdr w:val="none" w:sz="0" w:space="0" w:color="auto"/>
        </w:rPr>
        <w:t xml:space="preserve">in regard </w:t>
      </w:r>
      <w:r>
        <w:rPr>
          <w:rFonts w:ascii="Cambria" w:hAnsi="Cambria"/>
          <w:sz w:val="20"/>
          <w:szCs w:val="20"/>
          <w:bdr w:val="none" w:sz="0" w:space="0" w:color="auto"/>
        </w:rPr>
        <w:t xml:space="preserve">to the case of Mr. </w:t>
      </w:r>
      <w:r w:rsidR="00943174" w:rsidRPr="00A51861">
        <w:rPr>
          <w:rFonts w:ascii="Cambria" w:hAnsi="Cambria"/>
          <w:sz w:val="20"/>
          <w:szCs w:val="20"/>
          <w:bdr w:val="none" w:sz="0" w:space="0" w:color="auto"/>
        </w:rPr>
        <w:t xml:space="preserve">Hugo Daniel Ferreira, </w:t>
      </w:r>
      <w:r w:rsidR="007C16F9">
        <w:rPr>
          <w:rFonts w:ascii="Cambria" w:hAnsi="Cambria"/>
          <w:sz w:val="20"/>
          <w:szCs w:val="20"/>
          <w:bdr w:val="none" w:sz="0" w:space="0" w:color="auto"/>
        </w:rPr>
        <w:t>it is observed that</w:t>
      </w:r>
      <w:r w:rsidR="00E92985">
        <w:rPr>
          <w:rFonts w:ascii="Cambria" w:hAnsi="Cambria"/>
          <w:sz w:val="20"/>
          <w:szCs w:val="20"/>
          <w:bdr w:val="none" w:sz="0" w:space="0" w:color="auto"/>
        </w:rPr>
        <w:t xml:space="preserve"> the </w:t>
      </w:r>
      <w:r w:rsidR="00A63761">
        <w:rPr>
          <w:rFonts w:ascii="Cambria" w:hAnsi="Cambria"/>
          <w:sz w:val="20"/>
          <w:szCs w:val="20"/>
          <w:bdr w:val="none" w:sz="0" w:space="0" w:color="auto"/>
        </w:rPr>
        <w:t>Supreme Court</w:t>
      </w:r>
      <w:r w:rsidR="005B4B78" w:rsidRPr="00A51861">
        <w:rPr>
          <w:rFonts w:ascii="Cambria" w:hAnsi="Cambria"/>
          <w:sz w:val="20"/>
          <w:szCs w:val="20"/>
          <w:bdr w:val="none" w:sz="0" w:space="0" w:color="auto"/>
        </w:rPr>
        <w:t xml:space="preserve"> </w:t>
      </w:r>
      <w:r w:rsidR="007C16F9">
        <w:rPr>
          <w:rFonts w:ascii="Cambria" w:hAnsi="Cambria"/>
          <w:sz w:val="20"/>
          <w:szCs w:val="20"/>
          <w:bdr w:val="none" w:sz="0" w:space="0" w:color="auto"/>
        </w:rPr>
        <w:t>in its</w:t>
      </w:r>
      <w:r w:rsidR="005B4B78" w:rsidRPr="00A51861">
        <w:rPr>
          <w:rFonts w:ascii="Cambria" w:hAnsi="Cambria"/>
          <w:sz w:val="20"/>
          <w:szCs w:val="20"/>
          <w:bdr w:val="none" w:sz="0" w:space="0" w:color="auto"/>
        </w:rPr>
        <w:t xml:space="preserve"> </w:t>
      </w:r>
      <w:r w:rsidR="00F92BA8">
        <w:rPr>
          <w:rFonts w:ascii="Cambria" w:hAnsi="Cambria"/>
          <w:sz w:val="20"/>
          <w:szCs w:val="20"/>
          <w:bdr w:val="none" w:sz="0" w:space="0" w:color="auto"/>
        </w:rPr>
        <w:t xml:space="preserve">decision </w:t>
      </w:r>
      <w:r w:rsidR="00943174" w:rsidRPr="00A51861">
        <w:rPr>
          <w:rFonts w:ascii="Cambria" w:hAnsi="Cambria"/>
          <w:sz w:val="20"/>
          <w:szCs w:val="20"/>
          <w:bdr w:val="none" w:sz="0" w:space="0" w:color="auto"/>
        </w:rPr>
        <w:t>conclu</w:t>
      </w:r>
      <w:r w:rsidR="007C16F9">
        <w:rPr>
          <w:rFonts w:ascii="Cambria" w:hAnsi="Cambria"/>
          <w:sz w:val="20"/>
          <w:szCs w:val="20"/>
          <w:bdr w:val="none" w:sz="0" w:space="0" w:color="auto"/>
        </w:rPr>
        <w:t>d</w:t>
      </w:r>
      <w:r w:rsidR="00943174" w:rsidRPr="00A51861">
        <w:rPr>
          <w:rFonts w:ascii="Cambria" w:hAnsi="Cambria"/>
          <w:sz w:val="20"/>
          <w:szCs w:val="20"/>
          <w:bdr w:val="none" w:sz="0" w:space="0" w:color="auto"/>
        </w:rPr>
        <w:t>e</w:t>
      </w:r>
      <w:r w:rsidR="007C16F9">
        <w:rPr>
          <w:rFonts w:ascii="Cambria" w:hAnsi="Cambria"/>
          <w:sz w:val="20"/>
          <w:szCs w:val="20"/>
          <w:bdr w:val="none" w:sz="0" w:space="0" w:color="auto"/>
        </w:rPr>
        <w:t>s</w:t>
      </w:r>
      <w:r w:rsidR="00943174" w:rsidRPr="00A51861">
        <w:rPr>
          <w:rFonts w:ascii="Cambria" w:hAnsi="Cambria"/>
          <w:sz w:val="20"/>
          <w:szCs w:val="20"/>
          <w:bdr w:val="none" w:sz="0" w:space="0" w:color="auto"/>
        </w:rPr>
        <w:t xml:space="preserve"> </w:t>
      </w:r>
      <w:r w:rsidR="007C16F9">
        <w:rPr>
          <w:rFonts w:ascii="Cambria" w:hAnsi="Cambria"/>
          <w:sz w:val="20"/>
          <w:szCs w:val="20"/>
          <w:bdr w:val="none" w:sz="0" w:space="0" w:color="auto"/>
        </w:rPr>
        <w:t>as</w:t>
      </w:r>
      <w:r w:rsidR="00943174" w:rsidRPr="00A51861">
        <w:rPr>
          <w:rFonts w:ascii="Cambria" w:hAnsi="Cambria"/>
          <w:sz w:val="20"/>
          <w:szCs w:val="20"/>
          <w:bdr w:val="none" w:sz="0" w:space="0" w:color="auto"/>
        </w:rPr>
        <w:t xml:space="preserve"> argument </w:t>
      </w:r>
      <w:r w:rsidR="007C16F9">
        <w:rPr>
          <w:rFonts w:ascii="Cambria" w:hAnsi="Cambria"/>
          <w:sz w:val="20"/>
          <w:szCs w:val="20"/>
          <w:bdr w:val="none" w:sz="0" w:space="0" w:color="auto"/>
        </w:rPr>
        <w:t>to deny the</w:t>
      </w:r>
      <w:r w:rsidR="009A4F91">
        <w:rPr>
          <w:rFonts w:ascii="Cambria" w:hAnsi="Cambria"/>
          <w:sz w:val="20"/>
          <w:szCs w:val="20"/>
          <w:bdr w:val="none" w:sz="0" w:space="0" w:color="auto"/>
        </w:rPr>
        <w:t xml:space="preserve"> </w:t>
      </w:r>
      <w:r w:rsidR="008F7A6D">
        <w:rPr>
          <w:rFonts w:ascii="Cambria" w:hAnsi="Cambria"/>
          <w:sz w:val="20"/>
          <w:szCs w:val="20"/>
          <w:bdr w:val="none" w:sz="0" w:space="0" w:color="auto"/>
        </w:rPr>
        <w:t>compensation</w:t>
      </w:r>
      <w:r w:rsidR="00943174" w:rsidRPr="00A51861">
        <w:rPr>
          <w:rFonts w:ascii="Cambria" w:hAnsi="Cambria"/>
          <w:sz w:val="20"/>
          <w:szCs w:val="20"/>
          <w:bdr w:val="none" w:sz="0" w:space="0" w:color="auto"/>
        </w:rPr>
        <w:t xml:space="preserve"> </w:t>
      </w:r>
      <w:r w:rsidR="007C16F9">
        <w:rPr>
          <w:rFonts w:ascii="Cambria" w:hAnsi="Cambria"/>
          <w:sz w:val="20"/>
          <w:szCs w:val="20"/>
          <w:bdr w:val="none" w:sz="0" w:space="0" w:color="auto"/>
        </w:rPr>
        <w:t>foreseen in the cited</w:t>
      </w:r>
      <w:r w:rsidR="00943174" w:rsidRPr="00A51861">
        <w:rPr>
          <w:rFonts w:ascii="Cambria" w:hAnsi="Cambria"/>
          <w:sz w:val="20"/>
          <w:szCs w:val="20"/>
          <w:bdr w:val="none" w:sz="0" w:space="0" w:color="auto"/>
        </w:rPr>
        <w:t xml:space="preserve"> </w:t>
      </w:r>
      <w:r w:rsidR="002835FC" w:rsidRPr="00A51861">
        <w:rPr>
          <w:rFonts w:ascii="Cambria" w:hAnsi="Cambria"/>
          <w:sz w:val="20"/>
          <w:szCs w:val="20"/>
          <w:bdr w:val="none" w:sz="0" w:space="0" w:color="auto"/>
        </w:rPr>
        <w:t xml:space="preserve">Law </w:t>
      </w:r>
      <w:r w:rsidR="007C16F9">
        <w:rPr>
          <w:rFonts w:ascii="Cambria" w:hAnsi="Cambria"/>
          <w:sz w:val="20"/>
          <w:szCs w:val="20"/>
          <w:bdr w:val="none" w:sz="0" w:space="0" w:color="auto"/>
        </w:rPr>
        <w:t>that</w:t>
      </w:r>
      <w:r w:rsidR="00943174" w:rsidRPr="00A51861">
        <w:rPr>
          <w:rFonts w:ascii="Cambria" w:hAnsi="Cambria"/>
          <w:sz w:val="20"/>
          <w:szCs w:val="20"/>
          <w:bdr w:val="none" w:sz="0" w:space="0" w:color="auto"/>
        </w:rPr>
        <w:t xml:space="preserve"> “</w:t>
      </w:r>
      <w:r w:rsidR="007C16F9">
        <w:rPr>
          <w:rFonts w:ascii="Cambria" w:hAnsi="Cambria"/>
          <w:sz w:val="20"/>
          <w:szCs w:val="20"/>
          <w:bdr w:val="none" w:sz="0" w:space="0" w:color="auto"/>
        </w:rPr>
        <w:t>since</w:t>
      </w:r>
      <w:r w:rsidR="009A4F91">
        <w:rPr>
          <w:rFonts w:ascii="Cambria" w:hAnsi="Cambria"/>
          <w:sz w:val="20"/>
          <w:szCs w:val="20"/>
          <w:bdr w:val="none" w:sz="0" w:space="0" w:color="auto"/>
        </w:rPr>
        <w:t xml:space="preserve"> the </w:t>
      </w:r>
      <w:r w:rsidR="006E255A">
        <w:rPr>
          <w:rFonts w:ascii="Cambria" w:hAnsi="Cambria"/>
          <w:sz w:val="20"/>
          <w:szCs w:val="20"/>
          <w:bdr w:val="none" w:sz="0" w:space="0" w:color="auto"/>
        </w:rPr>
        <w:t>detention</w:t>
      </w:r>
      <w:r w:rsidR="004969F4">
        <w:rPr>
          <w:rFonts w:ascii="Cambria" w:hAnsi="Cambria"/>
          <w:sz w:val="20"/>
          <w:szCs w:val="20"/>
          <w:bdr w:val="none" w:sz="0" w:space="0" w:color="auto"/>
        </w:rPr>
        <w:t xml:space="preserve"> of the </w:t>
      </w:r>
      <w:r w:rsidR="007C16F9">
        <w:rPr>
          <w:rFonts w:ascii="Cambria" w:hAnsi="Cambria"/>
          <w:sz w:val="20"/>
          <w:szCs w:val="20"/>
          <w:bdr w:val="none" w:sz="0" w:space="0" w:color="auto"/>
        </w:rPr>
        <w:t>claimant</w:t>
      </w:r>
      <w:r w:rsidR="00943174" w:rsidRPr="00A51861">
        <w:rPr>
          <w:rFonts w:ascii="Cambria" w:hAnsi="Cambria"/>
          <w:sz w:val="20"/>
          <w:szCs w:val="20"/>
          <w:bdr w:val="none" w:sz="0" w:space="0" w:color="auto"/>
        </w:rPr>
        <w:t xml:space="preserve"> </w:t>
      </w:r>
      <w:r w:rsidR="007C16F9">
        <w:rPr>
          <w:rFonts w:ascii="Cambria" w:hAnsi="Cambria"/>
          <w:sz w:val="20"/>
          <w:szCs w:val="20"/>
          <w:bdr w:val="none" w:sz="0" w:space="0" w:color="auto"/>
        </w:rPr>
        <w:t>took place beyond the legal timeframe</w:t>
      </w:r>
      <w:r w:rsidR="00943174" w:rsidRPr="00A51861">
        <w:rPr>
          <w:rFonts w:ascii="Cambria" w:hAnsi="Cambria"/>
          <w:sz w:val="20"/>
          <w:szCs w:val="20"/>
          <w:bdr w:val="none" w:sz="0" w:space="0" w:color="auto"/>
        </w:rPr>
        <w:t xml:space="preserve">, </w:t>
      </w:r>
      <w:r w:rsidR="007C16F9">
        <w:rPr>
          <w:rFonts w:ascii="Cambria" w:hAnsi="Cambria"/>
          <w:sz w:val="20"/>
          <w:szCs w:val="20"/>
          <w:bdr w:val="none" w:sz="0" w:space="0" w:color="auto"/>
        </w:rPr>
        <w:t>as proven in the briefs</w:t>
      </w:r>
      <w:r w:rsidR="00E92985">
        <w:rPr>
          <w:rFonts w:ascii="Cambria" w:hAnsi="Cambria"/>
          <w:sz w:val="20"/>
          <w:szCs w:val="20"/>
          <w:bdr w:val="none" w:sz="0" w:space="0" w:color="auto"/>
        </w:rPr>
        <w:t xml:space="preserve"> and </w:t>
      </w:r>
      <w:r w:rsidR="00404714">
        <w:rPr>
          <w:rFonts w:ascii="Cambria" w:hAnsi="Cambria"/>
          <w:sz w:val="20"/>
          <w:szCs w:val="20"/>
          <w:bdr w:val="none" w:sz="0" w:space="0" w:color="auto"/>
        </w:rPr>
        <w:t>even</w:t>
      </w:r>
      <w:r w:rsidR="00943174" w:rsidRPr="00A51861">
        <w:rPr>
          <w:rFonts w:ascii="Cambria" w:hAnsi="Cambria"/>
          <w:sz w:val="20"/>
          <w:szCs w:val="20"/>
          <w:bdr w:val="none" w:sz="0" w:space="0" w:color="auto"/>
        </w:rPr>
        <w:t xml:space="preserve"> </w:t>
      </w:r>
      <w:r w:rsidR="007C16F9">
        <w:rPr>
          <w:rFonts w:ascii="Cambria" w:hAnsi="Cambria"/>
          <w:sz w:val="20"/>
          <w:szCs w:val="20"/>
          <w:bdr w:val="none" w:sz="0" w:space="0" w:color="auto"/>
        </w:rPr>
        <w:t>recognized by him</w:t>
      </w:r>
      <w:r w:rsidR="00943174" w:rsidRPr="00A51861">
        <w:rPr>
          <w:rFonts w:ascii="Cambria" w:hAnsi="Cambria"/>
          <w:sz w:val="20"/>
          <w:szCs w:val="20"/>
          <w:bdr w:val="none" w:sz="0" w:space="0" w:color="auto"/>
        </w:rPr>
        <w:t>,</w:t>
      </w:r>
      <w:r w:rsidR="009A4F91">
        <w:rPr>
          <w:rFonts w:ascii="Cambria" w:hAnsi="Cambria"/>
          <w:sz w:val="20"/>
          <w:szCs w:val="20"/>
          <w:bdr w:val="none" w:sz="0" w:space="0" w:color="auto"/>
        </w:rPr>
        <w:t xml:space="preserve"> </w:t>
      </w:r>
      <w:r w:rsidR="007C16F9">
        <w:rPr>
          <w:rFonts w:ascii="Cambria" w:hAnsi="Cambria"/>
          <w:sz w:val="20"/>
          <w:szCs w:val="20"/>
          <w:bdr w:val="none" w:sz="0" w:space="0" w:color="auto"/>
        </w:rPr>
        <w:t>the appealed judgment abides by the law</w:t>
      </w:r>
      <w:r w:rsidR="00943174" w:rsidRPr="00A51861">
        <w:rPr>
          <w:rFonts w:ascii="Cambria" w:hAnsi="Cambria"/>
          <w:sz w:val="20"/>
          <w:szCs w:val="20"/>
          <w:bdr w:val="none" w:sz="0" w:space="0" w:color="auto"/>
        </w:rPr>
        <w:t>”.</w:t>
      </w:r>
    </w:p>
    <w:p w14:paraId="6FE7BEAA" w14:textId="77777777" w:rsidR="005B4B78" w:rsidRPr="00A51861" w:rsidRDefault="005B4B78" w:rsidP="008E4D36">
      <w:pPr>
        <w:pStyle w:val="ListParagraph"/>
        <w:rPr>
          <w:rFonts w:eastAsia="Calibri"/>
          <w:color w:val="FF0000"/>
          <w:sz w:val="20"/>
          <w:szCs w:val="20"/>
          <w:highlight w:val="yellow"/>
          <w:bdr w:val="none" w:sz="0" w:space="0" w:color="auto"/>
        </w:rPr>
      </w:pPr>
    </w:p>
    <w:p w14:paraId="288A81E9" w14:textId="7BCB9056" w:rsidR="00BD7402" w:rsidRPr="00A51861" w:rsidRDefault="00F329E7"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bdr w:val="none" w:sz="0" w:space="0" w:color="auto"/>
        </w:rPr>
      </w:pPr>
      <w:r>
        <w:rPr>
          <w:rFonts w:ascii="Cambria" w:eastAsia="Calibri" w:hAnsi="Cambria"/>
          <w:sz w:val="20"/>
          <w:szCs w:val="20"/>
          <w:bdr w:val="none" w:sz="0" w:space="0" w:color="auto"/>
        </w:rPr>
        <w:t>On this matter</w:t>
      </w:r>
      <w:r w:rsidR="005B4B78"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although</w:t>
      </w:r>
      <w:r w:rsidR="005B4B78" w:rsidRPr="00A51861">
        <w:rPr>
          <w:rFonts w:ascii="Cambria" w:eastAsia="Calibri" w:hAnsi="Cambria"/>
          <w:sz w:val="20"/>
          <w:szCs w:val="20"/>
          <w:bdr w:val="none" w:sz="0" w:space="0" w:color="auto"/>
        </w:rPr>
        <w:t xml:space="preserve"> </w:t>
      </w:r>
      <w:r w:rsidR="00E92985">
        <w:rPr>
          <w:rFonts w:ascii="Cambria" w:eastAsia="Calibri" w:hAnsi="Cambria"/>
          <w:sz w:val="20"/>
          <w:szCs w:val="20"/>
          <w:bdr w:val="none" w:sz="0" w:space="0" w:color="auto"/>
        </w:rPr>
        <w:t>the Commission</w:t>
      </w:r>
      <w:r w:rsidR="005B4B78" w:rsidRPr="00A51861">
        <w:rPr>
          <w:rFonts w:ascii="Cambria" w:eastAsia="Calibri" w:hAnsi="Cambria"/>
          <w:sz w:val="20"/>
          <w:szCs w:val="20"/>
          <w:bdr w:val="none" w:sz="0" w:space="0" w:color="auto"/>
        </w:rPr>
        <w:t xml:space="preserve"> ha</w:t>
      </w:r>
      <w:r>
        <w:rPr>
          <w:rFonts w:ascii="Cambria" w:eastAsia="Calibri" w:hAnsi="Cambria"/>
          <w:sz w:val="20"/>
          <w:szCs w:val="20"/>
          <w:bdr w:val="none" w:sz="0" w:space="0" w:color="auto"/>
        </w:rPr>
        <w:t>s</w:t>
      </w:r>
      <w:r w:rsidR="005B4B78" w:rsidRPr="00A51861">
        <w:rPr>
          <w:rFonts w:ascii="Cambria" w:eastAsia="Calibri" w:hAnsi="Cambria"/>
          <w:sz w:val="20"/>
          <w:szCs w:val="20"/>
          <w:bdr w:val="none" w:sz="0" w:space="0" w:color="auto"/>
        </w:rPr>
        <w:t xml:space="preserve"> </w:t>
      </w:r>
      <w:r w:rsidR="001D1D61">
        <w:rPr>
          <w:rFonts w:ascii="Cambria" w:eastAsia="Calibri" w:hAnsi="Cambria"/>
          <w:sz w:val="20"/>
          <w:szCs w:val="20"/>
          <w:bdr w:val="none" w:sz="0" w:space="0" w:color="auto"/>
        </w:rPr>
        <w:t>considered</w:t>
      </w:r>
      <w:r w:rsidR="00E92985">
        <w:rPr>
          <w:rFonts w:ascii="Cambria" w:eastAsia="Calibri" w:hAnsi="Cambria"/>
          <w:sz w:val="20"/>
          <w:szCs w:val="20"/>
          <w:bdr w:val="none" w:sz="0" w:space="0" w:color="auto"/>
        </w:rPr>
        <w:t xml:space="preserve"> that the </w:t>
      </w:r>
      <w:r w:rsidR="006273A5">
        <w:rPr>
          <w:rFonts w:ascii="Cambria" w:eastAsia="Calibri" w:hAnsi="Cambria"/>
          <w:sz w:val="20"/>
          <w:szCs w:val="20"/>
          <w:bdr w:val="none" w:sz="0" w:space="0" w:color="auto"/>
        </w:rPr>
        <w:t>existence</w:t>
      </w:r>
      <w:r w:rsidR="00E92985">
        <w:rPr>
          <w:rFonts w:ascii="Cambria" w:eastAsia="Calibri" w:hAnsi="Cambria"/>
          <w:sz w:val="20"/>
          <w:szCs w:val="20"/>
          <w:bdr w:val="none" w:sz="0" w:space="0" w:color="auto"/>
        </w:rPr>
        <w:t xml:space="preserve"> of </w:t>
      </w:r>
      <w:r w:rsidRPr="00A51861">
        <w:rPr>
          <w:rFonts w:ascii="Cambria" w:eastAsia="Calibri" w:hAnsi="Cambria"/>
          <w:sz w:val="20"/>
          <w:szCs w:val="20"/>
          <w:bdr w:val="none" w:sz="0" w:space="0" w:color="auto"/>
        </w:rPr>
        <w:t xml:space="preserve">divergent </w:t>
      </w:r>
      <w:r w:rsidR="00E92985">
        <w:rPr>
          <w:rFonts w:ascii="Cambria" w:eastAsia="Calibri" w:hAnsi="Cambria"/>
          <w:sz w:val="20"/>
          <w:szCs w:val="20"/>
          <w:bdr w:val="none" w:sz="0" w:space="0" w:color="auto"/>
        </w:rPr>
        <w:t>decisions</w:t>
      </w:r>
      <w:r w:rsidR="005B4B78"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between courts of</w:t>
      </w:r>
      <w:r w:rsidR="00E92985">
        <w:rPr>
          <w:rFonts w:ascii="Cambria" w:eastAsia="Calibri" w:hAnsi="Cambria"/>
          <w:sz w:val="20"/>
          <w:szCs w:val="20"/>
          <w:bdr w:val="none" w:sz="0" w:space="0" w:color="auto"/>
        </w:rPr>
        <w:t xml:space="preserve"> </w:t>
      </w:r>
      <w:r w:rsidR="005B4B78" w:rsidRPr="00A51861">
        <w:rPr>
          <w:rFonts w:ascii="Cambria" w:eastAsia="Calibri" w:hAnsi="Cambria"/>
          <w:sz w:val="20"/>
          <w:szCs w:val="20"/>
          <w:bdr w:val="none" w:sz="0" w:space="0" w:color="auto"/>
        </w:rPr>
        <w:t>di</w:t>
      </w:r>
      <w:r>
        <w:rPr>
          <w:rFonts w:ascii="Cambria" w:eastAsia="Calibri" w:hAnsi="Cambria"/>
          <w:sz w:val="20"/>
          <w:szCs w:val="20"/>
          <w:bdr w:val="none" w:sz="0" w:space="0" w:color="auto"/>
        </w:rPr>
        <w:t>f</w:t>
      </w:r>
      <w:r w:rsidR="005B4B78" w:rsidRPr="00A51861">
        <w:rPr>
          <w:rFonts w:ascii="Cambria" w:eastAsia="Calibri" w:hAnsi="Cambria"/>
          <w:sz w:val="20"/>
          <w:szCs w:val="20"/>
          <w:bdr w:val="none" w:sz="0" w:space="0" w:color="auto"/>
        </w:rPr>
        <w:t>feren</w:t>
      </w:r>
      <w:r>
        <w:rPr>
          <w:rFonts w:ascii="Cambria" w:eastAsia="Calibri" w:hAnsi="Cambria"/>
          <w:sz w:val="20"/>
          <w:szCs w:val="20"/>
          <w:bdr w:val="none" w:sz="0" w:space="0" w:color="auto"/>
        </w:rPr>
        <w:t>t</w:t>
      </w:r>
      <w:r w:rsidR="005B4B78" w:rsidRPr="00A51861">
        <w:rPr>
          <w:rFonts w:ascii="Cambria" w:eastAsia="Calibri" w:hAnsi="Cambria"/>
          <w:sz w:val="20"/>
          <w:szCs w:val="20"/>
          <w:bdr w:val="none" w:sz="0" w:space="0" w:color="auto"/>
        </w:rPr>
        <w:t xml:space="preserve"> </w:t>
      </w:r>
      <w:r w:rsidRPr="00A51861">
        <w:rPr>
          <w:rFonts w:ascii="Cambria" w:eastAsia="Calibri" w:hAnsi="Cambria"/>
          <w:sz w:val="20"/>
          <w:szCs w:val="20"/>
          <w:bdr w:val="none" w:sz="0" w:space="0" w:color="auto"/>
        </w:rPr>
        <w:t>jurisdictions</w:t>
      </w:r>
      <w:r w:rsidR="00E92985">
        <w:rPr>
          <w:rFonts w:ascii="Cambria" w:eastAsia="Calibri" w:hAnsi="Cambria"/>
          <w:sz w:val="20"/>
          <w:szCs w:val="20"/>
          <w:bdr w:val="none" w:sz="0" w:space="0" w:color="auto"/>
        </w:rPr>
        <w:t xml:space="preserve"> and </w:t>
      </w:r>
      <w:r w:rsidR="00404714">
        <w:rPr>
          <w:rFonts w:ascii="Cambria" w:eastAsia="Calibri" w:hAnsi="Cambria"/>
          <w:sz w:val="20"/>
          <w:szCs w:val="20"/>
          <w:bdr w:val="none" w:sz="0" w:space="0" w:color="auto"/>
        </w:rPr>
        <w:t>even</w:t>
      </w:r>
      <w:r w:rsidR="005B4B78" w:rsidRPr="00A51861">
        <w:rPr>
          <w:rFonts w:ascii="Cambria" w:eastAsia="Calibri" w:hAnsi="Cambria"/>
          <w:sz w:val="20"/>
          <w:szCs w:val="20"/>
          <w:bdr w:val="none" w:sz="0" w:space="0" w:color="auto"/>
        </w:rPr>
        <w:t xml:space="preserve"> </w:t>
      </w:r>
      <w:r w:rsidR="002B762A">
        <w:rPr>
          <w:rFonts w:ascii="Cambria" w:eastAsia="Calibri" w:hAnsi="Cambria"/>
          <w:sz w:val="20"/>
          <w:szCs w:val="20"/>
          <w:bdr w:val="none" w:sz="0" w:space="0" w:color="auto"/>
        </w:rPr>
        <w:t xml:space="preserve">by the </w:t>
      </w:r>
      <w:r>
        <w:rPr>
          <w:rFonts w:ascii="Cambria" w:eastAsia="Calibri" w:hAnsi="Cambria"/>
          <w:sz w:val="20"/>
          <w:szCs w:val="20"/>
          <w:bdr w:val="none" w:sz="0" w:space="0" w:color="auto"/>
        </w:rPr>
        <w:t>same court do not imply</w:t>
      </w:r>
      <w:r w:rsidR="0001768F"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in itself a</w:t>
      </w:r>
      <w:r w:rsidR="00B773DC">
        <w:rPr>
          <w:rFonts w:ascii="Cambria" w:eastAsia="Calibri" w:hAnsi="Cambria"/>
          <w:sz w:val="20"/>
          <w:szCs w:val="20"/>
          <w:bdr w:val="none" w:sz="0" w:space="0" w:color="auto"/>
        </w:rPr>
        <w:t xml:space="preserve"> </w:t>
      </w:r>
      <w:r w:rsidRPr="00A51861">
        <w:rPr>
          <w:rFonts w:ascii="Cambria" w:eastAsia="Calibri" w:hAnsi="Cambria"/>
          <w:sz w:val="20"/>
          <w:szCs w:val="20"/>
          <w:bdr w:val="none" w:sz="0" w:space="0" w:color="auto"/>
        </w:rPr>
        <w:t>contravention</w:t>
      </w:r>
      <w:r w:rsidR="005B4B78"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to</w:t>
      </w:r>
      <w:r w:rsidR="0001768F" w:rsidRPr="00A51861">
        <w:rPr>
          <w:rFonts w:ascii="Cambria" w:eastAsia="Calibri" w:hAnsi="Cambria"/>
          <w:sz w:val="20"/>
          <w:szCs w:val="20"/>
          <w:bdr w:val="none" w:sz="0" w:space="0" w:color="auto"/>
        </w:rPr>
        <w:t xml:space="preserve"> </w:t>
      </w:r>
      <w:r w:rsidR="009A4F91">
        <w:rPr>
          <w:rFonts w:ascii="Cambria" w:eastAsia="Calibri" w:hAnsi="Cambria"/>
          <w:sz w:val="20"/>
          <w:szCs w:val="20"/>
          <w:bdr w:val="none" w:sz="0" w:space="0" w:color="auto"/>
        </w:rPr>
        <w:t>guarantee</w:t>
      </w:r>
      <w:r w:rsidR="0001768F" w:rsidRPr="00A51861">
        <w:rPr>
          <w:rFonts w:ascii="Cambria" w:eastAsia="Calibri" w:hAnsi="Cambria"/>
          <w:sz w:val="20"/>
          <w:szCs w:val="20"/>
          <w:bdr w:val="none" w:sz="0" w:space="0" w:color="auto"/>
        </w:rPr>
        <w:t>s</w:t>
      </w:r>
      <w:r w:rsidR="004969F4">
        <w:rPr>
          <w:rFonts w:ascii="Cambria" w:eastAsia="Calibri" w:hAnsi="Cambria"/>
          <w:sz w:val="20"/>
          <w:szCs w:val="20"/>
          <w:bdr w:val="none" w:sz="0" w:space="0" w:color="auto"/>
        </w:rPr>
        <w:t xml:space="preserve"> of </w:t>
      </w:r>
      <w:r w:rsidR="00E92985">
        <w:rPr>
          <w:rFonts w:ascii="Cambria" w:eastAsia="Calibri" w:hAnsi="Cambria"/>
          <w:sz w:val="20"/>
          <w:szCs w:val="20"/>
          <w:bdr w:val="none" w:sz="0" w:space="0" w:color="auto"/>
        </w:rPr>
        <w:t>due process</w:t>
      </w:r>
      <w:r w:rsidR="00B04602">
        <w:rPr>
          <w:rFonts w:ascii="Cambria" w:eastAsia="Calibri" w:hAnsi="Cambria"/>
          <w:sz w:val="20"/>
          <w:szCs w:val="20"/>
          <w:bdr w:val="none" w:sz="0" w:space="0" w:color="auto"/>
        </w:rPr>
        <w:t>, w</w:t>
      </w:r>
      <w:r>
        <w:rPr>
          <w:rFonts w:ascii="Cambria" w:eastAsia="Calibri" w:hAnsi="Cambria"/>
          <w:sz w:val="20"/>
          <w:szCs w:val="20"/>
          <w:bdr w:val="none" w:sz="0" w:space="0" w:color="auto"/>
        </w:rPr>
        <w:t>hat is</w:t>
      </w:r>
      <w:r w:rsidR="005B4B78" w:rsidRPr="00A51861">
        <w:rPr>
          <w:rFonts w:ascii="Cambria" w:eastAsia="Calibri" w:hAnsi="Cambria"/>
          <w:sz w:val="20"/>
          <w:szCs w:val="20"/>
          <w:bdr w:val="none" w:sz="0" w:space="0" w:color="auto"/>
        </w:rPr>
        <w:t xml:space="preserve"> observ</w:t>
      </w:r>
      <w:r>
        <w:rPr>
          <w:rFonts w:ascii="Cambria" w:eastAsia="Calibri" w:hAnsi="Cambria"/>
          <w:sz w:val="20"/>
          <w:szCs w:val="20"/>
          <w:bdr w:val="none" w:sz="0" w:space="0" w:color="auto"/>
        </w:rPr>
        <w:t>ed</w:t>
      </w:r>
      <w:r w:rsidR="00D70A85">
        <w:rPr>
          <w:rFonts w:ascii="Cambria" w:eastAsia="Calibri" w:hAnsi="Cambria"/>
          <w:sz w:val="20"/>
          <w:szCs w:val="20"/>
          <w:bdr w:val="none" w:sz="0" w:space="0" w:color="auto"/>
        </w:rPr>
        <w:t xml:space="preserve"> is </w:t>
      </w:r>
      <w:r>
        <w:rPr>
          <w:rFonts w:ascii="Cambria" w:eastAsia="Calibri" w:hAnsi="Cambria"/>
          <w:sz w:val="20"/>
          <w:szCs w:val="20"/>
          <w:bdr w:val="none" w:sz="0" w:space="0" w:color="auto"/>
        </w:rPr>
        <w:t>that</w:t>
      </w:r>
      <w:r w:rsidR="005B4B78"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by bringing forth the remedies raised i</w:t>
      </w:r>
      <w:r w:rsidR="005B4B78" w:rsidRPr="00A51861">
        <w:rPr>
          <w:rFonts w:ascii="Cambria" w:eastAsia="Calibri" w:hAnsi="Cambria"/>
          <w:sz w:val="20"/>
          <w:szCs w:val="20"/>
          <w:bdr w:val="none" w:sz="0" w:space="0" w:color="auto"/>
        </w:rPr>
        <w:t xml:space="preserve">n </w:t>
      </w:r>
      <w:r w:rsidR="00E64C43">
        <w:rPr>
          <w:rFonts w:ascii="Cambria" w:eastAsia="Calibri" w:hAnsi="Cambria"/>
          <w:sz w:val="20"/>
          <w:szCs w:val="20"/>
          <w:bdr w:val="none" w:sz="0" w:space="0" w:color="auto"/>
        </w:rPr>
        <w:t>this case</w:t>
      </w:r>
      <w:r w:rsidR="005B4B78"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the</w:t>
      </w:r>
      <w:r w:rsidR="005B4B78" w:rsidRPr="00A51861">
        <w:rPr>
          <w:rFonts w:ascii="Cambria" w:eastAsia="Calibri" w:hAnsi="Cambria"/>
          <w:sz w:val="20"/>
          <w:szCs w:val="20"/>
          <w:bdr w:val="none" w:sz="0" w:space="0" w:color="auto"/>
        </w:rPr>
        <w:t xml:space="preserve"> </w:t>
      </w:r>
      <w:r w:rsidR="00A75646">
        <w:rPr>
          <w:rFonts w:ascii="Cambria" w:eastAsia="Calibri" w:hAnsi="Cambria"/>
          <w:sz w:val="20"/>
          <w:szCs w:val="20"/>
          <w:bdr w:val="none" w:sz="0" w:space="0" w:color="auto"/>
        </w:rPr>
        <w:t>jurisprudential</w:t>
      </w:r>
      <w:r w:rsidR="005B4B78"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precedents related to</w:t>
      </w:r>
      <w:r w:rsidR="005B4B78" w:rsidRPr="00A51861">
        <w:rPr>
          <w:rFonts w:ascii="Cambria" w:eastAsia="Calibri" w:hAnsi="Cambria"/>
          <w:sz w:val="20"/>
          <w:szCs w:val="20"/>
          <w:bdr w:val="none" w:sz="0" w:space="0" w:color="auto"/>
        </w:rPr>
        <w:t xml:space="preserve"> </w:t>
      </w:r>
      <w:r w:rsidR="005B42FA">
        <w:rPr>
          <w:rFonts w:ascii="Cambria" w:eastAsia="Calibri" w:hAnsi="Cambria"/>
          <w:sz w:val="20"/>
          <w:szCs w:val="20"/>
          <w:bdr w:val="none" w:sz="0" w:space="0" w:color="auto"/>
        </w:rPr>
        <w:t>exile</w:t>
      </w:r>
      <w:r w:rsidR="005B4B78"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as</w:t>
      </w:r>
      <w:r w:rsidR="005B4B78" w:rsidRPr="00A51861">
        <w:rPr>
          <w:rFonts w:ascii="Cambria" w:eastAsia="Calibri" w:hAnsi="Cambria"/>
          <w:sz w:val="20"/>
          <w:szCs w:val="20"/>
          <w:bdr w:val="none" w:sz="0" w:space="0" w:color="auto"/>
        </w:rPr>
        <w:t xml:space="preserve"> continui</w:t>
      </w:r>
      <w:r w:rsidR="00FA2E7B">
        <w:rPr>
          <w:rFonts w:ascii="Cambria" w:eastAsia="Calibri" w:hAnsi="Cambria"/>
          <w:sz w:val="20"/>
          <w:szCs w:val="20"/>
          <w:bdr w:val="none" w:sz="0" w:space="0" w:color="auto"/>
        </w:rPr>
        <w:t xml:space="preserve">ty </w:t>
      </w:r>
      <w:r w:rsidR="004969F4">
        <w:rPr>
          <w:rFonts w:ascii="Cambria" w:eastAsia="Calibri" w:hAnsi="Cambria"/>
          <w:sz w:val="20"/>
          <w:szCs w:val="20"/>
          <w:bdr w:val="none" w:sz="0" w:space="0" w:color="auto"/>
        </w:rPr>
        <w:t xml:space="preserve">of the </w:t>
      </w:r>
      <w:r>
        <w:rPr>
          <w:rFonts w:ascii="Cambria" w:eastAsia="Calibri" w:hAnsi="Cambria"/>
          <w:sz w:val="20"/>
          <w:szCs w:val="20"/>
          <w:bdr w:val="none" w:sz="0" w:space="0" w:color="auto"/>
        </w:rPr>
        <w:t>effective</w:t>
      </w:r>
      <w:r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impairment</w:t>
      </w:r>
      <w:r w:rsidR="005B4B78"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to</w:t>
      </w:r>
      <w:r w:rsidR="009A4F91">
        <w:rPr>
          <w:rFonts w:ascii="Cambria" w:eastAsia="Calibri" w:hAnsi="Cambria"/>
          <w:sz w:val="20"/>
          <w:szCs w:val="20"/>
          <w:bdr w:val="none" w:sz="0" w:space="0" w:color="auto"/>
        </w:rPr>
        <w:t xml:space="preserve"> </w:t>
      </w:r>
      <w:r w:rsidR="00387B53">
        <w:rPr>
          <w:rFonts w:ascii="Cambria" w:eastAsia="Calibri" w:hAnsi="Cambria"/>
          <w:sz w:val="20"/>
          <w:szCs w:val="20"/>
          <w:bdr w:val="none" w:sz="0" w:space="0" w:color="auto"/>
        </w:rPr>
        <w:t>liberty</w:t>
      </w:r>
      <w:r w:rsidR="005B4B78" w:rsidRPr="00A51861">
        <w:rPr>
          <w:rFonts w:ascii="Cambria" w:eastAsia="Calibri" w:hAnsi="Cambria"/>
          <w:sz w:val="20"/>
          <w:szCs w:val="20"/>
          <w:bdr w:val="none" w:sz="0" w:space="0" w:color="auto"/>
        </w:rPr>
        <w:t>,</w:t>
      </w:r>
      <w:r w:rsidR="0001768F"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it was necessary</w:t>
      </w:r>
      <w:r w:rsidR="00E92985">
        <w:rPr>
          <w:rFonts w:ascii="Cambria" w:eastAsia="Calibri" w:hAnsi="Cambria"/>
          <w:sz w:val="20"/>
          <w:szCs w:val="20"/>
          <w:bdr w:val="none" w:sz="0" w:space="0" w:color="auto"/>
        </w:rPr>
        <w:t xml:space="preserve"> that the </w:t>
      </w:r>
      <w:r w:rsidR="007C16F9">
        <w:rPr>
          <w:rFonts w:ascii="Cambria" w:eastAsia="Calibri" w:hAnsi="Cambria"/>
          <w:sz w:val="20"/>
          <w:szCs w:val="20"/>
          <w:bdr w:val="none" w:sz="0" w:space="0" w:color="auto"/>
        </w:rPr>
        <w:t xml:space="preserve">judicial authority </w:t>
      </w:r>
      <w:r>
        <w:rPr>
          <w:rFonts w:ascii="Cambria" w:eastAsia="Calibri" w:hAnsi="Cambria"/>
          <w:sz w:val="20"/>
          <w:szCs w:val="20"/>
          <w:bdr w:val="none" w:sz="0" w:space="0" w:color="auto"/>
        </w:rPr>
        <w:t>had carried out an analysis of said</w:t>
      </w:r>
      <w:r w:rsidR="0001768F" w:rsidRPr="00A51861">
        <w:rPr>
          <w:rFonts w:ascii="Cambria" w:eastAsia="Calibri" w:hAnsi="Cambria"/>
          <w:sz w:val="20"/>
          <w:szCs w:val="20"/>
          <w:bdr w:val="none" w:sz="0" w:space="0" w:color="auto"/>
        </w:rPr>
        <w:t xml:space="preserve"> </w:t>
      </w:r>
      <w:r w:rsidR="00EF1F73">
        <w:rPr>
          <w:rFonts w:ascii="Cambria" w:eastAsia="Calibri" w:hAnsi="Cambria"/>
          <w:sz w:val="20"/>
          <w:szCs w:val="20"/>
          <w:bdr w:val="none" w:sz="0" w:space="0" w:color="auto"/>
        </w:rPr>
        <w:t xml:space="preserve">precedents </w:t>
      </w:r>
      <w:r w:rsidR="00E92985">
        <w:rPr>
          <w:rFonts w:ascii="Cambria" w:eastAsia="Calibri" w:hAnsi="Cambria"/>
          <w:sz w:val="20"/>
          <w:szCs w:val="20"/>
          <w:bdr w:val="none" w:sz="0" w:space="0" w:color="auto"/>
        </w:rPr>
        <w:t xml:space="preserve">and </w:t>
      </w:r>
      <w:r>
        <w:rPr>
          <w:rFonts w:ascii="Cambria" w:eastAsia="Calibri" w:hAnsi="Cambria"/>
          <w:sz w:val="20"/>
          <w:szCs w:val="20"/>
          <w:bdr w:val="none" w:sz="0" w:space="0" w:color="auto"/>
        </w:rPr>
        <w:t>motivated its</w:t>
      </w:r>
      <w:r w:rsidR="0001768F" w:rsidRPr="00A51861">
        <w:rPr>
          <w:rFonts w:ascii="Cambria" w:eastAsia="Calibri" w:hAnsi="Cambria"/>
          <w:sz w:val="20"/>
          <w:szCs w:val="20"/>
          <w:bdr w:val="none" w:sz="0" w:space="0" w:color="auto"/>
        </w:rPr>
        <w:t xml:space="preserve"> </w:t>
      </w:r>
      <w:r w:rsidR="00F92BA8">
        <w:rPr>
          <w:rFonts w:ascii="Cambria" w:eastAsia="Calibri" w:hAnsi="Cambria"/>
          <w:sz w:val="20"/>
          <w:szCs w:val="20"/>
          <w:bdr w:val="none" w:sz="0" w:space="0" w:color="auto"/>
        </w:rPr>
        <w:t xml:space="preserve">decision </w:t>
      </w:r>
      <w:r>
        <w:rPr>
          <w:rFonts w:ascii="Cambria" w:eastAsia="Calibri" w:hAnsi="Cambria"/>
          <w:sz w:val="20"/>
          <w:szCs w:val="20"/>
          <w:bdr w:val="none" w:sz="0" w:space="0" w:color="auto"/>
        </w:rPr>
        <w:t>in regard to why the</w:t>
      </w:r>
      <w:r w:rsidR="0001768F" w:rsidRPr="00A51861">
        <w:rPr>
          <w:rFonts w:ascii="Cambria" w:eastAsia="Calibri" w:hAnsi="Cambria"/>
          <w:sz w:val="20"/>
          <w:szCs w:val="20"/>
          <w:bdr w:val="none" w:sz="0" w:space="0" w:color="auto"/>
        </w:rPr>
        <w:t xml:space="preserve"> </w:t>
      </w:r>
      <w:r w:rsidRPr="00A51861">
        <w:rPr>
          <w:rFonts w:ascii="Cambria" w:eastAsia="Calibri" w:hAnsi="Cambria"/>
          <w:sz w:val="20"/>
          <w:szCs w:val="20"/>
          <w:bdr w:val="none" w:sz="0" w:space="0" w:color="auto"/>
        </w:rPr>
        <w:t>considerations</w:t>
      </w:r>
      <w:r w:rsidR="00E92985">
        <w:rPr>
          <w:rFonts w:ascii="Cambria" w:eastAsia="Calibri" w:hAnsi="Cambria"/>
          <w:sz w:val="20"/>
          <w:szCs w:val="20"/>
          <w:bdr w:val="none" w:sz="0" w:space="0" w:color="auto"/>
        </w:rPr>
        <w:t xml:space="preserve"> of</w:t>
      </w:r>
      <w:r w:rsidR="00E64C43">
        <w:rPr>
          <w:rFonts w:ascii="Cambria" w:eastAsia="Calibri" w:hAnsi="Cambria"/>
          <w:sz w:val="20"/>
          <w:szCs w:val="20"/>
          <w:bdr w:val="none" w:sz="0" w:space="0" w:color="auto"/>
        </w:rPr>
        <w:t xml:space="preserve"> these </w:t>
      </w:r>
      <w:r>
        <w:rPr>
          <w:rFonts w:ascii="Cambria" w:eastAsia="Calibri" w:hAnsi="Cambria"/>
          <w:sz w:val="20"/>
          <w:szCs w:val="20"/>
          <w:bdr w:val="none" w:sz="0" w:space="0" w:color="auto"/>
        </w:rPr>
        <w:t>latter would not apply</w:t>
      </w:r>
      <w:r w:rsidR="0001768F" w:rsidRPr="00A51861">
        <w:rPr>
          <w:rFonts w:ascii="Cambria" w:eastAsia="Calibri" w:hAnsi="Cambria"/>
          <w:sz w:val="20"/>
          <w:szCs w:val="20"/>
          <w:bdr w:val="none" w:sz="0" w:space="0" w:color="auto"/>
        </w:rPr>
        <w:t xml:space="preserve">, </w:t>
      </w:r>
      <w:r w:rsidR="005B4B78" w:rsidRPr="00A51861">
        <w:rPr>
          <w:rFonts w:ascii="Cambria" w:eastAsia="Calibri" w:hAnsi="Cambria"/>
          <w:sz w:val="20"/>
          <w:szCs w:val="20"/>
          <w:bdr w:val="none" w:sz="0" w:space="0" w:color="auto"/>
        </w:rPr>
        <w:t>particular</w:t>
      </w:r>
      <w:r w:rsidR="0029564F">
        <w:rPr>
          <w:rFonts w:ascii="Cambria" w:eastAsia="Calibri" w:hAnsi="Cambria"/>
          <w:sz w:val="20"/>
          <w:szCs w:val="20"/>
          <w:bdr w:val="none" w:sz="0" w:space="0" w:color="auto"/>
        </w:rPr>
        <w:t xml:space="preserve">ly </w:t>
      </w:r>
      <w:r>
        <w:rPr>
          <w:rFonts w:ascii="Cambria" w:eastAsia="Calibri" w:hAnsi="Cambria"/>
          <w:sz w:val="20"/>
          <w:szCs w:val="20"/>
          <w:bdr w:val="none" w:sz="0" w:space="0" w:color="auto"/>
        </w:rPr>
        <w:t>concerning</w:t>
      </w:r>
      <w:r w:rsidR="002B762A">
        <w:rPr>
          <w:rFonts w:ascii="Cambria" w:eastAsia="Calibri" w:hAnsi="Cambria"/>
          <w:sz w:val="20"/>
          <w:szCs w:val="20"/>
          <w:bdr w:val="none" w:sz="0" w:space="0" w:color="auto"/>
        </w:rPr>
        <w:t xml:space="preserve"> </w:t>
      </w:r>
      <w:r w:rsidR="009A4F91">
        <w:rPr>
          <w:rFonts w:ascii="Cambria" w:eastAsia="Calibri" w:hAnsi="Cambria"/>
          <w:sz w:val="20"/>
          <w:szCs w:val="20"/>
          <w:bdr w:val="none" w:sz="0" w:space="0" w:color="auto"/>
        </w:rPr>
        <w:t xml:space="preserve">the </w:t>
      </w:r>
      <w:r w:rsidR="005B4B78" w:rsidRPr="00A51861">
        <w:rPr>
          <w:rFonts w:ascii="Cambria" w:eastAsia="Calibri" w:hAnsi="Cambria"/>
          <w:sz w:val="20"/>
          <w:szCs w:val="20"/>
          <w:bdr w:val="none" w:sz="0" w:space="0" w:color="auto"/>
        </w:rPr>
        <w:t>continui</w:t>
      </w:r>
      <w:r w:rsidR="00FA2E7B">
        <w:rPr>
          <w:rFonts w:ascii="Cambria" w:eastAsia="Calibri" w:hAnsi="Cambria"/>
          <w:sz w:val="20"/>
          <w:szCs w:val="20"/>
          <w:bdr w:val="none" w:sz="0" w:space="0" w:color="auto"/>
        </w:rPr>
        <w:t xml:space="preserve">ty </w:t>
      </w:r>
      <w:r w:rsidR="00E92985">
        <w:rPr>
          <w:rFonts w:ascii="Cambria" w:eastAsia="Calibri" w:hAnsi="Cambria"/>
          <w:sz w:val="20"/>
          <w:szCs w:val="20"/>
          <w:bdr w:val="none" w:sz="0" w:space="0" w:color="auto"/>
        </w:rPr>
        <w:t xml:space="preserve">of the </w:t>
      </w:r>
      <w:r w:rsidR="00B920CA">
        <w:rPr>
          <w:rFonts w:ascii="Cambria" w:eastAsia="Calibri" w:hAnsi="Cambria"/>
          <w:sz w:val="20"/>
          <w:szCs w:val="20"/>
          <w:bdr w:val="none" w:sz="0" w:space="0" w:color="auto"/>
        </w:rPr>
        <w:t>restriction</w:t>
      </w:r>
      <w:r w:rsidR="005B4B78"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to</w:t>
      </w:r>
      <w:r w:rsidR="009A4F91">
        <w:rPr>
          <w:rFonts w:ascii="Cambria" w:eastAsia="Calibri" w:hAnsi="Cambria"/>
          <w:sz w:val="20"/>
          <w:szCs w:val="20"/>
          <w:bdr w:val="none" w:sz="0" w:space="0" w:color="auto"/>
        </w:rPr>
        <w:t xml:space="preserve"> </w:t>
      </w:r>
      <w:r w:rsidR="00387B53">
        <w:rPr>
          <w:rFonts w:ascii="Cambria" w:eastAsia="Calibri" w:hAnsi="Cambria"/>
          <w:sz w:val="20"/>
          <w:szCs w:val="20"/>
          <w:bdr w:val="none" w:sz="0" w:space="0" w:color="auto"/>
        </w:rPr>
        <w:t>liberty</w:t>
      </w:r>
      <w:r w:rsidR="002B762A">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due to the</w:t>
      </w:r>
      <w:r w:rsidR="004969F4">
        <w:rPr>
          <w:rFonts w:ascii="Cambria" w:eastAsia="Calibri" w:hAnsi="Cambria"/>
          <w:sz w:val="20"/>
          <w:szCs w:val="20"/>
          <w:bdr w:val="none" w:sz="0" w:space="0" w:color="auto"/>
        </w:rPr>
        <w:t xml:space="preserve"> </w:t>
      </w:r>
      <w:r w:rsidR="005B42FA">
        <w:rPr>
          <w:rFonts w:ascii="Cambria" w:eastAsia="Calibri" w:hAnsi="Cambria"/>
          <w:sz w:val="20"/>
          <w:szCs w:val="20"/>
          <w:bdr w:val="none" w:sz="0" w:space="0" w:color="auto"/>
        </w:rPr>
        <w:t>exile</w:t>
      </w:r>
      <w:r w:rsidR="005B4B78"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endured by</w:t>
      </w:r>
      <w:r w:rsidR="0001768F" w:rsidRPr="00A51861">
        <w:rPr>
          <w:rFonts w:ascii="Cambria" w:eastAsia="Calibri" w:hAnsi="Cambria"/>
          <w:sz w:val="20"/>
          <w:szCs w:val="20"/>
          <w:bdr w:val="none" w:sz="0" w:space="0" w:color="auto"/>
        </w:rPr>
        <w:t xml:space="preserve"> </w:t>
      </w:r>
      <w:r w:rsidR="00A51861" w:rsidRPr="00A51861">
        <w:rPr>
          <w:rFonts w:ascii="Cambria" w:eastAsia="Calibri" w:hAnsi="Cambria"/>
          <w:sz w:val="20"/>
          <w:szCs w:val="20"/>
          <w:bdr w:val="none" w:sz="0" w:space="0" w:color="auto"/>
        </w:rPr>
        <w:t xml:space="preserve">Mr. </w:t>
      </w:r>
      <w:r w:rsidR="0001768F" w:rsidRPr="00A51861">
        <w:rPr>
          <w:rFonts w:ascii="Cambria" w:eastAsia="Calibri" w:hAnsi="Cambria"/>
          <w:sz w:val="20"/>
          <w:szCs w:val="20"/>
          <w:bdr w:val="none" w:sz="0" w:space="0" w:color="auto"/>
        </w:rPr>
        <w:t>Ferreira</w:t>
      </w:r>
      <w:r w:rsidR="00BD7402"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This</w:t>
      </w:r>
      <w:r w:rsidR="00BD7402"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while a</w:t>
      </w:r>
      <w:r w:rsidR="00BD7402" w:rsidRPr="00A51861">
        <w:rPr>
          <w:rFonts w:ascii="Cambria" w:eastAsia="Calibri" w:hAnsi="Cambria"/>
          <w:sz w:val="20"/>
          <w:szCs w:val="20"/>
          <w:bdr w:val="none" w:sz="0" w:space="0" w:color="auto"/>
        </w:rPr>
        <w:t xml:space="preserve"> </w:t>
      </w:r>
      <w:r w:rsidR="00775F21">
        <w:rPr>
          <w:rFonts w:ascii="Cambria" w:eastAsia="Calibri" w:hAnsi="Cambria"/>
          <w:sz w:val="20"/>
          <w:szCs w:val="20"/>
          <w:bdr w:val="none" w:sz="0" w:space="0" w:color="auto"/>
        </w:rPr>
        <w:t xml:space="preserve">possible </w:t>
      </w:r>
      <w:r w:rsidR="00BD7402" w:rsidRPr="00A51861">
        <w:rPr>
          <w:rFonts w:ascii="Cambria" w:eastAsia="Calibri" w:hAnsi="Cambria"/>
          <w:sz w:val="20"/>
          <w:szCs w:val="20"/>
          <w:bdr w:val="none" w:sz="0" w:space="0" w:color="auto"/>
        </w:rPr>
        <w:t>cas</w:t>
      </w:r>
      <w:r>
        <w:rPr>
          <w:rFonts w:ascii="Cambria" w:eastAsia="Calibri" w:hAnsi="Cambria"/>
          <w:sz w:val="20"/>
          <w:szCs w:val="20"/>
          <w:bdr w:val="none" w:sz="0" w:space="0" w:color="auto"/>
        </w:rPr>
        <w:t>e</w:t>
      </w:r>
      <w:r w:rsidR="00E92985">
        <w:rPr>
          <w:rFonts w:ascii="Cambria" w:eastAsia="Calibri" w:hAnsi="Cambria"/>
          <w:sz w:val="20"/>
          <w:szCs w:val="20"/>
          <w:bdr w:val="none" w:sz="0" w:space="0" w:color="auto"/>
        </w:rPr>
        <w:t xml:space="preserve"> of </w:t>
      </w:r>
      <w:r w:rsidR="004E1083">
        <w:rPr>
          <w:rFonts w:ascii="Cambria" w:eastAsia="Calibri" w:hAnsi="Cambria"/>
          <w:sz w:val="20"/>
          <w:szCs w:val="20"/>
          <w:bdr w:val="none" w:sz="0" w:space="0" w:color="auto"/>
        </w:rPr>
        <w:t>violation</w:t>
      </w:r>
      <w:r w:rsidR="00BD7402"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 xml:space="preserve">to the right </w:t>
      </w:r>
      <w:r w:rsidR="00B04602">
        <w:rPr>
          <w:rFonts w:ascii="Cambria" w:eastAsia="Calibri" w:hAnsi="Cambria"/>
          <w:sz w:val="20"/>
          <w:szCs w:val="20"/>
          <w:bdr w:val="none" w:sz="0" w:space="0" w:color="auto"/>
        </w:rPr>
        <w:t>to</w:t>
      </w:r>
      <w:r w:rsidR="009A4F91">
        <w:rPr>
          <w:rFonts w:ascii="Cambria" w:eastAsia="Calibri" w:hAnsi="Cambria"/>
          <w:sz w:val="20"/>
          <w:szCs w:val="20"/>
          <w:bdr w:val="none" w:sz="0" w:space="0" w:color="auto"/>
        </w:rPr>
        <w:t xml:space="preserve"> </w:t>
      </w:r>
      <w:r w:rsidR="00775F21">
        <w:rPr>
          <w:rFonts w:ascii="Cambria" w:eastAsia="Calibri" w:hAnsi="Cambria"/>
          <w:sz w:val="20"/>
          <w:szCs w:val="20"/>
          <w:bdr w:val="none" w:sz="0" w:space="0" w:color="auto"/>
        </w:rPr>
        <w:t>equality</w:t>
      </w:r>
      <w:r w:rsidR="00FA2E7B">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before the</w:t>
      </w:r>
      <w:r w:rsidR="00BD7402" w:rsidRPr="00A51861">
        <w:rPr>
          <w:rFonts w:ascii="Cambria" w:eastAsia="Calibri" w:hAnsi="Cambria"/>
          <w:sz w:val="20"/>
          <w:szCs w:val="20"/>
          <w:bdr w:val="none" w:sz="0" w:space="0" w:color="auto"/>
        </w:rPr>
        <w:t xml:space="preserve"> </w:t>
      </w:r>
      <w:r w:rsidR="002835FC" w:rsidRPr="00A51861">
        <w:rPr>
          <w:rFonts w:ascii="Cambria" w:eastAsia="Calibri" w:hAnsi="Cambria"/>
          <w:sz w:val="20"/>
          <w:szCs w:val="20"/>
          <w:bdr w:val="none" w:sz="0" w:space="0" w:color="auto"/>
        </w:rPr>
        <w:t xml:space="preserve">Law </w:t>
      </w:r>
      <w:r>
        <w:rPr>
          <w:rFonts w:ascii="Cambria" w:eastAsia="Calibri" w:hAnsi="Cambria"/>
          <w:sz w:val="20"/>
          <w:szCs w:val="20"/>
          <w:bdr w:val="none" w:sz="0" w:space="0" w:color="auto"/>
        </w:rPr>
        <w:t>was being raised</w:t>
      </w:r>
      <w:r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and</w:t>
      </w:r>
      <w:r w:rsidR="00BD7402" w:rsidRPr="00A51861">
        <w:rPr>
          <w:rFonts w:ascii="Cambria" w:eastAsia="Calibri" w:hAnsi="Cambria"/>
          <w:sz w:val="20"/>
          <w:szCs w:val="20"/>
          <w:bdr w:val="none" w:sz="0" w:space="0" w:color="auto"/>
        </w:rPr>
        <w:t xml:space="preserve">, </w:t>
      </w:r>
      <w:r w:rsidR="000B3507">
        <w:rPr>
          <w:rFonts w:ascii="Cambria" w:eastAsia="Calibri" w:hAnsi="Cambria"/>
          <w:sz w:val="20"/>
          <w:szCs w:val="20"/>
          <w:bdr w:val="none" w:sz="0" w:space="0" w:color="auto"/>
        </w:rPr>
        <w:t>therefore</w:t>
      </w:r>
      <w:r w:rsidR="00BD7402"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it required a resolution on the merits</w:t>
      </w:r>
      <w:r w:rsidR="002B762A">
        <w:rPr>
          <w:rFonts w:ascii="Cambria" w:eastAsia="Calibri" w:hAnsi="Cambria"/>
          <w:sz w:val="20"/>
          <w:szCs w:val="20"/>
          <w:bdr w:val="none" w:sz="0" w:space="0" w:color="auto"/>
        </w:rPr>
        <w:t xml:space="preserve"> with </w:t>
      </w:r>
      <w:r>
        <w:rPr>
          <w:rFonts w:ascii="Cambria" w:eastAsia="Calibri" w:hAnsi="Cambria"/>
          <w:sz w:val="20"/>
          <w:szCs w:val="20"/>
          <w:bdr w:val="none" w:sz="0" w:space="0" w:color="auto"/>
        </w:rPr>
        <w:t>due foundation as to whether indeed</w:t>
      </w:r>
      <w:r w:rsidR="00BD7402" w:rsidRPr="00A51861">
        <w:rPr>
          <w:rFonts w:ascii="Cambria" w:eastAsia="Calibri" w:hAnsi="Cambria"/>
          <w:sz w:val="20"/>
          <w:szCs w:val="20"/>
          <w:bdr w:val="none" w:sz="0" w:space="0" w:color="auto"/>
        </w:rPr>
        <w:t xml:space="preserve"> </w:t>
      </w:r>
      <w:r w:rsidR="00B773DC">
        <w:rPr>
          <w:rFonts w:ascii="Cambria" w:eastAsia="Calibri" w:hAnsi="Cambria"/>
          <w:sz w:val="20"/>
          <w:szCs w:val="20"/>
          <w:bdr w:val="none" w:sz="0" w:space="0" w:color="auto"/>
        </w:rPr>
        <w:t xml:space="preserve">a </w:t>
      </w:r>
      <w:r w:rsidR="00E64C43">
        <w:rPr>
          <w:rFonts w:ascii="Cambria" w:eastAsia="Calibri" w:hAnsi="Cambria"/>
          <w:sz w:val="20"/>
          <w:szCs w:val="20"/>
          <w:bdr w:val="none" w:sz="0" w:space="0" w:color="auto"/>
        </w:rPr>
        <w:t>difference</w:t>
      </w:r>
      <w:r w:rsidR="00775F21">
        <w:rPr>
          <w:rFonts w:ascii="Cambria" w:eastAsia="Calibri" w:hAnsi="Cambria"/>
          <w:sz w:val="20"/>
          <w:szCs w:val="20"/>
          <w:bdr w:val="none" w:sz="0" w:space="0" w:color="auto"/>
        </w:rPr>
        <w:t xml:space="preserve"> of treatment</w:t>
      </w:r>
      <w:r w:rsidR="00BD7402" w:rsidRPr="00A51861">
        <w:rPr>
          <w:rFonts w:ascii="Cambria" w:eastAsia="Calibri" w:hAnsi="Cambria"/>
          <w:sz w:val="20"/>
          <w:szCs w:val="20"/>
          <w:bdr w:val="none" w:sz="0" w:space="0" w:color="auto"/>
        </w:rPr>
        <w:t xml:space="preserve"> </w:t>
      </w:r>
      <w:r w:rsidRPr="00A51861">
        <w:rPr>
          <w:rFonts w:ascii="Cambria" w:eastAsia="Calibri" w:hAnsi="Cambria"/>
          <w:sz w:val="20"/>
          <w:szCs w:val="20"/>
          <w:bdr w:val="none" w:sz="0" w:space="0" w:color="auto"/>
        </w:rPr>
        <w:t>exist</w:t>
      </w:r>
      <w:r>
        <w:rPr>
          <w:rFonts w:ascii="Cambria" w:eastAsia="Calibri" w:hAnsi="Cambria"/>
          <w:sz w:val="20"/>
          <w:szCs w:val="20"/>
          <w:bdr w:val="none" w:sz="0" w:space="0" w:color="auto"/>
        </w:rPr>
        <w:t>ed and</w:t>
      </w:r>
      <w:r w:rsidR="00BD7402" w:rsidRPr="00A51861">
        <w:rPr>
          <w:rFonts w:ascii="Cambria" w:eastAsia="Calibri" w:hAnsi="Cambria"/>
          <w:sz w:val="20"/>
          <w:szCs w:val="20"/>
          <w:bdr w:val="none" w:sz="0" w:space="0" w:color="auto"/>
        </w:rPr>
        <w:t>,</w:t>
      </w:r>
      <w:r w:rsidR="00E92985">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if so</w:t>
      </w:r>
      <w:r w:rsidR="00BD7402"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whether it was justified</w:t>
      </w:r>
      <w:r w:rsidR="001D1D61">
        <w:rPr>
          <w:rFonts w:ascii="Cambria" w:eastAsia="Calibri" w:hAnsi="Cambria"/>
          <w:sz w:val="20"/>
          <w:szCs w:val="20"/>
          <w:bdr w:val="none" w:sz="0" w:space="0" w:color="auto"/>
        </w:rPr>
        <w:t>. Th</w:t>
      </w:r>
      <w:r w:rsidR="00E92985">
        <w:rPr>
          <w:rFonts w:ascii="Cambria" w:eastAsia="Calibri" w:hAnsi="Cambria"/>
          <w:sz w:val="20"/>
          <w:szCs w:val="20"/>
          <w:bdr w:val="none" w:sz="0" w:space="0" w:color="auto"/>
        </w:rPr>
        <w:t>e Commission</w:t>
      </w:r>
      <w:r w:rsidR="005B4B78" w:rsidRPr="00A51861">
        <w:rPr>
          <w:rFonts w:ascii="Cambria" w:eastAsia="Calibri" w:hAnsi="Cambria"/>
          <w:sz w:val="20"/>
          <w:szCs w:val="20"/>
          <w:bdr w:val="none" w:sz="0" w:space="0" w:color="auto"/>
        </w:rPr>
        <w:t xml:space="preserve"> </w:t>
      </w:r>
      <w:r w:rsidR="00A51861" w:rsidRPr="00A51861">
        <w:rPr>
          <w:rFonts w:ascii="Cambria" w:eastAsia="Calibri" w:hAnsi="Cambria"/>
          <w:sz w:val="20"/>
          <w:szCs w:val="20"/>
          <w:bdr w:val="none" w:sz="0" w:space="0" w:color="auto"/>
        </w:rPr>
        <w:t>considers that</w:t>
      </w:r>
      <w:r w:rsidR="005B4B78" w:rsidRPr="00A51861">
        <w:rPr>
          <w:rFonts w:ascii="Cambria" w:eastAsia="Calibri" w:hAnsi="Cambria"/>
          <w:sz w:val="20"/>
          <w:szCs w:val="20"/>
          <w:bdr w:val="none" w:sz="0" w:space="0" w:color="auto"/>
        </w:rPr>
        <w:t xml:space="preserve"> </w:t>
      </w:r>
      <w:r w:rsidR="00A51861" w:rsidRPr="00A51861">
        <w:rPr>
          <w:rFonts w:ascii="Cambria" w:eastAsia="Calibri" w:hAnsi="Cambria"/>
          <w:sz w:val="20"/>
          <w:szCs w:val="20"/>
          <w:bdr w:val="none" w:sz="0" w:space="0" w:color="auto"/>
        </w:rPr>
        <w:t>the alleged victim</w:t>
      </w:r>
      <w:r w:rsidR="005B4B78"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had</w:t>
      </w:r>
      <w:r w:rsidR="00BD7402" w:rsidRPr="00A51861">
        <w:rPr>
          <w:rFonts w:ascii="Cambria" w:eastAsia="Calibri" w:hAnsi="Cambria"/>
          <w:sz w:val="20"/>
          <w:szCs w:val="20"/>
          <w:bdr w:val="none" w:sz="0" w:space="0" w:color="auto"/>
        </w:rPr>
        <w:t xml:space="preserve"> </w:t>
      </w:r>
      <w:r w:rsidR="00A65E37">
        <w:rPr>
          <w:rFonts w:ascii="Cambria" w:eastAsia="Calibri" w:hAnsi="Cambria"/>
          <w:sz w:val="20"/>
          <w:szCs w:val="20"/>
          <w:bdr w:val="none" w:sz="0" w:space="0" w:color="auto"/>
        </w:rPr>
        <w:t xml:space="preserve">the right </w:t>
      </w:r>
      <w:r>
        <w:rPr>
          <w:rFonts w:ascii="Cambria" w:eastAsia="Calibri" w:hAnsi="Cambria"/>
          <w:sz w:val="20"/>
          <w:szCs w:val="20"/>
          <w:bdr w:val="none" w:sz="0" w:space="0" w:color="auto"/>
        </w:rPr>
        <w:t>of his allegation concerning</w:t>
      </w:r>
      <w:r w:rsidR="00BD7402" w:rsidRPr="00A51861">
        <w:rPr>
          <w:rFonts w:ascii="Cambria" w:eastAsia="Calibri" w:hAnsi="Cambria"/>
          <w:sz w:val="20"/>
          <w:szCs w:val="20"/>
          <w:bdr w:val="none" w:sz="0" w:space="0" w:color="auto"/>
        </w:rPr>
        <w:t xml:space="preserve"> </w:t>
      </w:r>
      <w:r w:rsidR="00775F21">
        <w:rPr>
          <w:rFonts w:ascii="Cambria" w:eastAsia="Calibri" w:hAnsi="Cambria"/>
          <w:sz w:val="20"/>
          <w:szCs w:val="20"/>
          <w:bdr w:val="none" w:sz="0" w:space="0" w:color="auto"/>
        </w:rPr>
        <w:t>equality</w:t>
      </w:r>
      <w:r w:rsidR="00FA2E7B">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 xml:space="preserve">to be duly heard by domestic </w:t>
      </w:r>
      <w:r w:rsidR="00BD7402" w:rsidRPr="00A51861">
        <w:rPr>
          <w:rFonts w:ascii="Cambria" w:eastAsia="Calibri" w:hAnsi="Cambria"/>
          <w:sz w:val="20"/>
          <w:szCs w:val="20"/>
          <w:bdr w:val="none" w:sz="0" w:space="0" w:color="auto"/>
        </w:rPr>
        <w:t xml:space="preserve"> </w:t>
      </w:r>
      <w:r w:rsidRPr="00A51861">
        <w:rPr>
          <w:rFonts w:ascii="Cambria" w:eastAsia="Calibri" w:hAnsi="Cambria"/>
          <w:sz w:val="20"/>
          <w:szCs w:val="20"/>
          <w:bdr w:val="none" w:sz="0" w:space="0" w:color="auto"/>
        </w:rPr>
        <w:t xml:space="preserve">judicial </w:t>
      </w:r>
      <w:r w:rsidR="00940530">
        <w:rPr>
          <w:rFonts w:ascii="Cambria" w:eastAsia="Calibri" w:hAnsi="Cambria"/>
          <w:sz w:val="20"/>
          <w:szCs w:val="20"/>
          <w:bdr w:val="none" w:sz="0" w:space="0" w:color="auto"/>
        </w:rPr>
        <w:t>authorities</w:t>
      </w:r>
      <w:r w:rsidR="00BD7402" w:rsidRPr="00A51861">
        <w:rPr>
          <w:rFonts w:ascii="Cambria" w:eastAsia="Calibri" w:hAnsi="Cambria"/>
          <w:sz w:val="20"/>
          <w:szCs w:val="20"/>
          <w:bdr w:val="none" w:sz="0" w:space="0" w:color="auto"/>
        </w:rPr>
        <w:t xml:space="preserve"> </w:t>
      </w:r>
      <w:r w:rsidR="001A21C0">
        <w:rPr>
          <w:rFonts w:ascii="Cambria" w:eastAsia="Calibri" w:hAnsi="Cambria"/>
          <w:sz w:val="20"/>
          <w:szCs w:val="20"/>
          <w:bdr w:val="none" w:sz="0" w:space="0" w:color="auto"/>
        </w:rPr>
        <w:t>within the initiated remedy</w:t>
      </w:r>
      <w:r w:rsidR="00BD7402" w:rsidRPr="00A51861">
        <w:rPr>
          <w:rFonts w:ascii="Cambria" w:eastAsia="Calibri" w:hAnsi="Cambria"/>
          <w:sz w:val="20"/>
          <w:szCs w:val="20"/>
          <w:bdr w:val="none" w:sz="0" w:space="0" w:color="auto"/>
        </w:rPr>
        <w:t>,</w:t>
      </w:r>
      <w:r w:rsidR="00E92985">
        <w:rPr>
          <w:rFonts w:ascii="Cambria" w:eastAsia="Calibri" w:hAnsi="Cambria"/>
          <w:sz w:val="20"/>
          <w:szCs w:val="20"/>
          <w:bdr w:val="none" w:sz="0" w:space="0" w:color="auto"/>
        </w:rPr>
        <w:t xml:space="preserve"> and </w:t>
      </w:r>
      <w:r w:rsidR="001A21C0">
        <w:rPr>
          <w:rFonts w:ascii="Cambria" w:eastAsia="Calibri" w:hAnsi="Cambria"/>
          <w:sz w:val="20"/>
          <w:szCs w:val="20"/>
          <w:bdr w:val="none" w:sz="0" w:space="0" w:color="auto"/>
        </w:rPr>
        <w:t>to support</w:t>
      </w:r>
      <w:r w:rsidR="009A4F91">
        <w:rPr>
          <w:rFonts w:ascii="Cambria" w:eastAsia="Calibri" w:hAnsi="Cambria"/>
          <w:sz w:val="20"/>
          <w:szCs w:val="20"/>
          <w:bdr w:val="none" w:sz="0" w:space="0" w:color="auto"/>
        </w:rPr>
        <w:t xml:space="preserve"> the </w:t>
      </w:r>
      <w:r w:rsidR="001A21C0" w:rsidRPr="00A51861">
        <w:rPr>
          <w:rFonts w:ascii="Cambria" w:eastAsia="Calibri" w:hAnsi="Cambria"/>
          <w:sz w:val="20"/>
          <w:szCs w:val="20"/>
          <w:bdr w:val="none" w:sz="0" w:space="0" w:color="auto"/>
        </w:rPr>
        <w:t>reasonabil</w:t>
      </w:r>
      <w:r w:rsidR="001A21C0">
        <w:rPr>
          <w:rFonts w:ascii="Cambria" w:eastAsia="Calibri" w:hAnsi="Cambria"/>
          <w:sz w:val="20"/>
          <w:szCs w:val="20"/>
          <w:bdr w:val="none" w:sz="0" w:space="0" w:color="auto"/>
        </w:rPr>
        <w:t>ity</w:t>
      </w:r>
      <w:r w:rsidR="00FA2E7B">
        <w:rPr>
          <w:rFonts w:ascii="Cambria" w:eastAsia="Calibri" w:hAnsi="Cambria"/>
          <w:sz w:val="20"/>
          <w:szCs w:val="20"/>
          <w:bdr w:val="none" w:sz="0" w:space="0" w:color="auto"/>
        </w:rPr>
        <w:t xml:space="preserve"> </w:t>
      </w:r>
      <w:r w:rsidR="00E92985">
        <w:rPr>
          <w:rFonts w:ascii="Cambria" w:eastAsia="Calibri" w:hAnsi="Cambria"/>
          <w:sz w:val="20"/>
          <w:szCs w:val="20"/>
          <w:bdr w:val="none" w:sz="0" w:space="0" w:color="auto"/>
        </w:rPr>
        <w:t xml:space="preserve">of the </w:t>
      </w:r>
      <w:r w:rsidR="00A23BB6">
        <w:rPr>
          <w:rFonts w:ascii="Cambria" w:eastAsia="Calibri" w:hAnsi="Cambria"/>
          <w:sz w:val="20"/>
          <w:szCs w:val="20"/>
          <w:bdr w:val="none" w:sz="0" w:space="0" w:color="auto"/>
        </w:rPr>
        <w:t>exclusion</w:t>
      </w:r>
      <w:r w:rsidR="00E92985">
        <w:rPr>
          <w:rFonts w:ascii="Cambria" w:eastAsia="Calibri" w:hAnsi="Cambria"/>
          <w:sz w:val="20"/>
          <w:szCs w:val="20"/>
          <w:bdr w:val="none" w:sz="0" w:space="0" w:color="auto"/>
        </w:rPr>
        <w:t xml:space="preserve"> of</w:t>
      </w:r>
      <w:r w:rsidR="00E64C43">
        <w:rPr>
          <w:rFonts w:ascii="Cambria" w:eastAsia="Calibri" w:hAnsi="Cambria"/>
          <w:sz w:val="20"/>
          <w:szCs w:val="20"/>
          <w:bdr w:val="none" w:sz="0" w:space="0" w:color="auto"/>
        </w:rPr>
        <w:t xml:space="preserve"> these </w:t>
      </w:r>
      <w:r w:rsidR="001A21C0">
        <w:rPr>
          <w:rFonts w:ascii="Cambria" w:eastAsia="Calibri" w:hAnsi="Cambria"/>
          <w:sz w:val="20"/>
          <w:szCs w:val="20"/>
          <w:bdr w:val="none" w:sz="0" w:space="0" w:color="auto"/>
        </w:rPr>
        <w:t>cases</w:t>
      </w:r>
      <w:r w:rsidR="00BD7402" w:rsidRPr="00A51861">
        <w:rPr>
          <w:rFonts w:ascii="Cambria" w:eastAsia="Calibri" w:hAnsi="Cambria"/>
          <w:sz w:val="20"/>
          <w:szCs w:val="20"/>
          <w:bdr w:val="none" w:sz="0" w:space="0" w:color="auto"/>
        </w:rPr>
        <w:t xml:space="preserve"> </w:t>
      </w:r>
      <w:r w:rsidR="001A21C0">
        <w:rPr>
          <w:rFonts w:ascii="Cambria" w:eastAsia="Calibri" w:hAnsi="Cambria"/>
          <w:sz w:val="20"/>
          <w:szCs w:val="20"/>
          <w:bdr w:val="none" w:sz="0" w:space="0" w:color="auto"/>
        </w:rPr>
        <w:t>in light of the goals intended by</w:t>
      </w:r>
      <w:r w:rsidR="009A4F91">
        <w:rPr>
          <w:rFonts w:ascii="Cambria" w:eastAsia="Calibri" w:hAnsi="Cambria"/>
          <w:sz w:val="20"/>
          <w:szCs w:val="20"/>
          <w:bdr w:val="none" w:sz="0" w:space="0" w:color="auto"/>
        </w:rPr>
        <w:t xml:space="preserve"> the </w:t>
      </w:r>
      <w:r w:rsidR="001A21C0" w:rsidRPr="00A51861">
        <w:rPr>
          <w:rFonts w:ascii="Cambria" w:eastAsia="Calibri" w:hAnsi="Cambria"/>
          <w:sz w:val="20"/>
          <w:szCs w:val="20"/>
          <w:bdr w:val="none" w:sz="0" w:space="0" w:color="auto"/>
        </w:rPr>
        <w:t>respect</w:t>
      </w:r>
      <w:r w:rsidR="001A21C0">
        <w:rPr>
          <w:rFonts w:ascii="Cambria" w:eastAsia="Calibri" w:hAnsi="Cambria"/>
          <w:sz w:val="20"/>
          <w:szCs w:val="20"/>
          <w:bdr w:val="none" w:sz="0" w:space="0" w:color="auto"/>
        </w:rPr>
        <w:t>i</w:t>
      </w:r>
      <w:r w:rsidR="001A21C0" w:rsidRPr="00A51861">
        <w:rPr>
          <w:rFonts w:ascii="Cambria" w:eastAsia="Calibri" w:hAnsi="Cambria"/>
          <w:sz w:val="20"/>
          <w:szCs w:val="20"/>
          <w:bdr w:val="none" w:sz="0" w:space="0" w:color="auto"/>
        </w:rPr>
        <w:t>v</w:t>
      </w:r>
      <w:r w:rsidR="001A21C0">
        <w:rPr>
          <w:rFonts w:ascii="Cambria" w:eastAsia="Calibri" w:hAnsi="Cambria"/>
          <w:sz w:val="20"/>
          <w:szCs w:val="20"/>
          <w:bdr w:val="none" w:sz="0" w:space="0" w:color="auto"/>
        </w:rPr>
        <w:t xml:space="preserve">e </w:t>
      </w:r>
      <w:r w:rsidR="001A21C0" w:rsidRPr="00A51861">
        <w:rPr>
          <w:rFonts w:ascii="Cambria" w:eastAsia="Calibri" w:hAnsi="Cambria"/>
          <w:sz w:val="20"/>
          <w:szCs w:val="20"/>
          <w:bdr w:val="none" w:sz="0" w:space="0" w:color="auto"/>
        </w:rPr>
        <w:t>legislation</w:t>
      </w:r>
      <w:r w:rsidR="00BD7402" w:rsidRPr="00A51861">
        <w:rPr>
          <w:rFonts w:ascii="Cambria" w:eastAsia="Calibri" w:hAnsi="Cambria"/>
          <w:sz w:val="20"/>
          <w:szCs w:val="20"/>
          <w:bdr w:val="none" w:sz="0" w:space="0" w:color="auto"/>
        </w:rPr>
        <w:t xml:space="preserve"> </w:t>
      </w:r>
      <w:r w:rsidR="00E92985">
        <w:rPr>
          <w:rFonts w:ascii="Cambria" w:eastAsia="Calibri" w:hAnsi="Cambria"/>
          <w:sz w:val="20"/>
          <w:szCs w:val="20"/>
          <w:bdr w:val="none" w:sz="0" w:space="0" w:color="auto"/>
        </w:rPr>
        <w:t xml:space="preserve">and </w:t>
      </w:r>
      <w:r w:rsidR="001A21C0">
        <w:rPr>
          <w:rFonts w:ascii="Cambria" w:eastAsia="Calibri" w:hAnsi="Cambria"/>
          <w:sz w:val="20"/>
          <w:szCs w:val="20"/>
          <w:bdr w:val="none" w:sz="0" w:space="0" w:color="auto"/>
        </w:rPr>
        <w:t>the</w:t>
      </w:r>
      <w:r w:rsidR="00BD7402" w:rsidRPr="00A51861">
        <w:rPr>
          <w:rFonts w:ascii="Cambria" w:eastAsia="Calibri" w:hAnsi="Cambria"/>
          <w:sz w:val="20"/>
          <w:szCs w:val="20"/>
          <w:bdr w:val="none" w:sz="0" w:space="0" w:color="auto"/>
        </w:rPr>
        <w:t xml:space="preserve"> </w:t>
      </w:r>
      <w:r w:rsidR="001A21C0" w:rsidRPr="00A51861">
        <w:rPr>
          <w:rFonts w:ascii="Cambria" w:eastAsia="Calibri" w:hAnsi="Cambria"/>
          <w:sz w:val="20"/>
          <w:szCs w:val="20"/>
          <w:bdr w:val="none" w:sz="0" w:space="0" w:color="auto"/>
        </w:rPr>
        <w:t>interpretativ</w:t>
      </w:r>
      <w:r w:rsidR="001A21C0">
        <w:rPr>
          <w:rFonts w:ascii="Cambria" w:eastAsia="Calibri" w:hAnsi="Cambria"/>
          <w:sz w:val="20"/>
          <w:szCs w:val="20"/>
          <w:bdr w:val="none" w:sz="0" w:space="0" w:color="auto"/>
        </w:rPr>
        <w:t xml:space="preserve">e </w:t>
      </w:r>
      <w:r w:rsidR="00E92985">
        <w:rPr>
          <w:rFonts w:ascii="Cambria" w:eastAsia="Calibri" w:hAnsi="Cambria"/>
          <w:sz w:val="20"/>
          <w:szCs w:val="20"/>
          <w:bdr w:val="none" w:sz="0" w:space="0" w:color="auto"/>
        </w:rPr>
        <w:t>decisions</w:t>
      </w:r>
      <w:r w:rsidR="00BD7402" w:rsidRPr="00A51861">
        <w:rPr>
          <w:rFonts w:ascii="Cambria" w:eastAsia="Calibri" w:hAnsi="Cambria"/>
          <w:sz w:val="20"/>
          <w:szCs w:val="20"/>
          <w:bdr w:val="none" w:sz="0" w:space="0" w:color="auto"/>
        </w:rPr>
        <w:t xml:space="preserve"> </w:t>
      </w:r>
      <w:r w:rsidR="00E92985">
        <w:rPr>
          <w:rFonts w:ascii="Cambria" w:eastAsia="Calibri" w:hAnsi="Cambria"/>
          <w:sz w:val="20"/>
          <w:szCs w:val="20"/>
          <w:bdr w:val="none" w:sz="0" w:space="0" w:color="auto"/>
        </w:rPr>
        <w:t xml:space="preserve">of the </w:t>
      </w:r>
      <w:r w:rsidR="00A63761">
        <w:rPr>
          <w:rFonts w:ascii="Cambria" w:eastAsia="Calibri" w:hAnsi="Cambria"/>
          <w:sz w:val="20"/>
          <w:szCs w:val="20"/>
          <w:bdr w:val="none" w:sz="0" w:space="0" w:color="auto"/>
        </w:rPr>
        <w:t>Supreme Court</w:t>
      </w:r>
      <w:r w:rsidR="00BD7402" w:rsidRPr="00A51861">
        <w:rPr>
          <w:rFonts w:ascii="Cambria" w:eastAsia="Calibri" w:hAnsi="Cambria"/>
          <w:sz w:val="20"/>
          <w:szCs w:val="20"/>
          <w:bdr w:val="none" w:sz="0" w:space="0" w:color="auto"/>
        </w:rPr>
        <w:t xml:space="preserve">, </w:t>
      </w:r>
      <w:r w:rsidR="001A21C0">
        <w:rPr>
          <w:rFonts w:ascii="Cambria" w:eastAsia="Calibri" w:hAnsi="Cambria"/>
          <w:sz w:val="20"/>
          <w:szCs w:val="20"/>
          <w:bdr w:val="none" w:sz="0" w:space="0" w:color="auto"/>
        </w:rPr>
        <w:t>when it was clear that</w:t>
      </w:r>
      <w:r w:rsidR="006A3C04">
        <w:rPr>
          <w:rFonts w:ascii="Cambria" w:eastAsia="Calibri" w:hAnsi="Cambria"/>
          <w:sz w:val="20"/>
          <w:szCs w:val="20"/>
          <w:bdr w:val="none" w:sz="0" w:space="0" w:color="auto"/>
        </w:rPr>
        <w:t xml:space="preserve"> the facts</w:t>
      </w:r>
      <w:r w:rsidR="00BD7402" w:rsidRPr="00A51861">
        <w:rPr>
          <w:rFonts w:ascii="Cambria" w:eastAsia="Calibri" w:hAnsi="Cambria"/>
          <w:sz w:val="20"/>
          <w:szCs w:val="20"/>
          <w:bdr w:val="none" w:sz="0" w:space="0" w:color="auto"/>
        </w:rPr>
        <w:t xml:space="preserve"> </w:t>
      </w:r>
      <w:r w:rsidR="001A21C0">
        <w:rPr>
          <w:rFonts w:ascii="Cambria" w:eastAsia="Calibri" w:hAnsi="Cambria"/>
          <w:sz w:val="20"/>
          <w:szCs w:val="20"/>
          <w:bdr w:val="none" w:sz="0" w:space="0" w:color="auto"/>
        </w:rPr>
        <w:t>for which the</w:t>
      </w:r>
      <w:r w:rsidR="00BD7402" w:rsidRPr="00A51861">
        <w:rPr>
          <w:rFonts w:ascii="Cambria" w:eastAsia="Calibri" w:hAnsi="Cambria"/>
          <w:sz w:val="20"/>
          <w:szCs w:val="20"/>
          <w:bdr w:val="none" w:sz="0" w:space="0" w:color="auto"/>
        </w:rPr>
        <w:t xml:space="preserve"> </w:t>
      </w:r>
      <w:r w:rsidR="001A0B84">
        <w:rPr>
          <w:rFonts w:ascii="Cambria" w:eastAsia="Calibri" w:hAnsi="Cambria"/>
          <w:sz w:val="20"/>
          <w:szCs w:val="20"/>
          <w:bdr w:val="none" w:sz="0" w:space="0" w:color="auto"/>
        </w:rPr>
        <w:t>reparation</w:t>
      </w:r>
      <w:r w:rsidR="001A21C0">
        <w:rPr>
          <w:rFonts w:ascii="Cambria" w:eastAsia="Calibri" w:hAnsi="Cambria"/>
          <w:sz w:val="20"/>
          <w:szCs w:val="20"/>
          <w:bdr w:val="none" w:sz="0" w:space="0" w:color="auto"/>
        </w:rPr>
        <w:t xml:space="preserve"> was requested</w:t>
      </w:r>
      <w:r w:rsidR="00BD7402" w:rsidRPr="00A51861">
        <w:rPr>
          <w:rFonts w:ascii="Cambria" w:eastAsia="Calibri" w:hAnsi="Cambria"/>
          <w:sz w:val="20"/>
          <w:szCs w:val="20"/>
          <w:bdr w:val="none" w:sz="0" w:space="0" w:color="auto"/>
        </w:rPr>
        <w:t xml:space="preserve">, </w:t>
      </w:r>
      <w:r w:rsidR="001A21C0">
        <w:rPr>
          <w:rFonts w:ascii="Cambria" w:eastAsia="Calibri" w:hAnsi="Cambria"/>
          <w:sz w:val="20"/>
          <w:szCs w:val="20"/>
          <w:bdr w:val="none" w:sz="0" w:space="0" w:color="auto"/>
        </w:rPr>
        <w:t>at least fit within the</w:t>
      </w:r>
      <w:r w:rsidR="00BD7402" w:rsidRPr="00A51861">
        <w:rPr>
          <w:rFonts w:ascii="Cambria" w:eastAsia="Calibri" w:hAnsi="Cambria"/>
          <w:sz w:val="20"/>
          <w:szCs w:val="20"/>
          <w:bdr w:val="none" w:sz="0" w:space="0" w:color="auto"/>
        </w:rPr>
        <w:t xml:space="preserve"> </w:t>
      </w:r>
      <w:r w:rsidR="001A21C0">
        <w:rPr>
          <w:rFonts w:ascii="Cambria" w:eastAsia="Calibri" w:hAnsi="Cambria"/>
          <w:sz w:val="20"/>
          <w:szCs w:val="20"/>
          <w:bdr w:val="none" w:sz="0" w:space="0" w:color="auto"/>
        </w:rPr>
        <w:t>temporary scope of the</w:t>
      </w:r>
      <w:r w:rsidR="00E92985">
        <w:rPr>
          <w:rFonts w:ascii="Cambria" w:eastAsia="Calibri" w:hAnsi="Cambria"/>
          <w:sz w:val="20"/>
          <w:szCs w:val="20"/>
          <w:bdr w:val="none" w:sz="0" w:space="0" w:color="auto"/>
        </w:rPr>
        <w:t xml:space="preserve"> </w:t>
      </w:r>
      <w:r w:rsidR="002835FC" w:rsidRPr="00A51861">
        <w:rPr>
          <w:rFonts w:ascii="Cambria" w:eastAsia="Calibri" w:hAnsi="Cambria"/>
          <w:sz w:val="20"/>
          <w:szCs w:val="20"/>
          <w:bdr w:val="none" w:sz="0" w:space="0" w:color="auto"/>
        </w:rPr>
        <w:t xml:space="preserve">Law </w:t>
      </w:r>
      <w:r w:rsidR="001A21C0">
        <w:rPr>
          <w:rFonts w:ascii="Cambria" w:eastAsia="Calibri" w:hAnsi="Cambria"/>
          <w:sz w:val="20"/>
          <w:szCs w:val="20"/>
          <w:bdr w:val="none" w:sz="0" w:space="0" w:color="auto"/>
        </w:rPr>
        <w:t>in question</w:t>
      </w:r>
      <w:r w:rsidR="00E92985">
        <w:rPr>
          <w:rFonts w:ascii="Cambria" w:eastAsia="Calibri" w:hAnsi="Cambria"/>
          <w:sz w:val="20"/>
          <w:szCs w:val="20"/>
          <w:bdr w:val="none" w:sz="0" w:space="0" w:color="auto"/>
        </w:rPr>
        <w:t xml:space="preserve"> and </w:t>
      </w:r>
      <w:r w:rsidR="001A21C0">
        <w:rPr>
          <w:rFonts w:ascii="Cambria" w:eastAsia="Calibri" w:hAnsi="Cambria"/>
          <w:sz w:val="20"/>
          <w:szCs w:val="20"/>
          <w:bdr w:val="none" w:sz="0" w:space="0" w:color="auto"/>
        </w:rPr>
        <w:t>which motivated</w:t>
      </w:r>
      <w:r w:rsidR="009A4F91">
        <w:rPr>
          <w:rFonts w:ascii="Cambria" w:eastAsia="Calibri" w:hAnsi="Cambria"/>
          <w:sz w:val="20"/>
          <w:szCs w:val="20"/>
          <w:bdr w:val="none" w:sz="0" w:space="0" w:color="auto"/>
        </w:rPr>
        <w:t xml:space="preserve"> </w:t>
      </w:r>
      <w:r w:rsidR="001A21C0">
        <w:rPr>
          <w:rFonts w:ascii="Cambria" w:eastAsia="Calibri" w:hAnsi="Cambria"/>
          <w:sz w:val="20"/>
          <w:szCs w:val="20"/>
          <w:bdr w:val="none" w:sz="0" w:space="0" w:color="auto"/>
        </w:rPr>
        <w:t>the latter departure of the country of</w:t>
      </w:r>
      <w:r w:rsidR="0001768F" w:rsidRPr="00A51861">
        <w:rPr>
          <w:rFonts w:ascii="Cambria" w:eastAsia="Calibri" w:hAnsi="Cambria"/>
          <w:sz w:val="20"/>
          <w:szCs w:val="20"/>
          <w:bdr w:val="none" w:sz="0" w:space="0" w:color="auto"/>
        </w:rPr>
        <w:t xml:space="preserve"> </w:t>
      </w:r>
      <w:r w:rsidR="00BD093F">
        <w:rPr>
          <w:rFonts w:ascii="Cambria" w:eastAsia="Calibri" w:hAnsi="Cambria"/>
          <w:sz w:val="20"/>
          <w:szCs w:val="20"/>
          <w:bdr w:val="none" w:sz="0" w:space="0" w:color="auto"/>
        </w:rPr>
        <w:t xml:space="preserve">Mr. </w:t>
      </w:r>
      <w:r w:rsidR="0001768F" w:rsidRPr="00A51861">
        <w:rPr>
          <w:rFonts w:ascii="Cambria" w:eastAsia="Calibri" w:hAnsi="Cambria"/>
          <w:sz w:val="20"/>
          <w:szCs w:val="20"/>
          <w:bdr w:val="none" w:sz="0" w:space="0" w:color="auto"/>
        </w:rPr>
        <w:t xml:space="preserve">Ferreira </w:t>
      </w:r>
      <w:r w:rsidR="001A21C0">
        <w:rPr>
          <w:rFonts w:ascii="Cambria" w:eastAsia="Calibri" w:hAnsi="Cambria"/>
          <w:sz w:val="20"/>
          <w:szCs w:val="20"/>
          <w:bdr w:val="none" w:sz="0" w:space="0" w:color="auto"/>
        </w:rPr>
        <w:t>as a political</w:t>
      </w:r>
      <w:r w:rsidR="0001768F" w:rsidRPr="00A51861">
        <w:rPr>
          <w:rFonts w:ascii="Cambria" w:eastAsia="Calibri" w:hAnsi="Cambria"/>
          <w:sz w:val="20"/>
          <w:szCs w:val="20"/>
          <w:bdr w:val="none" w:sz="0" w:space="0" w:color="auto"/>
        </w:rPr>
        <w:t xml:space="preserve"> </w:t>
      </w:r>
      <w:r w:rsidR="004E09A3">
        <w:rPr>
          <w:rFonts w:ascii="Cambria" w:eastAsia="Calibri" w:hAnsi="Cambria"/>
          <w:sz w:val="20"/>
          <w:szCs w:val="20"/>
          <w:bdr w:val="none" w:sz="0" w:space="0" w:color="auto"/>
        </w:rPr>
        <w:t>refugee</w:t>
      </w:r>
      <w:r w:rsidR="0001768F" w:rsidRPr="00A51861">
        <w:rPr>
          <w:rFonts w:ascii="Cambria" w:eastAsia="Calibri" w:hAnsi="Cambria"/>
          <w:sz w:val="20"/>
          <w:szCs w:val="20"/>
          <w:bdr w:val="none" w:sz="0" w:space="0" w:color="auto"/>
        </w:rPr>
        <w:t xml:space="preserve">, </w:t>
      </w:r>
      <w:r w:rsidR="001A21C0">
        <w:rPr>
          <w:rFonts w:ascii="Cambria" w:eastAsia="Calibri" w:hAnsi="Cambria"/>
          <w:sz w:val="20"/>
          <w:szCs w:val="20"/>
          <w:bdr w:val="none" w:sz="0" w:space="0" w:color="auto"/>
        </w:rPr>
        <w:t xml:space="preserve">initially they should have been assimilated to the </w:t>
      </w:r>
      <w:r w:rsidR="001A21C0" w:rsidRPr="00A51861">
        <w:rPr>
          <w:rFonts w:ascii="Cambria" w:eastAsia="Calibri" w:hAnsi="Cambria"/>
          <w:sz w:val="20"/>
          <w:szCs w:val="20"/>
          <w:bdr w:val="none" w:sz="0" w:space="0" w:color="auto"/>
        </w:rPr>
        <w:t xml:space="preserve">precedent </w:t>
      </w:r>
      <w:r w:rsidR="0001768F" w:rsidRPr="00A51861">
        <w:rPr>
          <w:rFonts w:ascii="Cambria" w:eastAsia="Calibri" w:hAnsi="Cambria"/>
          <w:sz w:val="20"/>
          <w:szCs w:val="20"/>
          <w:bdr w:val="none" w:sz="0" w:space="0" w:color="auto"/>
        </w:rPr>
        <w:t>cas</w:t>
      </w:r>
      <w:r w:rsidR="001A21C0">
        <w:rPr>
          <w:rFonts w:ascii="Cambria" w:eastAsia="Calibri" w:hAnsi="Cambria"/>
          <w:sz w:val="20"/>
          <w:szCs w:val="20"/>
          <w:bdr w:val="none" w:sz="0" w:space="0" w:color="auto"/>
        </w:rPr>
        <w:t>e</w:t>
      </w:r>
      <w:r w:rsidR="0001768F" w:rsidRPr="00A51861">
        <w:rPr>
          <w:rFonts w:ascii="Cambria" w:eastAsia="Calibri" w:hAnsi="Cambria"/>
          <w:sz w:val="20"/>
          <w:szCs w:val="20"/>
          <w:bdr w:val="none" w:sz="0" w:space="0" w:color="auto"/>
        </w:rPr>
        <w:t>s</w:t>
      </w:r>
      <w:r w:rsidR="00BD7402" w:rsidRPr="00A51861">
        <w:rPr>
          <w:rFonts w:ascii="Cambria" w:eastAsia="Calibri" w:hAnsi="Cambria"/>
          <w:sz w:val="20"/>
          <w:szCs w:val="20"/>
          <w:bdr w:val="none" w:sz="0" w:space="0" w:color="auto"/>
        </w:rPr>
        <w:t xml:space="preserve">. </w:t>
      </w:r>
    </w:p>
    <w:p w14:paraId="64A68EC0" w14:textId="77777777" w:rsidR="0001768F" w:rsidRPr="00A51861" w:rsidRDefault="0001768F" w:rsidP="008E4D36">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Cambria" w:eastAsia="Calibri" w:hAnsi="Cambria"/>
          <w:sz w:val="20"/>
          <w:szCs w:val="20"/>
          <w:bdr w:val="none" w:sz="0" w:space="0" w:color="auto"/>
        </w:rPr>
      </w:pPr>
    </w:p>
    <w:p w14:paraId="64BF440C" w14:textId="4B6D22E3" w:rsidR="00DB7CEC" w:rsidRPr="00A51861" w:rsidRDefault="00E92985"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bdr w:val="none" w:sz="0" w:space="0" w:color="auto"/>
        </w:rPr>
      </w:pPr>
      <w:r>
        <w:rPr>
          <w:rFonts w:ascii="Cambria" w:hAnsi="Cambria"/>
          <w:sz w:val="20"/>
          <w:szCs w:val="20"/>
          <w:bdr w:val="none" w:sz="0" w:space="0" w:color="auto"/>
        </w:rPr>
        <w:t>The Commission</w:t>
      </w:r>
      <w:r w:rsidR="00C10DE0" w:rsidRPr="00A51861">
        <w:rPr>
          <w:rFonts w:ascii="Cambria" w:hAnsi="Cambria"/>
          <w:sz w:val="20"/>
          <w:szCs w:val="20"/>
          <w:bdr w:val="none" w:sz="0" w:space="0" w:color="auto"/>
        </w:rPr>
        <w:t xml:space="preserve"> </w:t>
      </w:r>
      <w:r w:rsidR="001A21C0">
        <w:rPr>
          <w:rFonts w:ascii="Cambria" w:hAnsi="Cambria"/>
          <w:sz w:val="20"/>
          <w:szCs w:val="20"/>
          <w:bdr w:val="none" w:sz="0" w:space="0" w:color="auto"/>
        </w:rPr>
        <w:t>finds</w:t>
      </w:r>
      <w:r w:rsidR="00C10DE0" w:rsidRPr="00A51861">
        <w:rPr>
          <w:rFonts w:ascii="Cambria" w:hAnsi="Cambria"/>
          <w:sz w:val="20"/>
          <w:szCs w:val="20"/>
          <w:bdr w:val="none" w:sz="0" w:space="0" w:color="auto"/>
        </w:rPr>
        <w:t xml:space="preserve"> </w:t>
      </w:r>
      <w:r w:rsidR="001A21C0">
        <w:rPr>
          <w:rFonts w:ascii="Cambria" w:hAnsi="Cambria"/>
          <w:sz w:val="20"/>
          <w:szCs w:val="20"/>
          <w:bdr w:val="none" w:sz="0" w:space="0" w:color="auto"/>
        </w:rPr>
        <w:t>that</w:t>
      </w:r>
      <w:r w:rsidR="00C10DE0" w:rsidRPr="00A51861">
        <w:rPr>
          <w:rFonts w:ascii="Cambria" w:hAnsi="Cambria"/>
          <w:sz w:val="20"/>
          <w:szCs w:val="20"/>
          <w:bdr w:val="none" w:sz="0" w:space="0" w:color="auto"/>
        </w:rPr>
        <w:t xml:space="preserve"> </w:t>
      </w:r>
      <w:r w:rsidR="001A21C0">
        <w:rPr>
          <w:rFonts w:ascii="Cambria" w:hAnsi="Cambria"/>
          <w:sz w:val="20"/>
          <w:szCs w:val="20"/>
          <w:bdr w:val="none" w:sz="0" w:space="0" w:color="auto"/>
        </w:rPr>
        <w:t xml:space="preserve">in regard </w:t>
      </w:r>
      <w:r w:rsidR="002D7CF5">
        <w:rPr>
          <w:rFonts w:ascii="Cambria" w:hAnsi="Cambria"/>
          <w:sz w:val="20"/>
          <w:szCs w:val="20"/>
          <w:bdr w:val="none" w:sz="0" w:space="0" w:color="auto"/>
        </w:rPr>
        <w:t xml:space="preserve">to Mr. </w:t>
      </w:r>
      <w:r w:rsidR="0001768F" w:rsidRPr="00A51861">
        <w:rPr>
          <w:rFonts w:ascii="Cambria" w:hAnsi="Cambria"/>
          <w:sz w:val="20"/>
          <w:szCs w:val="20"/>
          <w:bdr w:val="none" w:sz="0" w:space="0" w:color="auto"/>
        </w:rPr>
        <w:t xml:space="preserve">Ferreira, </w:t>
      </w:r>
      <w:r w:rsidR="001A21C0">
        <w:rPr>
          <w:rFonts w:ascii="Cambria" w:hAnsi="Cambria"/>
          <w:sz w:val="20"/>
          <w:szCs w:val="20"/>
          <w:bdr w:val="none" w:sz="0" w:space="0" w:color="auto"/>
        </w:rPr>
        <w:t>the</w:t>
      </w:r>
      <w:r w:rsidR="0001768F" w:rsidRPr="00A51861">
        <w:rPr>
          <w:rFonts w:ascii="Cambria" w:hAnsi="Cambria"/>
          <w:sz w:val="20"/>
          <w:szCs w:val="20"/>
          <w:bdr w:val="none" w:sz="0" w:space="0" w:color="auto"/>
        </w:rPr>
        <w:t xml:space="preserve"> </w:t>
      </w:r>
      <w:r w:rsidR="001A21C0">
        <w:rPr>
          <w:rFonts w:ascii="Cambria" w:hAnsi="Cambria"/>
          <w:sz w:val="20"/>
          <w:szCs w:val="20"/>
          <w:bdr w:val="none" w:sz="0" w:space="0" w:color="auto"/>
        </w:rPr>
        <w:t xml:space="preserve">domestic </w:t>
      </w:r>
      <w:r w:rsidR="00940530">
        <w:rPr>
          <w:rFonts w:ascii="Cambria" w:hAnsi="Cambria"/>
          <w:sz w:val="20"/>
          <w:szCs w:val="20"/>
          <w:bdr w:val="none" w:sz="0" w:space="0" w:color="auto"/>
        </w:rPr>
        <w:t>authorities</w:t>
      </w:r>
      <w:r w:rsidR="0001768F" w:rsidRPr="00A51861">
        <w:rPr>
          <w:rFonts w:ascii="Cambria" w:hAnsi="Cambria"/>
          <w:sz w:val="20"/>
          <w:szCs w:val="20"/>
          <w:bdr w:val="none" w:sz="0" w:space="0" w:color="auto"/>
        </w:rPr>
        <w:t xml:space="preserve"> </w:t>
      </w:r>
      <w:r w:rsidR="001A21C0">
        <w:rPr>
          <w:rFonts w:ascii="Cambria" w:eastAsia="Calibri" w:hAnsi="Cambria"/>
          <w:sz w:val="20"/>
          <w:szCs w:val="20"/>
          <w:bdr w:val="none" w:sz="0" w:space="0" w:color="auto"/>
        </w:rPr>
        <w:t>that</w:t>
      </w:r>
      <w:r w:rsidR="0001768F" w:rsidRPr="00A51861">
        <w:rPr>
          <w:rFonts w:ascii="Cambria" w:hAnsi="Cambria"/>
          <w:sz w:val="20"/>
          <w:szCs w:val="20"/>
          <w:bdr w:val="none" w:sz="0" w:space="0" w:color="auto"/>
        </w:rPr>
        <w:t xml:space="preserve"> adopt</w:t>
      </w:r>
      <w:r w:rsidR="001A21C0">
        <w:rPr>
          <w:rFonts w:ascii="Cambria" w:hAnsi="Cambria"/>
          <w:sz w:val="20"/>
          <w:szCs w:val="20"/>
          <w:bdr w:val="none" w:sz="0" w:space="0" w:color="auto"/>
        </w:rPr>
        <w:t>ed</w:t>
      </w:r>
      <w:r w:rsidR="0001768F" w:rsidRPr="00A51861">
        <w:rPr>
          <w:rFonts w:ascii="Cambria" w:hAnsi="Cambria"/>
          <w:sz w:val="20"/>
          <w:szCs w:val="20"/>
          <w:bdr w:val="none" w:sz="0" w:space="0" w:color="auto"/>
        </w:rPr>
        <w:t xml:space="preserve"> </w:t>
      </w:r>
      <w:r>
        <w:rPr>
          <w:rFonts w:ascii="Cambria" w:hAnsi="Cambria"/>
          <w:sz w:val="20"/>
          <w:szCs w:val="20"/>
          <w:bdr w:val="none" w:sz="0" w:space="0" w:color="auto"/>
        </w:rPr>
        <w:t>decisions</w:t>
      </w:r>
      <w:r w:rsidR="0001768F" w:rsidRPr="00A51861">
        <w:rPr>
          <w:rFonts w:ascii="Cambria" w:hAnsi="Cambria"/>
          <w:sz w:val="20"/>
          <w:szCs w:val="20"/>
          <w:bdr w:val="none" w:sz="0" w:space="0" w:color="auto"/>
        </w:rPr>
        <w:t xml:space="preserve"> </w:t>
      </w:r>
      <w:r w:rsidR="001A21C0">
        <w:rPr>
          <w:rFonts w:ascii="Cambria" w:hAnsi="Cambria"/>
          <w:sz w:val="20"/>
          <w:szCs w:val="20"/>
          <w:bdr w:val="none" w:sz="0" w:space="0" w:color="auto"/>
        </w:rPr>
        <w:t>neglected to analyze</w:t>
      </w:r>
      <w:r w:rsidR="0001768F" w:rsidRPr="00A51861">
        <w:rPr>
          <w:rFonts w:ascii="Cambria" w:hAnsi="Cambria"/>
          <w:sz w:val="20"/>
          <w:szCs w:val="20"/>
          <w:bdr w:val="none" w:sz="0" w:space="0" w:color="auto"/>
        </w:rPr>
        <w:t xml:space="preserve">, </w:t>
      </w:r>
      <w:r w:rsidR="001A21C0">
        <w:rPr>
          <w:rFonts w:ascii="Cambria" w:hAnsi="Cambria"/>
          <w:sz w:val="20"/>
          <w:szCs w:val="20"/>
          <w:bdr w:val="none" w:sz="0" w:space="0" w:color="auto"/>
        </w:rPr>
        <w:t>in light of the arguments raised by</w:t>
      </w:r>
      <w:r w:rsidR="0001768F" w:rsidRPr="00A51861">
        <w:rPr>
          <w:rFonts w:ascii="Cambria" w:hAnsi="Cambria"/>
          <w:sz w:val="20"/>
          <w:szCs w:val="20"/>
          <w:bdr w:val="none" w:sz="0" w:space="0" w:color="auto"/>
        </w:rPr>
        <w:t xml:space="preserve"> </w:t>
      </w:r>
      <w:r>
        <w:rPr>
          <w:rFonts w:ascii="Cambria" w:hAnsi="Cambria"/>
          <w:sz w:val="20"/>
          <w:szCs w:val="20"/>
          <w:bdr w:val="none" w:sz="0" w:space="0" w:color="auto"/>
        </w:rPr>
        <w:t>the petitioner</w:t>
      </w:r>
      <w:r w:rsidR="0001768F" w:rsidRPr="00A51861">
        <w:rPr>
          <w:rFonts w:ascii="Cambria" w:hAnsi="Cambria"/>
          <w:sz w:val="20"/>
          <w:szCs w:val="20"/>
          <w:bdr w:val="none" w:sz="0" w:space="0" w:color="auto"/>
        </w:rPr>
        <w:t xml:space="preserve"> </w:t>
      </w:r>
      <w:r w:rsidR="001A21C0">
        <w:rPr>
          <w:rFonts w:ascii="Cambria" w:hAnsi="Cambria"/>
          <w:sz w:val="20"/>
          <w:szCs w:val="20"/>
          <w:bdr w:val="none" w:sz="0" w:space="0" w:color="auto"/>
        </w:rPr>
        <w:t xml:space="preserve">on each </w:t>
      </w:r>
      <w:r w:rsidR="0001768F" w:rsidRPr="00A51861">
        <w:rPr>
          <w:rFonts w:ascii="Cambria" w:hAnsi="Cambria"/>
          <w:sz w:val="20"/>
          <w:szCs w:val="20"/>
          <w:bdr w:val="none" w:sz="0" w:space="0" w:color="auto"/>
        </w:rPr>
        <w:t>instanc</w:t>
      </w:r>
      <w:r w:rsidR="001A21C0">
        <w:rPr>
          <w:rFonts w:ascii="Cambria" w:hAnsi="Cambria"/>
          <w:sz w:val="20"/>
          <w:szCs w:val="20"/>
          <w:bdr w:val="none" w:sz="0" w:space="0" w:color="auto"/>
        </w:rPr>
        <w:t>e</w:t>
      </w:r>
      <w:r w:rsidR="0001768F" w:rsidRPr="00A51861">
        <w:rPr>
          <w:rFonts w:ascii="Cambria" w:hAnsi="Cambria"/>
          <w:sz w:val="20"/>
          <w:szCs w:val="20"/>
          <w:bdr w:val="none" w:sz="0" w:space="0" w:color="auto"/>
        </w:rPr>
        <w:t xml:space="preserve">, </w:t>
      </w:r>
      <w:r w:rsidR="001A21C0">
        <w:rPr>
          <w:rFonts w:ascii="Cambria" w:hAnsi="Cambria"/>
          <w:sz w:val="20"/>
          <w:szCs w:val="20"/>
          <w:bdr w:val="none" w:sz="0" w:space="0" w:color="auto"/>
        </w:rPr>
        <w:t>why</w:t>
      </w:r>
      <w:r w:rsidR="006A3C04">
        <w:rPr>
          <w:rFonts w:ascii="Cambria" w:hAnsi="Cambria"/>
          <w:sz w:val="20"/>
          <w:szCs w:val="20"/>
          <w:bdr w:val="none" w:sz="0" w:space="0" w:color="auto"/>
        </w:rPr>
        <w:t xml:space="preserve"> the facts</w:t>
      </w:r>
      <w:r w:rsidR="0001768F" w:rsidRPr="00A51861">
        <w:rPr>
          <w:rFonts w:ascii="Cambria" w:hAnsi="Cambria"/>
          <w:sz w:val="20"/>
          <w:szCs w:val="20"/>
          <w:bdr w:val="none" w:sz="0" w:space="0" w:color="auto"/>
        </w:rPr>
        <w:t xml:space="preserve"> </w:t>
      </w:r>
      <w:r w:rsidR="001A21C0">
        <w:rPr>
          <w:rFonts w:ascii="Cambria" w:hAnsi="Cambria"/>
          <w:sz w:val="20"/>
          <w:szCs w:val="20"/>
          <w:bdr w:val="none" w:sz="0" w:space="0" w:color="auto"/>
        </w:rPr>
        <w:t>which</w:t>
      </w:r>
      <w:r w:rsidR="0001768F" w:rsidRPr="00A51861">
        <w:rPr>
          <w:rFonts w:ascii="Cambria" w:hAnsi="Cambria"/>
          <w:sz w:val="20"/>
          <w:szCs w:val="20"/>
          <w:bdr w:val="none" w:sz="0" w:space="0" w:color="auto"/>
        </w:rPr>
        <w:t xml:space="preserve"> </w:t>
      </w:r>
      <w:r w:rsidR="001A21C0">
        <w:rPr>
          <w:rFonts w:ascii="Cambria" w:hAnsi="Cambria"/>
          <w:sz w:val="20"/>
          <w:szCs w:val="20"/>
          <w:bdr w:val="none" w:sz="0" w:space="0" w:color="auto"/>
        </w:rPr>
        <w:t>followed</w:t>
      </w:r>
      <w:r w:rsidR="009A4F91">
        <w:rPr>
          <w:rFonts w:ascii="Cambria" w:hAnsi="Cambria"/>
          <w:sz w:val="20"/>
          <w:szCs w:val="20"/>
          <w:bdr w:val="none" w:sz="0" w:space="0" w:color="auto"/>
        </w:rPr>
        <w:t xml:space="preserve"> the </w:t>
      </w:r>
      <w:r w:rsidR="006E255A">
        <w:rPr>
          <w:rFonts w:ascii="Cambria" w:hAnsi="Cambria"/>
          <w:sz w:val="20"/>
          <w:szCs w:val="20"/>
          <w:bdr w:val="none" w:sz="0" w:space="0" w:color="auto"/>
        </w:rPr>
        <w:t>detention</w:t>
      </w:r>
      <w:r w:rsidR="0001768F" w:rsidRPr="00A51861">
        <w:rPr>
          <w:rFonts w:ascii="Cambria" w:hAnsi="Cambria"/>
          <w:sz w:val="20"/>
          <w:szCs w:val="20"/>
          <w:bdr w:val="none" w:sz="0" w:space="0" w:color="auto"/>
        </w:rPr>
        <w:t xml:space="preserve"> </w:t>
      </w:r>
      <w:r w:rsidR="004921CF">
        <w:rPr>
          <w:rFonts w:ascii="Cambria" w:hAnsi="Cambria"/>
          <w:sz w:val="20"/>
          <w:szCs w:val="20"/>
          <w:bdr w:val="none" w:sz="0" w:space="0" w:color="auto"/>
        </w:rPr>
        <w:t xml:space="preserve">based on </w:t>
      </w:r>
      <w:r w:rsidR="001A21C0">
        <w:rPr>
          <w:rFonts w:ascii="Cambria" w:hAnsi="Cambria"/>
          <w:sz w:val="20"/>
          <w:szCs w:val="20"/>
          <w:bdr w:val="none" w:sz="0" w:space="0" w:color="auto"/>
        </w:rPr>
        <w:t xml:space="preserve">the </w:t>
      </w:r>
      <w:r w:rsidR="00280367">
        <w:rPr>
          <w:rFonts w:ascii="Cambria" w:hAnsi="Cambria"/>
          <w:sz w:val="20"/>
          <w:szCs w:val="20"/>
          <w:bdr w:val="none" w:sz="0" w:space="0" w:color="auto"/>
        </w:rPr>
        <w:t>decree</w:t>
      </w:r>
      <w:r>
        <w:rPr>
          <w:rFonts w:ascii="Cambria" w:hAnsi="Cambria"/>
          <w:sz w:val="20"/>
          <w:szCs w:val="20"/>
          <w:bdr w:val="none" w:sz="0" w:space="0" w:color="auto"/>
        </w:rPr>
        <w:t xml:space="preserve"> of </w:t>
      </w:r>
      <w:r w:rsidR="00160A67">
        <w:rPr>
          <w:rFonts w:ascii="Cambria" w:eastAsia="Calibri" w:hAnsi="Cambria"/>
          <w:sz w:val="20"/>
          <w:szCs w:val="20"/>
          <w:bdr w:val="none" w:sz="0" w:space="0" w:color="auto"/>
        </w:rPr>
        <w:t>public assemblies</w:t>
      </w:r>
      <w:r w:rsidR="0001768F" w:rsidRPr="00A51861">
        <w:rPr>
          <w:rFonts w:ascii="Cambria" w:hAnsi="Cambria"/>
          <w:sz w:val="20"/>
          <w:szCs w:val="20"/>
          <w:bdr w:val="none" w:sz="0" w:space="0" w:color="auto"/>
        </w:rPr>
        <w:t xml:space="preserve">, </w:t>
      </w:r>
      <w:r w:rsidR="001A21C0">
        <w:rPr>
          <w:rFonts w:ascii="Cambria" w:hAnsi="Cambria"/>
          <w:sz w:val="20"/>
          <w:szCs w:val="20"/>
          <w:bdr w:val="none" w:sz="0" w:space="0" w:color="auto"/>
        </w:rPr>
        <w:t>namely</w:t>
      </w:r>
      <w:r w:rsidR="0001768F" w:rsidRPr="00A51861">
        <w:rPr>
          <w:rFonts w:ascii="Cambria" w:hAnsi="Cambria"/>
          <w:sz w:val="20"/>
          <w:szCs w:val="20"/>
          <w:bdr w:val="none" w:sz="0" w:space="0" w:color="auto"/>
        </w:rPr>
        <w:t xml:space="preserve">, </w:t>
      </w:r>
      <w:r w:rsidR="001A21C0">
        <w:rPr>
          <w:rFonts w:ascii="Cambria" w:hAnsi="Cambria"/>
          <w:sz w:val="20"/>
          <w:szCs w:val="20"/>
          <w:bdr w:val="none" w:sz="0" w:space="0" w:color="auto"/>
        </w:rPr>
        <w:t>the</w:t>
      </w:r>
      <w:r w:rsidR="0001768F" w:rsidRPr="00A51861">
        <w:rPr>
          <w:rFonts w:ascii="Cambria" w:hAnsi="Cambria"/>
          <w:sz w:val="20"/>
          <w:szCs w:val="20"/>
          <w:bdr w:val="none" w:sz="0" w:space="0" w:color="auto"/>
        </w:rPr>
        <w:t xml:space="preserve"> </w:t>
      </w:r>
      <w:r w:rsidR="001A21C0" w:rsidRPr="00A51861">
        <w:rPr>
          <w:rFonts w:ascii="Cambria" w:hAnsi="Cambria"/>
          <w:sz w:val="20"/>
          <w:szCs w:val="20"/>
          <w:bdr w:val="none" w:sz="0" w:space="0" w:color="auto"/>
        </w:rPr>
        <w:t>persecutions</w:t>
      </w:r>
      <w:r>
        <w:rPr>
          <w:rFonts w:ascii="Cambria" w:hAnsi="Cambria"/>
          <w:sz w:val="20"/>
          <w:szCs w:val="20"/>
          <w:bdr w:val="none" w:sz="0" w:space="0" w:color="auto"/>
        </w:rPr>
        <w:t xml:space="preserve"> and </w:t>
      </w:r>
      <w:r w:rsidR="00B74DB5">
        <w:rPr>
          <w:rFonts w:ascii="Cambria" w:hAnsi="Cambria"/>
          <w:sz w:val="20"/>
          <w:szCs w:val="20"/>
          <w:bdr w:val="none" w:sz="0" w:space="0" w:color="auto"/>
        </w:rPr>
        <w:t>harassment</w:t>
      </w:r>
      <w:r w:rsidR="0001768F" w:rsidRPr="00A51861">
        <w:rPr>
          <w:rFonts w:ascii="Cambria" w:hAnsi="Cambria"/>
          <w:sz w:val="20"/>
          <w:szCs w:val="20"/>
          <w:bdr w:val="none" w:sz="0" w:space="0" w:color="auto"/>
        </w:rPr>
        <w:t xml:space="preserve">; </w:t>
      </w:r>
      <w:r w:rsidR="001A21C0">
        <w:rPr>
          <w:rFonts w:ascii="Cambria" w:hAnsi="Cambria"/>
          <w:sz w:val="20"/>
          <w:szCs w:val="20"/>
          <w:bdr w:val="none" w:sz="0" w:space="0" w:color="auto"/>
        </w:rPr>
        <w:t>the</w:t>
      </w:r>
      <w:r w:rsidR="0001768F" w:rsidRPr="00A51861">
        <w:rPr>
          <w:rFonts w:ascii="Cambria" w:hAnsi="Cambria"/>
          <w:sz w:val="20"/>
          <w:szCs w:val="20"/>
          <w:bdr w:val="none" w:sz="0" w:space="0" w:color="auto"/>
        </w:rPr>
        <w:t xml:space="preserve"> ini</w:t>
      </w:r>
      <w:r w:rsidR="001A21C0">
        <w:rPr>
          <w:rFonts w:ascii="Cambria" w:hAnsi="Cambria"/>
          <w:sz w:val="20"/>
          <w:szCs w:val="20"/>
          <w:bdr w:val="none" w:sz="0" w:space="0" w:color="auto"/>
        </w:rPr>
        <w:t>tiation</w:t>
      </w:r>
      <w:r w:rsidR="004969F4">
        <w:rPr>
          <w:rFonts w:ascii="Cambria" w:hAnsi="Cambria"/>
          <w:sz w:val="20"/>
          <w:szCs w:val="20"/>
          <w:bdr w:val="none" w:sz="0" w:space="0" w:color="auto"/>
        </w:rPr>
        <w:t xml:space="preserve"> of the </w:t>
      </w:r>
      <w:r w:rsidR="001A21C0">
        <w:rPr>
          <w:rFonts w:ascii="Cambria" w:hAnsi="Cambria"/>
          <w:sz w:val="20"/>
          <w:szCs w:val="20"/>
          <w:bdr w:val="none" w:sz="0" w:space="0" w:color="auto"/>
        </w:rPr>
        <w:t>proceedings</w:t>
      </w:r>
      <w:r>
        <w:rPr>
          <w:rFonts w:ascii="Cambria" w:hAnsi="Cambria"/>
          <w:sz w:val="20"/>
          <w:szCs w:val="20"/>
          <w:bdr w:val="none" w:sz="0" w:space="0" w:color="auto"/>
        </w:rPr>
        <w:t xml:space="preserve"> of </w:t>
      </w:r>
      <w:r w:rsidR="00103579">
        <w:rPr>
          <w:rFonts w:ascii="Cambria" w:hAnsi="Cambria"/>
          <w:sz w:val="20"/>
          <w:szCs w:val="20"/>
          <w:bdr w:val="none" w:sz="0" w:space="0" w:color="auto"/>
        </w:rPr>
        <w:t>expulsion</w:t>
      </w:r>
      <w:r w:rsidR="0001768F" w:rsidRPr="00A51861">
        <w:rPr>
          <w:rFonts w:ascii="Cambria" w:hAnsi="Cambria"/>
          <w:sz w:val="20"/>
          <w:szCs w:val="20"/>
          <w:bdr w:val="none" w:sz="0" w:space="0" w:color="auto"/>
        </w:rPr>
        <w:t>;</w:t>
      </w:r>
      <w:r w:rsidR="009A4F91">
        <w:rPr>
          <w:rFonts w:ascii="Cambria" w:hAnsi="Cambria"/>
          <w:sz w:val="20"/>
          <w:szCs w:val="20"/>
          <w:bdr w:val="none" w:sz="0" w:space="0" w:color="auto"/>
        </w:rPr>
        <w:t xml:space="preserve"> the </w:t>
      </w:r>
      <w:r w:rsidR="001A21C0" w:rsidRPr="00A51861">
        <w:rPr>
          <w:rFonts w:ascii="Cambria" w:hAnsi="Cambria"/>
          <w:sz w:val="20"/>
          <w:szCs w:val="20"/>
          <w:bdr w:val="none" w:sz="0" w:space="0" w:color="auto"/>
        </w:rPr>
        <w:t>consequent</w:t>
      </w:r>
      <w:r w:rsidR="0001768F" w:rsidRPr="00A51861">
        <w:rPr>
          <w:rFonts w:ascii="Cambria" w:hAnsi="Cambria"/>
          <w:sz w:val="20"/>
          <w:szCs w:val="20"/>
          <w:bdr w:val="none" w:sz="0" w:space="0" w:color="auto"/>
        </w:rPr>
        <w:t xml:space="preserve"> </w:t>
      </w:r>
      <w:r w:rsidR="00444893">
        <w:rPr>
          <w:rFonts w:ascii="Cambria" w:hAnsi="Cambria"/>
          <w:sz w:val="20"/>
          <w:szCs w:val="20"/>
          <w:bdr w:val="none" w:sz="0" w:space="0" w:color="auto"/>
        </w:rPr>
        <w:t>order</w:t>
      </w:r>
      <w:r>
        <w:rPr>
          <w:rFonts w:ascii="Cambria" w:hAnsi="Cambria"/>
          <w:sz w:val="20"/>
          <w:szCs w:val="20"/>
          <w:bdr w:val="none" w:sz="0" w:space="0" w:color="auto"/>
        </w:rPr>
        <w:t xml:space="preserve"> of </w:t>
      </w:r>
      <w:r w:rsidR="00103579">
        <w:rPr>
          <w:rFonts w:ascii="Cambria" w:hAnsi="Cambria"/>
          <w:sz w:val="20"/>
          <w:szCs w:val="20"/>
          <w:bdr w:val="none" w:sz="0" w:space="0" w:color="auto"/>
        </w:rPr>
        <w:t>expulsion</w:t>
      </w:r>
      <w:r w:rsidR="004969F4">
        <w:rPr>
          <w:rFonts w:ascii="Cambria" w:hAnsi="Cambria"/>
          <w:sz w:val="20"/>
          <w:szCs w:val="20"/>
          <w:bdr w:val="none" w:sz="0" w:space="0" w:color="auto"/>
        </w:rPr>
        <w:t xml:space="preserve"> </w:t>
      </w:r>
      <w:r w:rsidR="001A21C0">
        <w:rPr>
          <w:rFonts w:ascii="Cambria" w:hAnsi="Cambria"/>
          <w:sz w:val="20"/>
          <w:szCs w:val="20"/>
          <w:bdr w:val="none" w:sz="0" w:space="0" w:color="auto"/>
        </w:rPr>
        <w:t>by</w:t>
      </w:r>
      <w:r w:rsidR="004969F4">
        <w:rPr>
          <w:rFonts w:ascii="Cambria" w:hAnsi="Cambria"/>
          <w:sz w:val="20"/>
          <w:szCs w:val="20"/>
          <w:bdr w:val="none" w:sz="0" w:space="0" w:color="auto"/>
        </w:rPr>
        <w:t xml:space="preserve"> the</w:t>
      </w:r>
      <w:r w:rsidR="00323EBA">
        <w:rPr>
          <w:rFonts w:ascii="Cambria" w:hAnsi="Cambria"/>
          <w:sz w:val="20"/>
          <w:szCs w:val="20"/>
          <w:bdr w:val="none" w:sz="0" w:space="0" w:color="auto"/>
        </w:rPr>
        <w:t xml:space="preserve"> NEP</w:t>
      </w:r>
      <w:r w:rsidR="0001768F" w:rsidRPr="00A51861">
        <w:rPr>
          <w:rFonts w:ascii="Cambria" w:hAnsi="Cambria"/>
          <w:sz w:val="20"/>
          <w:szCs w:val="20"/>
          <w:bdr w:val="none" w:sz="0" w:space="0" w:color="auto"/>
        </w:rPr>
        <w:t xml:space="preserve"> </w:t>
      </w:r>
      <w:r w:rsidR="001A21C0">
        <w:rPr>
          <w:rFonts w:ascii="Cambria" w:hAnsi="Cambria"/>
          <w:sz w:val="20"/>
          <w:szCs w:val="20"/>
          <w:bdr w:val="none" w:sz="0" w:space="0" w:color="auto"/>
        </w:rPr>
        <w:t>by means</w:t>
      </w:r>
      <w:r>
        <w:rPr>
          <w:rFonts w:ascii="Cambria" w:hAnsi="Cambria"/>
          <w:sz w:val="20"/>
          <w:szCs w:val="20"/>
          <w:bdr w:val="none" w:sz="0" w:space="0" w:color="auto"/>
        </w:rPr>
        <w:t xml:space="preserve"> of the </w:t>
      </w:r>
      <w:r w:rsidR="008E2F10">
        <w:rPr>
          <w:rFonts w:ascii="Cambria" w:hAnsi="Cambria"/>
          <w:sz w:val="20"/>
          <w:szCs w:val="20"/>
          <w:bdr w:val="none" w:sz="0" w:space="0" w:color="auto"/>
        </w:rPr>
        <w:t>NDM</w:t>
      </w:r>
      <w:r w:rsidR="0001768F" w:rsidRPr="00A51861">
        <w:rPr>
          <w:rFonts w:ascii="Cambria" w:hAnsi="Cambria"/>
          <w:sz w:val="20"/>
          <w:szCs w:val="20"/>
          <w:bdr w:val="none" w:sz="0" w:space="0" w:color="auto"/>
        </w:rPr>
        <w:t xml:space="preserve">, </w:t>
      </w:r>
      <w:r w:rsidR="004921CF">
        <w:rPr>
          <w:rFonts w:ascii="Cambria" w:hAnsi="Cambria"/>
          <w:sz w:val="20"/>
          <w:szCs w:val="20"/>
          <w:bdr w:val="none" w:sz="0" w:space="0" w:color="auto"/>
        </w:rPr>
        <w:t xml:space="preserve">based </w:t>
      </w:r>
      <w:r w:rsidR="001A21C0">
        <w:rPr>
          <w:rFonts w:ascii="Cambria" w:hAnsi="Cambria"/>
          <w:sz w:val="20"/>
          <w:szCs w:val="20"/>
          <w:bdr w:val="none" w:sz="0" w:space="0" w:color="auto"/>
        </w:rPr>
        <w:t>on a pre-required</w:t>
      </w:r>
      <w:r w:rsidR="001A21C0" w:rsidRPr="00A51861">
        <w:rPr>
          <w:rFonts w:ascii="Cambria" w:hAnsi="Cambria"/>
          <w:sz w:val="20"/>
          <w:szCs w:val="20"/>
          <w:bdr w:val="none" w:sz="0" w:space="0" w:color="auto"/>
        </w:rPr>
        <w:t xml:space="preserve"> </w:t>
      </w:r>
      <w:r w:rsidR="001A21C0">
        <w:rPr>
          <w:rFonts w:ascii="Cambria" w:hAnsi="Cambria"/>
          <w:sz w:val="20"/>
          <w:szCs w:val="20"/>
          <w:bdr w:val="none" w:sz="0" w:space="0" w:color="auto"/>
        </w:rPr>
        <w:t>criminal record even when</w:t>
      </w:r>
      <w:r w:rsidR="0001768F" w:rsidRPr="00A51861">
        <w:rPr>
          <w:rFonts w:ascii="Cambria" w:hAnsi="Cambria"/>
          <w:sz w:val="20"/>
          <w:szCs w:val="20"/>
          <w:bdr w:val="none" w:sz="0" w:space="0" w:color="auto"/>
        </w:rPr>
        <w:t xml:space="preserve"> </w:t>
      </w:r>
      <w:r w:rsidR="002835FC" w:rsidRPr="00A51861">
        <w:rPr>
          <w:rFonts w:ascii="Cambria" w:hAnsi="Cambria"/>
          <w:sz w:val="20"/>
          <w:szCs w:val="20"/>
          <w:bdr w:val="none" w:sz="0" w:space="0" w:color="auto"/>
        </w:rPr>
        <w:t xml:space="preserve">the alleged victims </w:t>
      </w:r>
      <w:r w:rsidR="001A21C0">
        <w:rPr>
          <w:rFonts w:ascii="Cambria" w:hAnsi="Cambria"/>
          <w:sz w:val="20"/>
          <w:szCs w:val="20"/>
          <w:bdr w:val="none" w:sz="0" w:space="0" w:color="auto"/>
        </w:rPr>
        <w:t>had been acquitted</w:t>
      </w:r>
      <w:r w:rsidR="0001768F" w:rsidRPr="00A51861">
        <w:rPr>
          <w:rFonts w:ascii="Cambria" w:hAnsi="Cambria"/>
          <w:sz w:val="20"/>
          <w:szCs w:val="20"/>
          <w:bdr w:val="none" w:sz="0" w:space="0" w:color="auto"/>
        </w:rPr>
        <w:t>;</w:t>
      </w:r>
      <w:r>
        <w:rPr>
          <w:rFonts w:ascii="Cambria" w:hAnsi="Cambria"/>
          <w:sz w:val="20"/>
          <w:szCs w:val="20"/>
          <w:bdr w:val="none" w:sz="0" w:space="0" w:color="auto"/>
        </w:rPr>
        <w:t xml:space="preserve"> and </w:t>
      </w:r>
      <w:r w:rsidR="001A21C0">
        <w:rPr>
          <w:rFonts w:ascii="Cambria" w:hAnsi="Cambria"/>
          <w:sz w:val="20"/>
          <w:szCs w:val="20"/>
          <w:bdr w:val="none" w:sz="0" w:space="0" w:color="auto"/>
        </w:rPr>
        <w:t>the</w:t>
      </w:r>
      <w:r w:rsidR="0001768F" w:rsidRPr="00A51861">
        <w:rPr>
          <w:rFonts w:ascii="Cambria" w:hAnsi="Cambria"/>
          <w:sz w:val="20"/>
          <w:szCs w:val="20"/>
          <w:bdr w:val="none" w:sz="0" w:space="0" w:color="auto"/>
        </w:rPr>
        <w:t xml:space="preserve"> </w:t>
      </w:r>
      <w:r w:rsidR="005B42FA">
        <w:rPr>
          <w:rFonts w:ascii="Cambria" w:hAnsi="Cambria"/>
          <w:sz w:val="20"/>
          <w:szCs w:val="20"/>
          <w:bdr w:val="none" w:sz="0" w:space="0" w:color="auto"/>
        </w:rPr>
        <w:t>exile</w:t>
      </w:r>
      <w:r w:rsidR="0001768F" w:rsidRPr="00A51861">
        <w:rPr>
          <w:rFonts w:ascii="Cambria" w:hAnsi="Cambria"/>
          <w:sz w:val="20"/>
          <w:szCs w:val="20"/>
          <w:bdr w:val="none" w:sz="0" w:space="0" w:color="auto"/>
        </w:rPr>
        <w:t xml:space="preserve"> </w:t>
      </w:r>
      <w:r w:rsidR="001A21C0">
        <w:rPr>
          <w:rFonts w:ascii="Cambria" w:hAnsi="Cambria"/>
          <w:sz w:val="20"/>
          <w:szCs w:val="20"/>
          <w:bdr w:val="none" w:sz="0" w:space="0" w:color="auto"/>
        </w:rPr>
        <w:t>to which they were subjected as</w:t>
      </w:r>
      <w:r w:rsidR="0001768F" w:rsidRPr="00A51861">
        <w:rPr>
          <w:rFonts w:ascii="Cambria" w:hAnsi="Cambria"/>
          <w:sz w:val="20"/>
          <w:szCs w:val="20"/>
          <w:bdr w:val="none" w:sz="0" w:space="0" w:color="auto"/>
        </w:rPr>
        <w:t xml:space="preserve"> </w:t>
      </w:r>
      <w:r w:rsidR="005F7F4D">
        <w:rPr>
          <w:rFonts w:ascii="Cambria" w:hAnsi="Cambria"/>
          <w:color w:val="000000" w:themeColor="text1"/>
          <w:sz w:val="20"/>
          <w:szCs w:val="20"/>
        </w:rPr>
        <w:t>political refugees</w:t>
      </w:r>
      <w:r w:rsidR="0001768F" w:rsidRPr="00A51861">
        <w:rPr>
          <w:rFonts w:ascii="Cambria" w:hAnsi="Cambria"/>
          <w:sz w:val="20"/>
          <w:szCs w:val="20"/>
          <w:bdr w:val="none" w:sz="0" w:space="0" w:color="auto"/>
        </w:rPr>
        <w:t xml:space="preserve"> </w:t>
      </w:r>
      <w:r w:rsidR="001A21C0">
        <w:rPr>
          <w:rFonts w:ascii="Cambria" w:hAnsi="Cambria"/>
          <w:sz w:val="20"/>
          <w:szCs w:val="20"/>
          <w:bdr w:val="none" w:sz="0" w:space="0" w:color="auto"/>
        </w:rPr>
        <w:t>i</w:t>
      </w:r>
      <w:r w:rsidR="0001768F" w:rsidRPr="00A51861">
        <w:rPr>
          <w:rFonts w:ascii="Cambria" w:hAnsi="Cambria"/>
          <w:sz w:val="20"/>
          <w:szCs w:val="20"/>
          <w:bdr w:val="none" w:sz="0" w:space="0" w:color="auto"/>
        </w:rPr>
        <w:t xml:space="preserve">n </w:t>
      </w:r>
      <w:r w:rsidR="00BD6923">
        <w:rPr>
          <w:rFonts w:ascii="Cambria" w:hAnsi="Cambria"/>
          <w:sz w:val="20"/>
          <w:szCs w:val="20"/>
          <w:bdr w:val="none" w:sz="0" w:space="0" w:color="auto"/>
        </w:rPr>
        <w:t>Sweden</w:t>
      </w:r>
      <w:r w:rsidR="0001768F" w:rsidRPr="00A51861">
        <w:rPr>
          <w:rFonts w:ascii="Cambria" w:hAnsi="Cambria"/>
          <w:sz w:val="20"/>
          <w:szCs w:val="20"/>
          <w:bdr w:val="none" w:sz="0" w:space="0" w:color="auto"/>
        </w:rPr>
        <w:t xml:space="preserve"> (</w:t>
      </w:r>
      <w:r w:rsidR="001A21C0">
        <w:rPr>
          <w:rFonts w:ascii="Cambria" w:hAnsi="Cambria"/>
          <w:sz w:val="20"/>
          <w:szCs w:val="20"/>
          <w:bdr w:val="none" w:sz="0" w:space="0" w:color="auto"/>
        </w:rPr>
        <w:t>all of them facts that kept occurring</w:t>
      </w:r>
      <w:r w:rsidR="00645513" w:rsidRPr="00A51861">
        <w:rPr>
          <w:rFonts w:ascii="Cambria" w:hAnsi="Cambria"/>
          <w:sz w:val="20"/>
          <w:szCs w:val="20"/>
          <w:bdr w:val="none" w:sz="0" w:space="0" w:color="auto"/>
        </w:rPr>
        <w:t xml:space="preserve"> </w:t>
      </w:r>
      <w:r w:rsidR="001A21C0">
        <w:rPr>
          <w:rFonts w:ascii="Cambria" w:hAnsi="Cambria"/>
          <w:sz w:val="20"/>
          <w:szCs w:val="20"/>
          <w:bdr w:val="none" w:sz="0" w:space="0" w:color="auto"/>
        </w:rPr>
        <w:t>within the</w:t>
      </w:r>
      <w:r w:rsidR="004969F4">
        <w:rPr>
          <w:rFonts w:ascii="Cambria" w:hAnsi="Cambria"/>
          <w:sz w:val="20"/>
          <w:szCs w:val="20"/>
          <w:bdr w:val="none" w:sz="0" w:space="0" w:color="auto"/>
        </w:rPr>
        <w:t xml:space="preserve"> </w:t>
      </w:r>
      <w:r w:rsidR="001A21C0">
        <w:rPr>
          <w:rFonts w:ascii="Cambria" w:hAnsi="Cambria"/>
          <w:sz w:val="20"/>
          <w:szCs w:val="20"/>
          <w:bdr w:val="none" w:sz="0" w:space="0" w:color="auto"/>
        </w:rPr>
        <w:t xml:space="preserve">timeframe </w:t>
      </w:r>
      <w:r>
        <w:rPr>
          <w:rFonts w:ascii="Cambria" w:hAnsi="Cambria"/>
          <w:sz w:val="20"/>
          <w:szCs w:val="20"/>
          <w:bdr w:val="none" w:sz="0" w:space="0" w:color="auto"/>
        </w:rPr>
        <w:t xml:space="preserve">of </w:t>
      </w:r>
      <w:r w:rsidR="0059627A">
        <w:rPr>
          <w:rFonts w:ascii="Cambria" w:hAnsi="Cambria"/>
          <w:sz w:val="20"/>
          <w:szCs w:val="20"/>
          <w:bdr w:val="none" w:sz="0" w:space="0" w:color="auto"/>
        </w:rPr>
        <w:t>application</w:t>
      </w:r>
      <w:r>
        <w:rPr>
          <w:rFonts w:ascii="Cambria" w:hAnsi="Cambria"/>
          <w:sz w:val="20"/>
          <w:szCs w:val="20"/>
          <w:bdr w:val="none" w:sz="0" w:space="0" w:color="auto"/>
        </w:rPr>
        <w:t xml:space="preserve"> of </w:t>
      </w:r>
      <w:r w:rsidR="002835FC" w:rsidRPr="00A51861">
        <w:rPr>
          <w:rFonts w:ascii="Cambria" w:hAnsi="Cambria"/>
          <w:sz w:val="20"/>
          <w:szCs w:val="20"/>
          <w:bdr w:val="none" w:sz="0" w:space="0" w:color="auto"/>
        </w:rPr>
        <w:t xml:space="preserve">Law </w:t>
      </w:r>
      <w:r w:rsidR="0001768F" w:rsidRPr="00A51861">
        <w:rPr>
          <w:rFonts w:ascii="Cambria" w:hAnsi="Cambria"/>
          <w:sz w:val="20"/>
          <w:szCs w:val="20"/>
          <w:bdr w:val="none" w:sz="0" w:space="0" w:color="auto"/>
        </w:rPr>
        <w:t xml:space="preserve">24.043); </w:t>
      </w:r>
      <w:r w:rsidR="001A21C0">
        <w:rPr>
          <w:rFonts w:ascii="Cambria" w:hAnsi="Cambria"/>
          <w:sz w:val="20"/>
          <w:szCs w:val="20"/>
          <w:bdr w:val="none" w:sz="0" w:space="0" w:color="auto"/>
        </w:rPr>
        <w:t xml:space="preserve">they did not </w:t>
      </w:r>
      <w:r w:rsidR="0001768F" w:rsidRPr="00A51861">
        <w:rPr>
          <w:rFonts w:ascii="Cambria" w:hAnsi="Cambria"/>
          <w:sz w:val="20"/>
          <w:szCs w:val="20"/>
          <w:bdr w:val="none" w:sz="0" w:space="0" w:color="auto"/>
        </w:rPr>
        <w:t>configur</w:t>
      </w:r>
      <w:r w:rsidR="001A21C0">
        <w:rPr>
          <w:rFonts w:ascii="Cambria" w:hAnsi="Cambria"/>
          <w:sz w:val="20"/>
          <w:szCs w:val="20"/>
          <w:bdr w:val="none" w:sz="0" w:space="0" w:color="auto"/>
        </w:rPr>
        <w:t>e an</w:t>
      </w:r>
      <w:r w:rsidR="0001768F" w:rsidRPr="00A51861">
        <w:rPr>
          <w:rFonts w:ascii="Cambria" w:hAnsi="Cambria"/>
          <w:sz w:val="20"/>
          <w:szCs w:val="20"/>
          <w:bdr w:val="none" w:sz="0" w:space="0" w:color="auto"/>
        </w:rPr>
        <w:t xml:space="preserve"> </w:t>
      </w:r>
      <w:r w:rsidR="001A21C0">
        <w:rPr>
          <w:rFonts w:ascii="Cambria" w:hAnsi="Cambria"/>
          <w:sz w:val="20"/>
          <w:szCs w:val="20"/>
          <w:bdr w:val="none" w:sz="0" w:space="0" w:color="auto"/>
        </w:rPr>
        <w:t>effective</w:t>
      </w:r>
      <w:r w:rsidR="001A21C0" w:rsidRPr="00A51861">
        <w:rPr>
          <w:rFonts w:ascii="Cambria" w:hAnsi="Cambria"/>
          <w:sz w:val="20"/>
          <w:szCs w:val="20"/>
          <w:bdr w:val="none" w:sz="0" w:space="0" w:color="auto"/>
        </w:rPr>
        <w:t xml:space="preserve"> </w:t>
      </w:r>
      <w:r w:rsidR="00F329E7">
        <w:rPr>
          <w:rFonts w:ascii="Cambria" w:hAnsi="Cambria"/>
          <w:sz w:val="20"/>
          <w:szCs w:val="20"/>
          <w:bdr w:val="none" w:sz="0" w:space="0" w:color="auto"/>
        </w:rPr>
        <w:t>impairment</w:t>
      </w:r>
      <w:r w:rsidR="0001768F" w:rsidRPr="00A51861">
        <w:rPr>
          <w:rFonts w:ascii="Cambria" w:hAnsi="Cambria"/>
          <w:sz w:val="20"/>
          <w:szCs w:val="20"/>
          <w:bdr w:val="none" w:sz="0" w:space="0" w:color="auto"/>
        </w:rPr>
        <w:t xml:space="preserve"> </w:t>
      </w:r>
      <w:r w:rsidR="001A21C0">
        <w:rPr>
          <w:rFonts w:ascii="Cambria" w:hAnsi="Cambria"/>
          <w:sz w:val="20"/>
          <w:szCs w:val="20"/>
          <w:bdr w:val="none" w:sz="0" w:space="0" w:color="auto"/>
        </w:rPr>
        <w:t>to</w:t>
      </w:r>
      <w:r w:rsidR="009A4F91">
        <w:rPr>
          <w:rFonts w:ascii="Cambria" w:hAnsi="Cambria"/>
          <w:sz w:val="20"/>
          <w:szCs w:val="20"/>
          <w:bdr w:val="none" w:sz="0" w:space="0" w:color="auto"/>
        </w:rPr>
        <w:t xml:space="preserve"> </w:t>
      </w:r>
      <w:r w:rsidR="00387B53">
        <w:rPr>
          <w:rFonts w:ascii="Cambria" w:hAnsi="Cambria"/>
          <w:sz w:val="20"/>
          <w:szCs w:val="20"/>
          <w:bdr w:val="none" w:sz="0" w:space="0" w:color="auto"/>
        </w:rPr>
        <w:t>liberty</w:t>
      </w:r>
      <w:r>
        <w:rPr>
          <w:rFonts w:ascii="Cambria" w:hAnsi="Cambria"/>
          <w:sz w:val="20"/>
          <w:szCs w:val="20"/>
          <w:bdr w:val="none" w:sz="0" w:space="0" w:color="auto"/>
        </w:rPr>
        <w:t xml:space="preserve"> </w:t>
      </w:r>
      <w:r w:rsidR="001A21C0">
        <w:rPr>
          <w:rFonts w:ascii="Cambria" w:hAnsi="Cambria"/>
          <w:sz w:val="20"/>
          <w:szCs w:val="20"/>
          <w:bdr w:val="none" w:sz="0" w:space="0" w:color="auto"/>
        </w:rPr>
        <w:t>according to the</w:t>
      </w:r>
      <w:r w:rsidR="0001768F" w:rsidRPr="00A51861">
        <w:rPr>
          <w:rFonts w:ascii="Cambria" w:hAnsi="Cambria"/>
          <w:sz w:val="20"/>
          <w:szCs w:val="20"/>
          <w:bdr w:val="none" w:sz="0" w:space="0" w:color="auto"/>
        </w:rPr>
        <w:t xml:space="preserve"> </w:t>
      </w:r>
      <w:r w:rsidR="001A21C0" w:rsidRPr="00A51861">
        <w:rPr>
          <w:rFonts w:ascii="Cambria" w:hAnsi="Cambria"/>
          <w:sz w:val="20"/>
          <w:szCs w:val="20"/>
          <w:bdr w:val="none" w:sz="0" w:space="0" w:color="auto"/>
        </w:rPr>
        <w:t>paramet</w:t>
      </w:r>
      <w:r w:rsidR="001A21C0">
        <w:rPr>
          <w:rFonts w:ascii="Cambria" w:hAnsi="Cambria"/>
          <w:sz w:val="20"/>
          <w:szCs w:val="20"/>
          <w:bdr w:val="none" w:sz="0" w:space="0" w:color="auto"/>
        </w:rPr>
        <w:t>er</w:t>
      </w:r>
      <w:r w:rsidR="001A21C0" w:rsidRPr="00A51861">
        <w:rPr>
          <w:rFonts w:ascii="Cambria" w:hAnsi="Cambria"/>
          <w:sz w:val="20"/>
          <w:szCs w:val="20"/>
          <w:bdr w:val="none" w:sz="0" w:space="0" w:color="auto"/>
        </w:rPr>
        <w:t>s</w:t>
      </w:r>
      <w:r w:rsidR="0001768F" w:rsidRPr="00A51861">
        <w:rPr>
          <w:rFonts w:ascii="Cambria" w:hAnsi="Cambria"/>
          <w:sz w:val="20"/>
          <w:szCs w:val="20"/>
          <w:bdr w:val="none" w:sz="0" w:space="0" w:color="auto"/>
        </w:rPr>
        <w:t xml:space="preserve"> </w:t>
      </w:r>
      <w:r w:rsidR="001A21C0">
        <w:rPr>
          <w:rFonts w:ascii="Cambria" w:hAnsi="Cambria"/>
          <w:sz w:val="20"/>
          <w:szCs w:val="20"/>
          <w:bdr w:val="none" w:sz="0" w:space="0" w:color="auto"/>
        </w:rPr>
        <w:t>which had already been provided in</w:t>
      </w:r>
      <w:r w:rsidR="0001768F" w:rsidRPr="00A51861">
        <w:rPr>
          <w:rFonts w:ascii="Cambria" w:hAnsi="Cambria"/>
          <w:sz w:val="20"/>
          <w:szCs w:val="20"/>
          <w:bdr w:val="none" w:sz="0" w:space="0" w:color="auto"/>
        </w:rPr>
        <w:t xml:space="preserve"> </w:t>
      </w:r>
      <w:r w:rsidR="005F17CA" w:rsidRPr="00A51861">
        <w:rPr>
          <w:rFonts w:ascii="Cambria" w:hAnsi="Cambria"/>
          <w:sz w:val="20"/>
          <w:szCs w:val="20"/>
          <w:bdr w:val="none" w:sz="0" w:space="0" w:color="auto"/>
        </w:rPr>
        <w:t xml:space="preserve">judicial </w:t>
      </w:r>
      <w:r>
        <w:rPr>
          <w:rFonts w:ascii="Cambria" w:hAnsi="Cambria"/>
          <w:sz w:val="20"/>
          <w:szCs w:val="20"/>
          <w:bdr w:val="none" w:sz="0" w:space="0" w:color="auto"/>
        </w:rPr>
        <w:t>decisions</w:t>
      </w:r>
      <w:r w:rsidR="0001768F" w:rsidRPr="00A51861">
        <w:rPr>
          <w:rFonts w:ascii="Cambria" w:hAnsi="Cambria"/>
          <w:sz w:val="20"/>
          <w:szCs w:val="20"/>
          <w:bdr w:val="none" w:sz="0" w:space="0" w:color="auto"/>
        </w:rPr>
        <w:t xml:space="preserve"> </w:t>
      </w:r>
      <w:r w:rsidR="005F17CA">
        <w:rPr>
          <w:rFonts w:ascii="Cambria" w:hAnsi="Cambria"/>
          <w:sz w:val="20"/>
          <w:szCs w:val="20"/>
          <w:bdr w:val="none" w:sz="0" w:space="0" w:color="auto"/>
        </w:rPr>
        <w:t>for</w:t>
      </w:r>
      <w:r w:rsidR="0001768F" w:rsidRPr="00A51861">
        <w:rPr>
          <w:rFonts w:ascii="Cambria" w:hAnsi="Cambria"/>
          <w:sz w:val="20"/>
          <w:szCs w:val="20"/>
          <w:bdr w:val="none" w:sz="0" w:space="0" w:color="auto"/>
        </w:rPr>
        <w:t xml:space="preserve"> similar</w:t>
      </w:r>
      <w:r w:rsidR="005F17CA">
        <w:rPr>
          <w:rFonts w:ascii="Cambria" w:hAnsi="Cambria"/>
          <w:sz w:val="20"/>
          <w:szCs w:val="20"/>
          <w:bdr w:val="none" w:sz="0" w:space="0" w:color="auto"/>
        </w:rPr>
        <w:t xml:space="preserve"> cas</w:t>
      </w:r>
      <w:r w:rsidR="0001768F" w:rsidRPr="00A51861">
        <w:rPr>
          <w:rFonts w:ascii="Cambria" w:hAnsi="Cambria"/>
          <w:sz w:val="20"/>
          <w:szCs w:val="20"/>
          <w:bdr w:val="none" w:sz="0" w:space="0" w:color="auto"/>
        </w:rPr>
        <w:t>es</w:t>
      </w:r>
      <w:r>
        <w:rPr>
          <w:rFonts w:ascii="Cambria" w:hAnsi="Cambria"/>
          <w:sz w:val="20"/>
          <w:szCs w:val="20"/>
          <w:bdr w:val="none" w:sz="0" w:space="0" w:color="auto"/>
        </w:rPr>
        <w:t xml:space="preserve"> and </w:t>
      </w:r>
      <w:r w:rsidR="005F17CA">
        <w:rPr>
          <w:rFonts w:ascii="Cambria" w:hAnsi="Cambria"/>
          <w:sz w:val="20"/>
          <w:szCs w:val="20"/>
          <w:bdr w:val="none" w:sz="0" w:space="0" w:color="auto"/>
        </w:rPr>
        <w:t>why</w:t>
      </w:r>
      <w:r w:rsidR="002F5EAE" w:rsidRPr="00A51861">
        <w:rPr>
          <w:rFonts w:ascii="Cambria" w:hAnsi="Cambria"/>
          <w:sz w:val="20"/>
          <w:szCs w:val="20"/>
          <w:bdr w:val="none" w:sz="0" w:space="0" w:color="auto"/>
        </w:rPr>
        <w:t xml:space="preserve"> </w:t>
      </w:r>
      <w:r w:rsidR="005B42FA">
        <w:rPr>
          <w:rFonts w:ascii="Cambria" w:hAnsi="Cambria"/>
          <w:sz w:val="20"/>
          <w:szCs w:val="20"/>
          <w:bdr w:val="none" w:sz="0" w:space="0" w:color="auto"/>
        </w:rPr>
        <w:t>exile</w:t>
      </w:r>
      <w:r w:rsidR="002F5EAE" w:rsidRPr="00A51861">
        <w:rPr>
          <w:rFonts w:ascii="Cambria" w:hAnsi="Cambria"/>
          <w:sz w:val="20"/>
          <w:szCs w:val="20"/>
          <w:bdr w:val="none" w:sz="0" w:space="0" w:color="auto"/>
        </w:rPr>
        <w:t xml:space="preserve"> </w:t>
      </w:r>
      <w:r w:rsidR="005F17CA">
        <w:rPr>
          <w:rFonts w:ascii="Cambria" w:hAnsi="Cambria"/>
          <w:sz w:val="20"/>
          <w:szCs w:val="20"/>
          <w:bdr w:val="none" w:sz="0" w:space="0" w:color="auto"/>
        </w:rPr>
        <w:t>was not understood as the</w:t>
      </w:r>
      <w:r w:rsidR="00B773DC">
        <w:rPr>
          <w:rFonts w:ascii="Cambria" w:hAnsi="Cambria"/>
          <w:sz w:val="20"/>
          <w:szCs w:val="20"/>
          <w:bdr w:val="none" w:sz="0" w:space="0" w:color="auto"/>
        </w:rPr>
        <w:t xml:space="preserve"> </w:t>
      </w:r>
      <w:r w:rsidR="005F17CA" w:rsidRPr="00A51861">
        <w:rPr>
          <w:rFonts w:ascii="Cambria" w:hAnsi="Cambria"/>
          <w:sz w:val="20"/>
          <w:szCs w:val="20"/>
          <w:bdr w:val="none" w:sz="0" w:space="0" w:color="auto"/>
        </w:rPr>
        <w:t>prolongation</w:t>
      </w:r>
      <w:r w:rsidR="002F5EAE" w:rsidRPr="00A51861">
        <w:rPr>
          <w:rFonts w:ascii="Cambria" w:hAnsi="Cambria"/>
          <w:sz w:val="20"/>
          <w:szCs w:val="20"/>
          <w:bdr w:val="none" w:sz="0" w:space="0" w:color="auto"/>
        </w:rPr>
        <w:t xml:space="preserve"> </w:t>
      </w:r>
      <w:r w:rsidR="005F17CA">
        <w:rPr>
          <w:rFonts w:ascii="Cambria" w:hAnsi="Cambria"/>
          <w:sz w:val="20"/>
          <w:szCs w:val="20"/>
          <w:bdr w:val="none" w:sz="0" w:space="0" w:color="auto"/>
        </w:rPr>
        <w:t>from</w:t>
      </w:r>
      <w:r w:rsidR="00F92BA8">
        <w:rPr>
          <w:rFonts w:ascii="Cambria" w:hAnsi="Cambria"/>
          <w:sz w:val="20"/>
          <w:szCs w:val="20"/>
          <w:bdr w:val="none" w:sz="0" w:space="0" w:color="auto"/>
        </w:rPr>
        <w:t xml:space="preserve"> the State</w:t>
      </w:r>
      <w:r>
        <w:rPr>
          <w:rFonts w:ascii="Cambria" w:hAnsi="Cambria"/>
          <w:sz w:val="20"/>
          <w:szCs w:val="20"/>
          <w:bdr w:val="none" w:sz="0" w:space="0" w:color="auto"/>
        </w:rPr>
        <w:t xml:space="preserve"> of </w:t>
      </w:r>
      <w:r w:rsidR="005F17CA">
        <w:rPr>
          <w:rFonts w:ascii="Cambria" w:hAnsi="Cambria"/>
          <w:sz w:val="20"/>
          <w:szCs w:val="20"/>
          <w:bdr w:val="none" w:sz="0" w:space="0" w:color="auto"/>
        </w:rPr>
        <w:t>said</w:t>
      </w:r>
      <w:r w:rsidR="002F5EAE" w:rsidRPr="00A51861">
        <w:rPr>
          <w:rFonts w:ascii="Cambria" w:hAnsi="Cambria"/>
          <w:sz w:val="20"/>
          <w:szCs w:val="20"/>
          <w:bdr w:val="none" w:sz="0" w:space="0" w:color="auto"/>
        </w:rPr>
        <w:t xml:space="preserve"> </w:t>
      </w:r>
      <w:r w:rsidR="00B920CA">
        <w:rPr>
          <w:rFonts w:ascii="Cambria" w:hAnsi="Cambria"/>
          <w:sz w:val="20"/>
          <w:szCs w:val="20"/>
          <w:bdr w:val="none" w:sz="0" w:space="0" w:color="auto"/>
        </w:rPr>
        <w:t>restriction</w:t>
      </w:r>
      <w:r w:rsidR="002F5EAE" w:rsidRPr="00A51861">
        <w:rPr>
          <w:rFonts w:ascii="Cambria" w:hAnsi="Cambria"/>
          <w:sz w:val="20"/>
          <w:szCs w:val="20"/>
          <w:bdr w:val="none" w:sz="0" w:space="0" w:color="auto"/>
        </w:rPr>
        <w:t xml:space="preserve"> </w:t>
      </w:r>
      <w:r w:rsidR="005F17CA">
        <w:rPr>
          <w:rFonts w:ascii="Cambria" w:hAnsi="Cambria"/>
          <w:sz w:val="20"/>
          <w:szCs w:val="20"/>
          <w:bdr w:val="none" w:sz="0" w:space="0" w:color="auto"/>
        </w:rPr>
        <w:t>to</w:t>
      </w:r>
      <w:r w:rsidR="009A4F91">
        <w:rPr>
          <w:rFonts w:ascii="Cambria" w:hAnsi="Cambria"/>
          <w:sz w:val="20"/>
          <w:szCs w:val="20"/>
          <w:bdr w:val="none" w:sz="0" w:space="0" w:color="auto"/>
        </w:rPr>
        <w:t xml:space="preserve"> </w:t>
      </w:r>
      <w:r w:rsidR="00387B53">
        <w:rPr>
          <w:rFonts w:ascii="Cambria" w:hAnsi="Cambria"/>
          <w:sz w:val="20"/>
          <w:szCs w:val="20"/>
          <w:bdr w:val="none" w:sz="0" w:space="0" w:color="auto"/>
        </w:rPr>
        <w:t>liberty</w:t>
      </w:r>
      <w:r w:rsidR="002F5EAE" w:rsidRPr="00A51861">
        <w:rPr>
          <w:rFonts w:ascii="Cambria" w:hAnsi="Cambria"/>
          <w:sz w:val="20"/>
          <w:szCs w:val="20"/>
          <w:bdr w:val="none" w:sz="0" w:space="0" w:color="auto"/>
        </w:rPr>
        <w:t>,</w:t>
      </w:r>
      <w:r>
        <w:rPr>
          <w:rFonts w:ascii="Cambria" w:hAnsi="Cambria"/>
          <w:sz w:val="20"/>
          <w:szCs w:val="20"/>
          <w:bdr w:val="none" w:sz="0" w:space="0" w:color="auto"/>
        </w:rPr>
        <w:t xml:space="preserve"> </w:t>
      </w:r>
      <w:r w:rsidR="005F17CA">
        <w:rPr>
          <w:rFonts w:ascii="Cambria" w:hAnsi="Cambria"/>
          <w:sz w:val="20"/>
          <w:szCs w:val="20"/>
          <w:bdr w:val="none" w:sz="0" w:space="0" w:color="auto"/>
        </w:rPr>
        <w:t>so as to denying  the request</w:t>
      </w:r>
      <w:r w:rsidR="002F5EAE" w:rsidRPr="00A51861">
        <w:rPr>
          <w:rFonts w:ascii="Cambria" w:hAnsi="Cambria"/>
          <w:sz w:val="20"/>
          <w:szCs w:val="20"/>
          <w:bdr w:val="none" w:sz="0" w:space="0" w:color="auto"/>
        </w:rPr>
        <w:t xml:space="preserve">, </w:t>
      </w:r>
      <w:r w:rsidR="005F17CA">
        <w:rPr>
          <w:rFonts w:ascii="Cambria" w:hAnsi="Cambria"/>
          <w:sz w:val="20"/>
          <w:szCs w:val="20"/>
          <w:bdr w:val="none" w:sz="0" w:space="0" w:color="auto"/>
        </w:rPr>
        <w:t>after said analysis</w:t>
      </w:r>
      <w:r w:rsidR="002F5EAE" w:rsidRPr="00A51861">
        <w:rPr>
          <w:rFonts w:ascii="Cambria" w:hAnsi="Cambria"/>
          <w:sz w:val="20"/>
          <w:szCs w:val="20"/>
          <w:bdr w:val="none" w:sz="0" w:space="0" w:color="auto"/>
        </w:rPr>
        <w:t>.</w:t>
      </w:r>
      <w:r w:rsidR="004851EF" w:rsidRPr="00A51861">
        <w:rPr>
          <w:rFonts w:ascii="Cambria" w:hAnsi="Cambria"/>
          <w:sz w:val="20"/>
          <w:szCs w:val="20"/>
          <w:bdr w:val="none" w:sz="0" w:space="0" w:color="auto"/>
        </w:rPr>
        <w:t xml:space="preserve"> </w:t>
      </w:r>
    </w:p>
    <w:p w14:paraId="18A27A92" w14:textId="77777777" w:rsidR="00391E9F" w:rsidRPr="00A51861" w:rsidRDefault="00391E9F" w:rsidP="008E4D3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bdr w:val="none" w:sz="0" w:space="0" w:color="auto"/>
        </w:rPr>
      </w:pPr>
    </w:p>
    <w:p w14:paraId="2C44F055" w14:textId="07B235E5" w:rsidR="00C10DE0" w:rsidRPr="00A51861" w:rsidRDefault="001867BE"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bdr w:val="none" w:sz="0" w:space="0" w:color="auto"/>
        </w:rPr>
      </w:pPr>
      <w:r>
        <w:rPr>
          <w:rFonts w:ascii="Cambria" w:hAnsi="Cambria"/>
          <w:sz w:val="20"/>
          <w:szCs w:val="20"/>
          <w:bdr w:val="none" w:sz="0" w:space="0" w:color="auto"/>
        </w:rPr>
        <w:t>It is underscored that</w:t>
      </w:r>
      <w:r w:rsidR="00E64C43">
        <w:rPr>
          <w:rFonts w:ascii="Cambria" w:hAnsi="Cambria"/>
          <w:sz w:val="20"/>
          <w:szCs w:val="20"/>
          <w:bdr w:val="none" w:sz="0" w:space="0" w:color="auto"/>
        </w:rPr>
        <w:t xml:space="preserve"> this </w:t>
      </w:r>
      <w:r w:rsidRPr="00A51861">
        <w:rPr>
          <w:rFonts w:ascii="Cambria" w:hAnsi="Cambria"/>
          <w:sz w:val="20"/>
          <w:szCs w:val="20"/>
          <w:bdr w:val="none" w:sz="0" w:space="0" w:color="auto"/>
        </w:rPr>
        <w:t>analysis</w:t>
      </w:r>
      <w:r w:rsidR="00C10DE0" w:rsidRPr="00A51861">
        <w:rPr>
          <w:rFonts w:ascii="Cambria" w:hAnsi="Cambria"/>
          <w:sz w:val="20"/>
          <w:szCs w:val="20"/>
          <w:bdr w:val="none" w:sz="0" w:space="0" w:color="auto"/>
        </w:rPr>
        <w:t xml:space="preserve">, </w:t>
      </w:r>
      <w:r>
        <w:rPr>
          <w:rFonts w:ascii="Cambria" w:hAnsi="Cambria"/>
          <w:sz w:val="20"/>
          <w:szCs w:val="20"/>
          <w:bdr w:val="none" w:sz="0" w:space="0" w:color="auto"/>
        </w:rPr>
        <w:t>as it was held on the</w:t>
      </w:r>
      <w:r w:rsidR="00C10DE0" w:rsidRPr="00A51861">
        <w:rPr>
          <w:rFonts w:ascii="Cambria" w:hAnsi="Cambria"/>
          <w:sz w:val="20"/>
          <w:szCs w:val="20"/>
          <w:bdr w:val="none" w:sz="0" w:space="0" w:color="auto"/>
        </w:rPr>
        <w:t xml:space="preserve"> Almeida</w:t>
      </w:r>
      <w:r>
        <w:rPr>
          <w:rFonts w:ascii="Cambria" w:hAnsi="Cambria"/>
          <w:sz w:val="20"/>
          <w:szCs w:val="20"/>
          <w:bdr w:val="none" w:sz="0" w:space="0" w:color="auto"/>
        </w:rPr>
        <w:t xml:space="preserve"> case</w:t>
      </w:r>
      <w:r w:rsidR="00C10DE0" w:rsidRPr="00A51861">
        <w:rPr>
          <w:rFonts w:ascii="Cambria" w:hAnsi="Cambria"/>
          <w:sz w:val="20"/>
          <w:szCs w:val="20"/>
          <w:bdr w:val="none" w:sz="0" w:space="0" w:color="auto"/>
        </w:rPr>
        <w:t xml:space="preserve">, </w:t>
      </w:r>
      <w:r>
        <w:rPr>
          <w:rFonts w:ascii="Cambria" w:hAnsi="Cambria"/>
          <w:sz w:val="20"/>
          <w:szCs w:val="20"/>
          <w:bdr w:val="none" w:sz="0" w:space="0" w:color="auto"/>
        </w:rPr>
        <w:t>falls into a</w:t>
      </w:r>
      <w:r w:rsidR="00C10DE0" w:rsidRPr="00A51861">
        <w:rPr>
          <w:rFonts w:ascii="Cambria" w:hAnsi="Cambria"/>
          <w:sz w:val="20"/>
          <w:szCs w:val="20"/>
          <w:bdr w:val="none" w:sz="0" w:space="0" w:color="auto"/>
        </w:rPr>
        <w:t xml:space="preserve"> </w:t>
      </w:r>
      <w:r w:rsidR="00940530">
        <w:rPr>
          <w:rFonts w:ascii="Cambria" w:hAnsi="Cambria"/>
          <w:sz w:val="20"/>
          <w:szCs w:val="20"/>
          <w:bdr w:val="none" w:sz="0" w:space="0" w:color="auto"/>
        </w:rPr>
        <w:t>context</w:t>
      </w:r>
      <w:r w:rsidR="00E92985">
        <w:rPr>
          <w:rFonts w:ascii="Cambria" w:hAnsi="Cambria"/>
          <w:sz w:val="20"/>
          <w:szCs w:val="20"/>
          <w:bdr w:val="none" w:sz="0" w:space="0" w:color="auto"/>
        </w:rPr>
        <w:t xml:space="preserve"> of </w:t>
      </w:r>
      <w:r>
        <w:rPr>
          <w:rFonts w:ascii="Cambria" w:hAnsi="Cambria"/>
          <w:sz w:val="20"/>
          <w:szCs w:val="20"/>
          <w:bdr w:val="none" w:sz="0" w:space="0" w:color="auto"/>
        </w:rPr>
        <w:t>recognition</w:t>
      </w:r>
      <w:r w:rsidR="00C10DE0" w:rsidRPr="00A51861">
        <w:rPr>
          <w:rFonts w:ascii="Cambria" w:hAnsi="Cambria"/>
          <w:sz w:val="20"/>
          <w:szCs w:val="20"/>
          <w:bdr w:val="none" w:sz="0" w:space="0" w:color="auto"/>
        </w:rPr>
        <w:t xml:space="preserve"> </w:t>
      </w:r>
      <w:r>
        <w:rPr>
          <w:rFonts w:ascii="Cambria" w:hAnsi="Cambria"/>
          <w:sz w:val="20"/>
          <w:szCs w:val="20"/>
          <w:bdr w:val="none" w:sz="0" w:space="0" w:color="auto"/>
        </w:rPr>
        <w:t xml:space="preserve">both by </w:t>
      </w:r>
      <w:r w:rsidRPr="00A51861">
        <w:rPr>
          <w:rFonts w:ascii="Cambria" w:hAnsi="Cambria"/>
          <w:sz w:val="20"/>
          <w:szCs w:val="20"/>
          <w:bdr w:val="none" w:sz="0" w:space="0" w:color="auto"/>
        </w:rPr>
        <w:t xml:space="preserve">executive </w:t>
      </w:r>
      <w:r>
        <w:rPr>
          <w:rFonts w:ascii="Cambria" w:hAnsi="Cambria"/>
          <w:sz w:val="20"/>
          <w:szCs w:val="20"/>
          <w:bdr w:val="none" w:sz="0" w:space="0" w:color="auto"/>
        </w:rPr>
        <w:t xml:space="preserve">and </w:t>
      </w:r>
      <w:r w:rsidRPr="00A51861">
        <w:rPr>
          <w:rFonts w:ascii="Cambria" w:hAnsi="Cambria"/>
          <w:sz w:val="20"/>
          <w:szCs w:val="20"/>
          <w:bdr w:val="none" w:sz="0" w:space="0" w:color="auto"/>
        </w:rPr>
        <w:t>judicial</w:t>
      </w:r>
      <w:r w:rsidR="00C10DE0" w:rsidRPr="00A51861">
        <w:rPr>
          <w:rFonts w:ascii="Cambria" w:hAnsi="Cambria"/>
          <w:sz w:val="20"/>
          <w:szCs w:val="20"/>
          <w:bdr w:val="none" w:sz="0" w:space="0" w:color="auto"/>
        </w:rPr>
        <w:t xml:space="preserve"> </w:t>
      </w:r>
      <w:r>
        <w:rPr>
          <w:rFonts w:ascii="Cambria" w:hAnsi="Cambria"/>
          <w:sz w:val="20"/>
          <w:szCs w:val="20"/>
          <w:bdr w:val="none" w:sz="0" w:space="0" w:color="auto"/>
        </w:rPr>
        <w:t>authorities</w:t>
      </w:r>
      <w:r w:rsidRPr="00A51861">
        <w:rPr>
          <w:rFonts w:ascii="Cambria" w:hAnsi="Cambria"/>
          <w:sz w:val="20"/>
          <w:szCs w:val="20"/>
          <w:bdr w:val="none" w:sz="0" w:space="0" w:color="auto"/>
        </w:rPr>
        <w:t xml:space="preserve"> </w:t>
      </w:r>
      <w:r>
        <w:rPr>
          <w:rFonts w:ascii="Cambria" w:hAnsi="Cambria"/>
          <w:sz w:val="20"/>
          <w:szCs w:val="20"/>
          <w:bdr w:val="none" w:sz="0" w:space="0" w:color="auto"/>
        </w:rPr>
        <w:t>i</w:t>
      </w:r>
      <w:r w:rsidR="00C10DE0" w:rsidRPr="00A51861">
        <w:rPr>
          <w:rFonts w:ascii="Cambria" w:hAnsi="Cambria"/>
          <w:sz w:val="20"/>
          <w:szCs w:val="20"/>
          <w:bdr w:val="none" w:sz="0" w:space="0" w:color="auto"/>
        </w:rPr>
        <w:t>n Argentina</w:t>
      </w:r>
      <w:r w:rsidR="00E92985">
        <w:rPr>
          <w:rFonts w:ascii="Cambria" w:hAnsi="Cambria"/>
          <w:sz w:val="20"/>
          <w:szCs w:val="20"/>
          <w:bdr w:val="none" w:sz="0" w:space="0" w:color="auto"/>
        </w:rPr>
        <w:t xml:space="preserve"> of the </w:t>
      </w:r>
      <w:r w:rsidRPr="00A51861">
        <w:rPr>
          <w:rFonts w:ascii="Cambria" w:hAnsi="Cambria"/>
          <w:sz w:val="20"/>
          <w:szCs w:val="20"/>
          <w:bdr w:val="none" w:sz="0" w:space="0" w:color="auto"/>
        </w:rPr>
        <w:t>deficiency</w:t>
      </w:r>
      <w:r w:rsidR="00E92985">
        <w:rPr>
          <w:rFonts w:ascii="Cambria" w:hAnsi="Cambria"/>
          <w:sz w:val="20"/>
          <w:szCs w:val="20"/>
          <w:bdr w:val="none" w:sz="0" w:space="0" w:color="auto"/>
        </w:rPr>
        <w:t xml:space="preserve"> </w:t>
      </w:r>
      <w:r>
        <w:rPr>
          <w:rFonts w:ascii="Cambria" w:hAnsi="Cambria"/>
          <w:sz w:val="20"/>
          <w:szCs w:val="20"/>
          <w:bdr w:val="none" w:sz="0" w:space="0" w:color="auto"/>
        </w:rPr>
        <w:t>in the wording of</w:t>
      </w:r>
      <w:r w:rsidR="00E92985">
        <w:rPr>
          <w:rFonts w:ascii="Cambria" w:hAnsi="Cambria"/>
          <w:sz w:val="20"/>
          <w:szCs w:val="20"/>
          <w:bdr w:val="none" w:sz="0" w:space="0" w:color="auto"/>
        </w:rPr>
        <w:t xml:space="preserve"> </w:t>
      </w:r>
      <w:r w:rsidR="002835FC" w:rsidRPr="00A51861">
        <w:rPr>
          <w:rFonts w:ascii="Cambria" w:hAnsi="Cambria"/>
          <w:sz w:val="20"/>
          <w:szCs w:val="20"/>
          <w:bdr w:val="none" w:sz="0" w:space="0" w:color="auto"/>
        </w:rPr>
        <w:t xml:space="preserve">Law </w:t>
      </w:r>
      <w:r w:rsidR="00C10DE0" w:rsidRPr="00A51861">
        <w:rPr>
          <w:rFonts w:ascii="Cambria" w:hAnsi="Cambria"/>
          <w:sz w:val="20"/>
          <w:szCs w:val="20"/>
          <w:bdr w:val="none" w:sz="0" w:space="0" w:color="auto"/>
        </w:rPr>
        <w:t xml:space="preserve">24.043 </w:t>
      </w:r>
      <w:r w:rsidR="006E3524">
        <w:rPr>
          <w:rFonts w:ascii="Cambria" w:hAnsi="Cambria"/>
          <w:sz w:val="20"/>
          <w:szCs w:val="20"/>
          <w:bdr w:val="none" w:sz="0" w:space="0" w:color="auto"/>
        </w:rPr>
        <w:t>to properly</w:t>
      </w:r>
      <w:r w:rsidR="00C10DE0" w:rsidRPr="00A51861">
        <w:rPr>
          <w:rFonts w:ascii="Cambria" w:hAnsi="Cambria"/>
          <w:sz w:val="20"/>
          <w:szCs w:val="20"/>
          <w:bdr w:val="none" w:sz="0" w:space="0" w:color="auto"/>
        </w:rPr>
        <w:t xml:space="preserve"> </w:t>
      </w:r>
      <w:r w:rsidR="002428C9">
        <w:rPr>
          <w:rFonts w:ascii="Cambria" w:hAnsi="Cambria"/>
          <w:sz w:val="20"/>
          <w:szCs w:val="20"/>
          <w:bdr w:val="none" w:sz="0" w:space="0" w:color="auto"/>
        </w:rPr>
        <w:t>protect</w:t>
      </w:r>
      <w:r w:rsidR="00C10DE0" w:rsidRPr="00A51861">
        <w:rPr>
          <w:rFonts w:ascii="Cambria" w:hAnsi="Cambria"/>
          <w:sz w:val="20"/>
          <w:szCs w:val="20"/>
          <w:bdr w:val="none" w:sz="0" w:space="0" w:color="auto"/>
        </w:rPr>
        <w:t xml:space="preserve"> </w:t>
      </w:r>
      <w:r w:rsidR="00A65E37">
        <w:rPr>
          <w:rFonts w:ascii="Cambria" w:hAnsi="Cambria"/>
          <w:sz w:val="20"/>
          <w:szCs w:val="20"/>
          <w:bdr w:val="none" w:sz="0" w:space="0" w:color="auto"/>
        </w:rPr>
        <w:t>the right to</w:t>
      </w:r>
      <w:r w:rsidR="009A4F91">
        <w:rPr>
          <w:rFonts w:ascii="Cambria" w:hAnsi="Cambria"/>
          <w:sz w:val="20"/>
          <w:szCs w:val="20"/>
          <w:bdr w:val="none" w:sz="0" w:space="0" w:color="auto"/>
        </w:rPr>
        <w:t xml:space="preserve"> </w:t>
      </w:r>
      <w:r w:rsidR="008F7A6D">
        <w:rPr>
          <w:rFonts w:ascii="Cambria" w:hAnsi="Cambria"/>
          <w:sz w:val="20"/>
          <w:szCs w:val="20"/>
          <w:bdr w:val="none" w:sz="0" w:space="0" w:color="auto"/>
        </w:rPr>
        <w:t>compensation</w:t>
      </w:r>
      <w:r w:rsidR="00C10DE0" w:rsidRPr="00A51861">
        <w:rPr>
          <w:rFonts w:ascii="Cambria" w:hAnsi="Cambria"/>
          <w:sz w:val="20"/>
          <w:szCs w:val="20"/>
          <w:bdr w:val="none" w:sz="0" w:space="0" w:color="auto"/>
        </w:rPr>
        <w:t xml:space="preserve"> </w:t>
      </w:r>
      <w:r w:rsidR="006E3524">
        <w:rPr>
          <w:rFonts w:ascii="Cambria" w:hAnsi="Cambria"/>
          <w:sz w:val="20"/>
          <w:szCs w:val="20"/>
          <w:bdr w:val="none" w:sz="0" w:space="0" w:color="auto"/>
        </w:rPr>
        <w:t>for</w:t>
      </w:r>
      <w:r w:rsidR="00C10DE0" w:rsidRPr="00A51861">
        <w:rPr>
          <w:rFonts w:ascii="Cambria" w:hAnsi="Cambria"/>
          <w:sz w:val="20"/>
          <w:szCs w:val="20"/>
          <w:bdr w:val="none" w:sz="0" w:space="0" w:color="auto"/>
        </w:rPr>
        <w:t xml:space="preserve"> </w:t>
      </w:r>
      <w:r w:rsidR="00EC7A58">
        <w:rPr>
          <w:rFonts w:ascii="Cambria" w:hAnsi="Cambria"/>
          <w:sz w:val="20"/>
          <w:szCs w:val="20"/>
          <w:bdr w:val="none" w:sz="0" w:space="0" w:color="auto"/>
        </w:rPr>
        <w:t>persons</w:t>
      </w:r>
      <w:r w:rsidR="00C10DE0" w:rsidRPr="00A51861">
        <w:rPr>
          <w:rFonts w:ascii="Cambria" w:hAnsi="Cambria"/>
          <w:sz w:val="20"/>
          <w:szCs w:val="20"/>
          <w:bdr w:val="none" w:sz="0" w:space="0" w:color="auto"/>
        </w:rPr>
        <w:t xml:space="preserve"> </w:t>
      </w:r>
      <w:r w:rsidR="006E3524">
        <w:rPr>
          <w:rFonts w:ascii="Cambria" w:hAnsi="Cambria"/>
          <w:sz w:val="20"/>
          <w:szCs w:val="20"/>
          <w:bdr w:val="none" w:sz="0" w:space="0" w:color="auto"/>
        </w:rPr>
        <w:t>who must be treated in</w:t>
      </w:r>
      <w:r w:rsidR="00C10DE0" w:rsidRPr="00A51861">
        <w:rPr>
          <w:rFonts w:ascii="Cambria" w:hAnsi="Cambria"/>
          <w:sz w:val="20"/>
          <w:szCs w:val="20"/>
          <w:bdr w:val="none" w:sz="0" w:space="0" w:color="auto"/>
        </w:rPr>
        <w:t xml:space="preserve"> </w:t>
      </w:r>
      <w:r w:rsidR="00775F21">
        <w:rPr>
          <w:rFonts w:ascii="Cambria" w:hAnsi="Cambria"/>
          <w:sz w:val="20"/>
          <w:szCs w:val="20"/>
          <w:bdr w:val="none" w:sz="0" w:space="0" w:color="auto"/>
        </w:rPr>
        <w:t>equal</w:t>
      </w:r>
      <w:r w:rsidR="00E92985">
        <w:rPr>
          <w:rFonts w:ascii="Cambria" w:hAnsi="Cambria"/>
          <w:sz w:val="20"/>
          <w:szCs w:val="20"/>
          <w:bdr w:val="none" w:sz="0" w:space="0" w:color="auto"/>
        </w:rPr>
        <w:t xml:space="preserve"> </w:t>
      </w:r>
      <w:r w:rsidR="006E3524" w:rsidRPr="00A51861">
        <w:rPr>
          <w:rFonts w:ascii="Cambria" w:hAnsi="Cambria"/>
          <w:sz w:val="20"/>
          <w:szCs w:val="20"/>
          <w:bdr w:val="none" w:sz="0" w:space="0" w:color="auto"/>
        </w:rPr>
        <w:t>conditions</w:t>
      </w:r>
      <w:r w:rsidR="002B762A">
        <w:rPr>
          <w:rFonts w:ascii="Cambria" w:hAnsi="Cambria"/>
          <w:sz w:val="20"/>
          <w:szCs w:val="20"/>
          <w:bdr w:val="none" w:sz="0" w:space="0" w:color="auto"/>
        </w:rPr>
        <w:t xml:space="preserve"> </w:t>
      </w:r>
      <w:r w:rsidR="006E3524">
        <w:rPr>
          <w:rFonts w:ascii="Cambria" w:hAnsi="Cambria"/>
          <w:sz w:val="20"/>
          <w:szCs w:val="20"/>
          <w:bdr w:val="none" w:sz="0" w:space="0" w:color="auto"/>
        </w:rPr>
        <w:t>to those</w:t>
      </w:r>
      <w:r w:rsidR="00C10DE0" w:rsidRPr="00A51861">
        <w:rPr>
          <w:rFonts w:ascii="Cambria" w:hAnsi="Cambria"/>
          <w:sz w:val="20"/>
          <w:szCs w:val="20"/>
          <w:bdr w:val="none" w:sz="0" w:space="0" w:color="auto"/>
        </w:rPr>
        <w:t xml:space="preserve"> </w:t>
      </w:r>
      <w:r w:rsidR="00EC7A58">
        <w:rPr>
          <w:rFonts w:ascii="Cambria" w:hAnsi="Cambria"/>
          <w:sz w:val="20"/>
          <w:szCs w:val="20"/>
          <w:bdr w:val="none" w:sz="0" w:space="0" w:color="auto"/>
        </w:rPr>
        <w:t>persons</w:t>
      </w:r>
      <w:r w:rsidR="00C10DE0" w:rsidRPr="00A51861">
        <w:rPr>
          <w:rFonts w:ascii="Cambria" w:hAnsi="Cambria"/>
          <w:sz w:val="20"/>
          <w:szCs w:val="20"/>
          <w:bdr w:val="none" w:sz="0" w:space="0" w:color="auto"/>
        </w:rPr>
        <w:t xml:space="preserve"> </w:t>
      </w:r>
      <w:r w:rsidR="006E3524">
        <w:rPr>
          <w:rFonts w:ascii="Cambria" w:hAnsi="Cambria"/>
          <w:sz w:val="20"/>
          <w:szCs w:val="20"/>
          <w:bdr w:val="none" w:sz="0" w:space="0" w:color="auto"/>
        </w:rPr>
        <w:t>who clearly are found within the requirements</w:t>
      </w:r>
      <w:r w:rsidR="00E92985">
        <w:rPr>
          <w:rFonts w:ascii="Cambria" w:hAnsi="Cambria"/>
          <w:sz w:val="20"/>
          <w:szCs w:val="20"/>
          <w:bdr w:val="none" w:sz="0" w:space="0" w:color="auto"/>
        </w:rPr>
        <w:t xml:space="preserve"> of the </w:t>
      </w:r>
      <w:r w:rsidR="0029564F">
        <w:rPr>
          <w:rFonts w:ascii="Cambria" w:hAnsi="Cambria"/>
          <w:sz w:val="20"/>
          <w:szCs w:val="20"/>
          <w:bdr w:val="none" w:sz="0" w:space="0" w:color="auto"/>
        </w:rPr>
        <w:t>law</w:t>
      </w:r>
      <w:r w:rsidR="00C10DE0" w:rsidRPr="00A51861">
        <w:rPr>
          <w:rFonts w:ascii="Cambria" w:hAnsi="Cambria"/>
          <w:sz w:val="20"/>
          <w:szCs w:val="20"/>
          <w:bdr w:val="none" w:sz="0" w:space="0" w:color="auto"/>
        </w:rPr>
        <w:t>,</w:t>
      </w:r>
      <w:r w:rsidR="00E92985">
        <w:rPr>
          <w:rFonts w:ascii="Cambria" w:hAnsi="Cambria"/>
          <w:sz w:val="20"/>
          <w:szCs w:val="20"/>
          <w:bdr w:val="none" w:sz="0" w:space="0" w:color="auto"/>
        </w:rPr>
        <w:t xml:space="preserve"> and</w:t>
      </w:r>
      <w:r w:rsidR="00B773DC">
        <w:rPr>
          <w:rFonts w:ascii="Cambria" w:hAnsi="Cambria"/>
          <w:sz w:val="20"/>
          <w:szCs w:val="20"/>
          <w:bdr w:val="none" w:sz="0" w:space="0" w:color="auto"/>
        </w:rPr>
        <w:t xml:space="preserve"> </w:t>
      </w:r>
      <w:r w:rsidR="006E3524">
        <w:rPr>
          <w:rFonts w:ascii="Cambria" w:hAnsi="Cambria"/>
          <w:sz w:val="20"/>
          <w:szCs w:val="20"/>
          <w:bdr w:val="none" w:sz="0" w:space="0" w:color="auto"/>
        </w:rPr>
        <w:t>a will in</w:t>
      </w:r>
      <w:r w:rsidR="002B762A">
        <w:rPr>
          <w:rFonts w:ascii="Cambria" w:hAnsi="Cambria"/>
          <w:sz w:val="20"/>
          <w:szCs w:val="20"/>
          <w:bdr w:val="none" w:sz="0" w:space="0" w:color="auto"/>
        </w:rPr>
        <w:t xml:space="preserve"> this sense</w:t>
      </w:r>
      <w:r w:rsidR="00E92985">
        <w:rPr>
          <w:rFonts w:ascii="Cambria" w:hAnsi="Cambria"/>
          <w:sz w:val="20"/>
          <w:szCs w:val="20"/>
          <w:bdr w:val="none" w:sz="0" w:space="0" w:color="auto"/>
        </w:rPr>
        <w:t xml:space="preserve"> of </w:t>
      </w:r>
      <w:r w:rsidR="00061033">
        <w:rPr>
          <w:rFonts w:ascii="Cambria" w:hAnsi="Cambria"/>
          <w:sz w:val="20"/>
          <w:szCs w:val="20"/>
          <w:bdr w:val="none" w:sz="0" w:space="0" w:color="auto"/>
        </w:rPr>
        <w:t xml:space="preserve">ensure </w:t>
      </w:r>
      <w:r w:rsidR="00C10DE0" w:rsidRPr="00A51861">
        <w:rPr>
          <w:rFonts w:ascii="Cambria" w:hAnsi="Cambria"/>
          <w:sz w:val="20"/>
          <w:szCs w:val="20"/>
          <w:bdr w:val="none" w:sz="0" w:space="0" w:color="auto"/>
        </w:rPr>
        <w:t>“</w:t>
      </w:r>
      <w:r w:rsidR="006E3524">
        <w:rPr>
          <w:rFonts w:ascii="Cambria" w:hAnsi="Cambria"/>
          <w:sz w:val="20"/>
          <w:szCs w:val="20"/>
          <w:bdr w:val="none" w:sz="0" w:space="0" w:color="auto"/>
        </w:rPr>
        <w:t>the</w:t>
      </w:r>
      <w:r w:rsidR="00C10DE0" w:rsidRPr="00A51861">
        <w:rPr>
          <w:rFonts w:ascii="Cambria" w:hAnsi="Cambria"/>
          <w:sz w:val="20"/>
          <w:szCs w:val="20"/>
          <w:bdr w:val="none" w:sz="0" w:space="0" w:color="auto"/>
        </w:rPr>
        <w:t xml:space="preserve"> </w:t>
      </w:r>
      <w:r w:rsidR="00775F21">
        <w:rPr>
          <w:rFonts w:ascii="Cambria" w:hAnsi="Cambria"/>
          <w:sz w:val="20"/>
          <w:szCs w:val="20"/>
          <w:bdr w:val="none" w:sz="0" w:space="0" w:color="auto"/>
        </w:rPr>
        <w:t>equality of treatment</w:t>
      </w:r>
      <w:r w:rsidR="00C10DE0" w:rsidRPr="00A51861">
        <w:rPr>
          <w:rFonts w:ascii="Cambria" w:hAnsi="Cambria"/>
          <w:sz w:val="20"/>
          <w:szCs w:val="20"/>
          <w:bdr w:val="none" w:sz="0" w:space="0" w:color="auto"/>
        </w:rPr>
        <w:t xml:space="preserve"> </w:t>
      </w:r>
      <w:r w:rsidR="006E3524">
        <w:rPr>
          <w:rFonts w:ascii="Cambria" w:hAnsi="Cambria"/>
          <w:sz w:val="20"/>
          <w:szCs w:val="20"/>
          <w:bdr w:val="none" w:sz="0" w:space="0" w:color="auto"/>
        </w:rPr>
        <w:t>that the</w:t>
      </w:r>
      <w:r w:rsidR="00C10DE0" w:rsidRPr="00A51861">
        <w:rPr>
          <w:rFonts w:ascii="Cambria" w:hAnsi="Cambria"/>
          <w:sz w:val="20"/>
          <w:szCs w:val="20"/>
          <w:bdr w:val="none" w:sz="0" w:space="0" w:color="auto"/>
        </w:rPr>
        <w:t xml:space="preserve"> </w:t>
      </w:r>
      <w:r w:rsidR="00B4073F">
        <w:rPr>
          <w:rFonts w:ascii="Cambria" w:hAnsi="Cambria"/>
          <w:sz w:val="20"/>
          <w:szCs w:val="20"/>
          <w:bdr w:val="none" w:sz="0" w:space="0" w:color="auto"/>
        </w:rPr>
        <w:t>victim</w:t>
      </w:r>
      <w:r w:rsidR="00C10DE0" w:rsidRPr="00A51861">
        <w:rPr>
          <w:rFonts w:ascii="Cambria" w:hAnsi="Cambria"/>
          <w:sz w:val="20"/>
          <w:szCs w:val="20"/>
          <w:bdr w:val="none" w:sz="0" w:space="0" w:color="auto"/>
        </w:rPr>
        <w:t>s</w:t>
      </w:r>
      <w:r w:rsidR="00E92985">
        <w:rPr>
          <w:rFonts w:ascii="Cambria" w:hAnsi="Cambria"/>
          <w:sz w:val="20"/>
          <w:szCs w:val="20"/>
          <w:bdr w:val="none" w:sz="0" w:space="0" w:color="auto"/>
        </w:rPr>
        <w:t xml:space="preserve"> or </w:t>
      </w:r>
      <w:r w:rsidR="006E3524">
        <w:rPr>
          <w:rFonts w:ascii="Cambria" w:hAnsi="Cambria"/>
          <w:sz w:val="20"/>
          <w:szCs w:val="20"/>
          <w:bdr w:val="none" w:sz="0" w:space="0" w:color="auto"/>
        </w:rPr>
        <w:t>their</w:t>
      </w:r>
      <w:r w:rsidR="00C10DE0" w:rsidRPr="00A51861">
        <w:rPr>
          <w:rFonts w:ascii="Cambria" w:hAnsi="Cambria"/>
          <w:sz w:val="20"/>
          <w:szCs w:val="20"/>
          <w:bdr w:val="none" w:sz="0" w:space="0" w:color="auto"/>
        </w:rPr>
        <w:t xml:space="preserve"> </w:t>
      </w:r>
      <w:r w:rsidR="006E3524">
        <w:rPr>
          <w:rFonts w:ascii="Cambria" w:hAnsi="Cambria"/>
          <w:sz w:val="20"/>
          <w:szCs w:val="20"/>
          <w:bdr w:val="none" w:sz="0" w:space="0" w:color="auto"/>
        </w:rPr>
        <w:t>successors</w:t>
      </w:r>
      <w:r w:rsidR="00C10DE0" w:rsidRPr="00A51861">
        <w:rPr>
          <w:rFonts w:ascii="Cambria" w:hAnsi="Cambria"/>
          <w:sz w:val="20"/>
          <w:szCs w:val="20"/>
          <w:bdr w:val="none" w:sz="0" w:space="0" w:color="auto"/>
        </w:rPr>
        <w:t xml:space="preserve"> </w:t>
      </w:r>
      <w:r w:rsidR="006E3524">
        <w:rPr>
          <w:rFonts w:ascii="Cambria" w:hAnsi="Cambria"/>
          <w:sz w:val="20"/>
          <w:szCs w:val="20"/>
          <w:bdr w:val="none" w:sz="0" w:space="0" w:color="auto"/>
        </w:rPr>
        <w:t>deserve</w:t>
      </w:r>
      <w:r w:rsidR="00C10DE0" w:rsidRPr="00A51861">
        <w:rPr>
          <w:rFonts w:ascii="Cambria" w:hAnsi="Cambria"/>
          <w:sz w:val="20"/>
          <w:szCs w:val="20"/>
          <w:bdr w:val="none" w:sz="0" w:space="0" w:color="auto"/>
        </w:rPr>
        <w:t xml:space="preserve"> </w:t>
      </w:r>
      <w:r w:rsidR="006E3524">
        <w:rPr>
          <w:rFonts w:ascii="Cambria" w:hAnsi="Cambria"/>
          <w:sz w:val="20"/>
          <w:szCs w:val="20"/>
          <w:bdr w:val="none" w:sz="0" w:space="0" w:color="auto"/>
        </w:rPr>
        <w:t>upon</w:t>
      </w:r>
      <w:r w:rsidR="00C10DE0" w:rsidRPr="00A51861">
        <w:rPr>
          <w:rFonts w:ascii="Cambria" w:hAnsi="Cambria"/>
          <w:sz w:val="20"/>
          <w:szCs w:val="20"/>
          <w:bdr w:val="none" w:sz="0" w:space="0" w:color="auto"/>
        </w:rPr>
        <w:t xml:space="preserve"> </w:t>
      </w:r>
      <w:r w:rsidR="006E3524">
        <w:rPr>
          <w:rFonts w:ascii="Cambria" w:hAnsi="Cambria"/>
          <w:sz w:val="20"/>
          <w:szCs w:val="20"/>
          <w:bdr w:val="none" w:sz="0" w:space="0" w:color="auto"/>
        </w:rPr>
        <w:t xml:space="preserve">similar </w:t>
      </w:r>
      <w:r w:rsidR="006E3524" w:rsidRPr="00A51861">
        <w:rPr>
          <w:rFonts w:ascii="Cambria" w:hAnsi="Cambria"/>
          <w:sz w:val="20"/>
          <w:szCs w:val="20"/>
          <w:bdr w:val="none" w:sz="0" w:space="0" w:color="auto"/>
        </w:rPr>
        <w:t>circumstances</w:t>
      </w:r>
      <w:r w:rsidR="00C10DE0" w:rsidRPr="00A51861">
        <w:rPr>
          <w:rFonts w:ascii="Cambria" w:hAnsi="Cambria"/>
          <w:sz w:val="20"/>
          <w:szCs w:val="20"/>
          <w:bdr w:val="none" w:sz="0" w:space="0" w:color="auto"/>
        </w:rPr>
        <w:t>”</w:t>
      </w:r>
      <w:r w:rsidR="00C10DE0" w:rsidRPr="00A51861">
        <w:rPr>
          <w:rStyle w:val="FootnoteReference"/>
          <w:rFonts w:ascii="Cambria" w:hAnsi="Cambria"/>
          <w:sz w:val="20"/>
          <w:szCs w:val="20"/>
          <w:bdr w:val="none" w:sz="0" w:space="0" w:color="auto"/>
        </w:rPr>
        <w:footnoteReference w:id="246"/>
      </w:r>
      <w:r w:rsidR="00C10DE0" w:rsidRPr="00A51861">
        <w:rPr>
          <w:rFonts w:ascii="Cambria" w:hAnsi="Cambria"/>
          <w:sz w:val="20"/>
          <w:szCs w:val="20"/>
          <w:bdr w:val="none" w:sz="0" w:space="0" w:color="auto"/>
        </w:rPr>
        <w:t>.</w:t>
      </w:r>
    </w:p>
    <w:p w14:paraId="6BC4B6AE" w14:textId="77777777" w:rsidR="000407DD" w:rsidRPr="00A51861" w:rsidRDefault="000407DD" w:rsidP="008E4D36">
      <w:pPr>
        <w:pStyle w:val="ListParagraph"/>
        <w:rPr>
          <w:sz w:val="20"/>
          <w:szCs w:val="20"/>
          <w:bdr w:val="none" w:sz="0" w:space="0" w:color="auto"/>
        </w:rPr>
      </w:pPr>
    </w:p>
    <w:p w14:paraId="74A12E30" w14:textId="748BFC6E" w:rsidR="000407DD" w:rsidRPr="00A51861" w:rsidRDefault="00E92985"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bdr w:val="none" w:sz="0" w:space="0" w:color="auto"/>
        </w:rPr>
      </w:pPr>
      <w:r>
        <w:rPr>
          <w:rFonts w:asciiTheme="majorHAnsi" w:hAnsiTheme="majorHAnsi"/>
          <w:sz w:val="20"/>
          <w:szCs w:val="20"/>
          <w:bdr w:val="none" w:sz="0" w:space="0" w:color="auto"/>
        </w:rPr>
        <w:t>The Commission</w:t>
      </w:r>
      <w:r w:rsidR="000407DD" w:rsidRPr="00A51861">
        <w:rPr>
          <w:rFonts w:asciiTheme="majorHAnsi" w:hAnsiTheme="majorHAnsi"/>
          <w:sz w:val="20"/>
          <w:szCs w:val="20"/>
          <w:bdr w:val="none" w:sz="0" w:space="0" w:color="auto"/>
        </w:rPr>
        <w:t xml:space="preserve"> </w:t>
      </w:r>
      <w:r w:rsidR="00A51861" w:rsidRPr="00A51861">
        <w:rPr>
          <w:rFonts w:asciiTheme="majorHAnsi" w:hAnsiTheme="majorHAnsi"/>
          <w:sz w:val="20"/>
          <w:szCs w:val="20"/>
          <w:bdr w:val="none" w:sz="0" w:space="0" w:color="auto"/>
        </w:rPr>
        <w:t>observes that</w:t>
      </w:r>
      <w:r w:rsidR="000407DD" w:rsidRPr="00A51861">
        <w:rPr>
          <w:rFonts w:asciiTheme="majorHAnsi" w:hAnsiTheme="majorHAnsi"/>
          <w:sz w:val="20"/>
          <w:szCs w:val="20"/>
          <w:bdr w:val="none" w:sz="0" w:space="0" w:color="auto"/>
        </w:rPr>
        <w:t xml:space="preserve"> </w:t>
      </w:r>
      <w:r w:rsidR="006E3524">
        <w:rPr>
          <w:rFonts w:asciiTheme="majorHAnsi" w:hAnsiTheme="majorHAnsi"/>
          <w:sz w:val="20"/>
          <w:szCs w:val="20"/>
          <w:bdr w:val="none" w:sz="0" w:space="0" w:color="auto"/>
        </w:rPr>
        <w:t>when dealing with the</w:t>
      </w:r>
      <w:r w:rsidR="009A4F91">
        <w:rPr>
          <w:rFonts w:asciiTheme="majorHAnsi" w:hAnsiTheme="majorHAnsi"/>
          <w:sz w:val="20"/>
          <w:szCs w:val="20"/>
          <w:bdr w:val="none" w:sz="0" w:space="0" w:color="auto"/>
        </w:rPr>
        <w:t xml:space="preserve"> right to </w:t>
      </w:r>
      <w:r w:rsidR="001A0B84">
        <w:rPr>
          <w:rFonts w:asciiTheme="majorHAnsi" w:hAnsiTheme="majorHAnsi"/>
          <w:sz w:val="20"/>
          <w:szCs w:val="20"/>
          <w:bdr w:val="none" w:sz="0" w:space="0" w:color="auto"/>
        </w:rPr>
        <w:t>reparation</w:t>
      </w:r>
      <w:r w:rsidR="000407DD" w:rsidRPr="00A51861">
        <w:rPr>
          <w:rFonts w:asciiTheme="majorHAnsi" w:hAnsiTheme="majorHAnsi"/>
          <w:sz w:val="20"/>
          <w:szCs w:val="20"/>
          <w:bdr w:val="none" w:sz="0" w:space="0" w:color="auto"/>
        </w:rPr>
        <w:t>,</w:t>
      </w:r>
      <w:r>
        <w:rPr>
          <w:rFonts w:asciiTheme="majorHAnsi" w:hAnsiTheme="majorHAnsi"/>
          <w:sz w:val="20"/>
          <w:szCs w:val="20"/>
          <w:bdr w:val="none" w:sz="0" w:space="0" w:color="auto"/>
        </w:rPr>
        <w:t xml:space="preserve"> </w:t>
      </w:r>
      <w:r w:rsidR="007F00A3">
        <w:rPr>
          <w:rFonts w:asciiTheme="majorHAnsi" w:hAnsiTheme="majorHAnsi"/>
          <w:sz w:val="20"/>
          <w:szCs w:val="20"/>
          <w:bdr w:val="none" w:sz="0" w:space="0" w:color="auto"/>
        </w:rPr>
        <w:t>due to</w:t>
      </w:r>
      <w:r w:rsidR="009A4F91">
        <w:rPr>
          <w:rFonts w:asciiTheme="majorHAnsi" w:hAnsiTheme="majorHAnsi"/>
          <w:sz w:val="20"/>
          <w:szCs w:val="20"/>
          <w:bdr w:val="none" w:sz="0" w:space="0" w:color="auto"/>
        </w:rPr>
        <w:t xml:space="preserve"> the </w:t>
      </w:r>
      <w:r w:rsidR="006E3524" w:rsidRPr="00A51861">
        <w:rPr>
          <w:rFonts w:asciiTheme="majorHAnsi" w:hAnsiTheme="majorHAnsi"/>
          <w:sz w:val="20"/>
          <w:szCs w:val="20"/>
          <w:bdr w:val="none" w:sz="0" w:space="0" w:color="auto"/>
        </w:rPr>
        <w:t>importance</w:t>
      </w:r>
      <w:r w:rsidR="000407DD" w:rsidRPr="00A51861">
        <w:rPr>
          <w:rFonts w:asciiTheme="majorHAnsi" w:hAnsiTheme="majorHAnsi"/>
          <w:sz w:val="20"/>
          <w:szCs w:val="20"/>
          <w:bdr w:val="none" w:sz="0" w:space="0" w:color="auto"/>
        </w:rPr>
        <w:t xml:space="preserve"> </w:t>
      </w:r>
      <w:r w:rsidR="007F00A3">
        <w:rPr>
          <w:rFonts w:asciiTheme="majorHAnsi" w:hAnsiTheme="majorHAnsi"/>
          <w:sz w:val="20"/>
          <w:szCs w:val="20"/>
          <w:bdr w:val="none" w:sz="0" w:space="0" w:color="auto"/>
        </w:rPr>
        <w:t>it</w:t>
      </w:r>
      <w:r w:rsidR="00775F21">
        <w:rPr>
          <w:rFonts w:asciiTheme="majorHAnsi" w:hAnsiTheme="majorHAnsi"/>
          <w:sz w:val="20"/>
          <w:szCs w:val="20"/>
          <w:bdr w:val="none" w:sz="0" w:space="0" w:color="auto"/>
        </w:rPr>
        <w:t xml:space="preserve"> has </w:t>
      </w:r>
      <w:r w:rsidR="007F00A3">
        <w:rPr>
          <w:rFonts w:asciiTheme="majorHAnsi" w:hAnsiTheme="majorHAnsi"/>
          <w:sz w:val="20"/>
          <w:szCs w:val="20"/>
          <w:bdr w:val="none" w:sz="0" w:space="0" w:color="auto"/>
        </w:rPr>
        <w:t>in serious cases of</w:t>
      </w:r>
      <w:r>
        <w:rPr>
          <w:rFonts w:asciiTheme="majorHAnsi" w:hAnsiTheme="majorHAnsi"/>
          <w:sz w:val="20"/>
          <w:szCs w:val="20"/>
          <w:bdr w:val="none" w:sz="0" w:space="0" w:color="auto"/>
        </w:rPr>
        <w:t xml:space="preserve"> </w:t>
      </w:r>
      <w:r w:rsidR="00664D70">
        <w:rPr>
          <w:rFonts w:asciiTheme="majorHAnsi" w:hAnsiTheme="majorHAnsi"/>
          <w:sz w:val="20"/>
          <w:szCs w:val="20"/>
          <w:bdr w:val="none" w:sz="0" w:space="0" w:color="auto"/>
        </w:rPr>
        <w:t>Human rights</w:t>
      </w:r>
      <w:r w:rsidR="007F00A3" w:rsidRPr="007F00A3">
        <w:rPr>
          <w:rFonts w:asciiTheme="majorHAnsi" w:hAnsiTheme="majorHAnsi"/>
          <w:sz w:val="20"/>
          <w:szCs w:val="20"/>
          <w:bdr w:val="none" w:sz="0" w:space="0" w:color="auto"/>
        </w:rPr>
        <w:t xml:space="preserve"> </w:t>
      </w:r>
      <w:r w:rsidR="007F00A3">
        <w:rPr>
          <w:rFonts w:asciiTheme="majorHAnsi" w:hAnsiTheme="majorHAnsi"/>
          <w:sz w:val="20"/>
          <w:szCs w:val="20"/>
          <w:bdr w:val="none" w:sz="0" w:space="0" w:color="auto"/>
        </w:rPr>
        <w:t>violations</w:t>
      </w:r>
      <w:r w:rsidR="000407DD" w:rsidRPr="00A51861">
        <w:rPr>
          <w:rFonts w:asciiTheme="majorHAnsi" w:hAnsiTheme="majorHAnsi"/>
          <w:sz w:val="20"/>
          <w:szCs w:val="20"/>
          <w:bdr w:val="none" w:sz="0" w:space="0" w:color="auto"/>
        </w:rPr>
        <w:t xml:space="preserve">, </w:t>
      </w:r>
      <w:r w:rsidR="007F00A3">
        <w:rPr>
          <w:rFonts w:asciiTheme="majorHAnsi" w:hAnsiTheme="majorHAnsi"/>
          <w:sz w:val="20"/>
          <w:szCs w:val="20"/>
          <w:bdr w:val="none" w:sz="0" w:space="0" w:color="auto"/>
        </w:rPr>
        <w:t>as those occurred during the</w:t>
      </w:r>
      <w:r>
        <w:rPr>
          <w:rFonts w:asciiTheme="majorHAnsi" w:hAnsiTheme="majorHAnsi"/>
          <w:sz w:val="20"/>
          <w:szCs w:val="20"/>
          <w:bdr w:val="none" w:sz="0" w:space="0" w:color="auto"/>
        </w:rPr>
        <w:t xml:space="preserve"> </w:t>
      </w:r>
      <w:r w:rsidR="007F00A3" w:rsidRPr="00A51861">
        <w:rPr>
          <w:rFonts w:asciiTheme="majorHAnsi" w:hAnsiTheme="majorHAnsi"/>
          <w:sz w:val="20"/>
          <w:szCs w:val="20"/>
          <w:bdr w:val="none" w:sz="0" w:space="0" w:color="auto"/>
        </w:rPr>
        <w:t>Argentin</w:t>
      </w:r>
      <w:r w:rsidR="007F00A3">
        <w:rPr>
          <w:rFonts w:asciiTheme="majorHAnsi" w:hAnsiTheme="majorHAnsi"/>
          <w:sz w:val="20"/>
          <w:szCs w:val="20"/>
          <w:bdr w:val="none" w:sz="0" w:space="0" w:color="auto"/>
        </w:rPr>
        <w:t>e</w:t>
      </w:r>
      <w:r w:rsidR="007F00A3">
        <w:rPr>
          <w:rFonts w:ascii="Cambria" w:hAnsi="Cambria"/>
          <w:color w:val="000000" w:themeColor="text1"/>
          <w:sz w:val="20"/>
          <w:szCs w:val="20"/>
        </w:rPr>
        <w:t xml:space="preserve"> </w:t>
      </w:r>
      <w:r w:rsidR="001A0B84">
        <w:rPr>
          <w:rFonts w:ascii="Cambria" w:hAnsi="Cambria"/>
          <w:color w:val="000000" w:themeColor="text1"/>
          <w:sz w:val="20"/>
          <w:szCs w:val="20"/>
        </w:rPr>
        <w:t>dictatorship</w:t>
      </w:r>
      <w:r w:rsidR="000407DD" w:rsidRPr="00A51861">
        <w:rPr>
          <w:rFonts w:asciiTheme="majorHAnsi" w:hAnsiTheme="majorHAnsi"/>
          <w:sz w:val="20"/>
          <w:szCs w:val="20"/>
          <w:bdr w:val="none" w:sz="0" w:space="0" w:color="auto"/>
        </w:rPr>
        <w:t>,</w:t>
      </w:r>
      <w:r w:rsidR="009A4F91">
        <w:rPr>
          <w:rFonts w:asciiTheme="majorHAnsi" w:hAnsiTheme="majorHAnsi"/>
          <w:sz w:val="20"/>
          <w:szCs w:val="20"/>
          <w:bdr w:val="none" w:sz="0" w:space="0" w:color="auto"/>
        </w:rPr>
        <w:t xml:space="preserve"> the guarantee</w:t>
      </w:r>
      <w:r w:rsidR="004969F4">
        <w:rPr>
          <w:rFonts w:asciiTheme="majorHAnsi" w:hAnsiTheme="majorHAnsi"/>
          <w:sz w:val="20"/>
          <w:szCs w:val="20"/>
          <w:bdr w:val="none" w:sz="0" w:space="0" w:color="auto"/>
        </w:rPr>
        <w:t xml:space="preserve"> of </w:t>
      </w:r>
      <w:r w:rsidR="007F00A3" w:rsidRPr="00A51861">
        <w:rPr>
          <w:rFonts w:asciiTheme="majorHAnsi" w:hAnsiTheme="majorHAnsi"/>
          <w:sz w:val="20"/>
          <w:szCs w:val="20"/>
          <w:bdr w:val="none" w:sz="0" w:space="0" w:color="auto"/>
        </w:rPr>
        <w:t>access</w:t>
      </w:r>
      <w:r w:rsidR="000407DD" w:rsidRPr="00A51861">
        <w:rPr>
          <w:rFonts w:asciiTheme="majorHAnsi" w:hAnsiTheme="majorHAnsi"/>
          <w:sz w:val="20"/>
          <w:szCs w:val="20"/>
          <w:bdr w:val="none" w:sz="0" w:space="0" w:color="auto"/>
        </w:rPr>
        <w:t xml:space="preserve"> </w:t>
      </w:r>
      <w:r w:rsidR="007F00A3">
        <w:rPr>
          <w:rFonts w:asciiTheme="majorHAnsi" w:hAnsiTheme="majorHAnsi"/>
          <w:sz w:val="20"/>
          <w:szCs w:val="20"/>
          <w:bdr w:val="none" w:sz="0" w:space="0" w:color="auto"/>
        </w:rPr>
        <w:t xml:space="preserve">to </w:t>
      </w:r>
      <w:r w:rsidR="001A0B84">
        <w:rPr>
          <w:rFonts w:asciiTheme="majorHAnsi" w:hAnsiTheme="majorHAnsi"/>
          <w:sz w:val="20"/>
          <w:szCs w:val="20"/>
          <w:bdr w:val="none" w:sz="0" w:space="0" w:color="auto"/>
        </w:rPr>
        <w:t>reparation</w:t>
      </w:r>
      <w:r w:rsidR="00775F21">
        <w:rPr>
          <w:rFonts w:asciiTheme="majorHAnsi" w:hAnsiTheme="majorHAnsi"/>
          <w:sz w:val="20"/>
          <w:szCs w:val="20"/>
          <w:bdr w:val="none" w:sz="0" w:space="0" w:color="auto"/>
        </w:rPr>
        <w:t xml:space="preserve"> has </w:t>
      </w:r>
      <w:r w:rsidR="007F00A3">
        <w:rPr>
          <w:rFonts w:asciiTheme="majorHAnsi" w:hAnsiTheme="majorHAnsi"/>
          <w:sz w:val="20"/>
          <w:szCs w:val="20"/>
          <w:bdr w:val="none" w:sz="0" w:space="0" w:color="auto"/>
        </w:rPr>
        <w:t>a</w:t>
      </w:r>
      <w:r w:rsidR="000407DD" w:rsidRPr="00A51861">
        <w:rPr>
          <w:rFonts w:asciiTheme="majorHAnsi" w:hAnsiTheme="majorHAnsi"/>
          <w:sz w:val="20"/>
          <w:szCs w:val="20"/>
          <w:bdr w:val="none" w:sz="0" w:space="0" w:color="auto"/>
        </w:rPr>
        <w:t xml:space="preserve"> special </w:t>
      </w:r>
      <w:r w:rsidR="007F00A3">
        <w:rPr>
          <w:rFonts w:asciiTheme="majorHAnsi" w:hAnsiTheme="majorHAnsi"/>
          <w:sz w:val="20"/>
          <w:szCs w:val="20"/>
          <w:bdr w:val="none" w:sz="0" w:space="0" w:color="auto"/>
        </w:rPr>
        <w:t>value</w:t>
      </w:r>
      <w:r>
        <w:rPr>
          <w:rFonts w:asciiTheme="majorHAnsi" w:hAnsiTheme="majorHAnsi"/>
          <w:sz w:val="20"/>
          <w:szCs w:val="20"/>
          <w:bdr w:val="none" w:sz="0" w:space="0" w:color="auto"/>
        </w:rPr>
        <w:t xml:space="preserve"> and</w:t>
      </w:r>
      <w:r w:rsidR="00D70A85">
        <w:rPr>
          <w:rFonts w:asciiTheme="majorHAnsi" w:hAnsiTheme="majorHAnsi"/>
          <w:sz w:val="20"/>
          <w:szCs w:val="20"/>
          <w:bdr w:val="none" w:sz="0" w:space="0" w:color="auto"/>
        </w:rPr>
        <w:t xml:space="preserve"> i</w:t>
      </w:r>
      <w:r w:rsidR="007F00A3">
        <w:rPr>
          <w:rFonts w:asciiTheme="majorHAnsi" w:hAnsiTheme="majorHAnsi"/>
          <w:sz w:val="20"/>
          <w:szCs w:val="20"/>
          <w:bdr w:val="none" w:sz="0" w:space="0" w:color="auto"/>
        </w:rPr>
        <w:t>t i</w:t>
      </w:r>
      <w:r w:rsidR="00D70A85">
        <w:rPr>
          <w:rFonts w:asciiTheme="majorHAnsi" w:hAnsiTheme="majorHAnsi"/>
          <w:sz w:val="20"/>
          <w:szCs w:val="20"/>
          <w:bdr w:val="none" w:sz="0" w:space="0" w:color="auto"/>
        </w:rPr>
        <w:t>s</w:t>
      </w:r>
      <w:r w:rsidR="00B773DC">
        <w:rPr>
          <w:rFonts w:asciiTheme="majorHAnsi" w:hAnsiTheme="majorHAnsi"/>
          <w:sz w:val="20"/>
          <w:szCs w:val="20"/>
          <w:bdr w:val="none" w:sz="0" w:space="0" w:color="auto"/>
        </w:rPr>
        <w:t xml:space="preserve"> a</w:t>
      </w:r>
      <w:r w:rsidR="007F00A3">
        <w:rPr>
          <w:rFonts w:asciiTheme="majorHAnsi" w:hAnsiTheme="majorHAnsi"/>
          <w:sz w:val="20"/>
          <w:szCs w:val="20"/>
          <w:bdr w:val="none" w:sz="0" w:space="0" w:color="auto"/>
        </w:rPr>
        <w:t>n</w:t>
      </w:r>
      <w:r w:rsidR="00B773DC">
        <w:rPr>
          <w:rFonts w:asciiTheme="majorHAnsi" w:hAnsiTheme="majorHAnsi"/>
          <w:sz w:val="20"/>
          <w:szCs w:val="20"/>
          <w:bdr w:val="none" w:sz="0" w:space="0" w:color="auto"/>
        </w:rPr>
        <w:t xml:space="preserve"> </w:t>
      </w:r>
      <w:r w:rsidR="00516FEE">
        <w:rPr>
          <w:rFonts w:asciiTheme="majorHAnsi" w:hAnsiTheme="majorHAnsi"/>
          <w:sz w:val="20"/>
          <w:szCs w:val="20"/>
          <w:bdr w:val="none" w:sz="0" w:space="0" w:color="auto"/>
        </w:rPr>
        <w:t>obligation</w:t>
      </w:r>
      <w:r w:rsidR="000407DD" w:rsidRPr="00A51861">
        <w:rPr>
          <w:rFonts w:asciiTheme="majorHAnsi" w:hAnsiTheme="majorHAnsi"/>
          <w:sz w:val="20"/>
          <w:szCs w:val="20"/>
          <w:bdr w:val="none" w:sz="0" w:space="0" w:color="auto"/>
        </w:rPr>
        <w:t xml:space="preserve"> </w:t>
      </w:r>
      <w:r w:rsidR="00F92BA8">
        <w:rPr>
          <w:rFonts w:asciiTheme="majorHAnsi" w:hAnsiTheme="majorHAnsi"/>
          <w:sz w:val="20"/>
          <w:szCs w:val="20"/>
          <w:bdr w:val="none" w:sz="0" w:space="0" w:color="auto"/>
        </w:rPr>
        <w:t>of the State</w:t>
      </w:r>
      <w:r w:rsidR="000407DD" w:rsidRPr="00A51861">
        <w:rPr>
          <w:rFonts w:asciiTheme="majorHAnsi" w:hAnsiTheme="majorHAnsi"/>
          <w:sz w:val="20"/>
          <w:szCs w:val="20"/>
          <w:bdr w:val="none" w:sz="0" w:space="0" w:color="auto"/>
        </w:rPr>
        <w:t xml:space="preserve"> </w:t>
      </w:r>
      <w:r w:rsidR="007F00A3">
        <w:rPr>
          <w:rFonts w:asciiTheme="majorHAnsi" w:hAnsiTheme="majorHAnsi"/>
          <w:sz w:val="20"/>
          <w:szCs w:val="20"/>
          <w:bdr w:val="none" w:sz="0" w:space="0" w:color="auto"/>
        </w:rPr>
        <w:t xml:space="preserve">to </w:t>
      </w:r>
      <w:r w:rsidR="000407DD" w:rsidRPr="00A51861">
        <w:rPr>
          <w:rFonts w:asciiTheme="majorHAnsi" w:hAnsiTheme="majorHAnsi"/>
          <w:sz w:val="20"/>
          <w:szCs w:val="20"/>
          <w:bdr w:val="none" w:sz="0" w:space="0" w:color="auto"/>
        </w:rPr>
        <w:t>observ</w:t>
      </w:r>
      <w:r w:rsidR="007F00A3">
        <w:rPr>
          <w:rFonts w:asciiTheme="majorHAnsi" w:hAnsiTheme="majorHAnsi"/>
          <w:sz w:val="20"/>
          <w:szCs w:val="20"/>
          <w:bdr w:val="none" w:sz="0" w:space="0" w:color="auto"/>
        </w:rPr>
        <w:t>e it</w:t>
      </w:r>
      <w:r w:rsidR="000407DD" w:rsidRPr="00A51861">
        <w:rPr>
          <w:rFonts w:asciiTheme="majorHAnsi" w:hAnsiTheme="majorHAnsi"/>
          <w:sz w:val="20"/>
          <w:szCs w:val="20"/>
          <w:bdr w:val="none" w:sz="0" w:space="0" w:color="auto"/>
        </w:rPr>
        <w:t xml:space="preserve">.  </w:t>
      </w:r>
    </w:p>
    <w:p w14:paraId="6675E6BD" w14:textId="77777777" w:rsidR="00943174" w:rsidRPr="00A51861" w:rsidRDefault="00943174" w:rsidP="008E4D36">
      <w:pPr>
        <w:rPr>
          <w:rFonts w:eastAsia="Calibri"/>
          <w:color w:val="FF0000"/>
          <w:sz w:val="20"/>
          <w:szCs w:val="20"/>
          <w:highlight w:val="yellow"/>
          <w:bdr w:val="none" w:sz="0" w:space="0" w:color="auto"/>
        </w:rPr>
      </w:pPr>
    </w:p>
    <w:p w14:paraId="5421D1E0" w14:textId="391E3366" w:rsidR="00773B3C" w:rsidRPr="00A51861" w:rsidRDefault="007F00A3"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bdr w:val="none" w:sz="0" w:space="0" w:color="auto"/>
        </w:rPr>
      </w:pPr>
      <w:r>
        <w:rPr>
          <w:rFonts w:ascii="Cambria" w:hAnsi="Cambria"/>
          <w:sz w:val="20"/>
          <w:szCs w:val="20"/>
          <w:bdr w:val="none" w:sz="0" w:space="0" w:color="auto"/>
        </w:rPr>
        <w:t>On its part</w:t>
      </w:r>
      <w:r w:rsidR="00943174" w:rsidRPr="00A51861">
        <w:rPr>
          <w:rFonts w:ascii="Cambria" w:hAnsi="Cambria"/>
          <w:sz w:val="20"/>
          <w:szCs w:val="20"/>
          <w:bdr w:val="none" w:sz="0" w:space="0" w:color="auto"/>
        </w:rPr>
        <w:t xml:space="preserve">, </w:t>
      </w:r>
      <w:r>
        <w:rPr>
          <w:rFonts w:ascii="Cambria" w:hAnsi="Cambria"/>
          <w:sz w:val="20"/>
          <w:szCs w:val="20"/>
          <w:bdr w:val="none" w:sz="0" w:space="0" w:color="auto"/>
        </w:rPr>
        <w:t>in regard to</w:t>
      </w:r>
      <w:r w:rsidR="002D7CF5">
        <w:rPr>
          <w:rFonts w:ascii="Cambria" w:hAnsi="Cambria"/>
          <w:sz w:val="20"/>
          <w:szCs w:val="20"/>
          <w:bdr w:val="none" w:sz="0" w:space="0" w:color="auto"/>
        </w:rPr>
        <w:t xml:space="preserve"> Mr. </w:t>
      </w:r>
      <w:r w:rsidR="00943174" w:rsidRPr="00A51861">
        <w:rPr>
          <w:rFonts w:ascii="Cambria" w:hAnsi="Cambria"/>
          <w:sz w:val="20"/>
          <w:szCs w:val="20"/>
          <w:bdr w:val="none" w:sz="0" w:space="0" w:color="auto"/>
        </w:rPr>
        <w:t xml:space="preserve">Julio César </w:t>
      </w:r>
      <w:r w:rsidR="00BD093F">
        <w:rPr>
          <w:rFonts w:ascii="Cambria" w:hAnsi="Cambria"/>
          <w:sz w:val="20"/>
          <w:szCs w:val="20"/>
          <w:bdr w:val="none" w:sz="0" w:space="0" w:color="auto"/>
        </w:rPr>
        <w:t xml:space="preserve">Rito de los </w:t>
      </w:r>
      <w:r w:rsidR="00943174" w:rsidRPr="00A51861">
        <w:rPr>
          <w:rFonts w:ascii="Cambria" w:hAnsi="Cambria"/>
          <w:sz w:val="20"/>
          <w:szCs w:val="20"/>
          <w:bdr w:val="none" w:sz="0" w:space="0" w:color="auto"/>
        </w:rPr>
        <w:t>Santos</w:t>
      </w:r>
      <w:r w:rsidR="00BD7402" w:rsidRPr="00A51861">
        <w:rPr>
          <w:rFonts w:ascii="Cambria" w:hAnsi="Cambria"/>
          <w:sz w:val="20"/>
          <w:szCs w:val="20"/>
          <w:bdr w:val="none" w:sz="0" w:space="0" w:color="auto"/>
        </w:rPr>
        <w:t xml:space="preserve">, </w:t>
      </w:r>
      <w:r w:rsidR="00076366">
        <w:rPr>
          <w:rFonts w:ascii="Cambria" w:hAnsi="Cambria"/>
          <w:sz w:val="20"/>
          <w:szCs w:val="20"/>
          <w:bdr w:val="none" w:sz="0" w:space="0" w:color="auto"/>
        </w:rPr>
        <w:t xml:space="preserve">the Supreme </w:t>
      </w:r>
      <w:r w:rsidR="00A63761">
        <w:rPr>
          <w:rFonts w:ascii="Cambria" w:hAnsi="Cambria"/>
          <w:sz w:val="20"/>
          <w:szCs w:val="20"/>
          <w:bdr w:val="none" w:sz="0" w:space="0" w:color="auto"/>
        </w:rPr>
        <w:t>Court</w:t>
      </w:r>
      <w:r w:rsidR="00BD7402" w:rsidRPr="00A51861">
        <w:rPr>
          <w:rFonts w:ascii="Cambria" w:hAnsi="Cambria"/>
          <w:sz w:val="20"/>
          <w:szCs w:val="20"/>
          <w:bdr w:val="none" w:sz="0" w:space="0" w:color="auto"/>
        </w:rPr>
        <w:t xml:space="preserve"> divid</w:t>
      </w:r>
      <w:r>
        <w:rPr>
          <w:rFonts w:ascii="Cambria" w:hAnsi="Cambria"/>
          <w:sz w:val="20"/>
          <w:szCs w:val="20"/>
          <w:bdr w:val="none" w:sz="0" w:space="0" w:color="auto"/>
        </w:rPr>
        <w:t>ed</w:t>
      </w:r>
      <w:r w:rsidR="00BD7402" w:rsidRPr="00A51861">
        <w:rPr>
          <w:rFonts w:ascii="Cambria" w:hAnsi="Cambria"/>
          <w:sz w:val="20"/>
          <w:szCs w:val="20"/>
          <w:bdr w:val="none" w:sz="0" w:space="0" w:color="auto"/>
        </w:rPr>
        <w:t xml:space="preserve"> </w:t>
      </w:r>
      <w:r>
        <w:rPr>
          <w:rFonts w:ascii="Cambria" w:hAnsi="Cambria"/>
          <w:sz w:val="20"/>
          <w:szCs w:val="20"/>
          <w:bdr w:val="none" w:sz="0" w:space="0" w:color="auto"/>
        </w:rPr>
        <w:t>its</w:t>
      </w:r>
      <w:r w:rsidR="00BD7402" w:rsidRPr="00A51861">
        <w:rPr>
          <w:rFonts w:ascii="Cambria" w:hAnsi="Cambria"/>
          <w:sz w:val="20"/>
          <w:szCs w:val="20"/>
          <w:bdr w:val="none" w:sz="0" w:space="0" w:color="auto"/>
        </w:rPr>
        <w:t xml:space="preserve"> </w:t>
      </w:r>
      <w:r>
        <w:rPr>
          <w:rFonts w:ascii="Cambria" w:hAnsi="Cambria"/>
          <w:sz w:val="20"/>
          <w:szCs w:val="20"/>
          <w:bdr w:val="none" w:sz="0" w:space="0" w:color="auto"/>
        </w:rPr>
        <w:t>reasoning in two</w:t>
      </w:r>
      <w:r w:rsidR="00BD7402" w:rsidRPr="00A51861">
        <w:rPr>
          <w:rFonts w:ascii="Cambria" w:hAnsi="Cambria"/>
          <w:sz w:val="20"/>
          <w:szCs w:val="20"/>
          <w:bdr w:val="none" w:sz="0" w:space="0" w:color="auto"/>
        </w:rPr>
        <w:t xml:space="preserve">, </w:t>
      </w:r>
      <w:r>
        <w:rPr>
          <w:rFonts w:ascii="Cambria" w:hAnsi="Cambria"/>
          <w:sz w:val="20"/>
          <w:szCs w:val="20"/>
          <w:bdr w:val="none" w:sz="0" w:space="0" w:color="auto"/>
        </w:rPr>
        <w:t>the first being related to the</w:t>
      </w:r>
      <w:r w:rsidR="006A3C04">
        <w:rPr>
          <w:rFonts w:ascii="Cambria" w:hAnsi="Cambria"/>
          <w:sz w:val="20"/>
          <w:szCs w:val="20"/>
          <w:bdr w:val="none" w:sz="0" w:space="0" w:color="auto"/>
        </w:rPr>
        <w:t xml:space="preserve"> facts</w:t>
      </w:r>
      <w:r w:rsidR="00E92985">
        <w:rPr>
          <w:rFonts w:ascii="Cambria" w:hAnsi="Cambria"/>
          <w:sz w:val="20"/>
          <w:szCs w:val="20"/>
          <w:bdr w:val="none" w:sz="0" w:space="0" w:color="auto"/>
        </w:rPr>
        <w:t xml:space="preserve"> of </w:t>
      </w:r>
      <w:r w:rsidR="006E255A">
        <w:rPr>
          <w:rFonts w:ascii="Cambria" w:hAnsi="Cambria"/>
          <w:sz w:val="20"/>
          <w:szCs w:val="20"/>
          <w:bdr w:val="none" w:sz="0" w:space="0" w:color="auto"/>
        </w:rPr>
        <w:t>detention</w:t>
      </w:r>
      <w:r w:rsidR="00BD7402" w:rsidRPr="00A51861">
        <w:rPr>
          <w:rFonts w:ascii="Cambria" w:hAnsi="Cambria"/>
          <w:sz w:val="20"/>
          <w:szCs w:val="20"/>
          <w:bdr w:val="none" w:sz="0" w:space="0" w:color="auto"/>
        </w:rPr>
        <w:t xml:space="preserve">, </w:t>
      </w:r>
      <w:r>
        <w:rPr>
          <w:rFonts w:ascii="Cambria" w:hAnsi="Cambria"/>
          <w:sz w:val="20"/>
          <w:szCs w:val="20"/>
          <w:bdr w:val="none" w:sz="0" w:space="0" w:color="auto"/>
        </w:rPr>
        <w:t>which it</w:t>
      </w:r>
      <w:r w:rsidR="002B762A">
        <w:rPr>
          <w:rFonts w:ascii="Cambria" w:hAnsi="Cambria"/>
          <w:sz w:val="20"/>
          <w:szCs w:val="20"/>
          <w:bdr w:val="none" w:sz="0" w:space="0" w:color="auto"/>
        </w:rPr>
        <w:t xml:space="preserve"> understands </w:t>
      </w:r>
      <w:r w:rsidR="00B947BD">
        <w:rPr>
          <w:rFonts w:ascii="Cambria" w:hAnsi="Cambria"/>
          <w:sz w:val="20"/>
          <w:szCs w:val="20"/>
          <w:bdr w:val="none" w:sz="0" w:space="0" w:color="auto"/>
        </w:rPr>
        <w:t>occurred</w:t>
      </w:r>
      <w:r w:rsidR="00BD7402" w:rsidRPr="00A51861">
        <w:rPr>
          <w:rFonts w:ascii="Cambria" w:hAnsi="Cambria"/>
          <w:sz w:val="20"/>
          <w:szCs w:val="20"/>
          <w:bdr w:val="none" w:sz="0" w:space="0" w:color="auto"/>
        </w:rPr>
        <w:t xml:space="preserve"> </w:t>
      </w:r>
      <w:r>
        <w:rPr>
          <w:rFonts w:ascii="Cambria" w:hAnsi="Cambria"/>
          <w:sz w:val="20"/>
          <w:szCs w:val="20"/>
          <w:bdr w:val="none" w:sz="0" w:space="0" w:color="auto"/>
        </w:rPr>
        <w:t xml:space="preserve">beyond the </w:t>
      </w:r>
      <w:r w:rsidR="009B462E">
        <w:rPr>
          <w:rFonts w:ascii="Cambria" w:hAnsi="Cambria"/>
          <w:sz w:val="20"/>
          <w:szCs w:val="20"/>
          <w:bdr w:val="none" w:sz="0" w:space="0" w:color="auto"/>
        </w:rPr>
        <w:t xml:space="preserve">temporary </w:t>
      </w:r>
      <w:r>
        <w:rPr>
          <w:rFonts w:ascii="Cambria" w:hAnsi="Cambria"/>
          <w:sz w:val="20"/>
          <w:szCs w:val="20"/>
          <w:bdr w:val="none" w:sz="0" w:space="0" w:color="auto"/>
        </w:rPr>
        <w:t xml:space="preserve">setting </w:t>
      </w:r>
      <w:r w:rsidR="00E92985">
        <w:rPr>
          <w:rFonts w:ascii="Cambria" w:hAnsi="Cambria"/>
          <w:sz w:val="20"/>
          <w:szCs w:val="20"/>
          <w:bdr w:val="none" w:sz="0" w:space="0" w:color="auto"/>
        </w:rPr>
        <w:t xml:space="preserve">of </w:t>
      </w:r>
      <w:r w:rsidR="002835FC" w:rsidRPr="00A51861">
        <w:rPr>
          <w:rFonts w:ascii="Cambria" w:hAnsi="Cambria"/>
          <w:sz w:val="20"/>
          <w:szCs w:val="20"/>
          <w:bdr w:val="none" w:sz="0" w:space="0" w:color="auto"/>
        </w:rPr>
        <w:t xml:space="preserve">Law </w:t>
      </w:r>
      <w:r w:rsidR="00BD7402" w:rsidRPr="00A51861">
        <w:rPr>
          <w:rFonts w:ascii="Cambria" w:hAnsi="Cambria"/>
          <w:sz w:val="20"/>
          <w:szCs w:val="20"/>
          <w:bdr w:val="none" w:sz="0" w:space="0" w:color="auto"/>
        </w:rPr>
        <w:t>24.043,</w:t>
      </w:r>
      <w:r w:rsidR="00E92985">
        <w:rPr>
          <w:rFonts w:ascii="Cambria" w:hAnsi="Cambria"/>
          <w:sz w:val="20"/>
          <w:szCs w:val="20"/>
          <w:bdr w:val="none" w:sz="0" w:space="0" w:color="auto"/>
        </w:rPr>
        <w:t xml:space="preserve"> and</w:t>
      </w:r>
      <w:r w:rsidR="009A4F91">
        <w:rPr>
          <w:rFonts w:ascii="Cambria" w:hAnsi="Cambria"/>
          <w:sz w:val="20"/>
          <w:szCs w:val="20"/>
          <w:bdr w:val="none" w:sz="0" w:space="0" w:color="auto"/>
        </w:rPr>
        <w:t xml:space="preserve"> the </w:t>
      </w:r>
      <w:r>
        <w:rPr>
          <w:rFonts w:ascii="Cambria" w:hAnsi="Cambria"/>
          <w:sz w:val="20"/>
          <w:szCs w:val="20"/>
          <w:bdr w:val="none" w:sz="0" w:space="0" w:color="auto"/>
        </w:rPr>
        <w:t>second</w:t>
      </w:r>
      <w:r w:rsidR="00391E9F" w:rsidRPr="00A51861">
        <w:rPr>
          <w:rFonts w:ascii="Cambria" w:hAnsi="Cambria"/>
          <w:sz w:val="20"/>
          <w:szCs w:val="20"/>
          <w:bdr w:val="none" w:sz="0" w:space="0" w:color="auto"/>
        </w:rPr>
        <w:t>,</w:t>
      </w:r>
      <w:r w:rsidR="00BD7402" w:rsidRPr="00A51861">
        <w:rPr>
          <w:rFonts w:ascii="Cambria" w:hAnsi="Cambria"/>
          <w:sz w:val="20"/>
          <w:szCs w:val="20"/>
          <w:bdr w:val="none" w:sz="0" w:space="0" w:color="auto"/>
        </w:rPr>
        <w:t xml:space="preserve"> </w:t>
      </w:r>
      <w:r w:rsidR="00B74DB5">
        <w:rPr>
          <w:rFonts w:ascii="Cambria" w:hAnsi="Cambria"/>
          <w:sz w:val="20"/>
          <w:szCs w:val="20"/>
          <w:bdr w:val="none" w:sz="0" w:space="0" w:color="auto"/>
        </w:rPr>
        <w:t xml:space="preserve">in regard to </w:t>
      </w:r>
      <w:r w:rsidR="009A4F91">
        <w:rPr>
          <w:rFonts w:ascii="Cambria" w:hAnsi="Cambria"/>
          <w:sz w:val="20"/>
          <w:szCs w:val="20"/>
          <w:bdr w:val="none" w:sz="0" w:space="0" w:color="auto"/>
        </w:rPr>
        <w:t xml:space="preserve">the </w:t>
      </w:r>
      <w:r w:rsidRPr="00A51861">
        <w:rPr>
          <w:rFonts w:ascii="Cambria" w:hAnsi="Cambria"/>
          <w:sz w:val="20"/>
          <w:szCs w:val="20"/>
          <w:bdr w:val="none" w:sz="0" w:space="0" w:color="auto"/>
        </w:rPr>
        <w:t>circumstance</w:t>
      </w:r>
      <w:r w:rsidR="00E92985">
        <w:rPr>
          <w:rFonts w:ascii="Cambria" w:hAnsi="Cambria"/>
          <w:sz w:val="20"/>
          <w:szCs w:val="20"/>
          <w:bdr w:val="none" w:sz="0" w:space="0" w:color="auto"/>
        </w:rPr>
        <w:t xml:space="preserve"> of </w:t>
      </w:r>
      <w:r>
        <w:rPr>
          <w:rFonts w:ascii="Cambria" w:hAnsi="Cambria"/>
          <w:sz w:val="20"/>
          <w:szCs w:val="20"/>
          <w:bdr w:val="none" w:sz="0" w:space="0" w:color="auto"/>
        </w:rPr>
        <w:t>living in</w:t>
      </w:r>
      <w:r w:rsidR="00BD7402" w:rsidRPr="00A51861">
        <w:rPr>
          <w:rFonts w:ascii="Cambria" w:hAnsi="Cambria"/>
          <w:sz w:val="20"/>
          <w:szCs w:val="20"/>
          <w:bdr w:val="none" w:sz="0" w:space="0" w:color="auto"/>
        </w:rPr>
        <w:t xml:space="preserve"> clandestini</w:t>
      </w:r>
      <w:r w:rsidR="00FA2E7B">
        <w:rPr>
          <w:rFonts w:ascii="Cambria" w:hAnsi="Cambria"/>
          <w:sz w:val="20"/>
          <w:szCs w:val="20"/>
          <w:bdr w:val="none" w:sz="0" w:space="0" w:color="auto"/>
        </w:rPr>
        <w:t xml:space="preserve">ty </w:t>
      </w:r>
      <w:r w:rsidR="00E92985">
        <w:rPr>
          <w:rFonts w:ascii="Cambria" w:hAnsi="Cambria"/>
          <w:sz w:val="20"/>
          <w:szCs w:val="20"/>
          <w:bdr w:val="none" w:sz="0" w:space="0" w:color="auto"/>
        </w:rPr>
        <w:t xml:space="preserve">and </w:t>
      </w:r>
      <w:r>
        <w:rPr>
          <w:rFonts w:ascii="Cambria" w:hAnsi="Cambria"/>
          <w:sz w:val="20"/>
          <w:szCs w:val="20"/>
          <w:bdr w:val="none" w:sz="0" w:space="0" w:color="auto"/>
        </w:rPr>
        <w:t>then the</w:t>
      </w:r>
      <w:r w:rsidR="00BD7402" w:rsidRPr="00A51861">
        <w:rPr>
          <w:rFonts w:ascii="Cambria" w:hAnsi="Cambria"/>
          <w:sz w:val="20"/>
          <w:szCs w:val="20"/>
          <w:bdr w:val="none" w:sz="0" w:space="0" w:color="auto"/>
        </w:rPr>
        <w:t xml:space="preserve"> </w:t>
      </w:r>
      <w:r w:rsidR="005B42FA">
        <w:rPr>
          <w:rFonts w:ascii="Cambria" w:hAnsi="Cambria"/>
          <w:sz w:val="20"/>
          <w:szCs w:val="20"/>
          <w:bdr w:val="none" w:sz="0" w:space="0" w:color="auto"/>
        </w:rPr>
        <w:t>exile</w:t>
      </w:r>
      <w:r w:rsidR="00BD7402" w:rsidRPr="00A51861">
        <w:rPr>
          <w:rFonts w:ascii="Cambria" w:hAnsi="Cambria"/>
          <w:sz w:val="20"/>
          <w:szCs w:val="20"/>
          <w:bdr w:val="none" w:sz="0" w:space="0" w:color="auto"/>
        </w:rPr>
        <w:t xml:space="preserve">, </w:t>
      </w:r>
      <w:r>
        <w:rPr>
          <w:rFonts w:ascii="Cambria" w:hAnsi="Cambria"/>
          <w:sz w:val="20"/>
          <w:szCs w:val="20"/>
          <w:bdr w:val="none" w:sz="0" w:space="0" w:color="auto"/>
        </w:rPr>
        <w:t>in which it was affirmed</w:t>
      </w:r>
      <w:r w:rsidR="00BD7402" w:rsidRPr="00A51861">
        <w:rPr>
          <w:rFonts w:ascii="Cambria" w:hAnsi="Cambria"/>
          <w:sz w:val="20"/>
          <w:szCs w:val="20"/>
          <w:bdr w:val="none" w:sz="0" w:space="0" w:color="auto"/>
        </w:rPr>
        <w:t xml:space="preserve"> </w:t>
      </w:r>
      <w:r>
        <w:rPr>
          <w:rFonts w:ascii="Cambria" w:hAnsi="Cambria"/>
          <w:sz w:val="20"/>
          <w:szCs w:val="20"/>
          <w:bdr w:val="none" w:sz="0" w:space="0" w:color="auto"/>
        </w:rPr>
        <w:t>f</w:t>
      </w:r>
      <w:r w:rsidR="00FA4A3C">
        <w:rPr>
          <w:rFonts w:ascii="Cambria" w:hAnsi="Cambria"/>
          <w:sz w:val="20"/>
          <w:szCs w:val="20"/>
          <w:bdr w:val="none" w:sz="0" w:space="0" w:color="auto"/>
        </w:rPr>
        <w:t xml:space="preserve">irst of all, </w:t>
      </w:r>
      <w:r>
        <w:rPr>
          <w:rFonts w:ascii="Cambria" w:hAnsi="Cambria"/>
          <w:sz w:val="20"/>
          <w:szCs w:val="20"/>
          <w:bdr w:val="none" w:sz="0" w:space="0" w:color="auto"/>
        </w:rPr>
        <w:t>that the</w:t>
      </w:r>
      <w:r w:rsidR="00BD7402" w:rsidRPr="00A51861">
        <w:rPr>
          <w:rFonts w:ascii="Cambria" w:hAnsi="Cambria"/>
          <w:sz w:val="20"/>
          <w:szCs w:val="20"/>
          <w:bdr w:val="none" w:sz="0" w:space="0" w:color="auto"/>
        </w:rPr>
        <w:t xml:space="preserve"> cas</w:t>
      </w:r>
      <w:r>
        <w:rPr>
          <w:rFonts w:ascii="Cambria" w:hAnsi="Cambria"/>
          <w:sz w:val="20"/>
          <w:szCs w:val="20"/>
          <w:bdr w:val="none" w:sz="0" w:space="0" w:color="auto"/>
        </w:rPr>
        <w:t>e</w:t>
      </w:r>
      <w:r w:rsidR="00BD7402" w:rsidRPr="00A51861">
        <w:rPr>
          <w:rFonts w:ascii="Cambria" w:hAnsi="Cambria"/>
          <w:sz w:val="20"/>
          <w:szCs w:val="20"/>
          <w:bdr w:val="none" w:sz="0" w:space="0" w:color="auto"/>
        </w:rPr>
        <w:t>s</w:t>
      </w:r>
      <w:r w:rsidR="00E92985">
        <w:rPr>
          <w:rFonts w:ascii="Cambria" w:hAnsi="Cambria"/>
          <w:sz w:val="20"/>
          <w:szCs w:val="20"/>
          <w:bdr w:val="none" w:sz="0" w:space="0" w:color="auto"/>
        </w:rPr>
        <w:t xml:space="preserve"> of </w:t>
      </w:r>
      <w:r w:rsidR="00011F7A">
        <w:rPr>
          <w:rFonts w:ascii="Cambria" w:hAnsi="Cambria"/>
          <w:sz w:val="20"/>
          <w:szCs w:val="20"/>
          <w:bdr w:val="none" w:sz="0" w:space="0" w:color="auto"/>
        </w:rPr>
        <w:t>the</w:t>
      </w:r>
      <w:r w:rsidR="00BD7402" w:rsidRPr="00A51861">
        <w:rPr>
          <w:rFonts w:ascii="Cambria" w:hAnsi="Cambria"/>
          <w:sz w:val="20"/>
          <w:szCs w:val="20"/>
          <w:bdr w:val="none" w:sz="0" w:space="0" w:color="auto"/>
        </w:rPr>
        <w:t xml:space="preserve"> </w:t>
      </w:r>
      <w:r w:rsidR="00A75646">
        <w:rPr>
          <w:rFonts w:ascii="Cambria" w:hAnsi="Cambria"/>
          <w:sz w:val="20"/>
          <w:szCs w:val="20"/>
          <w:bdr w:val="none" w:sz="0" w:space="0" w:color="auto"/>
        </w:rPr>
        <w:t>jurisprudential</w:t>
      </w:r>
      <w:r w:rsidR="00E92985">
        <w:rPr>
          <w:rFonts w:ascii="Cambria" w:hAnsi="Cambria"/>
          <w:sz w:val="20"/>
          <w:szCs w:val="20"/>
          <w:bdr w:val="none" w:sz="0" w:space="0" w:color="auto"/>
        </w:rPr>
        <w:t xml:space="preserve"> </w:t>
      </w:r>
      <w:r w:rsidR="00011F7A">
        <w:rPr>
          <w:rFonts w:ascii="Cambria" w:hAnsi="Cambria"/>
          <w:sz w:val="20"/>
          <w:szCs w:val="20"/>
          <w:bdr w:val="none" w:sz="0" w:space="0" w:color="auto"/>
        </w:rPr>
        <w:t xml:space="preserve">precedents </w:t>
      </w:r>
      <w:r w:rsidR="00E92985">
        <w:rPr>
          <w:rFonts w:ascii="Cambria" w:hAnsi="Cambria"/>
          <w:sz w:val="20"/>
          <w:szCs w:val="20"/>
          <w:bdr w:val="none" w:sz="0" w:space="0" w:color="auto"/>
        </w:rPr>
        <w:t xml:space="preserve">of </w:t>
      </w:r>
      <w:r w:rsidR="00BD7402" w:rsidRPr="00A51861">
        <w:rPr>
          <w:rFonts w:ascii="Cambria" w:hAnsi="Cambria"/>
          <w:sz w:val="20"/>
          <w:szCs w:val="20"/>
          <w:bdr w:val="none" w:sz="0" w:space="0" w:color="auto"/>
        </w:rPr>
        <w:t>Bufano, Geuna</w:t>
      </w:r>
      <w:r w:rsidR="00E92985">
        <w:rPr>
          <w:rFonts w:ascii="Cambria" w:hAnsi="Cambria"/>
          <w:sz w:val="20"/>
          <w:szCs w:val="20"/>
          <w:bdr w:val="none" w:sz="0" w:space="0" w:color="auto"/>
        </w:rPr>
        <w:t xml:space="preserve"> and </w:t>
      </w:r>
      <w:r w:rsidR="00BD7402" w:rsidRPr="00A51861">
        <w:rPr>
          <w:rFonts w:ascii="Cambria" w:hAnsi="Cambria"/>
          <w:sz w:val="20"/>
          <w:szCs w:val="20"/>
          <w:bdr w:val="none" w:sz="0" w:space="0" w:color="auto"/>
        </w:rPr>
        <w:t>Quiroga cit</w:t>
      </w:r>
      <w:r w:rsidR="00011F7A">
        <w:rPr>
          <w:rFonts w:ascii="Cambria" w:hAnsi="Cambria"/>
          <w:sz w:val="20"/>
          <w:szCs w:val="20"/>
          <w:bdr w:val="none" w:sz="0" w:space="0" w:color="auto"/>
        </w:rPr>
        <w:t>ed</w:t>
      </w:r>
      <w:r w:rsidR="00BD7402" w:rsidRPr="00A51861">
        <w:rPr>
          <w:rFonts w:ascii="Cambria" w:hAnsi="Cambria"/>
          <w:sz w:val="20"/>
          <w:szCs w:val="20"/>
          <w:bdr w:val="none" w:sz="0" w:space="0" w:color="auto"/>
        </w:rPr>
        <w:t xml:space="preserve"> </w:t>
      </w:r>
      <w:r w:rsidR="00011F7A">
        <w:rPr>
          <w:rFonts w:ascii="Cambria" w:hAnsi="Cambria"/>
          <w:sz w:val="20"/>
          <w:szCs w:val="20"/>
          <w:bdr w:val="none" w:sz="0" w:space="0" w:color="auto"/>
        </w:rPr>
        <w:t>in the remedy as</w:t>
      </w:r>
      <w:r w:rsidR="00BD7402" w:rsidRPr="00A51861">
        <w:rPr>
          <w:rFonts w:ascii="Cambria" w:hAnsi="Cambria"/>
          <w:sz w:val="20"/>
          <w:szCs w:val="20"/>
          <w:bdr w:val="none" w:sz="0" w:space="0" w:color="auto"/>
        </w:rPr>
        <w:t xml:space="preserve"> </w:t>
      </w:r>
      <w:r w:rsidR="005617BA">
        <w:rPr>
          <w:rFonts w:ascii="Cambria" w:hAnsi="Cambria"/>
          <w:sz w:val="20"/>
          <w:szCs w:val="20"/>
          <w:bdr w:val="none" w:sz="0" w:space="0" w:color="auto"/>
        </w:rPr>
        <w:t>applicable</w:t>
      </w:r>
      <w:r w:rsidR="00BD7402" w:rsidRPr="00A51861">
        <w:rPr>
          <w:rFonts w:ascii="Cambria" w:hAnsi="Cambria"/>
          <w:sz w:val="20"/>
          <w:szCs w:val="20"/>
          <w:bdr w:val="none" w:sz="0" w:space="0" w:color="auto"/>
        </w:rPr>
        <w:t xml:space="preserve">, </w:t>
      </w:r>
      <w:r w:rsidR="00011F7A">
        <w:rPr>
          <w:rFonts w:ascii="Cambria" w:hAnsi="Cambria"/>
          <w:sz w:val="20"/>
          <w:szCs w:val="20"/>
          <w:bdr w:val="none" w:sz="0" w:space="0" w:color="auto"/>
        </w:rPr>
        <w:t>have as common</w:t>
      </w:r>
      <w:r w:rsidR="00BD7402" w:rsidRPr="00A51861">
        <w:rPr>
          <w:rFonts w:ascii="Cambria" w:hAnsi="Cambria"/>
          <w:sz w:val="20"/>
          <w:szCs w:val="20"/>
          <w:bdr w:val="none" w:sz="0" w:space="0" w:color="auto"/>
        </w:rPr>
        <w:t xml:space="preserve"> </w:t>
      </w:r>
      <w:r w:rsidR="006A513B">
        <w:rPr>
          <w:rFonts w:ascii="Cambria" w:hAnsi="Cambria"/>
          <w:sz w:val="20"/>
          <w:szCs w:val="20"/>
          <w:bdr w:val="none" w:sz="0" w:space="0" w:color="auto"/>
        </w:rPr>
        <w:t xml:space="preserve">element </w:t>
      </w:r>
      <w:r w:rsidR="00E92985">
        <w:rPr>
          <w:rFonts w:ascii="Cambria" w:hAnsi="Cambria"/>
          <w:sz w:val="20"/>
          <w:szCs w:val="20"/>
          <w:bdr w:val="none" w:sz="0" w:space="0" w:color="auto"/>
        </w:rPr>
        <w:t xml:space="preserve">that the </w:t>
      </w:r>
      <w:r w:rsidR="006E255A">
        <w:rPr>
          <w:rFonts w:ascii="Cambria" w:hAnsi="Cambria"/>
          <w:sz w:val="20"/>
          <w:szCs w:val="20"/>
          <w:bdr w:val="none" w:sz="0" w:space="0" w:color="auto"/>
        </w:rPr>
        <w:t>detention</w:t>
      </w:r>
      <w:r w:rsidR="00BD7402" w:rsidRPr="00A51861">
        <w:rPr>
          <w:rFonts w:ascii="Cambria" w:hAnsi="Cambria"/>
          <w:sz w:val="20"/>
          <w:szCs w:val="20"/>
          <w:bdr w:val="none" w:sz="0" w:space="0" w:color="auto"/>
        </w:rPr>
        <w:t xml:space="preserve"> </w:t>
      </w:r>
      <w:r w:rsidR="00011F7A">
        <w:rPr>
          <w:rFonts w:ascii="Cambria" w:hAnsi="Cambria"/>
          <w:sz w:val="20"/>
          <w:szCs w:val="20"/>
          <w:bdr w:val="none" w:sz="0" w:space="0" w:color="auto"/>
        </w:rPr>
        <w:t>was</w:t>
      </w:r>
      <w:r w:rsidR="00BD7402" w:rsidRPr="00A51861">
        <w:rPr>
          <w:rFonts w:ascii="Cambria" w:hAnsi="Cambria"/>
          <w:sz w:val="20"/>
          <w:szCs w:val="20"/>
          <w:bdr w:val="none" w:sz="0" w:space="0" w:color="auto"/>
        </w:rPr>
        <w:t xml:space="preserve"> </w:t>
      </w:r>
      <w:r w:rsidR="00E64C43">
        <w:rPr>
          <w:rFonts w:ascii="Cambria" w:hAnsi="Cambria"/>
          <w:sz w:val="20"/>
          <w:szCs w:val="20"/>
          <w:bdr w:val="none" w:sz="0" w:space="0" w:color="auto"/>
        </w:rPr>
        <w:t>illegitimate</w:t>
      </w:r>
      <w:r w:rsidR="00E92985">
        <w:rPr>
          <w:rFonts w:ascii="Cambria" w:hAnsi="Cambria"/>
          <w:sz w:val="20"/>
          <w:szCs w:val="20"/>
          <w:bdr w:val="none" w:sz="0" w:space="0" w:color="auto"/>
        </w:rPr>
        <w:t xml:space="preserve"> and </w:t>
      </w:r>
      <w:r w:rsidR="00E64C43">
        <w:rPr>
          <w:rFonts w:ascii="Cambria" w:hAnsi="Cambria"/>
          <w:sz w:val="20"/>
          <w:szCs w:val="20"/>
          <w:bdr w:val="none" w:sz="0" w:space="0" w:color="auto"/>
        </w:rPr>
        <w:t>effective</w:t>
      </w:r>
      <w:r w:rsidR="00BD7402" w:rsidRPr="00A51861">
        <w:rPr>
          <w:rFonts w:ascii="Cambria" w:hAnsi="Cambria"/>
          <w:sz w:val="20"/>
          <w:szCs w:val="20"/>
          <w:bdr w:val="none" w:sz="0" w:space="0" w:color="auto"/>
        </w:rPr>
        <w:t>,</w:t>
      </w:r>
      <w:r w:rsidR="005F7F4D">
        <w:rPr>
          <w:rFonts w:ascii="Cambria" w:hAnsi="Cambria"/>
          <w:sz w:val="20"/>
          <w:szCs w:val="20"/>
          <w:bdr w:val="none" w:sz="0" w:space="0" w:color="auto"/>
        </w:rPr>
        <w:t xml:space="preserve"> which </w:t>
      </w:r>
      <w:r w:rsidR="00011F7A">
        <w:rPr>
          <w:rFonts w:ascii="Cambria" w:hAnsi="Cambria"/>
          <w:sz w:val="20"/>
          <w:szCs w:val="20"/>
          <w:bdr w:val="none" w:sz="0" w:space="0" w:color="auto"/>
        </w:rPr>
        <w:t>differentiates them from</w:t>
      </w:r>
      <w:r w:rsidR="00E92985">
        <w:rPr>
          <w:rFonts w:ascii="Cambria" w:hAnsi="Cambria"/>
          <w:sz w:val="20"/>
          <w:szCs w:val="20"/>
          <w:bdr w:val="none" w:sz="0" w:space="0" w:color="auto"/>
        </w:rPr>
        <w:t xml:space="preserve"> </w:t>
      </w:r>
      <w:r w:rsidR="00E64C43">
        <w:rPr>
          <w:rFonts w:ascii="Cambria" w:hAnsi="Cambria"/>
          <w:sz w:val="20"/>
          <w:szCs w:val="20"/>
          <w:bdr w:val="none" w:sz="0" w:space="0" w:color="auto"/>
        </w:rPr>
        <w:t>this case</w:t>
      </w:r>
      <w:r w:rsidR="00BD7402" w:rsidRPr="00A51861">
        <w:rPr>
          <w:rFonts w:ascii="Cambria" w:hAnsi="Cambria"/>
          <w:sz w:val="20"/>
          <w:szCs w:val="20"/>
          <w:bdr w:val="none" w:sz="0" w:space="0" w:color="auto"/>
        </w:rPr>
        <w:t>,</w:t>
      </w:r>
      <w:r w:rsidR="00E92985">
        <w:rPr>
          <w:rFonts w:ascii="Cambria" w:hAnsi="Cambria"/>
          <w:sz w:val="20"/>
          <w:szCs w:val="20"/>
          <w:bdr w:val="none" w:sz="0" w:space="0" w:color="auto"/>
        </w:rPr>
        <w:t xml:space="preserve"> and </w:t>
      </w:r>
      <w:r w:rsidR="00011F7A">
        <w:rPr>
          <w:rFonts w:ascii="Cambria" w:hAnsi="Cambria"/>
          <w:sz w:val="20"/>
          <w:szCs w:val="20"/>
          <w:bdr w:val="none" w:sz="0" w:space="0" w:color="auto"/>
        </w:rPr>
        <w:t>that</w:t>
      </w:r>
      <w:r w:rsidR="00BD7402" w:rsidRPr="00A51861">
        <w:rPr>
          <w:rFonts w:ascii="Cambria" w:hAnsi="Cambria"/>
          <w:sz w:val="20"/>
          <w:szCs w:val="20"/>
          <w:bdr w:val="none" w:sz="0" w:space="0" w:color="auto"/>
        </w:rPr>
        <w:t xml:space="preserve"> </w:t>
      </w:r>
      <w:r w:rsidR="00B74DB5">
        <w:rPr>
          <w:rFonts w:ascii="Cambria" w:hAnsi="Cambria"/>
          <w:sz w:val="20"/>
          <w:szCs w:val="20"/>
          <w:bdr w:val="none" w:sz="0" w:space="0" w:color="auto"/>
        </w:rPr>
        <w:t xml:space="preserve">in regard to </w:t>
      </w:r>
      <w:r w:rsidR="00011F7A">
        <w:rPr>
          <w:rFonts w:ascii="Cambria" w:hAnsi="Cambria"/>
          <w:sz w:val="20"/>
          <w:szCs w:val="20"/>
          <w:bdr w:val="none" w:sz="0" w:space="0" w:color="auto"/>
        </w:rPr>
        <w:t>the case</w:t>
      </w:r>
      <w:r w:rsidR="00E92985">
        <w:rPr>
          <w:rFonts w:ascii="Cambria" w:hAnsi="Cambria"/>
          <w:sz w:val="20"/>
          <w:szCs w:val="20"/>
          <w:bdr w:val="none" w:sz="0" w:space="0" w:color="auto"/>
        </w:rPr>
        <w:t xml:space="preserve"> of </w:t>
      </w:r>
      <w:r w:rsidR="00C91385">
        <w:rPr>
          <w:rFonts w:ascii="Cambria" w:hAnsi="Cambria"/>
          <w:sz w:val="20"/>
          <w:szCs w:val="20"/>
          <w:bdr w:val="none" w:sz="0" w:space="0" w:color="auto"/>
        </w:rPr>
        <w:t>Yofre de Vaca</w:t>
      </w:r>
      <w:r w:rsidR="00BD7402" w:rsidRPr="00A51861">
        <w:rPr>
          <w:rFonts w:ascii="Cambria" w:hAnsi="Cambria"/>
          <w:sz w:val="20"/>
          <w:szCs w:val="20"/>
          <w:bdr w:val="none" w:sz="0" w:space="0" w:color="auto"/>
        </w:rPr>
        <w:t>,</w:t>
      </w:r>
      <w:r w:rsidR="009A4F91">
        <w:rPr>
          <w:rFonts w:ascii="Cambria" w:hAnsi="Cambria"/>
          <w:sz w:val="20"/>
          <w:szCs w:val="20"/>
          <w:bdr w:val="none" w:sz="0" w:space="0" w:color="auto"/>
        </w:rPr>
        <w:t xml:space="preserve"> the </w:t>
      </w:r>
      <w:r w:rsidR="00011F7A">
        <w:rPr>
          <w:rFonts w:ascii="Cambria" w:hAnsi="Cambria"/>
          <w:sz w:val="20"/>
          <w:szCs w:val="20"/>
          <w:bdr w:val="none" w:sz="0" w:space="0" w:color="auto"/>
        </w:rPr>
        <w:t xml:space="preserve">factual </w:t>
      </w:r>
      <w:r w:rsidR="00E64C43">
        <w:rPr>
          <w:rFonts w:ascii="Cambria" w:hAnsi="Cambria"/>
          <w:sz w:val="20"/>
          <w:szCs w:val="20"/>
          <w:bdr w:val="none" w:sz="0" w:space="0" w:color="auto"/>
        </w:rPr>
        <w:t>difference</w:t>
      </w:r>
      <w:r w:rsidR="00BD7402" w:rsidRPr="00A51861">
        <w:rPr>
          <w:rFonts w:ascii="Cambria" w:hAnsi="Cambria"/>
          <w:sz w:val="20"/>
          <w:szCs w:val="20"/>
          <w:bdr w:val="none" w:sz="0" w:space="0" w:color="auto"/>
        </w:rPr>
        <w:t xml:space="preserve"> </w:t>
      </w:r>
      <w:r w:rsidR="00011F7A">
        <w:rPr>
          <w:rFonts w:ascii="Cambria" w:hAnsi="Cambria"/>
          <w:sz w:val="20"/>
          <w:szCs w:val="20"/>
          <w:bdr w:val="none" w:sz="0" w:space="0" w:color="auto"/>
        </w:rPr>
        <w:t xml:space="preserve">was </w:t>
      </w:r>
      <w:r w:rsidR="00E92985">
        <w:rPr>
          <w:rFonts w:ascii="Cambria" w:hAnsi="Cambria"/>
          <w:sz w:val="20"/>
          <w:szCs w:val="20"/>
          <w:bdr w:val="none" w:sz="0" w:space="0" w:color="auto"/>
        </w:rPr>
        <w:t xml:space="preserve">that the </w:t>
      </w:r>
      <w:r w:rsidR="00E64C43">
        <w:rPr>
          <w:rFonts w:ascii="Cambria" w:hAnsi="Cambria"/>
          <w:sz w:val="20"/>
          <w:szCs w:val="20"/>
          <w:bdr w:val="none" w:sz="0" w:space="0" w:color="auto"/>
        </w:rPr>
        <w:t>temporary residency</w:t>
      </w:r>
      <w:r w:rsidR="00BD7402" w:rsidRPr="00A51861">
        <w:rPr>
          <w:rFonts w:ascii="Cambria" w:hAnsi="Cambria"/>
          <w:sz w:val="20"/>
          <w:szCs w:val="20"/>
          <w:bdr w:val="none" w:sz="0" w:space="0" w:color="auto"/>
        </w:rPr>
        <w:t xml:space="preserve"> </w:t>
      </w:r>
      <w:r w:rsidR="00BD093F">
        <w:rPr>
          <w:rFonts w:ascii="Cambria" w:hAnsi="Cambria"/>
          <w:sz w:val="20"/>
          <w:szCs w:val="20"/>
          <w:bdr w:val="none" w:sz="0" w:space="0" w:color="auto"/>
        </w:rPr>
        <w:t xml:space="preserve">Mr. </w:t>
      </w:r>
      <w:r w:rsidR="00BD7402" w:rsidRPr="00A51861">
        <w:rPr>
          <w:rFonts w:ascii="Cambria" w:hAnsi="Cambria"/>
          <w:sz w:val="20"/>
          <w:szCs w:val="20"/>
          <w:bdr w:val="none" w:sz="0" w:space="0" w:color="auto"/>
        </w:rPr>
        <w:t xml:space="preserve">Rito </w:t>
      </w:r>
      <w:r w:rsidR="00011F7A">
        <w:rPr>
          <w:rFonts w:ascii="Cambria" w:hAnsi="Cambria"/>
          <w:sz w:val="20"/>
          <w:szCs w:val="20"/>
          <w:bdr w:val="none" w:sz="0" w:space="0" w:color="auto"/>
        </w:rPr>
        <w:t>was revoked to him for</w:t>
      </w:r>
      <w:r w:rsidR="00BD7402" w:rsidRPr="00A51861">
        <w:rPr>
          <w:rFonts w:ascii="Cambria" w:hAnsi="Cambria"/>
          <w:sz w:val="20"/>
          <w:szCs w:val="20"/>
          <w:bdr w:val="none" w:sz="0" w:space="0" w:color="auto"/>
        </w:rPr>
        <w:t xml:space="preserve"> </w:t>
      </w:r>
      <w:r w:rsidR="00011F7A" w:rsidRPr="00A51861">
        <w:rPr>
          <w:rFonts w:ascii="Cambria" w:hAnsi="Cambria"/>
          <w:sz w:val="20"/>
          <w:szCs w:val="20"/>
          <w:bdr w:val="none" w:sz="0" w:space="0" w:color="auto"/>
        </w:rPr>
        <w:t>contravention</w:t>
      </w:r>
      <w:r w:rsidR="00E92985">
        <w:rPr>
          <w:rFonts w:ascii="Cambria" w:hAnsi="Cambria"/>
          <w:sz w:val="20"/>
          <w:szCs w:val="20"/>
          <w:bdr w:val="none" w:sz="0" w:space="0" w:color="auto"/>
        </w:rPr>
        <w:t xml:space="preserve"> of </w:t>
      </w:r>
      <w:r w:rsidR="00011F7A">
        <w:rPr>
          <w:rFonts w:ascii="Cambria" w:hAnsi="Cambria"/>
          <w:sz w:val="20"/>
          <w:szCs w:val="20"/>
          <w:bdr w:val="none" w:sz="0" w:space="0" w:color="auto"/>
        </w:rPr>
        <w:t>a</w:t>
      </w:r>
      <w:r w:rsidR="00BD7402" w:rsidRPr="00A51861">
        <w:rPr>
          <w:rFonts w:ascii="Cambria" w:hAnsi="Cambria"/>
          <w:sz w:val="20"/>
          <w:szCs w:val="20"/>
          <w:bdr w:val="none" w:sz="0" w:space="0" w:color="auto"/>
        </w:rPr>
        <w:t xml:space="preserve"> </w:t>
      </w:r>
      <w:r w:rsidR="00011F7A">
        <w:rPr>
          <w:rFonts w:ascii="Cambria" w:hAnsi="Cambria"/>
          <w:sz w:val="20"/>
          <w:szCs w:val="20"/>
          <w:bdr w:val="none" w:sz="0" w:space="0" w:color="auto"/>
        </w:rPr>
        <w:t xml:space="preserve">police </w:t>
      </w:r>
      <w:r w:rsidR="00280367">
        <w:rPr>
          <w:rFonts w:ascii="Cambria" w:hAnsi="Cambria"/>
          <w:sz w:val="20"/>
          <w:szCs w:val="20"/>
          <w:bdr w:val="none" w:sz="0" w:space="0" w:color="auto"/>
        </w:rPr>
        <w:t>decree</w:t>
      </w:r>
      <w:r w:rsidR="00BD7402" w:rsidRPr="00A51861">
        <w:rPr>
          <w:rFonts w:ascii="Cambria" w:hAnsi="Cambria"/>
          <w:sz w:val="20"/>
          <w:szCs w:val="20"/>
          <w:bdr w:val="none" w:sz="0" w:space="0" w:color="auto"/>
        </w:rPr>
        <w:t xml:space="preserve">, </w:t>
      </w:r>
      <w:r w:rsidR="00011F7A">
        <w:rPr>
          <w:rFonts w:ascii="Cambria" w:hAnsi="Cambria"/>
          <w:sz w:val="20"/>
          <w:szCs w:val="20"/>
          <w:bdr w:val="none" w:sz="0" w:space="0" w:color="auto"/>
        </w:rPr>
        <w:t>whose</w:t>
      </w:r>
      <w:r w:rsidR="00BD7402" w:rsidRPr="00A51861">
        <w:rPr>
          <w:rFonts w:ascii="Cambria" w:hAnsi="Cambria"/>
          <w:sz w:val="20"/>
          <w:szCs w:val="20"/>
          <w:bdr w:val="none" w:sz="0" w:space="0" w:color="auto"/>
        </w:rPr>
        <w:t xml:space="preserve"> </w:t>
      </w:r>
      <w:r w:rsidR="00E64C43">
        <w:rPr>
          <w:rFonts w:ascii="Cambria" w:hAnsi="Cambria"/>
          <w:sz w:val="20"/>
          <w:szCs w:val="20"/>
          <w:bdr w:val="none" w:sz="0" w:space="0" w:color="auto"/>
        </w:rPr>
        <w:t>constitutionality</w:t>
      </w:r>
      <w:r w:rsidR="00BD7402" w:rsidRPr="00A51861">
        <w:rPr>
          <w:rFonts w:ascii="Cambria" w:hAnsi="Cambria"/>
          <w:sz w:val="20"/>
          <w:szCs w:val="20"/>
          <w:bdr w:val="none" w:sz="0" w:space="0" w:color="auto"/>
        </w:rPr>
        <w:t xml:space="preserve"> </w:t>
      </w:r>
      <w:r w:rsidR="00011F7A">
        <w:rPr>
          <w:rFonts w:ascii="Cambria" w:hAnsi="Cambria"/>
          <w:sz w:val="20"/>
          <w:szCs w:val="20"/>
          <w:bdr w:val="none" w:sz="0" w:space="0" w:color="auto"/>
        </w:rPr>
        <w:t>was not timely contested</w:t>
      </w:r>
      <w:r w:rsidR="00FA2E7B">
        <w:rPr>
          <w:rFonts w:ascii="Cambria" w:hAnsi="Cambria"/>
          <w:sz w:val="20"/>
          <w:szCs w:val="20"/>
          <w:bdr w:val="none" w:sz="0" w:space="0" w:color="auto"/>
        </w:rPr>
        <w:t xml:space="preserve"> </w:t>
      </w:r>
      <w:r w:rsidR="00011F7A">
        <w:rPr>
          <w:rFonts w:ascii="Cambria" w:hAnsi="Cambria"/>
          <w:sz w:val="20"/>
          <w:szCs w:val="20"/>
          <w:bdr w:val="none" w:sz="0" w:space="0" w:color="auto"/>
        </w:rPr>
        <w:t>resulting in his</w:t>
      </w:r>
      <w:r w:rsidR="00BD7402" w:rsidRPr="00A51861">
        <w:rPr>
          <w:rFonts w:ascii="Cambria" w:hAnsi="Cambria"/>
          <w:sz w:val="20"/>
          <w:szCs w:val="20"/>
          <w:bdr w:val="none" w:sz="0" w:space="0" w:color="auto"/>
        </w:rPr>
        <w:t xml:space="preserve"> </w:t>
      </w:r>
      <w:r w:rsidR="00103579">
        <w:rPr>
          <w:rFonts w:ascii="Cambria" w:hAnsi="Cambria"/>
          <w:sz w:val="20"/>
          <w:szCs w:val="20"/>
          <w:bdr w:val="none" w:sz="0" w:space="0" w:color="auto"/>
        </w:rPr>
        <w:t>expulsion</w:t>
      </w:r>
      <w:r w:rsidR="00BD7402" w:rsidRPr="00A51861">
        <w:rPr>
          <w:rFonts w:ascii="Cambria" w:hAnsi="Cambria"/>
          <w:sz w:val="20"/>
          <w:szCs w:val="20"/>
          <w:bdr w:val="none" w:sz="0" w:space="0" w:color="auto"/>
        </w:rPr>
        <w:t xml:space="preserve"> </w:t>
      </w:r>
      <w:r w:rsidR="00011F7A">
        <w:rPr>
          <w:rFonts w:ascii="Cambria" w:hAnsi="Cambria"/>
          <w:sz w:val="20"/>
          <w:szCs w:val="20"/>
          <w:bdr w:val="none" w:sz="0" w:space="0" w:color="auto"/>
        </w:rPr>
        <w:t>toward the country of origin</w:t>
      </w:r>
      <w:r w:rsidR="00E92985">
        <w:rPr>
          <w:rFonts w:ascii="Cambria" w:hAnsi="Cambria"/>
          <w:sz w:val="20"/>
          <w:szCs w:val="20"/>
          <w:bdr w:val="none" w:sz="0" w:space="0" w:color="auto"/>
        </w:rPr>
        <w:t xml:space="preserve"> or </w:t>
      </w:r>
      <w:r w:rsidR="00BD7402" w:rsidRPr="00A51861">
        <w:rPr>
          <w:rFonts w:ascii="Cambria" w:hAnsi="Cambria"/>
          <w:sz w:val="20"/>
          <w:szCs w:val="20"/>
          <w:bdr w:val="none" w:sz="0" w:space="0" w:color="auto"/>
        </w:rPr>
        <w:t>“</w:t>
      </w:r>
      <w:r w:rsidR="00011F7A">
        <w:rPr>
          <w:rFonts w:ascii="Cambria" w:hAnsi="Cambria"/>
          <w:sz w:val="20"/>
          <w:szCs w:val="20"/>
          <w:bdr w:val="none" w:sz="0" w:space="0" w:color="auto"/>
        </w:rPr>
        <w:t>whichever accepts him</w:t>
      </w:r>
      <w:r w:rsidR="00BD7402" w:rsidRPr="00A51861">
        <w:rPr>
          <w:rFonts w:ascii="Cambria" w:hAnsi="Cambria"/>
          <w:sz w:val="20"/>
          <w:szCs w:val="20"/>
          <w:bdr w:val="none" w:sz="0" w:space="0" w:color="auto"/>
        </w:rPr>
        <w:t>”,</w:t>
      </w:r>
      <w:r w:rsidR="00E92985">
        <w:rPr>
          <w:rFonts w:ascii="Cambria" w:hAnsi="Cambria"/>
          <w:sz w:val="20"/>
          <w:szCs w:val="20"/>
          <w:bdr w:val="none" w:sz="0" w:space="0" w:color="auto"/>
        </w:rPr>
        <w:t xml:space="preserve"> and that the </w:t>
      </w:r>
      <w:r w:rsidR="00011F7A" w:rsidRPr="00A51861">
        <w:rPr>
          <w:rFonts w:ascii="Cambria" w:hAnsi="Cambria"/>
          <w:sz w:val="20"/>
          <w:szCs w:val="20"/>
          <w:bdr w:val="none" w:sz="0" w:space="0" w:color="auto"/>
        </w:rPr>
        <w:t>circumstance</w:t>
      </w:r>
      <w:r w:rsidR="00E92985">
        <w:rPr>
          <w:rFonts w:ascii="Cambria" w:hAnsi="Cambria"/>
          <w:sz w:val="20"/>
          <w:szCs w:val="20"/>
          <w:bdr w:val="none" w:sz="0" w:space="0" w:color="auto"/>
        </w:rPr>
        <w:t xml:space="preserve"> of that the </w:t>
      </w:r>
      <w:r w:rsidR="001937FB">
        <w:rPr>
          <w:rFonts w:ascii="Cambria" w:hAnsi="Cambria"/>
          <w:sz w:val="20"/>
          <w:szCs w:val="20"/>
          <w:bdr w:val="none" w:sz="0" w:space="0" w:color="auto"/>
        </w:rPr>
        <w:t>fear</w:t>
      </w:r>
      <w:r w:rsidR="00BD7402" w:rsidRPr="00A51861">
        <w:rPr>
          <w:rFonts w:ascii="Cambria" w:hAnsi="Cambria"/>
          <w:sz w:val="20"/>
          <w:szCs w:val="20"/>
          <w:bdr w:val="none" w:sz="0" w:space="0" w:color="auto"/>
        </w:rPr>
        <w:t xml:space="preserve"> </w:t>
      </w:r>
      <w:r w:rsidR="00011F7A">
        <w:rPr>
          <w:rFonts w:ascii="Cambria" w:hAnsi="Cambria"/>
          <w:sz w:val="20"/>
          <w:szCs w:val="20"/>
          <w:bdr w:val="none" w:sz="0" w:space="0" w:color="auto"/>
        </w:rPr>
        <w:t>of being refouled to</w:t>
      </w:r>
      <w:r w:rsidR="00BD7402" w:rsidRPr="00A51861">
        <w:rPr>
          <w:rFonts w:ascii="Cambria" w:hAnsi="Cambria"/>
          <w:sz w:val="20"/>
          <w:szCs w:val="20"/>
          <w:bdr w:val="none" w:sz="0" w:space="0" w:color="auto"/>
        </w:rPr>
        <w:t xml:space="preserve"> Uruguay </w:t>
      </w:r>
      <w:r w:rsidR="00011F7A">
        <w:rPr>
          <w:rFonts w:ascii="Cambria" w:hAnsi="Cambria"/>
          <w:sz w:val="20"/>
          <w:szCs w:val="20"/>
          <w:bdr w:val="none" w:sz="0" w:space="0" w:color="auto"/>
        </w:rPr>
        <w:t>led him to live in</w:t>
      </w:r>
      <w:r w:rsidR="009A4F91">
        <w:rPr>
          <w:rFonts w:ascii="Cambria" w:hAnsi="Cambria"/>
          <w:sz w:val="20"/>
          <w:szCs w:val="20"/>
          <w:bdr w:val="none" w:sz="0" w:space="0" w:color="auto"/>
        </w:rPr>
        <w:t xml:space="preserve"> </w:t>
      </w:r>
      <w:r w:rsidR="00BD7402" w:rsidRPr="00A51861">
        <w:rPr>
          <w:rFonts w:ascii="Cambria" w:hAnsi="Cambria"/>
          <w:sz w:val="20"/>
          <w:szCs w:val="20"/>
          <w:bdr w:val="none" w:sz="0" w:space="0" w:color="auto"/>
        </w:rPr>
        <w:t>clandestini</w:t>
      </w:r>
      <w:r w:rsidR="00FA2E7B">
        <w:rPr>
          <w:rFonts w:ascii="Cambria" w:hAnsi="Cambria"/>
          <w:sz w:val="20"/>
          <w:szCs w:val="20"/>
          <w:bdr w:val="none" w:sz="0" w:space="0" w:color="auto"/>
        </w:rPr>
        <w:t xml:space="preserve">ty </w:t>
      </w:r>
      <w:r w:rsidR="00BD7402" w:rsidRPr="00A51861">
        <w:rPr>
          <w:rFonts w:ascii="Cambria" w:hAnsi="Cambria"/>
          <w:sz w:val="20"/>
          <w:szCs w:val="20"/>
          <w:bdr w:val="none" w:sz="0" w:space="0" w:color="auto"/>
        </w:rPr>
        <w:t>o</w:t>
      </w:r>
      <w:r w:rsidR="00011F7A">
        <w:rPr>
          <w:rFonts w:ascii="Cambria" w:hAnsi="Cambria"/>
          <w:sz w:val="20"/>
          <w:szCs w:val="20"/>
          <w:bdr w:val="none" w:sz="0" w:space="0" w:color="auto"/>
        </w:rPr>
        <w:t>r</w:t>
      </w:r>
      <w:r w:rsidR="00BD7402" w:rsidRPr="00A51861">
        <w:rPr>
          <w:rFonts w:ascii="Cambria" w:hAnsi="Cambria"/>
          <w:sz w:val="20"/>
          <w:szCs w:val="20"/>
          <w:bdr w:val="none" w:sz="0" w:space="0" w:color="auto"/>
        </w:rPr>
        <w:t xml:space="preserve">, </w:t>
      </w:r>
      <w:r w:rsidR="00011F7A">
        <w:rPr>
          <w:rFonts w:ascii="Cambria" w:hAnsi="Cambria"/>
          <w:sz w:val="20"/>
          <w:szCs w:val="20"/>
          <w:bdr w:val="none" w:sz="0" w:space="0" w:color="auto"/>
        </w:rPr>
        <w:t>afterward</w:t>
      </w:r>
      <w:r w:rsidR="00BD7402" w:rsidRPr="00A51861">
        <w:rPr>
          <w:rFonts w:ascii="Cambria" w:hAnsi="Cambria"/>
          <w:sz w:val="20"/>
          <w:szCs w:val="20"/>
          <w:bdr w:val="none" w:sz="0" w:space="0" w:color="auto"/>
        </w:rPr>
        <w:t>, continu</w:t>
      </w:r>
      <w:r w:rsidR="00011F7A">
        <w:rPr>
          <w:rFonts w:ascii="Cambria" w:hAnsi="Cambria"/>
          <w:sz w:val="20"/>
          <w:szCs w:val="20"/>
          <w:bdr w:val="none" w:sz="0" w:space="0" w:color="auto"/>
        </w:rPr>
        <w:t>e</w:t>
      </w:r>
      <w:r w:rsidR="00BD7402" w:rsidRPr="00A51861">
        <w:rPr>
          <w:rFonts w:ascii="Cambria" w:hAnsi="Cambria"/>
          <w:sz w:val="20"/>
          <w:szCs w:val="20"/>
          <w:bdr w:val="none" w:sz="0" w:space="0" w:color="auto"/>
        </w:rPr>
        <w:t xml:space="preserve"> voluntari</w:t>
      </w:r>
      <w:r w:rsidR="0029564F">
        <w:rPr>
          <w:rFonts w:ascii="Cambria" w:hAnsi="Cambria"/>
          <w:sz w:val="20"/>
          <w:szCs w:val="20"/>
          <w:bdr w:val="none" w:sz="0" w:space="0" w:color="auto"/>
        </w:rPr>
        <w:t xml:space="preserve">ly </w:t>
      </w:r>
      <w:r w:rsidR="00011F7A">
        <w:rPr>
          <w:rFonts w:ascii="Cambria" w:hAnsi="Cambria"/>
          <w:sz w:val="20"/>
          <w:szCs w:val="20"/>
          <w:bdr w:val="none" w:sz="0" w:space="0" w:color="auto"/>
        </w:rPr>
        <w:t>his</w:t>
      </w:r>
      <w:r w:rsidR="00BD7402" w:rsidRPr="00A51861">
        <w:rPr>
          <w:rFonts w:ascii="Cambria" w:hAnsi="Cambria"/>
          <w:sz w:val="20"/>
          <w:szCs w:val="20"/>
          <w:bdr w:val="none" w:sz="0" w:space="0" w:color="auto"/>
        </w:rPr>
        <w:t xml:space="preserve"> </w:t>
      </w:r>
      <w:r w:rsidR="005B42FA">
        <w:rPr>
          <w:rFonts w:ascii="Cambria" w:hAnsi="Cambria"/>
          <w:sz w:val="20"/>
          <w:szCs w:val="20"/>
          <w:bdr w:val="none" w:sz="0" w:space="0" w:color="auto"/>
        </w:rPr>
        <w:t>exile</w:t>
      </w:r>
      <w:r w:rsidR="00BD7402" w:rsidRPr="00A51861">
        <w:rPr>
          <w:rFonts w:ascii="Cambria" w:hAnsi="Cambria"/>
          <w:sz w:val="20"/>
          <w:szCs w:val="20"/>
          <w:bdr w:val="none" w:sz="0" w:space="0" w:color="auto"/>
        </w:rPr>
        <w:t xml:space="preserve"> </w:t>
      </w:r>
      <w:r w:rsidR="00011F7A">
        <w:rPr>
          <w:rFonts w:ascii="Cambria" w:hAnsi="Cambria"/>
          <w:sz w:val="20"/>
          <w:szCs w:val="20"/>
          <w:bdr w:val="none" w:sz="0" w:space="0" w:color="auto"/>
        </w:rPr>
        <w:t>i</w:t>
      </w:r>
      <w:r w:rsidR="00BD7402" w:rsidRPr="00A51861">
        <w:rPr>
          <w:rFonts w:ascii="Cambria" w:hAnsi="Cambria"/>
          <w:sz w:val="20"/>
          <w:szCs w:val="20"/>
          <w:bdr w:val="none" w:sz="0" w:space="0" w:color="auto"/>
        </w:rPr>
        <w:t xml:space="preserve">n </w:t>
      </w:r>
      <w:r w:rsidR="00BD6923">
        <w:rPr>
          <w:rFonts w:ascii="Cambria" w:hAnsi="Cambria"/>
          <w:sz w:val="20"/>
          <w:szCs w:val="20"/>
          <w:bdr w:val="none" w:sz="0" w:space="0" w:color="auto"/>
        </w:rPr>
        <w:t>Sweden</w:t>
      </w:r>
      <w:r w:rsidR="00BD7402" w:rsidRPr="00A51861">
        <w:rPr>
          <w:rFonts w:ascii="Cambria" w:hAnsi="Cambria"/>
          <w:sz w:val="20"/>
          <w:szCs w:val="20"/>
          <w:bdr w:val="none" w:sz="0" w:space="0" w:color="auto"/>
        </w:rPr>
        <w:t xml:space="preserve">, </w:t>
      </w:r>
      <w:r w:rsidR="00011F7A">
        <w:rPr>
          <w:rFonts w:ascii="Cambria" w:hAnsi="Cambria"/>
          <w:sz w:val="20"/>
          <w:szCs w:val="20"/>
          <w:bdr w:val="none" w:sz="0" w:space="0" w:color="auto"/>
        </w:rPr>
        <w:t>is not fit to</w:t>
      </w:r>
      <w:r w:rsidR="00BD7402" w:rsidRPr="00A51861">
        <w:rPr>
          <w:rFonts w:ascii="Cambria" w:hAnsi="Cambria"/>
          <w:sz w:val="20"/>
          <w:szCs w:val="20"/>
          <w:bdr w:val="none" w:sz="0" w:space="0" w:color="auto"/>
        </w:rPr>
        <w:t xml:space="preserve"> extend </w:t>
      </w:r>
      <w:r w:rsidR="00011F7A">
        <w:rPr>
          <w:rFonts w:ascii="Cambria" w:hAnsi="Cambria"/>
          <w:sz w:val="20"/>
          <w:szCs w:val="20"/>
          <w:bdr w:val="none" w:sz="0" w:space="0" w:color="auto"/>
        </w:rPr>
        <w:t xml:space="preserve">the </w:t>
      </w:r>
      <w:r w:rsidR="00011F7A" w:rsidRPr="00A51861">
        <w:rPr>
          <w:rFonts w:ascii="Cambria" w:hAnsi="Cambria"/>
          <w:sz w:val="20"/>
          <w:szCs w:val="20"/>
          <w:bdr w:val="none" w:sz="0" w:space="0" w:color="auto"/>
        </w:rPr>
        <w:t xml:space="preserve">monetary compensation </w:t>
      </w:r>
      <w:r w:rsidR="00011F7A">
        <w:rPr>
          <w:rFonts w:ascii="Cambria" w:hAnsi="Cambria"/>
          <w:sz w:val="20"/>
          <w:szCs w:val="20"/>
          <w:bdr w:val="none" w:sz="0" w:space="0" w:color="auto"/>
        </w:rPr>
        <w:t>foreseen in the norm to it</w:t>
      </w:r>
      <w:r w:rsidR="00BD7402" w:rsidRPr="00A51861">
        <w:rPr>
          <w:rFonts w:ascii="Cambria" w:hAnsi="Cambria"/>
          <w:sz w:val="20"/>
          <w:szCs w:val="20"/>
          <w:bdr w:val="none" w:sz="0" w:space="0" w:color="auto"/>
        </w:rPr>
        <w:t>.</w:t>
      </w:r>
    </w:p>
    <w:p w14:paraId="307D69D3" w14:textId="77777777" w:rsidR="005F4FF2" w:rsidRPr="00A51861" w:rsidRDefault="005F4FF2" w:rsidP="008E4D36">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Cambria" w:hAnsi="Cambria"/>
          <w:sz w:val="20"/>
          <w:szCs w:val="20"/>
          <w:bdr w:val="none" w:sz="0" w:space="0" w:color="auto"/>
        </w:rPr>
      </w:pPr>
    </w:p>
    <w:p w14:paraId="56518942" w14:textId="6277C285" w:rsidR="005F4FF2" w:rsidRPr="00A51861" w:rsidRDefault="000674CA"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bdr w:val="none" w:sz="0" w:space="0" w:color="auto"/>
        </w:rPr>
      </w:pPr>
      <w:r>
        <w:rPr>
          <w:rFonts w:ascii="Cambria" w:hAnsi="Cambria"/>
          <w:sz w:val="20"/>
          <w:szCs w:val="20"/>
          <w:bdr w:val="none" w:sz="0" w:space="0" w:color="auto"/>
        </w:rPr>
        <w:t>On this matter</w:t>
      </w:r>
      <w:r w:rsidR="005F4FF2" w:rsidRPr="00A51861">
        <w:rPr>
          <w:rFonts w:ascii="Cambria" w:hAnsi="Cambria"/>
          <w:sz w:val="20"/>
          <w:szCs w:val="20"/>
          <w:bdr w:val="none" w:sz="0" w:space="0" w:color="auto"/>
        </w:rPr>
        <w:t xml:space="preserve">, </w:t>
      </w:r>
      <w:r w:rsidR="00E92985">
        <w:rPr>
          <w:rFonts w:ascii="Cambria" w:hAnsi="Cambria"/>
          <w:sz w:val="20"/>
          <w:szCs w:val="20"/>
          <w:bdr w:val="none" w:sz="0" w:space="0" w:color="auto"/>
        </w:rPr>
        <w:t>the Commission</w:t>
      </w:r>
      <w:r w:rsidR="006E5BF4" w:rsidRPr="00A51861">
        <w:rPr>
          <w:rFonts w:ascii="Cambria" w:hAnsi="Cambria"/>
          <w:sz w:val="20"/>
          <w:szCs w:val="20"/>
          <w:bdr w:val="none" w:sz="0" w:space="0" w:color="auto"/>
        </w:rPr>
        <w:t xml:space="preserve"> </w:t>
      </w:r>
      <w:r w:rsidR="00A51861" w:rsidRPr="00A51861">
        <w:rPr>
          <w:rFonts w:ascii="Cambria" w:hAnsi="Cambria"/>
          <w:sz w:val="20"/>
          <w:szCs w:val="20"/>
          <w:bdr w:val="none" w:sz="0" w:space="0" w:color="auto"/>
        </w:rPr>
        <w:t>observes that</w:t>
      </w:r>
      <w:r w:rsidR="006E5BF4" w:rsidRPr="00A51861">
        <w:rPr>
          <w:rFonts w:ascii="Cambria" w:hAnsi="Cambria"/>
          <w:sz w:val="20"/>
          <w:szCs w:val="20"/>
          <w:bdr w:val="none" w:sz="0" w:space="0" w:color="auto"/>
        </w:rPr>
        <w:t xml:space="preserve"> </w:t>
      </w:r>
      <w:r>
        <w:rPr>
          <w:rFonts w:ascii="Cambria" w:hAnsi="Cambria"/>
          <w:sz w:val="20"/>
          <w:szCs w:val="20"/>
          <w:bdr w:val="none" w:sz="0" w:space="0" w:color="auto"/>
        </w:rPr>
        <w:t>o</w:t>
      </w:r>
      <w:r w:rsidR="006E5BF4" w:rsidRPr="00A51861">
        <w:rPr>
          <w:rFonts w:ascii="Cambria" w:hAnsi="Cambria"/>
          <w:sz w:val="20"/>
          <w:szCs w:val="20"/>
          <w:bdr w:val="none" w:sz="0" w:space="0" w:color="auto"/>
        </w:rPr>
        <w:t xml:space="preserve">n </w:t>
      </w:r>
      <w:r w:rsidR="00E64C43">
        <w:rPr>
          <w:rFonts w:ascii="Cambria" w:hAnsi="Cambria"/>
          <w:sz w:val="20"/>
          <w:szCs w:val="20"/>
          <w:bdr w:val="none" w:sz="0" w:space="0" w:color="auto"/>
        </w:rPr>
        <w:t xml:space="preserve">this </w:t>
      </w:r>
      <w:r w:rsidR="006E5BF4" w:rsidRPr="00A51861">
        <w:rPr>
          <w:rFonts w:ascii="Cambria" w:hAnsi="Cambria"/>
          <w:sz w:val="20"/>
          <w:szCs w:val="20"/>
          <w:bdr w:val="none" w:sz="0" w:space="0" w:color="auto"/>
        </w:rPr>
        <w:t>particular</w:t>
      </w:r>
      <w:r w:rsidRPr="000674CA">
        <w:rPr>
          <w:rFonts w:ascii="Cambria" w:hAnsi="Cambria"/>
          <w:sz w:val="20"/>
          <w:szCs w:val="20"/>
          <w:bdr w:val="none" w:sz="0" w:space="0" w:color="auto"/>
        </w:rPr>
        <w:t xml:space="preserve"> </w:t>
      </w:r>
      <w:r>
        <w:rPr>
          <w:rFonts w:ascii="Cambria" w:hAnsi="Cambria"/>
          <w:sz w:val="20"/>
          <w:szCs w:val="20"/>
          <w:bdr w:val="none" w:sz="0" w:space="0" w:color="auto"/>
        </w:rPr>
        <w:t>case</w:t>
      </w:r>
      <w:r w:rsidR="006E5BF4" w:rsidRPr="00A51861">
        <w:rPr>
          <w:rFonts w:ascii="Cambria" w:hAnsi="Cambria"/>
          <w:sz w:val="20"/>
          <w:szCs w:val="20"/>
          <w:bdr w:val="none" w:sz="0" w:space="0" w:color="auto"/>
        </w:rPr>
        <w:t xml:space="preserve">, </w:t>
      </w:r>
      <w:r>
        <w:rPr>
          <w:rFonts w:ascii="Cambria" w:hAnsi="Cambria"/>
          <w:sz w:val="20"/>
          <w:szCs w:val="20"/>
          <w:bdr w:val="none" w:sz="0" w:space="0" w:color="auto"/>
        </w:rPr>
        <w:t>although there was a</w:t>
      </w:r>
      <w:r w:rsidR="00B773DC">
        <w:rPr>
          <w:rFonts w:ascii="Cambria" w:hAnsi="Cambria"/>
          <w:sz w:val="20"/>
          <w:szCs w:val="20"/>
          <w:bdr w:val="none" w:sz="0" w:space="0" w:color="auto"/>
        </w:rPr>
        <w:t xml:space="preserve"> </w:t>
      </w:r>
      <w:r w:rsidRPr="00A51861">
        <w:rPr>
          <w:rFonts w:ascii="Cambria" w:hAnsi="Cambria"/>
          <w:sz w:val="20"/>
          <w:szCs w:val="20"/>
          <w:bdr w:val="none" w:sz="0" w:space="0" w:color="auto"/>
        </w:rPr>
        <w:t>justification</w:t>
      </w:r>
      <w:r w:rsidR="006E5BF4" w:rsidRPr="00A51861">
        <w:rPr>
          <w:rFonts w:ascii="Cambria" w:hAnsi="Cambria"/>
          <w:sz w:val="20"/>
          <w:szCs w:val="20"/>
          <w:bdr w:val="none" w:sz="0" w:space="0" w:color="auto"/>
        </w:rPr>
        <w:t xml:space="preserve"> </w:t>
      </w:r>
      <w:r>
        <w:rPr>
          <w:rFonts w:ascii="Cambria" w:hAnsi="Cambria"/>
          <w:sz w:val="20"/>
          <w:szCs w:val="20"/>
          <w:bdr w:val="none" w:sz="0" w:space="0" w:color="auto"/>
        </w:rPr>
        <w:t>i</w:t>
      </w:r>
      <w:r w:rsidR="006E5BF4" w:rsidRPr="00A51861">
        <w:rPr>
          <w:rFonts w:ascii="Cambria" w:hAnsi="Cambria"/>
          <w:sz w:val="20"/>
          <w:szCs w:val="20"/>
          <w:bdr w:val="none" w:sz="0" w:space="0" w:color="auto"/>
        </w:rPr>
        <w:t xml:space="preserve">n </w:t>
      </w:r>
      <w:r w:rsidR="002B762A">
        <w:rPr>
          <w:rFonts w:ascii="Cambria" w:hAnsi="Cambria"/>
          <w:sz w:val="20"/>
          <w:szCs w:val="20"/>
          <w:bdr w:val="none" w:sz="0" w:space="0" w:color="auto"/>
        </w:rPr>
        <w:t xml:space="preserve">reference to </w:t>
      </w:r>
      <w:r w:rsidR="00E92985">
        <w:rPr>
          <w:rFonts w:ascii="Cambria" w:hAnsi="Cambria"/>
          <w:sz w:val="20"/>
          <w:szCs w:val="20"/>
          <w:bdr w:val="none" w:sz="0" w:space="0" w:color="auto"/>
        </w:rPr>
        <w:t xml:space="preserve">the </w:t>
      </w:r>
      <w:r w:rsidR="005B42FA">
        <w:rPr>
          <w:rFonts w:ascii="Cambria" w:hAnsi="Cambria"/>
          <w:sz w:val="20"/>
          <w:szCs w:val="20"/>
          <w:bdr w:val="none" w:sz="0" w:space="0" w:color="auto"/>
        </w:rPr>
        <w:t>exile</w:t>
      </w:r>
      <w:r w:rsidR="006E5BF4" w:rsidRPr="00A51861">
        <w:rPr>
          <w:rFonts w:ascii="Cambria" w:hAnsi="Cambria"/>
          <w:sz w:val="20"/>
          <w:szCs w:val="20"/>
          <w:bdr w:val="none" w:sz="0" w:space="0" w:color="auto"/>
        </w:rPr>
        <w:t xml:space="preserve"> oc</w:t>
      </w:r>
      <w:r>
        <w:rPr>
          <w:rFonts w:ascii="Cambria" w:hAnsi="Cambria"/>
          <w:sz w:val="20"/>
          <w:szCs w:val="20"/>
          <w:bdr w:val="none" w:sz="0" w:space="0" w:color="auto"/>
        </w:rPr>
        <w:t>c</w:t>
      </w:r>
      <w:r w:rsidR="006E5BF4" w:rsidRPr="00A51861">
        <w:rPr>
          <w:rFonts w:ascii="Cambria" w:hAnsi="Cambria"/>
          <w:sz w:val="20"/>
          <w:szCs w:val="20"/>
          <w:bdr w:val="none" w:sz="0" w:space="0" w:color="auto"/>
        </w:rPr>
        <w:t>urri</w:t>
      </w:r>
      <w:r>
        <w:rPr>
          <w:rFonts w:ascii="Cambria" w:hAnsi="Cambria"/>
          <w:sz w:val="20"/>
          <w:szCs w:val="20"/>
          <w:bdr w:val="none" w:sz="0" w:space="0" w:color="auto"/>
        </w:rPr>
        <w:t>ng</w:t>
      </w:r>
      <w:r w:rsidR="002B762A">
        <w:rPr>
          <w:rFonts w:ascii="Cambria" w:hAnsi="Cambria"/>
          <w:sz w:val="20"/>
          <w:szCs w:val="20"/>
          <w:bdr w:val="none" w:sz="0" w:space="0" w:color="auto"/>
        </w:rPr>
        <w:t xml:space="preserve"> </w:t>
      </w:r>
      <w:r>
        <w:rPr>
          <w:rFonts w:ascii="Cambria" w:hAnsi="Cambria"/>
          <w:sz w:val="20"/>
          <w:szCs w:val="20"/>
          <w:bdr w:val="none" w:sz="0" w:space="0" w:color="auto"/>
        </w:rPr>
        <w:t>from an</w:t>
      </w:r>
      <w:r w:rsidR="00B773DC">
        <w:rPr>
          <w:rFonts w:ascii="Cambria" w:hAnsi="Cambria"/>
          <w:sz w:val="20"/>
          <w:szCs w:val="20"/>
          <w:bdr w:val="none" w:sz="0" w:space="0" w:color="auto"/>
        </w:rPr>
        <w:t xml:space="preserve"> </w:t>
      </w:r>
      <w:r w:rsidR="00444893">
        <w:rPr>
          <w:rFonts w:ascii="Cambria" w:hAnsi="Cambria"/>
          <w:sz w:val="20"/>
          <w:szCs w:val="20"/>
          <w:bdr w:val="none" w:sz="0" w:space="0" w:color="auto"/>
        </w:rPr>
        <w:t>order</w:t>
      </w:r>
      <w:r w:rsidR="00E92985">
        <w:rPr>
          <w:rFonts w:ascii="Cambria" w:hAnsi="Cambria"/>
          <w:sz w:val="20"/>
          <w:szCs w:val="20"/>
          <w:bdr w:val="none" w:sz="0" w:space="0" w:color="auto"/>
        </w:rPr>
        <w:t xml:space="preserve"> </w:t>
      </w:r>
      <w:r>
        <w:rPr>
          <w:rFonts w:ascii="Cambria" w:hAnsi="Cambria"/>
          <w:sz w:val="20"/>
          <w:szCs w:val="20"/>
          <w:bdr w:val="none" w:sz="0" w:space="0" w:color="auto"/>
        </w:rPr>
        <w:t>by</w:t>
      </w:r>
      <w:r w:rsidR="00E92985">
        <w:rPr>
          <w:rFonts w:ascii="Cambria" w:hAnsi="Cambria"/>
          <w:sz w:val="20"/>
          <w:szCs w:val="20"/>
          <w:bdr w:val="none" w:sz="0" w:space="0" w:color="auto"/>
        </w:rPr>
        <w:t xml:space="preserve"> the </w:t>
      </w:r>
      <w:r w:rsidR="00B8762F">
        <w:rPr>
          <w:rFonts w:ascii="Cambria" w:hAnsi="Cambria"/>
          <w:sz w:val="20"/>
          <w:szCs w:val="20"/>
          <w:bdr w:val="none" w:sz="0" w:space="0" w:color="auto"/>
        </w:rPr>
        <w:t>competent authority</w:t>
      </w:r>
      <w:r w:rsidR="00E92985">
        <w:rPr>
          <w:rFonts w:ascii="Cambria" w:hAnsi="Cambria"/>
          <w:sz w:val="20"/>
          <w:szCs w:val="20"/>
          <w:bdr w:val="none" w:sz="0" w:space="0" w:color="auto"/>
        </w:rPr>
        <w:t xml:space="preserve"> </w:t>
      </w:r>
      <w:r>
        <w:rPr>
          <w:rFonts w:ascii="Cambria" w:hAnsi="Cambria"/>
          <w:sz w:val="20"/>
          <w:szCs w:val="20"/>
          <w:bdr w:val="none" w:sz="0" w:space="0" w:color="auto"/>
        </w:rPr>
        <w:t>to expel</w:t>
      </w:r>
      <w:r w:rsidR="002D7CF5">
        <w:rPr>
          <w:rFonts w:ascii="Cambria" w:hAnsi="Cambria"/>
          <w:sz w:val="20"/>
          <w:szCs w:val="20"/>
          <w:bdr w:val="none" w:sz="0" w:space="0" w:color="auto"/>
        </w:rPr>
        <w:t xml:space="preserve"> Mr. </w:t>
      </w:r>
      <w:r w:rsidR="00B01A54">
        <w:rPr>
          <w:rFonts w:ascii="Cambria" w:hAnsi="Cambria"/>
          <w:sz w:val="20"/>
          <w:szCs w:val="20"/>
          <w:bdr w:val="none" w:sz="0" w:space="0" w:color="auto"/>
        </w:rPr>
        <w:t xml:space="preserve">Rito de los Santos </w:t>
      </w:r>
      <w:r>
        <w:rPr>
          <w:rFonts w:ascii="Cambria" w:hAnsi="Cambria"/>
          <w:sz w:val="20"/>
          <w:szCs w:val="20"/>
          <w:bdr w:val="none" w:sz="0" w:space="0" w:color="auto"/>
        </w:rPr>
        <w:t>for</w:t>
      </w:r>
      <w:r w:rsidR="006E5BF4" w:rsidRPr="00A51861">
        <w:rPr>
          <w:rFonts w:ascii="Cambria" w:hAnsi="Cambria"/>
          <w:sz w:val="20"/>
          <w:szCs w:val="20"/>
          <w:bdr w:val="none" w:sz="0" w:space="0" w:color="auto"/>
        </w:rPr>
        <w:t xml:space="preserve"> </w:t>
      </w:r>
      <w:r w:rsidR="004E1083">
        <w:rPr>
          <w:rFonts w:ascii="Cambria" w:hAnsi="Cambria"/>
          <w:sz w:val="20"/>
          <w:szCs w:val="20"/>
          <w:bdr w:val="none" w:sz="0" w:space="0" w:color="auto"/>
        </w:rPr>
        <w:t>violation</w:t>
      </w:r>
      <w:r w:rsidR="00E92985">
        <w:rPr>
          <w:rFonts w:ascii="Cambria" w:hAnsi="Cambria"/>
          <w:sz w:val="20"/>
          <w:szCs w:val="20"/>
          <w:bdr w:val="none" w:sz="0" w:space="0" w:color="auto"/>
        </w:rPr>
        <w:t xml:space="preserve"> of </w:t>
      </w:r>
      <w:r>
        <w:rPr>
          <w:rFonts w:ascii="Cambria" w:hAnsi="Cambria"/>
          <w:sz w:val="20"/>
          <w:szCs w:val="20"/>
          <w:bdr w:val="none" w:sz="0" w:space="0" w:color="auto"/>
        </w:rPr>
        <w:t>a</w:t>
      </w:r>
      <w:r w:rsidR="006E5BF4" w:rsidRPr="00A51861">
        <w:rPr>
          <w:rFonts w:ascii="Cambria" w:hAnsi="Cambria"/>
          <w:sz w:val="20"/>
          <w:szCs w:val="20"/>
          <w:bdr w:val="none" w:sz="0" w:space="0" w:color="auto"/>
        </w:rPr>
        <w:t xml:space="preserve"> </w:t>
      </w:r>
      <w:r>
        <w:rPr>
          <w:rFonts w:ascii="Cambria" w:hAnsi="Cambria"/>
          <w:sz w:val="20"/>
          <w:szCs w:val="20"/>
          <w:bdr w:val="none" w:sz="0" w:space="0" w:color="auto"/>
        </w:rPr>
        <w:t>police decree</w:t>
      </w:r>
      <w:r w:rsidR="006E5BF4" w:rsidRPr="00A51861">
        <w:rPr>
          <w:rFonts w:ascii="Cambria" w:hAnsi="Cambria"/>
          <w:sz w:val="20"/>
          <w:szCs w:val="20"/>
          <w:bdr w:val="none" w:sz="0" w:space="0" w:color="auto"/>
        </w:rPr>
        <w:t xml:space="preserve">, </w:t>
      </w:r>
      <w:r>
        <w:rPr>
          <w:rFonts w:ascii="Cambria" w:hAnsi="Cambria"/>
          <w:sz w:val="20"/>
          <w:szCs w:val="20"/>
          <w:bdr w:val="none" w:sz="0" w:space="0" w:color="auto"/>
        </w:rPr>
        <w:t>there was no</w:t>
      </w:r>
      <w:r w:rsidR="006E5BF4" w:rsidRPr="00A51861">
        <w:rPr>
          <w:rFonts w:ascii="Cambria" w:hAnsi="Cambria"/>
          <w:sz w:val="20"/>
          <w:szCs w:val="20"/>
          <w:bdr w:val="none" w:sz="0" w:space="0" w:color="auto"/>
        </w:rPr>
        <w:t xml:space="preserve"> </w:t>
      </w:r>
      <w:r w:rsidRPr="00A51861">
        <w:rPr>
          <w:rFonts w:ascii="Cambria" w:hAnsi="Cambria"/>
          <w:sz w:val="20"/>
          <w:szCs w:val="20"/>
          <w:bdr w:val="none" w:sz="0" w:space="0" w:color="auto"/>
        </w:rPr>
        <w:t>analysis</w:t>
      </w:r>
      <w:r w:rsidR="00E92985">
        <w:rPr>
          <w:rFonts w:ascii="Cambria" w:hAnsi="Cambria"/>
          <w:sz w:val="20"/>
          <w:szCs w:val="20"/>
          <w:bdr w:val="none" w:sz="0" w:space="0" w:color="auto"/>
        </w:rPr>
        <w:t xml:space="preserve"> or </w:t>
      </w:r>
      <w:r w:rsidRPr="00A51861">
        <w:rPr>
          <w:rFonts w:ascii="Cambria" w:hAnsi="Cambria"/>
          <w:sz w:val="20"/>
          <w:szCs w:val="20"/>
          <w:bdr w:val="none" w:sz="0" w:space="0" w:color="auto"/>
        </w:rPr>
        <w:t>consideration</w:t>
      </w:r>
      <w:r w:rsidR="006E5BF4" w:rsidRPr="00A51861">
        <w:rPr>
          <w:rFonts w:ascii="Cambria" w:hAnsi="Cambria"/>
          <w:sz w:val="20"/>
          <w:szCs w:val="20"/>
          <w:bdr w:val="none" w:sz="0" w:space="0" w:color="auto"/>
        </w:rPr>
        <w:t xml:space="preserve"> </w:t>
      </w:r>
      <w:r>
        <w:rPr>
          <w:rFonts w:ascii="Cambria" w:hAnsi="Cambria"/>
          <w:sz w:val="20"/>
          <w:szCs w:val="20"/>
          <w:bdr w:val="none" w:sz="0" w:space="0" w:color="auto"/>
        </w:rPr>
        <w:t>whatsoever</w:t>
      </w:r>
      <w:r w:rsidR="004969F4">
        <w:rPr>
          <w:rFonts w:ascii="Cambria" w:hAnsi="Cambria"/>
          <w:sz w:val="20"/>
          <w:szCs w:val="20"/>
          <w:bdr w:val="none" w:sz="0" w:space="0" w:color="auto"/>
        </w:rPr>
        <w:t xml:space="preserve"> </w:t>
      </w:r>
      <w:r>
        <w:rPr>
          <w:rFonts w:ascii="Cambria" w:hAnsi="Cambria"/>
          <w:sz w:val="20"/>
          <w:szCs w:val="20"/>
          <w:bdr w:val="none" w:sz="0" w:space="0" w:color="auto"/>
        </w:rPr>
        <w:t>from the court as to</w:t>
      </w:r>
      <w:r w:rsidR="004969F4">
        <w:rPr>
          <w:rFonts w:ascii="Cambria" w:hAnsi="Cambria"/>
          <w:sz w:val="20"/>
          <w:szCs w:val="20"/>
          <w:bdr w:val="none" w:sz="0" w:space="0" w:color="auto"/>
        </w:rPr>
        <w:t xml:space="preserve"> </w:t>
      </w:r>
      <w:r>
        <w:rPr>
          <w:rFonts w:ascii="Cambria" w:hAnsi="Cambria"/>
          <w:sz w:val="20"/>
          <w:szCs w:val="20"/>
          <w:bdr w:val="none" w:sz="0" w:space="0" w:color="auto"/>
        </w:rPr>
        <w:t>why</w:t>
      </w:r>
      <w:r w:rsidR="006E5BF4" w:rsidRPr="00A51861">
        <w:rPr>
          <w:rFonts w:ascii="Cambria" w:hAnsi="Cambria"/>
          <w:sz w:val="20"/>
          <w:szCs w:val="20"/>
          <w:bdr w:val="none" w:sz="0" w:space="0" w:color="auto"/>
        </w:rPr>
        <w:t xml:space="preserve"> </w:t>
      </w:r>
      <w:r w:rsidR="00376318">
        <w:rPr>
          <w:rFonts w:ascii="Cambria" w:hAnsi="Cambria"/>
          <w:sz w:val="20"/>
          <w:szCs w:val="20"/>
          <w:bdr w:val="none" w:sz="0" w:space="0" w:color="auto"/>
        </w:rPr>
        <w:t xml:space="preserve">the decision </w:t>
      </w:r>
      <w:r w:rsidR="00E92985">
        <w:rPr>
          <w:rFonts w:ascii="Cambria" w:hAnsi="Cambria"/>
          <w:sz w:val="20"/>
          <w:szCs w:val="20"/>
          <w:bdr w:val="none" w:sz="0" w:space="0" w:color="auto"/>
        </w:rPr>
        <w:t xml:space="preserve">of </w:t>
      </w:r>
      <w:r w:rsidR="00103579">
        <w:rPr>
          <w:rFonts w:ascii="Cambria" w:hAnsi="Cambria"/>
          <w:sz w:val="20"/>
          <w:szCs w:val="20"/>
          <w:bdr w:val="none" w:sz="0" w:space="0" w:color="auto"/>
        </w:rPr>
        <w:t>expulsion</w:t>
      </w:r>
      <w:r w:rsidR="006E5BF4" w:rsidRPr="00A51861">
        <w:rPr>
          <w:rFonts w:ascii="Cambria" w:hAnsi="Cambria"/>
          <w:sz w:val="20"/>
          <w:szCs w:val="20"/>
          <w:bdr w:val="none" w:sz="0" w:space="0" w:color="auto"/>
        </w:rPr>
        <w:t xml:space="preserve"> -</w:t>
      </w:r>
      <w:r>
        <w:rPr>
          <w:rFonts w:ascii="Cambria" w:hAnsi="Cambria"/>
          <w:sz w:val="20"/>
          <w:szCs w:val="20"/>
          <w:bdr w:val="none" w:sz="0" w:space="0" w:color="auto"/>
        </w:rPr>
        <w:t>which as addressed above violated</w:t>
      </w:r>
      <w:r w:rsidR="006E5BF4" w:rsidRPr="00A51861">
        <w:rPr>
          <w:rFonts w:ascii="Cambria" w:hAnsi="Cambria"/>
          <w:sz w:val="20"/>
          <w:szCs w:val="20"/>
          <w:bdr w:val="none" w:sz="0" w:space="0" w:color="auto"/>
        </w:rPr>
        <w:t xml:space="preserve"> </w:t>
      </w:r>
      <w:r w:rsidR="009A4F91">
        <w:rPr>
          <w:rFonts w:ascii="Cambria" w:hAnsi="Cambria"/>
          <w:sz w:val="20"/>
          <w:szCs w:val="20"/>
          <w:bdr w:val="none" w:sz="0" w:space="0" w:color="auto"/>
        </w:rPr>
        <w:t>guarantee</w:t>
      </w:r>
      <w:r w:rsidR="006E5BF4" w:rsidRPr="00A51861">
        <w:rPr>
          <w:rFonts w:ascii="Cambria" w:hAnsi="Cambria"/>
          <w:sz w:val="20"/>
          <w:szCs w:val="20"/>
          <w:bdr w:val="none" w:sz="0" w:space="0" w:color="auto"/>
        </w:rPr>
        <w:t>s</w:t>
      </w:r>
      <w:r w:rsidR="004969F4">
        <w:rPr>
          <w:rFonts w:ascii="Cambria" w:hAnsi="Cambria"/>
          <w:sz w:val="20"/>
          <w:szCs w:val="20"/>
          <w:bdr w:val="none" w:sz="0" w:space="0" w:color="auto"/>
        </w:rPr>
        <w:t xml:space="preserve"> </w:t>
      </w:r>
      <w:r>
        <w:rPr>
          <w:rFonts w:ascii="Cambria" w:hAnsi="Cambria"/>
          <w:sz w:val="20"/>
          <w:szCs w:val="20"/>
          <w:bdr w:val="none" w:sz="0" w:space="0" w:color="auto"/>
        </w:rPr>
        <w:t xml:space="preserve">of </w:t>
      </w:r>
      <w:r w:rsidR="00E92985">
        <w:rPr>
          <w:rFonts w:ascii="Cambria" w:hAnsi="Cambria"/>
          <w:sz w:val="20"/>
          <w:szCs w:val="20"/>
          <w:bdr w:val="none" w:sz="0" w:space="0" w:color="auto"/>
        </w:rPr>
        <w:t>due process and</w:t>
      </w:r>
      <w:r w:rsidR="004969F4">
        <w:rPr>
          <w:rFonts w:ascii="Cambria" w:hAnsi="Cambria"/>
          <w:sz w:val="20"/>
          <w:szCs w:val="20"/>
          <w:bdr w:val="none" w:sz="0" w:space="0" w:color="auto"/>
        </w:rPr>
        <w:t xml:space="preserve"> of the </w:t>
      </w:r>
      <w:r w:rsidR="00444893">
        <w:rPr>
          <w:rFonts w:ascii="Cambria" w:hAnsi="Cambria"/>
          <w:sz w:val="20"/>
          <w:szCs w:val="20"/>
          <w:bdr w:val="none" w:sz="0" w:space="0" w:color="auto"/>
        </w:rPr>
        <w:t>principle</w:t>
      </w:r>
      <w:r w:rsidR="00E92985">
        <w:rPr>
          <w:rFonts w:ascii="Cambria" w:hAnsi="Cambria"/>
          <w:sz w:val="20"/>
          <w:szCs w:val="20"/>
          <w:bdr w:val="none" w:sz="0" w:space="0" w:color="auto"/>
        </w:rPr>
        <w:t xml:space="preserve"> of </w:t>
      </w:r>
      <w:r>
        <w:rPr>
          <w:rFonts w:ascii="Cambria" w:hAnsi="Cambria"/>
          <w:sz w:val="20"/>
          <w:szCs w:val="20"/>
          <w:bdr w:val="none" w:sz="0" w:space="0" w:color="auto"/>
        </w:rPr>
        <w:t>non-refoulment</w:t>
      </w:r>
      <w:r w:rsidR="006E5BF4" w:rsidRPr="00A51861">
        <w:rPr>
          <w:rFonts w:ascii="Cambria" w:hAnsi="Cambria"/>
          <w:sz w:val="20"/>
          <w:szCs w:val="20"/>
          <w:bdr w:val="none" w:sz="0" w:space="0" w:color="auto"/>
        </w:rPr>
        <w:t xml:space="preserve">-, </w:t>
      </w:r>
      <w:r>
        <w:rPr>
          <w:rFonts w:ascii="Cambria" w:hAnsi="Cambria"/>
          <w:sz w:val="20"/>
          <w:szCs w:val="20"/>
          <w:bdr w:val="none" w:sz="0" w:space="0" w:color="auto"/>
        </w:rPr>
        <w:t xml:space="preserve">would not result </w:t>
      </w:r>
      <w:r w:rsidR="00171038" w:rsidRPr="00A51861">
        <w:rPr>
          <w:rFonts w:ascii="Cambria" w:hAnsi="Cambria"/>
          <w:sz w:val="20"/>
          <w:szCs w:val="20"/>
          <w:bdr w:val="none" w:sz="0" w:space="0" w:color="auto"/>
        </w:rPr>
        <w:t>,</w:t>
      </w:r>
      <w:r w:rsidR="00B920CA">
        <w:rPr>
          <w:rFonts w:ascii="Cambria" w:hAnsi="Cambria"/>
          <w:sz w:val="20"/>
          <w:szCs w:val="20"/>
          <w:bdr w:val="none" w:sz="0" w:space="0" w:color="auto"/>
        </w:rPr>
        <w:t xml:space="preserve"> in a</w:t>
      </w:r>
      <w:r>
        <w:rPr>
          <w:rFonts w:ascii="Cambria" w:hAnsi="Cambria"/>
          <w:sz w:val="20"/>
          <w:szCs w:val="20"/>
          <w:bdr w:val="none" w:sz="0" w:space="0" w:color="auto"/>
        </w:rPr>
        <w:t>n</w:t>
      </w:r>
      <w:r w:rsidR="00B920CA">
        <w:rPr>
          <w:rFonts w:ascii="Cambria" w:hAnsi="Cambria"/>
          <w:sz w:val="20"/>
          <w:szCs w:val="20"/>
          <w:bdr w:val="none" w:sz="0" w:space="0" w:color="auto"/>
        </w:rPr>
        <w:t xml:space="preserve"> </w:t>
      </w:r>
      <w:r>
        <w:rPr>
          <w:rFonts w:ascii="Cambria" w:hAnsi="Cambria"/>
          <w:sz w:val="20"/>
          <w:szCs w:val="20"/>
          <w:bdr w:val="none" w:sz="0" w:space="0" w:color="auto"/>
        </w:rPr>
        <w:t>effective</w:t>
      </w:r>
      <w:r w:rsidRPr="00A51861">
        <w:rPr>
          <w:rFonts w:ascii="Cambria" w:hAnsi="Cambria"/>
          <w:sz w:val="20"/>
          <w:szCs w:val="20"/>
          <w:bdr w:val="none" w:sz="0" w:space="0" w:color="auto"/>
        </w:rPr>
        <w:t xml:space="preserve"> </w:t>
      </w:r>
      <w:r w:rsidR="00B920CA">
        <w:rPr>
          <w:rFonts w:ascii="Cambria" w:hAnsi="Cambria"/>
          <w:sz w:val="20"/>
          <w:szCs w:val="20"/>
          <w:bdr w:val="none" w:sz="0" w:space="0" w:color="auto"/>
        </w:rPr>
        <w:t>restriction</w:t>
      </w:r>
      <w:r w:rsidR="00E92985">
        <w:rPr>
          <w:rFonts w:ascii="Cambria" w:hAnsi="Cambria"/>
          <w:sz w:val="20"/>
          <w:szCs w:val="20"/>
          <w:bdr w:val="none" w:sz="0" w:space="0" w:color="auto"/>
        </w:rPr>
        <w:t xml:space="preserve"> or </w:t>
      </w:r>
      <w:r w:rsidR="00F329E7">
        <w:rPr>
          <w:rFonts w:ascii="Cambria" w:hAnsi="Cambria"/>
          <w:sz w:val="20"/>
          <w:szCs w:val="20"/>
          <w:bdr w:val="none" w:sz="0" w:space="0" w:color="auto"/>
        </w:rPr>
        <w:t>impairment</w:t>
      </w:r>
      <w:r w:rsidR="006E5BF4" w:rsidRPr="00A51861">
        <w:rPr>
          <w:rFonts w:ascii="Cambria" w:hAnsi="Cambria"/>
          <w:sz w:val="20"/>
          <w:szCs w:val="20"/>
          <w:bdr w:val="none" w:sz="0" w:space="0" w:color="auto"/>
        </w:rPr>
        <w:t xml:space="preserve"> </w:t>
      </w:r>
      <w:r>
        <w:rPr>
          <w:rFonts w:ascii="Cambria" w:hAnsi="Cambria"/>
          <w:sz w:val="20"/>
          <w:szCs w:val="20"/>
          <w:bdr w:val="none" w:sz="0" w:space="0" w:color="auto"/>
        </w:rPr>
        <w:t>of</w:t>
      </w:r>
      <w:r w:rsidR="009A4F91">
        <w:rPr>
          <w:rFonts w:ascii="Cambria" w:hAnsi="Cambria"/>
          <w:sz w:val="20"/>
          <w:szCs w:val="20"/>
          <w:bdr w:val="none" w:sz="0" w:space="0" w:color="auto"/>
        </w:rPr>
        <w:t xml:space="preserve"> </w:t>
      </w:r>
      <w:r w:rsidR="00387B53">
        <w:rPr>
          <w:rFonts w:ascii="Cambria" w:hAnsi="Cambria"/>
          <w:sz w:val="20"/>
          <w:szCs w:val="20"/>
          <w:bdr w:val="none" w:sz="0" w:space="0" w:color="auto"/>
        </w:rPr>
        <w:t>liberty</w:t>
      </w:r>
      <w:r w:rsidR="006E5BF4" w:rsidRPr="00A51861">
        <w:rPr>
          <w:rFonts w:ascii="Cambria" w:hAnsi="Cambria"/>
          <w:sz w:val="20"/>
          <w:szCs w:val="20"/>
          <w:bdr w:val="none" w:sz="0" w:space="0" w:color="auto"/>
        </w:rPr>
        <w:t xml:space="preserve">, </w:t>
      </w:r>
      <w:r>
        <w:rPr>
          <w:rFonts w:ascii="Cambria" w:hAnsi="Cambria"/>
          <w:sz w:val="20"/>
          <w:szCs w:val="20"/>
          <w:bdr w:val="none" w:sz="0" w:space="0" w:color="auto"/>
        </w:rPr>
        <w:t>in assimilable terms to forced</w:t>
      </w:r>
      <w:r w:rsidR="006E5BF4" w:rsidRPr="00A51861">
        <w:rPr>
          <w:rFonts w:ascii="Cambria" w:hAnsi="Cambria"/>
          <w:sz w:val="20"/>
          <w:szCs w:val="20"/>
          <w:bdr w:val="none" w:sz="0" w:space="0" w:color="auto"/>
        </w:rPr>
        <w:t xml:space="preserve"> </w:t>
      </w:r>
      <w:r w:rsidR="005B42FA">
        <w:rPr>
          <w:rFonts w:ascii="Cambria" w:hAnsi="Cambria"/>
          <w:sz w:val="20"/>
          <w:szCs w:val="20"/>
          <w:bdr w:val="none" w:sz="0" w:space="0" w:color="auto"/>
        </w:rPr>
        <w:t>exile</w:t>
      </w:r>
      <w:r w:rsidR="00171038" w:rsidRPr="00A51861">
        <w:rPr>
          <w:rFonts w:ascii="Cambria" w:hAnsi="Cambria"/>
          <w:sz w:val="20"/>
          <w:szCs w:val="20"/>
          <w:bdr w:val="none" w:sz="0" w:space="0" w:color="auto"/>
        </w:rPr>
        <w:t>,</w:t>
      </w:r>
      <w:r w:rsidR="00936680" w:rsidRPr="00A51861">
        <w:rPr>
          <w:rFonts w:ascii="Cambria" w:hAnsi="Cambria"/>
          <w:sz w:val="20"/>
          <w:szCs w:val="20"/>
          <w:bdr w:val="none" w:sz="0" w:space="0" w:color="auto"/>
        </w:rPr>
        <w:t xml:space="preserve"> </w:t>
      </w:r>
      <w:r>
        <w:rPr>
          <w:rFonts w:ascii="Cambria" w:hAnsi="Cambria"/>
          <w:sz w:val="20"/>
          <w:szCs w:val="20"/>
          <w:bdr w:val="none" w:sz="0" w:space="0" w:color="auto"/>
        </w:rPr>
        <w:t>since</w:t>
      </w:r>
      <w:r w:rsidR="00E92985">
        <w:rPr>
          <w:rFonts w:ascii="Cambria" w:hAnsi="Cambria"/>
          <w:sz w:val="20"/>
          <w:szCs w:val="20"/>
          <w:bdr w:val="none" w:sz="0" w:space="0" w:color="auto"/>
        </w:rPr>
        <w:t xml:space="preserve"> the </w:t>
      </w:r>
      <w:r w:rsidR="006E255A">
        <w:rPr>
          <w:rFonts w:ascii="Cambria" w:hAnsi="Cambria"/>
          <w:sz w:val="20"/>
          <w:szCs w:val="20"/>
          <w:bdr w:val="none" w:sz="0" w:space="0" w:color="auto"/>
        </w:rPr>
        <w:t>detention</w:t>
      </w:r>
      <w:r w:rsidR="00936680" w:rsidRPr="00A51861">
        <w:rPr>
          <w:rFonts w:ascii="Cambria" w:hAnsi="Cambria"/>
          <w:sz w:val="20"/>
          <w:szCs w:val="20"/>
          <w:bdr w:val="none" w:sz="0" w:space="0" w:color="auto"/>
        </w:rPr>
        <w:t xml:space="preserve"> ha</w:t>
      </w:r>
      <w:r>
        <w:rPr>
          <w:rFonts w:ascii="Cambria" w:hAnsi="Cambria"/>
          <w:sz w:val="20"/>
          <w:szCs w:val="20"/>
          <w:bdr w:val="none" w:sz="0" w:space="0" w:color="auto"/>
        </w:rPr>
        <w:t>s</w:t>
      </w:r>
      <w:r w:rsidR="00936680" w:rsidRPr="00A51861">
        <w:rPr>
          <w:rFonts w:ascii="Cambria" w:hAnsi="Cambria"/>
          <w:sz w:val="20"/>
          <w:szCs w:val="20"/>
          <w:bdr w:val="none" w:sz="0" w:space="0" w:color="auto"/>
        </w:rPr>
        <w:t xml:space="preserve"> </w:t>
      </w:r>
      <w:r>
        <w:rPr>
          <w:rFonts w:ascii="Cambria" w:hAnsi="Cambria"/>
          <w:sz w:val="20"/>
          <w:szCs w:val="20"/>
          <w:bdr w:val="none" w:sz="0" w:space="0" w:color="auto"/>
        </w:rPr>
        <w:t xml:space="preserve">been understood in a </w:t>
      </w:r>
      <w:r w:rsidR="00171038" w:rsidRPr="00A51861">
        <w:rPr>
          <w:rFonts w:ascii="Cambria" w:hAnsi="Cambria"/>
          <w:sz w:val="20"/>
          <w:szCs w:val="20"/>
          <w:bdr w:val="none" w:sz="0" w:space="0" w:color="auto"/>
        </w:rPr>
        <w:t xml:space="preserve">flexible </w:t>
      </w:r>
      <w:r>
        <w:rPr>
          <w:rFonts w:ascii="Cambria" w:hAnsi="Cambria"/>
          <w:sz w:val="20"/>
          <w:szCs w:val="20"/>
          <w:bdr w:val="none" w:sz="0" w:space="0" w:color="auto"/>
        </w:rPr>
        <w:t xml:space="preserve">manner by the </w:t>
      </w:r>
      <w:r w:rsidR="00A63761">
        <w:rPr>
          <w:rFonts w:ascii="Cambria" w:hAnsi="Cambria"/>
          <w:sz w:val="20"/>
          <w:szCs w:val="20"/>
          <w:bdr w:val="none" w:sz="0" w:space="0" w:color="auto"/>
        </w:rPr>
        <w:t>Supreme Court</w:t>
      </w:r>
      <w:r>
        <w:rPr>
          <w:rFonts w:ascii="Cambria" w:hAnsi="Cambria"/>
          <w:sz w:val="20"/>
          <w:szCs w:val="20"/>
          <w:bdr w:val="none" w:sz="0" w:space="0" w:color="auto"/>
        </w:rPr>
        <w:t xml:space="preserve"> itself</w:t>
      </w:r>
      <w:r w:rsidR="006E5BF4" w:rsidRPr="00A51861">
        <w:rPr>
          <w:rFonts w:ascii="Cambria" w:hAnsi="Cambria"/>
          <w:sz w:val="20"/>
          <w:szCs w:val="20"/>
          <w:bdr w:val="none" w:sz="0" w:space="0" w:color="auto"/>
        </w:rPr>
        <w:t xml:space="preserve">. </w:t>
      </w:r>
    </w:p>
    <w:p w14:paraId="110B9F5E" w14:textId="77777777" w:rsidR="00171038" w:rsidRPr="00A51861" w:rsidRDefault="00171038" w:rsidP="008E4D36">
      <w:pPr>
        <w:pStyle w:val="ListParagraph"/>
        <w:rPr>
          <w:sz w:val="20"/>
          <w:szCs w:val="20"/>
          <w:bdr w:val="none" w:sz="0" w:space="0" w:color="auto"/>
        </w:rPr>
      </w:pPr>
    </w:p>
    <w:p w14:paraId="05ED8C54" w14:textId="5EE61C0E" w:rsidR="00171038" w:rsidRPr="00A51861" w:rsidRDefault="000674CA"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bdr w:val="none" w:sz="0" w:space="0" w:color="auto"/>
        </w:rPr>
      </w:pPr>
      <w:r>
        <w:rPr>
          <w:rFonts w:ascii="Cambria" w:hAnsi="Cambria"/>
          <w:sz w:val="20"/>
          <w:szCs w:val="20"/>
          <w:bdr w:val="none" w:sz="0" w:space="0" w:color="auto"/>
        </w:rPr>
        <w:t>In fact</w:t>
      </w:r>
      <w:r w:rsidR="00171038" w:rsidRPr="00A51861">
        <w:rPr>
          <w:rFonts w:ascii="Cambria" w:hAnsi="Cambria"/>
          <w:sz w:val="20"/>
          <w:szCs w:val="20"/>
          <w:bdr w:val="none" w:sz="0" w:space="0" w:color="auto"/>
        </w:rPr>
        <w:t xml:space="preserve">, </w:t>
      </w:r>
      <w:r w:rsidR="00A51861" w:rsidRPr="00A51861">
        <w:rPr>
          <w:rFonts w:ascii="Cambria" w:hAnsi="Cambria"/>
          <w:sz w:val="20"/>
          <w:szCs w:val="20"/>
          <w:bdr w:val="none" w:sz="0" w:space="0" w:color="auto"/>
        </w:rPr>
        <w:t>the IACHR</w:t>
      </w:r>
      <w:r w:rsidR="00171038" w:rsidRPr="00A51861">
        <w:rPr>
          <w:rFonts w:ascii="Cambria" w:hAnsi="Cambria"/>
          <w:sz w:val="20"/>
          <w:szCs w:val="20"/>
          <w:bdr w:val="none" w:sz="0" w:space="0" w:color="auto"/>
        </w:rPr>
        <w:t xml:space="preserve"> </w:t>
      </w:r>
      <w:r>
        <w:rPr>
          <w:rFonts w:ascii="Cambria" w:hAnsi="Cambria"/>
          <w:sz w:val="20"/>
          <w:szCs w:val="20"/>
          <w:bdr w:val="none" w:sz="0" w:space="0" w:color="auto"/>
        </w:rPr>
        <w:t>notes t</w:t>
      </w:r>
      <w:r w:rsidR="00E92985">
        <w:rPr>
          <w:rFonts w:ascii="Cambria" w:hAnsi="Cambria"/>
          <w:sz w:val="20"/>
          <w:szCs w:val="20"/>
          <w:bdr w:val="none" w:sz="0" w:space="0" w:color="auto"/>
        </w:rPr>
        <w:t xml:space="preserve">hat the </w:t>
      </w:r>
      <w:r w:rsidR="00DD4DB2">
        <w:rPr>
          <w:rFonts w:ascii="Cambria" w:hAnsi="Cambria"/>
          <w:sz w:val="20"/>
          <w:szCs w:val="20"/>
          <w:bdr w:val="none" w:sz="0" w:space="0" w:color="auto"/>
        </w:rPr>
        <w:t>jurisprudence</w:t>
      </w:r>
      <w:r w:rsidR="00E92985">
        <w:rPr>
          <w:rFonts w:ascii="Cambria" w:hAnsi="Cambria"/>
          <w:sz w:val="20"/>
          <w:szCs w:val="20"/>
          <w:bdr w:val="none" w:sz="0" w:space="0" w:color="auto"/>
        </w:rPr>
        <w:t xml:space="preserve"> of the </w:t>
      </w:r>
      <w:r w:rsidR="00A63761">
        <w:rPr>
          <w:rFonts w:ascii="Cambria" w:hAnsi="Cambria"/>
          <w:sz w:val="20"/>
          <w:szCs w:val="20"/>
          <w:bdr w:val="none" w:sz="0" w:space="0" w:color="auto"/>
        </w:rPr>
        <w:t>Supreme Court</w:t>
      </w:r>
      <w:r w:rsidR="00171038" w:rsidRPr="00A51861">
        <w:rPr>
          <w:rFonts w:ascii="Cambria" w:hAnsi="Cambria"/>
          <w:sz w:val="20"/>
          <w:szCs w:val="20"/>
          <w:bdr w:val="none" w:sz="0" w:space="0" w:color="auto"/>
        </w:rPr>
        <w:t xml:space="preserve"> ha</w:t>
      </w:r>
      <w:r>
        <w:rPr>
          <w:rFonts w:ascii="Cambria" w:hAnsi="Cambria"/>
          <w:sz w:val="20"/>
          <w:szCs w:val="20"/>
          <w:bdr w:val="none" w:sz="0" w:space="0" w:color="auto"/>
        </w:rPr>
        <w:t>s</w:t>
      </w:r>
      <w:r w:rsidR="00171038" w:rsidRPr="00A51861">
        <w:rPr>
          <w:rFonts w:ascii="Cambria" w:hAnsi="Cambria"/>
          <w:sz w:val="20"/>
          <w:szCs w:val="20"/>
          <w:bdr w:val="none" w:sz="0" w:space="0" w:color="auto"/>
        </w:rPr>
        <w:t xml:space="preserve"> </w:t>
      </w:r>
      <w:r>
        <w:rPr>
          <w:rFonts w:ascii="Cambria" w:hAnsi="Cambria"/>
          <w:sz w:val="20"/>
          <w:szCs w:val="20"/>
          <w:bdr w:val="none" w:sz="0" w:space="0" w:color="auto"/>
        </w:rPr>
        <w:t>applied on its</w:t>
      </w:r>
      <w:r w:rsidR="00171038" w:rsidRPr="00A51861">
        <w:rPr>
          <w:rFonts w:ascii="Cambria" w:hAnsi="Cambria"/>
          <w:sz w:val="20"/>
          <w:szCs w:val="20"/>
          <w:bdr w:val="none" w:sz="0" w:space="0" w:color="auto"/>
        </w:rPr>
        <w:t xml:space="preserve"> </w:t>
      </w:r>
      <w:r w:rsidR="00EF1F73">
        <w:rPr>
          <w:rFonts w:ascii="Cambria" w:hAnsi="Cambria"/>
          <w:sz w:val="20"/>
          <w:szCs w:val="20"/>
          <w:bdr w:val="none" w:sz="0" w:space="0" w:color="auto"/>
        </w:rPr>
        <w:t>precedents</w:t>
      </w:r>
      <w:r w:rsidR="00B773DC">
        <w:rPr>
          <w:rFonts w:ascii="Cambria" w:hAnsi="Cambria"/>
          <w:sz w:val="20"/>
          <w:szCs w:val="20"/>
          <w:bdr w:val="none" w:sz="0" w:space="0" w:color="auto"/>
        </w:rPr>
        <w:t xml:space="preserve"> a </w:t>
      </w:r>
      <w:r>
        <w:rPr>
          <w:rFonts w:ascii="Cambria" w:hAnsi="Cambria"/>
          <w:sz w:val="20"/>
          <w:szCs w:val="20"/>
          <w:bdr w:val="none" w:sz="0" w:space="0" w:color="auto"/>
        </w:rPr>
        <w:t>broad notion</w:t>
      </w:r>
      <w:r w:rsidR="00E92985">
        <w:rPr>
          <w:rFonts w:ascii="Cambria" w:hAnsi="Cambria"/>
          <w:sz w:val="20"/>
          <w:szCs w:val="20"/>
          <w:bdr w:val="none" w:sz="0" w:space="0" w:color="auto"/>
        </w:rPr>
        <w:t xml:space="preserve"> of</w:t>
      </w:r>
      <w:r w:rsidR="006A3C04">
        <w:rPr>
          <w:rFonts w:ascii="Cambria" w:hAnsi="Cambria"/>
          <w:sz w:val="20"/>
          <w:szCs w:val="20"/>
          <w:bdr w:val="none" w:sz="0" w:space="0" w:color="auto"/>
        </w:rPr>
        <w:t xml:space="preserve"> the facts</w:t>
      </w:r>
      <w:r w:rsidR="00171038" w:rsidRPr="00A51861">
        <w:rPr>
          <w:rFonts w:ascii="Cambria" w:hAnsi="Cambria"/>
          <w:sz w:val="20"/>
          <w:szCs w:val="20"/>
          <w:bdr w:val="none" w:sz="0" w:space="0" w:color="auto"/>
        </w:rPr>
        <w:t xml:space="preserve"> </w:t>
      </w:r>
      <w:r>
        <w:rPr>
          <w:rFonts w:ascii="Cambria" w:hAnsi="Cambria"/>
          <w:sz w:val="20"/>
          <w:szCs w:val="20"/>
          <w:bdr w:val="none" w:sz="0" w:space="0" w:color="auto"/>
        </w:rPr>
        <w:t>which</w:t>
      </w:r>
      <w:r w:rsidR="00171038" w:rsidRPr="00A51861">
        <w:rPr>
          <w:rFonts w:ascii="Cambria" w:hAnsi="Cambria"/>
          <w:sz w:val="20"/>
          <w:szCs w:val="20"/>
          <w:bdr w:val="none" w:sz="0" w:space="0" w:color="auto"/>
        </w:rPr>
        <w:t xml:space="preserve"> </w:t>
      </w:r>
      <w:r w:rsidR="005835F2">
        <w:rPr>
          <w:rFonts w:ascii="Cambria" w:hAnsi="Cambria"/>
          <w:sz w:val="20"/>
          <w:szCs w:val="20"/>
          <w:bdr w:val="none" w:sz="0" w:space="0" w:color="auto"/>
        </w:rPr>
        <w:t>constitute</w:t>
      </w:r>
      <w:r w:rsidR="00171038" w:rsidRPr="00A51861">
        <w:rPr>
          <w:rFonts w:ascii="Cambria" w:hAnsi="Cambria"/>
          <w:sz w:val="20"/>
          <w:szCs w:val="20"/>
          <w:bdr w:val="none" w:sz="0" w:space="0" w:color="auto"/>
        </w:rPr>
        <w:t xml:space="preserve"> </w:t>
      </w:r>
      <w:r w:rsidR="00F329E7">
        <w:rPr>
          <w:rFonts w:ascii="Cambria" w:hAnsi="Cambria"/>
          <w:sz w:val="20"/>
          <w:szCs w:val="20"/>
          <w:bdr w:val="none" w:sz="0" w:space="0" w:color="auto"/>
        </w:rPr>
        <w:t>impairment</w:t>
      </w:r>
      <w:r w:rsidR="00171038" w:rsidRPr="00A51861">
        <w:rPr>
          <w:rFonts w:ascii="Cambria" w:hAnsi="Cambria"/>
          <w:sz w:val="20"/>
          <w:szCs w:val="20"/>
          <w:bdr w:val="none" w:sz="0" w:space="0" w:color="auto"/>
        </w:rPr>
        <w:t xml:space="preserve">s </w:t>
      </w:r>
      <w:r>
        <w:rPr>
          <w:rFonts w:ascii="Cambria" w:hAnsi="Cambria"/>
          <w:sz w:val="20"/>
          <w:szCs w:val="20"/>
          <w:bdr w:val="none" w:sz="0" w:space="0" w:color="auto"/>
        </w:rPr>
        <w:t>to</w:t>
      </w:r>
      <w:r w:rsidR="009A4F91">
        <w:rPr>
          <w:rFonts w:ascii="Cambria" w:hAnsi="Cambria"/>
          <w:sz w:val="20"/>
          <w:szCs w:val="20"/>
          <w:bdr w:val="none" w:sz="0" w:space="0" w:color="auto"/>
        </w:rPr>
        <w:t xml:space="preserve"> </w:t>
      </w:r>
      <w:r w:rsidR="00387B53">
        <w:rPr>
          <w:rFonts w:ascii="Cambria" w:hAnsi="Cambria"/>
          <w:sz w:val="20"/>
          <w:szCs w:val="20"/>
          <w:bdr w:val="none" w:sz="0" w:space="0" w:color="auto"/>
        </w:rPr>
        <w:t>liberty</w:t>
      </w:r>
      <w:r w:rsidR="00936680" w:rsidRPr="00A51861">
        <w:rPr>
          <w:rFonts w:ascii="Cambria" w:hAnsi="Cambria"/>
          <w:sz w:val="20"/>
          <w:szCs w:val="20"/>
          <w:bdr w:val="none" w:sz="0" w:space="0" w:color="auto"/>
        </w:rPr>
        <w:t xml:space="preserve"> </w:t>
      </w:r>
      <w:r>
        <w:rPr>
          <w:rFonts w:ascii="Cambria" w:hAnsi="Cambria"/>
          <w:sz w:val="20"/>
          <w:szCs w:val="20"/>
          <w:bdr w:val="none" w:sz="0" w:space="0" w:color="auto"/>
        </w:rPr>
        <w:t>concerning</w:t>
      </w:r>
      <w:r w:rsidR="009A4F91">
        <w:rPr>
          <w:rFonts w:ascii="Cambria" w:hAnsi="Cambria"/>
          <w:sz w:val="20"/>
          <w:szCs w:val="20"/>
          <w:bdr w:val="none" w:sz="0" w:space="0" w:color="auto"/>
        </w:rPr>
        <w:t xml:space="preserve"> the </w:t>
      </w:r>
      <w:r w:rsidR="0059627A">
        <w:rPr>
          <w:rFonts w:ascii="Cambria" w:hAnsi="Cambria"/>
          <w:sz w:val="20"/>
          <w:szCs w:val="20"/>
          <w:bdr w:val="none" w:sz="0" w:space="0" w:color="auto"/>
        </w:rPr>
        <w:t>application</w:t>
      </w:r>
      <w:r w:rsidR="00E92985">
        <w:rPr>
          <w:rFonts w:ascii="Cambria" w:hAnsi="Cambria"/>
          <w:sz w:val="20"/>
          <w:szCs w:val="20"/>
          <w:bdr w:val="none" w:sz="0" w:space="0" w:color="auto"/>
        </w:rPr>
        <w:t xml:space="preserve"> of </w:t>
      </w:r>
      <w:r w:rsidR="002835FC" w:rsidRPr="00A51861">
        <w:rPr>
          <w:rFonts w:ascii="Cambria" w:hAnsi="Cambria"/>
          <w:sz w:val="20"/>
          <w:szCs w:val="20"/>
          <w:bdr w:val="none" w:sz="0" w:space="0" w:color="auto"/>
        </w:rPr>
        <w:t xml:space="preserve">Law </w:t>
      </w:r>
      <w:r w:rsidR="00936680" w:rsidRPr="00A51861">
        <w:rPr>
          <w:rFonts w:ascii="Cambria" w:hAnsi="Cambria"/>
          <w:sz w:val="20"/>
          <w:szCs w:val="20"/>
          <w:bdr w:val="none" w:sz="0" w:space="0" w:color="auto"/>
        </w:rPr>
        <w:t>24.043</w:t>
      </w:r>
      <w:r w:rsidR="00171038" w:rsidRPr="00A51861">
        <w:rPr>
          <w:rFonts w:ascii="Cambria" w:hAnsi="Cambria"/>
          <w:sz w:val="20"/>
          <w:szCs w:val="20"/>
          <w:bdr w:val="none" w:sz="0" w:space="0" w:color="auto"/>
        </w:rPr>
        <w:t xml:space="preserve">. </w:t>
      </w:r>
      <w:r>
        <w:rPr>
          <w:rFonts w:ascii="Cambria" w:hAnsi="Cambria"/>
          <w:sz w:val="20"/>
          <w:szCs w:val="20"/>
          <w:bdr w:val="none" w:sz="0" w:space="0" w:color="auto"/>
        </w:rPr>
        <w:t>Thus</w:t>
      </w:r>
      <w:r w:rsidR="00171038" w:rsidRPr="00A51861">
        <w:rPr>
          <w:rFonts w:ascii="Cambria" w:hAnsi="Cambria"/>
          <w:sz w:val="20"/>
          <w:szCs w:val="20"/>
          <w:bdr w:val="none" w:sz="0" w:space="0" w:color="auto"/>
        </w:rPr>
        <w:t xml:space="preserve">, </w:t>
      </w:r>
      <w:r w:rsidR="00775F21">
        <w:rPr>
          <w:rFonts w:ascii="Cambria" w:hAnsi="Cambria"/>
          <w:sz w:val="20"/>
          <w:szCs w:val="20"/>
          <w:bdr w:val="none" w:sz="0" w:space="0" w:color="auto"/>
        </w:rPr>
        <w:t xml:space="preserve">in </w:t>
      </w:r>
      <w:r>
        <w:rPr>
          <w:rFonts w:ascii="Cambria" w:hAnsi="Cambria"/>
          <w:sz w:val="20"/>
          <w:szCs w:val="20"/>
          <w:bdr w:val="none" w:sz="0" w:space="0" w:color="auto"/>
        </w:rPr>
        <w:t xml:space="preserve">the </w:t>
      </w:r>
      <w:r w:rsidR="00775F21">
        <w:rPr>
          <w:rFonts w:ascii="Cambria" w:hAnsi="Cambria"/>
          <w:sz w:val="20"/>
          <w:szCs w:val="20"/>
          <w:bdr w:val="none" w:sz="0" w:space="0" w:color="auto"/>
        </w:rPr>
        <w:t xml:space="preserve">terms of </w:t>
      </w:r>
      <w:r>
        <w:rPr>
          <w:rFonts w:ascii="Cambria" w:hAnsi="Cambria"/>
          <w:sz w:val="20"/>
          <w:szCs w:val="20"/>
          <w:bdr w:val="none" w:sz="0" w:space="0" w:color="auto"/>
        </w:rPr>
        <w:t xml:space="preserve">the </w:t>
      </w:r>
      <w:r w:rsidR="00F92BA8">
        <w:rPr>
          <w:rFonts w:ascii="Cambria" w:hAnsi="Cambria"/>
          <w:color w:val="000000" w:themeColor="text1"/>
          <w:sz w:val="20"/>
          <w:szCs w:val="20"/>
        </w:rPr>
        <w:t>decision</w:t>
      </w:r>
      <w:r w:rsidR="004969F4">
        <w:rPr>
          <w:rFonts w:ascii="Cambria" w:hAnsi="Cambria"/>
          <w:color w:val="000000" w:themeColor="text1"/>
          <w:sz w:val="20"/>
          <w:szCs w:val="20"/>
        </w:rPr>
        <w:t xml:space="preserve"> of the </w:t>
      </w:r>
      <w:r w:rsidR="00171038" w:rsidRPr="00A51861">
        <w:rPr>
          <w:rFonts w:ascii="Cambria" w:hAnsi="Cambria"/>
          <w:sz w:val="20"/>
          <w:szCs w:val="20"/>
          <w:bdr w:val="none" w:sz="0" w:space="0" w:color="auto"/>
        </w:rPr>
        <w:t>Geuna</w:t>
      </w:r>
      <w:r w:rsidRPr="000674CA">
        <w:rPr>
          <w:rFonts w:ascii="Cambria" w:hAnsi="Cambria"/>
          <w:sz w:val="20"/>
          <w:szCs w:val="20"/>
          <w:bdr w:val="none" w:sz="0" w:space="0" w:color="auto"/>
        </w:rPr>
        <w:t xml:space="preserve"> </w:t>
      </w:r>
      <w:r w:rsidRPr="00A51861">
        <w:rPr>
          <w:rFonts w:ascii="Cambria" w:hAnsi="Cambria"/>
          <w:sz w:val="20"/>
          <w:szCs w:val="20"/>
          <w:bdr w:val="none" w:sz="0" w:space="0" w:color="auto"/>
        </w:rPr>
        <w:t>cas</w:t>
      </w:r>
      <w:r>
        <w:rPr>
          <w:rFonts w:ascii="Cambria" w:hAnsi="Cambria"/>
          <w:sz w:val="20"/>
          <w:szCs w:val="20"/>
          <w:bdr w:val="none" w:sz="0" w:space="0" w:color="auto"/>
        </w:rPr>
        <w:t>e</w:t>
      </w:r>
      <w:r w:rsidR="00171038" w:rsidRPr="00A51861">
        <w:rPr>
          <w:rFonts w:ascii="Cambria" w:hAnsi="Cambria"/>
          <w:sz w:val="20"/>
          <w:szCs w:val="20"/>
          <w:bdr w:val="none" w:sz="0" w:space="0" w:color="auto"/>
        </w:rPr>
        <w:t xml:space="preserve">, </w:t>
      </w:r>
      <w:r>
        <w:rPr>
          <w:rFonts w:ascii="Cambria" w:hAnsi="Cambria"/>
          <w:sz w:val="20"/>
          <w:szCs w:val="20"/>
          <w:bdr w:val="none" w:sz="0" w:space="0" w:color="auto"/>
        </w:rPr>
        <w:t>for example</w:t>
      </w:r>
      <w:r w:rsidR="00171038" w:rsidRPr="00A51861">
        <w:rPr>
          <w:rFonts w:ascii="Cambria" w:hAnsi="Cambria"/>
          <w:sz w:val="20"/>
          <w:szCs w:val="20"/>
          <w:bdr w:val="none" w:sz="0" w:space="0" w:color="auto"/>
        </w:rPr>
        <w:t xml:space="preserve">, </w:t>
      </w:r>
      <w:r>
        <w:rPr>
          <w:rFonts w:ascii="Cambria" w:hAnsi="Cambria"/>
          <w:sz w:val="20"/>
          <w:szCs w:val="20"/>
          <w:bdr w:val="none" w:sz="0" w:space="0" w:color="auto"/>
        </w:rPr>
        <w:t>it was held that said</w:t>
      </w:r>
      <w:r w:rsidR="00171038" w:rsidRPr="00A51861">
        <w:rPr>
          <w:rFonts w:ascii="Cambria" w:hAnsi="Cambria"/>
          <w:sz w:val="20"/>
          <w:szCs w:val="20"/>
          <w:bdr w:val="none" w:sz="0" w:space="0" w:color="auto"/>
        </w:rPr>
        <w:t xml:space="preserve"> </w:t>
      </w:r>
      <w:r w:rsidR="0029564F">
        <w:rPr>
          <w:rFonts w:ascii="Cambria" w:hAnsi="Cambria"/>
          <w:sz w:val="20"/>
          <w:szCs w:val="20"/>
          <w:bdr w:val="none" w:sz="0" w:space="0" w:color="auto"/>
        </w:rPr>
        <w:t>law</w:t>
      </w:r>
      <w:r w:rsidR="00936680" w:rsidRPr="00A51861">
        <w:rPr>
          <w:rFonts w:ascii="Cambria" w:hAnsi="Cambria"/>
          <w:sz w:val="20"/>
          <w:szCs w:val="20"/>
          <w:bdr w:val="none" w:sz="0" w:space="0" w:color="auto"/>
        </w:rPr>
        <w:t xml:space="preserve"> “</w:t>
      </w:r>
      <w:r>
        <w:rPr>
          <w:rFonts w:ascii="Cambria" w:hAnsi="Cambria"/>
          <w:sz w:val="20"/>
          <w:szCs w:val="20"/>
          <w:bdr w:val="none" w:sz="0" w:space="0" w:color="auto"/>
        </w:rPr>
        <w:t>covered</w:t>
      </w:r>
      <w:r w:rsidR="00936680" w:rsidRPr="00A51861">
        <w:rPr>
          <w:rFonts w:ascii="Cambria" w:hAnsi="Cambria"/>
          <w:sz w:val="20"/>
          <w:szCs w:val="20"/>
          <w:bdr w:val="none" w:sz="0" w:space="0" w:color="auto"/>
        </w:rPr>
        <w:t xml:space="preserve">, </w:t>
      </w:r>
      <w:r>
        <w:rPr>
          <w:rFonts w:ascii="Cambria" w:hAnsi="Cambria"/>
          <w:sz w:val="20"/>
          <w:szCs w:val="20"/>
          <w:bdr w:val="none" w:sz="0" w:space="0" w:color="auto"/>
        </w:rPr>
        <w:t>then</w:t>
      </w:r>
      <w:r w:rsidR="00936680" w:rsidRPr="00A51861">
        <w:rPr>
          <w:rFonts w:ascii="Cambria" w:hAnsi="Cambria"/>
          <w:sz w:val="20"/>
          <w:szCs w:val="20"/>
          <w:bdr w:val="none" w:sz="0" w:space="0" w:color="auto"/>
        </w:rPr>
        <w:t xml:space="preserve">, </w:t>
      </w:r>
      <w:r>
        <w:rPr>
          <w:rFonts w:ascii="Cambria" w:hAnsi="Cambria"/>
          <w:sz w:val="20"/>
          <w:szCs w:val="20"/>
          <w:bdr w:val="none" w:sz="0" w:space="0" w:color="auto"/>
        </w:rPr>
        <w:t>a broad spectrum which</w:t>
      </w:r>
      <w:r w:rsidR="00936680" w:rsidRPr="00A51861">
        <w:rPr>
          <w:rFonts w:ascii="Cambria" w:hAnsi="Cambria"/>
          <w:sz w:val="20"/>
          <w:szCs w:val="20"/>
          <w:bdr w:val="none" w:sz="0" w:space="0" w:color="auto"/>
        </w:rPr>
        <w:t xml:space="preserve"> </w:t>
      </w:r>
      <w:r>
        <w:rPr>
          <w:rFonts w:ascii="Cambria" w:hAnsi="Cambria"/>
          <w:sz w:val="20"/>
          <w:szCs w:val="20"/>
          <w:bdr w:val="none" w:sz="0" w:space="0" w:color="auto"/>
        </w:rPr>
        <w:t>included from the</w:t>
      </w:r>
      <w:r w:rsidR="00936680" w:rsidRPr="00A51861">
        <w:rPr>
          <w:rFonts w:ascii="Cambria" w:hAnsi="Cambria"/>
          <w:sz w:val="20"/>
          <w:szCs w:val="20"/>
          <w:bdr w:val="none" w:sz="0" w:space="0" w:color="auto"/>
        </w:rPr>
        <w:t xml:space="preserve"> </w:t>
      </w:r>
      <w:r>
        <w:rPr>
          <w:rFonts w:ascii="Cambria" w:hAnsi="Cambria"/>
          <w:sz w:val="20"/>
          <w:szCs w:val="20"/>
          <w:bdr w:val="none" w:sz="0" w:space="0" w:color="auto"/>
        </w:rPr>
        <w:t>most</w:t>
      </w:r>
      <w:r w:rsidR="00936680" w:rsidRPr="00A51861">
        <w:rPr>
          <w:rFonts w:ascii="Cambria" w:hAnsi="Cambria"/>
          <w:sz w:val="20"/>
          <w:szCs w:val="20"/>
          <w:bdr w:val="none" w:sz="0" w:space="0" w:color="auto"/>
        </w:rPr>
        <w:t xml:space="preserve"> radical </w:t>
      </w:r>
      <w:r>
        <w:rPr>
          <w:rFonts w:ascii="Cambria" w:hAnsi="Cambria"/>
          <w:sz w:val="20"/>
          <w:szCs w:val="20"/>
          <w:bdr w:val="none" w:sz="0" w:space="0" w:color="auto"/>
        </w:rPr>
        <w:t>impairment</w:t>
      </w:r>
      <w:r w:rsidRPr="00A51861">
        <w:rPr>
          <w:rFonts w:ascii="Cambria" w:hAnsi="Cambria"/>
          <w:sz w:val="20"/>
          <w:szCs w:val="20"/>
          <w:bdr w:val="none" w:sz="0" w:space="0" w:color="auto"/>
        </w:rPr>
        <w:t xml:space="preserve"> </w:t>
      </w:r>
      <w:r>
        <w:rPr>
          <w:rFonts w:ascii="Cambria" w:hAnsi="Cambria"/>
          <w:sz w:val="20"/>
          <w:szCs w:val="20"/>
          <w:bdr w:val="none" w:sz="0" w:space="0" w:color="auto"/>
        </w:rPr>
        <w:t>to</w:t>
      </w:r>
      <w:r w:rsidR="009A4F91">
        <w:rPr>
          <w:rFonts w:ascii="Cambria" w:hAnsi="Cambria"/>
          <w:sz w:val="20"/>
          <w:szCs w:val="20"/>
          <w:bdr w:val="none" w:sz="0" w:space="0" w:color="auto"/>
        </w:rPr>
        <w:t xml:space="preserve"> </w:t>
      </w:r>
      <w:r w:rsidR="00387B53">
        <w:rPr>
          <w:rFonts w:ascii="Cambria" w:hAnsi="Cambria"/>
          <w:sz w:val="20"/>
          <w:szCs w:val="20"/>
          <w:bdr w:val="none" w:sz="0" w:space="0" w:color="auto"/>
        </w:rPr>
        <w:t>liberty</w:t>
      </w:r>
      <w:r w:rsidR="00E92985">
        <w:rPr>
          <w:rFonts w:ascii="Cambria" w:hAnsi="Cambria"/>
          <w:sz w:val="20"/>
          <w:szCs w:val="20"/>
          <w:bdr w:val="none" w:sz="0" w:space="0" w:color="auto"/>
        </w:rPr>
        <w:t xml:space="preserve"> and </w:t>
      </w:r>
      <w:r>
        <w:rPr>
          <w:rFonts w:ascii="Cambria" w:hAnsi="Cambria"/>
          <w:sz w:val="20"/>
          <w:szCs w:val="20"/>
          <w:bdr w:val="none" w:sz="0" w:space="0" w:color="auto"/>
        </w:rPr>
        <w:t>to life</w:t>
      </w:r>
      <w:r w:rsidR="00936680" w:rsidRPr="00A51861">
        <w:rPr>
          <w:rFonts w:ascii="Cambria" w:hAnsi="Cambria"/>
          <w:sz w:val="20"/>
          <w:szCs w:val="20"/>
          <w:bdr w:val="none" w:sz="0" w:space="0" w:color="auto"/>
        </w:rPr>
        <w:t xml:space="preserve"> –</w:t>
      </w:r>
      <w:r w:rsidR="00404714">
        <w:rPr>
          <w:rFonts w:ascii="Cambria" w:hAnsi="Cambria"/>
          <w:sz w:val="20"/>
          <w:szCs w:val="20"/>
          <w:bdr w:val="none" w:sz="0" w:space="0" w:color="auto"/>
        </w:rPr>
        <w:t xml:space="preserve">acts </w:t>
      </w:r>
      <w:r w:rsidR="00664D70">
        <w:rPr>
          <w:rFonts w:ascii="Cambria" w:hAnsi="Cambria"/>
          <w:sz w:val="20"/>
          <w:szCs w:val="20"/>
          <w:bdr w:val="none" w:sz="0" w:space="0" w:color="auto"/>
        </w:rPr>
        <w:t>against</w:t>
      </w:r>
      <w:r w:rsidR="00E92985">
        <w:rPr>
          <w:rFonts w:ascii="Cambria" w:hAnsi="Cambria"/>
          <w:sz w:val="20"/>
          <w:szCs w:val="20"/>
          <w:bdr w:val="none" w:sz="0" w:space="0" w:color="auto"/>
        </w:rPr>
        <w:t xml:space="preserve"> </w:t>
      </w:r>
      <w:r w:rsidR="00664D70">
        <w:rPr>
          <w:rFonts w:ascii="Cambria" w:hAnsi="Cambria"/>
          <w:sz w:val="20"/>
          <w:szCs w:val="20"/>
          <w:bdr w:val="none" w:sz="0" w:space="0" w:color="auto"/>
        </w:rPr>
        <w:t>Human rights</w:t>
      </w:r>
      <w:r w:rsidR="00F4684B">
        <w:rPr>
          <w:rFonts w:ascii="Cambria" w:hAnsi="Cambria"/>
          <w:sz w:val="20"/>
          <w:szCs w:val="20"/>
          <w:bdr w:val="none" w:sz="0" w:space="0" w:color="auto"/>
        </w:rPr>
        <w:t xml:space="preserve"> </w:t>
      </w:r>
      <w:r w:rsidR="00664D70">
        <w:rPr>
          <w:rFonts w:ascii="Cambria" w:hAnsi="Cambria"/>
          <w:sz w:val="20"/>
          <w:szCs w:val="20"/>
          <w:bdr w:val="none" w:sz="0" w:space="0" w:color="auto"/>
        </w:rPr>
        <w:t>which may cause severe injuries or death</w:t>
      </w:r>
      <w:r w:rsidR="00E92985">
        <w:rPr>
          <w:rFonts w:ascii="Cambria" w:hAnsi="Cambria"/>
          <w:sz w:val="20"/>
          <w:szCs w:val="20"/>
          <w:bdr w:val="none" w:sz="0" w:space="0" w:color="auto"/>
        </w:rPr>
        <w:t xml:space="preserve"> </w:t>
      </w:r>
      <w:r w:rsidR="00936680" w:rsidRPr="00A51861">
        <w:rPr>
          <w:rFonts w:ascii="Cambria" w:hAnsi="Cambria"/>
          <w:sz w:val="20"/>
          <w:szCs w:val="20"/>
          <w:bdr w:val="none" w:sz="0" w:space="0" w:color="auto"/>
        </w:rPr>
        <w:t>(</w:t>
      </w:r>
      <w:r w:rsidR="00664D70">
        <w:rPr>
          <w:rFonts w:ascii="Cambria" w:hAnsi="Cambria"/>
          <w:sz w:val="20"/>
          <w:szCs w:val="20"/>
          <w:bdr w:val="none" w:sz="0" w:space="0" w:color="auto"/>
        </w:rPr>
        <w:t>4</w:t>
      </w:r>
      <w:r w:rsidR="00664D70" w:rsidRPr="00664D70">
        <w:rPr>
          <w:rFonts w:ascii="Cambria" w:hAnsi="Cambria"/>
          <w:sz w:val="20"/>
          <w:szCs w:val="20"/>
          <w:bdr w:val="none" w:sz="0" w:space="0" w:color="auto"/>
          <w:vertAlign w:val="superscript"/>
        </w:rPr>
        <w:t>th</w:t>
      </w:r>
      <w:r w:rsidR="00664D70">
        <w:rPr>
          <w:rFonts w:ascii="Cambria" w:hAnsi="Cambria"/>
          <w:sz w:val="20"/>
          <w:szCs w:val="20"/>
          <w:bdr w:val="none" w:sz="0" w:space="0" w:color="auto"/>
        </w:rPr>
        <w:t xml:space="preserve"> </w:t>
      </w:r>
      <w:r w:rsidR="00936680" w:rsidRPr="00A51861">
        <w:rPr>
          <w:rFonts w:ascii="Cambria" w:hAnsi="Cambria"/>
          <w:sz w:val="20"/>
          <w:szCs w:val="20"/>
          <w:bdr w:val="none" w:sz="0" w:space="0" w:color="auto"/>
        </w:rPr>
        <w:t xml:space="preserve">art, </w:t>
      </w:r>
      <w:r w:rsidR="00664D70">
        <w:rPr>
          <w:rFonts w:ascii="Cambria" w:hAnsi="Cambria"/>
          <w:sz w:val="20"/>
          <w:szCs w:val="20"/>
          <w:bdr w:val="none" w:sz="0" w:space="0" w:color="auto"/>
        </w:rPr>
        <w:t>fourth</w:t>
      </w:r>
      <w:r w:rsidR="00E92985">
        <w:rPr>
          <w:rFonts w:ascii="Cambria" w:hAnsi="Cambria"/>
          <w:sz w:val="20"/>
          <w:szCs w:val="20"/>
          <w:bdr w:val="none" w:sz="0" w:space="0" w:color="auto"/>
        </w:rPr>
        <w:t xml:space="preserve"> and </w:t>
      </w:r>
      <w:r w:rsidR="00664D70">
        <w:rPr>
          <w:rFonts w:ascii="Cambria" w:hAnsi="Cambria"/>
          <w:sz w:val="20"/>
          <w:szCs w:val="20"/>
          <w:bdr w:val="none" w:sz="0" w:space="0" w:color="auto"/>
        </w:rPr>
        <w:t>fifth</w:t>
      </w:r>
      <w:r w:rsidR="00664D70" w:rsidRPr="00664D70">
        <w:rPr>
          <w:rFonts w:ascii="Cambria" w:hAnsi="Cambria"/>
          <w:sz w:val="20"/>
          <w:szCs w:val="20"/>
          <w:bdr w:val="none" w:sz="0" w:space="0" w:color="auto"/>
        </w:rPr>
        <w:t xml:space="preserve"> </w:t>
      </w:r>
      <w:r w:rsidR="00664D70" w:rsidRPr="00A51861">
        <w:rPr>
          <w:rFonts w:ascii="Cambria" w:hAnsi="Cambria"/>
          <w:sz w:val="20"/>
          <w:szCs w:val="20"/>
          <w:bdr w:val="none" w:sz="0" w:space="0" w:color="auto"/>
        </w:rPr>
        <w:t>p</w:t>
      </w:r>
      <w:r w:rsidR="00664D70">
        <w:rPr>
          <w:rFonts w:ascii="Cambria" w:hAnsi="Cambria"/>
          <w:sz w:val="20"/>
          <w:szCs w:val="20"/>
          <w:bdr w:val="none" w:sz="0" w:space="0" w:color="auto"/>
        </w:rPr>
        <w:t>aragraphs</w:t>
      </w:r>
      <w:r w:rsidR="00936680" w:rsidRPr="00A51861">
        <w:rPr>
          <w:rFonts w:ascii="Cambria" w:hAnsi="Cambria"/>
          <w:sz w:val="20"/>
          <w:szCs w:val="20"/>
          <w:bdr w:val="none" w:sz="0" w:space="0" w:color="auto"/>
        </w:rPr>
        <w:t>) –</w:t>
      </w:r>
      <w:r w:rsidR="00664D70">
        <w:rPr>
          <w:rFonts w:ascii="Cambria" w:hAnsi="Cambria"/>
          <w:sz w:val="20"/>
          <w:szCs w:val="20"/>
          <w:bdr w:val="none" w:sz="0" w:space="0" w:color="auto"/>
        </w:rPr>
        <w:t>to a softened</w:t>
      </w:r>
      <w:r w:rsidR="00936680" w:rsidRPr="00A51861">
        <w:rPr>
          <w:rFonts w:ascii="Cambria" w:hAnsi="Cambria"/>
          <w:sz w:val="20"/>
          <w:szCs w:val="20"/>
          <w:bdr w:val="none" w:sz="0" w:space="0" w:color="auto"/>
        </w:rPr>
        <w:t xml:space="preserve"> </w:t>
      </w:r>
      <w:r w:rsidR="00F329E7">
        <w:rPr>
          <w:rFonts w:ascii="Cambria" w:hAnsi="Cambria"/>
          <w:sz w:val="20"/>
          <w:szCs w:val="20"/>
          <w:bdr w:val="none" w:sz="0" w:space="0" w:color="auto"/>
        </w:rPr>
        <w:t>impairment</w:t>
      </w:r>
      <w:r w:rsidR="00936680" w:rsidRPr="00A51861">
        <w:rPr>
          <w:rFonts w:ascii="Cambria" w:hAnsi="Cambria"/>
          <w:sz w:val="20"/>
          <w:szCs w:val="20"/>
          <w:bdr w:val="none" w:sz="0" w:space="0" w:color="auto"/>
        </w:rPr>
        <w:t>”</w:t>
      </w:r>
      <w:r w:rsidR="00936680" w:rsidRPr="00A51861">
        <w:rPr>
          <w:rStyle w:val="FootnoteReference"/>
          <w:rFonts w:ascii="Cambria" w:hAnsi="Cambria"/>
          <w:sz w:val="20"/>
          <w:szCs w:val="20"/>
          <w:bdr w:val="none" w:sz="0" w:space="0" w:color="auto"/>
        </w:rPr>
        <w:footnoteReference w:id="247"/>
      </w:r>
      <w:r w:rsidR="00936680" w:rsidRPr="00A51861">
        <w:rPr>
          <w:rFonts w:ascii="Cambria" w:hAnsi="Cambria"/>
          <w:sz w:val="20"/>
          <w:szCs w:val="20"/>
          <w:bdr w:val="none" w:sz="0" w:space="0" w:color="auto"/>
        </w:rPr>
        <w:t xml:space="preserve">. </w:t>
      </w:r>
      <w:r w:rsidR="00F92BA8">
        <w:rPr>
          <w:rFonts w:ascii="Cambria" w:hAnsi="Cambria"/>
          <w:sz w:val="20"/>
          <w:szCs w:val="20"/>
          <w:bdr w:val="none" w:sz="0" w:space="0" w:color="auto"/>
        </w:rPr>
        <w:t xml:space="preserve">Likewise, </w:t>
      </w:r>
      <w:r w:rsidR="00664D70">
        <w:rPr>
          <w:rFonts w:ascii="Cambria" w:hAnsi="Cambria"/>
          <w:sz w:val="20"/>
          <w:szCs w:val="20"/>
          <w:bdr w:val="none" w:sz="0" w:space="0" w:color="auto"/>
        </w:rPr>
        <w:t>as previously referred</w:t>
      </w:r>
      <w:r w:rsidR="00936680" w:rsidRPr="00A51861">
        <w:rPr>
          <w:rFonts w:ascii="Cambria" w:hAnsi="Cambria"/>
          <w:sz w:val="20"/>
          <w:szCs w:val="20"/>
          <w:bdr w:val="none" w:sz="0" w:space="0" w:color="auto"/>
        </w:rPr>
        <w:t xml:space="preserve">, </w:t>
      </w:r>
      <w:r w:rsidR="00664D70">
        <w:rPr>
          <w:rFonts w:ascii="Cambria" w:hAnsi="Cambria"/>
          <w:sz w:val="20"/>
          <w:szCs w:val="20"/>
          <w:bdr w:val="none" w:sz="0" w:space="0" w:color="auto"/>
        </w:rPr>
        <w:t>in the</w:t>
      </w:r>
      <w:r w:rsidR="00936680" w:rsidRPr="00A51861">
        <w:rPr>
          <w:rFonts w:ascii="Cambria" w:hAnsi="Cambria"/>
          <w:sz w:val="20"/>
          <w:szCs w:val="20"/>
          <w:bdr w:val="none" w:sz="0" w:space="0" w:color="auto"/>
        </w:rPr>
        <w:t xml:space="preserve"> </w:t>
      </w:r>
      <w:r w:rsidR="00B773DC">
        <w:rPr>
          <w:rFonts w:ascii="Cambria" w:hAnsi="Cambria"/>
          <w:sz w:val="20"/>
          <w:szCs w:val="20"/>
          <w:bdr w:val="none" w:sz="0" w:space="0" w:color="auto"/>
        </w:rPr>
        <w:t xml:space="preserve">Yofre de Vaca </w:t>
      </w:r>
      <w:r w:rsidR="00664D70">
        <w:rPr>
          <w:rFonts w:ascii="Cambria" w:hAnsi="Cambria"/>
          <w:sz w:val="20"/>
          <w:szCs w:val="20"/>
          <w:bdr w:val="none" w:sz="0" w:space="0" w:color="auto"/>
        </w:rPr>
        <w:t>ca</w:t>
      </w:r>
      <w:r w:rsidR="00936680" w:rsidRPr="00A51861">
        <w:rPr>
          <w:rFonts w:ascii="Cambria" w:hAnsi="Cambria"/>
          <w:sz w:val="20"/>
          <w:szCs w:val="20"/>
          <w:bdr w:val="none" w:sz="0" w:space="0" w:color="auto"/>
        </w:rPr>
        <w:t xml:space="preserve">se </w:t>
      </w:r>
      <w:r w:rsidR="00664D70">
        <w:rPr>
          <w:rFonts w:ascii="Cambria" w:hAnsi="Cambria"/>
          <w:sz w:val="20"/>
          <w:szCs w:val="20"/>
          <w:bdr w:val="none" w:sz="0" w:space="0" w:color="auto"/>
        </w:rPr>
        <w:t>ita was provided that</w:t>
      </w:r>
      <w:r w:rsidR="00936680" w:rsidRPr="00A51861">
        <w:rPr>
          <w:rFonts w:ascii="Cambria" w:hAnsi="Cambria"/>
          <w:sz w:val="20"/>
          <w:szCs w:val="20"/>
          <w:bdr w:val="none" w:sz="0" w:space="0" w:color="auto"/>
        </w:rPr>
        <w:t xml:space="preserve"> “</w:t>
      </w:r>
      <w:r w:rsidR="006E255A">
        <w:rPr>
          <w:rFonts w:ascii="Cambria" w:hAnsi="Cambria"/>
          <w:sz w:val="20"/>
          <w:szCs w:val="20"/>
          <w:bdr w:val="none" w:sz="0" w:space="0" w:color="auto"/>
        </w:rPr>
        <w:t>detention</w:t>
      </w:r>
      <w:r w:rsidR="00936680" w:rsidRPr="00A51861">
        <w:rPr>
          <w:rFonts w:ascii="Cambria" w:hAnsi="Cambria"/>
          <w:sz w:val="20"/>
          <w:szCs w:val="20"/>
          <w:bdr w:val="none" w:sz="0" w:space="0" w:color="auto"/>
        </w:rPr>
        <w:t xml:space="preserve">, </w:t>
      </w:r>
      <w:r w:rsidR="00664D70">
        <w:rPr>
          <w:rFonts w:ascii="Cambria" w:hAnsi="Cambria"/>
          <w:sz w:val="20"/>
          <w:szCs w:val="20"/>
          <w:bdr w:val="none" w:sz="0" w:space="0" w:color="auto"/>
        </w:rPr>
        <w:t>not only in that</w:t>
      </w:r>
      <w:r w:rsidR="00936680" w:rsidRPr="00A51861">
        <w:rPr>
          <w:rFonts w:ascii="Cambria" w:hAnsi="Cambria"/>
          <w:sz w:val="20"/>
          <w:szCs w:val="20"/>
          <w:bdr w:val="none" w:sz="0" w:space="0" w:color="auto"/>
        </w:rPr>
        <w:t xml:space="preserve"> </w:t>
      </w:r>
      <w:r w:rsidR="0029564F">
        <w:rPr>
          <w:rFonts w:ascii="Cambria" w:hAnsi="Cambria"/>
          <w:sz w:val="20"/>
          <w:szCs w:val="20"/>
          <w:bdr w:val="none" w:sz="0" w:space="0" w:color="auto"/>
        </w:rPr>
        <w:t>law</w:t>
      </w:r>
      <w:r w:rsidR="00936680" w:rsidRPr="00A51861">
        <w:rPr>
          <w:rFonts w:ascii="Cambria" w:hAnsi="Cambria"/>
          <w:sz w:val="20"/>
          <w:szCs w:val="20"/>
          <w:bdr w:val="none" w:sz="0" w:space="0" w:color="auto"/>
        </w:rPr>
        <w:t xml:space="preserve"> </w:t>
      </w:r>
      <w:r w:rsidR="00664D70">
        <w:rPr>
          <w:rFonts w:ascii="Cambria" w:hAnsi="Cambria"/>
          <w:sz w:val="20"/>
          <w:szCs w:val="20"/>
          <w:bdr w:val="none" w:sz="0" w:space="0" w:color="auto"/>
        </w:rPr>
        <w:t>but also for common sense</w:t>
      </w:r>
      <w:r w:rsidR="00936680" w:rsidRPr="00A51861">
        <w:rPr>
          <w:rFonts w:ascii="Cambria" w:hAnsi="Cambria"/>
          <w:sz w:val="20"/>
          <w:szCs w:val="20"/>
          <w:bdr w:val="none" w:sz="0" w:space="0" w:color="auto"/>
        </w:rPr>
        <w:t xml:space="preserve">, </w:t>
      </w:r>
      <w:r w:rsidR="00664D70">
        <w:rPr>
          <w:rFonts w:ascii="Cambria" w:hAnsi="Cambria"/>
          <w:sz w:val="20"/>
          <w:szCs w:val="20"/>
          <w:bdr w:val="none" w:sz="0" w:space="0" w:color="auto"/>
        </w:rPr>
        <w:t>means</w:t>
      </w:r>
      <w:r w:rsidR="00936680" w:rsidRPr="00A51861">
        <w:rPr>
          <w:rFonts w:ascii="Cambria" w:hAnsi="Cambria"/>
          <w:sz w:val="20"/>
          <w:szCs w:val="20"/>
          <w:bdr w:val="none" w:sz="0" w:space="0" w:color="auto"/>
        </w:rPr>
        <w:t xml:space="preserve"> </w:t>
      </w:r>
      <w:r w:rsidR="00664D70">
        <w:rPr>
          <w:rFonts w:ascii="Cambria" w:hAnsi="Cambria"/>
          <w:sz w:val="20"/>
          <w:szCs w:val="20"/>
          <w:bdr w:val="none" w:sz="0" w:space="0" w:color="auto"/>
        </w:rPr>
        <w:t>different forms</w:t>
      </w:r>
      <w:r w:rsidR="00E92985">
        <w:rPr>
          <w:rFonts w:ascii="Cambria" w:hAnsi="Cambria"/>
          <w:sz w:val="20"/>
          <w:szCs w:val="20"/>
          <w:bdr w:val="none" w:sz="0" w:space="0" w:color="auto"/>
        </w:rPr>
        <w:t xml:space="preserve"> of </w:t>
      </w:r>
      <w:r w:rsidR="00F329E7">
        <w:rPr>
          <w:rFonts w:ascii="Cambria" w:hAnsi="Cambria"/>
          <w:sz w:val="20"/>
          <w:szCs w:val="20"/>
          <w:bdr w:val="none" w:sz="0" w:space="0" w:color="auto"/>
        </w:rPr>
        <w:t>impairment</w:t>
      </w:r>
      <w:r w:rsidR="00936680" w:rsidRPr="00A51861">
        <w:rPr>
          <w:rFonts w:ascii="Cambria" w:hAnsi="Cambria"/>
          <w:sz w:val="20"/>
          <w:szCs w:val="20"/>
          <w:bdr w:val="none" w:sz="0" w:space="0" w:color="auto"/>
        </w:rPr>
        <w:t xml:space="preserve"> </w:t>
      </w:r>
      <w:r w:rsidR="00664D70">
        <w:rPr>
          <w:rFonts w:ascii="Cambria" w:hAnsi="Cambria"/>
          <w:sz w:val="20"/>
          <w:szCs w:val="20"/>
          <w:bdr w:val="none" w:sz="0" w:space="0" w:color="auto"/>
        </w:rPr>
        <w:t>of</w:t>
      </w:r>
      <w:r w:rsidR="009A4F91">
        <w:rPr>
          <w:rFonts w:ascii="Cambria" w:hAnsi="Cambria"/>
          <w:sz w:val="20"/>
          <w:szCs w:val="20"/>
          <w:bdr w:val="none" w:sz="0" w:space="0" w:color="auto"/>
        </w:rPr>
        <w:t xml:space="preserve"> </w:t>
      </w:r>
      <w:r w:rsidR="00387B53">
        <w:rPr>
          <w:rFonts w:ascii="Cambria" w:hAnsi="Cambria"/>
          <w:sz w:val="20"/>
          <w:szCs w:val="20"/>
          <w:bdr w:val="none" w:sz="0" w:space="0" w:color="auto"/>
        </w:rPr>
        <w:t>liberty</w:t>
      </w:r>
      <w:r w:rsidR="00936680" w:rsidRPr="00A51861">
        <w:rPr>
          <w:rFonts w:ascii="Cambria" w:hAnsi="Cambria"/>
          <w:sz w:val="20"/>
          <w:szCs w:val="20"/>
          <w:bdr w:val="none" w:sz="0" w:space="0" w:color="auto"/>
        </w:rPr>
        <w:t xml:space="preserve"> </w:t>
      </w:r>
      <w:r w:rsidR="00664D70">
        <w:rPr>
          <w:rFonts w:ascii="Cambria" w:hAnsi="Cambria"/>
          <w:sz w:val="20"/>
          <w:szCs w:val="20"/>
          <w:bdr w:val="none" w:sz="0" w:space="0" w:color="auto"/>
        </w:rPr>
        <w:t>of movement</w:t>
      </w:r>
      <w:r w:rsidR="00936680" w:rsidRPr="00A51861">
        <w:rPr>
          <w:rFonts w:ascii="Cambria" w:hAnsi="Cambria"/>
          <w:sz w:val="20"/>
          <w:szCs w:val="20"/>
          <w:bdr w:val="none" w:sz="0" w:space="0" w:color="auto"/>
        </w:rPr>
        <w:t>”.</w:t>
      </w:r>
    </w:p>
    <w:p w14:paraId="052D2851" w14:textId="77777777" w:rsidR="00936680" w:rsidRPr="00A51861" w:rsidRDefault="00936680" w:rsidP="008E4D36">
      <w:pPr>
        <w:pStyle w:val="ListParagraph"/>
        <w:rPr>
          <w:sz w:val="20"/>
          <w:szCs w:val="20"/>
          <w:bdr w:val="none" w:sz="0" w:space="0" w:color="auto"/>
        </w:rPr>
      </w:pPr>
    </w:p>
    <w:p w14:paraId="30706EF0" w14:textId="3D93F518" w:rsidR="00936680" w:rsidRPr="00A51861" w:rsidRDefault="002B762A"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bdr w:val="none" w:sz="0" w:space="0" w:color="auto"/>
        </w:rPr>
      </w:pPr>
      <w:r>
        <w:rPr>
          <w:rFonts w:ascii="Cambria" w:hAnsi="Cambria"/>
          <w:sz w:val="20"/>
          <w:szCs w:val="20"/>
          <w:bdr w:val="none" w:sz="0" w:space="0" w:color="auto"/>
        </w:rPr>
        <w:t>In this sense</w:t>
      </w:r>
      <w:r w:rsidR="004B2C6C" w:rsidRPr="00A51861">
        <w:rPr>
          <w:rFonts w:ascii="Cambria" w:hAnsi="Cambria"/>
          <w:sz w:val="20"/>
          <w:szCs w:val="20"/>
          <w:bdr w:val="none" w:sz="0" w:space="0" w:color="auto"/>
        </w:rPr>
        <w:t xml:space="preserve">, </w:t>
      </w:r>
      <w:r w:rsidR="00664D70">
        <w:rPr>
          <w:rFonts w:ascii="Cambria" w:hAnsi="Cambria"/>
          <w:sz w:val="20"/>
          <w:szCs w:val="20"/>
          <w:bdr w:val="none" w:sz="0" w:space="0" w:color="auto"/>
        </w:rPr>
        <w:t>it is considered</w:t>
      </w:r>
      <w:r w:rsidR="00E92985">
        <w:rPr>
          <w:rFonts w:ascii="Cambria" w:hAnsi="Cambria"/>
          <w:sz w:val="20"/>
          <w:szCs w:val="20"/>
          <w:bdr w:val="none" w:sz="0" w:space="0" w:color="auto"/>
        </w:rPr>
        <w:t xml:space="preserve"> that the </w:t>
      </w:r>
      <w:r w:rsidR="00664D70">
        <w:rPr>
          <w:rFonts w:ascii="Cambria" w:hAnsi="Cambria"/>
          <w:sz w:val="20"/>
          <w:szCs w:val="20"/>
          <w:bdr w:val="none" w:sz="0" w:space="0" w:color="auto"/>
        </w:rPr>
        <w:t>departure</w:t>
      </w:r>
      <w:r w:rsidR="00E92985">
        <w:rPr>
          <w:rFonts w:ascii="Cambria" w:hAnsi="Cambria"/>
          <w:sz w:val="20"/>
          <w:szCs w:val="20"/>
          <w:bdr w:val="none" w:sz="0" w:space="0" w:color="auto"/>
        </w:rPr>
        <w:t xml:space="preserve"> </w:t>
      </w:r>
      <w:r w:rsidR="00C80065">
        <w:rPr>
          <w:rFonts w:ascii="Cambria" w:hAnsi="Cambria"/>
          <w:sz w:val="20"/>
          <w:szCs w:val="20"/>
          <w:bdr w:val="none" w:sz="0" w:space="0" w:color="auto"/>
        </w:rPr>
        <w:t>from</w:t>
      </w:r>
      <w:r w:rsidR="00E92985">
        <w:rPr>
          <w:rFonts w:ascii="Cambria" w:hAnsi="Cambria"/>
          <w:sz w:val="20"/>
          <w:szCs w:val="20"/>
          <w:bdr w:val="none" w:sz="0" w:space="0" w:color="auto"/>
        </w:rPr>
        <w:t xml:space="preserve"> </w:t>
      </w:r>
      <w:r w:rsidR="00936680" w:rsidRPr="00A51861">
        <w:rPr>
          <w:rFonts w:ascii="Cambria" w:hAnsi="Cambria"/>
          <w:sz w:val="20"/>
          <w:szCs w:val="20"/>
          <w:bdr w:val="none" w:sz="0" w:space="0" w:color="auto"/>
        </w:rPr>
        <w:t xml:space="preserve">Argentina </w:t>
      </w:r>
      <w:r w:rsidR="00664D70">
        <w:rPr>
          <w:rFonts w:ascii="Cambria" w:hAnsi="Cambria"/>
          <w:sz w:val="20"/>
          <w:szCs w:val="20"/>
          <w:bdr w:val="none" w:sz="0" w:space="0" w:color="auto"/>
        </w:rPr>
        <w:t xml:space="preserve">of </w:t>
      </w:r>
      <w:r w:rsidR="00BD093F">
        <w:rPr>
          <w:rFonts w:ascii="Cambria" w:hAnsi="Cambria"/>
          <w:sz w:val="20"/>
          <w:szCs w:val="20"/>
          <w:bdr w:val="none" w:sz="0" w:space="0" w:color="auto"/>
        </w:rPr>
        <w:t xml:space="preserve">Mr. Rito de los </w:t>
      </w:r>
      <w:r w:rsidR="00936680" w:rsidRPr="00A51861">
        <w:rPr>
          <w:rFonts w:ascii="Cambria" w:hAnsi="Cambria"/>
          <w:sz w:val="20"/>
          <w:szCs w:val="20"/>
          <w:bdr w:val="none" w:sz="0" w:space="0" w:color="auto"/>
        </w:rPr>
        <w:t xml:space="preserve">Santos, </w:t>
      </w:r>
      <w:r w:rsidR="00664D70">
        <w:rPr>
          <w:rFonts w:ascii="Cambria" w:hAnsi="Cambria"/>
          <w:sz w:val="20"/>
          <w:szCs w:val="20"/>
          <w:bdr w:val="none" w:sz="0" w:space="0" w:color="auto"/>
        </w:rPr>
        <w:t>who shared almost identical factual</w:t>
      </w:r>
      <w:r w:rsidR="00936680" w:rsidRPr="00A51861">
        <w:rPr>
          <w:rFonts w:ascii="Cambria" w:hAnsi="Cambria"/>
          <w:sz w:val="20"/>
          <w:szCs w:val="20"/>
          <w:bdr w:val="none" w:sz="0" w:space="0" w:color="auto"/>
        </w:rPr>
        <w:t xml:space="preserve"> </w:t>
      </w:r>
      <w:r w:rsidR="00E92985">
        <w:rPr>
          <w:rFonts w:ascii="Cambria" w:hAnsi="Cambria"/>
          <w:sz w:val="20"/>
          <w:szCs w:val="20"/>
          <w:bdr w:val="none" w:sz="0" w:space="0" w:color="auto"/>
        </w:rPr>
        <w:t>situation</w:t>
      </w:r>
      <w:r w:rsidR="00936680" w:rsidRPr="00A51861">
        <w:rPr>
          <w:rFonts w:ascii="Cambria" w:hAnsi="Cambria"/>
          <w:sz w:val="20"/>
          <w:szCs w:val="20"/>
          <w:bdr w:val="none" w:sz="0" w:space="0" w:color="auto"/>
        </w:rPr>
        <w:t xml:space="preserve"> </w:t>
      </w:r>
      <w:r>
        <w:rPr>
          <w:rFonts w:ascii="Cambria" w:hAnsi="Cambria"/>
          <w:sz w:val="20"/>
          <w:szCs w:val="20"/>
          <w:bdr w:val="none" w:sz="0" w:space="0" w:color="auto"/>
        </w:rPr>
        <w:t xml:space="preserve">with </w:t>
      </w:r>
      <w:r w:rsidR="00A51861" w:rsidRPr="00A51861">
        <w:rPr>
          <w:rFonts w:ascii="Cambria" w:hAnsi="Cambria"/>
          <w:sz w:val="20"/>
          <w:szCs w:val="20"/>
          <w:bdr w:val="none" w:sz="0" w:space="0" w:color="auto"/>
        </w:rPr>
        <w:t xml:space="preserve">Mr. </w:t>
      </w:r>
      <w:r w:rsidR="00936680" w:rsidRPr="00A51861">
        <w:rPr>
          <w:rFonts w:ascii="Cambria" w:hAnsi="Cambria"/>
          <w:sz w:val="20"/>
          <w:szCs w:val="20"/>
          <w:bdr w:val="none" w:sz="0" w:space="0" w:color="auto"/>
        </w:rPr>
        <w:t xml:space="preserve">Ferreira, </w:t>
      </w:r>
      <w:r w:rsidR="00664D70">
        <w:rPr>
          <w:rFonts w:ascii="Cambria" w:hAnsi="Cambria"/>
          <w:sz w:val="20"/>
          <w:szCs w:val="20"/>
          <w:bdr w:val="none" w:sz="0" w:space="0" w:color="auto"/>
        </w:rPr>
        <w:t>was preceded by</w:t>
      </w:r>
      <w:r w:rsidR="00B773DC">
        <w:rPr>
          <w:rFonts w:ascii="Cambria" w:hAnsi="Cambria"/>
          <w:sz w:val="20"/>
          <w:szCs w:val="20"/>
          <w:bdr w:val="none" w:sz="0" w:space="0" w:color="auto"/>
        </w:rPr>
        <w:t xml:space="preserve"> a </w:t>
      </w:r>
      <w:r w:rsidR="006E255A">
        <w:rPr>
          <w:rFonts w:ascii="Cambria" w:hAnsi="Cambria"/>
          <w:sz w:val="20"/>
          <w:szCs w:val="20"/>
          <w:bdr w:val="none" w:sz="0" w:space="0" w:color="auto"/>
        </w:rPr>
        <w:t>detention</w:t>
      </w:r>
      <w:r w:rsidR="00565D65" w:rsidRPr="00A51861">
        <w:rPr>
          <w:rFonts w:ascii="Cambria" w:hAnsi="Cambria"/>
          <w:sz w:val="20"/>
          <w:szCs w:val="20"/>
          <w:bdr w:val="none" w:sz="0" w:space="0" w:color="auto"/>
        </w:rPr>
        <w:t xml:space="preserve"> </w:t>
      </w:r>
      <w:r w:rsidR="00664D70">
        <w:rPr>
          <w:rFonts w:ascii="Cambria" w:hAnsi="Cambria"/>
          <w:sz w:val="20"/>
          <w:szCs w:val="20"/>
          <w:bdr w:val="none" w:sz="0" w:space="0" w:color="auto"/>
        </w:rPr>
        <w:t>which failed to meet Inter-American</w:t>
      </w:r>
      <w:r w:rsidR="00664D70">
        <w:rPr>
          <w:rFonts w:ascii="Cambria" w:hAnsi="Cambria"/>
          <w:color w:val="000000" w:themeColor="text1"/>
          <w:sz w:val="20"/>
          <w:szCs w:val="20"/>
        </w:rPr>
        <w:t xml:space="preserve"> </w:t>
      </w:r>
      <w:r w:rsidR="00664D70" w:rsidRPr="00A51861">
        <w:rPr>
          <w:rFonts w:ascii="Cambria" w:hAnsi="Cambria"/>
          <w:sz w:val="20"/>
          <w:szCs w:val="20"/>
          <w:bdr w:val="none" w:sz="0" w:space="0" w:color="auto"/>
        </w:rPr>
        <w:t>standards</w:t>
      </w:r>
      <w:r w:rsidR="00936680" w:rsidRPr="00A51861">
        <w:rPr>
          <w:rFonts w:ascii="Cambria" w:hAnsi="Cambria"/>
          <w:sz w:val="20"/>
          <w:szCs w:val="20"/>
          <w:bdr w:val="none" w:sz="0" w:space="0" w:color="auto"/>
        </w:rPr>
        <w:t xml:space="preserve"> </w:t>
      </w:r>
      <w:r w:rsidR="00664D70">
        <w:rPr>
          <w:rFonts w:ascii="Cambria" w:hAnsi="Cambria"/>
          <w:color w:val="000000" w:themeColor="text1"/>
          <w:sz w:val="20"/>
          <w:szCs w:val="20"/>
        </w:rPr>
        <w:t>according to what has been exposed above</w:t>
      </w:r>
      <w:r w:rsidR="00565D65" w:rsidRPr="00A51861">
        <w:rPr>
          <w:rFonts w:ascii="Cambria" w:hAnsi="Cambria"/>
          <w:color w:val="000000" w:themeColor="text1"/>
          <w:sz w:val="20"/>
          <w:szCs w:val="20"/>
        </w:rPr>
        <w:t>;</w:t>
      </w:r>
      <w:r w:rsidR="005F6157">
        <w:rPr>
          <w:rFonts w:ascii="Cambria" w:hAnsi="Cambria"/>
          <w:color w:val="000000" w:themeColor="text1"/>
          <w:sz w:val="20"/>
          <w:szCs w:val="20"/>
        </w:rPr>
        <w:t xml:space="preserve"> fact</w:t>
      </w:r>
      <w:r w:rsidR="00550F33" w:rsidRPr="00A51861">
        <w:rPr>
          <w:rFonts w:ascii="Cambria" w:hAnsi="Cambria"/>
          <w:color w:val="000000" w:themeColor="text1"/>
          <w:sz w:val="20"/>
          <w:szCs w:val="20"/>
        </w:rPr>
        <w:t>s</w:t>
      </w:r>
      <w:r w:rsidR="00E92985">
        <w:rPr>
          <w:rFonts w:ascii="Cambria" w:hAnsi="Cambria"/>
          <w:color w:val="000000" w:themeColor="text1"/>
          <w:sz w:val="20"/>
          <w:szCs w:val="20"/>
        </w:rPr>
        <w:t xml:space="preserve"> of </w:t>
      </w:r>
      <w:r w:rsidR="00B74DB5">
        <w:rPr>
          <w:rFonts w:ascii="Cambria" w:hAnsi="Cambria"/>
          <w:color w:val="000000" w:themeColor="text1"/>
          <w:sz w:val="20"/>
          <w:szCs w:val="20"/>
        </w:rPr>
        <w:t>harassment</w:t>
      </w:r>
      <w:r w:rsidR="00E92985">
        <w:rPr>
          <w:rFonts w:ascii="Cambria" w:hAnsi="Cambria"/>
          <w:color w:val="000000" w:themeColor="text1"/>
          <w:sz w:val="20"/>
          <w:szCs w:val="20"/>
        </w:rPr>
        <w:t xml:space="preserve"> and </w:t>
      </w:r>
      <w:r w:rsidR="00664D70">
        <w:rPr>
          <w:rFonts w:ascii="Cambria" w:hAnsi="Cambria"/>
          <w:color w:val="000000" w:themeColor="text1"/>
          <w:sz w:val="20"/>
          <w:szCs w:val="20"/>
        </w:rPr>
        <w:t>persecutions</w:t>
      </w:r>
      <w:r w:rsidR="00550F33" w:rsidRPr="00A51861">
        <w:rPr>
          <w:rFonts w:ascii="Cambria" w:hAnsi="Cambria"/>
          <w:color w:val="000000" w:themeColor="text1"/>
          <w:sz w:val="20"/>
          <w:szCs w:val="20"/>
        </w:rPr>
        <w:t xml:space="preserve"> </w:t>
      </w:r>
      <w:r w:rsidR="00664D70">
        <w:rPr>
          <w:rFonts w:ascii="Cambria" w:hAnsi="Cambria"/>
          <w:color w:val="000000" w:themeColor="text1"/>
          <w:sz w:val="20"/>
          <w:szCs w:val="20"/>
        </w:rPr>
        <w:t xml:space="preserve">on </w:t>
      </w:r>
      <w:r w:rsidR="002835FC" w:rsidRPr="00A51861">
        <w:rPr>
          <w:rFonts w:ascii="Cambria" w:hAnsi="Cambria"/>
          <w:sz w:val="20"/>
          <w:szCs w:val="20"/>
          <w:bdr w:val="none" w:sz="0" w:space="0" w:color="auto"/>
        </w:rPr>
        <w:t xml:space="preserve">the </w:t>
      </w:r>
      <w:r w:rsidR="002835FC" w:rsidRPr="00A51861">
        <w:rPr>
          <w:rFonts w:ascii="Cambria" w:hAnsi="Cambria"/>
          <w:sz w:val="20"/>
          <w:szCs w:val="20"/>
          <w:bdr w:val="none" w:sz="0" w:space="0" w:color="auto"/>
        </w:rPr>
        <w:lastRenderedPageBreak/>
        <w:t>alleged victims</w:t>
      </w:r>
      <w:r w:rsidR="00E92985">
        <w:rPr>
          <w:rFonts w:ascii="Cambria" w:hAnsi="Cambria"/>
          <w:sz w:val="20"/>
          <w:szCs w:val="20"/>
          <w:bdr w:val="none" w:sz="0" w:space="0" w:color="auto"/>
        </w:rPr>
        <w:t xml:space="preserve"> and </w:t>
      </w:r>
      <w:r w:rsidR="00550F33" w:rsidRPr="00A51861">
        <w:rPr>
          <w:rFonts w:ascii="Cambria" w:hAnsi="Cambria"/>
          <w:sz w:val="20"/>
          <w:szCs w:val="20"/>
          <w:bdr w:val="none" w:sz="0" w:space="0" w:color="auto"/>
        </w:rPr>
        <w:t xml:space="preserve">a </w:t>
      </w:r>
      <w:r w:rsidR="002835FC" w:rsidRPr="00A51861">
        <w:rPr>
          <w:rFonts w:ascii="Cambria" w:hAnsi="Cambria"/>
          <w:sz w:val="20"/>
          <w:szCs w:val="20"/>
          <w:bdr w:val="none" w:sz="0" w:space="0" w:color="auto"/>
        </w:rPr>
        <w:t>their families</w:t>
      </w:r>
      <w:r w:rsidR="00565D65" w:rsidRPr="00A51861">
        <w:rPr>
          <w:rFonts w:ascii="Cambria" w:hAnsi="Cambria"/>
          <w:sz w:val="20"/>
          <w:szCs w:val="20"/>
          <w:bdr w:val="none" w:sz="0" w:space="0" w:color="auto"/>
        </w:rPr>
        <w:t xml:space="preserve">; </w:t>
      </w:r>
      <w:r w:rsidR="00664D70">
        <w:rPr>
          <w:rFonts w:ascii="Cambria" w:hAnsi="Cambria"/>
          <w:sz w:val="20"/>
          <w:szCs w:val="20"/>
          <w:bdr w:val="none" w:sz="0" w:space="0" w:color="auto"/>
        </w:rPr>
        <w:t>the initiation of migration proceedings</w:t>
      </w:r>
      <w:r w:rsidR="00550F33" w:rsidRPr="00A51861">
        <w:rPr>
          <w:rFonts w:ascii="Cambria" w:hAnsi="Cambria"/>
          <w:sz w:val="20"/>
          <w:szCs w:val="20"/>
          <w:bdr w:val="none" w:sz="0" w:space="0" w:color="auto"/>
        </w:rPr>
        <w:t xml:space="preserve"> </w:t>
      </w:r>
      <w:r>
        <w:rPr>
          <w:rFonts w:ascii="Cambria" w:hAnsi="Cambria"/>
          <w:sz w:val="20"/>
          <w:szCs w:val="20"/>
          <w:bdr w:val="none" w:sz="0" w:space="0" w:color="auto"/>
        </w:rPr>
        <w:t>by the</w:t>
      </w:r>
      <w:r w:rsidR="00185E46">
        <w:rPr>
          <w:rFonts w:ascii="Cambria" w:hAnsi="Cambria"/>
          <w:sz w:val="20"/>
          <w:szCs w:val="20"/>
          <w:bdr w:val="none" w:sz="0" w:space="0" w:color="auto"/>
        </w:rPr>
        <w:t xml:space="preserve"> NDM </w:t>
      </w:r>
      <w:r w:rsidR="00664D70">
        <w:rPr>
          <w:rFonts w:ascii="Cambria" w:hAnsi="Cambria"/>
          <w:sz w:val="20"/>
          <w:szCs w:val="20"/>
          <w:bdr w:val="none" w:sz="0" w:space="0" w:color="auto"/>
        </w:rPr>
        <w:t>which concluded with an</w:t>
      </w:r>
      <w:r w:rsidR="00550F33" w:rsidRPr="00A51861">
        <w:rPr>
          <w:rFonts w:ascii="Cambria" w:hAnsi="Cambria"/>
          <w:sz w:val="20"/>
          <w:szCs w:val="20"/>
          <w:bdr w:val="none" w:sz="0" w:space="0" w:color="auto"/>
        </w:rPr>
        <w:t xml:space="preserve"> act</w:t>
      </w:r>
      <w:r w:rsidR="004969F4">
        <w:rPr>
          <w:rFonts w:ascii="Cambria" w:hAnsi="Cambria"/>
          <w:sz w:val="20"/>
          <w:szCs w:val="20"/>
          <w:bdr w:val="none" w:sz="0" w:space="0" w:color="auto"/>
        </w:rPr>
        <w:t xml:space="preserve"> </w:t>
      </w:r>
      <w:r w:rsidR="00664D70">
        <w:rPr>
          <w:rFonts w:ascii="Cambria" w:hAnsi="Cambria"/>
          <w:sz w:val="20"/>
          <w:szCs w:val="20"/>
          <w:bdr w:val="none" w:sz="0" w:space="0" w:color="auto"/>
        </w:rPr>
        <w:t>by</w:t>
      </w:r>
      <w:r w:rsidR="004969F4">
        <w:rPr>
          <w:rFonts w:ascii="Cambria" w:hAnsi="Cambria"/>
          <w:sz w:val="20"/>
          <w:szCs w:val="20"/>
          <w:bdr w:val="none" w:sz="0" w:space="0" w:color="auto"/>
        </w:rPr>
        <w:t xml:space="preserve"> the </w:t>
      </w:r>
      <w:r w:rsidR="00664D70">
        <w:rPr>
          <w:rFonts w:ascii="Cambria" w:hAnsi="Cambria"/>
          <w:sz w:val="20"/>
          <w:szCs w:val="20"/>
          <w:bdr w:val="none" w:sz="0" w:space="0" w:color="auto"/>
        </w:rPr>
        <w:t>national executive</w:t>
      </w:r>
      <w:r w:rsidR="00550F33" w:rsidRPr="00A51861">
        <w:rPr>
          <w:rFonts w:ascii="Cambria" w:hAnsi="Cambria"/>
          <w:sz w:val="20"/>
          <w:szCs w:val="20"/>
          <w:bdr w:val="none" w:sz="0" w:space="0" w:color="auto"/>
        </w:rPr>
        <w:t xml:space="preserve"> </w:t>
      </w:r>
      <w:r w:rsidR="00664D70">
        <w:rPr>
          <w:rFonts w:ascii="Cambria" w:hAnsi="Cambria"/>
          <w:sz w:val="20"/>
          <w:szCs w:val="20"/>
          <w:bdr w:val="none" w:sz="0" w:space="0" w:color="auto"/>
        </w:rPr>
        <w:t>which ordered</w:t>
      </w:r>
      <w:r w:rsidR="009A4F91">
        <w:rPr>
          <w:rFonts w:ascii="Cambria" w:hAnsi="Cambria"/>
          <w:sz w:val="20"/>
          <w:szCs w:val="20"/>
          <w:bdr w:val="none" w:sz="0" w:space="0" w:color="auto"/>
        </w:rPr>
        <w:t xml:space="preserve"> the </w:t>
      </w:r>
      <w:r w:rsidR="00103579">
        <w:rPr>
          <w:rFonts w:ascii="Cambria" w:hAnsi="Cambria"/>
          <w:sz w:val="20"/>
          <w:szCs w:val="20"/>
          <w:bdr w:val="none" w:sz="0" w:space="0" w:color="auto"/>
        </w:rPr>
        <w:t xml:space="preserve">expulsion </w:t>
      </w:r>
      <w:r w:rsidR="00664D70">
        <w:rPr>
          <w:rFonts w:ascii="Cambria" w:hAnsi="Cambria"/>
          <w:sz w:val="20"/>
          <w:szCs w:val="20"/>
          <w:bdr w:val="none" w:sz="0" w:space="0" w:color="auto"/>
        </w:rPr>
        <w:t>of</w:t>
      </w:r>
      <w:r w:rsidR="00E64C43">
        <w:rPr>
          <w:rFonts w:ascii="Cambria" w:hAnsi="Cambria"/>
          <w:sz w:val="20"/>
          <w:szCs w:val="20"/>
          <w:bdr w:val="none" w:sz="0" w:space="0" w:color="auto"/>
        </w:rPr>
        <w:t xml:space="preserve"> these </w:t>
      </w:r>
      <w:r w:rsidR="00EC7A58">
        <w:rPr>
          <w:rFonts w:ascii="Cambria" w:hAnsi="Cambria"/>
          <w:sz w:val="20"/>
          <w:szCs w:val="20"/>
          <w:bdr w:val="none" w:sz="0" w:space="0" w:color="auto"/>
        </w:rPr>
        <w:t>persons</w:t>
      </w:r>
      <w:r w:rsidR="00550F33" w:rsidRPr="00A51861">
        <w:rPr>
          <w:rFonts w:ascii="Cambria" w:hAnsi="Cambria"/>
          <w:sz w:val="20"/>
          <w:szCs w:val="20"/>
          <w:bdr w:val="none" w:sz="0" w:space="0" w:color="auto"/>
        </w:rPr>
        <w:t xml:space="preserve">, </w:t>
      </w:r>
      <w:r w:rsidR="004921CF">
        <w:rPr>
          <w:rFonts w:ascii="Cambria" w:hAnsi="Cambria"/>
          <w:sz w:val="20"/>
          <w:szCs w:val="20"/>
          <w:bdr w:val="none" w:sz="0" w:space="0" w:color="auto"/>
        </w:rPr>
        <w:t xml:space="preserve">based </w:t>
      </w:r>
      <w:r w:rsidR="00664D70">
        <w:rPr>
          <w:rFonts w:ascii="Cambria" w:hAnsi="Cambria"/>
          <w:sz w:val="20"/>
          <w:szCs w:val="20"/>
          <w:bdr w:val="none" w:sz="0" w:space="0" w:color="auto"/>
        </w:rPr>
        <w:t>on inexistent background</w:t>
      </w:r>
      <w:r w:rsidR="00550F33" w:rsidRPr="00A51861">
        <w:rPr>
          <w:rFonts w:ascii="Cambria" w:hAnsi="Cambria"/>
          <w:sz w:val="20"/>
          <w:szCs w:val="20"/>
          <w:bdr w:val="none" w:sz="0" w:space="0" w:color="auto"/>
        </w:rPr>
        <w:t xml:space="preserve"> –</w:t>
      </w:r>
      <w:r w:rsidR="00664D70">
        <w:rPr>
          <w:rFonts w:ascii="Cambria" w:hAnsi="Cambria"/>
          <w:sz w:val="20"/>
          <w:szCs w:val="20"/>
          <w:bdr w:val="none" w:sz="0" w:space="0" w:color="auto"/>
        </w:rPr>
        <w:t>since they had been acquitted of the proceedings</w:t>
      </w:r>
      <w:r w:rsidR="009A4F91">
        <w:rPr>
          <w:rFonts w:ascii="Cambria" w:hAnsi="Cambria"/>
          <w:sz w:val="20"/>
          <w:szCs w:val="20"/>
          <w:bdr w:val="none" w:sz="0" w:space="0" w:color="auto"/>
        </w:rPr>
        <w:t xml:space="preserve"> </w:t>
      </w:r>
      <w:r w:rsidR="00664D70">
        <w:rPr>
          <w:rFonts w:ascii="Cambria" w:hAnsi="Cambria"/>
          <w:sz w:val="20"/>
          <w:szCs w:val="20"/>
          <w:bdr w:val="none" w:sz="0" w:space="0" w:color="auto"/>
        </w:rPr>
        <w:t>conducted on account of</w:t>
      </w:r>
      <w:r w:rsidR="009A4F91">
        <w:rPr>
          <w:rFonts w:ascii="Cambria" w:hAnsi="Cambria"/>
          <w:sz w:val="20"/>
          <w:szCs w:val="20"/>
          <w:bdr w:val="none" w:sz="0" w:space="0" w:color="auto"/>
        </w:rPr>
        <w:t xml:space="preserve"> </w:t>
      </w:r>
      <w:r w:rsidR="00664D70" w:rsidRPr="00A51861">
        <w:rPr>
          <w:rFonts w:ascii="Cambria" w:hAnsi="Cambria"/>
          <w:sz w:val="20"/>
          <w:szCs w:val="20"/>
          <w:bdr w:val="none" w:sz="0" w:space="0" w:color="auto"/>
        </w:rPr>
        <w:t>contravention</w:t>
      </w:r>
      <w:r w:rsidR="00550F33" w:rsidRPr="00A51861">
        <w:rPr>
          <w:rFonts w:ascii="Cambria" w:hAnsi="Cambria"/>
          <w:sz w:val="20"/>
          <w:szCs w:val="20"/>
          <w:bdr w:val="none" w:sz="0" w:space="0" w:color="auto"/>
        </w:rPr>
        <w:t>-</w:t>
      </w:r>
      <w:r w:rsidR="00E92985">
        <w:rPr>
          <w:rFonts w:ascii="Cambria" w:hAnsi="Cambria"/>
          <w:sz w:val="20"/>
          <w:szCs w:val="20"/>
          <w:bdr w:val="none" w:sz="0" w:space="0" w:color="auto"/>
        </w:rPr>
        <w:t xml:space="preserve"> and</w:t>
      </w:r>
      <w:r>
        <w:rPr>
          <w:rFonts w:ascii="Cambria" w:hAnsi="Cambria"/>
          <w:sz w:val="20"/>
          <w:szCs w:val="20"/>
          <w:bdr w:val="none" w:sz="0" w:space="0" w:color="auto"/>
        </w:rPr>
        <w:t xml:space="preserve"> with </w:t>
      </w:r>
      <w:r w:rsidR="004E1083">
        <w:rPr>
          <w:rFonts w:ascii="Cambria" w:hAnsi="Cambria"/>
          <w:sz w:val="20"/>
          <w:szCs w:val="20"/>
          <w:bdr w:val="none" w:sz="0" w:space="0" w:color="auto"/>
        </w:rPr>
        <w:t>violation</w:t>
      </w:r>
      <w:r w:rsidR="00E92985">
        <w:rPr>
          <w:rFonts w:ascii="Cambria" w:hAnsi="Cambria"/>
          <w:sz w:val="20"/>
          <w:szCs w:val="20"/>
          <w:bdr w:val="none" w:sz="0" w:space="0" w:color="auto"/>
        </w:rPr>
        <w:t xml:space="preserve"> of </w:t>
      </w:r>
      <w:r w:rsidR="009A4F91">
        <w:rPr>
          <w:rFonts w:ascii="Cambria" w:hAnsi="Cambria"/>
          <w:sz w:val="20"/>
          <w:szCs w:val="20"/>
          <w:bdr w:val="none" w:sz="0" w:space="0" w:color="auto"/>
        </w:rPr>
        <w:t>guarantee</w:t>
      </w:r>
      <w:r w:rsidR="00550F33" w:rsidRPr="00A51861">
        <w:rPr>
          <w:rFonts w:ascii="Cambria" w:hAnsi="Cambria"/>
          <w:sz w:val="20"/>
          <w:szCs w:val="20"/>
          <w:bdr w:val="none" w:sz="0" w:space="0" w:color="auto"/>
        </w:rPr>
        <w:t>s</w:t>
      </w:r>
      <w:r w:rsidR="004969F4">
        <w:rPr>
          <w:rFonts w:ascii="Cambria" w:hAnsi="Cambria"/>
          <w:sz w:val="20"/>
          <w:szCs w:val="20"/>
          <w:bdr w:val="none" w:sz="0" w:space="0" w:color="auto"/>
        </w:rPr>
        <w:t xml:space="preserve"> </w:t>
      </w:r>
      <w:r w:rsidR="00664D70">
        <w:rPr>
          <w:rFonts w:ascii="Cambria" w:hAnsi="Cambria"/>
          <w:sz w:val="20"/>
          <w:szCs w:val="20"/>
          <w:bdr w:val="none" w:sz="0" w:space="0" w:color="auto"/>
        </w:rPr>
        <w:t>of</w:t>
      </w:r>
      <w:r w:rsidR="004969F4">
        <w:rPr>
          <w:rFonts w:ascii="Cambria" w:hAnsi="Cambria"/>
          <w:sz w:val="20"/>
          <w:szCs w:val="20"/>
          <w:bdr w:val="none" w:sz="0" w:space="0" w:color="auto"/>
        </w:rPr>
        <w:t xml:space="preserve"> </w:t>
      </w:r>
      <w:r w:rsidR="00E92985">
        <w:rPr>
          <w:rFonts w:ascii="Cambria" w:hAnsi="Cambria"/>
          <w:sz w:val="20"/>
          <w:szCs w:val="20"/>
          <w:bdr w:val="none" w:sz="0" w:space="0" w:color="auto"/>
        </w:rPr>
        <w:t>due process and</w:t>
      </w:r>
      <w:r w:rsidR="004969F4">
        <w:rPr>
          <w:rFonts w:ascii="Cambria" w:hAnsi="Cambria"/>
          <w:sz w:val="20"/>
          <w:szCs w:val="20"/>
          <w:bdr w:val="none" w:sz="0" w:space="0" w:color="auto"/>
        </w:rPr>
        <w:t xml:space="preserve"> of the </w:t>
      </w:r>
      <w:r w:rsidR="00444893">
        <w:rPr>
          <w:rFonts w:ascii="Cambria" w:hAnsi="Cambria"/>
          <w:sz w:val="20"/>
          <w:szCs w:val="20"/>
          <w:bdr w:val="none" w:sz="0" w:space="0" w:color="auto"/>
        </w:rPr>
        <w:t>principle</w:t>
      </w:r>
      <w:r w:rsidR="00E92985">
        <w:rPr>
          <w:rFonts w:ascii="Cambria" w:hAnsi="Cambria"/>
          <w:sz w:val="20"/>
          <w:szCs w:val="20"/>
          <w:bdr w:val="none" w:sz="0" w:space="0" w:color="auto"/>
        </w:rPr>
        <w:t xml:space="preserve"> of </w:t>
      </w:r>
      <w:r w:rsidR="000674CA">
        <w:rPr>
          <w:rFonts w:ascii="Cambria" w:hAnsi="Cambria"/>
          <w:sz w:val="20"/>
          <w:szCs w:val="20"/>
          <w:bdr w:val="none" w:sz="0" w:space="0" w:color="auto"/>
        </w:rPr>
        <w:t>non-refoulment</w:t>
      </w:r>
      <w:r w:rsidR="00550F33" w:rsidRPr="00A51861">
        <w:rPr>
          <w:rFonts w:ascii="Cambria" w:hAnsi="Cambria"/>
          <w:sz w:val="20"/>
          <w:szCs w:val="20"/>
          <w:bdr w:val="none" w:sz="0" w:space="0" w:color="auto"/>
        </w:rPr>
        <w:t xml:space="preserve">, </w:t>
      </w:r>
      <w:r w:rsidR="00757C21">
        <w:rPr>
          <w:rFonts w:ascii="Cambria" w:hAnsi="Cambria"/>
          <w:sz w:val="20"/>
          <w:szCs w:val="20"/>
          <w:bdr w:val="none" w:sz="0" w:space="0" w:color="auto"/>
        </w:rPr>
        <w:t>in which should they have not received the</w:t>
      </w:r>
      <w:r w:rsidR="009A4F91">
        <w:rPr>
          <w:rFonts w:ascii="Cambria" w:hAnsi="Cambria"/>
          <w:sz w:val="20"/>
          <w:szCs w:val="20"/>
          <w:bdr w:val="none" w:sz="0" w:space="0" w:color="auto"/>
        </w:rPr>
        <w:t xml:space="preserve"> </w:t>
      </w:r>
      <w:r w:rsidR="00EF4ED2">
        <w:rPr>
          <w:rFonts w:ascii="Cambria" w:hAnsi="Cambria"/>
          <w:sz w:val="20"/>
          <w:szCs w:val="20"/>
          <w:bdr w:val="none" w:sz="0" w:space="0" w:color="auto"/>
        </w:rPr>
        <w:t>protection</w:t>
      </w:r>
      <w:r w:rsidR="004969F4">
        <w:rPr>
          <w:rFonts w:ascii="Cambria" w:hAnsi="Cambria"/>
          <w:sz w:val="20"/>
          <w:szCs w:val="20"/>
          <w:bdr w:val="none" w:sz="0" w:space="0" w:color="auto"/>
        </w:rPr>
        <w:t xml:space="preserve"> of the</w:t>
      </w:r>
      <w:r w:rsidR="008E2F10">
        <w:rPr>
          <w:rFonts w:ascii="Cambria" w:hAnsi="Cambria"/>
          <w:sz w:val="20"/>
          <w:szCs w:val="20"/>
          <w:bdr w:val="none" w:sz="0" w:space="0" w:color="auto"/>
        </w:rPr>
        <w:t xml:space="preserve"> HCUNR</w:t>
      </w:r>
      <w:r w:rsidR="00355DEC" w:rsidRPr="00A51861">
        <w:rPr>
          <w:rFonts w:ascii="Cambria" w:hAnsi="Cambria"/>
          <w:sz w:val="20"/>
          <w:szCs w:val="20"/>
          <w:bdr w:val="none" w:sz="0" w:space="0" w:color="auto"/>
        </w:rPr>
        <w:t>,</w:t>
      </w:r>
      <w:r w:rsidR="00550F33" w:rsidRPr="00A51861">
        <w:rPr>
          <w:rFonts w:ascii="Cambria" w:hAnsi="Cambria"/>
          <w:sz w:val="20"/>
          <w:szCs w:val="20"/>
          <w:bdr w:val="none" w:sz="0" w:space="0" w:color="auto"/>
        </w:rPr>
        <w:t xml:space="preserve"> </w:t>
      </w:r>
      <w:r w:rsidR="00757C21">
        <w:rPr>
          <w:rFonts w:ascii="Cambria" w:hAnsi="Cambria"/>
          <w:sz w:val="20"/>
          <w:szCs w:val="20"/>
          <w:bdr w:val="none" w:sz="0" w:space="0" w:color="auto"/>
        </w:rPr>
        <w:t>they would have been expelled toward</w:t>
      </w:r>
      <w:r w:rsidR="00565D65" w:rsidRPr="00A51861">
        <w:rPr>
          <w:rFonts w:ascii="Cambria" w:hAnsi="Cambria"/>
          <w:sz w:val="20"/>
          <w:szCs w:val="20"/>
          <w:bdr w:val="none" w:sz="0" w:space="0" w:color="auto"/>
        </w:rPr>
        <w:t xml:space="preserve"> Uruguay. </w:t>
      </w:r>
      <w:r w:rsidR="00376318">
        <w:rPr>
          <w:rFonts w:ascii="Cambria" w:hAnsi="Cambria"/>
          <w:sz w:val="20"/>
          <w:szCs w:val="20"/>
          <w:bdr w:val="none" w:sz="0" w:space="0" w:color="auto"/>
        </w:rPr>
        <w:t>However</w:t>
      </w:r>
      <w:r w:rsidR="00565D65" w:rsidRPr="00A51861">
        <w:rPr>
          <w:rFonts w:ascii="Cambria" w:hAnsi="Cambria"/>
          <w:sz w:val="20"/>
          <w:szCs w:val="20"/>
          <w:bdr w:val="none" w:sz="0" w:space="0" w:color="auto"/>
        </w:rPr>
        <w:t>,</w:t>
      </w:r>
      <w:r w:rsidR="00E92985">
        <w:rPr>
          <w:rFonts w:ascii="Cambria" w:hAnsi="Cambria"/>
          <w:sz w:val="20"/>
          <w:szCs w:val="20"/>
          <w:bdr w:val="none" w:sz="0" w:space="0" w:color="auto"/>
        </w:rPr>
        <w:t xml:space="preserve"> and </w:t>
      </w:r>
      <w:r w:rsidR="00757C21">
        <w:rPr>
          <w:rFonts w:ascii="Cambria" w:hAnsi="Cambria"/>
          <w:sz w:val="20"/>
          <w:szCs w:val="20"/>
          <w:bdr w:val="none" w:sz="0" w:space="0" w:color="auto"/>
        </w:rPr>
        <w:t>despite being aware</w:t>
      </w:r>
      <w:r w:rsidR="00565D65" w:rsidRPr="00A51861">
        <w:rPr>
          <w:rFonts w:ascii="Cambria" w:hAnsi="Cambria"/>
          <w:sz w:val="20"/>
          <w:szCs w:val="20"/>
          <w:bdr w:val="none" w:sz="0" w:space="0" w:color="auto"/>
        </w:rPr>
        <w:t xml:space="preserve"> </w:t>
      </w:r>
      <w:r w:rsidR="00E92985">
        <w:rPr>
          <w:rFonts w:ascii="Cambria" w:hAnsi="Cambria"/>
          <w:sz w:val="20"/>
          <w:szCs w:val="20"/>
          <w:bdr w:val="none" w:sz="0" w:space="0" w:color="auto"/>
        </w:rPr>
        <w:t>of</w:t>
      </w:r>
      <w:r w:rsidR="00E64C43">
        <w:rPr>
          <w:rFonts w:ascii="Cambria" w:hAnsi="Cambria"/>
          <w:sz w:val="20"/>
          <w:szCs w:val="20"/>
          <w:bdr w:val="none" w:sz="0" w:space="0" w:color="auto"/>
        </w:rPr>
        <w:t xml:space="preserve"> these</w:t>
      </w:r>
      <w:r w:rsidR="005F6157">
        <w:rPr>
          <w:rFonts w:ascii="Cambria" w:hAnsi="Cambria"/>
          <w:sz w:val="20"/>
          <w:szCs w:val="20"/>
          <w:bdr w:val="none" w:sz="0" w:space="0" w:color="auto"/>
        </w:rPr>
        <w:t xml:space="preserve"> fact</w:t>
      </w:r>
      <w:r w:rsidR="00565D65" w:rsidRPr="00A51861">
        <w:rPr>
          <w:rFonts w:ascii="Cambria" w:hAnsi="Cambria"/>
          <w:sz w:val="20"/>
          <w:szCs w:val="20"/>
          <w:bdr w:val="none" w:sz="0" w:space="0" w:color="auto"/>
        </w:rPr>
        <w:t xml:space="preserve">s </w:t>
      </w:r>
      <w:r w:rsidR="00757C21">
        <w:rPr>
          <w:rFonts w:ascii="Cambria" w:hAnsi="Cambria"/>
          <w:sz w:val="20"/>
          <w:szCs w:val="20"/>
          <w:bdr w:val="none" w:sz="0" w:space="0" w:color="auto"/>
        </w:rPr>
        <w:t>within the initiated proceedings</w:t>
      </w:r>
      <w:r w:rsidR="00E92985">
        <w:rPr>
          <w:rFonts w:ascii="Cambria" w:hAnsi="Cambria"/>
          <w:sz w:val="20"/>
          <w:szCs w:val="20"/>
          <w:bdr w:val="none" w:sz="0" w:space="0" w:color="auto"/>
        </w:rPr>
        <w:t xml:space="preserve"> of </w:t>
      </w:r>
      <w:r w:rsidR="001A0B84">
        <w:rPr>
          <w:rFonts w:ascii="Cambria" w:hAnsi="Cambria"/>
          <w:sz w:val="20"/>
          <w:szCs w:val="20"/>
          <w:bdr w:val="none" w:sz="0" w:space="0" w:color="auto"/>
        </w:rPr>
        <w:t>reparation</w:t>
      </w:r>
      <w:r w:rsidR="00565D65" w:rsidRPr="00A51861">
        <w:rPr>
          <w:rFonts w:ascii="Cambria" w:hAnsi="Cambria"/>
          <w:sz w:val="20"/>
          <w:szCs w:val="20"/>
          <w:bdr w:val="none" w:sz="0" w:space="0" w:color="auto"/>
        </w:rPr>
        <w:t xml:space="preserve">, </w:t>
      </w:r>
      <w:r w:rsidR="00076366">
        <w:rPr>
          <w:rFonts w:ascii="Cambria" w:hAnsi="Cambria"/>
          <w:sz w:val="20"/>
          <w:szCs w:val="20"/>
          <w:bdr w:val="none" w:sz="0" w:space="0" w:color="auto"/>
        </w:rPr>
        <w:t xml:space="preserve">the Supreme </w:t>
      </w:r>
      <w:r w:rsidR="00A63761">
        <w:rPr>
          <w:rFonts w:ascii="Cambria" w:hAnsi="Cambria"/>
          <w:sz w:val="20"/>
          <w:szCs w:val="20"/>
          <w:bdr w:val="none" w:sz="0" w:space="0" w:color="auto"/>
        </w:rPr>
        <w:t>Court</w:t>
      </w:r>
      <w:r w:rsidR="00565D65" w:rsidRPr="00A51861">
        <w:rPr>
          <w:rFonts w:ascii="Cambria" w:hAnsi="Cambria"/>
          <w:sz w:val="20"/>
          <w:szCs w:val="20"/>
          <w:bdr w:val="none" w:sz="0" w:space="0" w:color="auto"/>
        </w:rPr>
        <w:t xml:space="preserve"> </w:t>
      </w:r>
      <w:r w:rsidR="00757C21">
        <w:rPr>
          <w:rFonts w:ascii="Cambria" w:hAnsi="Cambria"/>
          <w:sz w:val="20"/>
          <w:szCs w:val="20"/>
          <w:bdr w:val="none" w:sz="0" w:space="0" w:color="auto"/>
        </w:rPr>
        <w:t>did not even review</w:t>
      </w:r>
      <w:r w:rsidR="00565D65" w:rsidRPr="00A51861">
        <w:rPr>
          <w:rFonts w:ascii="Cambria" w:hAnsi="Cambria"/>
          <w:sz w:val="20"/>
          <w:szCs w:val="20"/>
          <w:bdr w:val="none" w:sz="0" w:space="0" w:color="auto"/>
        </w:rPr>
        <w:t>,</w:t>
      </w:r>
      <w:r w:rsidR="00E92985">
        <w:rPr>
          <w:rFonts w:ascii="Cambria" w:hAnsi="Cambria"/>
          <w:sz w:val="20"/>
          <w:szCs w:val="20"/>
          <w:bdr w:val="none" w:sz="0" w:space="0" w:color="auto"/>
        </w:rPr>
        <w:t xml:space="preserve"> and </w:t>
      </w:r>
      <w:r w:rsidR="00757C21">
        <w:rPr>
          <w:rFonts w:ascii="Cambria" w:hAnsi="Cambria"/>
          <w:sz w:val="20"/>
          <w:szCs w:val="20"/>
          <w:bdr w:val="none" w:sz="0" w:space="0" w:color="auto"/>
        </w:rPr>
        <w:t>much less justify</w:t>
      </w:r>
      <w:r w:rsidR="00565D65" w:rsidRPr="00A51861">
        <w:rPr>
          <w:rFonts w:ascii="Cambria" w:hAnsi="Cambria"/>
          <w:sz w:val="20"/>
          <w:szCs w:val="20"/>
          <w:bdr w:val="none" w:sz="0" w:space="0" w:color="auto"/>
        </w:rPr>
        <w:t xml:space="preserve">, </w:t>
      </w:r>
      <w:r w:rsidR="00757C21">
        <w:rPr>
          <w:rFonts w:ascii="Cambria" w:hAnsi="Cambria"/>
          <w:sz w:val="20"/>
          <w:szCs w:val="20"/>
          <w:bdr w:val="none" w:sz="0" w:space="0" w:color="auto"/>
        </w:rPr>
        <w:t>why said</w:t>
      </w:r>
      <w:r w:rsidR="00565D65" w:rsidRPr="00A51861">
        <w:rPr>
          <w:rFonts w:ascii="Cambria" w:hAnsi="Cambria"/>
          <w:sz w:val="20"/>
          <w:szCs w:val="20"/>
          <w:bdr w:val="none" w:sz="0" w:space="0" w:color="auto"/>
        </w:rPr>
        <w:t xml:space="preserve"> </w:t>
      </w:r>
      <w:r w:rsidR="00E92985">
        <w:rPr>
          <w:rFonts w:ascii="Cambria" w:hAnsi="Cambria"/>
          <w:sz w:val="20"/>
          <w:szCs w:val="20"/>
          <w:bdr w:val="none" w:sz="0" w:space="0" w:color="auto"/>
        </w:rPr>
        <w:t>situation</w:t>
      </w:r>
      <w:r w:rsidR="00355DEC" w:rsidRPr="00A51861">
        <w:rPr>
          <w:rFonts w:ascii="Cambria" w:hAnsi="Cambria"/>
          <w:sz w:val="20"/>
          <w:szCs w:val="20"/>
          <w:bdr w:val="none" w:sz="0" w:space="0" w:color="auto"/>
        </w:rPr>
        <w:t xml:space="preserve"> -</w:t>
      </w:r>
      <w:r w:rsidR="00757C21">
        <w:rPr>
          <w:rFonts w:ascii="Cambria" w:hAnsi="Cambria"/>
          <w:sz w:val="20"/>
          <w:szCs w:val="20"/>
          <w:bdr w:val="none" w:sz="0" w:space="0" w:color="auto"/>
        </w:rPr>
        <w:t>with an order issued by</w:t>
      </w:r>
      <w:r w:rsidR="004969F4">
        <w:rPr>
          <w:rFonts w:ascii="Cambria" w:hAnsi="Cambria"/>
          <w:sz w:val="20"/>
          <w:szCs w:val="20"/>
          <w:bdr w:val="none" w:sz="0" w:space="0" w:color="auto"/>
        </w:rPr>
        <w:t xml:space="preserve"> the </w:t>
      </w:r>
      <w:r w:rsidR="00200AC7">
        <w:rPr>
          <w:rFonts w:ascii="Cambria" w:hAnsi="Cambria"/>
          <w:sz w:val="20"/>
          <w:szCs w:val="20"/>
          <w:bdr w:val="none" w:sz="0" w:space="0" w:color="auto"/>
        </w:rPr>
        <w:t xml:space="preserve">National Executive Power </w:t>
      </w:r>
      <w:r w:rsidR="00757C21">
        <w:rPr>
          <w:rFonts w:ascii="Cambria" w:hAnsi="Cambria"/>
          <w:sz w:val="20"/>
          <w:szCs w:val="20"/>
          <w:bdr w:val="none" w:sz="0" w:space="0" w:color="auto"/>
        </w:rPr>
        <w:t>by means of</w:t>
      </w:r>
      <w:r w:rsidR="00E92985">
        <w:rPr>
          <w:rFonts w:ascii="Cambria" w:hAnsi="Cambria"/>
          <w:sz w:val="20"/>
          <w:szCs w:val="20"/>
          <w:bdr w:val="none" w:sz="0" w:space="0" w:color="auto"/>
        </w:rPr>
        <w:t xml:space="preserve"> the </w:t>
      </w:r>
      <w:r w:rsidR="00B90CEF">
        <w:rPr>
          <w:rFonts w:ascii="Cambria" w:hAnsi="Cambria"/>
          <w:sz w:val="20"/>
          <w:szCs w:val="20"/>
          <w:bdr w:val="none" w:sz="0" w:space="0" w:color="auto"/>
        </w:rPr>
        <w:t xml:space="preserve">National Directorate of Migrations </w:t>
      </w:r>
      <w:r w:rsidR="00757C21">
        <w:rPr>
          <w:rFonts w:ascii="Cambria" w:hAnsi="Cambria"/>
          <w:sz w:val="20"/>
          <w:szCs w:val="20"/>
          <w:bdr w:val="none" w:sz="0" w:space="0" w:color="auto"/>
        </w:rPr>
        <w:t>which disregarded the</w:t>
      </w:r>
      <w:r w:rsidR="00565D65" w:rsidRPr="00A51861">
        <w:rPr>
          <w:rFonts w:ascii="Cambria" w:hAnsi="Cambria"/>
          <w:sz w:val="20"/>
          <w:szCs w:val="20"/>
          <w:bdr w:val="none" w:sz="0" w:space="0" w:color="auto"/>
        </w:rPr>
        <w:t xml:space="preserve"> </w:t>
      </w:r>
      <w:r w:rsidR="00757C21" w:rsidRPr="00A51861">
        <w:rPr>
          <w:rFonts w:ascii="Cambria" w:hAnsi="Cambria"/>
          <w:sz w:val="20"/>
          <w:szCs w:val="20"/>
          <w:bdr w:val="none" w:sz="0" w:space="0" w:color="auto"/>
        </w:rPr>
        <w:t>particula</w:t>
      </w:r>
      <w:r w:rsidR="00757C21">
        <w:rPr>
          <w:rFonts w:ascii="Cambria" w:hAnsi="Cambria"/>
          <w:sz w:val="20"/>
          <w:szCs w:val="20"/>
          <w:bdr w:val="none" w:sz="0" w:space="0" w:color="auto"/>
        </w:rPr>
        <w:t xml:space="preserve">r </w:t>
      </w:r>
      <w:r w:rsidR="00757C21" w:rsidRPr="00A51861">
        <w:rPr>
          <w:rFonts w:ascii="Cambria" w:hAnsi="Cambria"/>
          <w:sz w:val="20"/>
          <w:szCs w:val="20"/>
          <w:bdr w:val="none" w:sz="0" w:space="0" w:color="auto"/>
        </w:rPr>
        <w:t>circumstances</w:t>
      </w:r>
      <w:r w:rsidR="00565D65" w:rsidRPr="00A51861">
        <w:rPr>
          <w:rFonts w:ascii="Cambria" w:hAnsi="Cambria"/>
          <w:sz w:val="20"/>
          <w:szCs w:val="20"/>
          <w:bdr w:val="none" w:sz="0" w:space="0" w:color="auto"/>
        </w:rPr>
        <w:t xml:space="preserve"> </w:t>
      </w:r>
      <w:r w:rsidR="00E92985">
        <w:rPr>
          <w:rFonts w:ascii="Cambria" w:hAnsi="Cambria"/>
          <w:sz w:val="20"/>
          <w:szCs w:val="20"/>
          <w:bdr w:val="none" w:sz="0" w:space="0" w:color="auto"/>
        </w:rPr>
        <w:t xml:space="preserve">of </w:t>
      </w:r>
      <w:r w:rsidR="00757C21">
        <w:rPr>
          <w:rFonts w:ascii="Cambria" w:hAnsi="Cambria"/>
          <w:sz w:val="20"/>
          <w:szCs w:val="20"/>
          <w:bdr w:val="none" w:sz="0" w:space="0" w:color="auto"/>
        </w:rPr>
        <w:t>the</w:t>
      </w:r>
      <w:r w:rsidR="00565D65" w:rsidRPr="00A51861">
        <w:rPr>
          <w:rFonts w:ascii="Cambria" w:hAnsi="Cambria"/>
          <w:sz w:val="20"/>
          <w:szCs w:val="20"/>
          <w:bdr w:val="none" w:sz="0" w:space="0" w:color="auto"/>
        </w:rPr>
        <w:t xml:space="preserve"> </w:t>
      </w:r>
      <w:r w:rsidR="00B4073F">
        <w:rPr>
          <w:rFonts w:ascii="Cambria" w:hAnsi="Cambria"/>
          <w:sz w:val="20"/>
          <w:szCs w:val="20"/>
          <w:bdr w:val="none" w:sz="0" w:space="0" w:color="auto"/>
        </w:rPr>
        <w:t>victim</w:t>
      </w:r>
      <w:r w:rsidR="00565D65" w:rsidRPr="00A51861">
        <w:rPr>
          <w:rFonts w:ascii="Cambria" w:hAnsi="Cambria"/>
          <w:sz w:val="20"/>
          <w:szCs w:val="20"/>
          <w:bdr w:val="none" w:sz="0" w:space="0" w:color="auto"/>
        </w:rPr>
        <w:t>s</w:t>
      </w:r>
      <w:r w:rsidR="00EF1AE5" w:rsidRPr="00A51861">
        <w:rPr>
          <w:rFonts w:ascii="Cambria" w:hAnsi="Cambria"/>
          <w:sz w:val="20"/>
          <w:szCs w:val="20"/>
          <w:bdr w:val="none" w:sz="0" w:space="0" w:color="auto"/>
        </w:rPr>
        <w:t xml:space="preserve">, </w:t>
      </w:r>
      <w:r w:rsidR="00757C21">
        <w:rPr>
          <w:rFonts w:ascii="Cambria" w:hAnsi="Cambria"/>
          <w:sz w:val="20"/>
          <w:szCs w:val="20"/>
          <w:bdr w:val="none" w:sz="0" w:space="0" w:color="auto"/>
        </w:rPr>
        <w:t>their needs for</w:t>
      </w:r>
      <w:r w:rsidR="00E92985">
        <w:rPr>
          <w:rFonts w:ascii="Cambria" w:hAnsi="Cambria"/>
          <w:sz w:val="20"/>
          <w:szCs w:val="20"/>
          <w:bdr w:val="none" w:sz="0" w:space="0" w:color="auto"/>
        </w:rPr>
        <w:t xml:space="preserve"> </w:t>
      </w:r>
      <w:r w:rsidR="00EF4ED2">
        <w:rPr>
          <w:rFonts w:ascii="Cambria" w:hAnsi="Cambria"/>
          <w:sz w:val="20"/>
          <w:szCs w:val="20"/>
          <w:bdr w:val="none" w:sz="0" w:space="0" w:color="auto"/>
        </w:rPr>
        <w:t>protection</w:t>
      </w:r>
      <w:r w:rsidR="00E92985">
        <w:rPr>
          <w:rFonts w:ascii="Cambria" w:hAnsi="Cambria"/>
          <w:sz w:val="20"/>
          <w:szCs w:val="20"/>
          <w:bdr w:val="none" w:sz="0" w:space="0" w:color="auto"/>
        </w:rPr>
        <w:t xml:space="preserve"> and </w:t>
      </w:r>
      <w:r w:rsidR="00757C21">
        <w:rPr>
          <w:rFonts w:ascii="Cambria" w:hAnsi="Cambria"/>
          <w:sz w:val="20"/>
          <w:szCs w:val="20"/>
          <w:bdr w:val="none" w:sz="0" w:space="0" w:color="auto"/>
        </w:rPr>
        <w:t>their right to remain in Argentine territory</w:t>
      </w:r>
      <w:r w:rsidR="00565D65" w:rsidRPr="00A51861">
        <w:rPr>
          <w:rFonts w:ascii="Cambria" w:hAnsi="Cambria"/>
          <w:sz w:val="20"/>
          <w:szCs w:val="20"/>
          <w:bdr w:val="none" w:sz="0" w:space="0" w:color="auto"/>
        </w:rPr>
        <w:t xml:space="preserve"> </w:t>
      </w:r>
      <w:r w:rsidR="00757C21">
        <w:rPr>
          <w:rFonts w:ascii="Cambria" w:hAnsi="Cambria"/>
          <w:sz w:val="20"/>
          <w:szCs w:val="20"/>
          <w:bdr w:val="none" w:sz="0" w:space="0" w:color="auto"/>
        </w:rPr>
        <w:t>for being in said country fleeing from</w:t>
      </w:r>
      <w:r w:rsidR="00E92985">
        <w:rPr>
          <w:rFonts w:ascii="Cambria" w:hAnsi="Cambria"/>
          <w:sz w:val="20"/>
          <w:szCs w:val="20"/>
          <w:bdr w:val="none" w:sz="0" w:space="0" w:color="auto"/>
        </w:rPr>
        <w:t xml:space="preserve"> </w:t>
      </w:r>
      <w:r w:rsidR="00565D65" w:rsidRPr="00A51861">
        <w:rPr>
          <w:rFonts w:ascii="Cambria" w:hAnsi="Cambria"/>
          <w:sz w:val="20"/>
          <w:szCs w:val="20"/>
          <w:bdr w:val="none" w:sz="0" w:space="0" w:color="auto"/>
        </w:rPr>
        <w:t>Uruguay</w:t>
      </w:r>
      <w:r>
        <w:rPr>
          <w:rFonts w:ascii="Cambria" w:hAnsi="Cambria"/>
          <w:sz w:val="20"/>
          <w:szCs w:val="20"/>
          <w:bdr w:val="none" w:sz="0" w:space="0" w:color="auto"/>
        </w:rPr>
        <w:t xml:space="preserve"> </w:t>
      </w:r>
      <w:r w:rsidR="00757C21">
        <w:rPr>
          <w:rFonts w:ascii="Cambria" w:hAnsi="Cambria"/>
          <w:sz w:val="20"/>
          <w:szCs w:val="20"/>
          <w:bdr w:val="none" w:sz="0" w:space="0" w:color="auto"/>
        </w:rPr>
        <w:t>due to the coup</w:t>
      </w:r>
      <w:r w:rsidR="003A2A80">
        <w:rPr>
          <w:rFonts w:ascii="Cambria" w:hAnsi="Cambria"/>
          <w:sz w:val="20"/>
          <w:szCs w:val="20"/>
          <w:bdr w:val="none" w:sz="0" w:space="0" w:color="auto"/>
        </w:rPr>
        <w:t xml:space="preserve"> </w:t>
      </w:r>
      <w:r w:rsidR="00E92985">
        <w:rPr>
          <w:rFonts w:ascii="Cambria" w:hAnsi="Cambria"/>
          <w:sz w:val="20"/>
          <w:szCs w:val="20"/>
          <w:bdr w:val="none" w:sz="0" w:space="0" w:color="auto"/>
        </w:rPr>
        <w:t>and</w:t>
      </w:r>
      <w:r w:rsidR="009A4F91">
        <w:rPr>
          <w:rFonts w:ascii="Cambria" w:hAnsi="Cambria"/>
          <w:sz w:val="20"/>
          <w:szCs w:val="20"/>
          <w:bdr w:val="none" w:sz="0" w:space="0" w:color="auto"/>
        </w:rPr>
        <w:t xml:space="preserve"> the </w:t>
      </w:r>
      <w:r w:rsidR="00757C21" w:rsidRPr="00A51861">
        <w:rPr>
          <w:rFonts w:ascii="Cambria" w:hAnsi="Cambria"/>
          <w:sz w:val="20"/>
          <w:szCs w:val="20"/>
          <w:bdr w:val="none" w:sz="0" w:space="0" w:color="auto"/>
        </w:rPr>
        <w:t>political</w:t>
      </w:r>
      <w:r w:rsidR="00757C21">
        <w:rPr>
          <w:rFonts w:ascii="Cambria" w:hAnsi="Cambria"/>
          <w:sz w:val="20"/>
          <w:szCs w:val="20"/>
          <w:bdr w:val="none" w:sz="0" w:space="0" w:color="auto"/>
        </w:rPr>
        <w:t xml:space="preserve"> </w:t>
      </w:r>
      <w:r w:rsidR="00BD6923">
        <w:rPr>
          <w:rFonts w:ascii="Cambria" w:hAnsi="Cambria"/>
          <w:sz w:val="20"/>
          <w:szCs w:val="20"/>
          <w:bdr w:val="none" w:sz="0" w:space="0" w:color="auto"/>
        </w:rPr>
        <w:t>persecution</w:t>
      </w:r>
      <w:r w:rsidR="00EF1AE5" w:rsidRPr="00A51861">
        <w:rPr>
          <w:rFonts w:ascii="Cambria" w:hAnsi="Cambria"/>
          <w:sz w:val="20"/>
          <w:szCs w:val="20"/>
          <w:bdr w:val="none" w:sz="0" w:space="0" w:color="auto"/>
        </w:rPr>
        <w:t xml:space="preserve"> </w:t>
      </w:r>
      <w:r w:rsidR="00355DEC" w:rsidRPr="00A51861">
        <w:rPr>
          <w:rFonts w:ascii="Cambria" w:hAnsi="Cambria"/>
          <w:sz w:val="20"/>
          <w:szCs w:val="20"/>
          <w:bdr w:val="none" w:sz="0" w:space="0" w:color="auto"/>
        </w:rPr>
        <w:t>-,</w:t>
      </w:r>
      <w:r w:rsidR="00565D65" w:rsidRPr="00A51861">
        <w:rPr>
          <w:rFonts w:ascii="Cambria" w:hAnsi="Cambria"/>
          <w:sz w:val="20"/>
          <w:szCs w:val="20"/>
          <w:bdr w:val="none" w:sz="0" w:space="0" w:color="auto"/>
        </w:rPr>
        <w:t xml:space="preserve"> </w:t>
      </w:r>
      <w:r w:rsidR="00757C21">
        <w:rPr>
          <w:rFonts w:ascii="Cambria" w:hAnsi="Cambria"/>
          <w:sz w:val="20"/>
          <w:szCs w:val="20"/>
          <w:bdr w:val="none" w:sz="0" w:space="0" w:color="auto"/>
        </w:rPr>
        <w:t>it was not comparable to a</w:t>
      </w:r>
      <w:r w:rsidR="00B773DC">
        <w:rPr>
          <w:rFonts w:ascii="Cambria" w:hAnsi="Cambria"/>
          <w:sz w:val="20"/>
          <w:szCs w:val="20"/>
          <w:bdr w:val="none" w:sz="0" w:space="0" w:color="auto"/>
        </w:rPr>
        <w:t xml:space="preserve"> </w:t>
      </w:r>
      <w:r w:rsidR="00757C21" w:rsidRPr="00A51861">
        <w:rPr>
          <w:rFonts w:ascii="Cambria" w:hAnsi="Cambria"/>
          <w:sz w:val="20"/>
          <w:szCs w:val="20"/>
          <w:bdr w:val="none" w:sz="0" w:space="0" w:color="auto"/>
        </w:rPr>
        <w:t>continu</w:t>
      </w:r>
      <w:r w:rsidR="00757C21">
        <w:rPr>
          <w:rFonts w:ascii="Cambria" w:hAnsi="Cambria"/>
          <w:sz w:val="20"/>
          <w:szCs w:val="20"/>
          <w:bdr w:val="none" w:sz="0" w:space="0" w:color="auto"/>
        </w:rPr>
        <w:t xml:space="preserve">ous </w:t>
      </w:r>
      <w:r w:rsidR="00B920CA">
        <w:rPr>
          <w:rFonts w:ascii="Cambria" w:hAnsi="Cambria"/>
          <w:sz w:val="20"/>
          <w:szCs w:val="20"/>
          <w:bdr w:val="none" w:sz="0" w:space="0" w:color="auto"/>
        </w:rPr>
        <w:t>restriction</w:t>
      </w:r>
      <w:r w:rsidR="00565D65" w:rsidRPr="00A51861">
        <w:rPr>
          <w:rFonts w:ascii="Cambria" w:hAnsi="Cambria"/>
          <w:sz w:val="20"/>
          <w:szCs w:val="20"/>
          <w:bdr w:val="none" w:sz="0" w:space="0" w:color="auto"/>
        </w:rPr>
        <w:t xml:space="preserve"> </w:t>
      </w:r>
      <w:r w:rsidR="00E92985">
        <w:rPr>
          <w:rFonts w:ascii="Cambria" w:hAnsi="Cambria"/>
          <w:sz w:val="20"/>
          <w:szCs w:val="20"/>
          <w:bdr w:val="none" w:sz="0" w:space="0" w:color="auto"/>
        </w:rPr>
        <w:t xml:space="preserve">of </w:t>
      </w:r>
      <w:r w:rsidR="00387B53">
        <w:rPr>
          <w:rFonts w:ascii="Cambria" w:hAnsi="Cambria"/>
          <w:sz w:val="20"/>
          <w:szCs w:val="20"/>
          <w:bdr w:val="none" w:sz="0" w:space="0" w:color="auto"/>
        </w:rPr>
        <w:t>liberty</w:t>
      </w:r>
      <w:r w:rsidR="00565D65" w:rsidRPr="00A51861">
        <w:rPr>
          <w:rFonts w:ascii="Cambria" w:hAnsi="Cambria"/>
          <w:sz w:val="20"/>
          <w:szCs w:val="20"/>
          <w:bdr w:val="none" w:sz="0" w:space="0" w:color="auto"/>
        </w:rPr>
        <w:t xml:space="preserve"> </w:t>
      </w:r>
      <w:r w:rsidR="00757C21">
        <w:rPr>
          <w:rFonts w:ascii="Cambria" w:hAnsi="Cambria"/>
          <w:sz w:val="20"/>
          <w:szCs w:val="20"/>
          <w:bdr w:val="none" w:sz="0" w:space="0" w:color="auto"/>
        </w:rPr>
        <w:t>through which</w:t>
      </w:r>
      <w:r w:rsidR="009A4F91">
        <w:rPr>
          <w:rFonts w:ascii="Cambria" w:hAnsi="Cambria"/>
          <w:sz w:val="20"/>
          <w:szCs w:val="20"/>
          <w:bdr w:val="none" w:sz="0" w:space="0" w:color="auto"/>
        </w:rPr>
        <w:t xml:space="preserve"> the </w:t>
      </w:r>
      <w:r w:rsidR="001A0B84">
        <w:rPr>
          <w:rFonts w:ascii="Cambria" w:hAnsi="Cambria"/>
          <w:sz w:val="20"/>
          <w:szCs w:val="20"/>
          <w:bdr w:val="none" w:sz="0" w:space="0" w:color="auto"/>
        </w:rPr>
        <w:t>reparation</w:t>
      </w:r>
      <w:r w:rsidR="00757C21">
        <w:rPr>
          <w:rFonts w:ascii="Cambria" w:hAnsi="Cambria"/>
          <w:sz w:val="20"/>
          <w:szCs w:val="20"/>
          <w:bdr w:val="none" w:sz="0" w:space="0" w:color="auto"/>
        </w:rPr>
        <w:t xml:space="preserve"> may have been recognized</w:t>
      </w:r>
      <w:r w:rsidR="00565D65" w:rsidRPr="00A51861">
        <w:rPr>
          <w:rFonts w:ascii="Cambria" w:hAnsi="Cambria"/>
          <w:sz w:val="20"/>
          <w:szCs w:val="20"/>
          <w:bdr w:val="none" w:sz="0" w:space="0" w:color="auto"/>
        </w:rPr>
        <w:t xml:space="preserve"> </w:t>
      </w:r>
      <w:r w:rsidR="00B74DB5">
        <w:rPr>
          <w:rFonts w:ascii="Cambria" w:hAnsi="Cambria"/>
          <w:sz w:val="20"/>
          <w:szCs w:val="20"/>
          <w:bdr w:val="none" w:sz="0" w:space="0" w:color="auto"/>
        </w:rPr>
        <w:t xml:space="preserve">in regard to </w:t>
      </w:r>
      <w:r w:rsidR="006A3C04">
        <w:rPr>
          <w:rFonts w:ascii="Cambria" w:hAnsi="Cambria"/>
          <w:sz w:val="20"/>
          <w:szCs w:val="20"/>
          <w:bdr w:val="none" w:sz="0" w:space="0" w:color="auto"/>
        </w:rPr>
        <w:t>the facts</w:t>
      </w:r>
      <w:r w:rsidR="00565D65" w:rsidRPr="00A51861">
        <w:rPr>
          <w:rFonts w:ascii="Cambria" w:hAnsi="Cambria"/>
          <w:sz w:val="20"/>
          <w:szCs w:val="20"/>
          <w:bdr w:val="none" w:sz="0" w:space="0" w:color="auto"/>
        </w:rPr>
        <w:t xml:space="preserve"> </w:t>
      </w:r>
      <w:r w:rsidR="00757C21">
        <w:rPr>
          <w:rFonts w:ascii="Cambria" w:hAnsi="Cambria"/>
          <w:sz w:val="20"/>
          <w:szCs w:val="20"/>
          <w:bdr w:val="none" w:sz="0" w:space="0" w:color="auto"/>
        </w:rPr>
        <w:t>occurred</w:t>
      </w:r>
      <w:r w:rsidR="00565D65" w:rsidRPr="00A51861">
        <w:rPr>
          <w:rFonts w:ascii="Cambria" w:hAnsi="Cambria"/>
          <w:sz w:val="20"/>
          <w:szCs w:val="20"/>
          <w:bdr w:val="none" w:sz="0" w:space="0" w:color="auto"/>
        </w:rPr>
        <w:t xml:space="preserve"> </w:t>
      </w:r>
      <w:r w:rsidR="00757C21">
        <w:rPr>
          <w:rFonts w:ascii="Cambria" w:hAnsi="Cambria"/>
          <w:sz w:val="20"/>
          <w:szCs w:val="20"/>
          <w:bdr w:val="none" w:sz="0" w:space="0" w:color="auto"/>
        </w:rPr>
        <w:t>within the temporary setting</w:t>
      </w:r>
      <w:r w:rsidR="009B462E">
        <w:rPr>
          <w:rFonts w:ascii="Cambria" w:hAnsi="Cambria"/>
          <w:sz w:val="20"/>
          <w:szCs w:val="20"/>
          <w:bdr w:val="none" w:sz="0" w:space="0" w:color="auto"/>
        </w:rPr>
        <w:t xml:space="preserve"> </w:t>
      </w:r>
      <w:r w:rsidR="00E92985">
        <w:rPr>
          <w:rFonts w:ascii="Cambria" w:hAnsi="Cambria"/>
          <w:sz w:val="20"/>
          <w:szCs w:val="20"/>
          <w:bdr w:val="none" w:sz="0" w:space="0" w:color="auto"/>
        </w:rPr>
        <w:t xml:space="preserve">of the </w:t>
      </w:r>
      <w:r w:rsidR="0029564F">
        <w:rPr>
          <w:rFonts w:ascii="Cambria" w:hAnsi="Cambria"/>
          <w:sz w:val="20"/>
          <w:szCs w:val="20"/>
          <w:bdr w:val="none" w:sz="0" w:space="0" w:color="auto"/>
        </w:rPr>
        <w:t>law</w:t>
      </w:r>
      <w:r w:rsidR="00565D65" w:rsidRPr="00A51861">
        <w:rPr>
          <w:rFonts w:ascii="Cambria" w:hAnsi="Cambria"/>
          <w:sz w:val="20"/>
          <w:szCs w:val="20"/>
          <w:bdr w:val="none" w:sz="0" w:space="0" w:color="auto"/>
        </w:rPr>
        <w:t>,</w:t>
      </w:r>
      <w:r w:rsidR="00E92985">
        <w:rPr>
          <w:rFonts w:ascii="Cambria" w:hAnsi="Cambria"/>
          <w:sz w:val="20"/>
          <w:szCs w:val="20"/>
          <w:bdr w:val="none" w:sz="0" w:space="0" w:color="auto"/>
        </w:rPr>
        <w:t xml:space="preserve"> </w:t>
      </w:r>
      <w:r w:rsidR="00757C21">
        <w:rPr>
          <w:rFonts w:ascii="Cambria" w:hAnsi="Cambria"/>
          <w:sz w:val="20"/>
          <w:szCs w:val="20"/>
          <w:bdr w:val="none" w:sz="0" w:space="0" w:color="auto"/>
        </w:rPr>
        <w:t>which means that the</w:t>
      </w:r>
      <w:r w:rsidR="00565D65" w:rsidRPr="00A51861">
        <w:rPr>
          <w:rFonts w:ascii="Cambria" w:hAnsi="Cambria"/>
          <w:sz w:val="20"/>
          <w:szCs w:val="20"/>
          <w:bdr w:val="none" w:sz="0" w:space="0" w:color="auto"/>
        </w:rPr>
        <w:t xml:space="preserve"> </w:t>
      </w:r>
      <w:r w:rsidR="00EF1F73">
        <w:rPr>
          <w:rFonts w:ascii="Cambria" w:hAnsi="Cambria"/>
          <w:sz w:val="20"/>
          <w:szCs w:val="20"/>
          <w:bdr w:val="none" w:sz="0" w:space="0" w:color="auto"/>
        </w:rPr>
        <w:t xml:space="preserve">precedents </w:t>
      </w:r>
      <w:r w:rsidR="00757C21">
        <w:rPr>
          <w:rFonts w:ascii="Cambria" w:hAnsi="Cambria"/>
          <w:sz w:val="20"/>
          <w:szCs w:val="20"/>
          <w:bdr w:val="none" w:sz="0" w:space="0" w:color="auto"/>
        </w:rPr>
        <w:t>would not have been</w:t>
      </w:r>
      <w:r w:rsidR="00565D65" w:rsidRPr="00A51861">
        <w:rPr>
          <w:rFonts w:ascii="Cambria" w:hAnsi="Cambria"/>
          <w:sz w:val="20"/>
          <w:szCs w:val="20"/>
          <w:bdr w:val="none" w:sz="0" w:space="0" w:color="auto"/>
        </w:rPr>
        <w:t xml:space="preserve"> </w:t>
      </w:r>
      <w:r w:rsidR="005617BA">
        <w:rPr>
          <w:rFonts w:ascii="Cambria" w:hAnsi="Cambria"/>
          <w:sz w:val="20"/>
          <w:szCs w:val="20"/>
          <w:bdr w:val="none" w:sz="0" w:space="0" w:color="auto"/>
        </w:rPr>
        <w:t xml:space="preserve">applicable </w:t>
      </w:r>
      <w:r w:rsidR="00757C21">
        <w:rPr>
          <w:rFonts w:ascii="Cambria" w:hAnsi="Cambria"/>
          <w:sz w:val="20"/>
          <w:szCs w:val="20"/>
          <w:bdr w:val="none" w:sz="0" w:space="0" w:color="auto"/>
        </w:rPr>
        <w:t>in that sense</w:t>
      </w:r>
      <w:r w:rsidR="00565D65" w:rsidRPr="00A51861">
        <w:rPr>
          <w:rFonts w:ascii="Cambria" w:hAnsi="Cambria"/>
          <w:sz w:val="20"/>
          <w:szCs w:val="20"/>
          <w:bdr w:val="none" w:sz="0" w:space="0" w:color="auto"/>
        </w:rPr>
        <w:t xml:space="preserve">. </w:t>
      </w:r>
    </w:p>
    <w:p w14:paraId="645CB9EA" w14:textId="77777777" w:rsidR="00EF1AE5" w:rsidRPr="00A51861" w:rsidRDefault="00EF1AE5" w:rsidP="008E4D36">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Cambria" w:hAnsi="Cambria"/>
          <w:sz w:val="20"/>
          <w:szCs w:val="20"/>
          <w:bdr w:val="none" w:sz="0" w:space="0" w:color="auto"/>
        </w:rPr>
      </w:pPr>
    </w:p>
    <w:p w14:paraId="54551FD9" w14:textId="12D6ABC6" w:rsidR="002D7475" w:rsidRPr="00A51861" w:rsidRDefault="00757C21"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bdr w:val="none" w:sz="0" w:space="0" w:color="auto"/>
        </w:rPr>
      </w:pPr>
      <w:r>
        <w:rPr>
          <w:rFonts w:ascii="Cambria" w:hAnsi="Cambria"/>
          <w:sz w:val="20"/>
          <w:szCs w:val="20"/>
          <w:bdr w:val="none" w:sz="0" w:space="0" w:color="auto"/>
        </w:rPr>
        <w:t>Thus</w:t>
      </w:r>
      <w:r w:rsidR="00EF1AE5" w:rsidRPr="00A51861">
        <w:rPr>
          <w:rFonts w:ascii="Cambria" w:hAnsi="Cambria"/>
          <w:sz w:val="20"/>
          <w:szCs w:val="20"/>
          <w:bdr w:val="none" w:sz="0" w:space="0" w:color="auto"/>
        </w:rPr>
        <w:t xml:space="preserve">, </w:t>
      </w:r>
      <w:r w:rsidR="00964D74">
        <w:rPr>
          <w:rFonts w:ascii="Cambria" w:hAnsi="Cambria"/>
          <w:sz w:val="20"/>
          <w:szCs w:val="20"/>
          <w:bdr w:val="none" w:sz="0" w:space="0" w:color="auto"/>
        </w:rPr>
        <w:t xml:space="preserve">it is observed </w:t>
      </w:r>
      <w:r w:rsidR="00A51861" w:rsidRPr="00A51861">
        <w:rPr>
          <w:rFonts w:ascii="Cambria" w:hAnsi="Cambria"/>
          <w:sz w:val="20"/>
          <w:szCs w:val="20"/>
          <w:bdr w:val="none" w:sz="0" w:space="0" w:color="auto"/>
        </w:rPr>
        <w:t>that</w:t>
      </w:r>
      <w:r w:rsidR="00EF1AE5" w:rsidRPr="00A51861">
        <w:rPr>
          <w:rFonts w:ascii="Cambria" w:hAnsi="Cambria"/>
          <w:sz w:val="20"/>
          <w:szCs w:val="20"/>
          <w:bdr w:val="none" w:sz="0" w:space="0" w:color="auto"/>
        </w:rPr>
        <w:t xml:space="preserve"> </w:t>
      </w:r>
      <w:r>
        <w:rPr>
          <w:rFonts w:ascii="Cambria" w:hAnsi="Cambria"/>
          <w:sz w:val="20"/>
          <w:szCs w:val="20"/>
          <w:bdr w:val="none" w:sz="0" w:space="0" w:color="auto"/>
        </w:rPr>
        <w:t>in fact</w:t>
      </w:r>
      <w:r w:rsidR="00EF1AE5" w:rsidRPr="00A51861">
        <w:rPr>
          <w:rFonts w:ascii="Cambria" w:hAnsi="Cambria"/>
          <w:sz w:val="20"/>
          <w:szCs w:val="20"/>
          <w:bdr w:val="none" w:sz="0" w:space="0" w:color="auto"/>
        </w:rPr>
        <w:t xml:space="preserve">, las </w:t>
      </w:r>
      <w:r w:rsidR="00E92985">
        <w:rPr>
          <w:rFonts w:ascii="Cambria" w:hAnsi="Cambria"/>
          <w:sz w:val="20"/>
          <w:szCs w:val="20"/>
          <w:bdr w:val="none" w:sz="0" w:space="0" w:color="auto"/>
        </w:rPr>
        <w:t xml:space="preserve">decisions of </w:t>
      </w:r>
      <w:r w:rsidR="00103579">
        <w:rPr>
          <w:rFonts w:ascii="Cambria" w:hAnsi="Cambria"/>
          <w:sz w:val="20"/>
          <w:szCs w:val="20"/>
          <w:bdr w:val="none" w:sz="0" w:space="0" w:color="auto"/>
        </w:rPr>
        <w:t>expulsion</w:t>
      </w:r>
      <w:r w:rsidR="00EF1AE5" w:rsidRPr="00A51861">
        <w:rPr>
          <w:rFonts w:ascii="Cambria" w:hAnsi="Cambria"/>
          <w:sz w:val="20"/>
          <w:szCs w:val="20"/>
          <w:bdr w:val="none" w:sz="0" w:space="0" w:color="auto"/>
        </w:rPr>
        <w:t xml:space="preserve"> </w:t>
      </w:r>
      <w:r>
        <w:rPr>
          <w:rFonts w:ascii="Cambria" w:hAnsi="Cambria"/>
          <w:sz w:val="20"/>
          <w:szCs w:val="20"/>
          <w:bdr w:val="none" w:sz="0" w:space="0" w:color="auto"/>
        </w:rPr>
        <w:t xml:space="preserve">in the </w:t>
      </w:r>
      <w:r w:rsidR="00FA4A3C">
        <w:rPr>
          <w:rFonts w:ascii="Cambria" w:hAnsi="Cambria"/>
          <w:sz w:val="20"/>
          <w:szCs w:val="20"/>
          <w:bdr w:val="none" w:sz="0" w:space="0" w:color="auto"/>
        </w:rPr>
        <w:t>present case</w:t>
      </w:r>
      <w:r w:rsidR="00EF1AE5" w:rsidRPr="00A51861">
        <w:rPr>
          <w:rFonts w:ascii="Cambria" w:hAnsi="Cambria"/>
          <w:sz w:val="20"/>
          <w:szCs w:val="20"/>
          <w:bdr w:val="none" w:sz="0" w:space="0" w:color="auto"/>
        </w:rPr>
        <w:t xml:space="preserve"> </w:t>
      </w:r>
      <w:r>
        <w:rPr>
          <w:rFonts w:ascii="Cambria" w:hAnsi="Cambria"/>
          <w:sz w:val="20"/>
          <w:szCs w:val="20"/>
          <w:bdr w:val="none" w:sz="0" w:space="0" w:color="auto"/>
        </w:rPr>
        <w:t>were an act by the</w:t>
      </w:r>
      <w:r w:rsidR="004969F4">
        <w:rPr>
          <w:rFonts w:ascii="Cambria" w:hAnsi="Cambria"/>
          <w:sz w:val="20"/>
          <w:szCs w:val="20"/>
          <w:bdr w:val="none" w:sz="0" w:space="0" w:color="auto"/>
        </w:rPr>
        <w:t xml:space="preserve"> </w:t>
      </w:r>
      <w:r w:rsidRPr="00A51861">
        <w:rPr>
          <w:rFonts w:ascii="Cambria" w:hAnsi="Cambria"/>
          <w:sz w:val="20"/>
          <w:szCs w:val="20"/>
          <w:bdr w:val="none" w:sz="0" w:space="0" w:color="auto"/>
        </w:rPr>
        <w:t>executive</w:t>
      </w:r>
      <w:r w:rsidR="00EF1AE5" w:rsidRPr="00A51861">
        <w:rPr>
          <w:rFonts w:ascii="Cambria" w:hAnsi="Cambria"/>
          <w:sz w:val="20"/>
          <w:szCs w:val="20"/>
          <w:bdr w:val="none" w:sz="0" w:space="0" w:color="auto"/>
        </w:rPr>
        <w:t xml:space="preserve"> </w:t>
      </w:r>
      <w:r>
        <w:rPr>
          <w:rFonts w:ascii="Cambria" w:hAnsi="Cambria"/>
          <w:sz w:val="20"/>
          <w:szCs w:val="20"/>
          <w:bdr w:val="none" w:sz="0" w:space="0" w:color="auto"/>
        </w:rPr>
        <w:t xml:space="preserve">which materialized </w:t>
      </w:r>
      <w:r w:rsidR="00B920CA">
        <w:rPr>
          <w:rFonts w:ascii="Cambria" w:hAnsi="Cambria"/>
          <w:sz w:val="20"/>
          <w:szCs w:val="20"/>
          <w:bdr w:val="none" w:sz="0" w:space="0" w:color="auto"/>
        </w:rPr>
        <w:t xml:space="preserve">in a </w:t>
      </w:r>
      <w:r w:rsidR="004E1083">
        <w:rPr>
          <w:rFonts w:ascii="Cambria" w:hAnsi="Cambria"/>
          <w:sz w:val="20"/>
          <w:szCs w:val="20"/>
          <w:bdr w:val="none" w:sz="0" w:space="0" w:color="auto"/>
        </w:rPr>
        <w:t>violation</w:t>
      </w:r>
      <w:r w:rsidR="00EF1AE5" w:rsidRPr="00A51861">
        <w:rPr>
          <w:rFonts w:ascii="Cambria" w:hAnsi="Cambria"/>
          <w:sz w:val="20"/>
          <w:szCs w:val="20"/>
          <w:bdr w:val="none" w:sz="0" w:space="0" w:color="auto"/>
        </w:rPr>
        <w:t xml:space="preserve"> </w:t>
      </w:r>
      <w:r>
        <w:rPr>
          <w:rFonts w:ascii="Cambria" w:hAnsi="Cambria"/>
          <w:sz w:val="20"/>
          <w:szCs w:val="20"/>
          <w:bdr w:val="none" w:sz="0" w:space="0" w:color="auto"/>
        </w:rPr>
        <w:t>of s</w:t>
      </w:r>
      <w:r w:rsidR="003A78FE">
        <w:rPr>
          <w:rFonts w:ascii="Cambria" w:hAnsi="Cambria"/>
          <w:sz w:val="20"/>
          <w:szCs w:val="20"/>
          <w:bdr w:val="none" w:sz="0" w:space="0" w:color="auto"/>
        </w:rPr>
        <w:t>everal</w:t>
      </w:r>
      <w:r w:rsidR="00EF1AE5" w:rsidRPr="00A51861">
        <w:rPr>
          <w:rFonts w:ascii="Cambria" w:hAnsi="Cambria"/>
          <w:sz w:val="20"/>
          <w:szCs w:val="20"/>
          <w:bdr w:val="none" w:sz="0" w:space="0" w:color="auto"/>
        </w:rPr>
        <w:t xml:space="preserve"> </w:t>
      </w:r>
      <w:r>
        <w:rPr>
          <w:rFonts w:ascii="Cambria" w:hAnsi="Cambria"/>
          <w:sz w:val="20"/>
          <w:szCs w:val="20"/>
          <w:bdr w:val="none" w:sz="0" w:space="0" w:color="auto"/>
        </w:rPr>
        <w:t>rights</w:t>
      </w:r>
      <w:r w:rsidR="00EF1AE5" w:rsidRPr="00A51861">
        <w:rPr>
          <w:rFonts w:ascii="Cambria" w:hAnsi="Cambria"/>
          <w:sz w:val="20"/>
          <w:szCs w:val="20"/>
          <w:bdr w:val="none" w:sz="0" w:space="0" w:color="auto"/>
        </w:rPr>
        <w:t xml:space="preserve">, </w:t>
      </w:r>
      <w:r w:rsidR="005835F2">
        <w:rPr>
          <w:rFonts w:ascii="Cambria" w:hAnsi="Cambria"/>
          <w:sz w:val="20"/>
          <w:szCs w:val="20"/>
          <w:bdr w:val="none" w:sz="0" w:space="0" w:color="auto"/>
        </w:rPr>
        <w:t>including</w:t>
      </w:r>
      <w:r w:rsidR="00EF1AE5" w:rsidRPr="00A51861">
        <w:rPr>
          <w:rFonts w:ascii="Cambria" w:hAnsi="Cambria"/>
          <w:sz w:val="20"/>
          <w:szCs w:val="20"/>
          <w:bdr w:val="none" w:sz="0" w:space="0" w:color="auto"/>
        </w:rPr>
        <w:t xml:space="preserve"> </w:t>
      </w:r>
      <w:r w:rsidR="0045141A">
        <w:rPr>
          <w:rFonts w:ascii="Cambria" w:hAnsi="Cambria"/>
          <w:sz w:val="20"/>
          <w:szCs w:val="20"/>
          <w:bdr w:val="none" w:sz="0" w:space="0" w:color="auto"/>
        </w:rPr>
        <w:t xml:space="preserve">the principle </w:t>
      </w:r>
      <w:r w:rsidR="00E92985">
        <w:rPr>
          <w:rFonts w:ascii="Cambria" w:hAnsi="Cambria"/>
          <w:sz w:val="20"/>
          <w:szCs w:val="20"/>
          <w:bdr w:val="none" w:sz="0" w:space="0" w:color="auto"/>
        </w:rPr>
        <w:t xml:space="preserve">of </w:t>
      </w:r>
      <w:r w:rsidR="000674CA">
        <w:rPr>
          <w:rFonts w:ascii="Cambria" w:hAnsi="Cambria"/>
          <w:sz w:val="20"/>
          <w:szCs w:val="20"/>
          <w:bdr w:val="none" w:sz="0" w:space="0" w:color="auto"/>
        </w:rPr>
        <w:t>non-refoulment</w:t>
      </w:r>
      <w:r w:rsidR="00EF1AE5" w:rsidRPr="00A51861">
        <w:rPr>
          <w:rFonts w:ascii="Cambria" w:hAnsi="Cambria"/>
          <w:sz w:val="20"/>
          <w:szCs w:val="20"/>
          <w:bdr w:val="none" w:sz="0" w:space="0" w:color="auto"/>
        </w:rPr>
        <w:t>,</w:t>
      </w:r>
      <w:r w:rsidR="00E92985">
        <w:rPr>
          <w:rFonts w:ascii="Cambria" w:hAnsi="Cambria"/>
          <w:sz w:val="20"/>
          <w:szCs w:val="20"/>
          <w:bdr w:val="none" w:sz="0" w:space="0" w:color="auto"/>
        </w:rPr>
        <w:t xml:space="preserve"> and </w:t>
      </w:r>
      <w:r>
        <w:rPr>
          <w:rFonts w:ascii="Cambria" w:hAnsi="Cambria"/>
          <w:sz w:val="20"/>
          <w:szCs w:val="20"/>
          <w:bdr w:val="none" w:sz="0" w:space="0" w:color="auto"/>
        </w:rPr>
        <w:t>that</w:t>
      </w:r>
      <w:r w:rsidR="00E64C43">
        <w:rPr>
          <w:rFonts w:ascii="Cambria" w:hAnsi="Cambria"/>
          <w:sz w:val="20"/>
          <w:szCs w:val="20"/>
          <w:bdr w:val="none" w:sz="0" w:space="0" w:color="auto"/>
        </w:rPr>
        <w:t xml:space="preserve"> this</w:t>
      </w:r>
      <w:r w:rsidR="005F6157">
        <w:rPr>
          <w:rFonts w:ascii="Cambria" w:hAnsi="Cambria"/>
          <w:sz w:val="20"/>
          <w:szCs w:val="20"/>
          <w:bdr w:val="none" w:sz="0" w:space="0" w:color="auto"/>
        </w:rPr>
        <w:t xml:space="preserve"> fact</w:t>
      </w:r>
      <w:r w:rsidR="00D70A85">
        <w:rPr>
          <w:rFonts w:ascii="Cambria" w:hAnsi="Cambria"/>
          <w:sz w:val="20"/>
          <w:szCs w:val="20"/>
          <w:bdr w:val="none" w:sz="0" w:space="0" w:color="auto"/>
        </w:rPr>
        <w:t xml:space="preserve"> is </w:t>
      </w:r>
      <w:r>
        <w:rPr>
          <w:rFonts w:ascii="Cambria" w:hAnsi="Cambria"/>
          <w:sz w:val="20"/>
          <w:szCs w:val="20"/>
          <w:bdr w:val="none" w:sz="0" w:space="0" w:color="auto"/>
        </w:rPr>
        <w:t>also</w:t>
      </w:r>
      <w:r w:rsidR="00B773DC">
        <w:rPr>
          <w:rFonts w:ascii="Cambria" w:hAnsi="Cambria"/>
          <w:sz w:val="20"/>
          <w:szCs w:val="20"/>
          <w:bdr w:val="none" w:sz="0" w:space="0" w:color="auto"/>
        </w:rPr>
        <w:t xml:space="preserve"> a </w:t>
      </w:r>
      <w:r w:rsidR="00EF1AE5" w:rsidRPr="00A51861">
        <w:rPr>
          <w:rFonts w:ascii="Cambria" w:hAnsi="Cambria"/>
          <w:sz w:val="20"/>
          <w:szCs w:val="20"/>
          <w:bdr w:val="none" w:sz="0" w:space="0" w:color="auto"/>
        </w:rPr>
        <w:t>form</w:t>
      </w:r>
      <w:r w:rsidR="00E92985">
        <w:rPr>
          <w:rFonts w:ascii="Cambria" w:hAnsi="Cambria"/>
          <w:sz w:val="20"/>
          <w:szCs w:val="20"/>
          <w:bdr w:val="none" w:sz="0" w:space="0" w:color="auto"/>
        </w:rPr>
        <w:t xml:space="preserve"> of </w:t>
      </w:r>
      <w:r w:rsidR="004E1083">
        <w:rPr>
          <w:rFonts w:ascii="Cambria" w:hAnsi="Cambria"/>
          <w:sz w:val="20"/>
          <w:szCs w:val="20"/>
          <w:bdr w:val="none" w:sz="0" w:space="0" w:color="auto"/>
        </w:rPr>
        <w:t>violation</w:t>
      </w:r>
      <w:r w:rsidR="00E92985">
        <w:rPr>
          <w:rFonts w:ascii="Cambria" w:hAnsi="Cambria"/>
          <w:sz w:val="20"/>
          <w:szCs w:val="20"/>
          <w:bdr w:val="none" w:sz="0" w:space="0" w:color="auto"/>
        </w:rPr>
        <w:t xml:space="preserve"> of </w:t>
      </w:r>
      <w:r>
        <w:rPr>
          <w:rFonts w:ascii="Cambria" w:hAnsi="Cambria"/>
          <w:sz w:val="20"/>
          <w:szCs w:val="20"/>
          <w:bdr w:val="none" w:sz="0" w:space="0" w:color="auto"/>
        </w:rPr>
        <w:t>rights in particular concerning</w:t>
      </w:r>
      <w:r w:rsidR="00E92985">
        <w:rPr>
          <w:rFonts w:ascii="Cambria" w:hAnsi="Cambria"/>
          <w:sz w:val="20"/>
          <w:szCs w:val="20"/>
          <w:bdr w:val="none" w:sz="0" w:space="0" w:color="auto"/>
        </w:rPr>
        <w:t xml:space="preserve"> </w:t>
      </w:r>
      <w:r w:rsidR="00347146">
        <w:rPr>
          <w:rFonts w:ascii="Cambria" w:hAnsi="Cambria"/>
          <w:sz w:val="20"/>
          <w:szCs w:val="20"/>
          <w:bdr w:val="none" w:sz="0" w:space="0" w:color="auto"/>
        </w:rPr>
        <w:t>foreigners</w:t>
      </w:r>
      <w:r w:rsidR="00EF1AE5" w:rsidRPr="00A51861">
        <w:rPr>
          <w:rFonts w:ascii="Cambria" w:hAnsi="Cambria"/>
          <w:sz w:val="20"/>
          <w:szCs w:val="20"/>
          <w:bdr w:val="none" w:sz="0" w:space="0" w:color="auto"/>
        </w:rPr>
        <w:t xml:space="preserve"> </w:t>
      </w:r>
      <w:r>
        <w:rPr>
          <w:rFonts w:ascii="Cambria" w:hAnsi="Cambria"/>
          <w:sz w:val="20"/>
          <w:szCs w:val="20"/>
          <w:bdr w:val="none" w:sz="0" w:space="0" w:color="auto"/>
        </w:rPr>
        <w:t>who are forced to leave</w:t>
      </w:r>
      <w:r w:rsidR="004969F4">
        <w:rPr>
          <w:rFonts w:ascii="Cambria" w:hAnsi="Cambria"/>
          <w:sz w:val="20"/>
          <w:szCs w:val="20"/>
          <w:bdr w:val="none" w:sz="0" w:space="0" w:color="auto"/>
        </w:rPr>
        <w:t xml:space="preserve"> the </w:t>
      </w:r>
      <w:r>
        <w:rPr>
          <w:rFonts w:ascii="Cambria" w:hAnsi="Cambria"/>
          <w:sz w:val="20"/>
          <w:szCs w:val="20"/>
          <w:bdr w:val="none" w:sz="0" w:space="0" w:color="auto"/>
        </w:rPr>
        <w:t>country</w:t>
      </w:r>
      <w:r w:rsidR="00EF1AE5" w:rsidRPr="00A51861">
        <w:rPr>
          <w:rFonts w:ascii="Cambria" w:hAnsi="Cambria"/>
          <w:sz w:val="20"/>
          <w:szCs w:val="20"/>
          <w:bdr w:val="none" w:sz="0" w:space="0" w:color="auto"/>
        </w:rPr>
        <w:t xml:space="preserve"> </w:t>
      </w:r>
      <w:r w:rsidR="006A36FF">
        <w:rPr>
          <w:rFonts w:ascii="Cambria" w:hAnsi="Cambria"/>
          <w:sz w:val="20"/>
          <w:szCs w:val="20"/>
          <w:bdr w:val="none" w:sz="0" w:space="0" w:color="auto"/>
        </w:rPr>
        <w:t>i</w:t>
      </w:r>
      <w:r w:rsidR="00EF1AE5" w:rsidRPr="00A51861">
        <w:rPr>
          <w:rFonts w:ascii="Cambria" w:hAnsi="Cambria"/>
          <w:sz w:val="20"/>
          <w:szCs w:val="20"/>
          <w:bdr w:val="none" w:sz="0" w:space="0" w:color="auto"/>
        </w:rPr>
        <w:t>n</w:t>
      </w:r>
      <w:r w:rsidR="00E64C43">
        <w:rPr>
          <w:rFonts w:ascii="Cambria" w:hAnsi="Cambria"/>
          <w:sz w:val="20"/>
          <w:szCs w:val="20"/>
          <w:bdr w:val="none" w:sz="0" w:space="0" w:color="auto"/>
        </w:rPr>
        <w:t xml:space="preserve"> these </w:t>
      </w:r>
      <w:r w:rsidR="006A36FF">
        <w:rPr>
          <w:rFonts w:ascii="Cambria" w:hAnsi="Cambria"/>
          <w:sz w:val="20"/>
          <w:szCs w:val="20"/>
          <w:bdr w:val="none" w:sz="0" w:space="0" w:color="auto"/>
        </w:rPr>
        <w:t>circumstance</w:t>
      </w:r>
      <w:r w:rsidR="00EF1AE5" w:rsidRPr="00A51861">
        <w:rPr>
          <w:rFonts w:ascii="Cambria" w:hAnsi="Cambria"/>
          <w:sz w:val="20"/>
          <w:szCs w:val="20"/>
          <w:bdr w:val="none" w:sz="0" w:space="0" w:color="auto"/>
        </w:rPr>
        <w:t>s</w:t>
      </w:r>
      <w:r w:rsidR="00E92985">
        <w:rPr>
          <w:rFonts w:ascii="Cambria" w:hAnsi="Cambria"/>
          <w:sz w:val="20"/>
          <w:szCs w:val="20"/>
          <w:bdr w:val="none" w:sz="0" w:space="0" w:color="auto"/>
        </w:rPr>
        <w:t xml:space="preserve"> and </w:t>
      </w:r>
      <w:r w:rsidR="004251A4">
        <w:rPr>
          <w:rFonts w:ascii="Cambria" w:hAnsi="Cambria"/>
          <w:sz w:val="20"/>
          <w:szCs w:val="20"/>
          <w:bdr w:val="none" w:sz="0" w:space="0" w:color="auto"/>
        </w:rPr>
        <w:t>should remain in the country as a result from said</w:t>
      </w:r>
      <w:r w:rsidR="003F2BC8" w:rsidRPr="00A51861">
        <w:rPr>
          <w:rFonts w:ascii="Cambria" w:hAnsi="Cambria"/>
          <w:sz w:val="20"/>
          <w:szCs w:val="20"/>
          <w:bdr w:val="none" w:sz="0" w:space="0" w:color="auto"/>
        </w:rPr>
        <w:t xml:space="preserve"> </w:t>
      </w:r>
      <w:r w:rsidR="00444893">
        <w:rPr>
          <w:rFonts w:ascii="Cambria" w:hAnsi="Cambria"/>
          <w:sz w:val="20"/>
          <w:szCs w:val="20"/>
          <w:bdr w:val="none" w:sz="0" w:space="0" w:color="auto"/>
        </w:rPr>
        <w:t>principle</w:t>
      </w:r>
      <w:r w:rsidR="003F2BC8" w:rsidRPr="00A51861">
        <w:rPr>
          <w:rFonts w:ascii="Cambria" w:hAnsi="Cambria"/>
          <w:sz w:val="20"/>
          <w:szCs w:val="20"/>
          <w:bdr w:val="none" w:sz="0" w:space="0" w:color="auto"/>
        </w:rPr>
        <w:t xml:space="preserve">, </w:t>
      </w:r>
      <w:r w:rsidR="004251A4">
        <w:rPr>
          <w:rFonts w:ascii="Cambria" w:hAnsi="Cambria"/>
          <w:sz w:val="20"/>
          <w:szCs w:val="20"/>
          <w:bdr w:val="none" w:sz="0" w:space="0" w:color="auto"/>
        </w:rPr>
        <w:t>at least while it is verified if their</w:t>
      </w:r>
      <w:r>
        <w:rPr>
          <w:rFonts w:ascii="Cambria" w:hAnsi="Cambria"/>
          <w:sz w:val="20"/>
          <w:szCs w:val="20"/>
          <w:bdr w:val="none" w:sz="0" w:space="0" w:color="auto"/>
        </w:rPr>
        <w:t xml:space="preserve"> rights </w:t>
      </w:r>
      <w:r w:rsidR="004251A4">
        <w:rPr>
          <w:rFonts w:ascii="Cambria" w:hAnsi="Cambria"/>
          <w:sz w:val="20"/>
          <w:szCs w:val="20"/>
          <w:bdr w:val="none" w:sz="0" w:space="0" w:color="auto"/>
        </w:rPr>
        <w:t>were at risk in the terms</w:t>
      </w:r>
      <w:r w:rsidR="003F2BC8" w:rsidRPr="00A51861">
        <w:rPr>
          <w:rFonts w:ascii="Cambria" w:hAnsi="Cambria"/>
          <w:sz w:val="20"/>
          <w:szCs w:val="20"/>
          <w:bdr w:val="none" w:sz="0" w:space="0" w:color="auto"/>
        </w:rPr>
        <w:t xml:space="preserve"> </w:t>
      </w:r>
      <w:r w:rsidR="004251A4">
        <w:rPr>
          <w:rFonts w:ascii="Cambria" w:hAnsi="Cambria"/>
          <w:sz w:val="20"/>
          <w:szCs w:val="20"/>
          <w:bdr w:val="none" w:sz="0" w:space="0" w:color="auto"/>
        </w:rPr>
        <w:t xml:space="preserve">protected by </w:t>
      </w:r>
      <w:r w:rsidR="00EF4ED2">
        <w:rPr>
          <w:rFonts w:ascii="Cambria" w:hAnsi="Cambria"/>
          <w:sz w:val="20"/>
          <w:szCs w:val="20"/>
          <w:bdr w:val="none" w:sz="0" w:space="0" w:color="auto"/>
        </w:rPr>
        <w:t>international</w:t>
      </w:r>
      <w:r w:rsidR="004251A4">
        <w:rPr>
          <w:rFonts w:ascii="Cambria" w:hAnsi="Cambria"/>
          <w:sz w:val="20"/>
          <w:szCs w:val="20"/>
          <w:bdr w:val="none" w:sz="0" w:space="0" w:color="auto"/>
        </w:rPr>
        <w:t xml:space="preserve"> law</w:t>
      </w:r>
      <w:r w:rsidR="00EF1AE5" w:rsidRPr="00A51861">
        <w:rPr>
          <w:rFonts w:ascii="Cambria" w:hAnsi="Cambria"/>
          <w:sz w:val="20"/>
          <w:szCs w:val="20"/>
          <w:bdr w:val="none" w:sz="0" w:space="0" w:color="auto"/>
        </w:rPr>
        <w:t xml:space="preserve">. </w:t>
      </w:r>
      <w:r w:rsidR="002B762A">
        <w:rPr>
          <w:rFonts w:ascii="Cambria" w:hAnsi="Cambria"/>
          <w:sz w:val="20"/>
          <w:szCs w:val="20"/>
          <w:bdr w:val="none" w:sz="0" w:space="0" w:color="auto"/>
        </w:rPr>
        <w:t>In this sense</w:t>
      </w:r>
      <w:r w:rsidR="00EF1AE5" w:rsidRPr="00A51861">
        <w:rPr>
          <w:rFonts w:ascii="Cambria" w:hAnsi="Cambria"/>
          <w:sz w:val="20"/>
          <w:szCs w:val="20"/>
          <w:bdr w:val="none" w:sz="0" w:space="0" w:color="auto"/>
        </w:rPr>
        <w:t xml:space="preserve">, </w:t>
      </w:r>
      <w:r w:rsidR="00E92985">
        <w:rPr>
          <w:rFonts w:ascii="Cambria" w:hAnsi="Cambria"/>
          <w:sz w:val="20"/>
          <w:szCs w:val="20"/>
          <w:bdr w:val="none" w:sz="0" w:space="0" w:color="auto"/>
        </w:rPr>
        <w:t>the Commission</w:t>
      </w:r>
      <w:r w:rsidR="00355DEC" w:rsidRPr="00A51861">
        <w:rPr>
          <w:rFonts w:ascii="Cambria" w:hAnsi="Cambria"/>
          <w:sz w:val="20"/>
          <w:szCs w:val="20"/>
          <w:bdr w:val="none" w:sz="0" w:space="0" w:color="auto"/>
        </w:rPr>
        <w:t xml:space="preserve"> </w:t>
      </w:r>
      <w:r w:rsidR="00A51861" w:rsidRPr="00A51861">
        <w:rPr>
          <w:rFonts w:ascii="Cambria" w:hAnsi="Cambria"/>
          <w:sz w:val="20"/>
          <w:szCs w:val="20"/>
          <w:bdr w:val="none" w:sz="0" w:space="0" w:color="auto"/>
        </w:rPr>
        <w:t>considers that</w:t>
      </w:r>
      <w:r w:rsidR="009A4F91">
        <w:rPr>
          <w:rFonts w:ascii="Cambria" w:hAnsi="Cambria"/>
          <w:sz w:val="20"/>
          <w:szCs w:val="20"/>
          <w:bdr w:val="none" w:sz="0" w:space="0" w:color="auto"/>
        </w:rPr>
        <w:t xml:space="preserve"> the</w:t>
      </w:r>
      <w:r w:rsidR="004251A4">
        <w:rPr>
          <w:rFonts w:ascii="Cambria" w:hAnsi="Cambria"/>
          <w:sz w:val="20"/>
          <w:szCs w:val="20"/>
          <w:bdr w:val="none" w:sz="0" w:space="0" w:color="auto"/>
        </w:rPr>
        <w:t xml:space="preserve"> form</w:t>
      </w:r>
      <w:r w:rsidR="009A4F91">
        <w:rPr>
          <w:rFonts w:ascii="Cambria" w:hAnsi="Cambria"/>
          <w:sz w:val="20"/>
          <w:szCs w:val="20"/>
          <w:bdr w:val="none" w:sz="0" w:space="0" w:color="auto"/>
        </w:rPr>
        <w:t xml:space="preserve"> </w:t>
      </w:r>
      <w:r w:rsidR="004251A4">
        <w:rPr>
          <w:rFonts w:ascii="Cambria" w:hAnsi="Cambria"/>
          <w:sz w:val="20"/>
          <w:szCs w:val="20"/>
          <w:bdr w:val="none" w:sz="0" w:space="0" w:color="auto"/>
        </w:rPr>
        <w:t>in which the omissions to analyze the requests</w:t>
      </w:r>
      <w:r w:rsidR="00E92985">
        <w:rPr>
          <w:rFonts w:ascii="Cambria" w:hAnsi="Cambria"/>
          <w:sz w:val="20"/>
          <w:szCs w:val="20"/>
          <w:bdr w:val="none" w:sz="0" w:space="0" w:color="auto"/>
        </w:rPr>
        <w:t xml:space="preserve"> of </w:t>
      </w:r>
      <w:r w:rsidR="002835FC" w:rsidRPr="00A51861">
        <w:rPr>
          <w:rFonts w:ascii="Cambria" w:hAnsi="Cambria"/>
          <w:sz w:val="20"/>
          <w:szCs w:val="20"/>
          <w:bdr w:val="none" w:sz="0" w:space="0" w:color="auto"/>
        </w:rPr>
        <w:t xml:space="preserve">the alleged victims </w:t>
      </w:r>
      <w:r w:rsidR="004251A4">
        <w:rPr>
          <w:rFonts w:ascii="Cambria" w:hAnsi="Cambria"/>
          <w:sz w:val="20"/>
          <w:szCs w:val="20"/>
          <w:bdr w:val="none" w:sz="0" w:space="0" w:color="auto"/>
        </w:rPr>
        <w:t xml:space="preserve">have </w:t>
      </w:r>
      <w:r w:rsidR="004251A4" w:rsidRPr="00A51861">
        <w:rPr>
          <w:rFonts w:ascii="Cambria" w:hAnsi="Cambria"/>
          <w:sz w:val="20"/>
          <w:szCs w:val="20"/>
          <w:bdr w:val="none" w:sz="0" w:space="0" w:color="auto"/>
        </w:rPr>
        <w:t xml:space="preserve">especial </w:t>
      </w:r>
      <w:r w:rsidR="00645513" w:rsidRPr="00A51861">
        <w:rPr>
          <w:rFonts w:ascii="Cambria" w:hAnsi="Cambria"/>
          <w:sz w:val="20"/>
          <w:szCs w:val="20"/>
          <w:bdr w:val="none" w:sz="0" w:space="0" w:color="auto"/>
        </w:rPr>
        <w:t xml:space="preserve">impact </w:t>
      </w:r>
      <w:r w:rsidR="00B74DB5">
        <w:rPr>
          <w:rFonts w:ascii="Cambria" w:hAnsi="Cambria"/>
          <w:sz w:val="20"/>
          <w:szCs w:val="20"/>
          <w:bdr w:val="none" w:sz="0" w:space="0" w:color="auto"/>
        </w:rPr>
        <w:t xml:space="preserve">in regard to </w:t>
      </w:r>
      <w:r w:rsidR="004251A4">
        <w:rPr>
          <w:rFonts w:ascii="Cambria" w:hAnsi="Cambria"/>
          <w:sz w:val="20"/>
          <w:szCs w:val="20"/>
          <w:bdr w:val="none" w:sz="0" w:space="0" w:color="auto"/>
        </w:rPr>
        <w:t xml:space="preserve">foreign </w:t>
      </w:r>
      <w:r w:rsidR="00EC7A58">
        <w:rPr>
          <w:rFonts w:ascii="Cambria" w:hAnsi="Cambria"/>
          <w:sz w:val="20"/>
          <w:szCs w:val="20"/>
          <w:bdr w:val="none" w:sz="0" w:space="0" w:color="auto"/>
        </w:rPr>
        <w:t>persons</w:t>
      </w:r>
      <w:r w:rsidR="00C80065">
        <w:rPr>
          <w:rFonts w:ascii="Cambria" w:hAnsi="Cambria"/>
          <w:sz w:val="20"/>
          <w:szCs w:val="20"/>
          <w:bdr w:val="none" w:sz="0" w:space="0" w:color="auto"/>
        </w:rPr>
        <w:t xml:space="preserve"> </w:t>
      </w:r>
      <w:r w:rsidR="004251A4">
        <w:rPr>
          <w:rFonts w:ascii="Cambria" w:hAnsi="Cambria"/>
          <w:sz w:val="20"/>
          <w:szCs w:val="20"/>
          <w:bdr w:val="none" w:sz="0" w:space="0" w:color="auto"/>
        </w:rPr>
        <w:t>expelled after an</w:t>
      </w:r>
      <w:r w:rsidR="00355DEC" w:rsidRPr="00A51861">
        <w:rPr>
          <w:rFonts w:ascii="Cambria" w:hAnsi="Cambria"/>
          <w:sz w:val="20"/>
          <w:szCs w:val="20"/>
          <w:bdr w:val="none" w:sz="0" w:space="0" w:color="auto"/>
        </w:rPr>
        <w:t xml:space="preserve"> irregular</w:t>
      </w:r>
      <w:r w:rsidR="00E92985">
        <w:rPr>
          <w:rFonts w:ascii="Cambria" w:hAnsi="Cambria"/>
          <w:sz w:val="20"/>
          <w:szCs w:val="20"/>
          <w:bdr w:val="none" w:sz="0" w:space="0" w:color="auto"/>
        </w:rPr>
        <w:t xml:space="preserve"> </w:t>
      </w:r>
      <w:r w:rsidR="004251A4">
        <w:rPr>
          <w:rFonts w:ascii="Cambria" w:hAnsi="Cambria"/>
          <w:sz w:val="20"/>
          <w:szCs w:val="20"/>
          <w:bdr w:val="none" w:sz="0" w:space="0" w:color="auto"/>
        </w:rPr>
        <w:t xml:space="preserve">migration proceeding </w:t>
      </w:r>
      <w:r w:rsidR="00E92985">
        <w:rPr>
          <w:rFonts w:ascii="Cambria" w:hAnsi="Cambria"/>
          <w:sz w:val="20"/>
          <w:szCs w:val="20"/>
          <w:bdr w:val="none" w:sz="0" w:space="0" w:color="auto"/>
        </w:rPr>
        <w:t xml:space="preserve">and </w:t>
      </w:r>
      <w:r w:rsidR="00C80065">
        <w:rPr>
          <w:rFonts w:ascii="Cambria" w:hAnsi="Cambria"/>
          <w:sz w:val="20"/>
          <w:szCs w:val="20"/>
          <w:bdr w:val="none" w:sz="0" w:space="0" w:color="auto"/>
        </w:rPr>
        <w:t>whose</w:t>
      </w:r>
      <w:r w:rsidR="00411606" w:rsidRPr="00A51861">
        <w:rPr>
          <w:rFonts w:ascii="Cambria" w:hAnsi="Cambria"/>
          <w:sz w:val="20"/>
          <w:szCs w:val="20"/>
          <w:bdr w:val="none" w:sz="0" w:space="0" w:color="auto"/>
        </w:rPr>
        <w:t xml:space="preserve"> </w:t>
      </w:r>
      <w:r w:rsidR="00E92985">
        <w:rPr>
          <w:rFonts w:ascii="Cambria" w:hAnsi="Cambria"/>
          <w:sz w:val="20"/>
          <w:szCs w:val="20"/>
          <w:bdr w:val="none" w:sz="0" w:space="0" w:color="auto"/>
        </w:rPr>
        <w:t>situation</w:t>
      </w:r>
      <w:r w:rsidR="00411606" w:rsidRPr="00A51861">
        <w:rPr>
          <w:rFonts w:ascii="Cambria" w:hAnsi="Cambria"/>
          <w:sz w:val="20"/>
          <w:szCs w:val="20"/>
          <w:bdr w:val="none" w:sz="0" w:space="0" w:color="auto"/>
        </w:rPr>
        <w:t xml:space="preserve"> </w:t>
      </w:r>
      <w:r w:rsidR="004251A4">
        <w:rPr>
          <w:rFonts w:ascii="Cambria" w:hAnsi="Cambria"/>
          <w:sz w:val="20"/>
          <w:szCs w:val="20"/>
          <w:bdr w:val="none" w:sz="0" w:space="0" w:color="auto"/>
        </w:rPr>
        <w:t xml:space="preserve">was not assessed in terms </w:t>
      </w:r>
      <w:r w:rsidR="00E92985">
        <w:rPr>
          <w:rFonts w:ascii="Cambria" w:hAnsi="Cambria"/>
          <w:sz w:val="20"/>
          <w:szCs w:val="20"/>
          <w:bdr w:val="none" w:sz="0" w:space="0" w:color="auto"/>
        </w:rPr>
        <w:t xml:space="preserve">of </w:t>
      </w:r>
      <w:r w:rsidR="004251A4">
        <w:rPr>
          <w:rFonts w:ascii="Cambria" w:hAnsi="Cambria"/>
          <w:sz w:val="20"/>
          <w:szCs w:val="20"/>
          <w:bdr w:val="none" w:sz="0" w:space="0" w:color="auto"/>
        </w:rPr>
        <w:t>the</w:t>
      </w:r>
      <w:r w:rsidR="00411606" w:rsidRPr="00A51861">
        <w:rPr>
          <w:rFonts w:ascii="Cambria" w:hAnsi="Cambria"/>
          <w:sz w:val="20"/>
          <w:szCs w:val="20"/>
          <w:bdr w:val="none" w:sz="0" w:space="0" w:color="auto"/>
        </w:rPr>
        <w:t xml:space="preserve"> </w:t>
      </w:r>
      <w:r w:rsidR="00B920CA">
        <w:rPr>
          <w:rFonts w:ascii="Cambria" w:hAnsi="Cambria"/>
          <w:sz w:val="20"/>
          <w:szCs w:val="20"/>
          <w:bdr w:val="none" w:sz="0" w:space="0" w:color="auto"/>
        </w:rPr>
        <w:t>restriction</w:t>
      </w:r>
      <w:r w:rsidR="004251A4">
        <w:rPr>
          <w:rFonts w:ascii="Cambria" w:hAnsi="Cambria"/>
          <w:sz w:val="20"/>
          <w:szCs w:val="20"/>
          <w:bdr w:val="none" w:sz="0" w:space="0" w:color="auto"/>
        </w:rPr>
        <w:t>s</w:t>
      </w:r>
      <w:r w:rsidR="00411606" w:rsidRPr="00A51861">
        <w:rPr>
          <w:rFonts w:ascii="Cambria" w:hAnsi="Cambria"/>
          <w:sz w:val="20"/>
          <w:szCs w:val="20"/>
          <w:bdr w:val="none" w:sz="0" w:space="0" w:color="auto"/>
        </w:rPr>
        <w:t xml:space="preserve"> </w:t>
      </w:r>
      <w:r w:rsidR="00C80065">
        <w:rPr>
          <w:rFonts w:ascii="Cambria" w:hAnsi="Cambria"/>
          <w:sz w:val="20"/>
          <w:szCs w:val="20"/>
          <w:bdr w:val="none" w:sz="0" w:space="0" w:color="auto"/>
        </w:rPr>
        <w:t>which</w:t>
      </w:r>
      <w:r w:rsidR="004251A4">
        <w:rPr>
          <w:rFonts w:ascii="Cambria" w:hAnsi="Cambria"/>
          <w:sz w:val="20"/>
          <w:szCs w:val="20"/>
          <w:bdr w:val="none" w:sz="0" w:space="0" w:color="auto"/>
        </w:rPr>
        <w:t xml:space="preserve"> could imply on their rights</w:t>
      </w:r>
      <w:r w:rsidR="00411606" w:rsidRPr="00A51861">
        <w:rPr>
          <w:rFonts w:ascii="Cambria" w:hAnsi="Cambria"/>
          <w:sz w:val="20"/>
          <w:szCs w:val="20"/>
          <w:bdr w:val="none" w:sz="0" w:space="0" w:color="auto"/>
        </w:rPr>
        <w:t xml:space="preserve">, </w:t>
      </w:r>
      <w:r w:rsidR="004251A4">
        <w:rPr>
          <w:rFonts w:ascii="Cambria" w:hAnsi="Cambria"/>
          <w:sz w:val="20"/>
          <w:szCs w:val="20"/>
          <w:bdr w:val="none" w:sz="0" w:space="0" w:color="auto"/>
        </w:rPr>
        <w:t>giving rise to</w:t>
      </w:r>
      <w:r w:rsidR="00B773DC">
        <w:rPr>
          <w:rFonts w:ascii="Cambria" w:hAnsi="Cambria"/>
          <w:sz w:val="20"/>
          <w:szCs w:val="20"/>
          <w:bdr w:val="none" w:sz="0" w:space="0" w:color="auto"/>
        </w:rPr>
        <w:t xml:space="preserve"> </w:t>
      </w:r>
      <w:r w:rsidR="001A0B84">
        <w:rPr>
          <w:rFonts w:ascii="Cambria" w:hAnsi="Cambria"/>
          <w:sz w:val="20"/>
          <w:szCs w:val="20"/>
          <w:bdr w:val="none" w:sz="0" w:space="0" w:color="auto"/>
        </w:rPr>
        <w:t>reparation</w:t>
      </w:r>
      <w:r w:rsidR="00411606" w:rsidRPr="00A51861">
        <w:rPr>
          <w:rFonts w:ascii="Cambria" w:hAnsi="Cambria"/>
          <w:sz w:val="20"/>
          <w:szCs w:val="20"/>
          <w:bdr w:val="none" w:sz="0" w:space="0" w:color="auto"/>
        </w:rPr>
        <w:t xml:space="preserve">. </w:t>
      </w:r>
      <w:r w:rsidR="00EE08B5">
        <w:rPr>
          <w:rFonts w:ascii="Cambria" w:hAnsi="Cambria"/>
          <w:sz w:val="20"/>
          <w:szCs w:val="20"/>
          <w:bdr w:val="none" w:sz="0" w:space="0" w:color="auto"/>
        </w:rPr>
        <w:t>This</w:t>
      </w:r>
      <w:r w:rsidR="00411606" w:rsidRPr="00A51861">
        <w:rPr>
          <w:rFonts w:ascii="Cambria" w:hAnsi="Cambria"/>
          <w:sz w:val="20"/>
          <w:szCs w:val="20"/>
          <w:bdr w:val="none" w:sz="0" w:space="0" w:color="auto"/>
        </w:rPr>
        <w:t xml:space="preserve">, </w:t>
      </w:r>
      <w:r w:rsidR="00EE08B5">
        <w:rPr>
          <w:rFonts w:ascii="Cambria" w:hAnsi="Cambria"/>
          <w:sz w:val="20"/>
          <w:szCs w:val="20"/>
          <w:bdr w:val="none" w:sz="0" w:space="0" w:color="auto"/>
        </w:rPr>
        <w:t>i</w:t>
      </w:r>
      <w:r w:rsidR="00411606" w:rsidRPr="00A51861">
        <w:rPr>
          <w:rFonts w:ascii="Cambria" w:hAnsi="Cambria"/>
          <w:sz w:val="20"/>
          <w:szCs w:val="20"/>
          <w:bdr w:val="none" w:sz="0" w:space="0" w:color="auto"/>
        </w:rPr>
        <w:t>n contrast</w:t>
      </w:r>
      <w:r w:rsidR="002B762A">
        <w:rPr>
          <w:rFonts w:ascii="Cambria" w:hAnsi="Cambria"/>
          <w:sz w:val="20"/>
          <w:szCs w:val="20"/>
          <w:bdr w:val="none" w:sz="0" w:space="0" w:color="auto"/>
        </w:rPr>
        <w:t xml:space="preserve"> with </w:t>
      </w:r>
      <w:r w:rsidR="00EE08B5" w:rsidRPr="00A51861">
        <w:rPr>
          <w:rFonts w:ascii="Cambria" w:hAnsi="Cambria"/>
          <w:sz w:val="20"/>
          <w:szCs w:val="20"/>
          <w:bdr w:val="none" w:sz="0" w:space="0" w:color="auto"/>
        </w:rPr>
        <w:t>na</w:t>
      </w:r>
      <w:r w:rsidR="00EE08B5">
        <w:rPr>
          <w:rFonts w:ascii="Cambria" w:hAnsi="Cambria"/>
          <w:sz w:val="20"/>
          <w:szCs w:val="20"/>
          <w:bdr w:val="none" w:sz="0" w:space="0" w:color="auto"/>
        </w:rPr>
        <w:t>t</w:t>
      </w:r>
      <w:r w:rsidR="00EE08B5" w:rsidRPr="00A51861">
        <w:rPr>
          <w:rFonts w:ascii="Cambria" w:hAnsi="Cambria"/>
          <w:sz w:val="20"/>
          <w:szCs w:val="20"/>
          <w:bdr w:val="none" w:sz="0" w:space="0" w:color="auto"/>
        </w:rPr>
        <w:t xml:space="preserve">ional </w:t>
      </w:r>
      <w:r w:rsidR="00EC7A58">
        <w:rPr>
          <w:rFonts w:ascii="Cambria" w:hAnsi="Cambria"/>
          <w:sz w:val="20"/>
          <w:szCs w:val="20"/>
          <w:bdr w:val="none" w:sz="0" w:space="0" w:color="auto"/>
        </w:rPr>
        <w:t>persons</w:t>
      </w:r>
      <w:r w:rsidR="00411606" w:rsidRPr="00A51861">
        <w:rPr>
          <w:rFonts w:ascii="Cambria" w:hAnsi="Cambria"/>
          <w:sz w:val="20"/>
          <w:szCs w:val="20"/>
          <w:bdr w:val="none" w:sz="0" w:space="0" w:color="auto"/>
        </w:rPr>
        <w:t xml:space="preserve"> </w:t>
      </w:r>
      <w:r w:rsidR="00EE08B5">
        <w:rPr>
          <w:rFonts w:ascii="Cambria" w:hAnsi="Cambria"/>
          <w:sz w:val="20"/>
          <w:szCs w:val="20"/>
          <w:bdr w:val="none" w:sz="0" w:space="0" w:color="auto"/>
        </w:rPr>
        <w:t>who are clearly not subjected to a migration process</w:t>
      </w:r>
      <w:r w:rsidR="00EF1AE5" w:rsidRPr="00A51861">
        <w:rPr>
          <w:rFonts w:ascii="Cambria" w:hAnsi="Cambria"/>
          <w:sz w:val="20"/>
          <w:szCs w:val="20"/>
          <w:bdr w:val="none" w:sz="0" w:space="0" w:color="auto"/>
        </w:rPr>
        <w:t xml:space="preserve"> </w:t>
      </w:r>
      <w:r w:rsidR="00EE08B5">
        <w:rPr>
          <w:rFonts w:ascii="Cambria" w:hAnsi="Cambria"/>
          <w:sz w:val="20"/>
          <w:szCs w:val="20"/>
          <w:bdr w:val="none" w:sz="0" w:space="0" w:color="auto"/>
        </w:rPr>
        <w:t>for having been</w:t>
      </w:r>
      <w:r w:rsidR="00EF1AE5" w:rsidRPr="00A51861">
        <w:rPr>
          <w:rFonts w:ascii="Cambria" w:hAnsi="Cambria"/>
          <w:sz w:val="20"/>
          <w:szCs w:val="20"/>
          <w:bdr w:val="none" w:sz="0" w:space="0" w:color="auto"/>
        </w:rPr>
        <w:t xml:space="preserve"> </w:t>
      </w:r>
      <w:r w:rsidR="00EE08B5">
        <w:rPr>
          <w:rFonts w:ascii="Cambria" w:hAnsi="Cambria"/>
          <w:sz w:val="20"/>
          <w:szCs w:val="20"/>
          <w:bdr w:val="none" w:sz="0" w:space="0" w:color="auto"/>
        </w:rPr>
        <w:t>previously detained</w:t>
      </w:r>
      <w:r w:rsidR="00EF1AE5" w:rsidRPr="00A51861">
        <w:rPr>
          <w:rFonts w:ascii="Cambria" w:hAnsi="Cambria"/>
          <w:sz w:val="20"/>
          <w:szCs w:val="20"/>
          <w:bdr w:val="none" w:sz="0" w:space="0" w:color="auto"/>
        </w:rPr>
        <w:t xml:space="preserve"> </w:t>
      </w:r>
      <w:r w:rsidR="00EE08B5">
        <w:rPr>
          <w:rFonts w:ascii="Cambria" w:hAnsi="Cambria"/>
          <w:sz w:val="20"/>
          <w:szCs w:val="20"/>
          <w:bdr w:val="none" w:sz="0" w:space="0" w:color="auto"/>
        </w:rPr>
        <w:t>nor their</w:t>
      </w:r>
      <w:r w:rsidR="00355DEC" w:rsidRPr="00A51861">
        <w:rPr>
          <w:rFonts w:ascii="Cambria" w:hAnsi="Cambria"/>
          <w:sz w:val="20"/>
          <w:szCs w:val="20"/>
          <w:bdr w:val="none" w:sz="0" w:space="0" w:color="auto"/>
        </w:rPr>
        <w:t xml:space="preserve"> </w:t>
      </w:r>
      <w:r w:rsidR="00103579">
        <w:rPr>
          <w:rFonts w:ascii="Cambria" w:hAnsi="Cambria"/>
          <w:sz w:val="20"/>
          <w:szCs w:val="20"/>
          <w:bdr w:val="none" w:sz="0" w:space="0" w:color="auto"/>
        </w:rPr>
        <w:t>expulsion</w:t>
      </w:r>
      <w:r w:rsidR="00EE08B5">
        <w:rPr>
          <w:rFonts w:ascii="Cambria" w:hAnsi="Cambria"/>
          <w:sz w:val="20"/>
          <w:szCs w:val="20"/>
          <w:bdr w:val="none" w:sz="0" w:space="0" w:color="auto"/>
        </w:rPr>
        <w:t xml:space="preserve"> being ordered</w:t>
      </w:r>
      <w:r w:rsidR="005B1F92" w:rsidRPr="00A51861">
        <w:rPr>
          <w:rFonts w:ascii="Cambria" w:hAnsi="Cambria"/>
          <w:sz w:val="20"/>
          <w:szCs w:val="20"/>
          <w:bdr w:val="none" w:sz="0" w:space="0" w:color="auto"/>
        </w:rPr>
        <w:t>,</w:t>
      </w:r>
      <w:r w:rsidR="00E92985">
        <w:rPr>
          <w:rFonts w:ascii="Cambria" w:hAnsi="Cambria"/>
          <w:sz w:val="20"/>
          <w:szCs w:val="20"/>
          <w:bdr w:val="none" w:sz="0" w:space="0" w:color="auto"/>
        </w:rPr>
        <w:t xml:space="preserve"> and </w:t>
      </w:r>
      <w:r w:rsidR="00EE08B5">
        <w:rPr>
          <w:rFonts w:ascii="Cambria" w:hAnsi="Cambria"/>
          <w:sz w:val="20"/>
          <w:szCs w:val="20"/>
          <w:bdr w:val="none" w:sz="0" w:space="0" w:color="auto"/>
        </w:rPr>
        <w:t xml:space="preserve">whose departure </w:t>
      </w:r>
      <w:r w:rsidR="004969F4">
        <w:rPr>
          <w:rFonts w:ascii="Cambria" w:hAnsi="Cambria"/>
          <w:sz w:val="20"/>
          <w:szCs w:val="20"/>
          <w:bdr w:val="none" w:sz="0" w:space="0" w:color="auto"/>
        </w:rPr>
        <w:t xml:space="preserve">of the </w:t>
      </w:r>
      <w:r w:rsidR="00EE08B5">
        <w:rPr>
          <w:rFonts w:ascii="Cambria" w:hAnsi="Cambria"/>
          <w:sz w:val="20"/>
          <w:szCs w:val="20"/>
          <w:bdr w:val="none" w:sz="0" w:space="0" w:color="auto"/>
        </w:rPr>
        <w:t>country as a</w:t>
      </w:r>
      <w:r w:rsidR="00355DEC" w:rsidRPr="00A51861">
        <w:rPr>
          <w:rFonts w:ascii="Cambria" w:hAnsi="Cambria"/>
          <w:sz w:val="20"/>
          <w:szCs w:val="20"/>
          <w:bdr w:val="none" w:sz="0" w:space="0" w:color="auto"/>
        </w:rPr>
        <w:t xml:space="preserve"> </w:t>
      </w:r>
      <w:r w:rsidR="00EE08B5" w:rsidRPr="00A51861">
        <w:rPr>
          <w:rFonts w:ascii="Cambria" w:hAnsi="Cambria"/>
          <w:sz w:val="20"/>
          <w:szCs w:val="20"/>
          <w:bdr w:val="none" w:sz="0" w:space="0" w:color="auto"/>
        </w:rPr>
        <w:t>prolongation</w:t>
      </w:r>
      <w:r w:rsidR="00E92985">
        <w:rPr>
          <w:rFonts w:ascii="Cambria" w:hAnsi="Cambria"/>
          <w:sz w:val="20"/>
          <w:szCs w:val="20"/>
          <w:bdr w:val="none" w:sz="0" w:space="0" w:color="auto"/>
        </w:rPr>
        <w:t xml:space="preserve"> of the </w:t>
      </w:r>
      <w:r w:rsidR="00B920CA">
        <w:rPr>
          <w:rFonts w:ascii="Cambria" w:hAnsi="Cambria"/>
          <w:sz w:val="20"/>
          <w:szCs w:val="20"/>
          <w:bdr w:val="none" w:sz="0" w:space="0" w:color="auto"/>
        </w:rPr>
        <w:t>restriction</w:t>
      </w:r>
      <w:r w:rsidR="00355DEC" w:rsidRPr="00A51861">
        <w:rPr>
          <w:rFonts w:ascii="Cambria" w:hAnsi="Cambria"/>
          <w:sz w:val="20"/>
          <w:szCs w:val="20"/>
          <w:bdr w:val="none" w:sz="0" w:space="0" w:color="auto"/>
        </w:rPr>
        <w:t xml:space="preserve"> </w:t>
      </w:r>
      <w:r w:rsidR="00EE08B5">
        <w:rPr>
          <w:rFonts w:ascii="Cambria" w:hAnsi="Cambria"/>
          <w:sz w:val="20"/>
          <w:szCs w:val="20"/>
          <w:bdr w:val="none" w:sz="0" w:space="0" w:color="auto"/>
        </w:rPr>
        <w:t>to</w:t>
      </w:r>
      <w:r w:rsidR="009A4F91">
        <w:rPr>
          <w:rFonts w:ascii="Cambria" w:hAnsi="Cambria"/>
          <w:sz w:val="20"/>
          <w:szCs w:val="20"/>
          <w:bdr w:val="none" w:sz="0" w:space="0" w:color="auto"/>
        </w:rPr>
        <w:t xml:space="preserve"> </w:t>
      </w:r>
      <w:r w:rsidR="00387B53">
        <w:rPr>
          <w:rFonts w:ascii="Cambria" w:hAnsi="Cambria"/>
          <w:sz w:val="20"/>
          <w:szCs w:val="20"/>
          <w:bdr w:val="none" w:sz="0" w:space="0" w:color="auto"/>
        </w:rPr>
        <w:t>liberty</w:t>
      </w:r>
      <w:r w:rsidR="00355DEC" w:rsidRPr="00A51861">
        <w:rPr>
          <w:rFonts w:ascii="Cambria" w:hAnsi="Cambria"/>
          <w:sz w:val="20"/>
          <w:szCs w:val="20"/>
          <w:bdr w:val="none" w:sz="0" w:space="0" w:color="auto"/>
        </w:rPr>
        <w:t xml:space="preserve">, </w:t>
      </w:r>
      <w:r w:rsidR="00EE08B5">
        <w:rPr>
          <w:rFonts w:ascii="Cambria" w:hAnsi="Cambria"/>
          <w:sz w:val="20"/>
          <w:szCs w:val="20"/>
          <w:bdr w:val="none" w:sz="0" w:space="0" w:color="auto"/>
        </w:rPr>
        <w:t>appears as</w:t>
      </w:r>
      <w:r w:rsidR="00355DEC" w:rsidRPr="00A51861">
        <w:rPr>
          <w:rFonts w:ascii="Cambria" w:hAnsi="Cambria"/>
          <w:sz w:val="20"/>
          <w:szCs w:val="20"/>
          <w:bdr w:val="none" w:sz="0" w:space="0" w:color="auto"/>
        </w:rPr>
        <w:t xml:space="preserve"> </w:t>
      </w:r>
      <w:r w:rsidR="006273A5">
        <w:rPr>
          <w:rFonts w:ascii="Cambria" w:hAnsi="Cambria"/>
          <w:sz w:val="20"/>
          <w:szCs w:val="20"/>
          <w:bdr w:val="none" w:sz="0" w:space="0" w:color="auto"/>
        </w:rPr>
        <w:t>forced exile</w:t>
      </w:r>
      <w:r w:rsidR="00355DEC" w:rsidRPr="00A51861">
        <w:rPr>
          <w:rFonts w:ascii="Cambria" w:hAnsi="Cambria"/>
          <w:sz w:val="20"/>
          <w:szCs w:val="20"/>
          <w:bdr w:val="none" w:sz="0" w:space="0" w:color="auto"/>
        </w:rPr>
        <w:t xml:space="preserve"> </w:t>
      </w:r>
      <w:r w:rsidR="00EE08B5">
        <w:rPr>
          <w:rFonts w:ascii="Cambria" w:hAnsi="Cambria"/>
          <w:sz w:val="20"/>
          <w:szCs w:val="20"/>
          <w:bdr w:val="none" w:sz="0" w:space="0" w:color="auto"/>
        </w:rPr>
        <w:t>which is actually</w:t>
      </w:r>
      <w:r w:rsidR="00D70A85">
        <w:rPr>
          <w:rFonts w:ascii="Cambria" w:hAnsi="Cambria"/>
          <w:sz w:val="20"/>
          <w:szCs w:val="20"/>
          <w:bdr w:val="none" w:sz="0" w:space="0" w:color="auto"/>
        </w:rPr>
        <w:t xml:space="preserve"> </w:t>
      </w:r>
      <w:r w:rsidR="00355DEC" w:rsidRPr="00A51861">
        <w:rPr>
          <w:rFonts w:ascii="Cambria" w:hAnsi="Cambria"/>
          <w:sz w:val="20"/>
          <w:szCs w:val="20"/>
          <w:bdr w:val="none" w:sz="0" w:space="0" w:color="auto"/>
        </w:rPr>
        <w:t>susceptible</w:t>
      </w:r>
      <w:r w:rsidR="00E92985">
        <w:rPr>
          <w:rFonts w:ascii="Cambria" w:hAnsi="Cambria"/>
          <w:sz w:val="20"/>
          <w:szCs w:val="20"/>
          <w:bdr w:val="none" w:sz="0" w:space="0" w:color="auto"/>
        </w:rPr>
        <w:t xml:space="preserve"> of </w:t>
      </w:r>
      <w:r w:rsidR="00EE08B5">
        <w:rPr>
          <w:rFonts w:ascii="Cambria" w:hAnsi="Cambria"/>
          <w:sz w:val="20"/>
          <w:szCs w:val="20"/>
          <w:bdr w:val="none" w:sz="0" w:space="0" w:color="auto"/>
        </w:rPr>
        <w:t>being repaired pursuant to</w:t>
      </w:r>
      <w:r w:rsidR="00355DEC" w:rsidRPr="00A51861">
        <w:rPr>
          <w:rFonts w:ascii="Cambria" w:hAnsi="Cambria"/>
          <w:sz w:val="20"/>
          <w:szCs w:val="20"/>
          <w:bdr w:val="none" w:sz="0" w:space="0" w:color="auto"/>
        </w:rPr>
        <w:t xml:space="preserve"> </w:t>
      </w:r>
      <w:r w:rsidR="002835FC" w:rsidRPr="00A51861">
        <w:rPr>
          <w:rFonts w:ascii="Cambria" w:hAnsi="Cambria"/>
          <w:sz w:val="20"/>
          <w:szCs w:val="20"/>
          <w:bdr w:val="none" w:sz="0" w:space="0" w:color="auto"/>
        </w:rPr>
        <w:t xml:space="preserve">Law </w:t>
      </w:r>
      <w:r w:rsidR="00355DEC" w:rsidRPr="00A51861">
        <w:rPr>
          <w:rFonts w:ascii="Cambria" w:hAnsi="Cambria"/>
          <w:sz w:val="20"/>
          <w:szCs w:val="20"/>
          <w:bdr w:val="none" w:sz="0" w:space="0" w:color="auto"/>
        </w:rPr>
        <w:t xml:space="preserve">24.043. </w:t>
      </w:r>
    </w:p>
    <w:p w14:paraId="60B39981" w14:textId="77777777" w:rsidR="002D7475" w:rsidRPr="00A51861" w:rsidRDefault="002D7475" w:rsidP="008E4D36">
      <w:pPr>
        <w:rPr>
          <w:sz w:val="20"/>
          <w:szCs w:val="20"/>
          <w:bdr w:val="none" w:sz="0" w:space="0" w:color="auto"/>
        </w:rPr>
      </w:pPr>
    </w:p>
    <w:p w14:paraId="6514C340" w14:textId="2630DB62" w:rsidR="006E5BF4" w:rsidRPr="00A51861" w:rsidRDefault="00EE08B5"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bdr w:val="none" w:sz="0" w:space="0" w:color="auto"/>
        </w:rPr>
      </w:pPr>
      <w:r>
        <w:rPr>
          <w:rFonts w:ascii="Cambria" w:hAnsi="Cambria"/>
          <w:sz w:val="20"/>
          <w:szCs w:val="20"/>
          <w:bdr w:val="none" w:sz="0" w:space="0" w:color="auto"/>
        </w:rPr>
        <w:t>It is worth mentioning</w:t>
      </w:r>
      <w:r w:rsidR="002D7475" w:rsidRPr="00A51861">
        <w:rPr>
          <w:rFonts w:ascii="Cambria" w:hAnsi="Cambria"/>
          <w:sz w:val="20"/>
          <w:szCs w:val="20"/>
          <w:bdr w:val="none" w:sz="0" w:space="0" w:color="auto"/>
        </w:rPr>
        <w:t xml:space="preserve">, </w:t>
      </w:r>
      <w:r>
        <w:rPr>
          <w:rFonts w:ascii="Cambria" w:hAnsi="Cambria"/>
          <w:sz w:val="20"/>
          <w:szCs w:val="20"/>
          <w:bdr w:val="none" w:sz="0" w:space="0" w:color="auto"/>
        </w:rPr>
        <w:t>that in the initiated proceedings for the</w:t>
      </w:r>
      <w:r w:rsidR="009A4F91">
        <w:rPr>
          <w:rFonts w:ascii="Cambria" w:hAnsi="Cambria"/>
          <w:sz w:val="20"/>
          <w:szCs w:val="20"/>
          <w:bdr w:val="none" w:sz="0" w:space="0" w:color="auto"/>
        </w:rPr>
        <w:t xml:space="preserve"> </w:t>
      </w:r>
      <w:r w:rsidR="001A0B84">
        <w:rPr>
          <w:rFonts w:ascii="Cambria" w:hAnsi="Cambria"/>
          <w:sz w:val="20"/>
          <w:szCs w:val="20"/>
          <w:bdr w:val="none" w:sz="0" w:space="0" w:color="auto"/>
        </w:rPr>
        <w:t>reparation</w:t>
      </w:r>
      <w:r w:rsidR="00E92985">
        <w:rPr>
          <w:rFonts w:ascii="Cambria" w:hAnsi="Cambria"/>
          <w:sz w:val="20"/>
          <w:szCs w:val="20"/>
          <w:bdr w:val="none" w:sz="0" w:space="0" w:color="auto"/>
        </w:rPr>
        <w:t xml:space="preserve"> of </w:t>
      </w:r>
      <w:r>
        <w:rPr>
          <w:rFonts w:ascii="Cambria" w:hAnsi="Cambria"/>
          <w:sz w:val="20"/>
          <w:szCs w:val="20"/>
          <w:bdr w:val="none" w:sz="0" w:space="0" w:color="auto"/>
        </w:rPr>
        <w:t>Mrs.</w:t>
      </w:r>
      <w:r w:rsidR="002D7475" w:rsidRPr="00A51861">
        <w:rPr>
          <w:rFonts w:ascii="Cambria" w:hAnsi="Cambria"/>
          <w:sz w:val="20"/>
          <w:szCs w:val="20"/>
          <w:bdr w:val="none" w:sz="0" w:space="0" w:color="auto"/>
        </w:rPr>
        <w:t xml:space="preserve"> Delma Pi, </w:t>
      </w:r>
      <w:r>
        <w:rPr>
          <w:rFonts w:ascii="Cambria" w:hAnsi="Cambria"/>
          <w:sz w:val="20"/>
          <w:szCs w:val="20"/>
          <w:bdr w:val="none" w:sz="0" w:space="0" w:color="auto"/>
        </w:rPr>
        <w:t>wife</w:t>
      </w:r>
      <w:r w:rsidR="00E92985">
        <w:rPr>
          <w:rFonts w:ascii="Cambria" w:hAnsi="Cambria"/>
          <w:sz w:val="20"/>
          <w:szCs w:val="20"/>
          <w:bdr w:val="none" w:sz="0" w:space="0" w:color="auto"/>
        </w:rPr>
        <w:t xml:space="preserve"> of </w:t>
      </w:r>
      <w:r w:rsidR="002D7475" w:rsidRPr="00A51861">
        <w:rPr>
          <w:rFonts w:ascii="Cambria" w:hAnsi="Cambria"/>
          <w:sz w:val="20"/>
          <w:szCs w:val="20"/>
          <w:bdr w:val="none" w:sz="0" w:space="0" w:color="auto"/>
        </w:rPr>
        <w:t xml:space="preserve">Julio César </w:t>
      </w:r>
      <w:r w:rsidR="00B01A54">
        <w:rPr>
          <w:rFonts w:ascii="Cambria" w:hAnsi="Cambria"/>
          <w:sz w:val="20"/>
          <w:szCs w:val="20"/>
          <w:bdr w:val="none" w:sz="0" w:space="0" w:color="auto"/>
        </w:rPr>
        <w:t xml:space="preserve">Rito de los Santos </w:t>
      </w:r>
      <w:r w:rsidR="00E92985">
        <w:rPr>
          <w:rFonts w:ascii="Cambria" w:hAnsi="Cambria"/>
          <w:sz w:val="20"/>
          <w:szCs w:val="20"/>
          <w:bdr w:val="none" w:sz="0" w:space="0" w:color="auto"/>
        </w:rPr>
        <w:t>and</w:t>
      </w:r>
      <w:r w:rsidR="002B762A">
        <w:rPr>
          <w:rFonts w:ascii="Cambria" w:hAnsi="Cambria"/>
          <w:sz w:val="20"/>
          <w:szCs w:val="20"/>
          <w:bdr w:val="none" w:sz="0" w:space="0" w:color="auto"/>
        </w:rPr>
        <w:t xml:space="preserve"> with </w:t>
      </w:r>
      <w:r>
        <w:rPr>
          <w:rFonts w:ascii="Cambria" w:hAnsi="Cambria"/>
          <w:sz w:val="20"/>
          <w:szCs w:val="20"/>
          <w:bdr w:val="none" w:sz="0" w:space="0" w:color="auto"/>
        </w:rPr>
        <w:t>whom she shares several factual specificities</w:t>
      </w:r>
      <w:r w:rsidR="002D7475" w:rsidRPr="00A51861">
        <w:rPr>
          <w:rFonts w:ascii="Cambria" w:hAnsi="Cambria"/>
          <w:sz w:val="20"/>
          <w:szCs w:val="20"/>
          <w:bdr w:val="none" w:sz="0" w:space="0" w:color="auto"/>
        </w:rPr>
        <w:t>,</w:t>
      </w:r>
      <w:r w:rsidR="009A4F91">
        <w:rPr>
          <w:rFonts w:ascii="Cambria" w:hAnsi="Cambria"/>
          <w:sz w:val="20"/>
          <w:szCs w:val="20"/>
          <w:bdr w:val="none" w:sz="0" w:space="0" w:color="auto"/>
        </w:rPr>
        <w:t xml:space="preserve"> the </w:t>
      </w:r>
      <w:r>
        <w:rPr>
          <w:rFonts w:ascii="Cambria" w:hAnsi="Cambria"/>
          <w:sz w:val="20"/>
          <w:szCs w:val="20"/>
          <w:bdr w:val="none" w:sz="0" w:space="0" w:color="auto"/>
        </w:rPr>
        <w:t>Chamber</w:t>
      </w:r>
      <w:r w:rsidR="00E92985">
        <w:rPr>
          <w:rFonts w:ascii="Cambria" w:hAnsi="Cambria"/>
          <w:sz w:val="20"/>
          <w:szCs w:val="20"/>
          <w:bdr w:val="none" w:sz="0" w:space="0" w:color="auto"/>
        </w:rPr>
        <w:t xml:space="preserve"> of </w:t>
      </w:r>
      <w:r w:rsidR="002D7475" w:rsidRPr="00A51861">
        <w:rPr>
          <w:rFonts w:ascii="Cambria" w:hAnsi="Cambria"/>
          <w:sz w:val="20"/>
          <w:szCs w:val="20"/>
          <w:bdr w:val="none" w:sz="0" w:space="0" w:color="auto"/>
        </w:rPr>
        <w:t>Ap</w:t>
      </w:r>
      <w:r>
        <w:rPr>
          <w:rFonts w:ascii="Cambria" w:hAnsi="Cambria"/>
          <w:sz w:val="20"/>
          <w:szCs w:val="20"/>
          <w:bdr w:val="none" w:sz="0" w:space="0" w:color="auto"/>
        </w:rPr>
        <w:t>p</w:t>
      </w:r>
      <w:r w:rsidR="002D7475" w:rsidRPr="00A51861">
        <w:rPr>
          <w:rFonts w:ascii="Cambria" w:hAnsi="Cambria"/>
          <w:sz w:val="20"/>
          <w:szCs w:val="20"/>
          <w:bdr w:val="none" w:sz="0" w:space="0" w:color="auto"/>
        </w:rPr>
        <w:t>e</w:t>
      </w:r>
      <w:r>
        <w:rPr>
          <w:rFonts w:ascii="Cambria" w:hAnsi="Cambria"/>
          <w:sz w:val="20"/>
          <w:szCs w:val="20"/>
          <w:bdr w:val="none" w:sz="0" w:space="0" w:color="auto"/>
        </w:rPr>
        <w:t>a</w:t>
      </w:r>
      <w:r w:rsidR="002D7475" w:rsidRPr="00A51861">
        <w:rPr>
          <w:rFonts w:ascii="Cambria" w:hAnsi="Cambria"/>
          <w:sz w:val="20"/>
          <w:szCs w:val="20"/>
          <w:bdr w:val="none" w:sz="0" w:space="0" w:color="auto"/>
        </w:rPr>
        <w:t xml:space="preserve">ls </w:t>
      </w:r>
      <w:r>
        <w:rPr>
          <w:rFonts w:ascii="Cambria" w:hAnsi="Cambria"/>
          <w:sz w:val="20"/>
          <w:szCs w:val="20"/>
          <w:bdr w:val="none" w:sz="0" w:space="0" w:color="auto"/>
        </w:rPr>
        <w:t>did conduct an analysis of the</w:t>
      </w:r>
      <w:r w:rsidR="006A3C04">
        <w:rPr>
          <w:rFonts w:ascii="Cambria" w:hAnsi="Cambria"/>
          <w:sz w:val="20"/>
          <w:szCs w:val="20"/>
          <w:bdr w:val="none" w:sz="0" w:space="0" w:color="auto"/>
        </w:rPr>
        <w:t xml:space="preserve"> facts</w:t>
      </w:r>
      <w:r w:rsidR="002D7475" w:rsidRPr="00A51861">
        <w:rPr>
          <w:rFonts w:ascii="Cambria" w:hAnsi="Cambria"/>
          <w:sz w:val="20"/>
          <w:szCs w:val="20"/>
          <w:bdr w:val="none" w:sz="0" w:space="0" w:color="auto"/>
        </w:rPr>
        <w:t xml:space="preserve"> constitu</w:t>
      </w:r>
      <w:r w:rsidR="004467F0">
        <w:rPr>
          <w:rFonts w:ascii="Cambria" w:hAnsi="Cambria"/>
          <w:sz w:val="20"/>
          <w:szCs w:val="20"/>
          <w:bdr w:val="none" w:sz="0" w:space="0" w:color="auto"/>
        </w:rPr>
        <w:t xml:space="preserve">ent </w:t>
      </w:r>
      <w:r w:rsidR="00E92985">
        <w:rPr>
          <w:rFonts w:ascii="Cambria" w:hAnsi="Cambria"/>
          <w:sz w:val="20"/>
          <w:szCs w:val="20"/>
          <w:bdr w:val="none" w:sz="0" w:space="0" w:color="auto"/>
        </w:rPr>
        <w:t xml:space="preserve">of </w:t>
      </w:r>
      <w:r w:rsidR="004467F0">
        <w:rPr>
          <w:rFonts w:ascii="Cambria" w:hAnsi="Cambria"/>
          <w:sz w:val="20"/>
          <w:szCs w:val="20"/>
          <w:bdr w:val="none" w:sz="0" w:space="0" w:color="auto"/>
        </w:rPr>
        <w:t>an</w:t>
      </w:r>
      <w:r w:rsidR="002D7475" w:rsidRPr="00A51861">
        <w:rPr>
          <w:rFonts w:ascii="Cambria" w:hAnsi="Cambria"/>
          <w:sz w:val="20"/>
          <w:szCs w:val="20"/>
          <w:bdr w:val="none" w:sz="0" w:space="0" w:color="auto"/>
        </w:rPr>
        <w:t xml:space="preserve"> </w:t>
      </w:r>
      <w:r w:rsidR="00F329E7">
        <w:rPr>
          <w:rFonts w:ascii="Cambria" w:hAnsi="Cambria"/>
          <w:sz w:val="20"/>
          <w:szCs w:val="20"/>
          <w:bdr w:val="none" w:sz="0" w:space="0" w:color="auto"/>
        </w:rPr>
        <w:t>impairment</w:t>
      </w:r>
      <w:r w:rsidR="004467F0">
        <w:rPr>
          <w:rFonts w:ascii="Cambria" w:hAnsi="Cambria"/>
          <w:sz w:val="20"/>
          <w:szCs w:val="20"/>
          <w:bdr w:val="none" w:sz="0" w:space="0" w:color="auto"/>
        </w:rPr>
        <w:t xml:space="preserve"> to</w:t>
      </w:r>
      <w:r w:rsidR="009A4F91">
        <w:rPr>
          <w:rFonts w:ascii="Cambria" w:hAnsi="Cambria"/>
          <w:sz w:val="20"/>
          <w:szCs w:val="20"/>
          <w:bdr w:val="none" w:sz="0" w:space="0" w:color="auto"/>
        </w:rPr>
        <w:t xml:space="preserve"> </w:t>
      </w:r>
      <w:r w:rsidR="00387B53">
        <w:rPr>
          <w:rFonts w:ascii="Cambria" w:hAnsi="Cambria"/>
          <w:sz w:val="20"/>
          <w:szCs w:val="20"/>
          <w:bdr w:val="none" w:sz="0" w:space="0" w:color="auto"/>
        </w:rPr>
        <w:t>liberty</w:t>
      </w:r>
      <w:r w:rsidR="002D7475" w:rsidRPr="00A51861">
        <w:rPr>
          <w:rFonts w:ascii="Cambria" w:hAnsi="Cambria"/>
          <w:sz w:val="20"/>
          <w:szCs w:val="20"/>
          <w:bdr w:val="none" w:sz="0" w:space="0" w:color="auto"/>
        </w:rPr>
        <w:t xml:space="preserve"> </w:t>
      </w:r>
      <w:r w:rsidR="004467F0">
        <w:rPr>
          <w:rFonts w:ascii="Cambria" w:hAnsi="Cambria"/>
          <w:sz w:val="20"/>
          <w:szCs w:val="20"/>
          <w:bdr w:val="none" w:sz="0" w:space="0" w:color="auto"/>
        </w:rPr>
        <w:t>which extended in time within the</w:t>
      </w:r>
      <w:r w:rsidR="00E92985">
        <w:rPr>
          <w:rFonts w:ascii="Cambria" w:hAnsi="Cambria"/>
          <w:sz w:val="20"/>
          <w:szCs w:val="20"/>
          <w:bdr w:val="none" w:sz="0" w:space="0" w:color="auto"/>
        </w:rPr>
        <w:t xml:space="preserve"> </w:t>
      </w:r>
      <w:r w:rsidR="0059627A">
        <w:rPr>
          <w:rFonts w:ascii="Cambria" w:hAnsi="Cambria"/>
          <w:sz w:val="20"/>
          <w:szCs w:val="20"/>
          <w:bdr w:val="none" w:sz="0" w:space="0" w:color="auto"/>
        </w:rPr>
        <w:t>application</w:t>
      </w:r>
      <w:r w:rsidR="00E92985">
        <w:rPr>
          <w:rFonts w:ascii="Cambria" w:hAnsi="Cambria"/>
          <w:sz w:val="20"/>
          <w:szCs w:val="20"/>
          <w:bdr w:val="none" w:sz="0" w:space="0" w:color="auto"/>
        </w:rPr>
        <w:t xml:space="preserve"> of the </w:t>
      </w:r>
      <w:r w:rsidR="0029564F">
        <w:rPr>
          <w:rFonts w:ascii="Cambria" w:hAnsi="Cambria"/>
          <w:sz w:val="20"/>
          <w:szCs w:val="20"/>
          <w:bdr w:val="none" w:sz="0" w:space="0" w:color="auto"/>
        </w:rPr>
        <w:t>Law</w:t>
      </w:r>
      <w:r w:rsidR="002D7475" w:rsidRPr="00A51861">
        <w:rPr>
          <w:rFonts w:ascii="Cambria" w:hAnsi="Cambria"/>
          <w:sz w:val="20"/>
          <w:szCs w:val="20"/>
          <w:bdr w:val="none" w:sz="0" w:space="0" w:color="auto"/>
        </w:rPr>
        <w:t xml:space="preserve">, </w:t>
      </w:r>
      <w:r w:rsidR="004467F0">
        <w:rPr>
          <w:rFonts w:ascii="Cambria" w:hAnsi="Cambria"/>
          <w:sz w:val="20"/>
          <w:szCs w:val="20"/>
          <w:bdr w:val="none" w:sz="0" w:space="0" w:color="auto"/>
        </w:rPr>
        <w:t>in</w:t>
      </w:r>
      <w:r w:rsidR="002D7475" w:rsidRPr="00A51861">
        <w:rPr>
          <w:rFonts w:ascii="Cambria" w:hAnsi="Cambria"/>
          <w:sz w:val="20"/>
          <w:szCs w:val="20"/>
          <w:bdr w:val="none" w:sz="0" w:space="0" w:color="auto"/>
        </w:rPr>
        <w:t xml:space="preserve"> </w:t>
      </w:r>
      <w:r w:rsidR="00E64C43">
        <w:rPr>
          <w:rFonts w:ascii="Cambria" w:hAnsi="Cambria"/>
          <w:sz w:val="20"/>
          <w:szCs w:val="20"/>
          <w:bdr w:val="none" w:sz="0" w:space="0" w:color="auto"/>
        </w:rPr>
        <w:t>this case</w:t>
      </w:r>
      <w:r w:rsidR="002D7475" w:rsidRPr="00A51861">
        <w:rPr>
          <w:rFonts w:ascii="Cambria" w:hAnsi="Cambria"/>
          <w:sz w:val="20"/>
          <w:szCs w:val="20"/>
          <w:bdr w:val="none" w:sz="0" w:space="0" w:color="auto"/>
        </w:rPr>
        <w:t xml:space="preserve"> </w:t>
      </w:r>
      <w:r w:rsidR="004467F0">
        <w:rPr>
          <w:rFonts w:ascii="Cambria" w:hAnsi="Cambria"/>
          <w:sz w:val="20"/>
          <w:szCs w:val="20"/>
          <w:bdr w:val="none" w:sz="0" w:space="0" w:color="auto"/>
        </w:rPr>
        <w:t>finding a corroborated alleged analogous</w:t>
      </w:r>
      <w:r w:rsidR="002D7475" w:rsidRPr="00A51861">
        <w:rPr>
          <w:rFonts w:ascii="Cambria" w:hAnsi="Cambria"/>
          <w:sz w:val="20"/>
          <w:szCs w:val="20"/>
          <w:bdr w:val="none" w:sz="0" w:space="0" w:color="auto"/>
        </w:rPr>
        <w:t xml:space="preserve"> </w:t>
      </w:r>
      <w:r w:rsidR="004467F0">
        <w:rPr>
          <w:rFonts w:ascii="Cambria" w:hAnsi="Cambria"/>
          <w:sz w:val="20"/>
          <w:szCs w:val="20"/>
          <w:bdr w:val="none" w:sz="0" w:space="0" w:color="auto"/>
        </w:rPr>
        <w:t>which was assessed by</w:t>
      </w:r>
      <w:r w:rsidR="002D7475" w:rsidRPr="00A51861">
        <w:rPr>
          <w:rFonts w:ascii="Cambria" w:hAnsi="Cambria"/>
          <w:sz w:val="20"/>
          <w:szCs w:val="20"/>
          <w:bdr w:val="none" w:sz="0" w:space="0" w:color="auto"/>
        </w:rPr>
        <w:t xml:space="preserve"> </w:t>
      </w:r>
      <w:r w:rsidR="00076366">
        <w:rPr>
          <w:rFonts w:ascii="Cambria" w:hAnsi="Cambria"/>
          <w:sz w:val="20"/>
          <w:szCs w:val="20"/>
          <w:bdr w:val="none" w:sz="0" w:space="0" w:color="auto"/>
        </w:rPr>
        <w:t xml:space="preserve">the Supreme </w:t>
      </w:r>
      <w:r w:rsidR="00A63761">
        <w:rPr>
          <w:rFonts w:ascii="Cambria" w:hAnsi="Cambria"/>
          <w:sz w:val="20"/>
          <w:szCs w:val="20"/>
          <w:bdr w:val="none" w:sz="0" w:space="0" w:color="auto"/>
        </w:rPr>
        <w:t>Court</w:t>
      </w:r>
      <w:r w:rsidR="002D7475" w:rsidRPr="00A51861">
        <w:rPr>
          <w:rFonts w:ascii="Cambria" w:hAnsi="Cambria"/>
          <w:sz w:val="20"/>
          <w:szCs w:val="20"/>
          <w:bdr w:val="none" w:sz="0" w:space="0" w:color="auto"/>
        </w:rPr>
        <w:t xml:space="preserve"> </w:t>
      </w:r>
      <w:r w:rsidR="004467F0">
        <w:rPr>
          <w:rFonts w:ascii="Cambria" w:hAnsi="Cambria"/>
          <w:sz w:val="20"/>
          <w:szCs w:val="20"/>
          <w:bdr w:val="none" w:sz="0" w:space="0" w:color="auto"/>
        </w:rPr>
        <w:t>in the</w:t>
      </w:r>
      <w:r w:rsidR="002D7475" w:rsidRPr="00A51861">
        <w:rPr>
          <w:rFonts w:ascii="Cambria" w:hAnsi="Cambria"/>
          <w:sz w:val="20"/>
          <w:szCs w:val="20"/>
          <w:bdr w:val="none" w:sz="0" w:space="0" w:color="auto"/>
        </w:rPr>
        <w:t xml:space="preserve"> Yofre</w:t>
      </w:r>
      <w:r w:rsidR="00E92985">
        <w:rPr>
          <w:rFonts w:ascii="Cambria" w:hAnsi="Cambria"/>
          <w:sz w:val="20"/>
          <w:szCs w:val="20"/>
          <w:bdr w:val="none" w:sz="0" w:space="0" w:color="auto"/>
        </w:rPr>
        <w:t xml:space="preserve"> </w:t>
      </w:r>
      <w:r w:rsidR="004467F0">
        <w:rPr>
          <w:rFonts w:ascii="Cambria" w:hAnsi="Cambria"/>
          <w:sz w:val="20"/>
          <w:szCs w:val="20"/>
          <w:bdr w:val="none" w:sz="0" w:space="0" w:color="auto"/>
        </w:rPr>
        <w:t>de</w:t>
      </w:r>
      <w:r w:rsidR="00E92985">
        <w:rPr>
          <w:rFonts w:ascii="Cambria" w:hAnsi="Cambria"/>
          <w:sz w:val="20"/>
          <w:szCs w:val="20"/>
          <w:bdr w:val="none" w:sz="0" w:space="0" w:color="auto"/>
        </w:rPr>
        <w:t xml:space="preserve"> </w:t>
      </w:r>
      <w:r w:rsidR="002D7475" w:rsidRPr="00A51861">
        <w:rPr>
          <w:rFonts w:ascii="Cambria" w:hAnsi="Cambria"/>
          <w:sz w:val="20"/>
          <w:szCs w:val="20"/>
          <w:bdr w:val="none" w:sz="0" w:space="0" w:color="auto"/>
        </w:rPr>
        <w:t>Vaca</w:t>
      </w:r>
      <w:r w:rsidR="004467F0">
        <w:rPr>
          <w:rFonts w:ascii="Cambria" w:hAnsi="Cambria"/>
          <w:sz w:val="20"/>
          <w:szCs w:val="20"/>
          <w:bdr w:val="none" w:sz="0" w:space="0" w:color="auto"/>
        </w:rPr>
        <w:t xml:space="preserve"> case</w:t>
      </w:r>
      <w:r w:rsidR="002D7475" w:rsidRPr="00A51861">
        <w:rPr>
          <w:rFonts w:ascii="Cambria" w:hAnsi="Cambria"/>
          <w:sz w:val="20"/>
          <w:szCs w:val="20"/>
          <w:bdr w:val="none" w:sz="0" w:space="0" w:color="auto"/>
        </w:rPr>
        <w:t xml:space="preserve">, </w:t>
      </w:r>
      <w:r w:rsidR="004467F0">
        <w:rPr>
          <w:rFonts w:ascii="Cambria" w:hAnsi="Cambria"/>
          <w:sz w:val="20"/>
          <w:szCs w:val="20"/>
          <w:bdr w:val="none" w:sz="0" w:space="0" w:color="auto"/>
        </w:rPr>
        <w:t>recognizing</w:t>
      </w:r>
      <w:r w:rsidR="009A4F91">
        <w:rPr>
          <w:rFonts w:ascii="Cambria" w:hAnsi="Cambria"/>
          <w:sz w:val="20"/>
          <w:szCs w:val="20"/>
          <w:bdr w:val="none" w:sz="0" w:space="0" w:color="auto"/>
        </w:rPr>
        <w:t xml:space="preserve"> </w:t>
      </w:r>
      <w:r w:rsidR="008F7A6D">
        <w:rPr>
          <w:rFonts w:ascii="Cambria" w:hAnsi="Cambria"/>
          <w:sz w:val="20"/>
          <w:szCs w:val="20"/>
          <w:bdr w:val="none" w:sz="0" w:space="0" w:color="auto"/>
        </w:rPr>
        <w:t>compensation</w:t>
      </w:r>
      <w:r w:rsidR="00E92985">
        <w:rPr>
          <w:rFonts w:ascii="Cambria" w:hAnsi="Cambria"/>
          <w:sz w:val="20"/>
          <w:szCs w:val="20"/>
          <w:bdr w:val="none" w:sz="0" w:space="0" w:color="auto"/>
        </w:rPr>
        <w:t xml:space="preserve"> of </w:t>
      </w:r>
      <w:r w:rsidR="002835FC" w:rsidRPr="00A51861">
        <w:rPr>
          <w:rFonts w:ascii="Cambria" w:hAnsi="Cambria"/>
          <w:sz w:val="20"/>
          <w:szCs w:val="20"/>
          <w:bdr w:val="none" w:sz="0" w:space="0" w:color="auto"/>
        </w:rPr>
        <w:t xml:space="preserve">Law </w:t>
      </w:r>
      <w:r w:rsidR="002D7475" w:rsidRPr="00A51861">
        <w:rPr>
          <w:rFonts w:ascii="Cambria" w:hAnsi="Cambria"/>
          <w:sz w:val="20"/>
          <w:szCs w:val="20"/>
          <w:bdr w:val="none" w:sz="0" w:space="0" w:color="auto"/>
        </w:rPr>
        <w:t xml:space="preserve">24.043 </w:t>
      </w:r>
      <w:r w:rsidR="004467F0">
        <w:rPr>
          <w:rFonts w:ascii="Cambria" w:hAnsi="Cambria"/>
          <w:sz w:val="20"/>
          <w:szCs w:val="20"/>
          <w:bdr w:val="none" w:sz="0" w:space="0" w:color="auto"/>
        </w:rPr>
        <w:t>for the time elapsed between the date of departure</w:t>
      </w:r>
      <w:r w:rsidR="002B762A">
        <w:rPr>
          <w:rFonts w:ascii="Cambria" w:hAnsi="Cambria"/>
          <w:sz w:val="20"/>
          <w:szCs w:val="20"/>
          <w:bdr w:val="none" w:sz="0" w:space="0" w:color="auto"/>
        </w:rPr>
        <w:t xml:space="preserve"> </w:t>
      </w:r>
      <w:r w:rsidR="004467F0">
        <w:rPr>
          <w:rFonts w:ascii="Cambria" w:hAnsi="Cambria"/>
          <w:sz w:val="20"/>
          <w:szCs w:val="20"/>
          <w:bdr w:val="none" w:sz="0" w:space="0" w:color="auto"/>
        </w:rPr>
        <w:t xml:space="preserve">to </w:t>
      </w:r>
      <w:r w:rsidR="00083EB4">
        <w:rPr>
          <w:rFonts w:ascii="Cambria" w:hAnsi="Cambria"/>
          <w:sz w:val="20"/>
          <w:szCs w:val="20"/>
          <w:bdr w:val="none" w:sz="0" w:space="0" w:color="auto"/>
        </w:rPr>
        <w:t>Stockholm</w:t>
      </w:r>
      <w:r w:rsidR="002D7475" w:rsidRPr="00A51861">
        <w:rPr>
          <w:rFonts w:ascii="Cambria" w:hAnsi="Cambria"/>
          <w:sz w:val="20"/>
          <w:szCs w:val="20"/>
          <w:bdr w:val="none" w:sz="0" w:space="0" w:color="auto"/>
        </w:rPr>
        <w:t xml:space="preserve"> inform</w:t>
      </w:r>
      <w:r w:rsidR="004467F0">
        <w:rPr>
          <w:rFonts w:ascii="Cambria" w:hAnsi="Cambria"/>
          <w:sz w:val="20"/>
          <w:szCs w:val="20"/>
          <w:bdr w:val="none" w:sz="0" w:space="0" w:color="auto"/>
        </w:rPr>
        <w:t>ed</w:t>
      </w:r>
      <w:r w:rsidR="002D7475" w:rsidRPr="00A51861">
        <w:rPr>
          <w:rFonts w:ascii="Cambria" w:hAnsi="Cambria"/>
          <w:sz w:val="20"/>
          <w:szCs w:val="20"/>
          <w:bdr w:val="none" w:sz="0" w:space="0" w:color="auto"/>
        </w:rPr>
        <w:t xml:space="preserve"> </w:t>
      </w:r>
      <w:r w:rsidR="004467F0">
        <w:rPr>
          <w:rFonts w:ascii="Cambria" w:hAnsi="Cambria"/>
          <w:sz w:val="20"/>
          <w:szCs w:val="20"/>
          <w:bdr w:val="none" w:sz="0" w:space="0" w:color="auto"/>
        </w:rPr>
        <w:t>by the Chief of the</w:t>
      </w:r>
      <w:r w:rsidR="00E92985">
        <w:rPr>
          <w:rFonts w:ascii="Cambria" w:hAnsi="Cambria"/>
          <w:sz w:val="20"/>
          <w:szCs w:val="20"/>
          <w:bdr w:val="none" w:sz="0" w:space="0" w:color="auto"/>
        </w:rPr>
        <w:t xml:space="preserve"> </w:t>
      </w:r>
      <w:r w:rsidR="004467F0" w:rsidRPr="00A51861">
        <w:rPr>
          <w:rFonts w:ascii="Cambria" w:hAnsi="Cambria"/>
          <w:sz w:val="20"/>
          <w:szCs w:val="20"/>
          <w:bdr w:val="none" w:sz="0" w:space="0" w:color="auto"/>
        </w:rPr>
        <w:t>Delegation</w:t>
      </w:r>
      <w:r w:rsidR="00E92985">
        <w:rPr>
          <w:rFonts w:ascii="Cambria" w:hAnsi="Cambria"/>
          <w:sz w:val="20"/>
          <w:szCs w:val="20"/>
          <w:bdr w:val="none" w:sz="0" w:space="0" w:color="auto"/>
        </w:rPr>
        <w:t xml:space="preserve"> of </w:t>
      </w:r>
      <w:r w:rsidR="002D7475" w:rsidRPr="00A51861">
        <w:rPr>
          <w:rFonts w:ascii="Cambria" w:hAnsi="Cambria"/>
          <w:sz w:val="20"/>
          <w:szCs w:val="20"/>
          <w:bdr w:val="none" w:sz="0" w:space="0" w:color="auto"/>
        </w:rPr>
        <w:t>Ezeiza</w:t>
      </w:r>
      <w:r w:rsidR="00E92985">
        <w:rPr>
          <w:rFonts w:ascii="Cambria" w:hAnsi="Cambria"/>
          <w:sz w:val="20"/>
          <w:szCs w:val="20"/>
          <w:bdr w:val="none" w:sz="0" w:space="0" w:color="auto"/>
        </w:rPr>
        <w:t xml:space="preserve"> and </w:t>
      </w:r>
      <w:r w:rsidR="004467F0">
        <w:rPr>
          <w:rFonts w:ascii="Cambria" w:hAnsi="Cambria"/>
          <w:sz w:val="20"/>
          <w:szCs w:val="20"/>
          <w:bdr w:val="none" w:sz="0" w:space="0" w:color="auto"/>
        </w:rPr>
        <w:t>December 10,</w:t>
      </w:r>
      <w:r w:rsidR="00083EB4">
        <w:rPr>
          <w:rFonts w:ascii="Cambria" w:hAnsi="Cambria"/>
          <w:sz w:val="20"/>
          <w:szCs w:val="20"/>
          <w:bdr w:val="none" w:sz="0" w:space="0" w:color="auto"/>
        </w:rPr>
        <w:t xml:space="preserve"> </w:t>
      </w:r>
      <w:r w:rsidR="002D7475" w:rsidRPr="00A51861">
        <w:rPr>
          <w:rFonts w:ascii="Cambria" w:hAnsi="Cambria"/>
          <w:color w:val="000000" w:themeColor="text1"/>
          <w:sz w:val="20"/>
          <w:szCs w:val="20"/>
        </w:rPr>
        <w:t>1983</w:t>
      </w:r>
      <w:r w:rsidR="002D7475" w:rsidRPr="00A51861">
        <w:rPr>
          <w:rFonts w:ascii="Cambria" w:hAnsi="Cambria"/>
          <w:sz w:val="20"/>
          <w:szCs w:val="20"/>
          <w:bdr w:val="none" w:sz="0" w:space="0" w:color="auto"/>
        </w:rPr>
        <w:t xml:space="preserve">, </w:t>
      </w:r>
      <w:r w:rsidR="004467F0">
        <w:rPr>
          <w:rFonts w:ascii="Cambria" w:hAnsi="Cambria"/>
          <w:sz w:val="20"/>
          <w:szCs w:val="20"/>
          <w:bdr w:val="none" w:sz="0" w:space="0" w:color="auto"/>
        </w:rPr>
        <w:t xml:space="preserve">date of return to </w:t>
      </w:r>
      <w:r w:rsidR="002D7475" w:rsidRPr="00A51861">
        <w:rPr>
          <w:rFonts w:ascii="Cambria" w:hAnsi="Cambria"/>
          <w:sz w:val="20"/>
          <w:szCs w:val="20"/>
          <w:bdr w:val="none" w:sz="0" w:space="0" w:color="auto"/>
        </w:rPr>
        <w:t>democrac</w:t>
      </w:r>
      <w:r w:rsidR="004467F0">
        <w:rPr>
          <w:rFonts w:ascii="Cambria" w:hAnsi="Cambria"/>
          <w:sz w:val="20"/>
          <w:szCs w:val="20"/>
          <w:bdr w:val="none" w:sz="0" w:space="0" w:color="auto"/>
        </w:rPr>
        <w:t>y</w:t>
      </w:r>
      <w:r w:rsidR="002D7475" w:rsidRPr="00A51861">
        <w:rPr>
          <w:rFonts w:ascii="Cambria" w:hAnsi="Cambria"/>
          <w:sz w:val="20"/>
          <w:szCs w:val="20"/>
          <w:bdr w:val="none" w:sz="0" w:space="0" w:color="auto"/>
        </w:rPr>
        <w:t xml:space="preserve">. </w:t>
      </w:r>
      <w:r w:rsidR="004467F0">
        <w:rPr>
          <w:rFonts w:ascii="Cambria" w:hAnsi="Cambria"/>
          <w:sz w:val="20"/>
          <w:szCs w:val="20"/>
          <w:bdr w:val="none" w:sz="0" w:space="0" w:color="auto"/>
        </w:rPr>
        <w:t>In this aim</w:t>
      </w:r>
      <w:r w:rsidR="002D7475" w:rsidRPr="00A51861">
        <w:rPr>
          <w:rFonts w:ascii="Cambria" w:hAnsi="Cambria"/>
          <w:sz w:val="20"/>
          <w:szCs w:val="20"/>
          <w:bdr w:val="none" w:sz="0" w:space="0" w:color="auto"/>
        </w:rPr>
        <w:t xml:space="preserve">, </w:t>
      </w:r>
      <w:r w:rsidR="004467F0">
        <w:rPr>
          <w:rFonts w:ascii="Cambria" w:hAnsi="Cambria"/>
          <w:sz w:val="20"/>
          <w:szCs w:val="20"/>
          <w:bdr w:val="none" w:sz="0" w:space="0" w:color="auto"/>
        </w:rPr>
        <w:t>it was reviewed as evidence</w:t>
      </w:r>
      <w:r w:rsidR="002D7475" w:rsidRPr="00A51861">
        <w:rPr>
          <w:rFonts w:ascii="Cambria" w:hAnsi="Cambria"/>
          <w:sz w:val="20"/>
          <w:szCs w:val="20"/>
          <w:bdr w:val="none" w:sz="0" w:space="0" w:color="auto"/>
        </w:rPr>
        <w:t xml:space="preserve"> “</w:t>
      </w:r>
      <w:r w:rsidR="004467F0">
        <w:rPr>
          <w:rFonts w:ascii="Cambria" w:hAnsi="Cambria"/>
          <w:sz w:val="20"/>
          <w:szCs w:val="20"/>
          <w:bdr w:val="none" w:sz="0" w:space="0" w:color="auto"/>
        </w:rPr>
        <w:t>the</w:t>
      </w:r>
      <w:r w:rsidR="002D7475" w:rsidRPr="00A51861">
        <w:rPr>
          <w:rFonts w:ascii="Cambria" w:hAnsi="Cambria"/>
          <w:sz w:val="20"/>
          <w:szCs w:val="20"/>
          <w:bdr w:val="none" w:sz="0" w:space="0" w:color="auto"/>
        </w:rPr>
        <w:t xml:space="preserve"> </w:t>
      </w:r>
      <w:r w:rsidR="004467F0">
        <w:rPr>
          <w:rFonts w:ascii="Cambria" w:hAnsi="Cambria"/>
          <w:sz w:val="20"/>
          <w:szCs w:val="20"/>
          <w:bdr w:val="none" w:sz="0" w:space="0" w:color="auto"/>
        </w:rPr>
        <w:t>granting of</w:t>
      </w:r>
      <w:r w:rsidR="00E92985">
        <w:rPr>
          <w:rFonts w:ascii="Cambria" w:hAnsi="Cambria"/>
          <w:sz w:val="20"/>
          <w:szCs w:val="20"/>
          <w:bdr w:val="none" w:sz="0" w:space="0" w:color="auto"/>
        </w:rPr>
        <w:t xml:space="preserve"> </w:t>
      </w:r>
      <w:r w:rsidR="008333FF">
        <w:rPr>
          <w:rFonts w:ascii="Cambria" w:hAnsi="Cambria"/>
          <w:sz w:val="20"/>
          <w:szCs w:val="20"/>
          <w:bdr w:val="none" w:sz="0" w:space="0" w:color="auto"/>
        </w:rPr>
        <w:t>residency</w:t>
      </w:r>
      <w:r w:rsidR="00E92985">
        <w:rPr>
          <w:rFonts w:ascii="Cambria" w:hAnsi="Cambria"/>
          <w:sz w:val="20"/>
          <w:szCs w:val="20"/>
          <w:bdr w:val="none" w:sz="0" w:space="0" w:color="auto"/>
        </w:rPr>
        <w:t xml:space="preserve"> of </w:t>
      </w:r>
      <w:r w:rsidR="004467F0">
        <w:rPr>
          <w:rFonts w:ascii="Cambria" w:hAnsi="Cambria"/>
          <w:sz w:val="20"/>
          <w:szCs w:val="20"/>
          <w:bdr w:val="none" w:sz="0" w:space="0" w:color="auto"/>
        </w:rPr>
        <w:t>her</w:t>
      </w:r>
      <w:r w:rsidR="002D7475" w:rsidRPr="00A51861">
        <w:rPr>
          <w:rFonts w:ascii="Cambria" w:hAnsi="Cambria"/>
          <w:sz w:val="20"/>
          <w:szCs w:val="20"/>
          <w:bdr w:val="none" w:sz="0" w:space="0" w:color="auto"/>
        </w:rPr>
        <w:t xml:space="preserve"> </w:t>
      </w:r>
      <w:r w:rsidR="004467F0">
        <w:rPr>
          <w:rFonts w:ascii="Cambria" w:hAnsi="Cambria"/>
          <w:sz w:val="20"/>
          <w:szCs w:val="20"/>
          <w:bdr w:val="none" w:sz="0" w:space="0" w:color="auto"/>
        </w:rPr>
        <w:t>husband</w:t>
      </w:r>
      <w:r w:rsidR="002D7475" w:rsidRPr="00A51861">
        <w:rPr>
          <w:rFonts w:ascii="Cambria" w:hAnsi="Cambria"/>
          <w:sz w:val="20"/>
          <w:szCs w:val="20"/>
          <w:bdr w:val="none" w:sz="0" w:space="0" w:color="auto"/>
        </w:rPr>
        <w:t xml:space="preserve"> [Julio César Rito] </w:t>
      </w:r>
      <w:r w:rsidR="004467F0">
        <w:rPr>
          <w:rFonts w:ascii="Cambria" w:hAnsi="Cambria"/>
          <w:sz w:val="20"/>
          <w:szCs w:val="20"/>
          <w:bdr w:val="none" w:sz="0" w:space="0" w:color="auto"/>
        </w:rPr>
        <w:t>the safe-guard pass</w:t>
      </w:r>
      <w:r w:rsidR="002D7475" w:rsidRPr="00A51861">
        <w:rPr>
          <w:rFonts w:ascii="Cambria" w:hAnsi="Cambria"/>
          <w:sz w:val="20"/>
          <w:szCs w:val="20"/>
          <w:bdr w:val="none" w:sz="0" w:space="0" w:color="auto"/>
        </w:rPr>
        <w:t xml:space="preserve"> </w:t>
      </w:r>
      <w:r w:rsidR="004467F0">
        <w:rPr>
          <w:rFonts w:ascii="Cambria" w:hAnsi="Cambria"/>
          <w:sz w:val="20"/>
          <w:szCs w:val="20"/>
          <w:bdr w:val="none" w:sz="0" w:space="0" w:color="auto"/>
        </w:rPr>
        <w:t>obtained to leave the country for political reasons</w:t>
      </w:r>
      <w:r w:rsidR="002D7475" w:rsidRPr="00A51861">
        <w:rPr>
          <w:rFonts w:ascii="Cambria" w:hAnsi="Cambria"/>
          <w:sz w:val="20"/>
          <w:szCs w:val="20"/>
          <w:bdr w:val="none" w:sz="0" w:space="0" w:color="auto"/>
        </w:rPr>
        <w:t xml:space="preserve">, </w:t>
      </w:r>
      <w:r w:rsidR="004467F0">
        <w:rPr>
          <w:rFonts w:ascii="Cambria" w:hAnsi="Cambria"/>
          <w:sz w:val="20"/>
          <w:szCs w:val="20"/>
          <w:bdr w:val="none" w:sz="0" w:space="0" w:color="auto"/>
        </w:rPr>
        <w:t>record</w:t>
      </w:r>
      <w:r w:rsidR="00E92985">
        <w:rPr>
          <w:rFonts w:ascii="Cambria" w:hAnsi="Cambria"/>
          <w:sz w:val="20"/>
          <w:szCs w:val="20"/>
          <w:bdr w:val="none" w:sz="0" w:space="0" w:color="auto"/>
        </w:rPr>
        <w:t xml:space="preserve"> of the </w:t>
      </w:r>
      <w:r w:rsidR="006E255A">
        <w:rPr>
          <w:rFonts w:ascii="Cambria" w:hAnsi="Cambria"/>
          <w:sz w:val="20"/>
          <w:szCs w:val="20"/>
          <w:bdr w:val="none" w:sz="0" w:space="0" w:color="auto"/>
        </w:rPr>
        <w:t>detention</w:t>
      </w:r>
      <w:r w:rsidR="002D7475" w:rsidRPr="00A51861">
        <w:rPr>
          <w:rFonts w:ascii="Cambria" w:hAnsi="Cambria"/>
          <w:sz w:val="20"/>
          <w:szCs w:val="20"/>
          <w:bdr w:val="none" w:sz="0" w:space="0" w:color="auto"/>
        </w:rPr>
        <w:t xml:space="preserve"> </w:t>
      </w:r>
      <w:r w:rsidR="004467F0">
        <w:rPr>
          <w:rFonts w:ascii="Cambria" w:hAnsi="Cambria"/>
          <w:sz w:val="20"/>
          <w:szCs w:val="20"/>
          <w:bdr w:val="none" w:sz="0" w:space="0" w:color="auto"/>
        </w:rPr>
        <w:t>for</w:t>
      </w:r>
      <w:r w:rsidR="002D7475" w:rsidRPr="00A51861">
        <w:rPr>
          <w:rFonts w:ascii="Cambria" w:hAnsi="Cambria"/>
          <w:sz w:val="20"/>
          <w:szCs w:val="20"/>
          <w:bdr w:val="none" w:sz="0" w:space="0" w:color="auto"/>
        </w:rPr>
        <w:t xml:space="preserve"> </w:t>
      </w:r>
      <w:r w:rsidR="00160A67">
        <w:rPr>
          <w:rFonts w:ascii="Cambria" w:hAnsi="Cambria"/>
          <w:sz w:val="20"/>
          <w:szCs w:val="20"/>
          <w:bdr w:val="none" w:sz="0" w:space="0" w:color="auto"/>
        </w:rPr>
        <w:t>infringement</w:t>
      </w:r>
      <w:r w:rsidR="002D7475" w:rsidRPr="00A51861">
        <w:rPr>
          <w:rFonts w:ascii="Cambria" w:hAnsi="Cambria"/>
          <w:sz w:val="20"/>
          <w:szCs w:val="20"/>
          <w:bdr w:val="none" w:sz="0" w:space="0" w:color="auto"/>
        </w:rPr>
        <w:t xml:space="preserve"> </w:t>
      </w:r>
      <w:r w:rsidR="004467F0">
        <w:rPr>
          <w:rFonts w:ascii="Cambria" w:hAnsi="Cambria"/>
          <w:sz w:val="20"/>
          <w:szCs w:val="20"/>
          <w:bdr w:val="none" w:sz="0" w:space="0" w:color="auto"/>
        </w:rPr>
        <w:t>of the</w:t>
      </w:r>
      <w:r w:rsidR="002D7475" w:rsidRPr="00A51861">
        <w:rPr>
          <w:rFonts w:ascii="Cambria" w:hAnsi="Cambria"/>
          <w:sz w:val="20"/>
          <w:szCs w:val="20"/>
          <w:bdr w:val="none" w:sz="0" w:space="0" w:color="auto"/>
        </w:rPr>
        <w:t xml:space="preserve"> </w:t>
      </w:r>
      <w:r w:rsidR="00A40660">
        <w:rPr>
          <w:rFonts w:ascii="Cambria" w:hAnsi="Cambria"/>
          <w:sz w:val="20"/>
          <w:szCs w:val="20"/>
          <w:bdr w:val="none" w:sz="0" w:space="0" w:color="auto"/>
        </w:rPr>
        <w:t>police decree</w:t>
      </w:r>
      <w:r w:rsidR="002D7475" w:rsidRPr="00A51861">
        <w:rPr>
          <w:rFonts w:ascii="Cambria" w:hAnsi="Cambria"/>
          <w:sz w:val="20"/>
          <w:szCs w:val="20"/>
          <w:bdr w:val="none" w:sz="0" w:space="0" w:color="auto"/>
        </w:rPr>
        <w:t xml:space="preserve"> </w:t>
      </w:r>
      <w:r w:rsidR="004467F0">
        <w:rPr>
          <w:rFonts w:ascii="Cambria" w:hAnsi="Cambria"/>
          <w:sz w:val="20"/>
          <w:szCs w:val="20"/>
          <w:bdr w:val="none" w:sz="0" w:space="0" w:color="auto"/>
        </w:rPr>
        <w:t>concerning</w:t>
      </w:r>
      <w:r w:rsidR="002D7475" w:rsidRPr="00A51861">
        <w:rPr>
          <w:rFonts w:ascii="Cambria" w:hAnsi="Cambria"/>
          <w:sz w:val="20"/>
          <w:szCs w:val="20"/>
          <w:bdr w:val="none" w:sz="0" w:space="0" w:color="auto"/>
        </w:rPr>
        <w:t xml:space="preserve"> </w:t>
      </w:r>
      <w:r w:rsidR="00160A67">
        <w:rPr>
          <w:rFonts w:ascii="Cambria" w:hAnsi="Cambria"/>
          <w:sz w:val="20"/>
          <w:szCs w:val="20"/>
          <w:bdr w:val="none" w:sz="0" w:space="0" w:color="auto"/>
        </w:rPr>
        <w:t>public assemblies</w:t>
      </w:r>
      <w:r w:rsidR="002D7475" w:rsidRPr="00A51861">
        <w:rPr>
          <w:rFonts w:ascii="Cambria" w:hAnsi="Cambria"/>
          <w:sz w:val="20"/>
          <w:szCs w:val="20"/>
          <w:bdr w:val="none" w:sz="0" w:space="0" w:color="auto"/>
        </w:rPr>
        <w:t xml:space="preserve"> </w:t>
      </w:r>
      <w:r w:rsidR="004467F0">
        <w:rPr>
          <w:rFonts w:ascii="Cambria" w:hAnsi="Cambria"/>
          <w:sz w:val="20"/>
          <w:szCs w:val="20"/>
          <w:bdr w:val="none" w:sz="0" w:space="0" w:color="auto"/>
        </w:rPr>
        <w:t>suffered by the claimant</w:t>
      </w:r>
      <w:r w:rsidR="002D7475" w:rsidRPr="00A51861">
        <w:rPr>
          <w:rFonts w:ascii="Cambria" w:hAnsi="Cambria"/>
          <w:sz w:val="20"/>
          <w:szCs w:val="20"/>
          <w:bdr w:val="none" w:sz="0" w:space="0" w:color="auto"/>
        </w:rPr>
        <w:t xml:space="preserve">, </w:t>
      </w:r>
      <w:r w:rsidR="004467F0">
        <w:rPr>
          <w:rFonts w:ascii="Cambria" w:hAnsi="Cambria"/>
          <w:sz w:val="20"/>
          <w:szCs w:val="20"/>
          <w:bdr w:val="none" w:sz="0" w:space="0" w:color="auto"/>
        </w:rPr>
        <w:t>issued by the A</w:t>
      </w:r>
      <w:r w:rsidR="002D7475" w:rsidRPr="00A51861">
        <w:rPr>
          <w:rFonts w:ascii="Cambria" w:hAnsi="Cambria"/>
          <w:sz w:val="20"/>
          <w:szCs w:val="20"/>
          <w:bdr w:val="none" w:sz="0" w:space="0" w:color="auto"/>
        </w:rPr>
        <w:t>rea</w:t>
      </w:r>
      <w:r w:rsidR="00E92985">
        <w:rPr>
          <w:rFonts w:ascii="Cambria" w:hAnsi="Cambria"/>
          <w:sz w:val="20"/>
          <w:szCs w:val="20"/>
          <w:bdr w:val="none" w:sz="0" w:space="0" w:color="auto"/>
        </w:rPr>
        <w:t xml:space="preserve"> of </w:t>
      </w:r>
      <w:r w:rsidR="004467F0" w:rsidRPr="00A51861">
        <w:rPr>
          <w:rFonts w:ascii="Cambria" w:hAnsi="Cambria"/>
          <w:sz w:val="20"/>
          <w:szCs w:val="20"/>
          <w:bdr w:val="none" w:sz="0" w:space="0" w:color="auto"/>
        </w:rPr>
        <w:t>Migratio</w:t>
      </w:r>
      <w:r w:rsidR="004467F0">
        <w:rPr>
          <w:rFonts w:ascii="Cambria" w:hAnsi="Cambria"/>
          <w:sz w:val="20"/>
          <w:szCs w:val="20"/>
          <w:bdr w:val="none" w:sz="0" w:space="0" w:color="auto"/>
        </w:rPr>
        <w:t xml:space="preserve">n </w:t>
      </w:r>
      <w:r w:rsidR="002D7475" w:rsidRPr="00A51861">
        <w:rPr>
          <w:rFonts w:ascii="Cambria" w:hAnsi="Cambria"/>
          <w:sz w:val="20"/>
          <w:szCs w:val="20"/>
          <w:bdr w:val="none" w:sz="0" w:space="0" w:color="auto"/>
        </w:rPr>
        <w:t xml:space="preserve">control </w:t>
      </w:r>
      <w:r w:rsidR="00E92985">
        <w:rPr>
          <w:rFonts w:ascii="Cambria" w:hAnsi="Cambria"/>
          <w:sz w:val="20"/>
          <w:szCs w:val="20"/>
          <w:bdr w:val="none" w:sz="0" w:space="0" w:color="auto"/>
        </w:rPr>
        <w:t xml:space="preserve">of the </w:t>
      </w:r>
      <w:r w:rsidR="008E2F10">
        <w:rPr>
          <w:rFonts w:ascii="Cambria" w:hAnsi="Cambria"/>
          <w:sz w:val="20"/>
          <w:szCs w:val="20"/>
          <w:bdr w:val="none" w:sz="0" w:space="0" w:color="auto"/>
        </w:rPr>
        <w:t>NDM</w:t>
      </w:r>
      <w:r w:rsidR="002D7475" w:rsidRPr="00A51861">
        <w:rPr>
          <w:rFonts w:ascii="Cambria" w:hAnsi="Cambria"/>
          <w:sz w:val="20"/>
          <w:szCs w:val="20"/>
          <w:bdr w:val="none" w:sz="0" w:space="0" w:color="auto"/>
        </w:rPr>
        <w:t>,</w:t>
      </w:r>
      <w:r w:rsidR="009A4F91">
        <w:rPr>
          <w:rFonts w:ascii="Cambria" w:hAnsi="Cambria"/>
          <w:sz w:val="20"/>
          <w:szCs w:val="20"/>
          <w:bdr w:val="none" w:sz="0" w:space="0" w:color="auto"/>
        </w:rPr>
        <w:t xml:space="preserve"> the </w:t>
      </w:r>
      <w:r w:rsidR="0029564F">
        <w:rPr>
          <w:rFonts w:ascii="Cambria" w:hAnsi="Cambria"/>
          <w:sz w:val="20"/>
          <w:szCs w:val="20"/>
          <w:bdr w:val="none" w:sz="0" w:space="0" w:color="auto"/>
        </w:rPr>
        <w:t>resolution</w:t>
      </w:r>
      <w:r w:rsidR="00E92985">
        <w:rPr>
          <w:rFonts w:ascii="Cambria" w:hAnsi="Cambria"/>
          <w:sz w:val="20"/>
          <w:szCs w:val="20"/>
          <w:bdr w:val="none" w:sz="0" w:space="0" w:color="auto"/>
        </w:rPr>
        <w:t xml:space="preserve"> of the</w:t>
      </w:r>
      <w:r w:rsidR="00185E46">
        <w:rPr>
          <w:rFonts w:ascii="Cambria" w:hAnsi="Cambria"/>
          <w:sz w:val="20"/>
          <w:szCs w:val="20"/>
          <w:bdr w:val="none" w:sz="0" w:space="0" w:color="auto"/>
        </w:rPr>
        <w:t xml:space="preserve"> NDM </w:t>
      </w:r>
      <w:r w:rsidR="004467F0">
        <w:rPr>
          <w:rFonts w:ascii="Cambria" w:hAnsi="Cambria"/>
          <w:sz w:val="20"/>
          <w:szCs w:val="20"/>
          <w:bdr w:val="none" w:sz="0" w:space="0" w:color="auto"/>
        </w:rPr>
        <w:t>by means of which his</w:t>
      </w:r>
      <w:r w:rsidR="002D7475" w:rsidRPr="00A51861">
        <w:rPr>
          <w:rFonts w:ascii="Cambria" w:hAnsi="Cambria"/>
          <w:sz w:val="20"/>
          <w:szCs w:val="20"/>
          <w:bdr w:val="none" w:sz="0" w:space="0" w:color="auto"/>
        </w:rPr>
        <w:t xml:space="preserve"> </w:t>
      </w:r>
      <w:r w:rsidR="004969F4">
        <w:rPr>
          <w:rFonts w:ascii="Cambria" w:hAnsi="Cambria"/>
          <w:sz w:val="20"/>
          <w:szCs w:val="20"/>
          <w:bdr w:val="none" w:sz="0" w:space="0" w:color="auto"/>
        </w:rPr>
        <w:t xml:space="preserve">permanence </w:t>
      </w:r>
      <w:r w:rsidR="00AF26B2">
        <w:rPr>
          <w:rFonts w:ascii="Cambria" w:hAnsi="Cambria"/>
          <w:sz w:val="20"/>
          <w:szCs w:val="20"/>
          <w:bdr w:val="none" w:sz="0" w:space="0" w:color="auto"/>
        </w:rPr>
        <w:t xml:space="preserve">in the country was </w:t>
      </w:r>
      <w:r w:rsidR="00AF26B2" w:rsidRPr="00A51861">
        <w:rPr>
          <w:rFonts w:ascii="Cambria" w:hAnsi="Cambria"/>
          <w:sz w:val="20"/>
          <w:szCs w:val="20"/>
          <w:bdr w:val="none" w:sz="0" w:space="0" w:color="auto"/>
        </w:rPr>
        <w:t>declar</w:t>
      </w:r>
      <w:r w:rsidR="00AF26B2">
        <w:rPr>
          <w:rFonts w:ascii="Cambria" w:hAnsi="Cambria"/>
          <w:sz w:val="20"/>
          <w:szCs w:val="20"/>
          <w:bdr w:val="none" w:sz="0" w:space="0" w:color="auto"/>
        </w:rPr>
        <w:t>ed</w:t>
      </w:r>
      <w:r w:rsidR="00AF26B2" w:rsidRPr="00A51861">
        <w:rPr>
          <w:rFonts w:ascii="Cambria" w:hAnsi="Cambria"/>
          <w:sz w:val="20"/>
          <w:szCs w:val="20"/>
          <w:bdr w:val="none" w:sz="0" w:space="0" w:color="auto"/>
        </w:rPr>
        <w:t xml:space="preserve"> i</w:t>
      </w:r>
      <w:r w:rsidR="00AF26B2">
        <w:rPr>
          <w:rFonts w:ascii="Cambria" w:hAnsi="Cambria"/>
          <w:sz w:val="20"/>
          <w:szCs w:val="20"/>
          <w:bdr w:val="none" w:sz="0" w:space="0" w:color="auto"/>
        </w:rPr>
        <w:t>l</w:t>
      </w:r>
      <w:r w:rsidR="00AF26B2" w:rsidRPr="00A51861">
        <w:rPr>
          <w:rFonts w:ascii="Cambria" w:hAnsi="Cambria"/>
          <w:sz w:val="20"/>
          <w:szCs w:val="20"/>
          <w:bdr w:val="none" w:sz="0" w:space="0" w:color="auto"/>
        </w:rPr>
        <w:t>legal</w:t>
      </w:r>
      <w:r w:rsidR="002D7475" w:rsidRPr="00A51861">
        <w:rPr>
          <w:rFonts w:ascii="Cambria" w:hAnsi="Cambria"/>
          <w:sz w:val="20"/>
          <w:szCs w:val="20"/>
          <w:bdr w:val="none" w:sz="0" w:space="0" w:color="auto"/>
        </w:rPr>
        <w:t xml:space="preserve">, </w:t>
      </w:r>
      <w:r w:rsidR="00AF26B2">
        <w:rPr>
          <w:rFonts w:ascii="Cambria" w:hAnsi="Cambria"/>
          <w:sz w:val="20"/>
          <w:szCs w:val="20"/>
          <w:bdr w:val="none" w:sz="0" w:space="0" w:color="auto"/>
        </w:rPr>
        <w:t xml:space="preserve">his </w:t>
      </w:r>
      <w:r w:rsidR="00103579">
        <w:rPr>
          <w:rFonts w:ascii="Cambria" w:hAnsi="Cambria"/>
          <w:sz w:val="20"/>
          <w:szCs w:val="20"/>
          <w:bdr w:val="none" w:sz="0" w:space="0" w:color="auto"/>
        </w:rPr>
        <w:t>expulsion</w:t>
      </w:r>
      <w:r w:rsidR="00E92985">
        <w:rPr>
          <w:rFonts w:ascii="Cambria" w:hAnsi="Cambria"/>
          <w:sz w:val="20"/>
          <w:szCs w:val="20"/>
          <w:bdr w:val="none" w:sz="0" w:space="0" w:color="auto"/>
        </w:rPr>
        <w:t xml:space="preserve"> </w:t>
      </w:r>
      <w:r w:rsidR="00AF26B2">
        <w:rPr>
          <w:rFonts w:ascii="Cambria" w:hAnsi="Cambria"/>
          <w:sz w:val="20"/>
          <w:szCs w:val="20"/>
          <w:bdr w:val="none" w:sz="0" w:space="0" w:color="auto"/>
        </w:rPr>
        <w:t>was ordered along with the</w:t>
      </w:r>
      <w:r w:rsidR="009A4F91">
        <w:rPr>
          <w:rFonts w:ascii="Cambria" w:hAnsi="Cambria"/>
          <w:sz w:val="20"/>
          <w:szCs w:val="20"/>
          <w:bdr w:val="none" w:sz="0" w:space="0" w:color="auto"/>
        </w:rPr>
        <w:t xml:space="preserve"> </w:t>
      </w:r>
      <w:r w:rsidR="00AF26B2" w:rsidRPr="00A51861">
        <w:rPr>
          <w:rFonts w:ascii="Cambria" w:hAnsi="Cambria"/>
          <w:sz w:val="20"/>
          <w:szCs w:val="20"/>
          <w:bdr w:val="none" w:sz="0" w:space="0" w:color="auto"/>
        </w:rPr>
        <w:t>prohibition</w:t>
      </w:r>
      <w:r w:rsidR="00E92985">
        <w:rPr>
          <w:rFonts w:ascii="Cambria" w:hAnsi="Cambria"/>
          <w:sz w:val="20"/>
          <w:szCs w:val="20"/>
          <w:bdr w:val="none" w:sz="0" w:space="0" w:color="auto"/>
        </w:rPr>
        <w:t xml:space="preserve"> </w:t>
      </w:r>
      <w:r w:rsidR="00AF26B2">
        <w:rPr>
          <w:rFonts w:ascii="Cambria" w:hAnsi="Cambria"/>
          <w:sz w:val="20"/>
          <w:szCs w:val="20"/>
          <w:bdr w:val="none" w:sz="0" w:space="0" w:color="auto"/>
        </w:rPr>
        <w:t>to return</w:t>
      </w:r>
      <w:r w:rsidR="002D7475" w:rsidRPr="00A51861">
        <w:rPr>
          <w:rFonts w:ascii="Cambria" w:hAnsi="Cambria"/>
          <w:sz w:val="20"/>
          <w:szCs w:val="20"/>
          <w:bdr w:val="none" w:sz="0" w:space="0" w:color="auto"/>
        </w:rPr>
        <w:t xml:space="preserve">, </w:t>
      </w:r>
      <w:r w:rsidR="0054078D">
        <w:rPr>
          <w:rFonts w:ascii="Cambria" w:hAnsi="Cambria"/>
          <w:sz w:val="20"/>
          <w:szCs w:val="20"/>
          <w:bdr w:val="none" w:sz="0" w:space="0" w:color="auto"/>
        </w:rPr>
        <w:t>record from</w:t>
      </w:r>
      <w:r w:rsidR="00E92985">
        <w:rPr>
          <w:rFonts w:ascii="Cambria" w:hAnsi="Cambria"/>
          <w:sz w:val="20"/>
          <w:szCs w:val="20"/>
          <w:bdr w:val="none" w:sz="0" w:space="0" w:color="auto"/>
        </w:rPr>
        <w:t xml:space="preserve"> the </w:t>
      </w:r>
      <w:r w:rsidR="002D7475" w:rsidRPr="00A51861">
        <w:rPr>
          <w:rFonts w:ascii="Cambria" w:hAnsi="Cambria"/>
          <w:sz w:val="20"/>
          <w:szCs w:val="20"/>
          <w:bdr w:val="none" w:sz="0" w:space="0" w:color="auto"/>
        </w:rPr>
        <w:t>SIDE</w:t>
      </w:r>
      <w:r w:rsidR="00E92985">
        <w:rPr>
          <w:rFonts w:ascii="Cambria" w:hAnsi="Cambria"/>
          <w:sz w:val="20"/>
          <w:szCs w:val="20"/>
          <w:bdr w:val="none" w:sz="0" w:space="0" w:color="auto"/>
        </w:rPr>
        <w:t xml:space="preserve"> </w:t>
      </w:r>
      <w:r w:rsidR="0054078D">
        <w:rPr>
          <w:rFonts w:ascii="Cambria" w:hAnsi="Cambria"/>
          <w:sz w:val="20"/>
          <w:szCs w:val="20"/>
          <w:bdr w:val="none" w:sz="0" w:space="0" w:color="auto"/>
        </w:rPr>
        <w:t>with unfavorable background of the claimant</w:t>
      </w:r>
      <w:r w:rsidR="002D7475" w:rsidRPr="00A51861">
        <w:rPr>
          <w:rFonts w:ascii="Cambria" w:hAnsi="Cambria"/>
          <w:sz w:val="20"/>
          <w:szCs w:val="20"/>
          <w:bdr w:val="none" w:sz="0" w:space="0" w:color="auto"/>
        </w:rPr>
        <w:t xml:space="preserve">. </w:t>
      </w:r>
      <w:r w:rsidR="0054078D">
        <w:rPr>
          <w:rFonts w:ascii="Cambria" w:hAnsi="Cambria"/>
          <w:sz w:val="20"/>
          <w:szCs w:val="20"/>
          <w:bdr w:val="none" w:sz="0" w:space="0" w:color="auto"/>
        </w:rPr>
        <w:t>Likewise,</w:t>
      </w:r>
      <w:r w:rsidR="002D7475" w:rsidRPr="00A51861">
        <w:rPr>
          <w:rFonts w:ascii="Cambria" w:hAnsi="Cambria"/>
          <w:sz w:val="20"/>
          <w:szCs w:val="20"/>
          <w:bdr w:val="none" w:sz="0" w:space="0" w:color="auto"/>
        </w:rPr>
        <w:t xml:space="preserve"> </w:t>
      </w:r>
      <w:r w:rsidR="0054078D">
        <w:rPr>
          <w:rFonts w:ascii="Cambria" w:hAnsi="Cambria"/>
          <w:sz w:val="20"/>
          <w:szCs w:val="20"/>
          <w:bdr w:val="none" w:sz="0" w:space="0" w:color="auto"/>
        </w:rPr>
        <w:t>it is confirmed that</w:t>
      </w:r>
      <w:r w:rsidR="009A4F91">
        <w:rPr>
          <w:rFonts w:ascii="Cambria" w:hAnsi="Cambria"/>
          <w:sz w:val="20"/>
          <w:szCs w:val="20"/>
          <w:bdr w:val="none" w:sz="0" w:space="0" w:color="auto"/>
        </w:rPr>
        <w:t xml:space="preserve"> the </w:t>
      </w:r>
      <w:r w:rsidR="006E255A">
        <w:rPr>
          <w:rFonts w:ascii="Cambria" w:hAnsi="Cambria"/>
          <w:sz w:val="20"/>
          <w:szCs w:val="20"/>
          <w:bdr w:val="none" w:sz="0" w:space="0" w:color="auto"/>
        </w:rPr>
        <w:t>detention</w:t>
      </w:r>
      <w:r w:rsidR="002D7475" w:rsidRPr="00A51861">
        <w:rPr>
          <w:rFonts w:ascii="Cambria" w:hAnsi="Cambria"/>
          <w:sz w:val="20"/>
          <w:szCs w:val="20"/>
          <w:bdr w:val="none" w:sz="0" w:space="0" w:color="auto"/>
        </w:rPr>
        <w:t xml:space="preserve"> </w:t>
      </w:r>
      <w:r w:rsidR="0054078D">
        <w:rPr>
          <w:rFonts w:ascii="Cambria" w:hAnsi="Cambria"/>
          <w:sz w:val="20"/>
          <w:szCs w:val="20"/>
          <w:bdr w:val="none" w:sz="0" w:space="0" w:color="auto"/>
        </w:rPr>
        <w:t>narrated by the claimant in the certificate</w:t>
      </w:r>
      <w:r w:rsidR="004969F4">
        <w:rPr>
          <w:rFonts w:ascii="Cambria" w:hAnsi="Cambria"/>
          <w:sz w:val="20"/>
          <w:szCs w:val="20"/>
          <w:bdr w:val="none" w:sz="0" w:space="0" w:color="auto"/>
        </w:rPr>
        <w:t xml:space="preserve"> of the </w:t>
      </w:r>
      <w:r w:rsidR="0054078D">
        <w:rPr>
          <w:rFonts w:ascii="Cambria" w:hAnsi="Cambria"/>
          <w:sz w:val="20"/>
          <w:szCs w:val="20"/>
          <w:bdr w:val="none" w:sz="0" w:space="0" w:color="auto"/>
        </w:rPr>
        <w:t>Court of Inquiry</w:t>
      </w:r>
      <w:r w:rsidR="002D7475" w:rsidRPr="00A51861">
        <w:rPr>
          <w:rFonts w:ascii="Cambria" w:hAnsi="Cambria"/>
          <w:sz w:val="20"/>
          <w:szCs w:val="20"/>
          <w:bdr w:val="none" w:sz="0" w:space="0" w:color="auto"/>
        </w:rPr>
        <w:t>”</w:t>
      </w:r>
      <w:r w:rsidR="005B1F92" w:rsidRPr="00A51861">
        <w:rPr>
          <w:rStyle w:val="FootnoteReference"/>
          <w:rFonts w:ascii="Cambria" w:hAnsi="Cambria"/>
          <w:sz w:val="20"/>
          <w:szCs w:val="20"/>
          <w:bdr w:val="none" w:sz="0" w:space="0" w:color="auto"/>
        </w:rPr>
        <w:footnoteReference w:id="248"/>
      </w:r>
      <w:r w:rsidR="005B1F92" w:rsidRPr="00A51861">
        <w:rPr>
          <w:rFonts w:ascii="Cambria" w:hAnsi="Cambria"/>
          <w:sz w:val="20"/>
          <w:szCs w:val="20"/>
          <w:bdr w:val="none" w:sz="0" w:space="0" w:color="auto"/>
        </w:rPr>
        <w:t>.</w:t>
      </w:r>
    </w:p>
    <w:p w14:paraId="689362D6" w14:textId="77777777" w:rsidR="005B1F92" w:rsidRPr="00A51861" w:rsidRDefault="005B1F92" w:rsidP="008E4D3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bdr w:val="none" w:sz="0" w:space="0" w:color="auto"/>
        </w:rPr>
      </w:pPr>
    </w:p>
    <w:p w14:paraId="79439DDB" w14:textId="6B3CB133" w:rsidR="00773B3C" w:rsidRPr="00A51861" w:rsidRDefault="00083EB4"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bdr w:val="none" w:sz="0" w:space="0" w:color="auto"/>
        </w:rPr>
      </w:pPr>
      <w:r>
        <w:rPr>
          <w:rFonts w:ascii="Cambria" w:hAnsi="Cambria"/>
          <w:sz w:val="20"/>
          <w:szCs w:val="20"/>
          <w:bdr w:val="none" w:sz="0" w:space="0" w:color="auto"/>
        </w:rPr>
        <w:t>However</w:t>
      </w:r>
      <w:r w:rsidR="00773B3C" w:rsidRPr="00A51861">
        <w:rPr>
          <w:rFonts w:ascii="Cambria" w:hAnsi="Cambria"/>
          <w:sz w:val="20"/>
          <w:szCs w:val="20"/>
          <w:bdr w:val="none" w:sz="0" w:space="0" w:color="auto"/>
        </w:rPr>
        <w:t xml:space="preserve">, </w:t>
      </w:r>
      <w:r w:rsidR="00A51861" w:rsidRPr="00A51861">
        <w:rPr>
          <w:rFonts w:ascii="Cambria" w:hAnsi="Cambria"/>
          <w:sz w:val="20"/>
          <w:szCs w:val="20"/>
          <w:bdr w:val="none" w:sz="0" w:space="0" w:color="auto"/>
        </w:rPr>
        <w:t>the IACHR</w:t>
      </w:r>
      <w:r w:rsidR="00773B3C" w:rsidRPr="00A51861">
        <w:rPr>
          <w:rFonts w:ascii="Cambria" w:hAnsi="Cambria"/>
          <w:sz w:val="20"/>
          <w:szCs w:val="20"/>
          <w:bdr w:val="none" w:sz="0" w:space="0" w:color="auto"/>
        </w:rPr>
        <w:t xml:space="preserve"> </w:t>
      </w:r>
      <w:r>
        <w:rPr>
          <w:rFonts w:ascii="Cambria" w:hAnsi="Cambria"/>
          <w:sz w:val="20"/>
          <w:szCs w:val="20"/>
          <w:bdr w:val="none" w:sz="0" w:space="0" w:color="auto"/>
        </w:rPr>
        <w:t>also notes that within domestic proceedings</w:t>
      </w:r>
      <w:r w:rsidR="00D95C4D" w:rsidRPr="00A51861">
        <w:rPr>
          <w:rFonts w:ascii="Cambria" w:hAnsi="Cambria"/>
          <w:sz w:val="20"/>
          <w:szCs w:val="20"/>
          <w:bdr w:val="none" w:sz="0" w:space="0" w:color="auto"/>
        </w:rPr>
        <w:t xml:space="preserve"> </w:t>
      </w:r>
      <w:r w:rsidR="00B74DB5">
        <w:rPr>
          <w:rFonts w:ascii="Cambria" w:hAnsi="Cambria"/>
          <w:sz w:val="20"/>
          <w:szCs w:val="20"/>
          <w:bdr w:val="none" w:sz="0" w:space="0" w:color="auto"/>
        </w:rPr>
        <w:t xml:space="preserve">in regard to </w:t>
      </w:r>
      <w:r w:rsidR="00D95C4D" w:rsidRPr="00A51861">
        <w:rPr>
          <w:rFonts w:ascii="Cambria" w:hAnsi="Cambria"/>
          <w:sz w:val="20"/>
          <w:szCs w:val="20"/>
          <w:bdr w:val="none" w:sz="0" w:space="0" w:color="auto"/>
        </w:rPr>
        <w:t>Julio C</w:t>
      </w:r>
      <w:r w:rsidR="000221BF" w:rsidRPr="00A51861">
        <w:rPr>
          <w:rFonts w:ascii="Cambria" w:hAnsi="Cambria"/>
          <w:sz w:val="20"/>
          <w:szCs w:val="20"/>
          <w:bdr w:val="none" w:sz="0" w:space="0" w:color="auto"/>
        </w:rPr>
        <w:t>ésar</w:t>
      </w:r>
      <w:r w:rsidR="00E92985">
        <w:rPr>
          <w:rFonts w:ascii="Cambria" w:hAnsi="Cambria"/>
          <w:sz w:val="20"/>
          <w:szCs w:val="20"/>
          <w:bdr w:val="none" w:sz="0" w:space="0" w:color="auto"/>
        </w:rPr>
        <w:t xml:space="preserve"> and </w:t>
      </w:r>
      <w:r w:rsidR="00D95C4D" w:rsidRPr="00A51861">
        <w:rPr>
          <w:rFonts w:ascii="Cambria" w:hAnsi="Cambria"/>
          <w:sz w:val="20"/>
          <w:szCs w:val="20"/>
          <w:bdr w:val="none" w:sz="0" w:space="0" w:color="auto"/>
        </w:rPr>
        <w:t xml:space="preserve">Hugo Daniel, </w:t>
      </w:r>
      <w:r w:rsidR="00773B3C" w:rsidRPr="00A51861">
        <w:rPr>
          <w:rFonts w:ascii="Cambria" w:hAnsi="Cambria"/>
          <w:sz w:val="20"/>
          <w:szCs w:val="20"/>
          <w:bdr w:val="none" w:sz="0" w:space="0" w:color="auto"/>
        </w:rPr>
        <w:t xml:space="preserve"> </w:t>
      </w:r>
      <w:r>
        <w:rPr>
          <w:rFonts w:ascii="Cambria" w:hAnsi="Cambria"/>
          <w:sz w:val="20"/>
          <w:szCs w:val="20"/>
          <w:bdr w:val="none" w:sz="0" w:space="0" w:color="auto"/>
        </w:rPr>
        <w:t>the requests to perform and order tests</w:t>
      </w:r>
      <w:r w:rsidR="00E92985">
        <w:rPr>
          <w:rFonts w:ascii="Cambria" w:hAnsi="Cambria"/>
          <w:sz w:val="20"/>
          <w:szCs w:val="20"/>
          <w:bdr w:val="none" w:sz="0" w:space="0" w:color="auto"/>
        </w:rPr>
        <w:t xml:space="preserve"> </w:t>
      </w:r>
      <w:r>
        <w:rPr>
          <w:rFonts w:ascii="Cambria" w:hAnsi="Cambria"/>
          <w:sz w:val="20"/>
          <w:szCs w:val="20"/>
          <w:bdr w:val="none" w:sz="0" w:space="0" w:color="auto"/>
        </w:rPr>
        <w:t>were disregarded</w:t>
      </w:r>
      <w:r w:rsidR="00773B3C" w:rsidRPr="00A51861">
        <w:rPr>
          <w:rFonts w:ascii="Cambria" w:hAnsi="Cambria"/>
          <w:sz w:val="20"/>
          <w:szCs w:val="20"/>
          <w:bdr w:val="none" w:sz="0" w:space="0" w:color="auto"/>
        </w:rPr>
        <w:t xml:space="preserve">, </w:t>
      </w:r>
      <w:r>
        <w:rPr>
          <w:rFonts w:ascii="Cambria" w:hAnsi="Cambria"/>
          <w:sz w:val="20"/>
          <w:szCs w:val="20"/>
          <w:bdr w:val="none" w:sz="0" w:space="0" w:color="auto"/>
        </w:rPr>
        <w:t>such as informing</w:t>
      </w:r>
      <w:r w:rsidR="00773B3C" w:rsidRPr="00A51861">
        <w:rPr>
          <w:rFonts w:ascii="Cambria" w:hAnsi="Cambria"/>
          <w:sz w:val="20"/>
          <w:szCs w:val="20"/>
          <w:bdr w:val="none" w:sz="0" w:space="0" w:color="auto"/>
        </w:rPr>
        <w:t xml:space="preserve"> </w:t>
      </w:r>
      <w:r w:rsidR="00940530">
        <w:rPr>
          <w:rFonts w:ascii="Cambria" w:hAnsi="Cambria"/>
          <w:sz w:val="20"/>
          <w:szCs w:val="20"/>
          <w:bdr w:val="none" w:sz="0" w:space="0" w:color="auto"/>
        </w:rPr>
        <w:t>authorities</w:t>
      </w:r>
      <w:r w:rsidR="00773B3C" w:rsidRPr="00A51861">
        <w:rPr>
          <w:rFonts w:ascii="Cambria" w:hAnsi="Cambria"/>
          <w:sz w:val="20"/>
          <w:szCs w:val="20"/>
          <w:bdr w:val="none" w:sz="0" w:space="0" w:color="auto"/>
        </w:rPr>
        <w:t xml:space="preserve"> </w:t>
      </w:r>
      <w:r>
        <w:rPr>
          <w:rFonts w:ascii="Cambria" w:hAnsi="Cambria"/>
          <w:sz w:val="20"/>
          <w:szCs w:val="20"/>
          <w:bdr w:val="none" w:sz="0" w:space="0" w:color="auto"/>
        </w:rPr>
        <w:t>to include into the proceedings the</w:t>
      </w:r>
      <w:r w:rsidR="00773B3C" w:rsidRPr="00A51861">
        <w:rPr>
          <w:rFonts w:ascii="Cambria" w:hAnsi="Cambria"/>
          <w:sz w:val="20"/>
          <w:szCs w:val="20"/>
          <w:bdr w:val="none" w:sz="0" w:space="0" w:color="auto"/>
        </w:rPr>
        <w:t xml:space="preserve"> </w:t>
      </w:r>
      <w:r w:rsidR="00A274B7">
        <w:rPr>
          <w:rFonts w:ascii="Cambria" w:hAnsi="Cambria"/>
          <w:sz w:val="20"/>
          <w:szCs w:val="20"/>
          <w:bdr w:val="none" w:sz="0" w:space="0" w:color="auto"/>
        </w:rPr>
        <w:t>casefile</w:t>
      </w:r>
      <w:r w:rsidR="00773B3C" w:rsidRPr="00A51861">
        <w:rPr>
          <w:rFonts w:ascii="Cambria" w:hAnsi="Cambria"/>
          <w:sz w:val="20"/>
          <w:szCs w:val="20"/>
          <w:bdr w:val="none" w:sz="0" w:space="0" w:color="auto"/>
        </w:rPr>
        <w:t xml:space="preserve">s </w:t>
      </w:r>
      <w:r>
        <w:rPr>
          <w:rFonts w:ascii="Cambria" w:hAnsi="Cambria"/>
          <w:sz w:val="20"/>
          <w:szCs w:val="20"/>
          <w:bdr w:val="none" w:sz="0" w:space="0" w:color="auto"/>
        </w:rPr>
        <w:t>before</w:t>
      </w:r>
      <w:r w:rsidR="009A4F91">
        <w:rPr>
          <w:rFonts w:ascii="Cambria" w:hAnsi="Cambria"/>
          <w:sz w:val="20"/>
          <w:szCs w:val="20"/>
          <w:bdr w:val="none" w:sz="0" w:space="0" w:color="auto"/>
        </w:rPr>
        <w:t xml:space="preserve"> the </w:t>
      </w:r>
      <w:r>
        <w:rPr>
          <w:rFonts w:ascii="Cambria" w:hAnsi="Cambria"/>
          <w:sz w:val="20"/>
          <w:szCs w:val="20"/>
          <w:bdr w:val="none" w:sz="0" w:space="0" w:color="auto"/>
        </w:rPr>
        <w:t>National Directorate of Migrations</w:t>
      </w:r>
      <w:r w:rsidR="00773B3C" w:rsidRPr="00A51861">
        <w:rPr>
          <w:rFonts w:ascii="Cambria" w:hAnsi="Cambria"/>
          <w:sz w:val="20"/>
          <w:szCs w:val="20"/>
          <w:bdr w:val="none" w:sz="0" w:space="0" w:color="auto"/>
        </w:rPr>
        <w:t xml:space="preserve">, </w:t>
      </w:r>
      <w:r>
        <w:rPr>
          <w:rFonts w:ascii="Cambria" w:hAnsi="Cambria"/>
          <w:sz w:val="20"/>
          <w:szCs w:val="20"/>
          <w:bdr w:val="none" w:sz="0" w:space="0" w:color="auto"/>
        </w:rPr>
        <w:t>records of departures from the country</w:t>
      </w:r>
      <w:r w:rsidR="00773B3C" w:rsidRPr="00A51861">
        <w:rPr>
          <w:rFonts w:ascii="Cambria" w:hAnsi="Cambria"/>
          <w:sz w:val="20"/>
          <w:szCs w:val="20"/>
          <w:bdr w:val="none" w:sz="0" w:space="0" w:color="auto"/>
        </w:rPr>
        <w:t xml:space="preserve">, </w:t>
      </w:r>
      <w:r>
        <w:rPr>
          <w:rFonts w:ascii="Cambria" w:hAnsi="Cambria"/>
          <w:sz w:val="20"/>
          <w:szCs w:val="20"/>
          <w:bdr w:val="none" w:sz="0" w:space="0" w:color="auto"/>
        </w:rPr>
        <w:t>reports</w:t>
      </w:r>
      <w:r w:rsidR="004969F4">
        <w:rPr>
          <w:rFonts w:ascii="Cambria" w:hAnsi="Cambria"/>
          <w:sz w:val="20"/>
          <w:szCs w:val="20"/>
          <w:bdr w:val="none" w:sz="0" w:space="0" w:color="auto"/>
        </w:rPr>
        <w:t xml:space="preserve"> of </w:t>
      </w:r>
      <w:r w:rsidR="008E2F10">
        <w:rPr>
          <w:rFonts w:ascii="Cambria" w:hAnsi="Cambria"/>
          <w:sz w:val="20"/>
          <w:szCs w:val="20"/>
          <w:bdr w:val="none" w:sz="0" w:space="0" w:color="auto"/>
        </w:rPr>
        <w:t xml:space="preserve">the HCUNR </w:t>
      </w:r>
      <w:r>
        <w:rPr>
          <w:rFonts w:ascii="Cambria" w:eastAsia="Calibri" w:hAnsi="Cambria"/>
          <w:sz w:val="20"/>
          <w:szCs w:val="20"/>
          <w:bdr w:val="none" w:sz="0" w:space="0" w:color="auto"/>
        </w:rPr>
        <w:t>on the</w:t>
      </w:r>
      <w:r w:rsidR="00773B3C" w:rsidRPr="00A51861">
        <w:rPr>
          <w:rFonts w:ascii="Cambria" w:hAnsi="Cambria"/>
          <w:sz w:val="20"/>
          <w:szCs w:val="20"/>
          <w:bdr w:val="none" w:sz="0" w:space="0" w:color="auto"/>
        </w:rPr>
        <w:t xml:space="preserve"> </w:t>
      </w:r>
      <w:r w:rsidRPr="00A51861">
        <w:rPr>
          <w:rFonts w:ascii="Cambria" w:hAnsi="Cambria"/>
          <w:sz w:val="20"/>
          <w:szCs w:val="20"/>
          <w:bdr w:val="none" w:sz="0" w:space="0" w:color="auto"/>
        </w:rPr>
        <w:t>conditions</w:t>
      </w:r>
      <w:r w:rsidR="00E92985">
        <w:rPr>
          <w:rFonts w:ascii="Cambria" w:hAnsi="Cambria"/>
          <w:sz w:val="20"/>
          <w:szCs w:val="20"/>
          <w:bdr w:val="none" w:sz="0" w:space="0" w:color="auto"/>
        </w:rPr>
        <w:t xml:space="preserve"> of </w:t>
      </w:r>
      <w:r w:rsidR="005F7F4D">
        <w:rPr>
          <w:rFonts w:ascii="Cambria" w:hAnsi="Cambria"/>
          <w:sz w:val="20"/>
          <w:szCs w:val="20"/>
          <w:bdr w:val="none" w:sz="0" w:space="0" w:color="auto"/>
        </w:rPr>
        <w:t>political refugees</w:t>
      </w:r>
      <w:r w:rsidR="00773B3C" w:rsidRPr="00A51861">
        <w:rPr>
          <w:rFonts w:ascii="Cambria" w:hAnsi="Cambria"/>
          <w:sz w:val="20"/>
          <w:szCs w:val="20"/>
          <w:bdr w:val="none" w:sz="0" w:space="0" w:color="auto"/>
        </w:rPr>
        <w:t xml:space="preserve"> </w:t>
      </w:r>
      <w:r w:rsidR="00E92985">
        <w:rPr>
          <w:rFonts w:ascii="Cambria" w:hAnsi="Cambria"/>
          <w:sz w:val="20"/>
          <w:szCs w:val="20"/>
          <w:bdr w:val="none" w:sz="0" w:space="0" w:color="auto"/>
        </w:rPr>
        <w:t>of the alleged victims</w:t>
      </w:r>
      <w:r w:rsidR="00773B3C" w:rsidRPr="00A51861">
        <w:rPr>
          <w:rFonts w:ascii="Cambria" w:hAnsi="Cambria"/>
          <w:sz w:val="20"/>
          <w:szCs w:val="20"/>
          <w:bdr w:val="none" w:sz="0" w:space="0" w:color="auto"/>
        </w:rPr>
        <w:t xml:space="preserve">, </w:t>
      </w:r>
      <w:r>
        <w:rPr>
          <w:rFonts w:ascii="Cambria" w:hAnsi="Cambria"/>
          <w:sz w:val="20"/>
          <w:szCs w:val="20"/>
          <w:bdr w:val="none" w:sz="0" w:space="0" w:color="auto"/>
        </w:rPr>
        <w:t>among others</w:t>
      </w:r>
      <w:r w:rsidR="00773B3C" w:rsidRPr="00A51861">
        <w:rPr>
          <w:rFonts w:ascii="Cambria" w:hAnsi="Cambria"/>
          <w:sz w:val="20"/>
          <w:szCs w:val="20"/>
          <w:bdr w:val="none" w:sz="0" w:space="0" w:color="auto"/>
        </w:rPr>
        <w:t xml:space="preserve">, </w:t>
      </w:r>
      <w:r>
        <w:rPr>
          <w:rFonts w:ascii="Cambria" w:hAnsi="Cambria"/>
          <w:sz w:val="20"/>
          <w:szCs w:val="20"/>
          <w:bdr w:val="none" w:sz="0" w:space="0" w:color="auto"/>
        </w:rPr>
        <w:t>without even a resolution</w:t>
      </w:r>
      <w:r w:rsidR="00773B3C" w:rsidRPr="00A51861">
        <w:rPr>
          <w:rFonts w:ascii="Cambria" w:hAnsi="Cambria"/>
          <w:sz w:val="20"/>
          <w:szCs w:val="20"/>
          <w:bdr w:val="none" w:sz="0" w:space="0" w:color="auto"/>
        </w:rPr>
        <w:t xml:space="preserve"> </w:t>
      </w:r>
      <w:r>
        <w:rPr>
          <w:rFonts w:ascii="Cambria" w:hAnsi="Cambria"/>
          <w:sz w:val="20"/>
          <w:szCs w:val="20"/>
          <w:bdr w:val="none" w:sz="0" w:space="0" w:color="auto"/>
        </w:rPr>
        <w:t>on the denial to conduct them</w:t>
      </w:r>
      <w:r w:rsidR="00773B3C" w:rsidRPr="00A51861">
        <w:rPr>
          <w:rFonts w:ascii="Cambria" w:hAnsi="Cambria"/>
          <w:sz w:val="20"/>
          <w:szCs w:val="20"/>
          <w:bdr w:val="none" w:sz="0" w:space="0" w:color="auto"/>
        </w:rPr>
        <w:t>,</w:t>
      </w:r>
      <w:r w:rsidR="00E92985">
        <w:rPr>
          <w:rFonts w:ascii="Cambria" w:hAnsi="Cambria"/>
          <w:sz w:val="20"/>
          <w:szCs w:val="20"/>
          <w:bdr w:val="none" w:sz="0" w:space="0" w:color="auto"/>
        </w:rPr>
        <w:t xml:space="preserve"> or </w:t>
      </w:r>
      <w:r>
        <w:rPr>
          <w:rFonts w:ascii="Cambria" w:hAnsi="Cambria"/>
          <w:sz w:val="20"/>
          <w:szCs w:val="20"/>
          <w:bdr w:val="none" w:sz="0" w:space="0" w:color="auto"/>
        </w:rPr>
        <w:t xml:space="preserve">on </w:t>
      </w:r>
      <w:r w:rsidR="009A4F91">
        <w:rPr>
          <w:rFonts w:ascii="Cambria" w:hAnsi="Cambria"/>
          <w:sz w:val="20"/>
          <w:szCs w:val="20"/>
          <w:bdr w:val="none" w:sz="0" w:space="0" w:color="auto"/>
        </w:rPr>
        <w:t xml:space="preserve">the </w:t>
      </w:r>
      <w:r w:rsidRPr="00A51861">
        <w:rPr>
          <w:rFonts w:ascii="Cambria" w:hAnsi="Cambria"/>
          <w:sz w:val="20"/>
          <w:szCs w:val="20"/>
          <w:bdr w:val="none" w:sz="0" w:space="0" w:color="auto"/>
        </w:rPr>
        <w:t>reasonable</w:t>
      </w:r>
      <w:r w:rsidR="00773B3C" w:rsidRPr="00A51861">
        <w:rPr>
          <w:rFonts w:ascii="Cambria" w:hAnsi="Cambria"/>
          <w:sz w:val="20"/>
          <w:szCs w:val="20"/>
          <w:bdr w:val="none" w:sz="0" w:space="0" w:color="auto"/>
        </w:rPr>
        <w:t xml:space="preserve"> </w:t>
      </w:r>
      <w:r w:rsidRPr="00A51861">
        <w:rPr>
          <w:rFonts w:ascii="Cambria" w:hAnsi="Cambria"/>
          <w:sz w:val="20"/>
          <w:szCs w:val="20"/>
          <w:bdr w:val="none" w:sz="0" w:space="0" w:color="auto"/>
        </w:rPr>
        <w:t xml:space="preserve">motivation </w:t>
      </w:r>
      <w:r>
        <w:rPr>
          <w:rFonts w:ascii="Cambria" w:hAnsi="Cambria"/>
          <w:sz w:val="20"/>
          <w:szCs w:val="20"/>
          <w:bdr w:val="none" w:sz="0" w:space="0" w:color="auto"/>
        </w:rPr>
        <w:t>to di</w:t>
      </w:r>
      <w:r w:rsidR="00765154">
        <w:rPr>
          <w:rFonts w:ascii="Cambria" w:hAnsi="Cambria"/>
          <w:sz w:val="20"/>
          <w:szCs w:val="20"/>
          <w:bdr w:val="none" w:sz="0" w:space="0" w:color="auto"/>
        </w:rPr>
        <w:t>s</w:t>
      </w:r>
      <w:r>
        <w:rPr>
          <w:rFonts w:ascii="Cambria" w:hAnsi="Cambria"/>
          <w:sz w:val="20"/>
          <w:szCs w:val="20"/>
          <w:bdr w:val="none" w:sz="0" w:space="0" w:color="auto"/>
        </w:rPr>
        <w:t>miss evidential requests</w:t>
      </w:r>
      <w:r w:rsidR="00773B3C" w:rsidRPr="00A51861">
        <w:rPr>
          <w:rFonts w:ascii="Cambria" w:hAnsi="Cambria"/>
          <w:sz w:val="20"/>
          <w:szCs w:val="20"/>
          <w:bdr w:val="none" w:sz="0" w:space="0" w:color="auto"/>
        </w:rPr>
        <w:t>,</w:t>
      </w:r>
      <w:r w:rsidR="005F7F4D">
        <w:rPr>
          <w:rFonts w:ascii="Cambria" w:hAnsi="Cambria"/>
          <w:sz w:val="20"/>
          <w:szCs w:val="20"/>
          <w:bdr w:val="none" w:sz="0" w:space="0" w:color="auto"/>
        </w:rPr>
        <w:t xml:space="preserve"> which </w:t>
      </w:r>
      <w:r>
        <w:rPr>
          <w:rFonts w:ascii="Cambria" w:hAnsi="Cambria"/>
          <w:sz w:val="20"/>
          <w:szCs w:val="20"/>
          <w:bdr w:val="none" w:sz="0" w:space="0" w:color="auto"/>
        </w:rPr>
        <w:t>kept the</w:t>
      </w:r>
      <w:r w:rsidR="00773B3C" w:rsidRPr="00A51861">
        <w:rPr>
          <w:rFonts w:ascii="Cambria" w:hAnsi="Cambria"/>
          <w:sz w:val="20"/>
          <w:szCs w:val="20"/>
          <w:bdr w:val="none" w:sz="0" w:space="0" w:color="auto"/>
        </w:rPr>
        <w:t xml:space="preserve"> </w:t>
      </w:r>
      <w:r w:rsidR="00B4073F">
        <w:rPr>
          <w:rFonts w:ascii="Cambria" w:hAnsi="Cambria"/>
          <w:sz w:val="20"/>
          <w:szCs w:val="20"/>
          <w:bdr w:val="none" w:sz="0" w:space="0" w:color="auto"/>
        </w:rPr>
        <w:t>victim</w:t>
      </w:r>
      <w:r w:rsidR="00773B3C" w:rsidRPr="00A51861">
        <w:rPr>
          <w:rFonts w:ascii="Cambria" w:hAnsi="Cambria"/>
          <w:sz w:val="20"/>
          <w:szCs w:val="20"/>
          <w:bdr w:val="none" w:sz="0" w:space="0" w:color="auto"/>
        </w:rPr>
        <w:t xml:space="preserve">s </w:t>
      </w:r>
      <w:r w:rsidR="00765154">
        <w:rPr>
          <w:rFonts w:ascii="Cambria" w:hAnsi="Cambria"/>
          <w:sz w:val="20"/>
          <w:szCs w:val="20"/>
          <w:bdr w:val="none" w:sz="0" w:space="0" w:color="auto"/>
        </w:rPr>
        <w:t>from accessing duly reasoned</w:t>
      </w:r>
      <w:r w:rsidR="00773B3C" w:rsidRPr="00A51861">
        <w:rPr>
          <w:rFonts w:ascii="Cambria" w:hAnsi="Cambria"/>
          <w:sz w:val="20"/>
          <w:szCs w:val="20"/>
          <w:bdr w:val="none" w:sz="0" w:space="0" w:color="auto"/>
        </w:rPr>
        <w:t xml:space="preserve"> </w:t>
      </w:r>
      <w:r w:rsidR="00E92985">
        <w:rPr>
          <w:rFonts w:ascii="Cambria" w:hAnsi="Cambria"/>
          <w:sz w:val="20"/>
          <w:szCs w:val="20"/>
          <w:bdr w:val="none" w:sz="0" w:space="0" w:color="auto"/>
        </w:rPr>
        <w:t>decisions</w:t>
      </w:r>
      <w:r w:rsidR="00773B3C" w:rsidRPr="00A51861">
        <w:rPr>
          <w:rFonts w:ascii="Cambria" w:hAnsi="Cambria"/>
          <w:sz w:val="20"/>
          <w:szCs w:val="20"/>
          <w:bdr w:val="none" w:sz="0" w:space="0" w:color="auto"/>
        </w:rPr>
        <w:t xml:space="preserve"> </w:t>
      </w:r>
      <w:r w:rsidR="00765154">
        <w:rPr>
          <w:rFonts w:ascii="Cambria" w:hAnsi="Cambria"/>
          <w:sz w:val="20"/>
          <w:szCs w:val="20"/>
          <w:bdr w:val="none" w:sz="0" w:space="0" w:color="auto"/>
        </w:rPr>
        <w:t>which considered their allegations</w:t>
      </w:r>
      <w:r w:rsidR="00E92985">
        <w:rPr>
          <w:rFonts w:ascii="Cambria" w:hAnsi="Cambria"/>
          <w:sz w:val="20"/>
          <w:szCs w:val="20"/>
          <w:bdr w:val="none" w:sz="0" w:space="0" w:color="auto"/>
        </w:rPr>
        <w:t xml:space="preserve"> and </w:t>
      </w:r>
      <w:r w:rsidR="00765154">
        <w:rPr>
          <w:rFonts w:ascii="Cambria" w:hAnsi="Cambria"/>
          <w:sz w:val="20"/>
          <w:szCs w:val="20"/>
          <w:bdr w:val="none" w:sz="0" w:space="0" w:color="auto"/>
        </w:rPr>
        <w:t>reviewed the provided</w:t>
      </w:r>
      <w:r w:rsidR="00E92985">
        <w:rPr>
          <w:rFonts w:ascii="Cambria" w:hAnsi="Cambria"/>
          <w:sz w:val="20"/>
          <w:szCs w:val="20"/>
          <w:bdr w:val="none" w:sz="0" w:space="0" w:color="auto"/>
        </w:rPr>
        <w:t xml:space="preserve"> and requested</w:t>
      </w:r>
      <w:r w:rsidR="00765154">
        <w:rPr>
          <w:rFonts w:ascii="Cambria" w:hAnsi="Cambria"/>
          <w:sz w:val="20"/>
          <w:szCs w:val="20"/>
          <w:bdr w:val="none" w:sz="0" w:space="0" w:color="auto"/>
        </w:rPr>
        <w:t xml:space="preserve"> evidence</w:t>
      </w:r>
      <w:r w:rsidR="00773B3C" w:rsidRPr="00A51861">
        <w:rPr>
          <w:rFonts w:ascii="Cambria" w:hAnsi="Cambria"/>
          <w:sz w:val="20"/>
          <w:szCs w:val="20"/>
          <w:bdr w:val="none" w:sz="0" w:space="0" w:color="auto"/>
        </w:rPr>
        <w:t>,</w:t>
      </w:r>
      <w:r w:rsidR="00E92985">
        <w:rPr>
          <w:rFonts w:ascii="Cambria" w:hAnsi="Cambria"/>
          <w:sz w:val="20"/>
          <w:szCs w:val="20"/>
          <w:bdr w:val="none" w:sz="0" w:space="0" w:color="auto"/>
        </w:rPr>
        <w:t xml:space="preserve"> or </w:t>
      </w:r>
      <w:r w:rsidR="00765154">
        <w:rPr>
          <w:rFonts w:ascii="Cambria" w:hAnsi="Cambria"/>
          <w:sz w:val="20"/>
          <w:szCs w:val="20"/>
          <w:bdr w:val="none" w:sz="0" w:space="0" w:color="auto"/>
        </w:rPr>
        <w:t>at least to define why said practices were not conducted</w:t>
      </w:r>
      <w:r w:rsidR="00773B3C" w:rsidRPr="00A51861">
        <w:rPr>
          <w:rFonts w:ascii="Cambria" w:hAnsi="Cambria"/>
          <w:sz w:val="20"/>
          <w:szCs w:val="20"/>
          <w:bdr w:val="none" w:sz="0" w:space="0" w:color="auto"/>
        </w:rPr>
        <w:t>.</w:t>
      </w:r>
    </w:p>
    <w:p w14:paraId="320BCCE6" w14:textId="77777777" w:rsidR="00773B3C" w:rsidRPr="00A51861" w:rsidRDefault="00773B3C" w:rsidP="008E4D36">
      <w:pPr>
        <w:ind w:left="720"/>
        <w:rPr>
          <w:rFonts w:ascii="Cambria" w:hAnsi="Cambria"/>
          <w:color w:val="000000"/>
          <w:sz w:val="20"/>
          <w:szCs w:val="20"/>
          <w:u w:color="000000"/>
          <w:lang w:eastAsia="es-ES"/>
        </w:rPr>
      </w:pPr>
    </w:p>
    <w:p w14:paraId="09C07497" w14:textId="6D93FA66" w:rsidR="00773B3C" w:rsidRPr="00A51861" w:rsidRDefault="00773B3C"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bdr w:val="none" w:sz="0" w:space="0" w:color="auto"/>
        </w:rPr>
      </w:pPr>
      <w:r w:rsidRPr="00A51861">
        <w:rPr>
          <w:rFonts w:ascii="Cambria" w:hAnsi="Cambria"/>
          <w:sz w:val="20"/>
          <w:szCs w:val="20"/>
          <w:bdr w:val="none" w:sz="0" w:space="0" w:color="auto"/>
        </w:rPr>
        <w:t>Final</w:t>
      </w:r>
      <w:r w:rsidR="00F92BA8">
        <w:rPr>
          <w:rFonts w:ascii="Cambria" w:hAnsi="Cambria"/>
          <w:sz w:val="20"/>
          <w:szCs w:val="20"/>
          <w:bdr w:val="none" w:sz="0" w:space="0" w:color="auto"/>
        </w:rPr>
        <w:t>ly</w:t>
      </w:r>
      <w:r w:rsidRPr="00A51861">
        <w:rPr>
          <w:rFonts w:ascii="Cambria" w:hAnsi="Cambria"/>
          <w:sz w:val="20"/>
          <w:szCs w:val="20"/>
          <w:bdr w:val="none" w:sz="0" w:space="0" w:color="auto"/>
        </w:rPr>
        <w:t xml:space="preserve">, </w:t>
      </w:r>
      <w:r w:rsidR="00765154">
        <w:rPr>
          <w:rFonts w:ascii="Cambria" w:hAnsi="Cambria"/>
          <w:sz w:val="20"/>
          <w:szCs w:val="20"/>
          <w:bdr w:val="none" w:sz="0" w:space="0" w:color="auto"/>
        </w:rPr>
        <w:t>it must be highlighted</w:t>
      </w:r>
      <w:r w:rsidRPr="00A51861">
        <w:rPr>
          <w:rFonts w:ascii="Cambria" w:hAnsi="Cambria"/>
          <w:sz w:val="20"/>
          <w:szCs w:val="20"/>
          <w:bdr w:val="none" w:sz="0" w:space="0" w:color="auto"/>
        </w:rPr>
        <w:t xml:space="preserve">, </w:t>
      </w:r>
      <w:r w:rsidR="00B74DB5">
        <w:rPr>
          <w:rFonts w:ascii="Cambria" w:hAnsi="Cambria"/>
          <w:sz w:val="20"/>
          <w:szCs w:val="20"/>
          <w:bdr w:val="none" w:sz="0" w:space="0" w:color="auto"/>
        </w:rPr>
        <w:t xml:space="preserve">in regard to </w:t>
      </w:r>
      <w:r w:rsidR="00A65E37">
        <w:rPr>
          <w:rFonts w:ascii="Cambria" w:hAnsi="Cambria"/>
          <w:sz w:val="20"/>
          <w:szCs w:val="20"/>
          <w:bdr w:val="none" w:sz="0" w:space="0" w:color="auto"/>
        </w:rPr>
        <w:t xml:space="preserve">the right </w:t>
      </w:r>
      <w:r w:rsidR="00765154">
        <w:rPr>
          <w:rFonts w:ascii="Cambria" w:hAnsi="Cambria"/>
          <w:sz w:val="20"/>
          <w:szCs w:val="20"/>
          <w:bdr w:val="none" w:sz="0" w:space="0" w:color="auto"/>
        </w:rPr>
        <w:t>to an</w:t>
      </w:r>
      <w:r w:rsidRPr="00A51861">
        <w:rPr>
          <w:rFonts w:ascii="Cambria" w:hAnsi="Cambria"/>
          <w:sz w:val="20"/>
          <w:szCs w:val="20"/>
          <w:bdr w:val="none" w:sz="0" w:space="0" w:color="auto"/>
        </w:rPr>
        <w:t xml:space="preserve"> </w:t>
      </w:r>
      <w:r w:rsidR="00765154">
        <w:rPr>
          <w:rFonts w:ascii="Cambria" w:hAnsi="Cambria"/>
          <w:sz w:val="20"/>
          <w:szCs w:val="20"/>
          <w:bdr w:val="none" w:sz="0" w:space="0" w:color="auto"/>
        </w:rPr>
        <w:t>effective</w:t>
      </w:r>
      <w:r w:rsidR="00765154" w:rsidRPr="00A51861">
        <w:rPr>
          <w:rFonts w:ascii="Cambria" w:hAnsi="Cambria"/>
          <w:sz w:val="20"/>
          <w:szCs w:val="20"/>
          <w:bdr w:val="none" w:sz="0" w:space="0" w:color="auto"/>
        </w:rPr>
        <w:t xml:space="preserve"> </w:t>
      </w:r>
      <w:r w:rsidRPr="00A51861">
        <w:rPr>
          <w:rFonts w:ascii="Cambria" w:hAnsi="Cambria"/>
          <w:sz w:val="20"/>
          <w:szCs w:val="20"/>
          <w:bdr w:val="none" w:sz="0" w:space="0" w:color="auto"/>
        </w:rPr>
        <w:t>judicial</w:t>
      </w:r>
      <w:r w:rsidR="00765154">
        <w:rPr>
          <w:rFonts w:ascii="Cambria" w:hAnsi="Cambria"/>
          <w:sz w:val="20"/>
          <w:szCs w:val="20"/>
          <w:bdr w:val="none" w:sz="0" w:space="0" w:color="auto"/>
        </w:rPr>
        <w:t xml:space="preserve"> remedy</w:t>
      </w:r>
      <w:r w:rsidRPr="00A51861">
        <w:rPr>
          <w:rFonts w:ascii="Cambria" w:hAnsi="Cambria"/>
          <w:sz w:val="20"/>
          <w:szCs w:val="20"/>
          <w:bdr w:val="none" w:sz="0" w:space="0" w:color="auto"/>
        </w:rPr>
        <w:t xml:space="preserve">, </w:t>
      </w:r>
      <w:r w:rsidR="00765154">
        <w:rPr>
          <w:rFonts w:ascii="Cambria" w:hAnsi="Cambria"/>
          <w:sz w:val="20"/>
          <w:szCs w:val="20"/>
          <w:bdr w:val="none" w:sz="0" w:space="0" w:color="auto"/>
        </w:rPr>
        <w:t>that apart from being dismissed at all instances</w:t>
      </w:r>
      <w:r w:rsidRPr="00A51861">
        <w:rPr>
          <w:rFonts w:ascii="Cambria" w:hAnsi="Cambria"/>
          <w:sz w:val="20"/>
          <w:szCs w:val="20"/>
          <w:bdr w:val="none" w:sz="0" w:space="0" w:color="auto"/>
        </w:rPr>
        <w:t xml:space="preserve">, </w:t>
      </w:r>
      <w:r w:rsidR="00765154">
        <w:rPr>
          <w:rFonts w:ascii="Cambria" w:hAnsi="Cambria"/>
          <w:sz w:val="20"/>
          <w:szCs w:val="20"/>
          <w:bdr w:val="none" w:sz="0" w:space="0" w:color="auto"/>
        </w:rPr>
        <w:t>the requests to</w:t>
      </w:r>
      <w:r w:rsidRPr="00A51861">
        <w:rPr>
          <w:rFonts w:ascii="Cambria" w:hAnsi="Cambria"/>
          <w:sz w:val="20"/>
          <w:szCs w:val="20"/>
          <w:bdr w:val="none" w:sz="0" w:space="0" w:color="auto"/>
        </w:rPr>
        <w:t xml:space="preserve"> </w:t>
      </w:r>
      <w:r w:rsidR="002B762A">
        <w:rPr>
          <w:rFonts w:ascii="Cambria" w:hAnsi="Cambria"/>
          <w:sz w:val="20"/>
          <w:szCs w:val="20"/>
          <w:bdr w:val="none" w:sz="0" w:space="0" w:color="auto"/>
        </w:rPr>
        <w:t>obtain</w:t>
      </w:r>
      <w:r w:rsidR="00B773DC">
        <w:rPr>
          <w:rFonts w:ascii="Cambria" w:hAnsi="Cambria"/>
          <w:sz w:val="20"/>
          <w:szCs w:val="20"/>
          <w:bdr w:val="none" w:sz="0" w:space="0" w:color="auto"/>
        </w:rPr>
        <w:t xml:space="preserve"> a </w:t>
      </w:r>
      <w:r w:rsidR="008F7A6D">
        <w:rPr>
          <w:rFonts w:ascii="Cambria" w:hAnsi="Cambria"/>
          <w:sz w:val="20"/>
          <w:szCs w:val="20"/>
          <w:bdr w:val="none" w:sz="0" w:space="0" w:color="auto"/>
        </w:rPr>
        <w:t>compensation</w:t>
      </w:r>
      <w:r w:rsidRPr="00A51861">
        <w:rPr>
          <w:rFonts w:ascii="Cambria" w:hAnsi="Cambria"/>
          <w:sz w:val="20"/>
          <w:szCs w:val="20"/>
          <w:bdr w:val="none" w:sz="0" w:space="0" w:color="auto"/>
        </w:rPr>
        <w:t xml:space="preserve"> </w:t>
      </w:r>
      <w:r w:rsidR="00765154">
        <w:rPr>
          <w:rFonts w:ascii="Cambria" w:hAnsi="Cambria"/>
          <w:sz w:val="20"/>
          <w:szCs w:val="20"/>
          <w:bdr w:val="none" w:sz="0" w:space="0" w:color="auto"/>
        </w:rPr>
        <w:t>under</w:t>
      </w:r>
      <w:r w:rsidR="00E92985">
        <w:rPr>
          <w:rFonts w:ascii="Cambria" w:hAnsi="Cambria"/>
          <w:sz w:val="20"/>
          <w:szCs w:val="20"/>
          <w:bdr w:val="none" w:sz="0" w:space="0" w:color="auto"/>
        </w:rPr>
        <w:t xml:space="preserve"> </w:t>
      </w:r>
      <w:r w:rsidR="002835FC" w:rsidRPr="00A51861">
        <w:rPr>
          <w:rFonts w:ascii="Cambria" w:hAnsi="Cambria"/>
          <w:sz w:val="20"/>
          <w:szCs w:val="20"/>
          <w:bdr w:val="none" w:sz="0" w:space="0" w:color="auto"/>
        </w:rPr>
        <w:t xml:space="preserve">Law </w:t>
      </w:r>
      <w:r w:rsidRPr="00A51861">
        <w:rPr>
          <w:rFonts w:ascii="Cambria" w:hAnsi="Cambria"/>
          <w:sz w:val="20"/>
          <w:szCs w:val="20"/>
          <w:bdr w:val="none" w:sz="0" w:space="0" w:color="auto"/>
        </w:rPr>
        <w:t>24.043;</w:t>
      </w:r>
      <w:r w:rsidR="00E92985">
        <w:rPr>
          <w:rFonts w:ascii="Cambria" w:hAnsi="Cambria"/>
          <w:sz w:val="20"/>
          <w:szCs w:val="20"/>
          <w:bdr w:val="none" w:sz="0" w:space="0" w:color="auto"/>
        </w:rPr>
        <w:t xml:space="preserve"> </w:t>
      </w:r>
      <w:r w:rsidR="00765154">
        <w:rPr>
          <w:rFonts w:ascii="Cambria" w:hAnsi="Cambria"/>
          <w:sz w:val="20"/>
          <w:szCs w:val="20"/>
          <w:bdr w:val="none" w:sz="0" w:space="0" w:color="auto"/>
        </w:rPr>
        <w:t>according to</w:t>
      </w:r>
      <w:r w:rsidR="002B762A">
        <w:rPr>
          <w:rFonts w:ascii="Cambria" w:hAnsi="Cambria"/>
          <w:sz w:val="20"/>
          <w:szCs w:val="20"/>
          <w:bdr w:val="none" w:sz="0" w:space="0" w:color="auto"/>
        </w:rPr>
        <w:t xml:space="preserve"> </w:t>
      </w:r>
      <w:r w:rsidR="009A4F91">
        <w:rPr>
          <w:rFonts w:ascii="Cambria" w:hAnsi="Cambria"/>
          <w:sz w:val="20"/>
          <w:szCs w:val="20"/>
          <w:bdr w:val="none" w:sz="0" w:space="0" w:color="auto"/>
        </w:rPr>
        <w:t xml:space="preserve">the </w:t>
      </w:r>
      <w:r w:rsidR="00A51861" w:rsidRPr="00A51861">
        <w:rPr>
          <w:rFonts w:ascii="Cambria" w:hAnsi="Cambria"/>
          <w:sz w:val="20"/>
          <w:szCs w:val="20"/>
          <w:bdr w:val="none" w:sz="0" w:space="0" w:color="auto"/>
        </w:rPr>
        <w:t>information</w:t>
      </w:r>
      <w:r w:rsidR="00411606" w:rsidRPr="00A51861">
        <w:rPr>
          <w:rFonts w:ascii="Cambria" w:hAnsi="Cambria"/>
          <w:sz w:val="20"/>
          <w:szCs w:val="20"/>
          <w:bdr w:val="none" w:sz="0" w:space="0" w:color="auto"/>
        </w:rPr>
        <w:t xml:space="preserve"> </w:t>
      </w:r>
      <w:r w:rsidR="00765154">
        <w:rPr>
          <w:rFonts w:ascii="Cambria" w:hAnsi="Cambria"/>
          <w:sz w:val="20"/>
          <w:szCs w:val="20"/>
          <w:bdr w:val="none" w:sz="0" w:space="0" w:color="auto"/>
        </w:rPr>
        <w:t>obtained,</w:t>
      </w:r>
      <w:r w:rsidR="00411606" w:rsidRPr="00A51861">
        <w:rPr>
          <w:rFonts w:ascii="Cambria" w:hAnsi="Cambria"/>
          <w:sz w:val="20"/>
          <w:szCs w:val="20"/>
          <w:bdr w:val="none" w:sz="0" w:space="0" w:color="auto"/>
        </w:rPr>
        <w:t xml:space="preserve"> </w:t>
      </w:r>
      <w:r w:rsidR="00765154">
        <w:rPr>
          <w:rFonts w:ascii="Cambria" w:hAnsi="Cambria"/>
          <w:sz w:val="20"/>
          <w:szCs w:val="20"/>
          <w:bdr w:val="none" w:sz="0" w:space="0" w:color="auto"/>
        </w:rPr>
        <w:t xml:space="preserve">the remedies filed in subsidy via an ordinary complaint for damages </w:t>
      </w:r>
      <w:r w:rsidR="00C97C02">
        <w:rPr>
          <w:rFonts w:ascii="Cambria" w:hAnsi="Cambria"/>
          <w:sz w:val="20"/>
          <w:szCs w:val="20"/>
          <w:bdr w:val="none" w:sz="0" w:space="0" w:color="auto"/>
        </w:rPr>
        <w:t>were</w:t>
      </w:r>
      <w:r w:rsidR="00765154">
        <w:rPr>
          <w:rFonts w:ascii="Cambria" w:hAnsi="Cambria"/>
          <w:sz w:val="20"/>
          <w:szCs w:val="20"/>
          <w:bdr w:val="none" w:sz="0" w:space="0" w:color="auto"/>
        </w:rPr>
        <w:t xml:space="preserve"> dismissed</w:t>
      </w:r>
      <w:r w:rsidR="00411606" w:rsidRPr="00A51861">
        <w:rPr>
          <w:rFonts w:ascii="Cambria" w:hAnsi="Cambria"/>
          <w:sz w:val="20"/>
          <w:szCs w:val="20"/>
          <w:bdr w:val="none" w:sz="0" w:space="0" w:color="auto"/>
        </w:rPr>
        <w:t xml:space="preserve">. </w:t>
      </w:r>
      <w:r w:rsidR="00765154">
        <w:rPr>
          <w:rFonts w:ascii="Cambria" w:hAnsi="Cambria"/>
          <w:sz w:val="20"/>
          <w:szCs w:val="20"/>
          <w:bdr w:val="none" w:sz="0" w:space="0" w:color="auto"/>
        </w:rPr>
        <w:t xml:space="preserve">Although </w:t>
      </w:r>
      <w:r w:rsidR="00E92985">
        <w:rPr>
          <w:rFonts w:ascii="Cambria" w:hAnsi="Cambria"/>
          <w:sz w:val="20"/>
          <w:szCs w:val="20"/>
          <w:bdr w:val="none" w:sz="0" w:space="0" w:color="auto"/>
        </w:rPr>
        <w:t>the Commission</w:t>
      </w:r>
      <w:r w:rsidR="002B762A">
        <w:rPr>
          <w:rFonts w:ascii="Cambria" w:hAnsi="Cambria"/>
          <w:sz w:val="20"/>
          <w:szCs w:val="20"/>
          <w:bdr w:val="none" w:sz="0" w:space="0" w:color="auto"/>
        </w:rPr>
        <w:t xml:space="preserve"> understands </w:t>
      </w:r>
      <w:r w:rsidR="00765154">
        <w:rPr>
          <w:rFonts w:ascii="Cambria" w:hAnsi="Cambria"/>
          <w:sz w:val="20"/>
          <w:szCs w:val="20"/>
          <w:bdr w:val="none" w:sz="0" w:space="0" w:color="auto"/>
        </w:rPr>
        <w:t>that there was no study on the merits of said remedies</w:t>
      </w:r>
      <w:r w:rsidR="00411606" w:rsidRPr="00A51861">
        <w:rPr>
          <w:rFonts w:ascii="Cambria" w:hAnsi="Cambria"/>
          <w:sz w:val="20"/>
          <w:szCs w:val="20"/>
          <w:bdr w:val="none" w:sz="0" w:space="0" w:color="auto"/>
        </w:rPr>
        <w:t xml:space="preserve">, </w:t>
      </w:r>
      <w:r w:rsidR="00765154">
        <w:rPr>
          <w:rFonts w:ascii="Cambria" w:hAnsi="Cambria"/>
          <w:sz w:val="20"/>
          <w:szCs w:val="20"/>
          <w:bdr w:val="none" w:sz="0" w:space="0" w:color="auto"/>
        </w:rPr>
        <w:t xml:space="preserve">by duly </w:t>
      </w:r>
      <w:r w:rsidR="00765154">
        <w:rPr>
          <w:rFonts w:ascii="Cambria" w:hAnsi="Cambria"/>
          <w:sz w:val="20"/>
          <w:szCs w:val="20"/>
          <w:bdr w:val="none" w:sz="0" w:space="0" w:color="auto"/>
        </w:rPr>
        <w:lastRenderedPageBreak/>
        <w:t>attempting the action pursuant to</w:t>
      </w:r>
      <w:r w:rsidR="00365881" w:rsidRPr="00A51861">
        <w:rPr>
          <w:rFonts w:ascii="Cambria" w:hAnsi="Cambria"/>
          <w:sz w:val="20"/>
          <w:szCs w:val="20"/>
          <w:bdr w:val="none" w:sz="0" w:space="0" w:color="auto"/>
        </w:rPr>
        <w:t xml:space="preserve"> </w:t>
      </w:r>
      <w:r w:rsidR="002835FC" w:rsidRPr="00A51861">
        <w:rPr>
          <w:rFonts w:ascii="Cambria" w:hAnsi="Cambria"/>
          <w:sz w:val="20"/>
          <w:szCs w:val="20"/>
          <w:bdr w:val="none" w:sz="0" w:space="0" w:color="auto"/>
        </w:rPr>
        <w:t xml:space="preserve">Law </w:t>
      </w:r>
      <w:r w:rsidR="00365881" w:rsidRPr="00A51861">
        <w:rPr>
          <w:rFonts w:ascii="Cambria" w:hAnsi="Cambria"/>
          <w:sz w:val="20"/>
          <w:szCs w:val="20"/>
          <w:bdr w:val="none" w:sz="0" w:space="0" w:color="auto"/>
        </w:rPr>
        <w:t xml:space="preserve">24.043, </w:t>
      </w:r>
      <w:r w:rsidR="00765154">
        <w:rPr>
          <w:rFonts w:ascii="Cambria" w:hAnsi="Cambria"/>
          <w:sz w:val="20"/>
          <w:szCs w:val="20"/>
          <w:bdr w:val="none" w:sz="0" w:space="0" w:color="auto"/>
        </w:rPr>
        <w:t>it is nowhere suggested that said path should have been attempted by</w:t>
      </w:r>
      <w:r w:rsidR="00E92985">
        <w:rPr>
          <w:rFonts w:ascii="Cambria" w:hAnsi="Cambria"/>
          <w:sz w:val="20"/>
          <w:szCs w:val="20"/>
          <w:bdr w:val="none" w:sz="0" w:space="0" w:color="auto"/>
        </w:rPr>
        <w:t xml:space="preserve"> the alleged victims</w:t>
      </w:r>
      <w:r w:rsidR="003A2A80">
        <w:rPr>
          <w:rFonts w:ascii="Cambria" w:hAnsi="Cambria"/>
          <w:sz w:val="20"/>
          <w:szCs w:val="20"/>
          <w:bdr w:val="none" w:sz="0" w:space="0" w:color="auto"/>
        </w:rPr>
        <w:t>. In fact</w:t>
      </w:r>
      <w:r w:rsidR="008204D7" w:rsidRPr="00A51861">
        <w:rPr>
          <w:rFonts w:ascii="Cambria" w:hAnsi="Cambria"/>
          <w:sz w:val="20"/>
          <w:szCs w:val="20"/>
          <w:bdr w:val="none" w:sz="0" w:space="0" w:color="auto"/>
        </w:rPr>
        <w:t xml:space="preserve">, </w:t>
      </w:r>
      <w:r w:rsidR="00765154">
        <w:rPr>
          <w:rFonts w:ascii="Cambria" w:hAnsi="Cambria"/>
          <w:sz w:val="20"/>
          <w:szCs w:val="20"/>
          <w:bdr w:val="none" w:sz="0" w:space="0" w:color="auto"/>
        </w:rPr>
        <w:t>i</w:t>
      </w:r>
      <w:r w:rsidR="008204D7" w:rsidRPr="00A51861">
        <w:rPr>
          <w:rFonts w:ascii="Cambria" w:hAnsi="Cambria"/>
          <w:sz w:val="20"/>
          <w:szCs w:val="20"/>
          <w:bdr w:val="none" w:sz="0" w:space="0" w:color="auto"/>
        </w:rPr>
        <w:t xml:space="preserve">n </w:t>
      </w:r>
      <w:r w:rsidR="00376318">
        <w:rPr>
          <w:rFonts w:ascii="Cambria" w:hAnsi="Cambria"/>
          <w:sz w:val="20"/>
          <w:szCs w:val="20"/>
          <w:bdr w:val="none" w:sz="0" w:space="0" w:color="auto"/>
        </w:rPr>
        <w:t xml:space="preserve">the decision </w:t>
      </w:r>
      <w:r w:rsidR="00E92985">
        <w:rPr>
          <w:rFonts w:ascii="Cambria" w:hAnsi="Cambria"/>
          <w:sz w:val="20"/>
          <w:szCs w:val="20"/>
          <w:bdr w:val="none" w:sz="0" w:space="0" w:color="auto"/>
        </w:rPr>
        <w:t xml:space="preserve">of the </w:t>
      </w:r>
      <w:r w:rsidR="00A9213F">
        <w:rPr>
          <w:rFonts w:ascii="Cambria" w:hAnsi="Cambria"/>
          <w:sz w:val="20"/>
          <w:szCs w:val="20"/>
          <w:bdr w:val="none" w:sz="0" w:space="0" w:color="auto"/>
        </w:rPr>
        <w:t>Supreme Court of Justice</w:t>
      </w:r>
      <w:r w:rsidR="008204D7" w:rsidRPr="00A51861">
        <w:rPr>
          <w:rFonts w:ascii="Cambria" w:hAnsi="Cambria"/>
          <w:sz w:val="20"/>
          <w:szCs w:val="20"/>
          <w:bdr w:val="none" w:sz="0" w:space="0" w:color="auto"/>
        </w:rPr>
        <w:t xml:space="preserve"> </w:t>
      </w:r>
      <w:r w:rsidR="00765154">
        <w:rPr>
          <w:rFonts w:ascii="Cambria" w:hAnsi="Cambria"/>
          <w:sz w:val="20"/>
          <w:szCs w:val="20"/>
          <w:bdr w:val="none" w:sz="0" w:space="0" w:color="auto"/>
        </w:rPr>
        <w:t>concerning the case</w:t>
      </w:r>
      <w:r w:rsidR="00E92985">
        <w:rPr>
          <w:rFonts w:ascii="Cambria" w:hAnsi="Cambria"/>
          <w:sz w:val="20"/>
          <w:szCs w:val="20"/>
          <w:bdr w:val="none" w:sz="0" w:space="0" w:color="auto"/>
        </w:rPr>
        <w:t xml:space="preserve"> of </w:t>
      </w:r>
      <w:r w:rsidR="008204D7" w:rsidRPr="00A51861">
        <w:rPr>
          <w:rFonts w:ascii="Cambria" w:hAnsi="Cambria"/>
          <w:sz w:val="20"/>
          <w:szCs w:val="20"/>
          <w:bdr w:val="none" w:sz="0" w:space="0" w:color="auto"/>
        </w:rPr>
        <w:t xml:space="preserve">Hugo Daniel Ferreira </w:t>
      </w:r>
      <w:r w:rsidR="00765154">
        <w:rPr>
          <w:rFonts w:ascii="Cambria" w:hAnsi="Cambria"/>
          <w:sz w:val="20"/>
          <w:szCs w:val="20"/>
          <w:bdr w:val="none" w:sz="0" w:space="0" w:color="auto"/>
        </w:rPr>
        <w:t>it was held that</w:t>
      </w:r>
      <w:r w:rsidR="008204D7" w:rsidRPr="00A51861">
        <w:rPr>
          <w:rFonts w:ascii="Cambria" w:hAnsi="Cambria"/>
          <w:sz w:val="20"/>
          <w:szCs w:val="20"/>
          <w:bdr w:val="none" w:sz="0" w:space="0" w:color="auto"/>
        </w:rPr>
        <w:t xml:space="preserve"> “</w:t>
      </w:r>
      <w:r w:rsidR="00765154">
        <w:rPr>
          <w:rFonts w:ascii="Cambria" w:hAnsi="Cambria"/>
          <w:sz w:val="20"/>
          <w:szCs w:val="20"/>
          <w:bdr w:val="none" w:sz="0" w:space="0" w:color="auto"/>
        </w:rPr>
        <w:t>the intended</w:t>
      </w:r>
      <w:r w:rsidR="008204D7" w:rsidRPr="00A51861">
        <w:rPr>
          <w:rFonts w:ascii="Cambria" w:hAnsi="Cambria"/>
          <w:sz w:val="20"/>
          <w:szCs w:val="20"/>
          <w:bdr w:val="none" w:sz="0" w:space="0" w:color="auto"/>
        </w:rPr>
        <w:t xml:space="preserve"> </w:t>
      </w:r>
      <w:r w:rsidR="008F7A6D">
        <w:rPr>
          <w:rFonts w:ascii="Cambria" w:hAnsi="Cambria"/>
          <w:sz w:val="20"/>
          <w:szCs w:val="20"/>
          <w:bdr w:val="none" w:sz="0" w:space="0" w:color="auto"/>
        </w:rPr>
        <w:t>compensation</w:t>
      </w:r>
      <w:r w:rsidR="008204D7" w:rsidRPr="00A51861">
        <w:rPr>
          <w:rFonts w:ascii="Cambria" w:hAnsi="Cambria"/>
          <w:sz w:val="20"/>
          <w:szCs w:val="20"/>
          <w:bdr w:val="none" w:sz="0" w:space="0" w:color="auto"/>
        </w:rPr>
        <w:t xml:space="preserve"> </w:t>
      </w:r>
      <w:r w:rsidR="00765154">
        <w:rPr>
          <w:rFonts w:ascii="Cambria" w:hAnsi="Cambria"/>
          <w:sz w:val="20"/>
          <w:szCs w:val="20"/>
          <w:bdr w:val="none" w:sz="0" w:space="0" w:color="auto"/>
        </w:rPr>
        <w:t>in the</w:t>
      </w:r>
      <w:r w:rsidR="008204D7" w:rsidRPr="00A51861">
        <w:rPr>
          <w:rFonts w:ascii="Cambria" w:hAnsi="Cambria"/>
          <w:sz w:val="20"/>
          <w:szCs w:val="20"/>
          <w:bdr w:val="none" w:sz="0" w:space="0" w:color="auto"/>
        </w:rPr>
        <w:t xml:space="preserve"> </w:t>
      </w:r>
      <w:r w:rsidR="008204D7" w:rsidRPr="00A51861">
        <w:rPr>
          <w:rFonts w:ascii="Cambria" w:hAnsi="Cambria"/>
          <w:i/>
          <w:sz w:val="20"/>
          <w:szCs w:val="20"/>
          <w:bdr w:val="none" w:sz="0" w:space="0" w:color="auto"/>
        </w:rPr>
        <w:t>sub lite</w:t>
      </w:r>
      <w:r w:rsidR="008204D7" w:rsidRPr="00A51861">
        <w:rPr>
          <w:rFonts w:ascii="Cambria" w:hAnsi="Cambria"/>
          <w:sz w:val="20"/>
          <w:szCs w:val="20"/>
          <w:bdr w:val="none" w:sz="0" w:space="0" w:color="auto"/>
        </w:rPr>
        <w:t xml:space="preserve"> </w:t>
      </w:r>
      <w:r w:rsidR="00765154">
        <w:rPr>
          <w:rFonts w:ascii="Cambria" w:hAnsi="Cambria"/>
          <w:sz w:val="20"/>
          <w:szCs w:val="20"/>
          <w:bdr w:val="none" w:sz="0" w:space="0" w:color="auto"/>
        </w:rPr>
        <w:t>could only be agreed by</w:t>
      </w:r>
      <w:r w:rsidR="008204D7" w:rsidRPr="00A51861">
        <w:rPr>
          <w:rFonts w:ascii="Cambria" w:hAnsi="Cambria"/>
          <w:sz w:val="20"/>
          <w:szCs w:val="20"/>
          <w:bdr w:val="none" w:sz="0" w:space="0" w:color="auto"/>
        </w:rPr>
        <w:t xml:space="preserve"> </w:t>
      </w:r>
      <w:r w:rsidR="00765154">
        <w:rPr>
          <w:rFonts w:ascii="Cambria" w:hAnsi="Cambria"/>
          <w:sz w:val="20"/>
          <w:szCs w:val="20"/>
          <w:bdr w:val="none" w:sz="0" w:space="0" w:color="auto"/>
        </w:rPr>
        <w:t xml:space="preserve">the </w:t>
      </w:r>
      <w:r w:rsidR="005E4AF8">
        <w:rPr>
          <w:rFonts w:ascii="Cambria" w:hAnsi="Cambria"/>
          <w:sz w:val="20"/>
          <w:szCs w:val="20"/>
          <w:bdr w:val="none" w:sz="0" w:space="0" w:color="auto"/>
        </w:rPr>
        <w:t xml:space="preserve">National Congress </w:t>
      </w:r>
      <w:r w:rsidR="00760B2F">
        <w:rPr>
          <w:rFonts w:ascii="Cambria" w:hAnsi="Cambria"/>
          <w:sz w:val="20"/>
          <w:szCs w:val="20"/>
          <w:bdr w:val="none" w:sz="0" w:space="0" w:color="auto"/>
        </w:rPr>
        <w:t>by sanctioning a new</w:t>
      </w:r>
      <w:r w:rsidR="008204D7" w:rsidRPr="00A51861">
        <w:rPr>
          <w:rFonts w:ascii="Cambria" w:hAnsi="Cambria"/>
          <w:sz w:val="20"/>
          <w:szCs w:val="20"/>
          <w:bdr w:val="none" w:sz="0" w:space="0" w:color="auto"/>
        </w:rPr>
        <w:t xml:space="preserve"> </w:t>
      </w:r>
      <w:r w:rsidR="00760B2F">
        <w:rPr>
          <w:rFonts w:ascii="Cambria" w:hAnsi="Cambria"/>
          <w:sz w:val="20"/>
          <w:szCs w:val="20"/>
          <w:bdr w:val="none" w:sz="0" w:space="0" w:color="auto"/>
        </w:rPr>
        <w:t xml:space="preserve">amplifier </w:t>
      </w:r>
      <w:r w:rsidR="0029564F">
        <w:rPr>
          <w:rFonts w:ascii="Cambria" w:hAnsi="Cambria"/>
          <w:sz w:val="20"/>
          <w:szCs w:val="20"/>
          <w:bdr w:val="none" w:sz="0" w:space="0" w:color="auto"/>
        </w:rPr>
        <w:t>law</w:t>
      </w:r>
      <w:r w:rsidR="008204D7" w:rsidRPr="00A51861">
        <w:rPr>
          <w:rFonts w:ascii="Cambria" w:hAnsi="Cambria"/>
          <w:sz w:val="20"/>
          <w:szCs w:val="20"/>
          <w:bdr w:val="none" w:sz="0" w:space="0" w:color="auto"/>
        </w:rPr>
        <w:t xml:space="preserve"> </w:t>
      </w:r>
      <w:r w:rsidR="00E92985">
        <w:rPr>
          <w:rFonts w:ascii="Cambria" w:hAnsi="Cambria"/>
          <w:sz w:val="20"/>
          <w:szCs w:val="20"/>
          <w:bdr w:val="none" w:sz="0" w:space="0" w:color="auto"/>
        </w:rPr>
        <w:t xml:space="preserve">of </w:t>
      </w:r>
      <w:r w:rsidR="00760B2F">
        <w:rPr>
          <w:rFonts w:ascii="Cambria" w:hAnsi="Cambria"/>
          <w:sz w:val="20"/>
          <w:szCs w:val="20"/>
          <w:bdr w:val="none" w:sz="0" w:space="0" w:color="auto"/>
        </w:rPr>
        <w:t>the requirements which make them applicable in the terms</w:t>
      </w:r>
      <w:r w:rsidR="00E92985">
        <w:rPr>
          <w:rFonts w:ascii="Cambria" w:hAnsi="Cambria"/>
          <w:sz w:val="20"/>
          <w:szCs w:val="20"/>
          <w:bdr w:val="none" w:sz="0" w:space="0" w:color="auto"/>
        </w:rPr>
        <w:t xml:space="preserve"> of </w:t>
      </w:r>
      <w:r w:rsidR="002835FC" w:rsidRPr="00A51861">
        <w:rPr>
          <w:rFonts w:ascii="Cambria" w:hAnsi="Cambria"/>
          <w:sz w:val="20"/>
          <w:szCs w:val="20"/>
          <w:bdr w:val="none" w:sz="0" w:space="0" w:color="auto"/>
        </w:rPr>
        <w:t xml:space="preserve">Law </w:t>
      </w:r>
      <w:r w:rsidR="008204D7" w:rsidRPr="00A51861">
        <w:rPr>
          <w:rFonts w:ascii="Cambria" w:hAnsi="Cambria"/>
          <w:sz w:val="20"/>
          <w:szCs w:val="20"/>
          <w:bdr w:val="none" w:sz="0" w:space="0" w:color="auto"/>
        </w:rPr>
        <w:t>24.043”</w:t>
      </w:r>
      <w:r w:rsidR="006266D6" w:rsidRPr="00A51861">
        <w:rPr>
          <w:rFonts w:ascii="Cambria" w:hAnsi="Cambria"/>
          <w:sz w:val="20"/>
          <w:szCs w:val="20"/>
          <w:bdr w:val="none" w:sz="0" w:space="0" w:color="auto"/>
        </w:rPr>
        <w:t>,</w:t>
      </w:r>
      <w:r w:rsidR="005F7F4D">
        <w:rPr>
          <w:rFonts w:ascii="Cambria" w:hAnsi="Cambria"/>
          <w:sz w:val="20"/>
          <w:szCs w:val="20"/>
          <w:bdr w:val="none" w:sz="0" w:space="0" w:color="auto"/>
        </w:rPr>
        <w:t xml:space="preserve"> which </w:t>
      </w:r>
      <w:r w:rsidR="006266D6" w:rsidRPr="00A51861">
        <w:rPr>
          <w:rFonts w:ascii="Cambria" w:hAnsi="Cambria"/>
          <w:sz w:val="20"/>
          <w:szCs w:val="20"/>
          <w:bdr w:val="none" w:sz="0" w:space="0" w:color="auto"/>
        </w:rPr>
        <w:t>precis</w:t>
      </w:r>
      <w:r w:rsidR="00760B2F">
        <w:rPr>
          <w:rFonts w:ascii="Cambria" w:hAnsi="Cambria"/>
          <w:sz w:val="20"/>
          <w:szCs w:val="20"/>
          <w:bdr w:val="none" w:sz="0" w:space="0" w:color="auto"/>
        </w:rPr>
        <w:t>e</w:t>
      </w:r>
      <w:r w:rsidR="0029564F">
        <w:rPr>
          <w:rFonts w:ascii="Cambria" w:hAnsi="Cambria"/>
          <w:sz w:val="20"/>
          <w:szCs w:val="20"/>
          <w:bdr w:val="none" w:sz="0" w:space="0" w:color="auto"/>
        </w:rPr>
        <w:t xml:space="preserve">ly </w:t>
      </w:r>
      <w:r w:rsidR="00760B2F">
        <w:rPr>
          <w:rFonts w:ascii="Cambria" w:hAnsi="Cambria"/>
          <w:sz w:val="20"/>
          <w:szCs w:val="20"/>
          <w:bdr w:val="none" w:sz="0" w:space="0" w:color="auto"/>
        </w:rPr>
        <w:t>proves the allegation by</w:t>
      </w:r>
      <w:r w:rsidR="008204D7" w:rsidRPr="00A51861">
        <w:rPr>
          <w:rFonts w:ascii="Cambria" w:hAnsi="Cambria"/>
          <w:sz w:val="20"/>
          <w:szCs w:val="20"/>
          <w:bdr w:val="none" w:sz="0" w:space="0" w:color="auto"/>
        </w:rPr>
        <w:t xml:space="preserve"> </w:t>
      </w:r>
      <w:r w:rsidR="002835FC" w:rsidRPr="00A51861">
        <w:rPr>
          <w:rFonts w:ascii="Cambria" w:hAnsi="Cambria"/>
          <w:sz w:val="20"/>
          <w:szCs w:val="20"/>
          <w:bdr w:val="none" w:sz="0" w:space="0" w:color="auto"/>
        </w:rPr>
        <w:t xml:space="preserve">the alleged victims </w:t>
      </w:r>
      <w:r w:rsidR="00760B2F">
        <w:rPr>
          <w:rFonts w:ascii="Cambria" w:hAnsi="Cambria"/>
          <w:sz w:val="20"/>
          <w:szCs w:val="20"/>
          <w:bdr w:val="none" w:sz="0" w:space="0" w:color="auto"/>
        </w:rPr>
        <w:t>which raised that they did not have a suitable</w:t>
      </w:r>
      <w:r w:rsidR="00E92985">
        <w:rPr>
          <w:rFonts w:ascii="Cambria" w:hAnsi="Cambria"/>
          <w:sz w:val="20"/>
          <w:szCs w:val="20"/>
          <w:bdr w:val="none" w:sz="0" w:space="0" w:color="auto"/>
        </w:rPr>
        <w:t xml:space="preserve"> and </w:t>
      </w:r>
      <w:r w:rsidR="00E64C43">
        <w:rPr>
          <w:rFonts w:ascii="Cambria" w:hAnsi="Cambria"/>
          <w:sz w:val="20"/>
          <w:szCs w:val="20"/>
          <w:bdr w:val="none" w:sz="0" w:space="0" w:color="auto"/>
        </w:rPr>
        <w:t>effective</w:t>
      </w:r>
      <w:r w:rsidR="008204D7" w:rsidRPr="00A51861">
        <w:rPr>
          <w:rFonts w:ascii="Cambria" w:hAnsi="Cambria"/>
          <w:sz w:val="20"/>
          <w:szCs w:val="20"/>
          <w:bdr w:val="none" w:sz="0" w:space="0" w:color="auto"/>
        </w:rPr>
        <w:t xml:space="preserve"> </w:t>
      </w:r>
      <w:r w:rsidR="00E57107">
        <w:rPr>
          <w:rFonts w:ascii="Cambria" w:hAnsi="Cambria"/>
          <w:sz w:val="20"/>
          <w:szCs w:val="20"/>
          <w:bdr w:val="none" w:sz="0" w:space="0" w:color="auto"/>
        </w:rPr>
        <w:t xml:space="preserve">remedy </w:t>
      </w:r>
      <w:r w:rsidR="00760B2F">
        <w:rPr>
          <w:rFonts w:ascii="Cambria" w:hAnsi="Cambria"/>
          <w:sz w:val="20"/>
          <w:szCs w:val="20"/>
          <w:bdr w:val="none" w:sz="0" w:space="0" w:color="auto"/>
        </w:rPr>
        <w:t>whatsoever to claim the</w:t>
      </w:r>
      <w:r w:rsidR="008204D7" w:rsidRPr="00A51861">
        <w:rPr>
          <w:rFonts w:ascii="Cambria" w:hAnsi="Cambria"/>
          <w:sz w:val="20"/>
          <w:szCs w:val="20"/>
          <w:bdr w:val="none" w:sz="0" w:space="0" w:color="auto"/>
        </w:rPr>
        <w:t xml:space="preserve"> </w:t>
      </w:r>
      <w:r w:rsidR="001A0B84">
        <w:rPr>
          <w:rFonts w:ascii="Cambria" w:hAnsi="Cambria"/>
          <w:sz w:val="20"/>
          <w:szCs w:val="20"/>
          <w:bdr w:val="none" w:sz="0" w:space="0" w:color="auto"/>
        </w:rPr>
        <w:t>reparation</w:t>
      </w:r>
      <w:r w:rsidR="008204D7" w:rsidRPr="00A51861">
        <w:rPr>
          <w:rFonts w:ascii="Cambria" w:hAnsi="Cambria"/>
          <w:sz w:val="20"/>
          <w:szCs w:val="20"/>
          <w:bdr w:val="none" w:sz="0" w:space="0" w:color="auto"/>
        </w:rPr>
        <w:t xml:space="preserve"> </w:t>
      </w:r>
      <w:r w:rsidR="00760B2F">
        <w:rPr>
          <w:rFonts w:ascii="Cambria" w:hAnsi="Cambria"/>
          <w:sz w:val="20"/>
          <w:szCs w:val="20"/>
          <w:bdr w:val="none" w:sz="0" w:space="0" w:color="auto"/>
        </w:rPr>
        <w:t xml:space="preserve">for the facts </w:t>
      </w:r>
      <w:r w:rsidR="00E92985">
        <w:rPr>
          <w:rFonts w:ascii="Cambria" w:hAnsi="Cambria"/>
          <w:sz w:val="20"/>
          <w:szCs w:val="20"/>
          <w:bdr w:val="none" w:sz="0" w:space="0" w:color="auto"/>
        </w:rPr>
        <w:t xml:space="preserve">of </w:t>
      </w:r>
      <w:r w:rsidR="00E57107">
        <w:rPr>
          <w:rFonts w:ascii="Cambria" w:hAnsi="Cambria"/>
          <w:sz w:val="20"/>
          <w:szCs w:val="20"/>
          <w:bdr w:val="none" w:sz="0" w:space="0" w:color="auto"/>
        </w:rPr>
        <w:t>which they claimed being</w:t>
      </w:r>
      <w:r w:rsidR="008204D7" w:rsidRPr="00A51861">
        <w:rPr>
          <w:rFonts w:ascii="Cambria" w:hAnsi="Cambria"/>
          <w:sz w:val="20"/>
          <w:szCs w:val="20"/>
          <w:bdr w:val="none" w:sz="0" w:space="0" w:color="auto"/>
        </w:rPr>
        <w:t xml:space="preserve"> </w:t>
      </w:r>
      <w:r w:rsidR="00B4073F">
        <w:rPr>
          <w:rFonts w:ascii="Cambria" w:hAnsi="Cambria"/>
          <w:color w:val="000000" w:themeColor="text1"/>
          <w:sz w:val="20"/>
          <w:szCs w:val="20"/>
        </w:rPr>
        <w:t>victim</w:t>
      </w:r>
      <w:r w:rsidR="008204D7" w:rsidRPr="00A51861">
        <w:rPr>
          <w:rFonts w:ascii="Cambria" w:hAnsi="Cambria"/>
          <w:color w:val="000000" w:themeColor="text1"/>
          <w:sz w:val="20"/>
          <w:szCs w:val="20"/>
        </w:rPr>
        <w:t>s</w:t>
      </w:r>
      <w:r w:rsidR="008204D7" w:rsidRPr="00A51861">
        <w:rPr>
          <w:rFonts w:ascii="Cambria" w:hAnsi="Cambria"/>
          <w:sz w:val="20"/>
          <w:szCs w:val="20"/>
          <w:bdr w:val="none" w:sz="0" w:space="0" w:color="auto"/>
        </w:rPr>
        <w:t xml:space="preserve">. </w:t>
      </w:r>
      <w:r w:rsidR="00365881" w:rsidRPr="00A51861">
        <w:rPr>
          <w:rFonts w:ascii="Cambria" w:hAnsi="Cambria"/>
          <w:sz w:val="20"/>
          <w:szCs w:val="20"/>
          <w:bdr w:val="none" w:sz="0" w:space="0" w:color="auto"/>
        </w:rPr>
        <w:t xml:space="preserve"> </w:t>
      </w:r>
      <w:r w:rsidR="00E57107">
        <w:rPr>
          <w:rFonts w:ascii="Cambria" w:hAnsi="Cambria"/>
          <w:sz w:val="20"/>
          <w:szCs w:val="20"/>
          <w:bdr w:val="none" w:sz="0" w:space="0" w:color="auto"/>
        </w:rPr>
        <w:t>On the other hand</w:t>
      </w:r>
      <w:r w:rsidR="00365881" w:rsidRPr="00A51861">
        <w:rPr>
          <w:rFonts w:ascii="Cambria" w:hAnsi="Cambria"/>
          <w:sz w:val="20"/>
          <w:szCs w:val="20"/>
          <w:bdr w:val="none" w:sz="0" w:space="0" w:color="auto"/>
        </w:rPr>
        <w:t xml:space="preserve">, </w:t>
      </w:r>
      <w:r w:rsidR="00E92985">
        <w:rPr>
          <w:rFonts w:ascii="Cambria" w:hAnsi="Cambria"/>
          <w:sz w:val="20"/>
          <w:szCs w:val="20"/>
          <w:bdr w:val="none" w:sz="0" w:space="0" w:color="auto"/>
        </w:rPr>
        <w:t>the Commission</w:t>
      </w:r>
      <w:r w:rsidR="00365881" w:rsidRPr="00A51861">
        <w:rPr>
          <w:rFonts w:ascii="Cambria" w:hAnsi="Cambria"/>
          <w:sz w:val="20"/>
          <w:szCs w:val="20"/>
          <w:bdr w:val="none" w:sz="0" w:space="0" w:color="auto"/>
        </w:rPr>
        <w:t xml:space="preserve"> ha</w:t>
      </w:r>
      <w:r w:rsidR="00E57107">
        <w:rPr>
          <w:rFonts w:ascii="Cambria" w:hAnsi="Cambria"/>
          <w:sz w:val="20"/>
          <w:szCs w:val="20"/>
          <w:bdr w:val="none" w:sz="0" w:space="0" w:color="auto"/>
        </w:rPr>
        <w:t>s</w:t>
      </w:r>
      <w:r w:rsidR="00365881" w:rsidRPr="00A51861">
        <w:rPr>
          <w:rFonts w:ascii="Cambria" w:hAnsi="Cambria"/>
          <w:sz w:val="20"/>
          <w:szCs w:val="20"/>
          <w:bdr w:val="none" w:sz="0" w:space="0" w:color="auto"/>
        </w:rPr>
        <w:t xml:space="preserve"> </w:t>
      </w:r>
      <w:r w:rsidR="00E57107">
        <w:rPr>
          <w:rFonts w:ascii="Cambria" w:hAnsi="Cambria"/>
          <w:sz w:val="20"/>
          <w:szCs w:val="20"/>
          <w:bdr w:val="none" w:sz="0" w:space="0" w:color="auto"/>
        </w:rPr>
        <w:t>equally learned in other cases</w:t>
      </w:r>
      <w:r w:rsidR="00365881" w:rsidRPr="00A51861">
        <w:rPr>
          <w:rFonts w:ascii="Cambria" w:hAnsi="Cambria"/>
          <w:sz w:val="20"/>
          <w:szCs w:val="20"/>
          <w:bdr w:val="none" w:sz="0" w:space="0" w:color="auto"/>
        </w:rPr>
        <w:t xml:space="preserve"> </w:t>
      </w:r>
      <w:r w:rsidR="00E57107">
        <w:rPr>
          <w:rFonts w:ascii="Cambria" w:hAnsi="Cambria"/>
          <w:sz w:val="20"/>
          <w:szCs w:val="20"/>
          <w:bdr w:val="none" w:sz="0" w:space="0" w:color="auto"/>
        </w:rPr>
        <w:t xml:space="preserve">of the challenges posed </w:t>
      </w:r>
      <w:r w:rsidR="00141708">
        <w:rPr>
          <w:rFonts w:ascii="Cambria" w:hAnsi="Cambria"/>
          <w:sz w:val="20"/>
          <w:szCs w:val="20"/>
          <w:bdr w:val="none" w:sz="0" w:space="0" w:color="auto"/>
        </w:rPr>
        <w:t xml:space="preserve">by the </w:t>
      </w:r>
      <w:r w:rsidR="00365881" w:rsidRPr="00A51861">
        <w:rPr>
          <w:rFonts w:ascii="Cambria" w:hAnsi="Cambria"/>
          <w:sz w:val="20"/>
          <w:szCs w:val="20"/>
          <w:bdr w:val="none" w:sz="0" w:space="0" w:color="auto"/>
        </w:rPr>
        <w:t xml:space="preserve">civil </w:t>
      </w:r>
      <w:r w:rsidR="00141708">
        <w:rPr>
          <w:rFonts w:ascii="Cambria" w:hAnsi="Cambria"/>
          <w:sz w:val="20"/>
          <w:szCs w:val="20"/>
          <w:bdr w:val="none" w:sz="0" w:space="0" w:color="auto"/>
        </w:rPr>
        <w:t>action in</w:t>
      </w:r>
      <w:r w:rsidR="009A4F91">
        <w:rPr>
          <w:rFonts w:ascii="Cambria" w:hAnsi="Cambria"/>
          <w:sz w:val="20"/>
          <w:szCs w:val="20"/>
          <w:bdr w:val="none" w:sz="0" w:space="0" w:color="auto"/>
        </w:rPr>
        <w:t xml:space="preserve"> the </w:t>
      </w:r>
      <w:r w:rsidR="001A0B84">
        <w:rPr>
          <w:rFonts w:ascii="Cambria" w:hAnsi="Cambria"/>
          <w:sz w:val="20"/>
          <w:szCs w:val="20"/>
          <w:bdr w:val="none" w:sz="0" w:space="0" w:color="auto"/>
        </w:rPr>
        <w:t>reparation</w:t>
      </w:r>
      <w:r w:rsidR="00E92985">
        <w:rPr>
          <w:rFonts w:ascii="Cambria" w:hAnsi="Cambria"/>
          <w:sz w:val="20"/>
          <w:szCs w:val="20"/>
          <w:bdr w:val="none" w:sz="0" w:space="0" w:color="auto"/>
        </w:rPr>
        <w:t xml:space="preserve"> </w:t>
      </w:r>
      <w:r w:rsidR="00E57107">
        <w:rPr>
          <w:rFonts w:ascii="Cambria" w:hAnsi="Cambria"/>
          <w:sz w:val="20"/>
          <w:szCs w:val="20"/>
          <w:bdr w:val="none" w:sz="0" w:space="0" w:color="auto"/>
        </w:rPr>
        <w:t>for</w:t>
      </w:r>
      <w:r w:rsidR="00E92985">
        <w:rPr>
          <w:rFonts w:ascii="Cambria" w:hAnsi="Cambria"/>
          <w:sz w:val="20"/>
          <w:szCs w:val="20"/>
          <w:bdr w:val="none" w:sz="0" w:space="0" w:color="auto"/>
        </w:rPr>
        <w:t xml:space="preserve"> </w:t>
      </w:r>
      <w:r w:rsidR="00E57107">
        <w:rPr>
          <w:rFonts w:ascii="Cambria" w:hAnsi="Cambria"/>
          <w:sz w:val="20"/>
          <w:szCs w:val="20"/>
          <w:bdr w:val="none" w:sz="0" w:space="0" w:color="auto"/>
        </w:rPr>
        <w:t>h</w:t>
      </w:r>
      <w:r w:rsidR="00664D70">
        <w:rPr>
          <w:rFonts w:ascii="Cambria" w:hAnsi="Cambria"/>
          <w:sz w:val="20"/>
          <w:szCs w:val="20"/>
          <w:bdr w:val="none" w:sz="0" w:space="0" w:color="auto"/>
        </w:rPr>
        <w:t>uman rights</w:t>
      </w:r>
      <w:r w:rsidR="00E57107" w:rsidRPr="00E57107">
        <w:rPr>
          <w:rFonts w:ascii="Cambria" w:hAnsi="Cambria"/>
          <w:sz w:val="20"/>
          <w:szCs w:val="20"/>
          <w:bdr w:val="none" w:sz="0" w:space="0" w:color="auto"/>
        </w:rPr>
        <w:t xml:space="preserve"> </w:t>
      </w:r>
      <w:r w:rsidR="00E57107">
        <w:rPr>
          <w:rFonts w:ascii="Cambria" w:hAnsi="Cambria"/>
          <w:sz w:val="20"/>
          <w:szCs w:val="20"/>
          <w:bdr w:val="none" w:sz="0" w:space="0" w:color="auto"/>
        </w:rPr>
        <w:t>violations</w:t>
      </w:r>
      <w:r w:rsidR="00365881" w:rsidRPr="00A51861">
        <w:rPr>
          <w:rFonts w:ascii="Cambria" w:hAnsi="Cambria"/>
          <w:sz w:val="20"/>
          <w:szCs w:val="20"/>
          <w:bdr w:val="none" w:sz="0" w:space="0" w:color="auto"/>
        </w:rPr>
        <w:t xml:space="preserve">, </w:t>
      </w:r>
      <w:r w:rsidR="00E57107">
        <w:rPr>
          <w:rFonts w:ascii="Cambria" w:hAnsi="Cambria"/>
          <w:sz w:val="20"/>
          <w:szCs w:val="20"/>
          <w:bdr w:val="none" w:sz="0" w:space="0" w:color="auto"/>
        </w:rPr>
        <w:t>in light of the deadlines for statutory limitations of said actions</w:t>
      </w:r>
      <w:r w:rsidR="00365881" w:rsidRPr="00A51861">
        <w:rPr>
          <w:rStyle w:val="FootnoteReference"/>
          <w:rFonts w:ascii="Cambria" w:hAnsi="Cambria"/>
          <w:sz w:val="20"/>
          <w:szCs w:val="20"/>
          <w:bdr w:val="none" w:sz="0" w:space="0" w:color="auto"/>
        </w:rPr>
        <w:footnoteReference w:id="249"/>
      </w:r>
      <w:r w:rsidR="00365881" w:rsidRPr="00A51861">
        <w:rPr>
          <w:rFonts w:ascii="Cambria" w:hAnsi="Cambria"/>
          <w:sz w:val="20"/>
          <w:szCs w:val="20"/>
          <w:bdr w:val="none" w:sz="0" w:space="0" w:color="auto"/>
        </w:rPr>
        <w:t>.</w:t>
      </w:r>
    </w:p>
    <w:p w14:paraId="374580F3" w14:textId="77777777" w:rsidR="00773B3C" w:rsidRPr="00A51861" w:rsidRDefault="00773B3C" w:rsidP="008E4D36">
      <w:pPr>
        <w:tabs>
          <w:tab w:val="left" w:pos="720"/>
          <w:tab w:val="left" w:pos="1440"/>
        </w:tabs>
        <w:jc w:val="both"/>
        <w:rPr>
          <w:rFonts w:ascii="Cambria" w:hAnsi="Cambria"/>
          <w:sz w:val="20"/>
          <w:szCs w:val="20"/>
          <w:bdr w:val="none" w:sz="0" w:space="0" w:color="auto"/>
        </w:rPr>
      </w:pPr>
    </w:p>
    <w:p w14:paraId="0070B7AF" w14:textId="23C78A87" w:rsidR="00773B3C" w:rsidRPr="00A51861" w:rsidRDefault="00E57107"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bdr w:val="none" w:sz="0" w:space="0" w:color="auto"/>
        </w:rPr>
      </w:pPr>
      <w:r>
        <w:rPr>
          <w:rFonts w:ascii="Cambria" w:eastAsia="Calibri" w:hAnsi="Cambria"/>
          <w:sz w:val="20"/>
          <w:szCs w:val="20"/>
          <w:bdr w:val="none" w:sz="0" w:space="0" w:color="auto"/>
        </w:rPr>
        <w:t>Consequently</w:t>
      </w:r>
      <w:r w:rsidR="00773B3C" w:rsidRPr="00A51861">
        <w:rPr>
          <w:rFonts w:ascii="Cambria" w:eastAsia="Calibri" w:hAnsi="Cambria"/>
          <w:sz w:val="20"/>
          <w:szCs w:val="20"/>
          <w:bdr w:val="none" w:sz="0" w:space="0" w:color="auto"/>
        </w:rPr>
        <w:t xml:space="preserve">, </w:t>
      </w:r>
      <w:r w:rsidR="00E92985">
        <w:rPr>
          <w:rFonts w:ascii="Cambria" w:eastAsia="Calibri" w:hAnsi="Cambria"/>
          <w:sz w:val="20"/>
          <w:szCs w:val="20"/>
          <w:bdr w:val="none" w:sz="0" w:space="0" w:color="auto"/>
        </w:rPr>
        <w:t>the Commission</w:t>
      </w:r>
      <w:r w:rsidR="00773B3C" w:rsidRPr="00A51861">
        <w:rPr>
          <w:rFonts w:ascii="Cambria" w:eastAsia="Calibri" w:hAnsi="Cambria"/>
          <w:sz w:val="20"/>
          <w:szCs w:val="20"/>
          <w:bdr w:val="none" w:sz="0" w:space="0" w:color="auto"/>
        </w:rPr>
        <w:t xml:space="preserve"> conclu</w:t>
      </w:r>
      <w:r>
        <w:rPr>
          <w:rFonts w:ascii="Cambria" w:eastAsia="Calibri" w:hAnsi="Cambria"/>
          <w:sz w:val="20"/>
          <w:szCs w:val="20"/>
          <w:bdr w:val="none" w:sz="0" w:space="0" w:color="auto"/>
        </w:rPr>
        <w:t>des that</w:t>
      </w:r>
      <w:r w:rsidR="00773B3C" w:rsidRPr="00A51861">
        <w:rPr>
          <w:rFonts w:ascii="Cambria" w:eastAsia="Calibri" w:hAnsi="Cambria"/>
          <w:sz w:val="20"/>
          <w:szCs w:val="20"/>
          <w:bdr w:val="none" w:sz="0" w:space="0" w:color="auto"/>
        </w:rPr>
        <w:t xml:space="preserve"> </w:t>
      </w:r>
      <w:r w:rsidR="00F92BA8">
        <w:rPr>
          <w:rFonts w:ascii="Cambria" w:eastAsia="Calibri" w:hAnsi="Cambria"/>
          <w:sz w:val="20"/>
          <w:szCs w:val="20"/>
          <w:bdr w:val="none" w:sz="0" w:space="0" w:color="auto"/>
        </w:rPr>
        <w:t>the Argentine State</w:t>
      </w:r>
      <w:r w:rsidR="00D70A85">
        <w:rPr>
          <w:rFonts w:ascii="Cambria" w:eastAsia="Calibri" w:hAnsi="Cambria"/>
          <w:sz w:val="20"/>
          <w:szCs w:val="20"/>
          <w:bdr w:val="none" w:sz="0" w:space="0" w:color="auto"/>
        </w:rPr>
        <w:t xml:space="preserve"> is </w:t>
      </w:r>
      <w:r w:rsidR="00D64B7E">
        <w:rPr>
          <w:rFonts w:ascii="Cambria" w:eastAsia="Calibri" w:hAnsi="Cambria"/>
          <w:sz w:val="20"/>
          <w:szCs w:val="20"/>
          <w:bdr w:val="none" w:sz="0" w:space="0" w:color="auto"/>
        </w:rPr>
        <w:t>responsible</w:t>
      </w:r>
      <w:r w:rsidR="00C91385">
        <w:rPr>
          <w:rFonts w:ascii="Cambria" w:eastAsia="Calibri" w:hAnsi="Cambria"/>
          <w:sz w:val="20"/>
          <w:szCs w:val="20"/>
          <w:bdr w:val="none" w:sz="0" w:space="0" w:color="auto"/>
        </w:rPr>
        <w:t xml:space="preserve"> for the violation</w:t>
      </w:r>
      <w:r w:rsidR="004969F4">
        <w:rPr>
          <w:rFonts w:ascii="Cambria" w:eastAsia="Calibri" w:hAnsi="Cambria"/>
          <w:sz w:val="20"/>
          <w:szCs w:val="20"/>
          <w:bdr w:val="none" w:sz="0" w:space="0" w:color="auto"/>
        </w:rPr>
        <w:t xml:space="preserve"> of </w:t>
      </w:r>
      <w:r w:rsidR="009A4F91">
        <w:rPr>
          <w:rFonts w:ascii="Cambria" w:eastAsia="Calibri" w:hAnsi="Cambria"/>
          <w:sz w:val="20"/>
          <w:szCs w:val="20"/>
          <w:bdr w:val="none" w:sz="0" w:space="0" w:color="auto"/>
        </w:rPr>
        <w:t xml:space="preserve">the right </w:t>
      </w:r>
      <w:r w:rsidR="00141708">
        <w:rPr>
          <w:rFonts w:ascii="Cambria" w:eastAsia="Calibri" w:hAnsi="Cambria"/>
          <w:sz w:val="20"/>
          <w:szCs w:val="20"/>
          <w:bdr w:val="none" w:sz="0" w:space="0" w:color="auto"/>
        </w:rPr>
        <w:t>to have duly reasoned decisions set forth in</w:t>
      </w:r>
      <w:r w:rsidR="004C5A00">
        <w:rPr>
          <w:rFonts w:ascii="Cambria" w:eastAsia="Calibri" w:hAnsi="Cambria"/>
          <w:sz w:val="20"/>
          <w:szCs w:val="20"/>
          <w:bdr w:val="none" w:sz="0" w:space="0" w:color="auto"/>
        </w:rPr>
        <w:t xml:space="preserve"> article </w:t>
      </w:r>
      <w:r w:rsidR="00773B3C" w:rsidRPr="00A51861">
        <w:rPr>
          <w:rFonts w:ascii="Cambria" w:eastAsia="Calibri" w:hAnsi="Cambria"/>
          <w:sz w:val="20"/>
          <w:szCs w:val="20"/>
          <w:bdr w:val="none" w:sz="0" w:space="0" w:color="auto"/>
        </w:rPr>
        <w:t>8.1</w:t>
      </w:r>
      <w:r w:rsidR="00E92985">
        <w:rPr>
          <w:rFonts w:ascii="Cambria" w:eastAsia="Calibri" w:hAnsi="Cambria"/>
          <w:sz w:val="20"/>
          <w:szCs w:val="20"/>
          <w:bdr w:val="none" w:sz="0" w:space="0" w:color="auto"/>
        </w:rPr>
        <w:t xml:space="preserve"> of the </w:t>
      </w:r>
      <w:r w:rsidR="00B920CA">
        <w:rPr>
          <w:rFonts w:ascii="Cambria" w:eastAsia="Calibri" w:hAnsi="Cambria"/>
          <w:sz w:val="20"/>
          <w:szCs w:val="20"/>
          <w:bdr w:val="none" w:sz="0" w:space="0" w:color="auto"/>
        </w:rPr>
        <w:t>American Convention</w:t>
      </w:r>
      <w:r w:rsidR="00773B3C" w:rsidRPr="00A51861">
        <w:rPr>
          <w:rFonts w:ascii="Cambria" w:eastAsia="Calibri" w:hAnsi="Cambria"/>
          <w:sz w:val="20"/>
          <w:szCs w:val="20"/>
          <w:bdr w:val="none" w:sz="0" w:space="0" w:color="auto"/>
        </w:rPr>
        <w:t xml:space="preserve">, </w:t>
      </w:r>
      <w:r w:rsidR="00141708">
        <w:rPr>
          <w:rFonts w:ascii="Cambria" w:eastAsia="Calibri" w:hAnsi="Cambria"/>
          <w:sz w:val="20"/>
          <w:szCs w:val="20"/>
          <w:bdr w:val="none" w:sz="0" w:space="0" w:color="auto"/>
        </w:rPr>
        <w:t>to</w:t>
      </w:r>
      <w:r w:rsidR="009A4F91">
        <w:rPr>
          <w:rFonts w:ascii="Cambria" w:eastAsia="Calibri" w:hAnsi="Cambria"/>
          <w:sz w:val="20"/>
          <w:szCs w:val="20"/>
          <w:bdr w:val="none" w:sz="0" w:space="0" w:color="auto"/>
        </w:rPr>
        <w:t xml:space="preserve"> </w:t>
      </w:r>
      <w:r w:rsidR="007C16F9">
        <w:rPr>
          <w:rFonts w:ascii="Cambria" w:eastAsia="Calibri" w:hAnsi="Cambria"/>
          <w:sz w:val="20"/>
          <w:szCs w:val="20"/>
          <w:bdr w:val="none" w:sz="0" w:space="0" w:color="auto"/>
        </w:rPr>
        <w:t xml:space="preserve">judicial protection </w:t>
      </w:r>
      <w:r w:rsidR="00141708">
        <w:rPr>
          <w:rFonts w:ascii="Cambria" w:eastAsia="Calibri" w:hAnsi="Cambria"/>
          <w:sz w:val="20"/>
          <w:szCs w:val="20"/>
          <w:bdr w:val="none" w:sz="0" w:space="0" w:color="auto"/>
        </w:rPr>
        <w:t>set forth in</w:t>
      </w:r>
      <w:r w:rsidR="004C5A00">
        <w:rPr>
          <w:rFonts w:ascii="Cambria" w:eastAsia="Calibri" w:hAnsi="Cambria"/>
          <w:sz w:val="20"/>
          <w:szCs w:val="20"/>
          <w:bdr w:val="none" w:sz="0" w:space="0" w:color="auto"/>
        </w:rPr>
        <w:t xml:space="preserve"> article </w:t>
      </w:r>
      <w:r w:rsidR="00773B3C" w:rsidRPr="00A51861">
        <w:rPr>
          <w:rFonts w:ascii="Cambria" w:eastAsia="Calibri" w:hAnsi="Cambria"/>
          <w:sz w:val="20"/>
          <w:szCs w:val="20"/>
          <w:bdr w:val="none" w:sz="0" w:space="0" w:color="auto"/>
        </w:rPr>
        <w:t>25.1</w:t>
      </w:r>
      <w:r w:rsidR="00E92985">
        <w:rPr>
          <w:rFonts w:ascii="Cambria" w:eastAsia="Calibri" w:hAnsi="Cambria"/>
          <w:sz w:val="20"/>
          <w:szCs w:val="20"/>
          <w:bdr w:val="none" w:sz="0" w:space="0" w:color="auto"/>
        </w:rPr>
        <w:t xml:space="preserve"> and </w:t>
      </w:r>
      <w:r w:rsidR="00141708">
        <w:rPr>
          <w:rFonts w:ascii="Cambria" w:eastAsia="Calibri" w:hAnsi="Cambria"/>
          <w:sz w:val="20"/>
          <w:szCs w:val="20"/>
          <w:bdr w:val="none" w:sz="0" w:space="0" w:color="auto"/>
        </w:rPr>
        <w:t>to</w:t>
      </w:r>
      <w:r w:rsidR="009A4F91">
        <w:rPr>
          <w:rFonts w:ascii="Cambria" w:eastAsia="Calibri" w:hAnsi="Cambria"/>
          <w:sz w:val="20"/>
          <w:szCs w:val="20"/>
          <w:bdr w:val="none" w:sz="0" w:space="0" w:color="auto"/>
        </w:rPr>
        <w:t xml:space="preserve"> </w:t>
      </w:r>
      <w:r w:rsidR="00775F21">
        <w:rPr>
          <w:rFonts w:ascii="Cambria" w:eastAsia="Calibri" w:hAnsi="Cambria"/>
          <w:sz w:val="20"/>
          <w:szCs w:val="20"/>
          <w:bdr w:val="none" w:sz="0" w:space="0" w:color="auto"/>
        </w:rPr>
        <w:t>equality</w:t>
      </w:r>
      <w:r w:rsidR="00FA2E7B">
        <w:rPr>
          <w:rFonts w:ascii="Cambria" w:eastAsia="Calibri" w:hAnsi="Cambria"/>
          <w:sz w:val="20"/>
          <w:szCs w:val="20"/>
          <w:bdr w:val="none" w:sz="0" w:space="0" w:color="auto"/>
        </w:rPr>
        <w:t xml:space="preserve"> </w:t>
      </w:r>
      <w:r w:rsidR="00141708">
        <w:rPr>
          <w:rFonts w:ascii="Cambria" w:eastAsia="Calibri" w:hAnsi="Cambria"/>
          <w:sz w:val="20"/>
          <w:szCs w:val="20"/>
          <w:bdr w:val="none" w:sz="0" w:space="0" w:color="auto"/>
        </w:rPr>
        <w:t>before the</w:t>
      </w:r>
      <w:r w:rsidR="00773B3C" w:rsidRPr="00A51861">
        <w:rPr>
          <w:rFonts w:ascii="Cambria" w:eastAsia="Calibri" w:hAnsi="Cambria"/>
          <w:sz w:val="20"/>
          <w:szCs w:val="20"/>
          <w:bdr w:val="none" w:sz="0" w:space="0" w:color="auto"/>
        </w:rPr>
        <w:t xml:space="preserve"> </w:t>
      </w:r>
      <w:r w:rsidR="002835FC" w:rsidRPr="00A51861">
        <w:rPr>
          <w:rFonts w:ascii="Cambria" w:eastAsia="Calibri" w:hAnsi="Cambria"/>
          <w:sz w:val="20"/>
          <w:szCs w:val="20"/>
          <w:bdr w:val="none" w:sz="0" w:space="0" w:color="auto"/>
        </w:rPr>
        <w:t xml:space="preserve">Law </w:t>
      </w:r>
      <w:r w:rsidR="00141708">
        <w:rPr>
          <w:rFonts w:ascii="Cambria" w:eastAsia="Calibri" w:hAnsi="Cambria"/>
          <w:sz w:val="20"/>
          <w:szCs w:val="20"/>
          <w:bdr w:val="none" w:sz="0" w:space="0" w:color="auto"/>
        </w:rPr>
        <w:t>set forth in</w:t>
      </w:r>
      <w:r w:rsidR="004C5A00">
        <w:rPr>
          <w:rFonts w:ascii="Cambria" w:eastAsia="Calibri" w:hAnsi="Cambria"/>
          <w:sz w:val="20"/>
          <w:szCs w:val="20"/>
          <w:bdr w:val="none" w:sz="0" w:space="0" w:color="auto"/>
        </w:rPr>
        <w:t xml:space="preserve"> article </w:t>
      </w:r>
      <w:r w:rsidR="00773B3C" w:rsidRPr="00A51861">
        <w:rPr>
          <w:rFonts w:ascii="Cambria" w:eastAsia="Calibri" w:hAnsi="Cambria"/>
          <w:sz w:val="20"/>
          <w:szCs w:val="20"/>
          <w:bdr w:val="none" w:sz="0" w:space="0" w:color="auto"/>
        </w:rPr>
        <w:t xml:space="preserve">24, </w:t>
      </w:r>
      <w:r w:rsidR="00B74DB5">
        <w:rPr>
          <w:rFonts w:ascii="Cambria" w:eastAsia="Calibri" w:hAnsi="Cambria"/>
          <w:sz w:val="20"/>
          <w:szCs w:val="20"/>
          <w:bdr w:val="none" w:sz="0" w:space="0" w:color="auto"/>
        </w:rPr>
        <w:t xml:space="preserve">in regard to </w:t>
      </w:r>
      <w:r w:rsidR="004C5A00">
        <w:rPr>
          <w:rFonts w:ascii="Cambria" w:eastAsia="Calibri" w:hAnsi="Cambria"/>
          <w:sz w:val="20"/>
          <w:szCs w:val="20"/>
          <w:bdr w:val="none" w:sz="0" w:space="0" w:color="auto"/>
        </w:rPr>
        <w:t xml:space="preserve">article </w:t>
      </w:r>
      <w:r w:rsidR="00773B3C" w:rsidRPr="00A51861">
        <w:rPr>
          <w:rFonts w:ascii="Cambria" w:eastAsia="Calibri" w:hAnsi="Cambria"/>
          <w:sz w:val="20"/>
          <w:szCs w:val="20"/>
          <w:bdr w:val="none" w:sz="0" w:space="0" w:color="auto"/>
        </w:rPr>
        <w:t>1.1</w:t>
      </w:r>
      <w:r w:rsidR="00E92985">
        <w:rPr>
          <w:rFonts w:ascii="Cambria" w:eastAsia="Calibri" w:hAnsi="Cambria"/>
          <w:sz w:val="20"/>
          <w:szCs w:val="20"/>
          <w:bdr w:val="none" w:sz="0" w:space="0" w:color="auto"/>
        </w:rPr>
        <w:t xml:space="preserve"> </w:t>
      </w:r>
      <w:r w:rsidR="00141708">
        <w:rPr>
          <w:rFonts w:ascii="Cambria" w:eastAsia="Calibri" w:hAnsi="Cambria"/>
          <w:sz w:val="20"/>
          <w:szCs w:val="20"/>
          <w:bdr w:val="none" w:sz="0" w:space="0" w:color="auto"/>
        </w:rPr>
        <w:t>thereof</w:t>
      </w:r>
      <w:r w:rsidR="00773B3C" w:rsidRPr="00A51861">
        <w:rPr>
          <w:rFonts w:ascii="Cambria" w:eastAsia="Calibri" w:hAnsi="Cambria"/>
          <w:sz w:val="20"/>
          <w:szCs w:val="20"/>
          <w:bdr w:val="none" w:sz="0" w:space="0" w:color="auto"/>
        </w:rPr>
        <w:t>,</w:t>
      </w:r>
      <w:r w:rsidR="00E92985">
        <w:rPr>
          <w:rFonts w:ascii="Cambria" w:eastAsia="Calibri" w:hAnsi="Cambria"/>
          <w:sz w:val="20"/>
          <w:szCs w:val="20"/>
          <w:bdr w:val="none" w:sz="0" w:space="0" w:color="auto"/>
        </w:rPr>
        <w:t xml:space="preserve"> to the detriment of </w:t>
      </w:r>
      <w:r w:rsidR="00773B3C" w:rsidRPr="00A51861">
        <w:rPr>
          <w:rFonts w:ascii="Cambria" w:eastAsia="Calibri" w:hAnsi="Cambria"/>
          <w:sz w:val="20"/>
          <w:szCs w:val="20"/>
          <w:bdr w:val="none" w:sz="0" w:space="0" w:color="auto"/>
        </w:rPr>
        <w:t xml:space="preserve">Julio César </w:t>
      </w:r>
      <w:r w:rsidR="00B01A54">
        <w:rPr>
          <w:rFonts w:ascii="Cambria" w:eastAsia="Calibri" w:hAnsi="Cambria"/>
          <w:sz w:val="20"/>
          <w:szCs w:val="20"/>
          <w:bdr w:val="none" w:sz="0" w:space="0" w:color="auto"/>
        </w:rPr>
        <w:t xml:space="preserve">Rito de los Santos </w:t>
      </w:r>
      <w:r w:rsidR="00E92985">
        <w:rPr>
          <w:rFonts w:ascii="Cambria" w:eastAsia="Calibri" w:hAnsi="Cambria"/>
          <w:sz w:val="20"/>
          <w:szCs w:val="20"/>
          <w:bdr w:val="none" w:sz="0" w:space="0" w:color="auto"/>
        </w:rPr>
        <w:t xml:space="preserve">and </w:t>
      </w:r>
      <w:r w:rsidR="00773B3C" w:rsidRPr="00A51861">
        <w:rPr>
          <w:rFonts w:ascii="Cambria" w:eastAsia="Calibri" w:hAnsi="Cambria"/>
          <w:sz w:val="20"/>
          <w:szCs w:val="20"/>
          <w:bdr w:val="none" w:sz="0" w:space="0" w:color="auto"/>
        </w:rPr>
        <w:t>Hugo Daniel Ferreira.</w:t>
      </w:r>
    </w:p>
    <w:p w14:paraId="7F435A09" w14:textId="77777777" w:rsidR="00773B3C" w:rsidRPr="00A51861" w:rsidRDefault="00773B3C" w:rsidP="008E4D36">
      <w:pPr>
        <w:ind w:left="720"/>
        <w:rPr>
          <w:rFonts w:ascii="Cambria" w:hAnsi="Cambria"/>
          <w:color w:val="000000"/>
          <w:sz w:val="20"/>
          <w:szCs w:val="20"/>
          <w:u w:color="000000"/>
          <w:lang w:eastAsia="es-ES"/>
        </w:rPr>
      </w:pPr>
    </w:p>
    <w:p w14:paraId="55E20494" w14:textId="0A6142E9" w:rsidR="000221BF" w:rsidRPr="00A51861" w:rsidRDefault="00141708"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bdr w:val="none" w:sz="0" w:space="0" w:color="auto"/>
        </w:rPr>
      </w:pPr>
      <w:r>
        <w:rPr>
          <w:rFonts w:ascii="Cambria" w:hAnsi="Cambria"/>
          <w:sz w:val="20"/>
          <w:szCs w:val="20"/>
          <w:bdr w:val="none" w:sz="0" w:space="0" w:color="auto"/>
        </w:rPr>
        <w:t>In regard to</w:t>
      </w:r>
      <w:r w:rsidR="00773B3C" w:rsidRPr="00A51861">
        <w:rPr>
          <w:rFonts w:ascii="Cambria" w:hAnsi="Cambria"/>
          <w:sz w:val="20"/>
          <w:szCs w:val="20"/>
          <w:bdr w:val="none" w:sz="0" w:space="0" w:color="auto"/>
        </w:rPr>
        <w:t xml:space="preserve"> </w:t>
      </w:r>
      <w:r w:rsidR="002D7CF5">
        <w:rPr>
          <w:rFonts w:ascii="Cambria" w:hAnsi="Cambria"/>
          <w:sz w:val="20"/>
          <w:szCs w:val="20"/>
          <w:bdr w:val="none" w:sz="0" w:space="0" w:color="auto"/>
        </w:rPr>
        <w:t xml:space="preserve">Mr. </w:t>
      </w:r>
      <w:r w:rsidR="00773B3C" w:rsidRPr="00A51861">
        <w:rPr>
          <w:rFonts w:ascii="Cambria" w:hAnsi="Cambria"/>
          <w:sz w:val="20"/>
          <w:szCs w:val="20"/>
          <w:bdr w:val="none" w:sz="0" w:space="0" w:color="auto"/>
        </w:rPr>
        <w:t xml:space="preserve">Nicasio Washington Romero Ubal, </w:t>
      </w:r>
      <w:r w:rsidR="00A51861" w:rsidRPr="00A51861">
        <w:rPr>
          <w:rFonts w:ascii="Cambria" w:hAnsi="Cambria"/>
          <w:sz w:val="20"/>
          <w:szCs w:val="20"/>
          <w:bdr w:val="none" w:sz="0" w:space="0" w:color="auto"/>
        </w:rPr>
        <w:t>the IACHR</w:t>
      </w:r>
      <w:r w:rsidR="00773B3C" w:rsidRPr="00A51861">
        <w:rPr>
          <w:rFonts w:ascii="Cambria" w:hAnsi="Cambria"/>
          <w:sz w:val="20"/>
          <w:szCs w:val="20"/>
          <w:bdr w:val="none" w:sz="0" w:space="0" w:color="auto"/>
        </w:rPr>
        <w:t xml:space="preserve"> </w:t>
      </w:r>
      <w:r w:rsidR="00A51861" w:rsidRPr="00A51861">
        <w:rPr>
          <w:rFonts w:ascii="Cambria" w:hAnsi="Cambria"/>
          <w:sz w:val="20"/>
          <w:szCs w:val="20"/>
          <w:bdr w:val="none" w:sz="0" w:space="0" w:color="auto"/>
        </w:rPr>
        <w:t>observes that</w:t>
      </w:r>
      <w:r w:rsidR="00773B3C" w:rsidRPr="00A51861">
        <w:rPr>
          <w:rFonts w:ascii="Cambria" w:hAnsi="Cambria"/>
          <w:sz w:val="20"/>
          <w:szCs w:val="20"/>
          <w:bdr w:val="none" w:sz="0" w:space="0" w:color="auto"/>
        </w:rPr>
        <w:t xml:space="preserve"> </w:t>
      </w:r>
      <w:r>
        <w:rPr>
          <w:rFonts w:ascii="Cambria" w:hAnsi="Cambria"/>
          <w:sz w:val="20"/>
          <w:szCs w:val="20"/>
          <w:bdr w:val="none" w:sz="0" w:space="0" w:color="auto"/>
        </w:rPr>
        <w:t>although there is</w:t>
      </w:r>
      <w:r w:rsidR="00773B3C" w:rsidRPr="00A51861">
        <w:rPr>
          <w:rFonts w:ascii="Cambria" w:eastAsia="Calibri" w:hAnsi="Cambria"/>
          <w:sz w:val="20"/>
          <w:szCs w:val="20"/>
          <w:bdr w:val="none" w:sz="0" w:space="0" w:color="auto"/>
        </w:rPr>
        <w:t xml:space="preserve"> controvers</w:t>
      </w:r>
      <w:r>
        <w:rPr>
          <w:rFonts w:ascii="Cambria" w:eastAsia="Calibri" w:hAnsi="Cambria"/>
          <w:sz w:val="20"/>
          <w:szCs w:val="20"/>
          <w:bdr w:val="none" w:sz="0" w:space="0" w:color="auto"/>
        </w:rPr>
        <w:t>y</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as to the date of departure from the country</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what is certain</w:t>
      </w:r>
      <w:r w:rsidR="00D70A85">
        <w:rPr>
          <w:rFonts w:ascii="Cambria" w:eastAsia="Calibri" w:hAnsi="Cambria"/>
          <w:sz w:val="20"/>
          <w:szCs w:val="20"/>
          <w:bdr w:val="none" w:sz="0" w:space="0" w:color="auto"/>
        </w:rPr>
        <w:t xml:space="preserve"> is </w:t>
      </w:r>
      <w:r>
        <w:rPr>
          <w:rFonts w:ascii="Cambria" w:eastAsia="Calibri" w:hAnsi="Cambria"/>
          <w:sz w:val="20"/>
          <w:szCs w:val="20"/>
          <w:bdr w:val="none" w:sz="0" w:space="0" w:color="auto"/>
        </w:rPr>
        <w:t>that the</w:t>
      </w:r>
      <w:r w:rsidR="00773B3C" w:rsidRPr="00A51861">
        <w:rPr>
          <w:rFonts w:ascii="Cambria" w:eastAsia="Calibri" w:hAnsi="Cambria"/>
          <w:sz w:val="20"/>
          <w:szCs w:val="20"/>
          <w:bdr w:val="none" w:sz="0" w:space="0" w:color="auto"/>
        </w:rPr>
        <w:t xml:space="preserve"> </w:t>
      </w:r>
      <w:r w:rsidR="00E92985">
        <w:rPr>
          <w:rFonts w:ascii="Cambria" w:hAnsi="Cambria"/>
          <w:sz w:val="20"/>
          <w:szCs w:val="20"/>
          <w:bdr w:val="none" w:sz="0" w:space="0" w:color="auto"/>
        </w:rPr>
        <w:t>decisions</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adopted domestically</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at least in the</w:t>
      </w:r>
      <w:r w:rsidR="00773B3C" w:rsidRPr="00A51861">
        <w:rPr>
          <w:rFonts w:ascii="Cambria" w:eastAsia="Calibri" w:hAnsi="Cambria"/>
          <w:sz w:val="20"/>
          <w:szCs w:val="20"/>
          <w:bdr w:val="none" w:sz="0" w:space="0" w:color="auto"/>
        </w:rPr>
        <w:t xml:space="preserve"> judicial</w:t>
      </w:r>
      <w:r>
        <w:rPr>
          <w:rFonts w:ascii="Cambria" w:eastAsia="Calibri" w:hAnsi="Cambria"/>
          <w:sz w:val="20"/>
          <w:szCs w:val="20"/>
          <w:bdr w:val="none" w:sz="0" w:space="0" w:color="auto"/>
        </w:rPr>
        <w:t xml:space="preserve"> scope</w:t>
      </w:r>
      <w:r w:rsidR="00773B3C" w:rsidRPr="00A51861">
        <w:rPr>
          <w:rFonts w:ascii="Cambria" w:eastAsia="Calibri" w:hAnsi="Cambria"/>
          <w:sz w:val="20"/>
          <w:szCs w:val="20"/>
          <w:bdr w:val="none" w:sz="0" w:space="0" w:color="auto"/>
        </w:rPr>
        <w:t>, obe</w:t>
      </w:r>
      <w:r>
        <w:rPr>
          <w:rFonts w:ascii="Cambria" w:eastAsia="Calibri" w:hAnsi="Cambria"/>
          <w:sz w:val="20"/>
          <w:szCs w:val="20"/>
          <w:bdr w:val="none" w:sz="0" w:space="0" w:color="auto"/>
        </w:rPr>
        <w:t xml:space="preserve">y to the </w:t>
      </w:r>
      <w:r w:rsidR="00773B3C" w:rsidRPr="00A51861">
        <w:rPr>
          <w:rFonts w:ascii="Cambria" w:eastAsia="Calibri" w:hAnsi="Cambria"/>
          <w:sz w:val="20"/>
          <w:szCs w:val="20"/>
          <w:bdr w:val="none" w:sz="0" w:space="0" w:color="auto"/>
        </w:rPr>
        <w:t>argu</w:t>
      </w:r>
      <w:r>
        <w:rPr>
          <w:rFonts w:ascii="Cambria" w:eastAsia="Calibri" w:hAnsi="Cambria"/>
          <w:sz w:val="20"/>
          <w:szCs w:val="20"/>
          <w:bdr w:val="none" w:sz="0" w:space="0" w:color="auto"/>
        </w:rPr>
        <w:t>ed by the claimant</w:t>
      </w:r>
      <w:r w:rsidR="00773B3C"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which states</w:t>
      </w:r>
      <w:r w:rsidR="00A40660">
        <w:rPr>
          <w:rFonts w:ascii="Cambria" w:eastAsia="Calibri" w:hAnsi="Cambria"/>
          <w:sz w:val="20"/>
          <w:szCs w:val="20"/>
          <w:bdr w:val="none" w:sz="0" w:space="0" w:color="auto"/>
        </w:rPr>
        <w:t xml:space="preserve"> that Mr. </w:t>
      </w:r>
      <w:r w:rsidR="00773B3C" w:rsidRPr="00A51861">
        <w:rPr>
          <w:rFonts w:ascii="Cambria" w:eastAsia="Calibri" w:hAnsi="Cambria"/>
          <w:sz w:val="20"/>
          <w:szCs w:val="20"/>
          <w:bdr w:val="none" w:sz="0" w:space="0" w:color="auto"/>
        </w:rPr>
        <w:t xml:space="preserve">Romero Ubal </w:t>
      </w:r>
      <w:r>
        <w:rPr>
          <w:rFonts w:ascii="Cambria" w:eastAsia="Calibri" w:hAnsi="Cambria"/>
          <w:sz w:val="20"/>
          <w:szCs w:val="20"/>
          <w:bdr w:val="none" w:sz="0" w:space="0" w:color="auto"/>
        </w:rPr>
        <w:t>left the country on October 16,</w:t>
      </w:r>
      <w:r w:rsidR="00E92985">
        <w:rPr>
          <w:rFonts w:ascii="Cambria" w:eastAsia="Calibri" w:hAnsi="Cambria"/>
          <w:sz w:val="20"/>
          <w:szCs w:val="20"/>
          <w:bdr w:val="none" w:sz="0" w:space="0" w:color="auto"/>
        </w:rPr>
        <w:t xml:space="preserve"> </w:t>
      </w:r>
      <w:r w:rsidR="00AA07E2" w:rsidRPr="00A51861">
        <w:rPr>
          <w:rFonts w:ascii="Cambria" w:eastAsia="Calibri" w:hAnsi="Cambria"/>
          <w:sz w:val="20"/>
          <w:szCs w:val="20"/>
          <w:bdr w:val="none" w:sz="0" w:space="0" w:color="auto"/>
        </w:rPr>
        <w:t xml:space="preserve">1974. </w:t>
      </w:r>
      <w:r w:rsidR="00376318">
        <w:rPr>
          <w:rFonts w:ascii="Cambria" w:eastAsia="Calibri" w:hAnsi="Cambria"/>
          <w:sz w:val="20"/>
          <w:szCs w:val="20"/>
          <w:bdr w:val="none" w:sz="0" w:space="0" w:color="auto"/>
        </w:rPr>
        <w:t>However</w:t>
      </w:r>
      <w:r w:rsidR="00AA07E2" w:rsidRPr="00A51861">
        <w:rPr>
          <w:rFonts w:ascii="Cambria" w:eastAsia="Calibri" w:hAnsi="Cambria"/>
          <w:sz w:val="20"/>
          <w:szCs w:val="20"/>
          <w:bdr w:val="none" w:sz="0" w:space="0" w:color="auto"/>
        </w:rPr>
        <w:t xml:space="preserve">, </w:t>
      </w:r>
      <w:r w:rsidR="00E92985">
        <w:rPr>
          <w:rFonts w:ascii="Cambria" w:eastAsia="Calibri" w:hAnsi="Cambria"/>
          <w:sz w:val="20"/>
          <w:szCs w:val="20"/>
          <w:bdr w:val="none" w:sz="0" w:space="0" w:color="auto"/>
        </w:rPr>
        <w:t>the petitioner</w:t>
      </w:r>
      <w:r w:rsidR="00AA07E2"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held that his</w:t>
      </w:r>
      <w:r w:rsidR="00AA07E2" w:rsidRPr="00A51861">
        <w:rPr>
          <w:rFonts w:ascii="Cambria" w:eastAsia="Calibri" w:hAnsi="Cambria"/>
          <w:sz w:val="20"/>
          <w:szCs w:val="20"/>
          <w:bdr w:val="none" w:sz="0" w:space="0" w:color="auto"/>
        </w:rPr>
        <w:t xml:space="preserve"> </w:t>
      </w:r>
      <w:r w:rsidR="004969F4">
        <w:rPr>
          <w:rFonts w:ascii="Cambria" w:eastAsia="Calibri" w:hAnsi="Cambria"/>
          <w:sz w:val="20"/>
          <w:szCs w:val="20"/>
          <w:bdr w:val="none" w:sz="0" w:space="0" w:color="auto"/>
        </w:rPr>
        <w:t xml:space="preserve">permanence </w:t>
      </w:r>
      <w:r>
        <w:rPr>
          <w:rFonts w:ascii="Cambria" w:eastAsia="Calibri" w:hAnsi="Cambria"/>
          <w:sz w:val="20"/>
          <w:szCs w:val="20"/>
          <w:bdr w:val="none" w:sz="0" w:space="0" w:color="auto"/>
        </w:rPr>
        <w:t>out of the Argentine territory</w:t>
      </w:r>
      <w:r w:rsidR="00AA07E2" w:rsidRPr="00A51861">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extended even during the</w:t>
      </w:r>
      <w:r w:rsidR="0076580C">
        <w:rPr>
          <w:rFonts w:ascii="Cambria" w:eastAsia="Calibri" w:hAnsi="Cambria"/>
          <w:sz w:val="20"/>
          <w:szCs w:val="20"/>
          <w:bdr w:val="none" w:sz="0" w:space="0" w:color="auto"/>
        </w:rPr>
        <w:t xml:space="preserve"> </w:t>
      </w:r>
      <w:r w:rsidR="001A0B84">
        <w:rPr>
          <w:rFonts w:ascii="Cambria" w:eastAsia="Calibri" w:hAnsi="Cambria"/>
          <w:sz w:val="20"/>
          <w:szCs w:val="20"/>
          <w:bdr w:val="none" w:sz="0" w:space="0" w:color="auto"/>
        </w:rPr>
        <w:t>State of Siege</w:t>
      </w:r>
      <w:r w:rsidR="00C97C02">
        <w:rPr>
          <w:rFonts w:ascii="Cambria" w:eastAsia="Calibri" w:hAnsi="Cambria"/>
          <w:sz w:val="20"/>
          <w:szCs w:val="20"/>
          <w:bdr w:val="none" w:sz="0" w:space="0" w:color="auto"/>
        </w:rPr>
        <w:t>,</w:t>
      </w:r>
      <w:r w:rsidR="0076580C">
        <w:rPr>
          <w:rFonts w:ascii="Cambria" w:eastAsia="Calibri" w:hAnsi="Cambria"/>
          <w:sz w:val="20"/>
          <w:szCs w:val="20"/>
          <w:bdr w:val="none" w:sz="0" w:space="0" w:color="auto"/>
        </w:rPr>
        <w:t xml:space="preserve"> </w:t>
      </w:r>
      <w:r>
        <w:rPr>
          <w:rFonts w:ascii="Cambria" w:eastAsia="Calibri" w:hAnsi="Cambria"/>
          <w:sz w:val="20"/>
          <w:szCs w:val="20"/>
          <w:bdr w:val="none" w:sz="0" w:space="0" w:color="auto"/>
        </w:rPr>
        <w:t>declared less than a month later</w:t>
      </w:r>
      <w:r w:rsidR="00AA07E2" w:rsidRPr="00A51861">
        <w:rPr>
          <w:rFonts w:ascii="Cambria" w:eastAsia="Calibri" w:hAnsi="Cambria"/>
          <w:sz w:val="20"/>
          <w:szCs w:val="20"/>
          <w:bdr w:val="none" w:sz="0" w:space="0" w:color="auto"/>
        </w:rPr>
        <w:t xml:space="preserve">. </w:t>
      </w:r>
    </w:p>
    <w:p w14:paraId="5AD68A24" w14:textId="77777777" w:rsidR="000221BF" w:rsidRPr="00A51861" w:rsidRDefault="000221BF" w:rsidP="008E4D36">
      <w:pPr>
        <w:pStyle w:val="ListParagraph"/>
        <w:rPr>
          <w:rFonts w:eastAsia="Calibri"/>
          <w:sz w:val="20"/>
          <w:szCs w:val="20"/>
          <w:bdr w:val="none" w:sz="0" w:space="0" w:color="auto"/>
        </w:rPr>
      </w:pPr>
    </w:p>
    <w:p w14:paraId="737E61E3" w14:textId="6650E6C5" w:rsidR="00317212" w:rsidRPr="00A51861" w:rsidRDefault="002B762A"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bdr w:val="none" w:sz="0" w:space="0" w:color="auto"/>
        </w:rPr>
      </w:pPr>
      <w:r>
        <w:rPr>
          <w:rFonts w:ascii="Cambria" w:eastAsia="Calibri" w:hAnsi="Cambria"/>
          <w:sz w:val="20"/>
          <w:szCs w:val="20"/>
          <w:bdr w:val="none" w:sz="0" w:space="0" w:color="auto"/>
        </w:rPr>
        <w:t>In this sense</w:t>
      </w:r>
      <w:r w:rsidR="00E92985">
        <w:rPr>
          <w:rFonts w:ascii="Cambria" w:eastAsia="Calibri" w:hAnsi="Cambria"/>
          <w:sz w:val="20"/>
          <w:szCs w:val="20"/>
          <w:bdr w:val="none" w:sz="0" w:space="0" w:color="auto"/>
        </w:rPr>
        <w:t xml:space="preserve"> and </w:t>
      </w:r>
      <w:r w:rsidR="00141708">
        <w:rPr>
          <w:rFonts w:ascii="Cambria" w:eastAsia="Calibri" w:hAnsi="Cambria"/>
          <w:sz w:val="20"/>
          <w:szCs w:val="20"/>
          <w:bdr w:val="none" w:sz="0" w:space="0" w:color="auto"/>
        </w:rPr>
        <w:t>abiding by the</w:t>
      </w:r>
      <w:r w:rsidR="00AA07E2" w:rsidRPr="00A51861">
        <w:rPr>
          <w:rFonts w:ascii="Cambria" w:eastAsia="Calibri" w:hAnsi="Cambria"/>
          <w:sz w:val="20"/>
          <w:szCs w:val="20"/>
          <w:bdr w:val="none" w:sz="0" w:space="0" w:color="auto"/>
        </w:rPr>
        <w:t xml:space="preserve"> </w:t>
      </w:r>
      <w:r w:rsidR="00141708" w:rsidRPr="00A51861">
        <w:rPr>
          <w:rFonts w:ascii="Cambria" w:eastAsia="Calibri" w:hAnsi="Cambria"/>
          <w:sz w:val="20"/>
          <w:szCs w:val="20"/>
          <w:bdr w:val="none" w:sz="0" w:space="0" w:color="auto"/>
        </w:rPr>
        <w:t>standar</w:t>
      </w:r>
      <w:r w:rsidR="00141708">
        <w:rPr>
          <w:rFonts w:ascii="Cambria" w:eastAsia="Calibri" w:hAnsi="Cambria"/>
          <w:sz w:val="20"/>
          <w:szCs w:val="20"/>
          <w:bdr w:val="none" w:sz="0" w:space="0" w:color="auto"/>
        </w:rPr>
        <w:t>d</w:t>
      </w:r>
      <w:r w:rsidR="00141708" w:rsidRPr="00A51861">
        <w:rPr>
          <w:rFonts w:ascii="Cambria" w:eastAsia="Calibri" w:hAnsi="Cambria"/>
          <w:sz w:val="20"/>
          <w:szCs w:val="20"/>
          <w:bdr w:val="none" w:sz="0" w:space="0" w:color="auto"/>
        </w:rPr>
        <w:t>s</w:t>
      </w:r>
      <w:r w:rsidR="00AA07E2" w:rsidRPr="00A51861">
        <w:rPr>
          <w:rFonts w:ascii="Cambria" w:eastAsia="Calibri" w:hAnsi="Cambria"/>
          <w:sz w:val="20"/>
          <w:szCs w:val="20"/>
          <w:bdr w:val="none" w:sz="0" w:space="0" w:color="auto"/>
        </w:rPr>
        <w:t xml:space="preserve"> </w:t>
      </w:r>
      <w:r w:rsidR="00F20A37">
        <w:rPr>
          <w:rFonts w:ascii="Cambria" w:eastAsia="Calibri" w:hAnsi="Cambria"/>
          <w:sz w:val="20"/>
          <w:szCs w:val="20"/>
          <w:bdr w:val="none" w:sz="0" w:space="0" w:color="auto"/>
        </w:rPr>
        <w:t>previously cited</w:t>
      </w:r>
      <w:r w:rsidR="00141708">
        <w:rPr>
          <w:rFonts w:ascii="Cambria" w:eastAsia="Calibri" w:hAnsi="Cambria"/>
          <w:sz w:val="20"/>
          <w:szCs w:val="20"/>
          <w:bdr w:val="none" w:sz="0" w:space="0" w:color="auto"/>
        </w:rPr>
        <w:t xml:space="preserve"> on this section</w:t>
      </w:r>
      <w:r w:rsidR="00AA07E2" w:rsidRPr="00A51861">
        <w:rPr>
          <w:rFonts w:ascii="Cambria" w:eastAsia="Calibri" w:hAnsi="Cambria"/>
          <w:sz w:val="20"/>
          <w:szCs w:val="20"/>
          <w:bdr w:val="none" w:sz="0" w:space="0" w:color="auto"/>
        </w:rPr>
        <w:t xml:space="preserve">, </w:t>
      </w:r>
      <w:r w:rsidR="00E92985">
        <w:rPr>
          <w:rFonts w:ascii="Cambria" w:eastAsia="Calibri" w:hAnsi="Cambria"/>
          <w:sz w:val="20"/>
          <w:szCs w:val="20"/>
          <w:bdr w:val="none" w:sz="0" w:space="0" w:color="auto"/>
        </w:rPr>
        <w:t>the Commission</w:t>
      </w:r>
      <w:r w:rsidR="00AA07E2" w:rsidRPr="00A51861">
        <w:rPr>
          <w:rFonts w:ascii="Cambria" w:eastAsia="Calibri" w:hAnsi="Cambria"/>
          <w:sz w:val="20"/>
          <w:szCs w:val="20"/>
          <w:bdr w:val="none" w:sz="0" w:space="0" w:color="auto"/>
        </w:rPr>
        <w:t xml:space="preserve"> </w:t>
      </w:r>
      <w:r w:rsidR="00141708">
        <w:rPr>
          <w:rFonts w:ascii="Cambria" w:eastAsia="Calibri" w:hAnsi="Cambria"/>
          <w:sz w:val="20"/>
          <w:szCs w:val="20"/>
          <w:bdr w:val="none" w:sz="0" w:space="0" w:color="auto"/>
        </w:rPr>
        <w:t>cannot but conclude that the Court did not justify why</w:t>
      </w:r>
      <w:r w:rsidR="0006150F" w:rsidRPr="00A51861">
        <w:rPr>
          <w:rFonts w:ascii="Cambria" w:eastAsia="Calibri" w:hAnsi="Cambria"/>
          <w:sz w:val="20"/>
          <w:szCs w:val="20"/>
          <w:bdr w:val="none" w:sz="0" w:space="0" w:color="auto"/>
        </w:rPr>
        <w:t xml:space="preserve"> </w:t>
      </w:r>
      <w:r w:rsidR="00141708">
        <w:rPr>
          <w:rFonts w:ascii="Cambria" w:eastAsia="Calibri" w:hAnsi="Cambria"/>
          <w:sz w:val="20"/>
          <w:szCs w:val="20"/>
          <w:bdr w:val="none" w:sz="0" w:space="0" w:color="auto"/>
        </w:rPr>
        <w:t>the time which</w:t>
      </w:r>
      <w:r w:rsidR="000221BF" w:rsidRPr="00A51861">
        <w:rPr>
          <w:rFonts w:ascii="Cambria" w:eastAsia="Calibri" w:hAnsi="Cambria"/>
          <w:sz w:val="20"/>
          <w:szCs w:val="20"/>
          <w:bdr w:val="none" w:sz="0" w:space="0" w:color="auto"/>
        </w:rPr>
        <w:t xml:space="preserve"> </w:t>
      </w:r>
      <w:r w:rsidR="00A51861" w:rsidRPr="00A51861">
        <w:rPr>
          <w:rFonts w:ascii="Cambria" w:eastAsia="Calibri" w:hAnsi="Cambria"/>
          <w:sz w:val="20"/>
          <w:szCs w:val="20"/>
          <w:bdr w:val="none" w:sz="0" w:space="0" w:color="auto"/>
        </w:rPr>
        <w:t>the alleged victim</w:t>
      </w:r>
      <w:r w:rsidR="00365881" w:rsidRPr="00A51861">
        <w:rPr>
          <w:rFonts w:ascii="Cambria" w:eastAsia="Calibri" w:hAnsi="Cambria"/>
          <w:sz w:val="20"/>
          <w:szCs w:val="20"/>
          <w:bdr w:val="none" w:sz="0" w:space="0" w:color="auto"/>
        </w:rPr>
        <w:t xml:space="preserve"> </w:t>
      </w:r>
      <w:r w:rsidR="00F20A37">
        <w:rPr>
          <w:rFonts w:ascii="Cambria" w:eastAsia="Calibri" w:hAnsi="Cambria"/>
          <w:sz w:val="20"/>
          <w:szCs w:val="20"/>
          <w:bdr w:val="none" w:sz="0" w:space="0" w:color="auto"/>
        </w:rPr>
        <w:t>spent</w:t>
      </w:r>
      <w:r w:rsidR="00141708">
        <w:rPr>
          <w:rFonts w:ascii="Cambria" w:eastAsia="Calibri" w:hAnsi="Cambria"/>
          <w:sz w:val="20"/>
          <w:szCs w:val="20"/>
          <w:bdr w:val="none" w:sz="0" w:space="0" w:color="auto"/>
        </w:rPr>
        <w:t xml:space="preserve"> abroad as a result from his expulsion</w:t>
      </w:r>
      <w:r w:rsidR="000221BF" w:rsidRPr="00A51861">
        <w:rPr>
          <w:rFonts w:ascii="Cambria" w:eastAsia="Calibri" w:hAnsi="Cambria"/>
          <w:sz w:val="20"/>
          <w:szCs w:val="20"/>
          <w:bdr w:val="none" w:sz="0" w:space="0" w:color="auto"/>
        </w:rPr>
        <w:t xml:space="preserve">, </w:t>
      </w:r>
      <w:r w:rsidR="00141708">
        <w:rPr>
          <w:rFonts w:ascii="Cambria" w:eastAsia="Calibri" w:hAnsi="Cambria"/>
          <w:sz w:val="20"/>
          <w:szCs w:val="20"/>
          <w:bdr w:val="none" w:sz="0" w:space="0" w:color="auto"/>
        </w:rPr>
        <w:t>would not fit into the parameters</w:t>
      </w:r>
      <w:r w:rsidR="00E92985">
        <w:rPr>
          <w:rFonts w:ascii="Cambria" w:eastAsia="Calibri" w:hAnsi="Cambria"/>
          <w:sz w:val="20"/>
          <w:szCs w:val="20"/>
          <w:bdr w:val="none" w:sz="0" w:space="0" w:color="auto"/>
        </w:rPr>
        <w:t xml:space="preserve"> of </w:t>
      </w:r>
      <w:r w:rsidR="0059627A">
        <w:rPr>
          <w:rFonts w:ascii="Cambria" w:eastAsia="Calibri" w:hAnsi="Cambria"/>
          <w:sz w:val="20"/>
          <w:szCs w:val="20"/>
          <w:bdr w:val="none" w:sz="0" w:space="0" w:color="auto"/>
        </w:rPr>
        <w:t>application</w:t>
      </w:r>
      <w:r w:rsidR="00E92985">
        <w:rPr>
          <w:rFonts w:ascii="Cambria" w:eastAsia="Calibri" w:hAnsi="Cambria"/>
          <w:sz w:val="20"/>
          <w:szCs w:val="20"/>
          <w:bdr w:val="none" w:sz="0" w:space="0" w:color="auto"/>
        </w:rPr>
        <w:t xml:space="preserve"> of </w:t>
      </w:r>
      <w:r w:rsidR="002835FC" w:rsidRPr="00A51861">
        <w:rPr>
          <w:rFonts w:ascii="Cambria" w:eastAsia="Calibri" w:hAnsi="Cambria"/>
          <w:sz w:val="20"/>
          <w:szCs w:val="20"/>
          <w:bdr w:val="none" w:sz="0" w:space="0" w:color="auto"/>
        </w:rPr>
        <w:t xml:space="preserve">Law </w:t>
      </w:r>
      <w:r w:rsidR="000221BF" w:rsidRPr="00A51861">
        <w:rPr>
          <w:rFonts w:ascii="Cambria" w:eastAsia="Calibri" w:hAnsi="Cambria"/>
          <w:sz w:val="20"/>
          <w:szCs w:val="20"/>
          <w:bdr w:val="none" w:sz="0" w:space="0" w:color="auto"/>
        </w:rPr>
        <w:t>24.043</w:t>
      </w:r>
      <w:r w:rsidR="00365881" w:rsidRPr="00A51861">
        <w:rPr>
          <w:rFonts w:ascii="Cambria" w:eastAsia="Calibri" w:hAnsi="Cambria"/>
          <w:sz w:val="20"/>
          <w:szCs w:val="20"/>
          <w:bdr w:val="none" w:sz="0" w:space="0" w:color="auto"/>
        </w:rPr>
        <w:t xml:space="preserve">, </w:t>
      </w:r>
      <w:r w:rsidR="00141708">
        <w:rPr>
          <w:rFonts w:ascii="Cambria" w:eastAsia="Calibri" w:hAnsi="Cambria"/>
          <w:sz w:val="20"/>
          <w:szCs w:val="20"/>
          <w:bdr w:val="none" w:sz="0" w:space="0" w:color="auto"/>
        </w:rPr>
        <w:t>despite the similarity</w:t>
      </w:r>
      <w:r>
        <w:rPr>
          <w:rFonts w:ascii="Cambria" w:eastAsia="Calibri" w:hAnsi="Cambria"/>
          <w:sz w:val="20"/>
          <w:szCs w:val="20"/>
          <w:bdr w:val="none" w:sz="0" w:space="0" w:color="auto"/>
        </w:rPr>
        <w:t xml:space="preserve"> </w:t>
      </w:r>
      <w:r w:rsidR="00141708">
        <w:rPr>
          <w:rFonts w:ascii="Cambria" w:eastAsia="Calibri" w:hAnsi="Cambria"/>
          <w:sz w:val="20"/>
          <w:szCs w:val="20"/>
          <w:bdr w:val="none" w:sz="0" w:space="0" w:color="auto"/>
        </w:rPr>
        <w:t>with other matters</w:t>
      </w:r>
      <w:r w:rsidR="000221BF" w:rsidRPr="00A51861">
        <w:rPr>
          <w:rFonts w:ascii="Cambria" w:eastAsia="Calibri" w:hAnsi="Cambria"/>
          <w:sz w:val="20"/>
          <w:szCs w:val="20"/>
          <w:bdr w:val="none" w:sz="0" w:space="0" w:color="auto"/>
        </w:rPr>
        <w:t xml:space="preserve">. </w:t>
      </w:r>
    </w:p>
    <w:p w14:paraId="527E475C" w14:textId="77777777" w:rsidR="00365881" w:rsidRPr="00A51861" w:rsidRDefault="00365881" w:rsidP="008E4D3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bdr w:val="none" w:sz="0" w:space="0" w:color="auto"/>
        </w:rPr>
      </w:pPr>
    </w:p>
    <w:p w14:paraId="5184850A" w14:textId="2943B022" w:rsidR="00317212" w:rsidRPr="00A51861" w:rsidRDefault="00F92BA8"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bdr w:val="none" w:sz="0" w:space="0" w:color="auto"/>
        </w:rPr>
      </w:pPr>
      <w:r>
        <w:rPr>
          <w:rFonts w:ascii="Cambria" w:hAnsi="Cambria"/>
          <w:sz w:val="20"/>
          <w:szCs w:val="20"/>
          <w:bdr w:val="none" w:sz="0" w:space="0" w:color="auto"/>
        </w:rPr>
        <w:t xml:space="preserve">Likewise, </w:t>
      </w:r>
      <w:r w:rsidR="00F20A37">
        <w:rPr>
          <w:rFonts w:ascii="Cambria" w:hAnsi="Cambria"/>
          <w:sz w:val="20"/>
          <w:szCs w:val="20"/>
          <w:bdr w:val="none" w:sz="0" w:space="0" w:color="auto"/>
        </w:rPr>
        <w:t>i</w:t>
      </w:r>
      <w:r w:rsidR="0006150F" w:rsidRPr="00A51861">
        <w:rPr>
          <w:rFonts w:ascii="Cambria" w:hAnsi="Cambria"/>
          <w:sz w:val="20"/>
          <w:szCs w:val="20"/>
          <w:bdr w:val="none" w:sz="0" w:space="0" w:color="auto"/>
        </w:rPr>
        <w:t xml:space="preserve">n </w:t>
      </w:r>
      <w:r w:rsidR="00E64C43">
        <w:rPr>
          <w:rFonts w:ascii="Cambria" w:hAnsi="Cambria"/>
          <w:sz w:val="20"/>
          <w:szCs w:val="20"/>
          <w:bdr w:val="none" w:sz="0" w:space="0" w:color="auto"/>
        </w:rPr>
        <w:t>this case</w:t>
      </w:r>
      <w:r w:rsidR="0006150F" w:rsidRPr="00A51861">
        <w:rPr>
          <w:rFonts w:ascii="Cambria" w:hAnsi="Cambria"/>
          <w:sz w:val="20"/>
          <w:szCs w:val="20"/>
          <w:bdr w:val="none" w:sz="0" w:space="0" w:color="auto"/>
        </w:rPr>
        <w:t xml:space="preserve"> </w:t>
      </w:r>
      <w:r w:rsidR="00F20A37">
        <w:rPr>
          <w:rFonts w:ascii="Cambria" w:hAnsi="Cambria"/>
          <w:sz w:val="20"/>
          <w:szCs w:val="20"/>
          <w:bdr w:val="none" w:sz="0" w:space="0" w:color="auto"/>
        </w:rPr>
        <w:t>it must be noted that in the remedies initiated domestically by the counselors of</w:t>
      </w:r>
      <w:r w:rsidR="00773B3C" w:rsidRPr="00A51861">
        <w:rPr>
          <w:rFonts w:ascii="Cambria" w:hAnsi="Cambria"/>
          <w:sz w:val="20"/>
          <w:szCs w:val="20"/>
          <w:bdr w:val="none" w:sz="0" w:space="0" w:color="auto"/>
        </w:rPr>
        <w:t xml:space="preserve"> </w:t>
      </w:r>
      <w:r w:rsidR="00BD093F">
        <w:rPr>
          <w:rFonts w:ascii="Cambria" w:hAnsi="Cambria"/>
          <w:sz w:val="20"/>
          <w:szCs w:val="20"/>
          <w:bdr w:val="none" w:sz="0" w:space="0" w:color="auto"/>
        </w:rPr>
        <w:t xml:space="preserve">Mr. </w:t>
      </w:r>
      <w:r w:rsidR="00773B3C" w:rsidRPr="00A51861">
        <w:rPr>
          <w:rFonts w:ascii="Cambria" w:hAnsi="Cambria"/>
          <w:sz w:val="20"/>
          <w:szCs w:val="20"/>
          <w:bdr w:val="none" w:sz="0" w:space="0" w:color="auto"/>
        </w:rPr>
        <w:t xml:space="preserve">Romero, </w:t>
      </w:r>
      <w:r w:rsidR="00F20A37">
        <w:rPr>
          <w:rFonts w:ascii="Cambria" w:hAnsi="Cambria"/>
          <w:sz w:val="20"/>
          <w:szCs w:val="20"/>
          <w:bdr w:val="none" w:sz="0" w:space="0" w:color="auto"/>
        </w:rPr>
        <w:t>the ordinary remedy for damages was also attempted in subsidy</w:t>
      </w:r>
      <w:r w:rsidR="00773B3C" w:rsidRPr="00A51861">
        <w:rPr>
          <w:rFonts w:ascii="Cambria" w:hAnsi="Cambria"/>
          <w:sz w:val="20"/>
          <w:szCs w:val="20"/>
          <w:bdr w:val="none" w:sz="0" w:space="0" w:color="auto"/>
        </w:rPr>
        <w:t>,</w:t>
      </w:r>
      <w:r w:rsidR="00F20A37">
        <w:rPr>
          <w:rFonts w:ascii="Cambria" w:hAnsi="Cambria"/>
          <w:sz w:val="20"/>
          <w:szCs w:val="20"/>
          <w:bdr w:val="none" w:sz="0" w:space="0" w:color="auto"/>
        </w:rPr>
        <w:t xml:space="preserve"> concerning which no resolution has been confirmed</w:t>
      </w:r>
      <w:r w:rsidR="00773B3C" w:rsidRPr="00A51861">
        <w:rPr>
          <w:rFonts w:ascii="Cambria" w:hAnsi="Cambria"/>
          <w:sz w:val="20"/>
          <w:szCs w:val="20"/>
          <w:bdr w:val="none" w:sz="0" w:space="0" w:color="auto"/>
        </w:rPr>
        <w:t xml:space="preserve"> </w:t>
      </w:r>
      <w:r w:rsidR="00F20A37">
        <w:rPr>
          <w:rFonts w:ascii="Cambria" w:hAnsi="Cambria"/>
          <w:sz w:val="20"/>
          <w:szCs w:val="20"/>
          <w:bdr w:val="none" w:sz="0" w:space="0" w:color="auto"/>
        </w:rPr>
        <w:t>in the</w:t>
      </w:r>
      <w:r w:rsidR="00773B3C" w:rsidRPr="00A51861">
        <w:rPr>
          <w:rFonts w:ascii="Cambria" w:hAnsi="Cambria"/>
          <w:sz w:val="20"/>
          <w:szCs w:val="20"/>
          <w:bdr w:val="none" w:sz="0" w:space="0" w:color="auto"/>
        </w:rPr>
        <w:t xml:space="preserve"> </w:t>
      </w:r>
      <w:r w:rsidR="00E92985">
        <w:rPr>
          <w:rFonts w:ascii="Cambria" w:hAnsi="Cambria"/>
          <w:sz w:val="20"/>
          <w:szCs w:val="20"/>
          <w:bdr w:val="none" w:sz="0" w:space="0" w:color="auto"/>
        </w:rPr>
        <w:t xml:space="preserve">decisions of the </w:t>
      </w:r>
      <w:r w:rsidR="005D0AC1">
        <w:rPr>
          <w:rFonts w:ascii="Cambria" w:hAnsi="Cambria"/>
          <w:sz w:val="20"/>
          <w:szCs w:val="20"/>
          <w:bdr w:val="none" w:sz="0" w:space="0" w:color="auto"/>
        </w:rPr>
        <w:t xml:space="preserve">National Chamber of Appeals </w:t>
      </w:r>
      <w:r w:rsidR="00E92985">
        <w:rPr>
          <w:rFonts w:ascii="Cambria" w:hAnsi="Cambria"/>
          <w:sz w:val="20"/>
          <w:szCs w:val="20"/>
          <w:bdr w:val="none" w:sz="0" w:space="0" w:color="auto"/>
        </w:rPr>
        <w:t xml:space="preserve">and of the </w:t>
      </w:r>
      <w:r w:rsidR="00A9213F">
        <w:rPr>
          <w:rFonts w:ascii="Cambria" w:hAnsi="Cambria"/>
          <w:sz w:val="20"/>
          <w:szCs w:val="20"/>
          <w:bdr w:val="none" w:sz="0" w:space="0" w:color="auto"/>
        </w:rPr>
        <w:t>Supreme Court of Justice</w:t>
      </w:r>
      <w:r w:rsidR="00773B3C" w:rsidRPr="00A51861">
        <w:rPr>
          <w:rFonts w:ascii="Cambria" w:hAnsi="Cambria"/>
          <w:sz w:val="20"/>
          <w:szCs w:val="20"/>
          <w:bdr w:val="none" w:sz="0" w:space="0" w:color="auto"/>
        </w:rPr>
        <w:t xml:space="preserve">. </w:t>
      </w:r>
      <w:r w:rsidR="002B762A">
        <w:rPr>
          <w:rFonts w:ascii="Cambria" w:hAnsi="Cambria"/>
          <w:sz w:val="20"/>
          <w:szCs w:val="20"/>
          <w:bdr w:val="none" w:sz="0" w:space="0" w:color="auto"/>
        </w:rPr>
        <w:t>In this sense</w:t>
      </w:r>
      <w:r w:rsidR="00773B3C" w:rsidRPr="00A51861">
        <w:rPr>
          <w:rFonts w:ascii="Cambria" w:hAnsi="Cambria"/>
          <w:sz w:val="20"/>
          <w:szCs w:val="20"/>
          <w:bdr w:val="none" w:sz="0" w:space="0" w:color="auto"/>
        </w:rPr>
        <w:t xml:space="preserve">, </w:t>
      </w:r>
      <w:r w:rsidR="00E92985">
        <w:rPr>
          <w:rFonts w:ascii="Cambria" w:hAnsi="Cambria"/>
          <w:sz w:val="20"/>
          <w:szCs w:val="20"/>
          <w:bdr w:val="none" w:sz="0" w:space="0" w:color="auto"/>
        </w:rPr>
        <w:t>the Commission</w:t>
      </w:r>
      <w:r w:rsidR="00773B3C" w:rsidRPr="00A51861">
        <w:rPr>
          <w:rFonts w:ascii="Cambria" w:hAnsi="Cambria"/>
          <w:sz w:val="20"/>
          <w:szCs w:val="20"/>
          <w:bdr w:val="none" w:sz="0" w:space="0" w:color="auto"/>
        </w:rPr>
        <w:t xml:space="preserve"> </w:t>
      </w:r>
      <w:r w:rsidR="00A51861" w:rsidRPr="00A51861">
        <w:rPr>
          <w:rFonts w:ascii="Cambria" w:hAnsi="Cambria"/>
          <w:sz w:val="20"/>
          <w:szCs w:val="20"/>
          <w:bdr w:val="none" w:sz="0" w:space="0" w:color="auto"/>
        </w:rPr>
        <w:t>observes that</w:t>
      </w:r>
      <w:r w:rsidR="0080315F" w:rsidRPr="00A51861">
        <w:rPr>
          <w:rFonts w:ascii="Cambria" w:hAnsi="Cambria"/>
          <w:sz w:val="20"/>
          <w:szCs w:val="20"/>
          <w:bdr w:val="none" w:sz="0" w:space="0" w:color="auto"/>
        </w:rPr>
        <w:t xml:space="preserve"> </w:t>
      </w:r>
      <w:r w:rsidR="00F20A37">
        <w:rPr>
          <w:rFonts w:ascii="Cambria" w:hAnsi="Cambria"/>
          <w:sz w:val="20"/>
          <w:szCs w:val="20"/>
          <w:bdr w:val="none" w:sz="0" w:space="0" w:color="auto"/>
        </w:rPr>
        <w:t>as other alleged</w:t>
      </w:r>
      <w:r w:rsidR="0080315F" w:rsidRPr="00A51861">
        <w:rPr>
          <w:rFonts w:ascii="Cambria" w:hAnsi="Cambria"/>
          <w:sz w:val="20"/>
          <w:szCs w:val="20"/>
          <w:bdr w:val="none" w:sz="0" w:space="0" w:color="auto"/>
        </w:rPr>
        <w:t xml:space="preserve"> </w:t>
      </w:r>
      <w:r w:rsidR="00B4073F">
        <w:rPr>
          <w:rFonts w:ascii="Cambria" w:hAnsi="Cambria"/>
          <w:sz w:val="20"/>
          <w:szCs w:val="20"/>
          <w:bdr w:val="none" w:sz="0" w:space="0" w:color="auto"/>
        </w:rPr>
        <w:t>victim</w:t>
      </w:r>
      <w:r w:rsidR="0080315F" w:rsidRPr="00A51861">
        <w:rPr>
          <w:rFonts w:ascii="Cambria" w:hAnsi="Cambria"/>
          <w:sz w:val="20"/>
          <w:szCs w:val="20"/>
          <w:bdr w:val="none" w:sz="0" w:space="0" w:color="auto"/>
        </w:rPr>
        <w:t xml:space="preserve">s, </w:t>
      </w:r>
      <w:r w:rsidR="00F20A37">
        <w:rPr>
          <w:rFonts w:ascii="Cambria" w:hAnsi="Cambria"/>
          <w:sz w:val="20"/>
          <w:szCs w:val="20"/>
          <w:bdr w:val="none" w:sz="0" w:space="0" w:color="auto"/>
        </w:rPr>
        <w:t>it was not identified in the</w:t>
      </w:r>
      <w:r w:rsidR="0080315F" w:rsidRPr="00A51861">
        <w:rPr>
          <w:rFonts w:ascii="Cambria" w:hAnsi="Cambria"/>
          <w:sz w:val="20"/>
          <w:szCs w:val="20"/>
          <w:bdr w:val="none" w:sz="0" w:space="0" w:color="auto"/>
        </w:rPr>
        <w:t xml:space="preserve"> </w:t>
      </w:r>
      <w:r w:rsidR="00F20A37" w:rsidRPr="00A51861">
        <w:rPr>
          <w:rFonts w:ascii="Cambria" w:hAnsi="Cambria"/>
          <w:sz w:val="20"/>
          <w:szCs w:val="20"/>
          <w:bdr w:val="none" w:sz="0" w:space="0" w:color="auto"/>
        </w:rPr>
        <w:t>judicial</w:t>
      </w:r>
      <w:r w:rsidR="00F20A37">
        <w:rPr>
          <w:rFonts w:ascii="Cambria" w:hAnsi="Cambria"/>
          <w:sz w:val="20"/>
          <w:szCs w:val="20"/>
          <w:bdr w:val="none" w:sz="0" w:space="0" w:color="auto"/>
        </w:rPr>
        <w:t xml:space="preserve"> </w:t>
      </w:r>
      <w:r w:rsidR="00E92985">
        <w:rPr>
          <w:rFonts w:ascii="Cambria" w:hAnsi="Cambria"/>
          <w:sz w:val="20"/>
          <w:szCs w:val="20"/>
          <w:bdr w:val="none" w:sz="0" w:space="0" w:color="auto"/>
        </w:rPr>
        <w:t>decisions</w:t>
      </w:r>
      <w:r w:rsidR="0080315F" w:rsidRPr="00A51861">
        <w:rPr>
          <w:rFonts w:ascii="Cambria" w:hAnsi="Cambria"/>
          <w:sz w:val="20"/>
          <w:szCs w:val="20"/>
          <w:bdr w:val="none" w:sz="0" w:space="0" w:color="auto"/>
        </w:rPr>
        <w:t xml:space="preserve"> </w:t>
      </w:r>
      <w:r w:rsidR="00A40660">
        <w:rPr>
          <w:rFonts w:ascii="Cambria" w:hAnsi="Cambria"/>
          <w:sz w:val="20"/>
          <w:szCs w:val="20"/>
          <w:bdr w:val="none" w:sz="0" w:space="0" w:color="auto"/>
        </w:rPr>
        <w:t xml:space="preserve">that Mr. </w:t>
      </w:r>
      <w:r w:rsidR="00773B3C" w:rsidRPr="00A51861">
        <w:rPr>
          <w:rFonts w:ascii="Cambria" w:hAnsi="Cambria"/>
          <w:sz w:val="20"/>
          <w:szCs w:val="20"/>
          <w:bdr w:val="none" w:sz="0" w:space="0" w:color="auto"/>
        </w:rPr>
        <w:t xml:space="preserve">Romero Ubal </w:t>
      </w:r>
      <w:r w:rsidR="00F20A37">
        <w:rPr>
          <w:rFonts w:ascii="Cambria" w:hAnsi="Cambria"/>
          <w:sz w:val="20"/>
          <w:szCs w:val="20"/>
          <w:bdr w:val="none" w:sz="0" w:space="0" w:color="auto"/>
        </w:rPr>
        <w:t xml:space="preserve">was </w:t>
      </w:r>
      <w:r w:rsidR="00CF5A22">
        <w:rPr>
          <w:rFonts w:ascii="Cambria" w:hAnsi="Cambria"/>
          <w:sz w:val="20"/>
          <w:szCs w:val="20"/>
          <w:bdr w:val="none" w:sz="0" w:space="0" w:color="auto"/>
        </w:rPr>
        <w:t>guided</w:t>
      </w:r>
      <w:r w:rsidR="00F20A37">
        <w:rPr>
          <w:rFonts w:ascii="Cambria" w:hAnsi="Cambria"/>
          <w:sz w:val="20"/>
          <w:szCs w:val="20"/>
          <w:bdr w:val="none" w:sz="0" w:space="0" w:color="auto"/>
        </w:rPr>
        <w:t xml:space="preserve"> as to the path through which he could</w:t>
      </w:r>
      <w:r w:rsidR="0080315F" w:rsidRPr="00A51861">
        <w:rPr>
          <w:rFonts w:ascii="Cambria" w:hAnsi="Cambria"/>
          <w:sz w:val="20"/>
          <w:szCs w:val="20"/>
          <w:bdr w:val="none" w:sz="0" w:space="0" w:color="auto"/>
        </w:rPr>
        <w:t xml:space="preserve"> </w:t>
      </w:r>
      <w:r w:rsidR="00F20A37">
        <w:rPr>
          <w:rFonts w:ascii="Cambria" w:hAnsi="Cambria"/>
          <w:sz w:val="20"/>
          <w:szCs w:val="20"/>
          <w:bdr w:val="none" w:sz="0" w:space="0" w:color="auto"/>
        </w:rPr>
        <w:t>attempt to obtain a</w:t>
      </w:r>
      <w:r w:rsidR="00B773DC">
        <w:rPr>
          <w:rFonts w:ascii="Cambria" w:hAnsi="Cambria"/>
          <w:sz w:val="20"/>
          <w:szCs w:val="20"/>
          <w:bdr w:val="none" w:sz="0" w:space="0" w:color="auto"/>
        </w:rPr>
        <w:t xml:space="preserve"> </w:t>
      </w:r>
      <w:r w:rsidR="001A0B84">
        <w:rPr>
          <w:rFonts w:ascii="Cambria" w:hAnsi="Cambria"/>
          <w:sz w:val="20"/>
          <w:szCs w:val="20"/>
          <w:bdr w:val="none" w:sz="0" w:space="0" w:color="auto"/>
        </w:rPr>
        <w:t>reparation</w:t>
      </w:r>
      <w:r w:rsidR="0080315F" w:rsidRPr="00A51861">
        <w:rPr>
          <w:rFonts w:ascii="Cambria" w:hAnsi="Cambria"/>
          <w:sz w:val="20"/>
          <w:szCs w:val="20"/>
          <w:bdr w:val="none" w:sz="0" w:space="0" w:color="auto"/>
        </w:rPr>
        <w:t xml:space="preserve"> </w:t>
      </w:r>
      <w:r w:rsidR="00760B2F">
        <w:rPr>
          <w:rFonts w:ascii="Cambria" w:hAnsi="Cambria"/>
          <w:sz w:val="20"/>
          <w:szCs w:val="20"/>
          <w:bdr w:val="none" w:sz="0" w:space="0" w:color="auto"/>
        </w:rPr>
        <w:t xml:space="preserve">for the facts </w:t>
      </w:r>
      <w:r w:rsidR="00F20A37">
        <w:rPr>
          <w:rFonts w:ascii="Cambria" w:hAnsi="Cambria"/>
          <w:sz w:val="20"/>
          <w:szCs w:val="20"/>
          <w:bdr w:val="none" w:sz="0" w:space="0" w:color="auto"/>
        </w:rPr>
        <w:t>under study</w:t>
      </w:r>
      <w:r w:rsidR="00773B3C" w:rsidRPr="00A51861">
        <w:rPr>
          <w:rFonts w:ascii="Cambria" w:hAnsi="Cambria"/>
          <w:sz w:val="20"/>
          <w:szCs w:val="20"/>
          <w:bdr w:val="none" w:sz="0" w:space="0" w:color="auto"/>
        </w:rPr>
        <w:t xml:space="preserve">. </w:t>
      </w:r>
    </w:p>
    <w:p w14:paraId="63F0AAB2" w14:textId="77777777" w:rsidR="00317212" w:rsidRPr="00A51861" w:rsidRDefault="00317212" w:rsidP="008E4D36">
      <w:pPr>
        <w:pStyle w:val="ListParagraph"/>
        <w:rPr>
          <w:sz w:val="20"/>
          <w:szCs w:val="20"/>
          <w:bdr w:val="none" w:sz="0" w:space="0" w:color="auto"/>
        </w:rPr>
      </w:pPr>
    </w:p>
    <w:p w14:paraId="22D1553E" w14:textId="77309C0E" w:rsidR="00317212" w:rsidRDefault="00F20A37"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bdr w:val="none" w:sz="0" w:space="0" w:color="auto"/>
        </w:rPr>
      </w:pPr>
      <w:r>
        <w:rPr>
          <w:rFonts w:ascii="Cambria" w:hAnsi="Cambria"/>
          <w:sz w:val="20"/>
          <w:szCs w:val="20"/>
          <w:bdr w:val="none" w:sz="0" w:space="0" w:color="auto"/>
        </w:rPr>
        <w:t>Consequently</w:t>
      </w:r>
      <w:r w:rsidR="00317212" w:rsidRPr="00A51861">
        <w:rPr>
          <w:rFonts w:ascii="Cambria" w:hAnsi="Cambria"/>
          <w:sz w:val="20"/>
          <w:szCs w:val="20"/>
          <w:bdr w:val="none" w:sz="0" w:space="0" w:color="auto"/>
        </w:rPr>
        <w:t xml:space="preserve">, </w:t>
      </w:r>
      <w:r w:rsidR="00E92985">
        <w:rPr>
          <w:rFonts w:ascii="Cambria" w:hAnsi="Cambria"/>
          <w:sz w:val="20"/>
          <w:szCs w:val="20"/>
          <w:bdr w:val="none" w:sz="0" w:space="0" w:color="auto"/>
        </w:rPr>
        <w:t>the Commission</w:t>
      </w:r>
      <w:r w:rsidR="00317212" w:rsidRPr="00A51861">
        <w:rPr>
          <w:rFonts w:ascii="Cambria" w:hAnsi="Cambria"/>
          <w:sz w:val="20"/>
          <w:szCs w:val="20"/>
          <w:bdr w:val="none" w:sz="0" w:space="0" w:color="auto"/>
        </w:rPr>
        <w:t xml:space="preserve"> conclu</w:t>
      </w:r>
      <w:r>
        <w:rPr>
          <w:rFonts w:ascii="Cambria" w:hAnsi="Cambria"/>
          <w:sz w:val="20"/>
          <w:szCs w:val="20"/>
          <w:bdr w:val="none" w:sz="0" w:space="0" w:color="auto"/>
        </w:rPr>
        <w:t>d</w:t>
      </w:r>
      <w:r w:rsidR="00317212" w:rsidRPr="00A51861">
        <w:rPr>
          <w:rFonts w:ascii="Cambria" w:hAnsi="Cambria"/>
          <w:sz w:val="20"/>
          <w:szCs w:val="20"/>
          <w:bdr w:val="none" w:sz="0" w:space="0" w:color="auto"/>
        </w:rPr>
        <w:t>e</w:t>
      </w:r>
      <w:r>
        <w:rPr>
          <w:rFonts w:ascii="Cambria" w:hAnsi="Cambria"/>
          <w:sz w:val="20"/>
          <w:szCs w:val="20"/>
          <w:bdr w:val="none" w:sz="0" w:space="0" w:color="auto"/>
        </w:rPr>
        <w:t>s</w:t>
      </w:r>
      <w:r w:rsidR="00317212" w:rsidRPr="00A51861">
        <w:rPr>
          <w:rFonts w:ascii="Cambria" w:hAnsi="Cambria"/>
          <w:sz w:val="20"/>
          <w:szCs w:val="20"/>
          <w:bdr w:val="none" w:sz="0" w:space="0" w:color="auto"/>
        </w:rPr>
        <w:t xml:space="preserve"> </w:t>
      </w:r>
      <w:r>
        <w:rPr>
          <w:rFonts w:ascii="Cambria" w:hAnsi="Cambria"/>
          <w:sz w:val="20"/>
          <w:szCs w:val="20"/>
          <w:bdr w:val="none" w:sz="0" w:space="0" w:color="auto"/>
        </w:rPr>
        <w:t>that</w:t>
      </w:r>
      <w:r w:rsidR="00317212" w:rsidRPr="00A51861">
        <w:rPr>
          <w:rFonts w:ascii="Cambria" w:hAnsi="Cambria"/>
          <w:sz w:val="20"/>
          <w:szCs w:val="20"/>
          <w:bdr w:val="none" w:sz="0" w:space="0" w:color="auto"/>
        </w:rPr>
        <w:t xml:space="preserve"> </w:t>
      </w:r>
      <w:r w:rsidR="00F92BA8">
        <w:rPr>
          <w:rFonts w:ascii="Cambria" w:hAnsi="Cambria"/>
          <w:sz w:val="20"/>
          <w:szCs w:val="20"/>
          <w:bdr w:val="none" w:sz="0" w:space="0" w:color="auto"/>
        </w:rPr>
        <w:t>the Argentine State</w:t>
      </w:r>
      <w:r w:rsidR="00D70A85">
        <w:rPr>
          <w:rFonts w:ascii="Cambria" w:hAnsi="Cambria"/>
          <w:sz w:val="20"/>
          <w:szCs w:val="20"/>
          <w:bdr w:val="none" w:sz="0" w:space="0" w:color="auto"/>
        </w:rPr>
        <w:t xml:space="preserve"> is </w:t>
      </w:r>
      <w:r w:rsidR="00D64B7E">
        <w:rPr>
          <w:rFonts w:ascii="Cambria" w:hAnsi="Cambria"/>
          <w:sz w:val="20"/>
          <w:szCs w:val="20"/>
          <w:bdr w:val="none" w:sz="0" w:space="0" w:color="auto"/>
        </w:rPr>
        <w:t>responsible</w:t>
      </w:r>
      <w:r w:rsidR="00C91385">
        <w:rPr>
          <w:rFonts w:ascii="Cambria" w:hAnsi="Cambria"/>
          <w:sz w:val="20"/>
          <w:szCs w:val="20"/>
          <w:bdr w:val="none" w:sz="0" w:space="0" w:color="auto"/>
        </w:rPr>
        <w:t xml:space="preserve"> for the violation</w:t>
      </w:r>
      <w:r w:rsidR="004969F4">
        <w:rPr>
          <w:rFonts w:ascii="Cambria" w:hAnsi="Cambria"/>
          <w:sz w:val="20"/>
          <w:szCs w:val="20"/>
          <w:bdr w:val="none" w:sz="0" w:space="0" w:color="auto"/>
        </w:rPr>
        <w:t xml:space="preserve"> of </w:t>
      </w:r>
      <w:r w:rsidR="009A4F91">
        <w:rPr>
          <w:rFonts w:ascii="Cambria" w:hAnsi="Cambria"/>
          <w:sz w:val="20"/>
          <w:szCs w:val="20"/>
          <w:bdr w:val="none" w:sz="0" w:space="0" w:color="auto"/>
        </w:rPr>
        <w:t xml:space="preserve">the right </w:t>
      </w:r>
      <w:r>
        <w:rPr>
          <w:rFonts w:ascii="Cambria" w:hAnsi="Cambria"/>
          <w:sz w:val="20"/>
          <w:szCs w:val="20"/>
          <w:bdr w:val="none" w:sz="0" w:space="0" w:color="auto"/>
        </w:rPr>
        <w:t>to have duly reasoned decisions as set forth in</w:t>
      </w:r>
      <w:r w:rsidR="004C5A00">
        <w:rPr>
          <w:rFonts w:ascii="Cambria" w:hAnsi="Cambria"/>
          <w:sz w:val="20"/>
          <w:szCs w:val="20"/>
          <w:bdr w:val="none" w:sz="0" w:space="0" w:color="auto"/>
        </w:rPr>
        <w:t xml:space="preserve"> article </w:t>
      </w:r>
      <w:r w:rsidR="00317212" w:rsidRPr="00A51861">
        <w:rPr>
          <w:rFonts w:ascii="Cambria" w:hAnsi="Cambria"/>
          <w:sz w:val="20"/>
          <w:szCs w:val="20"/>
          <w:bdr w:val="none" w:sz="0" w:space="0" w:color="auto"/>
        </w:rPr>
        <w:t>8.1</w:t>
      </w:r>
      <w:r w:rsidR="00E92985">
        <w:rPr>
          <w:rFonts w:ascii="Cambria" w:hAnsi="Cambria"/>
          <w:sz w:val="20"/>
          <w:szCs w:val="20"/>
          <w:bdr w:val="none" w:sz="0" w:space="0" w:color="auto"/>
        </w:rPr>
        <w:t xml:space="preserve"> of the </w:t>
      </w:r>
      <w:r w:rsidR="00B920CA">
        <w:rPr>
          <w:rFonts w:ascii="Cambria" w:hAnsi="Cambria"/>
          <w:sz w:val="20"/>
          <w:szCs w:val="20"/>
          <w:bdr w:val="none" w:sz="0" w:space="0" w:color="auto"/>
        </w:rPr>
        <w:t>American Convention</w:t>
      </w:r>
      <w:r w:rsidR="00317212" w:rsidRPr="00A51861">
        <w:rPr>
          <w:rFonts w:ascii="Cambria" w:hAnsi="Cambria"/>
          <w:sz w:val="20"/>
          <w:szCs w:val="20"/>
          <w:bdr w:val="none" w:sz="0" w:space="0" w:color="auto"/>
        </w:rPr>
        <w:t xml:space="preserve">, </w:t>
      </w:r>
      <w:r>
        <w:rPr>
          <w:rFonts w:ascii="Cambria" w:hAnsi="Cambria"/>
          <w:sz w:val="20"/>
          <w:szCs w:val="20"/>
          <w:bdr w:val="none" w:sz="0" w:space="0" w:color="auto"/>
        </w:rPr>
        <w:t>to</w:t>
      </w:r>
      <w:r w:rsidR="009A4F91">
        <w:rPr>
          <w:rFonts w:ascii="Cambria" w:hAnsi="Cambria"/>
          <w:sz w:val="20"/>
          <w:szCs w:val="20"/>
          <w:bdr w:val="none" w:sz="0" w:space="0" w:color="auto"/>
        </w:rPr>
        <w:t xml:space="preserve"> </w:t>
      </w:r>
      <w:r w:rsidR="007C16F9">
        <w:rPr>
          <w:rFonts w:ascii="Cambria" w:hAnsi="Cambria"/>
          <w:sz w:val="20"/>
          <w:szCs w:val="20"/>
          <w:bdr w:val="none" w:sz="0" w:space="0" w:color="auto"/>
        </w:rPr>
        <w:t xml:space="preserve">judicial protection </w:t>
      </w:r>
      <w:r>
        <w:rPr>
          <w:rFonts w:ascii="Cambria" w:hAnsi="Cambria"/>
          <w:sz w:val="20"/>
          <w:szCs w:val="20"/>
          <w:bdr w:val="none" w:sz="0" w:space="0" w:color="auto"/>
        </w:rPr>
        <w:t>set forth in</w:t>
      </w:r>
      <w:r w:rsidR="004C5A00">
        <w:rPr>
          <w:rFonts w:ascii="Cambria" w:hAnsi="Cambria"/>
          <w:sz w:val="20"/>
          <w:szCs w:val="20"/>
          <w:bdr w:val="none" w:sz="0" w:space="0" w:color="auto"/>
        </w:rPr>
        <w:t xml:space="preserve"> article </w:t>
      </w:r>
      <w:r w:rsidR="00317212" w:rsidRPr="00A51861">
        <w:rPr>
          <w:rFonts w:ascii="Cambria" w:hAnsi="Cambria"/>
          <w:sz w:val="20"/>
          <w:szCs w:val="20"/>
          <w:bdr w:val="none" w:sz="0" w:space="0" w:color="auto"/>
        </w:rPr>
        <w:t xml:space="preserve">25.1 </w:t>
      </w:r>
      <w:r w:rsidR="00B74DB5">
        <w:rPr>
          <w:rFonts w:ascii="Cambria" w:hAnsi="Cambria"/>
          <w:sz w:val="20"/>
          <w:szCs w:val="20"/>
          <w:bdr w:val="none" w:sz="0" w:space="0" w:color="auto"/>
        </w:rPr>
        <w:t xml:space="preserve">in regard to </w:t>
      </w:r>
      <w:r>
        <w:rPr>
          <w:rFonts w:ascii="Cambria" w:hAnsi="Cambria"/>
          <w:sz w:val="20"/>
          <w:szCs w:val="20"/>
          <w:bdr w:val="none" w:sz="0" w:space="0" w:color="auto"/>
        </w:rPr>
        <w:t>the</w:t>
      </w:r>
      <w:r w:rsidR="0080315F" w:rsidRPr="00A51861">
        <w:rPr>
          <w:rFonts w:ascii="Cambria" w:hAnsi="Cambria"/>
          <w:sz w:val="20"/>
          <w:szCs w:val="20"/>
          <w:bdr w:val="none" w:sz="0" w:space="0" w:color="auto"/>
        </w:rPr>
        <w:t xml:space="preserve"> </w:t>
      </w:r>
      <w:r w:rsidR="009B462E">
        <w:rPr>
          <w:rFonts w:ascii="Cambria" w:hAnsi="Cambria"/>
          <w:sz w:val="20"/>
          <w:szCs w:val="20"/>
          <w:bdr w:val="none" w:sz="0" w:space="0" w:color="auto"/>
        </w:rPr>
        <w:t xml:space="preserve">right of </w:t>
      </w:r>
      <w:r w:rsidR="00775F21">
        <w:rPr>
          <w:rFonts w:ascii="Cambria" w:hAnsi="Cambria"/>
          <w:sz w:val="20"/>
          <w:szCs w:val="20"/>
          <w:bdr w:val="none" w:sz="0" w:space="0" w:color="auto"/>
        </w:rPr>
        <w:t>equality</w:t>
      </w:r>
      <w:r w:rsidR="00FA2E7B">
        <w:rPr>
          <w:rFonts w:ascii="Cambria" w:hAnsi="Cambria"/>
          <w:sz w:val="20"/>
          <w:szCs w:val="20"/>
          <w:bdr w:val="none" w:sz="0" w:space="0" w:color="auto"/>
        </w:rPr>
        <w:t xml:space="preserve"> </w:t>
      </w:r>
      <w:r>
        <w:rPr>
          <w:rFonts w:ascii="Cambria" w:hAnsi="Cambria"/>
          <w:sz w:val="20"/>
          <w:szCs w:val="20"/>
          <w:bdr w:val="none" w:sz="0" w:space="0" w:color="auto"/>
        </w:rPr>
        <w:t>before</w:t>
      </w:r>
      <w:r w:rsidR="00317212" w:rsidRPr="00A51861">
        <w:rPr>
          <w:rFonts w:ascii="Cambria" w:hAnsi="Cambria"/>
          <w:sz w:val="20"/>
          <w:szCs w:val="20"/>
          <w:bdr w:val="none" w:sz="0" w:space="0" w:color="auto"/>
        </w:rPr>
        <w:t xml:space="preserve"> </w:t>
      </w:r>
      <w:r w:rsidR="002835FC" w:rsidRPr="00A51861">
        <w:rPr>
          <w:rFonts w:ascii="Cambria" w:hAnsi="Cambria"/>
          <w:sz w:val="20"/>
          <w:szCs w:val="20"/>
          <w:bdr w:val="none" w:sz="0" w:space="0" w:color="auto"/>
        </w:rPr>
        <w:t xml:space="preserve">Law </w:t>
      </w:r>
      <w:r>
        <w:rPr>
          <w:rFonts w:ascii="Cambria" w:hAnsi="Cambria"/>
          <w:sz w:val="20"/>
          <w:szCs w:val="20"/>
          <w:bdr w:val="none" w:sz="0" w:space="0" w:color="auto"/>
        </w:rPr>
        <w:t>set forth in</w:t>
      </w:r>
      <w:r w:rsidR="004C5A00">
        <w:rPr>
          <w:rFonts w:ascii="Cambria" w:hAnsi="Cambria"/>
          <w:sz w:val="20"/>
          <w:szCs w:val="20"/>
          <w:bdr w:val="none" w:sz="0" w:space="0" w:color="auto"/>
        </w:rPr>
        <w:t xml:space="preserve"> article </w:t>
      </w:r>
      <w:r w:rsidR="00317212" w:rsidRPr="00A51861">
        <w:rPr>
          <w:rFonts w:ascii="Cambria" w:hAnsi="Cambria"/>
          <w:sz w:val="20"/>
          <w:szCs w:val="20"/>
          <w:bdr w:val="none" w:sz="0" w:space="0" w:color="auto"/>
        </w:rPr>
        <w:t>24</w:t>
      </w:r>
      <w:r w:rsidR="00E92985">
        <w:rPr>
          <w:rFonts w:ascii="Cambria" w:hAnsi="Cambria"/>
          <w:sz w:val="20"/>
          <w:szCs w:val="20"/>
          <w:bdr w:val="none" w:sz="0" w:space="0" w:color="auto"/>
        </w:rPr>
        <w:t xml:space="preserve"> and</w:t>
      </w:r>
      <w:r w:rsidR="004C5A00">
        <w:rPr>
          <w:rFonts w:ascii="Cambria" w:hAnsi="Cambria"/>
          <w:sz w:val="20"/>
          <w:szCs w:val="20"/>
          <w:bdr w:val="none" w:sz="0" w:space="0" w:color="auto"/>
        </w:rPr>
        <w:t xml:space="preserve"> article </w:t>
      </w:r>
      <w:r w:rsidR="00317212" w:rsidRPr="00A51861">
        <w:rPr>
          <w:rFonts w:ascii="Cambria" w:hAnsi="Cambria"/>
          <w:sz w:val="20"/>
          <w:szCs w:val="20"/>
          <w:bdr w:val="none" w:sz="0" w:space="0" w:color="auto"/>
        </w:rPr>
        <w:t>1.1</w:t>
      </w:r>
      <w:r w:rsidR="00E92985">
        <w:rPr>
          <w:rFonts w:ascii="Cambria" w:hAnsi="Cambria"/>
          <w:sz w:val="20"/>
          <w:szCs w:val="20"/>
          <w:bdr w:val="none" w:sz="0" w:space="0" w:color="auto"/>
        </w:rPr>
        <w:t xml:space="preserve"> </w:t>
      </w:r>
      <w:r>
        <w:rPr>
          <w:rFonts w:ascii="Cambria" w:hAnsi="Cambria"/>
          <w:sz w:val="20"/>
          <w:szCs w:val="20"/>
          <w:bdr w:val="none" w:sz="0" w:space="0" w:color="auto"/>
        </w:rPr>
        <w:t>thereof</w:t>
      </w:r>
      <w:r w:rsidR="00317212" w:rsidRPr="00A51861">
        <w:rPr>
          <w:rFonts w:ascii="Cambria" w:hAnsi="Cambria"/>
          <w:sz w:val="20"/>
          <w:szCs w:val="20"/>
          <w:bdr w:val="none" w:sz="0" w:space="0" w:color="auto"/>
        </w:rPr>
        <w:t>,</w:t>
      </w:r>
      <w:r w:rsidR="00E92985">
        <w:rPr>
          <w:rFonts w:ascii="Cambria" w:hAnsi="Cambria"/>
          <w:sz w:val="20"/>
          <w:szCs w:val="20"/>
          <w:bdr w:val="none" w:sz="0" w:space="0" w:color="auto"/>
        </w:rPr>
        <w:t xml:space="preserve"> to the detriment of </w:t>
      </w:r>
      <w:r w:rsidR="00317212" w:rsidRPr="00A51861">
        <w:rPr>
          <w:rFonts w:ascii="Cambria" w:hAnsi="Cambria"/>
          <w:sz w:val="20"/>
          <w:szCs w:val="20"/>
          <w:bdr w:val="none" w:sz="0" w:space="0" w:color="auto"/>
        </w:rPr>
        <w:t xml:space="preserve">Nicasio Washington Romero Ubal. </w:t>
      </w:r>
    </w:p>
    <w:p w14:paraId="0EA2870D" w14:textId="6271D395" w:rsidR="00B23E9B" w:rsidRPr="00A51861" w:rsidRDefault="00B23E9B" w:rsidP="00B23E9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Cambria" w:hAnsi="Cambria"/>
          <w:sz w:val="20"/>
          <w:szCs w:val="20"/>
          <w:bdr w:val="none" w:sz="0" w:space="0" w:color="auto"/>
        </w:rPr>
      </w:pPr>
    </w:p>
    <w:p w14:paraId="6C385B1D" w14:textId="7110426C" w:rsidR="00B23E9B" w:rsidRPr="00EC349B" w:rsidRDefault="00B23E9B" w:rsidP="00B23E9B">
      <w:pPr>
        <w:pStyle w:val="Heading1"/>
        <w:keepNext/>
        <w:keepLines/>
        <w:numPr>
          <w:ilvl w:val="0"/>
          <w:numId w:val="55"/>
        </w:numPr>
        <w:suppressAutoHyphens w:val="0"/>
        <w:rPr>
          <w:lang w:val="en-US"/>
        </w:rPr>
      </w:pPr>
      <w:bookmarkStart w:id="35" w:name="_Toc196383499"/>
      <w:r w:rsidRPr="00EC349B">
        <w:rPr>
          <w:lang w:val="en-US"/>
        </w:rPr>
        <w:t>ACTIONS AFTER REPORT No. 139/21</w:t>
      </w:r>
      <w:bookmarkEnd w:id="35"/>
    </w:p>
    <w:p w14:paraId="490C6BB5" w14:textId="77777777" w:rsidR="00B23E9B" w:rsidRPr="00EC349B" w:rsidRDefault="00B23E9B" w:rsidP="00B23E9B">
      <w:pPr>
        <w:tabs>
          <w:tab w:val="left" w:pos="720"/>
          <w:tab w:val="left" w:pos="1440"/>
        </w:tabs>
        <w:rPr>
          <w:rFonts w:ascii="Cambria" w:hAnsi="Cambria"/>
          <w:sz w:val="20"/>
          <w:szCs w:val="20"/>
          <w:bdr w:val="none" w:sz="0" w:space="0" w:color="auto"/>
        </w:rPr>
      </w:pPr>
    </w:p>
    <w:p w14:paraId="7C8CE879" w14:textId="552304B5" w:rsidR="00B23E9B" w:rsidRPr="00EC349B" w:rsidRDefault="00B23E9B" w:rsidP="007B07B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bdr w:val="none" w:sz="0" w:space="0" w:color="auto"/>
        </w:rPr>
      </w:pPr>
      <w:r w:rsidRPr="00EC349B">
        <w:rPr>
          <w:rFonts w:ascii="Cambria" w:hAnsi="Cambria"/>
          <w:sz w:val="20"/>
          <w:szCs w:val="20"/>
          <w:bdr w:val="none" w:sz="0" w:space="0" w:color="auto"/>
        </w:rPr>
        <w:t>The Commission adopted merits report No. 139/21 on August 11, 2021 and transmitted it to the State on November 16 of the same year. In said report the Commission recommended:</w:t>
      </w:r>
    </w:p>
    <w:p w14:paraId="44BF7579" w14:textId="77777777" w:rsidR="00B23E9B" w:rsidRPr="00EC349B" w:rsidRDefault="00B23E9B" w:rsidP="00B23E9B">
      <w:pPr>
        <w:tabs>
          <w:tab w:val="left" w:pos="720"/>
          <w:tab w:val="left" w:pos="1440"/>
        </w:tabs>
        <w:rPr>
          <w:rFonts w:ascii="Cambria" w:hAnsi="Cambria"/>
          <w:sz w:val="20"/>
          <w:szCs w:val="20"/>
          <w:bdr w:val="none" w:sz="0" w:space="0" w:color="auto"/>
        </w:rPr>
      </w:pPr>
    </w:p>
    <w:p w14:paraId="000A8531" w14:textId="0BAAB55F" w:rsidR="00B23E9B" w:rsidRPr="00EC349B" w:rsidRDefault="00B23E9B" w:rsidP="007B07BD">
      <w:pPr>
        <w:pStyle w:val="ListParagraph"/>
        <w:numPr>
          <w:ilvl w:val="0"/>
          <w:numId w:val="74"/>
        </w:numPr>
        <w:tabs>
          <w:tab w:val="left" w:pos="720"/>
          <w:tab w:val="left" w:pos="1440"/>
        </w:tabs>
        <w:jc w:val="both"/>
        <w:rPr>
          <w:sz w:val="20"/>
          <w:szCs w:val="20"/>
          <w:bdr w:val="none" w:sz="0" w:space="0" w:color="auto"/>
        </w:rPr>
      </w:pPr>
      <w:r w:rsidRPr="00EC349B">
        <w:rPr>
          <w:sz w:val="20"/>
          <w:szCs w:val="20"/>
          <w:bdr w:val="none" w:sz="0" w:space="0" w:color="auto"/>
        </w:rPr>
        <w:t xml:space="preserve">Comprehensively repair the human rights violations declared in this report, both material and non-material damage, including fair compensation, for the violations declared in this report to the detriment of Messrs. Julio César Rito </w:t>
      </w:r>
      <w:r w:rsidR="00270F08" w:rsidRPr="00EC349B">
        <w:rPr>
          <w:sz w:val="20"/>
          <w:szCs w:val="20"/>
          <w:bdr w:val="none" w:sz="0" w:space="0" w:color="auto"/>
        </w:rPr>
        <w:t>d</w:t>
      </w:r>
      <w:r w:rsidRPr="00EC349B">
        <w:rPr>
          <w:sz w:val="20"/>
          <w:szCs w:val="20"/>
          <w:bdr w:val="none" w:sz="0" w:space="0" w:color="auto"/>
        </w:rPr>
        <w:t>e los Santos, Hugo Daniel Ferreira and Nicasio Washington Romero Ubal.</w:t>
      </w:r>
    </w:p>
    <w:p w14:paraId="2EA4614C" w14:textId="77777777" w:rsidR="00B23E9B" w:rsidRPr="00EC349B" w:rsidRDefault="00B23E9B" w:rsidP="00B23E9B">
      <w:pPr>
        <w:tabs>
          <w:tab w:val="left" w:pos="720"/>
          <w:tab w:val="left" w:pos="1440"/>
        </w:tabs>
        <w:rPr>
          <w:rFonts w:ascii="Cambria" w:hAnsi="Cambria"/>
          <w:sz w:val="20"/>
          <w:szCs w:val="20"/>
          <w:bdr w:val="none" w:sz="0" w:space="0" w:color="auto"/>
        </w:rPr>
      </w:pPr>
    </w:p>
    <w:p w14:paraId="733578CC" w14:textId="64E586B0" w:rsidR="00B23E9B" w:rsidRPr="00EC349B" w:rsidRDefault="00B23E9B" w:rsidP="007B07B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bdr w:val="none" w:sz="0" w:space="0" w:color="auto"/>
        </w:rPr>
      </w:pPr>
      <w:r w:rsidRPr="00EC349B">
        <w:rPr>
          <w:rFonts w:ascii="Cambria" w:hAnsi="Cambria"/>
          <w:sz w:val="20"/>
          <w:szCs w:val="20"/>
          <w:bdr w:val="none" w:sz="0" w:space="0" w:color="auto"/>
        </w:rPr>
        <w:t xml:space="preserve">In the process followed after notification of the Merits Report, the Commission received reports from the State and a letter from the petitioner on compliance with the recommendations established by the IACHR, in which the petitioner </w:t>
      </w:r>
      <w:r w:rsidR="00270F08" w:rsidRPr="00EC349B">
        <w:rPr>
          <w:rFonts w:ascii="Cambria" w:hAnsi="Cambria"/>
          <w:sz w:val="20"/>
          <w:szCs w:val="20"/>
          <w:bdr w:val="none" w:sz="0" w:space="0" w:color="auto"/>
        </w:rPr>
        <w:t xml:space="preserve">party </w:t>
      </w:r>
      <w:r w:rsidRPr="00EC349B">
        <w:rPr>
          <w:rFonts w:ascii="Cambria" w:hAnsi="Cambria"/>
          <w:sz w:val="20"/>
          <w:szCs w:val="20"/>
          <w:bdr w:val="none" w:sz="0" w:space="0" w:color="auto"/>
        </w:rPr>
        <w:t xml:space="preserve">stated that </w:t>
      </w:r>
      <w:r w:rsidR="00270F08" w:rsidRPr="00EC349B">
        <w:rPr>
          <w:rFonts w:ascii="Cambria" w:hAnsi="Cambria"/>
          <w:sz w:val="20"/>
          <w:szCs w:val="20"/>
          <w:bdr w:val="none" w:sz="0" w:space="0" w:color="auto"/>
        </w:rPr>
        <w:t>it</w:t>
      </w:r>
      <w:r w:rsidRPr="00EC349B">
        <w:rPr>
          <w:rFonts w:ascii="Cambria" w:hAnsi="Cambria"/>
          <w:sz w:val="20"/>
          <w:szCs w:val="20"/>
          <w:bdr w:val="none" w:sz="0" w:space="0" w:color="auto"/>
        </w:rPr>
        <w:t xml:space="preserve"> was willing to reach to an agreement with the State. During this period, the Commission granted three extensions to the State for the suspension of the deadline provided for </w:t>
      </w:r>
      <w:r w:rsidRPr="00EC349B">
        <w:rPr>
          <w:rFonts w:ascii="Cambria" w:hAnsi="Cambria"/>
          <w:sz w:val="20"/>
          <w:szCs w:val="20"/>
          <w:bdr w:val="none" w:sz="0" w:space="0" w:color="auto"/>
        </w:rPr>
        <w:lastRenderedPageBreak/>
        <w:t>in Article 51 of the American Convention. In these extension requests, the Argentine State reiterated its willingness to comply with the recommendations. Likewise, he expressly waived the possibility of filing preliminary objections for non-compliance with the aforementioned deadline in the event that the case was submitted to the Inter-American Court.</w:t>
      </w:r>
    </w:p>
    <w:p w14:paraId="65682FEE" w14:textId="77777777" w:rsidR="00B23E9B" w:rsidRPr="00EC349B" w:rsidRDefault="00B23E9B" w:rsidP="00B23E9B">
      <w:pPr>
        <w:tabs>
          <w:tab w:val="left" w:pos="720"/>
          <w:tab w:val="left" w:pos="1440"/>
        </w:tabs>
        <w:rPr>
          <w:rFonts w:ascii="Cambria" w:hAnsi="Cambria"/>
          <w:sz w:val="20"/>
          <w:szCs w:val="20"/>
          <w:bdr w:val="none" w:sz="0" w:space="0" w:color="auto"/>
        </w:rPr>
      </w:pPr>
    </w:p>
    <w:p w14:paraId="6903A72F" w14:textId="312ACBAE" w:rsidR="00B23E9B" w:rsidRPr="00EC349B" w:rsidRDefault="00B23E9B" w:rsidP="007B07B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bdr w:val="none" w:sz="0" w:space="0" w:color="auto"/>
        </w:rPr>
      </w:pPr>
      <w:r w:rsidRPr="00EC349B">
        <w:rPr>
          <w:rFonts w:ascii="Cambria" w:hAnsi="Cambria"/>
          <w:sz w:val="20"/>
          <w:szCs w:val="20"/>
          <w:bdr w:val="none" w:sz="0" w:space="0" w:color="auto"/>
        </w:rPr>
        <w:t>After evaluating the information available on the status of compliance with the recommendations, the Commission decided on August 16, 2022 by an absolute majority not to send the case to the Inter-American Court and to proceed with the publication of the merits report. In the section below, the Commission makes its determinations on compliance with its recommendations.</w:t>
      </w:r>
    </w:p>
    <w:p w14:paraId="4C319B3A" w14:textId="77777777" w:rsidR="00B23E9B" w:rsidRPr="00EC349B" w:rsidRDefault="00B23E9B" w:rsidP="00B23E9B">
      <w:pPr>
        <w:tabs>
          <w:tab w:val="left" w:pos="720"/>
          <w:tab w:val="left" w:pos="1440"/>
        </w:tabs>
        <w:rPr>
          <w:rFonts w:ascii="Cambria" w:hAnsi="Cambria"/>
          <w:sz w:val="20"/>
          <w:szCs w:val="20"/>
          <w:bdr w:val="none" w:sz="0" w:space="0" w:color="auto"/>
        </w:rPr>
      </w:pPr>
    </w:p>
    <w:p w14:paraId="261CE227" w14:textId="36D12156" w:rsidR="00B23E9B" w:rsidRPr="00EC349B" w:rsidRDefault="00B23E9B" w:rsidP="00B23E9B">
      <w:pPr>
        <w:pStyle w:val="Heading1"/>
        <w:keepNext/>
        <w:keepLines/>
        <w:numPr>
          <w:ilvl w:val="0"/>
          <w:numId w:val="55"/>
        </w:numPr>
        <w:suppressAutoHyphens w:val="0"/>
        <w:rPr>
          <w:lang w:val="en-US"/>
        </w:rPr>
      </w:pPr>
      <w:bookmarkStart w:id="36" w:name="_Toc196383500"/>
      <w:r w:rsidRPr="00EC349B">
        <w:rPr>
          <w:lang w:val="en-US"/>
        </w:rPr>
        <w:t>ANALYSIS OF COMPLIANCE WITH RECOMMENDATIONS</w:t>
      </w:r>
      <w:bookmarkEnd w:id="36"/>
    </w:p>
    <w:p w14:paraId="3D1CC317" w14:textId="77777777" w:rsidR="00B23E9B" w:rsidRPr="00EC349B" w:rsidRDefault="00B23E9B" w:rsidP="00270F08">
      <w:pPr>
        <w:tabs>
          <w:tab w:val="left" w:pos="720"/>
          <w:tab w:val="left" w:pos="1440"/>
        </w:tabs>
        <w:jc w:val="both"/>
        <w:rPr>
          <w:rFonts w:ascii="Cambria" w:hAnsi="Cambria"/>
          <w:sz w:val="20"/>
          <w:szCs w:val="20"/>
          <w:bdr w:val="none" w:sz="0" w:space="0" w:color="auto"/>
        </w:rPr>
      </w:pPr>
    </w:p>
    <w:p w14:paraId="137529CB" w14:textId="25AA7A5D" w:rsidR="00B23E9B" w:rsidRPr="00EC349B" w:rsidRDefault="00B23E9B" w:rsidP="007B07B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bdr w:val="none" w:sz="0" w:space="0" w:color="auto"/>
        </w:rPr>
      </w:pPr>
      <w:r w:rsidRPr="00EC349B">
        <w:rPr>
          <w:rFonts w:ascii="Cambria" w:hAnsi="Cambria"/>
          <w:sz w:val="20"/>
          <w:szCs w:val="20"/>
          <w:bdr w:val="none" w:sz="0" w:space="0" w:color="auto"/>
        </w:rPr>
        <w:t xml:space="preserve">In January 2022, the State reported that the victims had initiated the corresponding procedures within the framework of reparatory law No. 26,564. </w:t>
      </w:r>
      <w:r w:rsidR="00270F08" w:rsidRPr="00EC349B">
        <w:rPr>
          <w:rFonts w:ascii="Cambria" w:hAnsi="Cambria"/>
          <w:sz w:val="20"/>
          <w:szCs w:val="20"/>
          <w:bdr w:val="none" w:sz="0" w:space="0" w:color="auto"/>
        </w:rPr>
        <w:t>It</w:t>
      </w:r>
      <w:r w:rsidRPr="00EC349B">
        <w:rPr>
          <w:rFonts w:ascii="Cambria" w:hAnsi="Cambria"/>
          <w:sz w:val="20"/>
          <w:szCs w:val="20"/>
          <w:bdr w:val="none" w:sz="0" w:space="0" w:color="auto"/>
        </w:rPr>
        <w:t xml:space="preserve"> explained that the granting of the benefits contemplated in said law, sanctioned after Law 24,043 in order to cover situations that had not been contemplated initially - such as those in the present case - would allow full compliance with the recommendations issued in the </w:t>
      </w:r>
      <w:r w:rsidR="00270F08" w:rsidRPr="00EC349B">
        <w:rPr>
          <w:rFonts w:ascii="Cambria" w:hAnsi="Cambria"/>
          <w:sz w:val="20"/>
          <w:szCs w:val="20"/>
          <w:bdr w:val="none" w:sz="0" w:space="0" w:color="auto"/>
        </w:rPr>
        <w:t xml:space="preserve">Merits </w:t>
      </w:r>
      <w:r w:rsidRPr="00EC349B">
        <w:rPr>
          <w:rFonts w:ascii="Cambria" w:hAnsi="Cambria"/>
          <w:sz w:val="20"/>
          <w:szCs w:val="20"/>
          <w:bdr w:val="none" w:sz="0" w:space="0" w:color="auto"/>
        </w:rPr>
        <w:t xml:space="preserve">Report. </w:t>
      </w:r>
      <w:r w:rsidR="00270F08" w:rsidRPr="00EC349B">
        <w:rPr>
          <w:rFonts w:ascii="Cambria" w:hAnsi="Cambria"/>
          <w:sz w:val="20"/>
          <w:szCs w:val="20"/>
          <w:bdr w:val="none" w:sz="0" w:space="0" w:color="auto"/>
        </w:rPr>
        <w:t>It</w:t>
      </w:r>
      <w:r w:rsidRPr="00EC349B">
        <w:rPr>
          <w:rFonts w:ascii="Cambria" w:hAnsi="Cambria"/>
          <w:sz w:val="20"/>
          <w:szCs w:val="20"/>
          <w:bdr w:val="none" w:sz="0" w:space="0" w:color="auto"/>
        </w:rPr>
        <w:t xml:space="preserve"> added that these procedures include both the issues linked to the arrests suffered by the alleged victims, as well as those linked to forced exile.</w:t>
      </w:r>
    </w:p>
    <w:p w14:paraId="10D0FB75" w14:textId="77777777" w:rsidR="00B23E9B" w:rsidRPr="00EC349B" w:rsidRDefault="00B23E9B" w:rsidP="00B23E9B">
      <w:pPr>
        <w:tabs>
          <w:tab w:val="left" w:pos="720"/>
          <w:tab w:val="left" w:pos="1440"/>
        </w:tabs>
        <w:rPr>
          <w:rFonts w:ascii="Cambria" w:hAnsi="Cambria"/>
          <w:sz w:val="20"/>
          <w:szCs w:val="20"/>
          <w:bdr w:val="none" w:sz="0" w:space="0" w:color="auto"/>
        </w:rPr>
      </w:pPr>
    </w:p>
    <w:p w14:paraId="3C4B7F83" w14:textId="2D55A025" w:rsidR="00B23E9B" w:rsidRPr="00EC349B" w:rsidRDefault="00B23E9B" w:rsidP="007B07B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bdr w:val="none" w:sz="0" w:space="0" w:color="auto"/>
        </w:rPr>
      </w:pPr>
      <w:r w:rsidRPr="00EC349B">
        <w:rPr>
          <w:rFonts w:ascii="Cambria" w:hAnsi="Cambria"/>
          <w:sz w:val="20"/>
          <w:szCs w:val="20"/>
          <w:bdr w:val="none" w:sz="0" w:space="0" w:color="auto"/>
        </w:rPr>
        <w:t xml:space="preserve">On April 29, 2022, the State reported the issuance on April 21, 2022 of three resolutions of the Ministry of Justice through which Messrs. </w:t>
      </w:r>
      <w:r w:rsidR="00270F08" w:rsidRPr="00EC349B">
        <w:rPr>
          <w:rFonts w:ascii="Cambria" w:hAnsi="Cambria"/>
          <w:sz w:val="20"/>
          <w:szCs w:val="20"/>
          <w:bdr w:val="none" w:sz="0" w:space="0" w:color="auto"/>
        </w:rPr>
        <w:t>d</w:t>
      </w:r>
      <w:r w:rsidRPr="00EC349B">
        <w:rPr>
          <w:rFonts w:ascii="Cambria" w:hAnsi="Cambria"/>
          <w:sz w:val="20"/>
          <w:szCs w:val="20"/>
          <w:bdr w:val="none" w:sz="0" w:space="0" w:color="auto"/>
        </w:rPr>
        <w:t>e los Santos, Ferreira and Romero were granted the benefits provided for by the Law. No 24,043 its complementary and extensions</w:t>
      </w:r>
      <w:r w:rsidR="00270F08" w:rsidRPr="00EC349B">
        <w:rPr>
          <w:rStyle w:val="FootnoteReference"/>
          <w:rFonts w:cs="Verdana"/>
          <w:sz w:val="20"/>
          <w:szCs w:val="20"/>
          <w:lang w:val="es-ES" w:bidi="en-US"/>
        </w:rPr>
        <w:footnoteReference w:id="250"/>
      </w:r>
      <w:r w:rsidRPr="00EC349B">
        <w:rPr>
          <w:rFonts w:ascii="Cambria" w:hAnsi="Cambria"/>
          <w:sz w:val="20"/>
          <w:szCs w:val="20"/>
          <w:bdr w:val="none" w:sz="0" w:space="0" w:color="auto"/>
        </w:rPr>
        <w:t>. The State considered that the granting of said benefits complied with the recommendations of the Merits Report, in order to fully compensate the three victims.</w:t>
      </w:r>
    </w:p>
    <w:p w14:paraId="37678D6C" w14:textId="77777777" w:rsidR="00B23E9B" w:rsidRPr="00EC349B" w:rsidRDefault="00B23E9B" w:rsidP="00B23E9B">
      <w:pPr>
        <w:tabs>
          <w:tab w:val="left" w:pos="720"/>
          <w:tab w:val="left" w:pos="1440"/>
        </w:tabs>
        <w:rPr>
          <w:rFonts w:ascii="Cambria" w:hAnsi="Cambria"/>
          <w:sz w:val="20"/>
          <w:szCs w:val="20"/>
          <w:bdr w:val="none" w:sz="0" w:space="0" w:color="auto"/>
        </w:rPr>
      </w:pPr>
    </w:p>
    <w:p w14:paraId="1AA930FE" w14:textId="1E254846" w:rsidR="00B23E9B" w:rsidRPr="00EC349B" w:rsidRDefault="00B23E9B" w:rsidP="007B07B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bdr w:val="none" w:sz="0" w:space="0" w:color="auto"/>
        </w:rPr>
      </w:pPr>
      <w:r w:rsidRPr="00EC349B">
        <w:rPr>
          <w:rFonts w:ascii="Cambria" w:hAnsi="Cambria"/>
          <w:sz w:val="20"/>
          <w:szCs w:val="20"/>
          <w:bdr w:val="none" w:sz="0" w:space="0" w:color="auto"/>
        </w:rPr>
        <w:t>On July 28, 2022, the State sent the resolutions informing that the following reparations were granted:</w:t>
      </w:r>
    </w:p>
    <w:p w14:paraId="67C9420F" w14:textId="77777777" w:rsidR="00B23E9B" w:rsidRPr="00EC349B" w:rsidRDefault="00B23E9B" w:rsidP="00B23E9B">
      <w:pPr>
        <w:tabs>
          <w:tab w:val="left" w:pos="720"/>
          <w:tab w:val="left" w:pos="1440"/>
        </w:tabs>
        <w:rPr>
          <w:rFonts w:ascii="Cambria" w:hAnsi="Cambria"/>
          <w:sz w:val="20"/>
          <w:szCs w:val="20"/>
          <w:bdr w:val="none" w:sz="0" w:space="0" w:color="auto"/>
        </w:rPr>
      </w:pPr>
    </w:p>
    <w:p w14:paraId="2EF825B9" w14:textId="77777777" w:rsidR="00B23E9B" w:rsidRPr="00EC349B" w:rsidRDefault="00B23E9B" w:rsidP="00270F08">
      <w:pPr>
        <w:tabs>
          <w:tab w:val="left" w:pos="720"/>
          <w:tab w:val="left" w:pos="1440"/>
        </w:tabs>
        <w:jc w:val="both"/>
        <w:rPr>
          <w:rFonts w:ascii="Cambria" w:hAnsi="Cambria"/>
          <w:sz w:val="20"/>
          <w:szCs w:val="20"/>
          <w:bdr w:val="none" w:sz="0" w:space="0" w:color="auto"/>
        </w:rPr>
      </w:pPr>
      <w:r w:rsidRPr="00EC349B">
        <w:rPr>
          <w:rFonts w:ascii="Cambria" w:hAnsi="Cambria"/>
          <w:sz w:val="20"/>
          <w:szCs w:val="20"/>
          <w:bdr w:val="none" w:sz="0" w:space="0" w:color="auto"/>
        </w:rPr>
        <w:t>a) Mr. RITO DE LOS SANTOS by law 24,043 was granted the benefit of 3,478 days of compensation, for the period between June 2, 1974 and December 9, 1983; that is, from the day he was arrested, covering the forced exile that he had to undertake, until the return to democracy in Argentina.</w:t>
      </w:r>
    </w:p>
    <w:p w14:paraId="00CBEFBF" w14:textId="77777777" w:rsidR="00B23E9B" w:rsidRPr="00EC349B" w:rsidRDefault="00B23E9B" w:rsidP="00270F08">
      <w:pPr>
        <w:tabs>
          <w:tab w:val="left" w:pos="720"/>
          <w:tab w:val="left" w:pos="1440"/>
        </w:tabs>
        <w:jc w:val="both"/>
        <w:rPr>
          <w:rFonts w:ascii="Cambria" w:hAnsi="Cambria"/>
          <w:sz w:val="20"/>
          <w:szCs w:val="20"/>
          <w:bdr w:val="none" w:sz="0" w:space="0" w:color="auto"/>
        </w:rPr>
      </w:pPr>
      <w:r w:rsidRPr="00EC349B">
        <w:rPr>
          <w:rFonts w:ascii="Cambria" w:hAnsi="Cambria"/>
          <w:sz w:val="20"/>
          <w:szCs w:val="20"/>
          <w:bdr w:val="none" w:sz="0" w:space="0" w:color="auto"/>
        </w:rPr>
        <w:t>The amount corresponding to the compensable period amounts to 15,360,691.34 pesos.</w:t>
      </w:r>
    </w:p>
    <w:p w14:paraId="2AB91515" w14:textId="77777777" w:rsidR="00B23E9B" w:rsidRPr="00EC349B" w:rsidRDefault="00B23E9B" w:rsidP="00270F08">
      <w:pPr>
        <w:tabs>
          <w:tab w:val="left" w:pos="720"/>
          <w:tab w:val="left" w:pos="1440"/>
        </w:tabs>
        <w:jc w:val="both"/>
        <w:rPr>
          <w:rFonts w:ascii="Cambria" w:hAnsi="Cambria"/>
          <w:sz w:val="20"/>
          <w:szCs w:val="20"/>
          <w:bdr w:val="none" w:sz="0" w:space="0" w:color="auto"/>
        </w:rPr>
      </w:pPr>
      <w:r w:rsidRPr="00EC349B">
        <w:rPr>
          <w:rFonts w:ascii="Cambria" w:hAnsi="Cambria"/>
          <w:sz w:val="20"/>
          <w:szCs w:val="20"/>
          <w:bdr w:val="none" w:sz="0" w:space="0" w:color="auto"/>
        </w:rPr>
        <w:t>b) Likewise, Mr. FERREIRA was granted the benefit of 3,478 compensable days. The amount is equivalent to 15,360,691.34 pesos.</w:t>
      </w:r>
    </w:p>
    <w:p w14:paraId="196A7DEE" w14:textId="77777777" w:rsidR="00B23E9B" w:rsidRPr="00EC349B" w:rsidRDefault="00B23E9B" w:rsidP="00270F08">
      <w:pPr>
        <w:tabs>
          <w:tab w:val="left" w:pos="720"/>
          <w:tab w:val="left" w:pos="1440"/>
        </w:tabs>
        <w:jc w:val="both"/>
        <w:rPr>
          <w:rFonts w:ascii="Cambria" w:hAnsi="Cambria"/>
          <w:sz w:val="20"/>
          <w:szCs w:val="20"/>
          <w:bdr w:val="none" w:sz="0" w:space="0" w:color="auto"/>
        </w:rPr>
      </w:pPr>
      <w:r w:rsidRPr="00EC349B">
        <w:rPr>
          <w:rFonts w:ascii="Cambria" w:hAnsi="Cambria"/>
          <w:sz w:val="20"/>
          <w:szCs w:val="20"/>
          <w:bdr w:val="none" w:sz="0" w:space="0" w:color="auto"/>
        </w:rPr>
        <w:t>c) Likewise, Mr. ROMERO UBAL was granted 3,375 days of compensation, which is equivalent to 14,905,788.75 pesos.</w:t>
      </w:r>
    </w:p>
    <w:p w14:paraId="256DD463" w14:textId="77777777" w:rsidR="00B23E9B" w:rsidRPr="00EC349B" w:rsidRDefault="00B23E9B" w:rsidP="00B23E9B">
      <w:pPr>
        <w:tabs>
          <w:tab w:val="left" w:pos="720"/>
          <w:tab w:val="left" w:pos="1440"/>
        </w:tabs>
        <w:rPr>
          <w:rFonts w:ascii="Cambria" w:hAnsi="Cambria"/>
          <w:sz w:val="20"/>
          <w:szCs w:val="20"/>
          <w:bdr w:val="none" w:sz="0" w:space="0" w:color="auto"/>
        </w:rPr>
      </w:pPr>
    </w:p>
    <w:p w14:paraId="0179AFA6" w14:textId="5B83884D" w:rsidR="00B23E9B" w:rsidRPr="00EC349B" w:rsidRDefault="00B23E9B" w:rsidP="007B07B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bdr w:val="none" w:sz="0" w:space="0" w:color="auto"/>
        </w:rPr>
      </w:pPr>
      <w:r w:rsidRPr="00EC349B">
        <w:rPr>
          <w:rFonts w:ascii="Cambria" w:hAnsi="Cambria"/>
          <w:sz w:val="20"/>
          <w:szCs w:val="20"/>
          <w:bdr w:val="none" w:sz="0" w:space="0" w:color="auto"/>
        </w:rPr>
        <w:t xml:space="preserve">The State indicated that these resolutions were in the process of execution to be liquidated soon. </w:t>
      </w:r>
      <w:r w:rsidR="00270F08" w:rsidRPr="00EC349B">
        <w:rPr>
          <w:rFonts w:ascii="Cambria" w:hAnsi="Cambria"/>
          <w:sz w:val="20"/>
          <w:szCs w:val="20"/>
          <w:bdr w:val="none" w:sz="0" w:space="0" w:color="auto"/>
        </w:rPr>
        <w:t>It</w:t>
      </w:r>
      <w:r w:rsidRPr="00EC349B">
        <w:rPr>
          <w:rFonts w:ascii="Cambria" w:hAnsi="Cambria"/>
          <w:sz w:val="20"/>
          <w:szCs w:val="20"/>
          <w:bdr w:val="none" w:sz="0" w:space="0" w:color="auto"/>
        </w:rPr>
        <w:t xml:space="preserve"> also indicated that said law created the possibility for victims to obtain an ex-gratia pension under Law 26,913 for people who were deprived of their liberty for political reasons. </w:t>
      </w:r>
      <w:r w:rsidR="00270F08" w:rsidRPr="00EC349B">
        <w:rPr>
          <w:rFonts w:ascii="Cambria" w:hAnsi="Cambria"/>
          <w:sz w:val="20"/>
          <w:szCs w:val="20"/>
          <w:bdr w:val="none" w:sz="0" w:space="0" w:color="auto"/>
        </w:rPr>
        <w:t>It</w:t>
      </w:r>
      <w:r w:rsidRPr="00EC349B">
        <w:rPr>
          <w:rFonts w:ascii="Cambria" w:hAnsi="Cambria"/>
          <w:sz w:val="20"/>
          <w:szCs w:val="20"/>
          <w:bdr w:val="none" w:sz="0" w:space="0" w:color="auto"/>
        </w:rPr>
        <w:t xml:space="preserve"> pointed out that the victims began the legal procedures for this benefit, that it was granted to Messrs. Romero and </w:t>
      </w:r>
      <w:r w:rsidR="00270F08" w:rsidRPr="00EC349B">
        <w:rPr>
          <w:rFonts w:ascii="Cambria" w:hAnsi="Cambria"/>
          <w:sz w:val="20"/>
          <w:szCs w:val="20"/>
          <w:bdr w:val="none" w:sz="0" w:space="0" w:color="auto"/>
        </w:rPr>
        <w:t>d</w:t>
      </w:r>
      <w:r w:rsidRPr="00EC349B">
        <w:rPr>
          <w:rFonts w:ascii="Cambria" w:hAnsi="Cambria"/>
          <w:sz w:val="20"/>
          <w:szCs w:val="20"/>
          <w:bdr w:val="none" w:sz="0" w:space="0" w:color="auto"/>
        </w:rPr>
        <w:t>e los Santos and that in the case of Mr. Ferreira, the process had not yet been completed. The State considers that these reparations are reasonable and adequate to compensate for the material and non-material damage in compliance with current standards on the matter and requested the IACHR to declare compliance with its recommendations.</w:t>
      </w:r>
    </w:p>
    <w:p w14:paraId="34542EB0" w14:textId="77777777" w:rsidR="00B23E9B" w:rsidRPr="00EC349B" w:rsidRDefault="00B23E9B" w:rsidP="00B23E9B">
      <w:pPr>
        <w:tabs>
          <w:tab w:val="left" w:pos="720"/>
          <w:tab w:val="left" w:pos="1440"/>
        </w:tabs>
        <w:rPr>
          <w:rFonts w:ascii="Cambria" w:hAnsi="Cambria"/>
          <w:sz w:val="20"/>
          <w:szCs w:val="20"/>
          <w:bdr w:val="none" w:sz="0" w:space="0" w:color="auto"/>
        </w:rPr>
      </w:pPr>
    </w:p>
    <w:p w14:paraId="53BFF88D" w14:textId="4AE6FE10" w:rsidR="00773B3C" w:rsidRPr="00EC349B" w:rsidRDefault="00B23E9B" w:rsidP="007B07B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bdr w:val="none" w:sz="0" w:space="0" w:color="auto"/>
        </w:rPr>
      </w:pPr>
      <w:r w:rsidRPr="00EC349B">
        <w:rPr>
          <w:rFonts w:ascii="Cambria" w:hAnsi="Cambria"/>
          <w:sz w:val="20"/>
          <w:szCs w:val="20"/>
          <w:bdr w:val="none" w:sz="0" w:space="0" w:color="auto"/>
        </w:rPr>
        <w:t>The IACHR values the measures adopted by the State to comply with its recommendations and observes that there are still liquidations and procedures pending completion.</w:t>
      </w:r>
    </w:p>
    <w:p w14:paraId="0E28CD8D" w14:textId="77777777" w:rsidR="00385778" w:rsidRPr="00161ED9" w:rsidRDefault="00385778" w:rsidP="00385778">
      <w:pPr>
        <w:pStyle w:val="parrafos"/>
        <w:tabs>
          <w:tab w:val="clear" w:pos="360"/>
          <w:tab w:val="left" w:pos="426"/>
        </w:tabs>
        <w:ind w:left="0" w:firstLine="0"/>
        <w:rPr>
          <w:lang w:eastAsia="es-ES"/>
        </w:rPr>
      </w:pPr>
    </w:p>
    <w:p w14:paraId="4E6262FA" w14:textId="1724D53D" w:rsidR="00385778" w:rsidRPr="0080656E" w:rsidRDefault="00385778" w:rsidP="00385778">
      <w:pPr>
        <w:pStyle w:val="parrafos"/>
        <w:numPr>
          <w:ilvl w:val="0"/>
          <w:numId w:val="57"/>
        </w:numPr>
        <w:tabs>
          <w:tab w:val="clear" w:pos="360"/>
          <w:tab w:val="left" w:pos="426"/>
        </w:tabs>
        <w:ind w:left="0" w:firstLine="0"/>
        <w:rPr>
          <w:lang w:eastAsia="es-ES"/>
        </w:rPr>
      </w:pPr>
      <w:r w:rsidRPr="0080656E">
        <w:rPr>
          <w:lang w:eastAsia="es-ES"/>
        </w:rPr>
        <w:t xml:space="preserve">The Commission adopted Final Merits Report No. </w:t>
      </w:r>
      <w:r w:rsidR="00843679" w:rsidRPr="0080656E">
        <w:rPr>
          <w:lang w:eastAsia="es-ES"/>
        </w:rPr>
        <w:t>357</w:t>
      </w:r>
      <w:r w:rsidRPr="0080656E">
        <w:rPr>
          <w:lang w:eastAsia="es-ES"/>
        </w:rPr>
        <w:t xml:space="preserve">/23 on November </w:t>
      </w:r>
      <w:r w:rsidR="00843679" w:rsidRPr="0080656E">
        <w:rPr>
          <w:lang w:eastAsia="es-ES"/>
        </w:rPr>
        <w:t>30</w:t>
      </w:r>
      <w:r w:rsidRPr="0080656E">
        <w:rPr>
          <w:lang w:eastAsia="es-ES"/>
        </w:rPr>
        <w:t>, 2023 and transmitted it to the State on March 2</w:t>
      </w:r>
      <w:r w:rsidR="00843679" w:rsidRPr="0080656E">
        <w:rPr>
          <w:lang w:eastAsia="es-ES"/>
        </w:rPr>
        <w:t>0</w:t>
      </w:r>
      <w:r w:rsidRPr="0080656E">
        <w:rPr>
          <w:lang w:eastAsia="es-ES"/>
        </w:rPr>
        <w:t xml:space="preserve">, 2024, granting it a period of one month to inform the IACHR on the measures adopted to comply with its recommendations. </w:t>
      </w:r>
    </w:p>
    <w:p w14:paraId="2F7BF8F9" w14:textId="77777777" w:rsidR="00385778" w:rsidRPr="0080656E" w:rsidRDefault="00385778" w:rsidP="00385778">
      <w:pPr>
        <w:pStyle w:val="parrafos"/>
        <w:tabs>
          <w:tab w:val="clear" w:pos="360"/>
          <w:tab w:val="left" w:pos="426"/>
        </w:tabs>
        <w:ind w:left="0" w:firstLine="0"/>
        <w:rPr>
          <w:lang w:eastAsia="es-ES"/>
        </w:rPr>
      </w:pPr>
    </w:p>
    <w:p w14:paraId="420B2E5E" w14:textId="5C458E45" w:rsidR="00385778" w:rsidRPr="0080656E" w:rsidRDefault="00385778" w:rsidP="004517A6">
      <w:pPr>
        <w:pStyle w:val="Heading1"/>
        <w:keepNext/>
        <w:keepLines/>
        <w:numPr>
          <w:ilvl w:val="0"/>
          <w:numId w:val="55"/>
        </w:numPr>
        <w:suppressAutoHyphens w:val="0"/>
        <w:rPr>
          <w:lang w:val="en-US"/>
        </w:rPr>
      </w:pPr>
      <w:bookmarkStart w:id="37" w:name="_Toc193708220"/>
      <w:bookmarkStart w:id="38" w:name="_Toc196383501"/>
      <w:r w:rsidRPr="0080656E">
        <w:rPr>
          <w:lang w:val="en-US"/>
        </w:rPr>
        <w:t xml:space="preserve">ACTIONS SUBSEQUENT TO REPORT No. </w:t>
      </w:r>
      <w:r w:rsidR="00530255" w:rsidRPr="0080656E">
        <w:rPr>
          <w:lang w:val="en-US"/>
        </w:rPr>
        <w:t>357</w:t>
      </w:r>
      <w:r w:rsidRPr="0080656E">
        <w:rPr>
          <w:lang w:val="en-US"/>
        </w:rPr>
        <w:t>/23 AND COMPLIANCE INFORMATION</w:t>
      </w:r>
      <w:bookmarkEnd w:id="37"/>
      <w:bookmarkEnd w:id="38"/>
    </w:p>
    <w:p w14:paraId="57CBC1E9" w14:textId="77777777" w:rsidR="004517A6" w:rsidRPr="0080656E" w:rsidRDefault="004517A6" w:rsidP="00C371D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Cambria" w:hAnsi="Cambria"/>
          <w:sz w:val="20"/>
          <w:szCs w:val="20"/>
        </w:rPr>
      </w:pPr>
    </w:p>
    <w:p w14:paraId="41FE91AF" w14:textId="759F3AEF" w:rsidR="00385778" w:rsidRPr="0080656E" w:rsidRDefault="00385778" w:rsidP="00F5002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rPr>
      </w:pPr>
      <w:r w:rsidRPr="0080656E">
        <w:rPr>
          <w:rFonts w:ascii="Cambria" w:hAnsi="Cambria"/>
          <w:sz w:val="20"/>
          <w:szCs w:val="20"/>
        </w:rPr>
        <w:lastRenderedPageBreak/>
        <w:t>In the proceedings subsequent to the notification of the merits report</w:t>
      </w:r>
      <w:r w:rsidR="00C371DB" w:rsidRPr="0080656E">
        <w:rPr>
          <w:rFonts w:ascii="Cambria" w:hAnsi="Cambria"/>
          <w:sz w:val="20"/>
          <w:szCs w:val="20"/>
        </w:rPr>
        <w:t xml:space="preserve"> (final)</w:t>
      </w:r>
      <w:r w:rsidRPr="0080656E">
        <w:rPr>
          <w:rFonts w:ascii="Cambria" w:hAnsi="Cambria"/>
          <w:sz w:val="20"/>
          <w:szCs w:val="20"/>
        </w:rPr>
        <w:t xml:space="preserve">, the Commission received a State report and </w:t>
      </w:r>
      <w:r w:rsidR="00530255" w:rsidRPr="0080656E">
        <w:rPr>
          <w:rFonts w:ascii="Cambria" w:hAnsi="Cambria"/>
          <w:sz w:val="20"/>
          <w:szCs w:val="20"/>
        </w:rPr>
        <w:t xml:space="preserve">a </w:t>
      </w:r>
      <w:r w:rsidRPr="0080656E">
        <w:rPr>
          <w:rFonts w:ascii="Cambria" w:hAnsi="Cambria"/>
          <w:sz w:val="20"/>
          <w:szCs w:val="20"/>
        </w:rPr>
        <w:t xml:space="preserve">written submission from the petitioner regarding compliance with the recommendation. These communications were forwarded to the parties. </w:t>
      </w:r>
    </w:p>
    <w:p w14:paraId="13F946E6" w14:textId="77777777" w:rsidR="00F50024" w:rsidRPr="0080656E" w:rsidRDefault="00F50024" w:rsidP="00C371D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Cambria" w:hAnsi="Cambria"/>
          <w:sz w:val="20"/>
          <w:szCs w:val="20"/>
        </w:rPr>
      </w:pPr>
    </w:p>
    <w:p w14:paraId="39E029F8" w14:textId="24A70AE1" w:rsidR="00211404" w:rsidRPr="0080656E" w:rsidRDefault="00211404" w:rsidP="00B3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rPr>
      </w:pPr>
      <w:r w:rsidRPr="0080656E">
        <w:rPr>
          <w:rFonts w:ascii="Cambria" w:hAnsi="Cambria"/>
          <w:sz w:val="20"/>
          <w:szCs w:val="20"/>
        </w:rPr>
        <w:t>On May 3, 2024, the State informed that Resolutions 2022-391-APN-MJ (De Los Santos), 2022-392-APN-MJ (Ferreira) and 2022-393-APN-MJ (Romero Ubal), by which the benefit provided for in Law No. 26,564 “were received by the beneficiaries</w:t>
      </w:r>
      <w:r w:rsidR="0053301D" w:rsidRPr="0080656E">
        <w:rPr>
          <w:rFonts w:ascii="Cambria" w:hAnsi="Cambria"/>
          <w:sz w:val="20"/>
          <w:szCs w:val="20"/>
        </w:rPr>
        <w:t>”</w:t>
      </w:r>
      <w:r w:rsidRPr="0080656E">
        <w:rPr>
          <w:rFonts w:ascii="Cambria" w:hAnsi="Cambria"/>
          <w:sz w:val="20"/>
          <w:szCs w:val="20"/>
        </w:rPr>
        <w:t xml:space="preserve">. Likewise, it informed that Resolutions No. 2022-523-APN-SDDHH#MJ (De Los Santos) and 2022-497-APN-SDDHH#MJ (Romero Ubal) issued under the terms of Law No. 26.913 “were received” by Mr. De Los Santos and Mr. Romero Ubal. </w:t>
      </w:r>
    </w:p>
    <w:p w14:paraId="67B6D2AD" w14:textId="77777777" w:rsidR="00211404" w:rsidRPr="0080656E" w:rsidRDefault="00211404" w:rsidP="00C371D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Cambria" w:hAnsi="Cambria"/>
          <w:sz w:val="20"/>
          <w:szCs w:val="20"/>
        </w:rPr>
      </w:pPr>
    </w:p>
    <w:p w14:paraId="6BBD30E7" w14:textId="13719FA4" w:rsidR="00211404" w:rsidRPr="0080656E" w:rsidRDefault="00211404" w:rsidP="00B3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rPr>
      </w:pPr>
      <w:r w:rsidRPr="0080656E">
        <w:rPr>
          <w:rFonts w:ascii="Cambria" w:hAnsi="Cambria"/>
          <w:sz w:val="20"/>
          <w:szCs w:val="20"/>
        </w:rPr>
        <w:t>The State reported that the administrative proceedings corresponding to Mr. Rito De Los Santos, Mr. Ferreira and Mr. Romero Ubal are being processed before the “Dr. Fernando Ulloa” Center, with respect to the benefit for injuries.</w:t>
      </w:r>
    </w:p>
    <w:p w14:paraId="32DFB2A5" w14:textId="77777777" w:rsidR="00B36C81" w:rsidRPr="0080656E" w:rsidRDefault="00B36C81" w:rsidP="00C371D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Cambria" w:hAnsi="Cambria"/>
          <w:sz w:val="20"/>
          <w:szCs w:val="20"/>
        </w:rPr>
      </w:pPr>
    </w:p>
    <w:p w14:paraId="67E6439F" w14:textId="765CBC1C" w:rsidR="00C371DB" w:rsidRPr="0080656E" w:rsidRDefault="00C371DB" w:rsidP="00C371D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rPr>
      </w:pPr>
      <w:r w:rsidRPr="0080656E">
        <w:rPr>
          <w:rFonts w:ascii="Cambria" w:hAnsi="Cambria"/>
          <w:sz w:val="20"/>
          <w:szCs w:val="20"/>
        </w:rPr>
        <w:t xml:space="preserve">The State indicated that, according to the computer records of that Directorate, the claim form for Law No. 26.913 corresponding to Mr. Hugo Daniel Ferreira had not yet been received, and therefore his </w:t>
      </w:r>
      <w:r w:rsidRPr="0080656E">
        <w:rPr>
          <w:rFonts w:ascii="Cambria" w:hAnsi="Cambria"/>
          <w:i/>
          <w:iCs/>
          <w:sz w:val="20"/>
          <w:szCs w:val="20"/>
        </w:rPr>
        <w:t>ex</w:t>
      </w:r>
      <w:r w:rsidR="0053301D" w:rsidRPr="0080656E">
        <w:rPr>
          <w:rFonts w:ascii="Cambria" w:hAnsi="Cambria"/>
          <w:i/>
          <w:iCs/>
          <w:sz w:val="20"/>
          <w:szCs w:val="20"/>
        </w:rPr>
        <w:t>-</w:t>
      </w:r>
      <w:r w:rsidRPr="0080656E">
        <w:rPr>
          <w:rFonts w:ascii="Cambria" w:hAnsi="Cambria"/>
          <w:i/>
          <w:iCs/>
          <w:sz w:val="20"/>
          <w:szCs w:val="20"/>
        </w:rPr>
        <w:t>gratia</w:t>
      </w:r>
      <w:r w:rsidRPr="0080656E">
        <w:rPr>
          <w:rFonts w:ascii="Cambria" w:hAnsi="Cambria"/>
          <w:sz w:val="20"/>
          <w:szCs w:val="20"/>
        </w:rPr>
        <w:t xml:space="preserve"> pension has not been granted due to his sole responsibility and requests that the IACHR declare compliance with the recommendations.</w:t>
      </w:r>
    </w:p>
    <w:p w14:paraId="07BD12D7" w14:textId="77777777" w:rsidR="00C371DB" w:rsidRPr="0080656E" w:rsidRDefault="00C371DB" w:rsidP="00C371D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Cambria" w:hAnsi="Cambria"/>
          <w:sz w:val="20"/>
          <w:szCs w:val="20"/>
        </w:rPr>
      </w:pPr>
    </w:p>
    <w:p w14:paraId="7B88810B" w14:textId="0EEB3952" w:rsidR="00C371DB" w:rsidRPr="0080656E" w:rsidRDefault="00C371DB" w:rsidP="00C371D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rPr>
      </w:pPr>
      <w:r w:rsidRPr="0080656E">
        <w:rPr>
          <w:rFonts w:ascii="Cambria" w:hAnsi="Cambria"/>
          <w:sz w:val="20"/>
          <w:szCs w:val="20"/>
        </w:rPr>
        <w:t xml:space="preserve">On October 29, 2024, the petitioner responded that the State had not complied with granting the pension despite having submitted the required form on May 17, 2022, which was attached. </w:t>
      </w:r>
    </w:p>
    <w:p w14:paraId="3ECB7304" w14:textId="77777777" w:rsidR="00C371DB" w:rsidRPr="0080656E" w:rsidRDefault="00C371DB" w:rsidP="00C371D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Cambria" w:hAnsi="Cambria"/>
          <w:sz w:val="20"/>
          <w:szCs w:val="20"/>
        </w:rPr>
      </w:pPr>
    </w:p>
    <w:p w14:paraId="1E082936" w14:textId="18A02F91" w:rsidR="00C371DB" w:rsidRPr="0080656E" w:rsidRDefault="00C371DB" w:rsidP="00C371D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rPr>
      </w:pPr>
      <w:r w:rsidRPr="0080656E">
        <w:rPr>
          <w:rFonts w:ascii="Cambria" w:hAnsi="Cambria"/>
          <w:sz w:val="20"/>
          <w:szCs w:val="20"/>
        </w:rPr>
        <w:t>This communication was forwarded on March 13, 2025</w:t>
      </w:r>
      <w:r w:rsidR="0098016B" w:rsidRPr="0080656E">
        <w:rPr>
          <w:rFonts w:ascii="Cambria" w:hAnsi="Cambria"/>
          <w:sz w:val="20"/>
          <w:szCs w:val="20"/>
        </w:rPr>
        <w:t>,</w:t>
      </w:r>
      <w:r w:rsidRPr="0080656E">
        <w:rPr>
          <w:rFonts w:ascii="Cambria" w:hAnsi="Cambria"/>
          <w:sz w:val="20"/>
          <w:szCs w:val="20"/>
        </w:rPr>
        <w:t xml:space="preserve"> to the State for it to submit its observations within one month, which were not received by the IACHR at the expiration of the deadline.</w:t>
      </w:r>
    </w:p>
    <w:p w14:paraId="10292F9B" w14:textId="77777777" w:rsidR="007B07BD" w:rsidRPr="0080656E" w:rsidRDefault="007B07BD" w:rsidP="007B07B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Cambria" w:hAnsi="Cambria"/>
          <w:sz w:val="20"/>
          <w:szCs w:val="20"/>
          <w:bdr w:val="none" w:sz="0" w:space="0" w:color="auto"/>
        </w:rPr>
      </w:pPr>
    </w:p>
    <w:p w14:paraId="06AF0893" w14:textId="2B81B7F8" w:rsidR="00417E7D" w:rsidRPr="0080656E" w:rsidRDefault="007B07BD" w:rsidP="00C238A7">
      <w:pPr>
        <w:pStyle w:val="Heading1"/>
        <w:keepNext/>
        <w:keepLines/>
        <w:numPr>
          <w:ilvl w:val="0"/>
          <w:numId w:val="55"/>
        </w:numPr>
        <w:suppressAutoHyphens w:val="0"/>
        <w:rPr>
          <w:lang w:val="en-US"/>
        </w:rPr>
      </w:pPr>
      <w:bookmarkStart w:id="39" w:name="_Toc196383502"/>
      <w:r w:rsidRPr="0080656E">
        <w:rPr>
          <w:lang w:val="en-US"/>
        </w:rPr>
        <w:t xml:space="preserve">FINAL </w:t>
      </w:r>
      <w:r w:rsidR="00417E7D" w:rsidRPr="0080656E">
        <w:rPr>
          <w:lang w:val="en-US"/>
        </w:rPr>
        <w:t>CONCLUSIONS</w:t>
      </w:r>
      <w:r w:rsidR="00E92985" w:rsidRPr="0080656E">
        <w:rPr>
          <w:lang w:val="en-US"/>
        </w:rPr>
        <w:t xml:space="preserve"> </w:t>
      </w:r>
      <w:r w:rsidR="00CF5A22" w:rsidRPr="0080656E">
        <w:rPr>
          <w:lang w:val="en-US"/>
        </w:rPr>
        <w:t>AND</w:t>
      </w:r>
      <w:r w:rsidR="00E92985" w:rsidRPr="0080656E">
        <w:rPr>
          <w:lang w:val="en-US"/>
        </w:rPr>
        <w:t xml:space="preserve"> </w:t>
      </w:r>
      <w:r w:rsidR="00417E7D" w:rsidRPr="0080656E">
        <w:rPr>
          <w:lang w:val="en-US"/>
        </w:rPr>
        <w:t>RECOM</w:t>
      </w:r>
      <w:r w:rsidR="00CF5A22" w:rsidRPr="0080656E">
        <w:rPr>
          <w:lang w:val="en-US"/>
        </w:rPr>
        <w:t>M</w:t>
      </w:r>
      <w:r w:rsidR="00417E7D" w:rsidRPr="0080656E">
        <w:rPr>
          <w:lang w:val="en-US"/>
        </w:rPr>
        <w:t>ENDA</w:t>
      </w:r>
      <w:r w:rsidR="00CF5A22" w:rsidRPr="0080656E">
        <w:rPr>
          <w:lang w:val="en-US"/>
        </w:rPr>
        <w:t>TION</w:t>
      </w:r>
      <w:r w:rsidR="00417E7D" w:rsidRPr="0080656E">
        <w:rPr>
          <w:lang w:val="en-US"/>
        </w:rPr>
        <w:t>S</w:t>
      </w:r>
      <w:bookmarkEnd w:id="39"/>
      <w:r w:rsidR="00417E7D" w:rsidRPr="0080656E">
        <w:rPr>
          <w:lang w:val="en-US"/>
        </w:rPr>
        <w:t xml:space="preserve"> </w:t>
      </w:r>
    </w:p>
    <w:p w14:paraId="03E8B098" w14:textId="77777777" w:rsidR="00417E7D" w:rsidRPr="0080656E" w:rsidRDefault="00417E7D" w:rsidP="008E4D36">
      <w:pPr>
        <w:suppressAutoHyphens/>
        <w:rPr>
          <w:rFonts w:asciiTheme="majorHAnsi" w:hAnsiTheme="majorHAnsi"/>
          <w:b/>
          <w:sz w:val="20"/>
          <w:szCs w:val="20"/>
        </w:rPr>
      </w:pPr>
    </w:p>
    <w:p w14:paraId="70860AC7" w14:textId="5887EF3B" w:rsidR="00485B3D" w:rsidRPr="0080656E" w:rsidRDefault="00485B3D"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rPr>
      </w:pPr>
      <w:r w:rsidRPr="0080656E">
        <w:rPr>
          <w:rFonts w:ascii="Cambria" w:hAnsi="Cambria"/>
          <w:sz w:val="20"/>
          <w:szCs w:val="20"/>
        </w:rPr>
        <w:t>The Commission observes that, notwithstanding the progress made initially and despite the passage of time, the State has not fully complied with the reparation indicated in the merits report, and therefore urges it to continue with the steps to make the reparation effective.</w:t>
      </w:r>
    </w:p>
    <w:p w14:paraId="5835A1ED" w14:textId="77777777" w:rsidR="00485B3D" w:rsidRPr="0080656E" w:rsidRDefault="00485B3D" w:rsidP="00485B3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Cambria" w:hAnsi="Cambria"/>
          <w:sz w:val="20"/>
          <w:szCs w:val="20"/>
        </w:rPr>
      </w:pPr>
    </w:p>
    <w:p w14:paraId="10CB6BBF" w14:textId="2CA27C44" w:rsidR="00417E7D" w:rsidRPr="0080656E" w:rsidRDefault="004921CF" w:rsidP="008E4D3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rPr>
      </w:pPr>
      <w:r w:rsidRPr="0080656E">
        <w:rPr>
          <w:rFonts w:ascii="Cambria" w:hAnsi="Cambria"/>
          <w:sz w:val="20"/>
          <w:szCs w:val="20"/>
        </w:rPr>
        <w:t xml:space="preserve">Based on </w:t>
      </w:r>
      <w:r w:rsidR="00F20A37" w:rsidRPr="0080656E">
        <w:rPr>
          <w:rFonts w:ascii="Cambria" w:hAnsi="Cambria"/>
          <w:sz w:val="20"/>
          <w:szCs w:val="20"/>
        </w:rPr>
        <w:t>the</w:t>
      </w:r>
      <w:r w:rsidR="00417E7D" w:rsidRPr="0080656E">
        <w:rPr>
          <w:rFonts w:ascii="Cambria" w:hAnsi="Cambria"/>
          <w:sz w:val="20"/>
          <w:szCs w:val="20"/>
        </w:rPr>
        <w:t xml:space="preserve"> </w:t>
      </w:r>
      <w:r w:rsidR="00F20A37" w:rsidRPr="0080656E">
        <w:rPr>
          <w:rFonts w:ascii="Cambria" w:hAnsi="Cambria"/>
          <w:sz w:val="20"/>
          <w:szCs w:val="20"/>
        </w:rPr>
        <w:t>determinations</w:t>
      </w:r>
      <w:r w:rsidR="00E92985" w:rsidRPr="0080656E">
        <w:rPr>
          <w:rFonts w:ascii="Cambria" w:hAnsi="Cambria"/>
          <w:sz w:val="20"/>
          <w:szCs w:val="20"/>
        </w:rPr>
        <w:t xml:space="preserve"> of</w:t>
      </w:r>
      <w:r w:rsidR="005F6157" w:rsidRPr="0080656E">
        <w:rPr>
          <w:rFonts w:ascii="Cambria" w:hAnsi="Cambria"/>
          <w:sz w:val="20"/>
          <w:szCs w:val="20"/>
        </w:rPr>
        <w:t xml:space="preserve"> fact</w:t>
      </w:r>
      <w:r w:rsidR="00E92985" w:rsidRPr="0080656E">
        <w:rPr>
          <w:rFonts w:ascii="Cambria" w:hAnsi="Cambria"/>
          <w:sz w:val="20"/>
          <w:szCs w:val="20"/>
        </w:rPr>
        <w:t xml:space="preserve"> and </w:t>
      </w:r>
      <w:r w:rsidR="00F20A37" w:rsidRPr="0080656E">
        <w:rPr>
          <w:rFonts w:ascii="Cambria" w:hAnsi="Cambria"/>
          <w:sz w:val="20"/>
          <w:szCs w:val="20"/>
        </w:rPr>
        <w:t>law</w:t>
      </w:r>
      <w:r w:rsidR="00417E7D" w:rsidRPr="0080656E">
        <w:rPr>
          <w:rFonts w:ascii="Cambria" w:hAnsi="Cambria"/>
          <w:sz w:val="20"/>
          <w:szCs w:val="20"/>
        </w:rPr>
        <w:t xml:space="preserve">, </w:t>
      </w:r>
      <w:r w:rsidR="00E92985" w:rsidRPr="0080656E">
        <w:rPr>
          <w:rFonts w:ascii="Cambria" w:hAnsi="Cambria"/>
          <w:sz w:val="20"/>
          <w:szCs w:val="20"/>
        </w:rPr>
        <w:t>the Inter-American Commission</w:t>
      </w:r>
      <w:r w:rsidR="001009FE" w:rsidRPr="0080656E">
        <w:rPr>
          <w:rFonts w:ascii="Cambria" w:hAnsi="Cambria"/>
          <w:sz w:val="20"/>
          <w:szCs w:val="20"/>
        </w:rPr>
        <w:t xml:space="preserve"> conclu</w:t>
      </w:r>
      <w:r w:rsidR="00F20A37" w:rsidRPr="0080656E">
        <w:rPr>
          <w:rFonts w:ascii="Cambria" w:hAnsi="Cambria"/>
          <w:sz w:val="20"/>
          <w:szCs w:val="20"/>
        </w:rPr>
        <w:t>d</w:t>
      </w:r>
      <w:r w:rsidR="001009FE" w:rsidRPr="0080656E">
        <w:rPr>
          <w:rFonts w:ascii="Cambria" w:hAnsi="Cambria"/>
          <w:sz w:val="20"/>
          <w:szCs w:val="20"/>
        </w:rPr>
        <w:t>e</w:t>
      </w:r>
      <w:r w:rsidR="00F20A37" w:rsidRPr="0080656E">
        <w:rPr>
          <w:rFonts w:ascii="Cambria" w:hAnsi="Cambria"/>
          <w:sz w:val="20"/>
          <w:szCs w:val="20"/>
        </w:rPr>
        <w:t>s</w:t>
      </w:r>
      <w:r w:rsidR="00417E7D" w:rsidRPr="0080656E">
        <w:rPr>
          <w:rFonts w:ascii="Cambria" w:hAnsi="Cambria"/>
          <w:sz w:val="20"/>
          <w:szCs w:val="20"/>
        </w:rPr>
        <w:t xml:space="preserve"> </w:t>
      </w:r>
      <w:r w:rsidR="00CF5A22" w:rsidRPr="0080656E">
        <w:rPr>
          <w:rFonts w:ascii="Cambria" w:hAnsi="Cambria"/>
          <w:sz w:val="20"/>
          <w:szCs w:val="20"/>
        </w:rPr>
        <w:t>that</w:t>
      </w:r>
      <w:r w:rsidR="00417E7D" w:rsidRPr="0080656E">
        <w:rPr>
          <w:rFonts w:ascii="Cambria" w:hAnsi="Cambria"/>
          <w:sz w:val="20"/>
          <w:szCs w:val="20"/>
        </w:rPr>
        <w:t xml:space="preserve"> </w:t>
      </w:r>
      <w:r w:rsidR="00F92BA8" w:rsidRPr="0080656E">
        <w:rPr>
          <w:rFonts w:ascii="Cambria" w:hAnsi="Cambria"/>
          <w:sz w:val="20"/>
          <w:szCs w:val="20"/>
        </w:rPr>
        <w:t>the State</w:t>
      </w:r>
      <w:r w:rsidR="00D70A85" w:rsidRPr="0080656E">
        <w:rPr>
          <w:rFonts w:ascii="Cambria" w:hAnsi="Cambria"/>
          <w:sz w:val="20"/>
          <w:szCs w:val="20"/>
        </w:rPr>
        <w:t xml:space="preserve"> is </w:t>
      </w:r>
      <w:r w:rsidR="00D64B7E" w:rsidRPr="0080656E">
        <w:rPr>
          <w:rFonts w:ascii="Cambria" w:hAnsi="Cambria"/>
          <w:sz w:val="20"/>
          <w:szCs w:val="20"/>
        </w:rPr>
        <w:t>responsible</w:t>
      </w:r>
      <w:r w:rsidR="00C91385" w:rsidRPr="0080656E">
        <w:rPr>
          <w:rFonts w:ascii="Cambria" w:hAnsi="Cambria"/>
          <w:sz w:val="20"/>
          <w:szCs w:val="20"/>
        </w:rPr>
        <w:t xml:space="preserve"> for the violation</w:t>
      </w:r>
      <w:r w:rsidR="00E92985" w:rsidRPr="0080656E">
        <w:rPr>
          <w:rFonts w:ascii="Cambria" w:hAnsi="Cambria"/>
          <w:sz w:val="20"/>
          <w:szCs w:val="20"/>
        </w:rPr>
        <w:t xml:space="preserve"> of </w:t>
      </w:r>
      <w:r w:rsidR="00C91385" w:rsidRPr="0080656E">
        <w:rPr>
          <w:rFonts w:ascii="Cambria" w:hAnsi="Cambria"/>
          <w:sz w:val="20"/>
          <w:szCs w:val="20"/>
        </w:rPr>
        <w:t>the</w:t>
      </w:r>
      <w:r w:rsidR="00757C21" w:rsidRPr="0080656E">
        <w:rPr>
          <w:rFonts w:ascii="Cambria" w:hAnsi="Cambria"/>
          <w:sz w:val="20"/>
          <w:szCs w:val="20"/>
        </w:rPr>
        <w:t xml:space="preserve"> rights </w:t>
      </w:r>
      <w:r w:rsidR="00F20A37" w:rsidRPr="0080656E">
        <w:rPr>
          <w:rFonts w:ascii="Cambria" w:hAnsi="Cambria"/>
          <w:sz w:val="20"/>
          <w:szCs w:val="20"/>
          <w:bdr w:val="none" w:sz="0" w:space="0" w:color="auto"/>
        </w:rPr>
        <w:t xml:space="preserve">to have duly reasoned decisions </w:t>
      </w:r>
      <w:r w:rsidR="001009FE" w:rsidRPr="0080656E">
        <w:rPr>
          <w:rFonts w:ascii="Cambria" w:hAnsi="Cambria"/>
          <w:sz w:val="20"/>
          <w:szCs w:val="20"/>
        </w:rPr>
        <w:t>(</w:t>
      </w:r>
      <w:r w:rsidR="0029564F" w:rsidRPr="0080656E">
        <w:rPr>
          <w:rFonts w:ascii="Cambria" w:hAnsi="Cambria"/>
          <w:sz w:val="20"/>
          <w:szCs w:val="20"/>
          <w:bdr w:val="none" w:sz="0" w:space="0" w:color="auto"/>
        </w:rPr>
        <w:t>article</w:t>
      </w:r>
      <w:r w:rsidR="001009FE" w:rsidRPr="0080656E">
        <w:rPr>
          <w:rFonts w:ascii="Cambria" w:hAnsi="Cambria"/>
          <w:sz w:val="20"/>
          <w:szCs w:val="20"/>
        </w:rPr>
        <w:t xml:space="preserve"> 8.1),</w:t>
      </w:r>
      <w:r w:rsidR="00E92985" w:rsidRPr="0080656E">
        <w:rPr>
          <w:rFonts w:ascii="Cambria" w:hAnsi="Cambria"/>
          <w:sz w:val="20"/>
          <w:szCs w:val="20"/>
        </w:rPr>
        <w:t xml:space="preserve"> and </w:t>
      </w:r>
      <w:r w:rsidR="00F20A37" w:rsidRPr="0080656E">
        <w:rPr>
          <w:rFonts w:ascii="Cambria" w:hAnsi="Cambria"/>
          <w:sz w:val="20"/>
          <w:szCs w:val="20"/>
        </w:rPr>
        <w:t>to</w:t>
      </w:r>
      <w:r w:rsidR="009A4F91" w:rsidRPr="0080656E">
        <w:rPr>
          <w:rFonts w:ascii="Cambria" w:hAnsi="Cambria"/>
          <w:sz w:val="20"/>
          <w:szCs w:val="20"/>
        </w:rPr>
        <w:t xml:space="preserve"> </w:t>
      </w:r>
      <w:r w:rsidR="007C16F9" w:rsidRPr="0080656E">
        <w:rPr>
          <w:rFonts w:ascii="Cambria" w:hAnsi="Cambria"/>
          <w:sz w:val="20"/>
          <w:szCs w:val="20"/>
        </w:rPr>
        <w:t xml:space="preserve">judicial protection </w:t>
      </w:r>
      <w:r w:rsidR="001009FE" w:rsidRPr="0080656E">
        <w:rPr>
          <w:rFonts w:ascii="Cambria" w:hAnsi="Cambria"/>
          <w:sz w:val="20"/>
          <w:szCs w:val="20"/>
        </w:rPr>
        <w:t>(</w:t>
      </w:r>
      <w:r w:rsidR="0029564F" w:rsidRPr="0080656E">
        <w:rPr>
          <w:rFonts w:ascii="Cambria" w:hAnsi="Cambria"/>
          <w:sz w:val="20"/>
          <w:szCs w:val="20"/>
        </w:rPr>
        <w:t>article</w:t>
      </w:r>
      <w:r w:rsidR="001009FE" w:rsidRPr="0080656E">
        <w:rPr>
          <w:rFonts w:ascii="Cambria" w:hAnsi="Cambria"/>
          <w:sz w:val="20"/>
          <w:szCs w:val="20"/>
        </w:rPr>
        <w:t xml:space="preserve"> 25.1)</w:t>
      </w:r>
      <w:r w:rsidR="00E92985" w:rsidRPr="0080656E">
        <w:rPr>
          <w:rFonts w:ascii="Cambria" w:hAnsi="Cambria"/>
          <w:sz w:val="20"/>
          <w:szCs w:val="20"/>
        </w:rPr>
        <w:t xml:space="preserve"> of the </w:t>
      </w:r>
      <w:r w:rsidR="00B920CA" w:rsidRPr="0080656E">
        <w:rPr>
          <w:rFonts w:ascii="Cambria" w:hAnsi="Cambria"/>
          <w:sz w:val="20"/>
          <w:szCs w:val="20"/>
        </w:rPr>
        <w:t>American Convention</w:t>
      </w:r>
      <w:r w:rsidR="001009FE" w:rsidRPr="0080656E">
        <w:rPr>
          <w:rFonts w:ascii="Cambria" w:hAnsi="Cambria"/>
          <w:sz w:val="20"/>
          <w:szCs w:val="20"/>
        </w:rPr>
        <w:t xml:space="preserve">, </w:t>
      </w:r>
      <w:r w:rsidR="00B74DB5" w:rsidRPr="0080656E">
        <w:rPr>
          <w:rFonts w:ascii="Cambria" w:hAnsi="Cambria"/>
          <w:sz w:val="20"/>
          <w:szCs w:val="20"/>
        </w:rPr>
        <w:t xml:space="preserve">in regard to </w:t>
      </w:r>
      <w:r w:rsidR="00775F21" w:rsidRPr="0080656E">
        <w:rPr>
          <w:rFonts w:ascii="Cambria" w:hAnsi="Cambria"/>
          <w:sz w:val="20"/>
          <w:szCs w:val="20"/>
        </w:rPr>
        <w:t>equality</w:t>
      </w:r>
      <w:r w:rsidR="00FA2E7B" w:rsidRPr="0080656E">
        <w:rPr>
          <w:rFonts w:ascii="Cambria" w:hAnsi="Cambria"/>
          <w:sz w:val="20"/>
          <w:szCs w:val="20"/>
        </w:rPr>
        <w:t xml:space="preserve"> </w:t>
      </w:r>
      <w:r w:rsidR="00F20A37" w:rsidRPr="0080656E">
        <w:rPr>
          <w:rFonts w:ascii="Cambria" w:hAnsi="Cambria"/>
          <w:sz w:val="20"/>
          <w:szCs w:val="20"/>
        </w:rPr>
        <w:t>before the</w:t>
      </w:r>
      <w:r w:rsidR="0080315F" w:rsidRPr="0080656E">
        <w:rPr>
          <w:rFonts w:ascii="Cambria" w:hAnsi="Cambria"/>
          <w:sz w:val="20"/>
          <w:szCs w:val="20"/>
        </w:rPr>
        <w:t xml:space="preserve"> </w:t>
      </w:r>
      <w:r w:rsidR="002835FC" w:rsidRPr="0080656E">
        <w:rPr>
          <w:rFonts w:ascii="Cambria" w:hAnsi="Cambria"/>
          <w:sz w:val="20"/>
          <w:szCs w:val="20"/>
        </w:rPr>
        <w:t xml:space="preserve">Law </w:t>
      </w:r>
      <w:r w:rsidR="0080315F" w:rsidRPr="0080656E">
        <w:rPr>
          <w:rFonts w:ascii="Cambria" w:hAnsi="Cambria"/>
          <w:sz w:val="20"/>
          <w:szCs w:val="20"/>
        </w:rPr>
        <w:t>(</w:t>
      </w:r>
      <w:r w:rsidR="0029564F" w:rsidRPr="0080656E">
        <w:rPr>
          <w:rFonts w:ascii="Cambria" w:hAnsi="Cambria"/>
          <w:sz w:val="20"/>
          <w:szCs w:val="20"/>
        </w:rPr>
        <w:t>article</w:t>
      </w:r>
      <w:r w:rsidR="0080315F" w:rsidRPr="0080656E">
        <w:rPr>
          <w:rFonts w:ascii="Cambria" w:hAnsi="Cambria"/>
          <w:sz w:val="20"/>
          <w:szCs w:val="20"/>
        </w:rPr>
        <w:t xml:space="preserve"> 24)</w:t>
      </w:r>
      <w:r w:rsidR="00E92985" w:rsidRPr="0080656E">
        <w:rPr>
          <w:rFonts w:ascii="Cambria" w:hAnsi="Cambria"/>
          <w:sz w:val="20"/>
          <w:szCs w:val="20"/>
        </w:rPr>
        <w:t xml:space="preserve"> and</w:t>
      </w:r>
      <w:r w:rsidR="004C5A00" w:rsidRPr="0080656E">
        <w:rPr>
          <w:rFonts w:ascii="Cambria" w:hAnsi="Cambria"/>
          <w:sz w:val="20"/>
          <w:szCs w:val="20"/>
        </w:rPr>
        <w:t xml:space="preserve"> article </w:t>
      </w:r>
      <w:r w:rsidR="002D5EDD" w:rsidRPr="0080656E">
        <w:rPr>
          <w:rFonts w:ascii="Cambria" w:hAnsi="Cambria"/>
          <w:sz w:val="20"/>
          <w:szCs w:val="20"/>
        </w:rPr>
        <w:t>1.1</w:t>
      </w:r>
      <w:r w:rsidR="004969F4" w:rsidRPr="0080656E">
        <w:rPr>
          <w:rFonts w:ascii="Cambria" w:hAnsi="Cambria"/>
          <w:sz w:val="20"/>
          <w:szCs w:val="20"/>
        </w:rPr>
        <w:t xml:space="preserve"> </w:t>
      </w:r>
      <w:r w:rsidR="00F20A37" w:rsidRPr="0080656E">
        <w:rPr>
          <w:rFonts w:ascii="Cambria" w:hAnsi="Cambria"/>
          <w:sz w:val="20"/>
          <w:szCs w:val="20"/>
        </w:rPr>
        <w:t>thereo</w:t>
      </w:r>
      <w:r w:rsidR="004969F4" w:rsidRPr="0080656E">
        <w:rPr>
          <w:rFonts w:ascii="Cambria" w:hAnsi="Cambria"/>
          <w:sz w:val="20"/>
          <w:szCs w:val="20"/>
        </w:rPr>
        <w:t>f</w:t>
      </w:r>
      <w:r w:rsidR="00F20A37" w:rsidRPr="0080656E">
        <w:rPr>
          <w:rFonts w:ascii="Cambria" w:hAnsi="Cambria"/>
          <w:sz w:val="20"/>
          <w:szCs w:val="20"/>
        </w:rPr>
        <w:t xml:space="preserve"> to </w:t>
      </w:r>
      <w:r w:rsidR="00E92985" w:rsidRPr="0080656E">
        <w:rPr>
          <w:rFonts w:ascii="Cambria" w:hAnsi="Cambria"/>
          <w:sz w:val="20"/>
          <w:szCs w:val="20"/>
        </w:rPr>
        <w:t xml:space="preserve">the detriment of </w:t>
      </w:r>
      <w:r w:rsidR="002D5EDD" w:rsidRPr="0080656E">
        <w:rPr>
          <w:rFonts w:ascii="Cambria" w:hAnsi="Cambria"/>
          <w:sz w:val="20"/>
          <w:szCs w:val="20"/>
        </w:rPr>
        <w:t>Julio César</w:t>
      </w:r>
      <w:r w:rsidR="00317212" w:rsidRPr="0080656E">
        <w:rPr>
          <w:rFonts w:ascii="Cambria" w:hAnsi="Cambria"/>
          <w:sz w:val="20"/>
          <w:szCs w:val="20"/>
        </w:rPr>
        <w:t xml:space="preserve"> </w:t>
      </w:r>
      <w:r w:rsidR="00BD093F" w:rsidRPr="0080656E">
        <w:rPr>
          <w:rFonts w:ascii="Cambria" w:hAnsi="Cambria"/>
          <w:sz w:val="20"/>
          <w:szCs w:val="20"/>
        </w:rPr>
        <w:t xml:space="preserve">Rito </w:t>
      </w:r>
      <w:r w:rsidR="00270F08" w:rsidRPr="0080656E">
        <w:rPr>
          <w:rFonts w:ascii="Cambria" w:hAnsi="Cambria"/>
          <w:sz w:val="20"/>
          <w:szCs w:val="20"/>
        </w:rPr>
        <w:t>d</w:t>
      </w:r>
      <w:r w:rsidR="00BD093F" w:rsidRPr="0080656E">
        <w:rPr>
          <w:rFonts w:ascii="Cambria" w:hAnsi="Cambria"/>
          <w:sz w:val="20"/>
          <w:szCs w:val="20"/>
        </w:rPr>
        <w:t xml:space="preserve">e los </w:t>
      </w:r>
      <w:r w:rsidR="00317212" w:rsidRPr="0080656E">
        <w:rPr>
          <w:rFonts w:ascii="Cambria" w:hAnsi="Cambria"/>
          <w:sz w:val="20"/>
          <w:szCs w:val="20"/>
        </w:rPr>
        <w:t xml:space="preserve">Santos, </w:t>
      </w:r>
      <w:r w:rsidR="002D5EDD" w:rsidRPr="0080656E">
        <w:rPr>
          <w:rFonts w:ascii="Cambria" w:hAnsi="Cambria"/>
          <w:sz w:val="20"/>
          <w:szCs w:val="20"/>
        </w:rPr>
        <w:t>Hugo Daniel Ferreira</w:t>
      </w:r>
      <w:r w:rsidR="00E92985" w:rsidRPr="0080656E">
        <w:rPr>
          <w:rFonts w:ascii="Cambria" w:hAnsi="Cambria"/>
          <w:sz w:val="20"/>
          <w:szCs w:val="20"/>
        </w:rPr>
        <w:t xml:space="preserve"> and </w:t>
      </w:r>
      <w:r w:rsidR="00317212" w:rsidRPr="0080656E">
        <w:rPr>
          <w:rFonts w:ascii="Cambria" w:hAnsi="Cambria"/>
          <w:sz w:val="20"/>
          <w:szCs w:val="20"/>
        </w:rPr>
        <w:t>Nicasio Washington Romero Ubal.</w:t>
      </w:r>
      <w:r w:rsidR="00FC257E" w:rsidRPr="0080656E">
        <w:rPr>
          <w:rFonts w:ascii="Cambria" w:hAnsi="Cambria"/>
          <w:sz w:val="20"/>
          <w:szCs w:val="20"/>
        </w:rPr>
        <w:t xml:space="preserve"> Likewise, </w:t>
      </w:r>
      <w:r w:rsidR="00E92985" w:rsidRPr="0080656E">
        <w:rPr>
          <w:rFonts w:ascii="Cambria" w:hAnsi="Cambria"/>
          <w:sz w:val="20"/>
          <w:szCs w:val="20"/>
        </w:rPr>
        <w:t>the Commission</w:t>
      </w:r>
      <w:r w:rsidR="00417E7D" w:rsidRPr="0080656E">
        <w:rPr>
          <w:rFonts w:ascii="Cambria" w:hAnsi="Cambria"/>
          <w:sz w:val="20"/>
          <w:szCs w:val="20"/>
        </w:rPr>
        <w:t xml:space="preserve"> conclu</w:t>
      </w:r>
      <w:r w:rsidR="00F20A37" w:rsidRPr="0080656E">
        <w:rPr>
          <w:rFonts w:ascii="Cambria" w:hAnsi="Cambria"/>
          <w:sz w:val="20"/>
          <w:szCs w:val="20"/>
        </w:rPr>
        <w:t>ded</w:t>
      </w:r>
      <w:r w:rsidR="00417E7D" w:rsidRPr="0080656E">
        <w:rPr>
          <w:rFonts w:ascii="Cambria" w:hAnsi="Cambria"/>
          <w:sz w:val="20"/>
          <w:szCs w:val="20"/>
        </w:rPr>
        <w:t xml:space="preserve"> </w:t>
      </w:r>
      <w:r w:rsidR="00F20A37" w:rsidRPr="0080656E">
        <w:rPr>
          <w:rFonts w:ascii="Cambria" w:hAnsi="Cambria"/>
          <w:sz w:val="20"/>
          <w:szCs w:val="20"/>
        </w:rPr>
        <w:t>that</w:t>
      </w:r>
      <w:r w:rsidR="00417E7D" w:rsidRPr="0080656E">
        <w:rPr>
          <w:rFonts w:ascii="Cambria" w:hAnsi="Cambria"/>
          <w:sz w:val="20"/>
          <w:szCs w:val="20"/>
        </w:rPr>
        <w:t xml:space="preserve"> </w:t>
      </w:r>
      <w:r w:rsidR="00F92BA8" w:rsidRPr="0080656E">
        <w:rPr>
          <w:rFonts w:ascii="Cambria" w:hAnsi="Cambria"/>
          <w:sz w:val="20"/>
          <w:szCs w:val="20"/>
        </w:rPr>
        <w:t>the State</w:t>
      </w:r>
      <w:r w:rsidR="00D70A85" w:rsidRPr="0080656E">
        <w:rPr>
          <w:rFonts w:ascii="Cambria" w:hAnsi="Cambria"/>
          <w:sz w:val="20"/>
          <w:szCs w:val="20"/>
        </w:rPr>
        <w:t xml:space="preserve"> is </w:t>
      </w:r>
      <w:r w:rsidR="00D64B7E" w:rsidRPr="0080656E">
        <w:rPr>
          <w:rFonts w:ascii="Cambria" w:hAnsi="Cambria"/>
          <w:sz w:val="20"/>
          <w:szCs w:val="20"/>
        </w:rPr>
        <w:t>responsible</w:t>
      </w:r>
      <w:r w:rsidR="00417E7D" w:rsidRPr="0080656E">
        <w:rPr>
          <w:rFonts w:ascii="Cambria" w:hAnsi="Cambria"/>
          <w:sz w:val="20"/>
          <w:szCs w:val="20"/>
        </w:rPr>
        <w:t xml:space="preserve"> </w:t>
      </w:r>
      <w:r w:rsidR="0054078D" w:rsidRPr="0080656E">
        <w:rPr>
          <w:rFonts w:ascii="Cambria" w:hAnsi="Cambria"/>
          <w:sz w:val="20"/>
          <w:szCs w:val="20"/>
        </w:rPr>
        <w:t>f</w:t>
      </w:r>
      <w:r w:rsidR="00417E7D" w:rsidRPr="0080656E">
        <w:rPr>
          <w:rFonts w:ascii="Cambria" w:hAnsi="Cambria"/>
          <w:sz w:val="20"/>
          <w:szCs w:val="20"/>
        </w:rPr>
        <w:t>or</w:t>
      </w:r>
      <w:r w:rsidR="009A4F91" w:rsidRPr="0080656E">
        <w:rPr>
          <w:rFonts w:ascii="Cambria" w:hAnsi="Cambria"/>
          <w:sz w:val="20"/>
          <w:szCs w:val="20"/>
        </w:rPr>
        <w:t xml:space="preserve"> the </w:t>
      </w:r>
      <w:r w:rsidR="004E1083" w:rsidRPr="0080656E">
        <w:rPr>
          <w:rFonts w:ascii="Cambria" w:hAnsi="Cambria"/>
          <w:sz w:val="20"/>
          <w:szCs w:val="20"/>
        </w:rPr>
        <w:t>violation</w:t>
      </w:r>
      <w:r w:rsidR="00E92985" w:rsidRPr="0080656E">
        <w:rPr>
          <w:rFonts w:ascii="Cambria" w:hAnsi="Cambria"/>
          <w:sz w:val="20"/>
          <w:szCs w:val="20"/>
        </w:rPr>
        <w:t xml:space="preserve"> of </w:t>
      </w:r>
      <w:r w:rsidR="0029564F" w:rsidRPr="0080656E">
        <w:rPr>
          <w:rFonts w:ascii="Cambria" w:hAnsi="Cambria"/>
          <w:sz w:val="20"/>
          <w:szCs w:val="20"/>
        </w:rPr>
        <w:t>article</w:t>
      </w:r>
      <w:r w:rsidR="002D5EDD" w:rsidRPr="0080656E">
        <w:rPr>
          <w:rFonts w:ascii="Cambria" w:hAnsi="Cambria"/>
          <w:sz w:val="20"/>
          <w:szCs w:val="20"/>
        </w:rPr>
        <w:t xml:space="preserve">s I, </w:t>
      </w:r>
      <w:r w:rsidR="002D5EDD" w:rsidRPr="0080656E">
        <w:rPr>
          <w:rFonts w:ascii="Cambria" w:eastAsia="Calibri" w:hAnsi="Cambria"/>
          <w:sz w:val="20"/>
          <w:szCs w:val="20"/>
          <w:bdr w:val="none" w:sz="0" w:space="0" w:color="auto"/>
        </w:rPr>
        <w:t>VIII, XVIII</w:t>
      </w:r>
      <w:r w:rsidR="00317212" w:rsidRPr="0080656E">
        <w:rPr>
          <w:rFonts w:ascii="Cambria" w:eastAsia="Calibri" w:hAnsi="Cambria"/>
          <w:sz w:val="20"/>
          <w:szCs w:val="20"/>
          <w:bdr w:val="none" w:sz="0" w:space="0" w:color="auto"/>
        </w:rPr>
        <w:t>, XXI,</w:t>
      </w:r>
      <w:r w:rsidR="002D5EDD" w:rsidRPr="0080656E">
        <w:rPr>
          <w:rFonts w:ascii="Cambria" w:eastAsia="Calibri" w:hAnsi="Cambria"/>
          <w:sz w:val="20"/>
          <w:szCs w:val="20"/>
          <w:bdr w:val="none" w:sz="0" w:space="0" w:color="auto"/>
        </w:rPr>
        <w:t xml:space="preserve"> XXV</w:t>
      </w:r>
      <w:r w:rsidR="00E92985" w:rsidRPr="0080656E">
        <w:rPr>
          <w:rFonts w:ascii="Cambria" w:eastAsia="Calibri" w:hAnsi="Cambria"/>
          <w:sz w:val="20"/>
          <w:szCs w:val="20"/>
          <w:bdr w:val="none" w:sz="0" w:space="0" w:color="auto"/>
        </w:rPr>
        <w:t xml:space="preserve"> and </w:t>
      </w:r>
      <w:r w:rsidR="002D5EDD" w:rsidRPr="0080656E">
        <w:rPr>
          <w:rFonts w:ascii="Cambria" w:eastAsia="Calibri" w:hAnsi="Cambria"/>
          <w:sz w:val="20"/>
          <w:szCs w:val="20"/>
          <w:bdr w:val="none" w:sz="0" w:space="0" w:color="auto"/>
        </w:rPr>
        <w:t>XXVI</w:t>
      </w:r>
      <w:r w:rsidR="00E92985" w:rsidRPr="0080656E">
        <w:rPr>
          <w:rFonts w:ascii="Cambria" w:hAnsi="Cambria"/>
          <w:sz w:val="20"/>
          <w:szCs w:val="20"/>
        </w:rPr>
        <w:t xml:space="preserve"> of the </w:t>
      </w:r>
      <w:r w:rsidR="00A311C9" w:rsidRPr="0080656E">
        <w:rPr>
          <w:rFonts w:ascii="Cambria" w:hAnsi="Cambria"/>
          <w:sz w:val="20"/>
          <w:szCs w:val="20"/>
        </w:rPr>
        <w:t>American Declaration</w:t>
      </w:r>
      <w:r w:rsidR="00417E7D" w:rsidRPr="0080656E">
        <w:rPr>
          <w:rFonts w:ascii="Cambria" w:hAnsi="Cambria"/>
          <w:sz w:val="20"/>
          <w:szCs w:val="20"/>
        </w:rPr>
        <w:t xml:space="preserve">. </w:t>
      </w:r>
    </w:p>
    <w:p w14:paraId="66F13E86" w14:textId="77777777" w:rsidR="00A11BFF" w:rsidRPr="0080656E" w:rsidRDefault="00A11BFF" w:rsidP="007B07B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Cambria" w:hAnsi="Cambria"/>
          <w:sz w:val="20"/>
          <w:szCs w:val="20"/>
        </w:rPr>
      </w:pPr>
    </w:p>
    <w:p w14:paraId="12F0DF99" w14:textId="7CCFE7D1" w:rsidR="007B07BD" w:rsidRPr="0080656E" w:rsidRDefault="007B07BD" w:rsidP="007B07B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rPr>
      </w:pPr>
      <w:r w:rsidRPr="0080656E">
        <w:rPr>
          <w:rFonts w:ascii="Cambria" w:hAnsi="Cambria"/>
          <w:sz w:val="20"/>
          <w:szCs w:val="20"/>
        </w:rPr>
        <w:t>Based on the above conclusions,</w:t>
      </w:r>
    </w:p>
    <w:p w14:paraId="4FF8871A" w14:textId="77777777" w:rsidR="00417E7D" w:rsidRPr="0080656E" w:rsidRDefault="00417E7D" w:rsidP="007B07B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Cambria" w:hAnsi="Cambria"/>
          <w:sz w:val="20"/>
          <w:szCs w:val="20"/>
        </w:rPr>
      </w:pPr>
    </w:p>
    <w:p w14:paraId="0C63C3EB" w14:textId="3E41D211" w:rsidR="00417E7D" w:rsidRPr="0080656E" w:rsidRDefault="00417E7D" w:rsidP="008E4D36">
      <w:pPr>
        <w:suppressAutoHyphens/>
        <w:jc w:val="both"/>
        <w:rPr>
          <w:rFonts w:asciiTheme="majorHAnsi" w:hAnsiTheme="majorHAnsi"/>
          <w:b/>
          <w:sz w:val="20"/>
          <w:szCs w:val="20"/>
        </w:rPr>
      </w:pPr>
      <w:r w:rsidRPr="0080656E">
        <w:rPr>
          <w:rFonts w:asciiTheme="majorHAnsi" w:hAnsiTheme="majorHAnsi"/>
          <w:b/>
          <w:sz w:val="20"/>
          <w:szCs w:val="20"/>
        </w:rPr>
        <w:tab/>
      </w:r>
      <w:r w:rsidR="00E92985" w:rsidRPr="0080656E">
        <w:rPr>
          <w:rFonts w:asciiTheme="majorHAnsi" w:hAnsiTheme="majorHAnsi"/>
          <w:b/>
          <w:sz w:val="20"/>
          <w:szCs w:val="20"/>
        </w:rPr>
        <w:t xml:space="preserve">THE INTER-AMERICAN COMMISSION </w:t>
      </w:r>
      <w:r w:rsidR="00664D70" w:rsidRPr="0080656E">
        <w:rPr>
          <w:rFonts w:asciiTheme="majorHAnsi" w:hAnsiTheme="majorHAnsi"/>
          <w:b/>
          <w:sz w:val="20"/>
          <w:szCs w:val="20"/>
        </w:rPr>
        <w:t>ON HUMAN RIGHTS</w:t>
      </w:r>
      <w:r w:rsidR="002D5EDD" w:rsidRPr="0080656E">
        <w:rPr>
          <w:rFonts w:asciiTheme="majorHAnsi" w:hAnsiTheme="majorHAnsi"/>
          <w:b/>
          <w:sz w:val="20"/>
          <w:szCs w:val="20"/>
        </w:rPr>
        <w:t>, RE</w:t>
      </w:r>
      <w:r w:rsidR="007B07BD" w:rsidRPr="0080656E">
        <w:rPr>
          <w:rFonts w:asciiTheme="majorHAnsi" w:hAnsiTheme="majorHAnsi"/>
          <w:b/>
          <w:sz w:val="20"/>
          <w:szCs w:val="20"/>
        </w:rPr>
        <w:t>ITERATES</w:t>
      </w:r>
      <w:r w:rsidR="002D5EDD" w:rsidRPr="0080656E">
        <w:rPr>
          <w:rFonts w:asciiTheme="majorHAnsi" w:hAnsiTheme="majorHAnsi"/>
          <w:b/>
          <w:sz w:val="20"/>
          <w:szCs w:val="20"/>
        </w:rPr>
        <w:t xml:space="preserve"> </w:t>
      </w:r>
      <w:r w:rsidR="00BF771A" w:rsidRPr="0080656E">
        <w:rPr>
          <w:rFonts w:asciiTheme="majorHAnsi" w:hAnsiTheme="majorHAnsi"/>
          <w:b/>
          <w:sz w:val="20"/>
          <w:szCs w:val="20"/>
        </w:rPr>
        <w:t>THE</w:t>
      </w:r>
      <w:r w:rsidR="003A2A80" w:rsidRPr="0080656E">
        <w:rPr>
          <w:rFonts w:asciiTheme="majorHAnsi" w:hAnsiTheme="majorHAnsi"/>
          <w:b/>
          <w:sz w:val="20"/>
          <w:szCs w:val="20"/>
        </w:rPr>
        <w:t xml:space="preserve"> </w:t>
      </w:r>
      <w:r w:rsidR="00BF771A" w:rsidRPr="0080656E">
        <w:rPr>
          <w:rFonts w:asciiTheme="majorHAnsi" w:hAnsiTheme="majorHAnsi"/>
          <w:b/>
          <w:sz w:val="20"/>
          <w:szCs w:val="20"/>
        </w:rPr>
        <w:t>STATE OF</w:t>
      </w:r>
      <w:r w:rsidR="00E92985" w:rsidRPr="0080656E">
        <w:rPr>
          <w:rFonts w:asciiTheme="majorHAnsi" w:hAnsiTheme="majorHAnsi"/>
          <w:b/>
          <w:sz w:val="20"/>
          <w:szCs w:val="20"/>
        </w:rPr>
        <w:t xml:space="preserve"> </w:t>
      </w:r>
      <w:r w:rsidR="002D5EDD" w:rsidRPr="0080656E">
        <w:rPr>
          <w:rFonts w:asciiTheme="majorHAnsi" w:hAnsiTheme="majorHAnsi"/>
          <w:b/>
          <w:sz w:val="20"/>
          <w:szCs w:val="20"/>
        </w:rPr>
        <w:t>ARGENTINA</w:t>
      </w:r>
      <w:r w:rsidRPr="0080656E">
        <w:rPr>
          <w:rFonts w:asciiTheme="majorHAnsi" w:hAnsiTheme="majorHAnsi"/>
          <w:b/>
          <w:sz w:val="20"/>
          <w:szCs w:val="20"/>
        </w:rPr>
        <w:t>,</w:t>
      </w:r>
    </w:p>
    <w:p w14:paraId="6A5FCF2F" w14:textId="77777777" w:rsidR="002D5EDD" w:rsidRPr="0080656E" w:rsidRDefault="002D5EDD" w:rsidP="008E4D36">
      <w:pPr>
        <w:suppressAutoHyphens/>
        <w:jc w:val="both"/>
        <w:rPr>
          <w:rFonts w:asciiTheme="majorHAnsi" w:hAnsiTheme="majorHAnsi"/>
          <w:sz w:val="20"/>
          <w:szCs w:val="20"/>
        </w:rPr>
      </w:pPr>
    </w:p>
    <w:p w14:paraId="0B25EFE3" w14:textId="79CA6D04" w:rsidR="007B07BD" w:rsidRPr="0080656E" w:rsidRDefault="00BF771A" w:rsidP="00C371DB">
      <w:pPr>
        <w:pStyle w:val="ListParagraph"/>
        <w:numPr>
          <w:ilvl w:val="0"/>
          <w:numId w:val="60"/>
        </w:numPr>
        <w:suppressAutoHyphens/>
        <w:ind w:left="360"/>
        <w:jc w:val="both"/>
        <w:rPr>
          <w:rFonts w:asciiTheme="majorHAnsi" w:hAnsiTheme="majorHAnsi"/>
          <w:b/>
          <w:sz w:val="20"/>
          <w:szCs w:val="20"/>
        </w:rPr>
      </w:pPr>
      <w:r w:rsidRPr="0080656E">
        <w:rPr>
          <w:rFonts w:asciiTheme="majorHAnsi" w:hAnsiTheme="majorHAnsi"/>
          <w:sz w:val="20"/>
          <w:szCs w:val="20"/>
        </w:rPr>
        <w:t>To integrally repair</w:t>
      </w:r>
      <w:r w:rsidR="002D5EDD" w:rsidRPr="0080656E">
        <w:rPr>
          <w:rFonts w:asciiTheme="majorHAnsi" w:hAnsiTheme="majorHAnsi"/>
          <w:sz w:val="20"/>
          <w:szCs w:val="20"/>
        </w:rPr>
        <w:t xml:space="preserve"> </w:t>
      </w:r>
      <w:r w:rsidR="00CF5A22" w:rsidRPr="0080656E">
        <w:rPr>
          <w:rFonts w:asciiTheme="majorHAnsi" w:hAnsiTheme="majorHAnsi"/>
          <w:sz w:val="20"/>
          <w:szCs w:val="20"/>
        </w:rPr>
        <w:t xml:space="preserve">the </w:t>
      </w:r>
      <w:r w:rsidR="004E1083" w:rsidRPr="0080656E">
        <w:rPr>
          <w:rFonts w:asciiTheme="majorHAnsi" w:hAnsiTheme="majorHAnsi"/>
          <w:sz w:val="20"/>
          <w:szCs w:val="20"/>
        </w:rPr>
        <w:t>violations</w:t>
      </w:r>
      <w:r w:rsidR="00E92985" w:rsidRPr="0080656E">
        <w:rPr>
          <w:rFonts w:asciiTheme="majorHAnsi" w:hAnsiTheme="majorHAnsi"/>
          <w:sz w:val="20"/>
          <w:szCs w:val="20"/>
        </w:rPr>
        <w:t xml:space="preserve"> of </w:t>
      </w:r>
      <w:r w:rsidR="00C96A38" w:rsidRPr="0080656E">
        <w:rPr>
          <w:rFonts w:asciiTheme="majorHAnsi" w:hAnsiTheme="majorHAnsi"/>
          <w:sz w:val="20"/>
          <w:szCs w:val="20"/>
        </w:rPr>
        <w:t>h</w:t>
      </w:r>
      <w:r w:rsidR="00664D70" w:rsidRPr="0080656E">
        <w:rPr>
          <w:rFonts w:asciiTheme="majorHAnsi" w:hAnsiTheme="majorHAnsi"/>
          <w:sz w:val="20"/>
          <w:szCs w:val="20"/>
        </w:rPr>
        <w:t>uman rights</w:t>
      </w:r>
      <w:r w:rsidR="00F4684B" w:rsidRPr="0080656E">
        <w:rPr>
          <w:rFonts w:asciiTheme="majorHAnsi" w:hAnsiTheme="majorHAnsi"/>
          <w:sz w:val="20"/>
          <w:szCs w:val="20"/>
        </w:rPr>
        <w:t xml:space="preserve"> </w:t>
      </w:r>
      <w:r w:rsidR="002D5EDD" w:rsidRPr="0080656E">
        <w:rPr>
          <w:rFonts w:asciiTheme="majorHAnsi" w:hAnsiTheme="majorHAnsi"/>
          <w:sz w:val="20"/>
          <w:szCs w:val="20"/>
        </w:rPr>
        <w:t>declar</w:t>
      </w:r>
      <w:r w:rsidR="00C96A38" w:rsidRPr="0080656E">
        <w:rPr>
          <w:rFonts w:asciiTheme="majorHAnsi" w:hAnsiTheme="majorHAnsi"/>
          <w:sz w:val="20"/>
          <w:szCs w:val="20"/>
        </w:rPr>
        <w:t>ed</w:t>
      </w:r>
      <w:r w:rsidR="002D5EDD" w:rsidRPr="0080656E">
        <w:rPr>
          <w:rFonts w:asciiTheme="majorHAnsi" w:hAnsiTheme="majorHAnsi"/>
          <w:sz w:val="20"/>
          <w:szCs w:val="20"/>
        </w:rPr>
        <w:t xml:space="preserve"> </w:t>
      </w:r>
      <w:r w:rsidR="00C96A38" w:rsidRPr="0080656E">
        <w:rPr>
          <w:rFonts w:asciiTheme="majorHAnsi" w:hAnsiTheme="majorHAnsi"/>
          <w:sz w:val="20"/>
          <w:szCs w:val="20"/>
        </w:rPr>
        <w:t>on the present report</w:t>
      </w:r>
      <w:r w:rsidR="002D5EDD" w:rsidRPr="0080656E">
        <w:rPr>
          <w:rFonts w:asciiTheme="majorHAnsi" w:hAnsiTheme="majorHAnsi"/>
          <w:sz w:val="20"/>
          <w:szCs w:val="20"/>
        </w:rPr>
        <w:t xml:space="preserve">, </w:t>
      </w:r>
      <w:r w:rsidR="00C96A38" w:rsidRPr="0080656E">
        <w:rPr>
          <w:rFonts w:asciiTheme="majorHAnsi" w:hAnsiTheme="majorHAnsi"/>
          <w:sz w:val="20"/>
          <w:szCs w:val="20"/>
        </w:rPr>
        <w:t>for both material and immaterial damage</w:t>
      </w:r>
      <w:r w:rsidR="00C64137" w:rsidRPr="0080656E">
        <w:rPr>
          <w:rFonts w:asciiTheme="majorHAnsi" w:hAnsiTheme="majorHAnsi"/>
          <w:sz w:val="20"/>
          <w:szCs w:val="20"/>
        </w:rPr>
        <w:t>,</w:t>
      </w:r>
      <w:r w:rsidR="002D5EDD" w:rsidRPr="0080656E">
        <w:rPr>
          <w:rFonts w:asciiTheme="majorHAnsi" w:hAnsiTheme="majorHAnsi"/>
          <w:sz w:val="20"/>
          <w:szCs w:val="20"/>
        </w:rPr>
        <w:t xml:space="preserve"> </w:t>
      </w:r>
      <w:r w:rsidR="005835F2" w:rsidRPr="0080656E">
        <w:rPr>
          <w:rFonts w:asciiTheme="majorHAnsi" w:hAnsiTheme="majorHAnsi"/>
          <w:sz w:val="20"/>
          <w:szCs w:val="20"/>
        </w:rPr>
        <w:t>including</w:t>
      </w:r>
      <w:r w:rsidR="00B773DC" w:rsidRPr="0080656E">
        <w:rPr>
          <w:rFonts w:asciiTheme="majorHAnsi" w:hAnsiTheme="majorHAnsi"/>
          <w:sz w:val="20"/>
          <w:szCs w:val="20"/>
        </w:rPr>
        <w:t xml:space="preserve"> </w:t>
      </w:r>
      <w:r w:rsidR="00C96A38" w:rsidRPr="0080656E">
        <w:rPr>
          <w:rFonts w:asciiTheme="majorHAnsi" w:hAnsiTheme="majorHAnsi"/>
          <w:sz w:val="20"/>
          <w:szCs w:val="20"/>
        </w:rPr>
        <w:t>a fair compensation</w:t>
      </w:r>
      <w:r w:rsidR="00CC1579" w:rsidRPr="0080656E">
        <w:rPr>
          <w:rFonts w:asciiTheme="majorHAnsi" w:hAnsiTheme="majorHAnsi"/>
          <w:sz w:val="20"/>
          <w:szCs w:val="20"/>
        </w:rPr>
        <w:t xml:space="preserve">, </w:t>
      </w:r>
      <w:r w:rsidR="00C96A38" w:rsidRPr="0080656E">
        <w:rPr>
          <w:rFonts w:asciiTheme="majorHAnsi" w:hAnsiTheme="majorHAnsi"/>
          <w:sz w:val="20"/>
          <w:szCs w:val="20"/>
        </w:rPr>
        <w:t>fo</w:t>
      </w:r>
      <w:r w:rsidR="002D5EDD" w:rsidRPr="0080656E">
        <w:rPr>
          <w:rFonts w:asciiTheme="majorHAnsi" w:hAnsiTheme="majorHAnsi"/>
          <w:sz w:val="20"/>
          <w:szCs w:val="20"/>
        </w:rPr>
        <w:t xml:space="preserve">r </w:t>
      </w:r>
      <w:r w:rsidR="00C96A38" w:rsidRPr="0080656E">
        <w:rPr>
          <w:rFonts w:asciiTheme="majorHAnsi" w:hAnsiTheme="majorHAnsi"/>
          <w:sz w:val="20"/>
          <w:szCs w:val="20"/>
        </w:rPr>
        <w:t xml:space="preserve">the </w:t>
      </w:r>
      <w:r w:rsidR="004E1083" w:rsidRPr="0080656E">
        <w:rPr>
          <w:rFonts w:asciiTheme="majorHAnsi" w:hAnsiTheme="majorHAnsi"/>
          <w:sz w:val="20"/>
          <w:szCs w:val="20"/>
        </w:rPr>
        <w:t>violations</w:t>
      </w:r>
      <w:r w:rsidR="0080315F" w:rsidRPr="0080656E">
        <w:rPr>
          <w:rFonts w:asciiTheme="majorHAnsi" w:hAnsiTheme="majorHAnsi"/>
          <w:sz w:val="20"/>
          <w:szCs w:val="20"/>
        </w:rPr>
        <w:t xml:space="preserve"> </w:t>
      </w:r>
      <w:r w:rsidR="00C96A38" w:rsidRPr="0080656E">
        <w:rPr>
          <w:rFonts w:asciiTheme="majorHAnsi" w:hAnsiTheme="majorHAnsi"/>
          <w:sz w:val="20"/>
          <w:szCs w:val="20"/>
        </w:rPr>
        <w:t xml:space="preserve">declared on the present report </w:t>
      </w:r>
      <w:r w:rsidR="00E92985" w:rsidRPr="0080656E">
        <w:rPr>
          <w:rFonts w:asciiTheme="majorHAnsi" w:hAnsiTheme="majorHAnsi"/>
          <w:sz w:val="20"/>
          <w:szCs w:val="20"/>
        </w:rPr>
        <w:t xml:space="preserve">to the detriment of </w:t>
      </w:r>
      <w:r w:rsidR="00C96A38" w:rsidRPr="0080656E">
        <w:rPr>
          <w:rFonts w:asciiTheme="majorHAnsi" w:hAnsiTheme="majorHAnsi"/>
          <w:sz w:val="20"/>
          <w:szCs w:val="20"/>
        </w:rPr>
        <w:t>Mr.</w:t>
      </w:r>
      <w:r w:rsidR="00C64137" w:rsidRPr="0080656E">
        <w:rPr>
          <w:rFonts w:asciiTheme="majorHAnsi" w:hAnsiTheme="majorHAnsi"/>
          <w:sz w:val="20"/>
          <w:szCs w:val="20"/>
        </w:rPr>
        <w:t xml:space="preserve"> Julio César </w:t>
      </w:r>
      <w:r w:rsidR="00BD093F" w:rsidRPr="0080656E">
        <w:rPr>
          <w:rFonts w:asciiTheme="majorHAnsi" w:hAnsiTheme="majorHAnsi"/>
          <w:sz w:val="20"/>
          <w:szCs w:val="20"/>
        </w:rPr>
        <w:t xml:space="preserve">Rito de los </w:t>
      </w:r>
      <w:r w:rsidR="00C64137" w:rsidRPr="0080656E">
        <w:rPr>
          <w:rFonts w:asciiTheme="majorHAnsi" w:hAnsiTheme="majorHAnsi"/>
          <w:sz w:val="20"/>
          <w:szCs w:val="20"/>
        </w:rPr>
        <w:t xml:space="preserve">Santos, </w:t>
      </w:r>
      <w:r w:rsidR="00C96A38" w:rsidRPr="0080656E">
        <w:rPr>
          <w:rFonts w:asciiTheme="majorHAnsi" w:hAnsiTheme="majorHAnsi"/>
          <w:sz w:val="20"/>
          <w:szCs w:val="20"/>
        </w:rPr>
        <w:t xml:space="preserve">Mr. </w:t>
      </w:r>
      <w:r w:rsidR="00C64137" w:rsidRPr="0080656E">
        <w:rPr>
          <w:rFonts w:asciiTheme="majorHAnsi" w:hAnsiTheme="majorHAnsi"/>
          <w:sz w:val="20"/>
          <w:szCs w:val="20"/>
        </w:rPr>
        <w:t>Hugo Daniel Ferreira</w:t>
      </w:r>
      <w:r w:rsidR="00E92985" w:rsidRPr="0080656E">
        <w:rPr>
          <w:rFonts w:asciiTheme="majorHAnsi" w:hAnsiTheme="majorHAnsi"/>
          <w:sz w:val="20"/>
          <w:szCs w:val="20"/>
        </w:rPr>
        <w:t xml:space="preserve"> and </w:t>
      </w:r>
      <w:r w:rsidR="00C96A38" w:rsidRPr="0080656E">
        <w:rPr>
          <w:rFonts w:asciiTheme="majorHAnsi" w:hAnsiTheme="majorHAnsi"/>
          <w:sz w:val="20"/>
          <w:szCs w:val="20"/>
        </w:rPr>
        <w:t xml:space="preserve">Mr. </w:t>
      </w:r>
      <w:r w:rsidR="00C64137" w:rsidRPr="0080656E">
        <w:rPr>
          <w:rFonts w:asciiTheme="majorHAnsi" w:hAnsiTheme="majorHAnsi"/>
          <w:sz w:val="20"/>
          <w:szCs w:val="20"/>
        </w:rPr>
        <w:t xml:space="preserve">Nicasio Washington Romero Ubal. </w:t>
      </w:r>
    </w:p>
    <w:p w14:paraId="0A6E8D18" w14:textId="77777777" w:rsidR="00FB5DB4" w:rsidRPr="0080656E" w:rsidRDefault="00FB5DB4" w:rsidP="00FB5DB4">
      <w:pPr>
        <w:suppressAutoHyphens/>
        <w:ind w:left="720"/>
        <w:jc w:val="both"/>
        <w:rPr>
          <w:rFonts w:ascii="Cambria" w:hAnsi="Cambria"/>
          <w:sz w:val="20"/>
          <w:szCs w:val="20"/>
        </w:rPr>
      </w:pPr>
    </w:p>
    <w:p w14:paraId="4E278498" w14:textId="77777777" w:rsidR="00FB5DB4" w:rsidRPr="0080656E" w:rsidRDefault="00FB5DB4" w:rsidP="00C371DB">
      <w:pPr>
        <w:pStyle w:val="Heading1"/>
        <w:keepNext/>
        <w:keepLines/>
        <w:numPr>
          <w:ilvl w:val="0"/>
          <w:numId w:val="55"/>
        </w:numPr>
        <w:suppressAutoHyphens w:val="0"/>
        <w:rPr>
          <w:lang w:val="en-US"/>
        </w:rPr>
      </w:pPr>
      <w:bookmarkStart w:id="40" w:name="_Toc193708222"/>
      <w:bookmarkStart w:id="41" w:name="_Toc196383503"/>
      <w:r w:rsidRPr="0080656E">
        <w:rPr>
          <w:lang w:val="en-US"/>
        </w:rPr>
        <w:t>PUBLICATION</w:t>
      </w:r>
      <w:bookmarkEnd w:id="40"/>
      <w:bookmarkEnd w:id="41"/>
    </w:p>
    <w:p w14:paraId="5D16A1DE" w14:textId="77777777" w:rsidR="00FB5DB4" w:rsidRPr="0080656E" w:rsidRDefault="00FB5DB4" w:rsidP="00FB5DB4">
      <w:pPr>
        <w:ind w:firstLine="708"/>
        <w:rPr>
          <w:rFonts w:asciiTheme="majorHAnsi" w:hAnsiTheme="majorHAnsi"/>
          <w:spacing w:val="-2"/>
          <w:sz w:val="20"/>
          <w:szCs w:val="20"/>
        </w:rPr>
      </w:pPr>
    </w:p>
    <w:p w14:paraId="484CBC02" w14:textId="4F54DB08" w:rsidR="00FB5DB4" w:rsidRPr="0080656E" w:rsidRDefault="00FB5DB4" w:rsidP="00B57DDA">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pacing w:val="-2"/>
          <w:sz w:val="20"/>
          <w:szCs w:val="20"/>
        </w:rPr>
      </w:pPr>
      <w:r w:rsidRPr="0080656E">
        <w:rPr>
          <w:rFonts w:asciiTheme="majorHAnsi" w:hAnsiTheme="majorHAnsi"/>
          <w:sz w:val="20"/>
          <w:szCs w:val="20"/>
        </w:rPr>
        <w:t>Pursuant</w:t>
      </w:r>
      <w:r w:rsidRPr="0080656E">
        <w:rPr>
          <w:rFonts w:asciiTheme="majorHAnsi" w:hAnsiTheme="majorHAnsi"/>
          <w:spacing w:val="-2"/>
          <w:sz w:val="20"/>
          <w:szCs w:val="20"/>
        </w:rPr>
        <w:t xml:space="preserve"> </w:t>
      </w:r>
      <w:r w:rsidRPr="0080656E">
        <w:rPr>
          <w:rFonts w:asciiTheme="majorHAnsi" w:eastAsia="Calibri" w:hAnsiTheme="majorHAnsi"/>
          <w:sz w:val="20"/>
          <w:szCs w:val="20"/>
          <w:bdr w:val="none" w:sz="0" w:space="0" w:color="auto"/>
        </w:rPr>
        <w:t>to</w:t>
      </w:r>
      <w:r w:rsidRPr="0080656E">
        <w:rPr>
          <w:rFonts w:asciiTheme="majorHAnsi" w:hAnsiTheme="majorHAnsi"/>
          <w:spacing w:val="-2"/>
          <w:sz w:val="20"/>
          <w:szCs w:val="20"/>
        </w:rPr>
        <w:t xml:space="preserve"> the foregoing and in accordance with the provisions of Article 51(3) of the American Convention, the Inter-American Commission on Human Rights decides to publish this report and include it in its Annual Report to the General Assembly of the Organization of American States. The Inter-American Commission, in accordance with the norms established in the instruments that regulate its mandate, will continue to evaluate </w:t>
      </w:r>
      <w:r w:rsidRPr="0080656E">
        <w:rPr>
          <w:rFonts w:asciiTheme="majorHAnsi" w:hAnsiTheme="majorHAnsi"/>
          <w:spacing w:val="-2"/>
          <w:sz w:val="20"/>
          <w:szCs w:val="20"/>
        </w:rPr>
        <w:lastRenderedPageBreak/>
        <w:t>that the State of Argentina makes full reparations to the v</w:t>
      </w:r>
      <w:r w:rsidR="000C35D2" w:rsidRPr="0080656E">
        <w:rPr>
          <w:rFonts w:asciiTheme="majorHAnsi" w:hAnsiTheme="majorHAnsi"/>
          <w:spacing w:val="-2"/>
          <w:sz w:val="20"/>
          <w:szCs w:val="20"/>
        </w:rPr>
        <w:t>ictims</w:t>
      </w:r>
      <w:r w:rsidRPr="0080656E">
        <w:rPr>
          <w:rFonts w:asciiTheme="majorHAnsi" w:hAnsiTheme="majorHAnsi"/>
          <w:spacing w:val="-2"/>
          <w:sz w:val="20"/>
          <w:szCs w:val="20"/>
        </w:rPr>
        <w:t xml:space="preserve"> with the provisions of the aforementioned recommendation, until it determines that it has been fully complied with.</w:t>
      </w:r>
    </w:p>
    <w:p w14:paraId="28AF7B67" w14:textId="77777777" w:rsidR="0080656E" w:rsidRPr="0080656E" w:rsidRDefault="0080656E" w:rsidP="00FB5DB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rPr>
      </w:pPr>
    </w:p>
    <w:p w14:paraId="5448B90C" w14:textId="4F0FB56A" w:rsidR="00FB5DB4" w:rsidRPr="00B57DDA" w:rsidRDefault="0080656E" w:rsidP="00FB5DB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rPr>
      </w:pPr>
      <w:r w:rsidRPr="0080656E">
        <w:rPr>
          <w:rFonts w:asciiTheme="majorHAnsi" w:hAnsiTheme="majorHAnsi"/>
          <w:sz w:val="20"/>
          <w:szCs w:val="20"/>
        </w:rPr>
        <w:t>Approved by the Inter-American Commission on Human Rights on the 23rd day of the month of April, 2025. (Signed): José Luis Caballero Ochoa, Chairman, Arif Bulkan, Second Vice-Chairman, Roberta Clarke; Carlos Bernal Pulido; Edgar Stuardo Ralón Orellana, members of the Commission.</w:t>
      </w:r>
    </w:p>
    <w:sectPr w:rsidR="00FB5DB4" w:rsidRPr="00B57DDA" w:rsidSect="004638A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948B6" w14:textId="77777777" w:rsidR="00FE76AA" w:rsidRDefault="00FE76AA">
      <w:r>
        <w:separator/>
      </w:r>
    </w:p>
  </w:endnote>
  <w:endnote w:type="continuationSeparator" w:id="0">
    <w:p w14:paraId="0C68ACD3" w14:textId="77777777" w:rsidR="00FE76AA" w:rsidRDefault="00FE7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1D4642BF" w14:textId="77777777" w:rsidR="00F40E67" w:rsidRPr="00934A2C" w:rsidRDefault="00F40E67">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4147A">
          <w:rPr>
            <w:noProof/>
            <w:sz w:val="16"/>
            <w:szCs w:val="22"/>
          </w:rPr>
          <w:t>3</w:t>
        </w:r>
        <w:r w:rsidRPr="00934A2C">
          <w:rPr>
            <w:noProof/>
            <w:sz w:val="16"/>
            <w:szCs w:val="22"/>
          </w:rPr>
          <w:fldChar w:fldCharType="end"/>
        </w:r>
      </w:p>
    </w:sdtContent>
  </w:sdt>
  <w:p w14:paraId="2B7B510F" w14:textId="77777777" w:rsidR="00F40E67" w:rsidRDefault="00F40E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D3945" w14:textId="77777777" w:rsidR="00F40E67" w:rsidRPr="00934A2C" w:rsidRDefault="00F40E67">
    <w:pPr>
      <w:pStyle w:val="Footer"/>
      <w:jc w:val="center"/>
      <w:rPr>
        <w:sz w:val="16"/>
        <w:szCs w:val="22"/>
      </w:rPr>
    </w:pPr>
  </w:p>
  <w:p w14:paraId="727AEF45" w14:textId="77777777" w:rsidR="00F40E67" w:rsidRDefault="00F40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29B97" w14:textId="77777777" w:rsidR="00FE76AA" w:rsidRPr="000F35ED" w:rsidRDefault="00FE76A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7041257" w14:textId="77777777" w:rsidR="00FE76AA" w:rsidRPr="000F35ED" w:rsidRDefault="00FE76AA" w:rsidP="000F35ED">
      <w:pPr>
        <w:rPr>
          <w:rFonts w:asciiTheme="majorHAnsi" w:hAnsiTheme="majorHAnsi"/>
          <w:sz w:val="16"/>
          <w:szCs w:val="16"/>
        </w:rPr>
      </w:pPr>
      <w:r w:rsidRPr="000F35ED">
        <w:rPr>
          <w:rFonts w:asciiTheme="majorHAnsi" w:hAnsiTheme="majorHAnsi"/>
          <w:sz w:val="16"/>
          <w:szCs w:val="16"/>
        </w:rPr>
        <w:separator/>
      </w:r>
    </w:p>
    <w:p w14:paraId="32405851" w14:textId="77777777" w:rsidR="00FE76AA" w:rsidRPr="000F35ED" w:rsidRDefault="00FE76AA"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3B50037" w14:textId="77777777" w:rsidR="00FE76AA" w:rsidRPr="000F35ED" w:rsidRDefault="00FE76A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AB52FFB" w14:textId="77777777" w:rsidR="008F2B9F" w:rsidRPr="00D40738" w:rsidRDefault="008F2B9F" w:rsidP="008F2B9F">
      <w:pPr>
        <w:pStyle w:val="FootnoteText"/>
        <w:jc w:val="both"/>
      </w:pPr>
      <w:r w:rsidRPr="00D40738">
        <w:rPr>
          <w:rStyle w:val="FootnoteReference"/>
          <w:rFonts w:ascii="Cambria" w:hAnsi="Cambria"/>
          <w:sz w:val="16"/>
          <w:szCs w:val="16"/>
        </w:rPr>
        <w:footnoteRef/>
      </w:r>
      <w:r>
        <w:t xml:space="preserve"> </w:t>
      </w:r>
      <w:r w:rsidRPr="0080656E">
        <w:rPr>
          <w:rFonts w:asciiTheme="majorHAnsi" w:hAnsiTheme="majorHAnsi"/>
          <w:color w:val="auto"/>
          <w:sz w:val="16"/>
          <w:szCs w:val="16"/>
          <w:lang w:val="en"/>
        </w:rPr>
        <w:t>Pursuant to Article 17.2 of the Commission's Rules of Procedure, Commissioner Andrea Pochak, an Argentine national, did not participate in the debate or decision in this case.</w:t>
      </w:r>
    </w:p>
  </w:footnote>
  <w:footnote w:id="3">
    <w:p w14:paraId="3CA62B1A" w14:textId="40966BA1" w:rsidR="00F40E67" w:rsidRPr="00A51861" w:rsidRDefault="00F40E67" w:rsidP="0063693D">
      <w:pPr>
        <w:pStyle w:val="FootnoteText"/>
        <w:spacing w:after="120"/>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0E67CA">
        <w:rPr>
          <w:rFonts w:asciiTheme="majorHAnsi" w:hAnsiTheme="majorHAnsi"/>
          <w:color w:val="auto"/>
          <w:sz w:val="16"/>
          <w:szCs w:val="16"/>
        </w:rPr>
        <w:t>IACHR</w:t>
      </w:r>
      <w:r w:rsidRPr="00A51861">
        <w:rPr>
          <w:rFonts w:asciiTheme="majorHAnsi" w:hAnsiTheme="majorHAnsi"/>
          <w:color w:val="auto"/>
          <w:sz w:val="16"/>
          <w:szCs w:val="16"/>
        </w:rPr>
        <w:t>.</w:t>
      </w:r>
      <w:r w:rsidR="000E67CA">
        <w:rPr>
          <w:rFonts w:asciiTheme="majorHAnsi" w:hAnsiTheme="majorHAnsi"/>
          <w:color w:val="auto"/>
          <w:sz w:val="16"/>
          <w:szCs w:val="16"/>
        </w:rPr>
        <w:t xml:space="preserve"> Report </w:t>
      </w:r>
      <w:r w:rsidRPr="00A51861">
        <w:rPr>
          <w:rFonts w:asciiTheme="majorHAnsi" w:hAnsiTheme="majorHAnsi"/>
          <w:color w:val="auto"/>
          <w:sz w:val="16"/>
          <w:szCs w:val="16"/>
        </w:rPr>
        <w:t xml:space="preserve">No. 57/16. </w:t>
      </w:r>
      <w:r w:rsidR="00061928">
        <w:rPr>
          <w:rFonts w:asciiTheme="majorHAnsi" w:hAnsiTheme="majorHAnsi"/>
          <w:color w:val="auto"/>
          <w:sz w:val="16"/>
          <w:szCs w:val="16"/>
        </w:rPr>
        <w:t>Petitions</w:t>
      </w:r>
      <w:r w:rsidRPr="00A51861">
        <w:rPr>
          <w:rFonts w:asciiTheme="majorHAnsi" w:hAnsiTheme="majorHAnsi"/>
          <w:color w:val="auto"/>
          <w:sz w:val="16"/>
          <w:szCs w:val="16"/>
        </w:rPr>
        <w:t xml:space="preserve"> 589-07, 590-07</w:t>
      </w:r>
      <w:r w:rsidR="00B6596B">
        <w:rPr>
          <w:rFonts w:asciiTheme="majorHAnsi" w:hAnsiTheme="majorHAnsi"/>
          <w:color w:val="auto"/>
          <w:sz w:val="16"/>
          <w:szCs w:val="16"/>
        </w:rPr>
        <w:t xml:space="preserve"> and </w:t>
      </w:r>
      <w:r w:rsidRPr="00A51861">
        <w:rPr>
          <w:rFonts w:asciiTheme="majorHAnsi" w:hAnsiTheme="majorHAnsi"/>
          <w:color w:val="auto"/>
          <w:sz w:val="16"/>
          <w:szCs w:val="16"/>
        </w:rPr>
        <w:t xml:space="preserve">591-07. </w:t>
      </w:r>
      <w:r w:rsidR="00061928">
        <w:rPr>
          <w:rFonts w:asciiTheme="majorHAnsi" w:hAnsiTheme="majorHAnsi"/>
          <w:color w:val="auto"/>
          <w:sz w:val="16"/>
          <w:szCs w:val="16"/>
        </w:rPr>
        <w:t>Admissibility</w:t>
      </w:r>
      <w:r w:rsidRPr="00A51861">
        <w:rPr>
          <w:rFonts w:asciiTheme="majorHAnsi" w:hAnsiTheme="majorHAnsi"/>
          <w:color w:val="auto"/>
          <w:sz w:val="16"/>
          <w:szCs w:val="16"/>
        </w:rPr>
        <w:t xml:space="preserve">. Julio César Rito De Los Santos </w:t>
      </w:r>
      <w:r w:rsidR="00061928">
        <w:rPr>
          <w:rFonts w:asciiTheme="majorHAnsi" w:hAnsiTheme="majorHAnsi"/>
          <w:color w:val="auto"/>
          <w:sz w:val="16"/>
          <w:szCs w:val="16"/>
        </w:rPr>
        <w:t xml:space="preserve">and others. </w:t>
      </w:r>
      <w:r w:rsidR="00AA5556">
        <w:rPr>
          <w:rFonts w:asciiTheme="majorHAnsi" w:hAnsiTheme="majorHAnsi"/>
          <w:color w:val="auto"/>
          <w:sz w:val="16"/>
          <w:szCs w:val="16"/>
        </w:rPr>
        <w:t>December 6,</w:t>
      </w:r>
      <w:r w:rsidRPr="00A51861">
        <w:rPr>
          <w:rFonts w:asciiTheme="majorHAnsi" w:hAnsiTheme="majorHAnsi"/>
          <w:color w:val="auto"/>
          <w:sz w:val="16"/>
          <w:szCs w:val="16"/>
        </w:rPr>
        <w:t xml:space="preserve"> 2016. </w:t>
      </w:r>
      <w:r w:rsidR="00061928">
        <w:rPr>
          <w:rFonts w:asciiTheme="majorHAnsi" w:hAnsiTheme="majorHAnsi"/>
          <w:color w:val="auto"/>
          <w:sz w:val="16"/>
          <w:szCs w:val="16"/>
        </w:rPr>
        <w:t>A</w:t>
      </w:r>
      <w:r w:rsidR="0029564F">
        <w:rPr>
          <w:rFonts w:asciiTheme="majorHAnsi" w:hAnsiTheme="majorHAnsi"/>
          <w:color w:val="auto"/>
          <w:sz w:val="16"/>
          <w:szCs w:val="16"/>
        </w:rPr>
        <w:t>rticle</w:t>
      </w:r>
      <w:r w:rsidRPr="00A51861">
        <w:rPr>
          <w:rFonts w:asciiTheme="majorHAnsi" w:hAnsiTheme="majorHAnsi"/>
          <w:color w:val="auto"/>
          <w:sz w:val="16"/>
          <w:szCs w:val="16"/>
        </w:rPr>
        <w:t>s declar</w:t>
      </w:r>
      <w:r w:rsidR="00061928">
        <w:rPr>
          <w:rFonts w:asciiTheme="majorHAnsi" w:hAnsiTheme="majorHAnsi"/>
          <w:color w:val="auto"/>
          <w:sz w:val="16"/>
          <w:szCs w:val="16"/>
        </w:rPr>
        <w:t>ed</w:t>
      </w:r>
      <w:r w:rsidRPr="00A51861">
        <w:rPr>
          <w:rFonts w:asciiTheme="majorHAnsi" w:hAnsiTheme="majorHAnsi"/>
          <w:color w:val="auto"/>
          <w:sz w:val="16"/>
          <w:szCs w:val="16"/>
        </w:rPr>
        <w:t xml:space="preserve"> admi</w:t>
      </w:r>
      <w:r w:rsidR="00061928">
        <w:rPr>
          <w:rFonts w:asciiTheme="majorHAnsi" w:hAnsiTheme="majorHAnsi"/>
          <w:color w:val="auto"/>
          <w:sz w:val="16"/>
          <w:szCs w:val="16"/>
        </w:rPr>
        <w:t>s</w:t>
      </w:r>
      <w:r w:rsidRPr="00A51861">
        <w:rPr>
          <w:rFonts w:asciiTheme="majorHAnsi" w:hAnsiTheme="majorHAnsi"/>
          <w:color w:val="auto"/>
          <w:sz w:val="16"/>
          <w:szCs w:val="16"/>
        </w:rPr>
        <w:t xml:space="preserve">sible </w:t>
      </w:r>
      <w:r w:rsidR="00061928">
        <w:rPr>
          <w:rFonts w:asciiTheme="majorHAnsi" w:hAnsiTheme="majorHAnsi"/>
          <w:color w:val="auto"/>
          <w:sz w:val="16"/>
          <w:szCs w:val="16"/>
        </w:rPr>
        <w:t>were</w:t>
      </w:r>
      <w:r w:rsidRPr="00A51861">
        <w:rPr>
          <w:rFonts w:asciiTheme="majorHAnsi" w:hAnsiTheme="majorHAnsi"/>
          <w:color w:val="auto"/>
          <w:sz w:val="16"/>
          <w:szCs w:val="16"/>
        </w:rPr>
        <w:t xml:space="preserve"> 8, 13, 22, 24 </w:t>
      </w:r>
      <w:r w:rsidR="00061928">
        <w:rPr>
          <w:rFonts w:asciiTheme="majorHAnsi" w:hAnsiTheme="majorHAnsi"/>
          <w:color w:val="auto"/>
          <w:sz w:val="16"/>
          <w:szCs w:val="16"/>
        </w:rPr>
        <w:t>and</w:t>
      </w:r>
      <w:r w:rsidRPr="00A51861">
        <w:rPr>
          <w:rFonts w:asciiTheme="majorHAnsi" w:hAnsiTheme="majorHAnsi"/>
          <w:color w:val="auto"/>
          <w:sz w:val="16"/>
          <w:szCs w:val="16"/>
        </w:rPr>
        <w:t xml:space="preserve"> 25</w:t>
      </w:r>
      <w:r w:rsidR="00061928">
        <w:rPr>
          <w:rFonts w:asciiTheme="majorHAnsi" w:hAnsiTheme="majorHAnsi"/>
          <w:color w:val="auto"/>
          <w:sz w:val="16"/>
          <w:szCs w:val="16"/>
        </w:rPr>
        <w:t xml:space="preserve"> of the </w:t>
      </w:r>
      <w:r w:rsidRPr="00A51861">
        <w:rPr>
          <w:rFonts w:asciiTheme="majorHAnsi" w:hAnsiTheme="majorHAnsi"/>
          <w:color w:val="auto"/>
          <w:sz w:val="16"/>
          <w:szCs w:val="16"/>
        </w:rPr>
        <w:t>Conven</w:t>
      </w:r>
      <w:r w:rsidR="00061928">
        <w:rPr>
          <w:rFonts w:asciiTheme="majorHAnsi" w:hAnsiTheme="majorHAnsi"/>
          <w:color w:val="auto"/>
          <w:sz w:val="16"/>
          <w:szCs w:val="16"/>
        </w:rPr>
        <w:t>tio</w:t>
      </w:r>
      <w:r w:rsidRPr="00A51861">
        <w:rPr>
          <w:rFonts w:asciiTheme="majorHAnsi" w:hAnsiTheme="majorHAnsi"/>
          <w:color w:val="auto"/>
          <w:sz w:val="16"/>
          <w:szCs w:val="16"/>
        </w:rPr>
        <w:t xml:space="preserve">n; </w:t>
      </w:r>
      <w:r w:rsidR="00061928">
        <w:rPr>
          <w:rFonts w:asciiTheme="majorHAnsi" w:hAnsiTheme="majorHAnsi"/>
          <w:color w:val="auto"/>
          <w:sz w:val="16"/>
          <w:szCs w:val="16"/>
        </w:rPr>
        <w:t>and</w:t>
      </w:r>
      <w:r w:rsidRPr="00A51861">
        <w:rPr>
          <w:rFonts w:asciiTheme="majorHAnsi" w:hAnsiTheme="majorHAnsi"/>
          <w:color w:val="auto"/>
          <w:sz w:val="16"/>
          <w:szCs w:val="16"/>
        </w:rPr>
        <w:t xml:space="preserve"> I </w:t>
      </w:r>
      <w:r w:rsidR="00061928">
        <w:rPr>
          <w:rFonts w:asciiTheme="majorHAnsi" w:hAnsiTheme="majorHAnsi"/>
          <w:color w:val="auto"/>
          <w:sz w:val="16"/>
          <w:szCs w:val="16"/>
        </w:rPr>
        <w:t>and</w:t>
      </w:r>
      <w:r w:rsidRPr="00A51861">
        <w:rPr>
          <w:rFonts w:asciiTheme="majorHAnsi" w:hAnsiTheme="majorHAnsi"/>
          <w:color w:val="auto"/>
          <w:sz w:val="16"/>
          <w:szCs w:val="16"/>
        </w:rPr>
        <w:t xml:space="preserve"> VIII</w:t>
      </w:r>
      <w:r w:rsidR="00061928">
        <w:rPr>
          <w:rFonts w:asciiTheme="majorHAnsi" w:hAnsiTheme="majorHAnsi"/>
          <w:color w:val="auto"/>
          <w:sz w:val="16"/>
          <w:szCs w:val="16"/>
        </w:rPr>
        <w:t xml:space="preserve"> of the </w:t>
      </w:r>
      <w:r w:rsidR="00061928" w:rsidRPr="00A51861">
        <w:rPr>
          <w:rFonts w:asciiTheme="majorHAnsi" w:hAnsiTheme="majorHAnsi"/>
          <w:color w:val="auto"/>
          <w:sz w:val="16"/>
          <w:szCs w:val="16"/>
        </w:rPr>
        <w:t>Declaration</w:t>
      </w:r>
      <w:r w:rsidRPr="00A51861">
        <w:rPr>
          <w:rFonts w:asciiTheme="majorHAnsi" w:hAnsiTheme="majorHAnsi"/>
          <w:color w:val="auto"/>
          <w:sz w:val="16"/>
          <w:szCs w:val="16"/>
        </w:rPr>
        <w:t xml:space="preserve">. </w:t>
      </w:r>
    </w:p>
  </w:footnote>
  <w:footnote w:id="4">
    <w:p w14:paraId="4DD0531F" w14:textId="560912F6" w:rsidR="00F40E67" w:rsidRPr="00A51861" w:rsidRDefault="00F40E67" w:rsidP="0063693D">
      <w:pPr>
        <w:pStyle w:val="FootnoteText"/>
        <w:spacing w:after="120"/>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061928">
        <w:rPr>
          <w:rFonts w:asciiTheme="majorHAnsi" w:hAnsiTheme="majorHAnsi"/>
          <w:color w:val="auto"/>
          <w:sz w:val="16"/>
          <w:szCs w:val="16"/>
        </w:rPr>
        <w:t>By means of a brief dated</w:t>
      </w:r>
      <w:r w:rsidRPr="00A51861">
        <w:rPr>
          <w:rFonts w:asciiTheme="majorHAnsi" w:hAnsiTheme="majorHAnsi"/>
          <w:color w:val="auto"/>
          <w:sz w:val="16"/>
          <w:szCs w:val="16"/>
        </w:rPr>
        <w:t xml:space="preserve"> </w:t>
      </w:r>
      <w:r w:rsidR="00061928">
        <w:rPr>
          <w:rFonts w:asciiTheme="majorHAnsi" w:hAnsiTheme="majorHAnsi"/>
          <w:color w:val="auto"/>
          <w:sz w:val="16"/>
          <w:szCs w:val="16"/>
        </w:rPr>
        <w:t>May 30,</w:t>
      </w:r>
      <w:r w:rsidRPr="00A51861">
        <w:rPr>
          <w:rFonts w:asciiTheme="majorHAnsi" w:hAnsiTheme="majorHAnsi"/>
          <w:color w:val="auto"/>
          <w:sz w:val="16"/>
          <w:szCs w:val="16"/>
        </w:rPr>
        <w:t xml:space="preserve"> 2017,</w:t>
      </w:r>
      <w:r w:rsidR="00061928">
        <w:rPr>
          <w:rFonts w:asciiTheme="majorHAnsi" w:hAnsiTheme="majorHAnsi"/>
          <w:color w:val="auto"/>
          <w:sz w:val="16"/>
          <w:szCs w:val="16"/>
        </w:rPr>
        <w:t xml:space="preserve"> the Argent</w:t>
      </w:r>
      <w:r w:rsidR="004E1F12">
        <w:rPr>
          <w:rFonts w:asciiTheme="majorHAnsi" w:hAnsiTheme="majorHAnsi"/>
          <w:color w:val="auto"/>
          <w:sz w:val="16"/>
          <w:szCs w:val="16"/>
        </w:rPr>
        <w:t>i</w:t>
      </w:r>
      <w:r w:rsidR="00061928">
        <w:rPr>
          <w:rFonts w:asciiTheme="majorHAnsi" w:hAnsiTheme="majorHAnsi"/>
          <w:color w:val="auto"/>
          <w:sz w:val="16"/>
          <w:szCs w:val="16"/>
        </w:rPr>
        <w:t xml:space="preserve">ne State </w:t>
      </w:r>
      <w:r w:rsidR="00AA5556">
        <w:rPr>
          <w:rFonts w:asciiTheme="majorHAnsi" w:hAnsiTheme="majorHAnsi"/>
          <w:color w:val="auto"/>
          <w:sz w:val="16"/>
          <w:szCs w:val="16"/>
        </w:rPr>
        <w:t>manifested its will to initiate a</w:t>
      </w:r>
      <w:r w:rsidR="004E1F12">
        <w:rPr>
          <w:rFonts w:asciiTheme="majorHAnsi" w:hAnsiTheme="majorHAnsi"/>
          <w:color w:val="auto"/>
          <w:sz w:val="16"/>
          <w:szCs w:val="16"/>
        </w:rPr>
        <w:t xml:space="preserve"> </w:t>
      </w:r>
      <w:r w:rsidR="00AA5556">
        <w:rPr>
          <w:rFonts w:asciiTheme="majorHAnsi" w:hAnsiTheme="majorHAnsi"/>
          <w:color w:val="auto"/>
          <w:sz w:val="16"/>
          <w:szCs w:val="16"/>
        </w:rPr>
        <w:t>process</w:t>
      </w:r>
      <w:r w:rsidRPr="00A51861">
        <w:rPr>
          <w:rFonts w:asciiTheme="majorHAnsi" w:hAnsiTheme="majorHAnsi"/>
          <w:color w:val="auto"/>
          <w:sz w:val="16"/>
          <w:szCs w:val="16"/>
        </w:rPr>
        <w:t xml:space="preserve"> </w:t>
      </w:r>
      <w:r w:rsidR="00AA5556">
        <w:rPr>
          <w:rFonts w:asciiTheme="majorHAnsi" w:hAnsiTheme="majorHAnsi"/>
          <w:color w:val="auto"/>
          <w:sz w:val="16"/>
          <w:szCs w:val="16"/>
        </w:rPr>
        <w:t>of amicable settlement</w:t>
      </w:r>
      <w:r w:rsidRPr="00A51861">
        <w:rPr>
          <w:rFonts w:asciiTheme="majorHAnsi" w:hAnsiTheme="majorHAnsi"/>
          <w:color w:val="auto"/>
          <w:sz w:val="16"/>
          <w:szCs w:val="16"/>
        </w:rPr>
        <w:t xml:space="preserve">, </w:t>
      </w:r>
      <w:r w:rsidR="00AA5556">
        <w:rPr>
          <w:rFonts w:asciiTheme="majorHAnsi" w:hAnsiTheme="majorHAnsi"/>
          <w:color w:val="auto"/>
          <w:sz w:val="16"/>
          <w:szCs w:val="16"/>
        </w:rPr>
        <w:t>holding</w:t>
      </w:r>
      <w:r w:rsidRPr="00A51861">
        <w:rPr>
          <w:rFonts w:asciiTheme="majorHAnsi" w:hAnsiTheme="majorHAnsi"/>
          <w:color w:val="auto"/>
          <w:sz w:val="16"/>
          <w:szCs w:val="16"/>
        </w:rPr>
        <w:t xml:space="preserve"> </w:t>
      </w:r>
      <w:r w:rsidR="00AA5556">
        <w:rPr>
          <w:rFonts w:asciiTheme="majorHAnsi" w:hAnsiTheme="majorHAnsi"/>
          <w:color w:val="auto"/>
          <w:sz w:val="16"/>
          <w:szCs w:val="16"/>
        </w:rPr>
        <w:t>that the latter should limit to the conduction of</w:t>
      </w:r>
      <w:r w:rsidRPr="00A51861">
        <w:rPr>
          <w:rFonts w:asciiTheme="majorHAnsi" w:hAnsiTheme="majorHAnsi"/>
          <w:color w:val="auto"/>
          <w:sz w:val="16"/>
          <w:szCs w:val="16"/>
        </w:rPr>
        <w:t xml:space="preserve"> </w:t>
      </w:r>
      <w:r w:rsidR="00AA5556">
        <w:rPr>
          <w:rFonts w:asciiTheme="majorHAnsi" w:hAnsiTheme="majorHAnsi"/>
          <w:color w:val="auto"/>
          <w:sz w:val="16"/>
          <w:szCs w:val="16"/>
        </w:rPr>
        <w:t>the reparatory casefiles</w:t>
      </w:r>
      <w:r w:rsidRPr="00A51861">
        <w:rPr>
          <w:rFonts w:asciiTheme="majorHAnsi" w:hAnsiTheme="majorHAnsi"/>
          <w:color w:val="auto"/>
          <w:sz w:val="16"/>
          <w:szCs w:val="16"/>
        </w:rPr>
        <w:t xml:space="preserve">, </w:t>
      </w:r>
      <w:r w:rsidR="00AA5556">
        <w:rPr>
          <w:rFonts w:asciiTheme="majorHAnsi" w:hAnsiTheme="majorHAnsi"/>
          <w:color w:val="auto"/>
          <w:sz w:val="16"/>
          <w:szCs w:val="16"/>
        </w:rPr>
        <w:t>under the</w:t>
      </w:r>
      <w:r w:rsidRPr="00A51861">
        <w:rPr>
          <w:rFonts w:asciiTheme="majorHAnsi" w:hAnsiTheme="majorHAnsi"/>
          <w:color w:val="auto"/>
          <w:sz w:val="16"/>
          <w:szCs w:val="16"/>
        </w:rPr>
        <w:t xml:space="preserve"> habitual</w:t>
      </w:r>
      <w:r w:rsidR="00AA5556">
        <w:rPr>
          <w:rFonts w:asciiTheme="majorHAnsi" w:hAnsiTheme="majorHAnsi"/>
          <w:color w:val="auto"/>
          <w:sz w:val="16"/>
          <w:szCs w:val="16"/>
        </w:rPr>
        <w:t xml:space="preserve"> channel</w:t>
      </w:r>
      <w:r w:rsidRPr="00A51861">
        <w:rPr>
          <w:rFonts w:asciiTheme="majorHAnsi" w:hAnsiTheme="majorHAnsi"/>
          <w:color w:val="auto"/>
          <w:sz w:val="16"/>
          <w:szCs w:val="16"/>
        </w:rPr>
        <w:t xml:space="preserve">s, </w:t>
      </w:r>
      <w:r w:rsidR="00C91385">
        <w:rPr>
          <w:rFonts w:asciiTheme="majorHAnsi" w:hAnsiTheme="majorHAnsi"/>
          <w:color w:val="auto"/>
          <w:sz w:val="16"/>
          <w:szCs w:val="16"/>
        </w:rPr>
        <w:t>before the</w:t>
      </w:r>
      <w:r w:rsidRPr="00A51861">
        <w:rPr>
          <w:rFonts w:asciiTheme="majorHAnsi" w:hAnsiTheme="majorHAnsi"/>
          <w:color w:val="auto"/>
          <w:sz w:val="16"/>
          <w:szCs w:val="16"/>
        </w:rPr>
        <w:t xml:space="preserve"> </w:t>
      </w:r>
      <w:r w:rsidR="004E1F12">
        <w:rPr>
          <w:rFonts w:asciiTheme="majorHAnsi" w:hAnsiTheme="majorHAnsi"/>
          <w:color w:val="auto"/>
          <w:sz w:val="16"/>
          <w:szCs w:val="16"/>
        </w:rPr>
        <w:t>Secretariat of Human Rights and Cultural Pluralism of the Nation</w:t>
      </w:r>
      <w:r w:rsidRPr="00A51861">
        <w:rPr>
          <w:rFonts w:asciiTheme="majorHAnsi" w:hAnsiTheme="majorHAnsi"/>
          <w:color w:val="auto"/>
          <w:sz w:val="16"/>
          <w:szCs w:val="16"/>
        </w:rPr>
        <w:t xml:space="preserve">. </w:t>
      </w:r>
      <w:r w:rsidR="004E1F12">
        <w:rPr>
          <w:rFonts w:asciiTheme="majorHAnsi" w:hAnsiTheme="majorHAnsi"/>
          <w:color w:val="auto"/>
          <w:sz w:val="16"/>
          <w:szCs w:val="16"/>
        </w:rPr>
        <w:t>Said</w:t>
      </w:r>
      <w:r w:rsidRPr="00A51861">
        <w:rPr>
          <w:rFonts w:asciiTheme="majorHAnsi" w:hAnsiTheme="majorHAnsi"/>
          <w:color w:val="auto"/>
          <w:sz w:val="16"/>
          <w:szCs w:val="16"/>
        </w:rPr>
        <w:t xml:space="preserve"> </w:t>
      </w:r>
      <w:r w:rsidR="004E1F12" w:rsidRPr="00A51861">
        <w:rPr>
          <w:rFonts w:asciiTheme="majorHAnsi" w:hAnsiTheme="majorHAnsi"/>
          <w:color w:val="auto"/>
          <w:sz w:val="16"/>
          <w:szCs w:val="16"/>
        </w:rPr>
        <w:t>manifestation</w:t>
      </w:r>
      <w:r w:rsidRPr="00A51861">
        <w:rPr>
          <w:rFonts w:asciiTheme="majorHAnsi" w:hAnsiTheme="majorHAnsi"/>
          <w:color w:val="auto"/>
          <w:sz w:val="16"/>
          <w:szCs w:val="16"/>
        </w:rPr>
        <w:t xml:space="preserve"> </w:t>
      </w:r>
      <w:r w:rsidR="004E1F12">
        <w:rPr>
          <w:rFonts w:asciiTheme="majorHAnsi" w:hAnsiTheme="majorHAnsi"/>
          <w:color w:val="auto"/>
          <w:sz w:val="16"/>
          <w:szCs w:val="16"/>
        </w:rPr>
        <w:t>was</w:t>
      </w:r>
      <w:r w:rsidRPr="00A51861">
        <w:rPr>
          <w:rFonts w:asciiTheme="majorHAnsi" w:hAnsiTheme="majorHAnsi"/>
          <w:color w:val="auto"/>
          <w:sz w:val="16"/>
          <w:szCs w:val="16"/>
        </w:rPr>
        <w:t xml:space="preserve"> reitera</w:t>
      </w:r>
      <w:r w:rsidR="004E1F12">
        <w:rPr>
          <w:rFonts w:asciiTheme="majorHAnsi" w:hAnsiTheme="majorHAnsi"/>
          <w:color w:val="auto"/>
          <w:sz w:val="16"/>
          <w:szCs w:val="16"/>
        </w:rPr>
        <w:t>ted</w:t>
      </w:r>
      <w:r w:rsidRPr="00A51861">
        <w:rPr>
          <w:rFonts w:asciiTheme="majorHAnsi" w:hAnsiTheme="majorHAnsi"/>
          <w:color w:val="auto"/>
          <w:sz w:val="16"/>
          <w:szCs w:val="16"/>
        </w:rPr>
        <w:t xml:space="preserve"> </w:t>
      </w:r>
      <w:r w:rsidR="004E1F12">
        <w:rPr>
          <w:rFonts w:asciiTheme="majorHAnsi" w:hAnsiTheme="majorHAnsi"/>
          <w:color w:val="auto"/>
          <w:sz w:val="16"/>
          <w:szCs w:val="16"/>
        </w:rPr>
        <w:t>via briefs</w:t>
      </w:r>
      <w:r w:rsidRPr="00A51861">
        <w:rPr>
          <w:rFonts w:asciiTheme="majorHAnsi" w:hAnsiTheme="majorHAnsi"/>
          <w:color w:val="auto"/>
          <w:sz w:val="16"/>
          <w:szCs w:val="16"/>
        </w:rPr>
        <w:t xml:space="preserve"> </w:t>
      </w:r>
      <w:r w:rsidR="004E1F12">
        <w:rPr>
          <w:rFonts w:asciiTheme="majorHAnsi" w:hAnsiTheme="majorHAnsi"/>
          <w:color w:val="auto"/>
          <w:sz w:val="16"/>
          <w:szCs w:val="16"/>
        </w:rPr>
        <w:t>of September</w:t>
      </w:r>
      <w:r w:rsidRPr="00A51861">
        <w:rPr>
          <w:rFonts w:asciiTheme="majorHAnsi" w:hAnsiTheme="majorHAnsi"/>
          <w:color w:val="auto"/>
          <w:sz w:val="16"/>
          <w:szCs w:val="16"/>
        </w:rPr>
        <w:t xml:space="preserve"> 4 </w:t>
      </w:r>
      <w:r w:rsidR="004E1F12">
        <w:rPr>
          <w:rFonts w:asciiTheme="majorHAnsi" w:hAnsiTheme="majorHAnsi"/>
          <w:color w:val="auto"/>
          <w:sz w:val="16"/>
          <w:szCs w:val="16"/>
        </w:rPr>
        <w:t>and</w:t>
      </w:r>
      <w:r w:rsidRPr="00A51861">
        <w:rPr>
          <w:rFonts w:asciiTheme="majorHAnsi" w:hAnsiTheme="majorHAnsi"/>
          <w:color w:val="auto"/>
          <w:sz w:val="16"/>
          <w:szCs w:val="16"/>
        </w:rPr>
        <w:t xml:space="preserve"> 5</w:t>
      </w:r>
      <w:r w:rsidR="004E1F12">
        <w:rPr>
          <w:rFonts w:asciiTheme="majorHAnsi" w:hAnsiTheme="majorHAnsi"/>
          <w:color w:val="auto"/>
          <w:sz w:val="16"/>
          <w:szCs w:val="16"/>
        </w:rPr>
        <w:t xml:space="preserve">, </w:t>
      </w:r>
      <w:r w:rsidRPr="00A51861">
        <w:rPr>
          <w:rFonts w:asciiTheme="majorHAnsi" w:hAnsiTheme="majorHAnsi"/>
          <w:color w:val="auto"/>
          <w:sz w:val="16"/>
          <w:szCs w:val="16"/>
        </w:rPr>
        <w:t xml:space="preserve">2017. </w:t>
      </w:r>
      <w:r w:rsidR="004E1F12">
        <w:rPr>
          <w:rFonts w:asciiTheme="majorHAnsi" w:hAnsiTheme="majorHAnsi"/>
          <w:color w:val="auto"/>
          <w:sz w:val="16"/>
          <w:szCs w:val="16"/>
        </w:rPr>
        <w:t>In the brief received on</w:t>
      </w:r>
      <w:r w:rsidRPr="00A51861">
        <w:rPr>
          <w:rFonts w:asciiTheme="majorHAnsi" w:hAnsiTheme="majorHAnsi"/>
          <w:color w:val="auto"/>
          <w:sz w:val="16"/>
          <w:szCs w:val="16"/>
        </w:rPr>
        <w:t xml:space="preserve"> </w:t>
      </w:r>
      <w:r w:rsidR="004E1F12">
        <w:rPr>
          <w:rFonts w:asciiTheme="majorHAnsi" w:hAnsiTheme="majorHAnsi"/>
          <w:color w:val="auto"/>
          <w:sz w:val="16"/>
          <w:szCs w:val="16"/>
        </w:rPr>
        <w:t xml:space="preserve">September 26, </w:t>
      </w:r>
      <w:r w:rsidRPr="00A51861">
        <w:rPr>
          <w:rFonts w:asciiTheme="majorHAnsi" w:hAnsiTheme="majorHAnsi"/>
          <w:color w:val="auto"/>
          <w:sz w:val="16"/>
          <w:szCs w:val="16"/>
        </w:rPr>
        <w:t xml:space="preserve">2017, </w:t>
      </w:r>
      <w:r w:rsidR="004E1F12">
        <w:rPr>
          <w:rFonts w:asciiTheme="majorHAnsi" w:hAnsiTheme="majorHAnsi"/>
          <w:color w:val="auto"/>
          <w:sz w:val="16"/>
          <w:szCs w:val="16"/>
        </w:rPr>
        <w:t xml:space="preserve">the petitioner </w:t>
      </w:r>
      <w:r w:rsidRPr="00A51861">
        <w:rPr>
          <w:rFonts w:asciiTheme="majorHAnsi" w:hAnsiTheme="majorHAnsi"/>
          <w:color w:val="auto"/>
          <w:sz w:val="16"/>
          <w:szCs w:val="16"/>
        </w:rPr>
        <w:t>expres</w:t>
      </w:r>
      <w:r w:rsidR="004E1F12">
        <w:rPr>
          <w:rFonts w:asciiTheme="majorHAnsi" w:hAnsiTheme="majorHAnsi"/>
          <w:color w:val="auto"/>
          <w:sz w:val="16"/>
          <w:szCs w:val="16"/>
        </w:rPr>
        <w:t>sed</w:t>
      </w:r>
      <w:r w:rsidRPr="00A51861">
        <w:rPr>
          <w:rFonts w:asciiTheme="majorHAnsi" w:hAnsiTheme="majorHAnsi"/>
          <w:color w:val="auto"/>
          <w:sz w:val="16"/>
          <w:szCs w:val="16"/>
        </w:rPr>
        <w:t xml:space="preserve"> conformi</w:t>
      </w:r>
      <w:r w:rsidR="004E1F12">
        <w:rPr>
          <w:rFonts w:asciiTheme="majorHAnsi" w:hAnsiTheme="majorHAnsi"/>
          <w:color w:val="auto"/>
          <w:sz w:val="16"/>
          <w:szCs w:val="16"/>
        </w:rPr>
        <w:t>ty</w:t>
      </w:r>
      <w:r w:rsidRPr="00A51861">
        <w:rPr>
          <w:rFonts w:asciiTheme="majorHAnsi" w:hAnsiTheme="majorHAnsi"/>
          <w:color w:val="auto"/>
          <w:sz w:val="16"/>
          <w:szCs w:val="16"/>
        </w:rPr>
        <w:t xml:space="preserve"> </w:t>
      </w:r>
      <w:r w:rsidR="004E1F12">
        <w:rPr>
          <w:rFonts w:asciiTheme="majorHAnsi" w:hAnsiTheme="majorHAnsi"/>
          <w:color w:val="auto"/>
          <w:sz w:val="16"/>
          <w:szCs w:val="16"/>
        </w:rPr>
        <w:t>in initiating an amicable settlement process</w:t>
      </w:r>
      <w:r w:rsidRPr="00A51861">
        <w:rPr>
          <w:rFonts w:asciiTheme="majorHAnsi" w:hAnsiTheme="majorHAnsi"/>
          <w:color w:val="auto"/>
          <w:sz w:val="16"/>
          <w:szCs w:val="16"/>
        </w:rPr>
        <w:t xml:space="preserve">, </w:t>
      </w:r>
      <w:r w:rsidR="004E1F12">
        <w:rPr>
          <w:rFonts w:asciiTheme="majorHAnsi" w:hAnsiTheme="majorHAnsi"/>
          <w:color w:val="auto"/>
          <w:sz w:val="16"/>
          <w:szCs w:val="16"/>
        </w:rPr>
        <w:t>and by means of a brief of September 29 that same year</w:t>
      </w:r>
      <w:r w:rsidRPr="00A51861">
        <w:rPr>
          <w:rFonts w:asciiTheme="majorHAnsi" w:hAnsiTheme="majorHAnsi"/>
          <w:color w:val="auto"/>
          <w:sz w:val="16"/>
          <w:szCs w:val="16"/>
        </w:rPr>
        <w:t>, formul</w:t>
      </w:r>
      <w:r w:rsidR="004E1F12">
        <w:rPr>
          <w:rFonts w:asciiTheme="majorHAnsi" w:hAnsiTheme="majorHAnsi"/>
          <w:color w:val="auto"/>
          <w:sz w:val="16"/>
          <w:szCs w:val="16"/>
        </w:rPr>
        <w:t>ated</w:t>
      </w:r>
      <w:r w:rsidRPr="00A51861">
        <w:rPr>
          <w:rFonts w:asciiTheme="majorHAnsi" w:hAnsiTheme="majorHAnsi"/>
          <w:color w:val="auto"/>
          <w:sz w:val="16"/>
          <w:szCs w:val="16"/>
        </w:rPr>
        <w:t xml:space="preserve"> </w:t>
      </w:r>
      <w:r w:rsidR="004E1F12">
        <w:rPr>
          <w:rFonts w:asciiTheme="majorHAnsi" w:hAnsiTheme="majorHAnsi"/>
          <w:color w:val="auto"/>
          <w:sz w:val="16"/>
          <w:szCs w:val="16"/>
        </w:rPr>
        <w:t>a proposal of amicable settlement</w:t>
      </w:r>
      <w:r w:rsidRPr="00A51861">
        <w:rPr>
          <w:rFonts w:asciiTheme="majorHAnsi" w:hAnsiTheme="majorHAnsi"/>
          <w:color w:val="auto"/>
          <w:sz w:val="16"/>
          <w:szCs w:val="16"/>
        </w:rPr>
        <w:t xml:space="preserve">, </w:t>
      </w:r>
      <w:r w:rsidR="004E1F12">
        <w:rPr>
          <w:rFonts w:asciiTheme="majorHAnsi" w:hAnsiTheme="majorHAnsi"/>
          <w:color w:val="auto"/>
          <w:sz w:val="16"/>
          <w:szCs w:val="16"/>
        </w:rPr>
        <w:t>with their respective amounts for the reparation</w:t>
      </w:r>
      <w:r w:rsidRPr="00A51861">
        <w:rPr>
          <w:rFonts w:asciiTheme="majorHAnsi" w:hAnsiTheme="majorHAnsi"/>
          <w:color w:val="auto"/>
          <w:sz w:val="16"/>
          <w:szCs w:val="16"/>
        </w:rPr>
        <w:t xml:space="preserve">. </w:t>
      </w:r>
      <w:r w:rsidR="004E1F12">
        <w:rPr>
          <w:rFonts w:asciiTheme="majorHAnsi" w:hAnsiTheme="majorHAnsi"/>
          <w:color w:val="auto"/>
          <w:sz w:val="16"/>
          <w:szCs w:val="16"/>
        </w:rPr>
        <w:t>After several requests for</w:t>
      </w:r>
      <w:r w:rsidRPr="00A51861">
        <w:rPr>
          <w:rFonts w:asciiTheme="majorHAnsi" w:hAnsiTheme="majorHAnsi"/>
          <w:color w:val="auto"/>
          <w:sz w:val="16"/>
          <w:szCs w:val="16"/>
        </w:rPr>
        <w:t xml:space="preserve"> </w:t>
      </w:r>
      <w:r w:rsidR="004E1F12">
        <w:rPr>
          <w:rFonts w:asciiTheme="majorHAnsi" w:hAnsiTheme="majorHAnsi"/>
          <w:color w:val="auto"/>
          <w:sz w:val="16"/>
          <w:szCs w:val="16"/>
        </w:rPr>
        <w:t xml:space="preserve">extension filed by </w:t>
      </w:r>
      <w:r w:rsidRPr="00A51861">
        <w:rPr>
          <w:rFonts w:asciiTheme="majorHAnsi" w:hAnsiTheme="majorHAnsi"/>
          <w:color w:val="auto"/>
          <w:sz w:val="16"/>
          <w:szCs w:val="16"/>
        </w:rPr>
        <w:t xml:space="preserve">Argentina, </w:t>
      </w:r>
      <w:r w:rsidR="004E1F12">
        <w:rPr>
          <w:rFonts w:asciiTheme="majorHAnsi" w:hAnsiTheme="majorHAnsi"/>
          <w:color w:val="auto"/>
          <w:sz w:val="16"/>
          <w:szCs w:val="16"/>
        </w:rPr>
        <w:t>by means of a document received on March 15,</w:t>
      </w:r>
      <w:r w:rsidRPr="00A51861">
        <w:rPr>
          <w:rFonts w:asciiTheme="majorHAnsi" w:hAnsiTheme="majorHAnsi"/>
          <w:color w:val="auto"/>
          <w:sz w:val="16"/>
          <w:szCs w:val="16"/>
        </w:rPr>
        <w:t xml:space="preserve"> 2019, </w:t>
      </w:r>
      <w:r w:rsidR="004E1F12">
        <w:rPr>
          <w:rFonts w:asciiTheme="majorHAnsi" w:hAnsiTheme="majorHAnsi"/>
          <w:color w:val="auto"/>
          <w:sz w:val="16"/>
          <w:szCs w:val="16"/>
        </w:rPr>
        <w:t>the petitioner asked to conclude the process. On April 2,</w:t>
      </w:r>
      <w:r w:rsidRPr="00A51861">
        <w:rPr>
          <w:rFonts w:asciiTheme="majorHAnsi" w:hAnsiTheme="majorHAnsi"/>
          <w:color w:val="auto"/>
          <w:sz w:val="16"/>
          <w:szCs w:val="16"/>
        </w:rPr>
        <w:t xml:space="preserve"> 2019 </w:t>
      </w:r>
      <w:r w:rsidR="00A51861" w:rsidRPr="00A51861">
        <w:rPr>
          <w:rFonts w:asciiTheme="majorHAnsi" w:hAnsiTheme="majorHAnsi"/>
          <w:color w:val="auto"/>
          <w:sz w:val="16"/>
          <w:szCs w:val="16"/>
        </w:rPr>
        <w:t>the IACHR</w:t>
      </w:r>
      <w:r w:rsidRPr="00A51861">
        <w:rPr>
          <w:rFonts w:asciiTheme="majorHAnsi" w:hAnsiTheme="majorHAnsi"/>
          <w:color w:val="auto"/>
          <w:sz w:val="16"/>
          <w:szCs w:val="16"/>
        </w:rPr>
        <w:t xml:space="preserve"> notifi</w:t>
      </w:r>
      <w:r w:rsidR="004E1F12">
        <w:rPr>
          <w:rFonts w:asciiTheme="majorHAnsi" w:hAnsiTheme="majorHAnsi"/>
          <w:color w:val="auto"/>
          <w:sz w:val="16"/>
          <w:szCs w:val="16"/>
        </w:rPr>
        <w:t>ed</w:t>
      </w:r>
      <w:r w:rsidRPr="00A51861">
        <w:rPr>
          <w:rFonts w:asciiTheme="majorHAnsi" w:hAnsiTheme="majorHAnsi"/>
          <w:color w:val="auto"/>
          <w:sz w:val="16"/>
          <w:szCs w:val="16"/>
        </w:rPr>
        <w:t xml:space="preserve"> </w:t>
      </w:r>
      <w:r w:rsidR="004E1F12">
        <w:rPr>
          <w:rFonts w:asciiTheme="majorHAnsi" w:hAnsiTheme="majorHAnsi"/>
          <w:color w:val="auto"/>
          <w:sz w:val="16"/>
          <w:szCs w:val="16"/>
        </w:rPr>
        <w:t>the parties</w:t>
      </w:r>
      <w:r w:rsidRPr="00A51861">
        <w:rPr>
          <w:rFonts w:asciiTheme="majorHAnsi" w:hAnsiTheme="majorHAnsi"/>
          <w:color w:val="auto"/>
          <w:sz w:val="16"/>
          <w:szCs w:val="16"/>
        </w:rPr>
        <w:t xml:space="preserve"> </w:t>
      </w:r>
      <w:r w:rsidR="004E1F12">
        <w:rPr>
          <w:rFonts w:asciiTheme="majorHAnsi" w:hAnsiTheme="majorHAnsi"/>
          <w:color w:val="auto"/>
          <w:sz w:val="16"/>
          <w:szCs w:val="16"/>
        </w:rPr>
        <w:t>that its mediation in the amicable settlement process was concluded</w:t>
      </w:r>
      <w:r w:rsidRPr="00A51861">
        <w:rPr>
          <w:rFonts w:asciiTheme="majorHAnsi" w:hAnsiTheme="majorHAnsi"/>
          <w:color w:val="auto"/>
          <w:sz w:val="16"/>
          <w:szCs w:val="16"/>
        </w:rPr>
        <w:t xml:space="preserve"> </w:t>
      </w:r>
      <w:r w:rsidR="004E1F12">
        <w:rPr>
          <w:rFonts w:asciiTheme="majorHAnsi" w:hAnsiTheme="majorHAnsi"/>
          <w:color w:val="auto"/>
          <w:sz w:val="16"/>
          <w:szCs w:val="16"/>
        </w:rPr>
        <w:t>and</w:t>
      </w:r>
      <w:r w:rsidRPr="00A51861">
        <w:rPr>
          <w:rFonts w:asciiTheme="majorHAnsi" w:hAnsiTheme="majorHAnsi"/>
          <w:color w:val="auto"/>
          <w:sz w:val="16"/>
          <w:szCs w:val="16"/>
        </w:rPr>
        <w:t xml:space="preserve"> decid</w:t>
      </w:r>
      <w:r w:rsidR="004E1F12">
        <w:rPr>
          <w:rFonts w:asciiTheme="majorHAnsi" w:hAnsiTheme="majorHAnsi"/>
          <w:color w:val="auto"/>
          <w:sz w:val="16"/>
          <w:szCs w:val="16"/>
        </w:rPr>
        <w:t>ed</w:t>
      </w:r>
      <w:r w:rsidRPr="00A51861">
        <w:rPr>
          <w:rFonts w:asciiTheme="majorHAnsi" w:hAnsiTheme="majorHAnsi"/>
          <w:color w:val="auto"/>
          <w:sz w:val="16"/>
          <w:szCs w:val="16"/>
        </w:rPr>
        <w:t xml:space="preserve"> </w:t>
      </w:r>
      <w:r w:rsidR="004E1F12">
        <w:rPr>
          <w:rFonts w:asciiTheme="majorHAnsi" w:hAnsiTheme="majorHAnsi"/>
          <w:color w:val="auto"/>
          <w:sz w:val="16"/>
          <w:szCs w:val="16"/>
        </w:rPr>
        <w:t xml:space="preserve">to </w:t>
      </w:r>
      <w:r w:rsidRPr="00A51861">
        <w:rPr>
          <w:rFonts w:asciiTheme="majorHAnsi" w:hAnsiTheme="majorHAnsi"/>
          <w:color w:val="auto"/>
          <w:sz w:val="16"/>
          <w:szCs w:val="16"/>
        </w:rPr>
        <w:t>pro</w:t>
      </w:r>
      <w:r w:rsidR="004E1F12">
        <w:rPr>
          <w:rFonts w:asciiTheme="majorHAnsi" w:hAnsiTheme="majorHAnsi"/>
          <w:color w:val="auto"/>
          <w:sz w:val="16"/>
          <w:szCs w:val="16"/>
        </w:rPr>
        <w:t>ceed with the conduction of the case</w:t>
      </w:r>
      <w:r w:rsidRPr="00A51861">
        <w:rPr>
          <w:rFonts w:asciiTheme="majorHAnsi" w:hAnsiTheme="majorHAnsi"/>
          <w:color w:val="auto"/>
          <w:sz w:val="16"/>
          <w:szCs w:val="16"/>
        </w:rPr>
        <w:t>.</w:t>
      </w:r>
    </w:p>
  </w:footnote>
  <w:footnote w:id="5">
    <w:p w14:paraId="4C119B76" w14:textId="5863BCE3"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C238A7">
        <w:rPr>
          <w:rFonts w:asciiTheme="majorHAnsi" w:hAnsiTheme="majorHAnsi"/>
          <w:color w:val="auto"/>
          <w:sz w:val="16"/>
          <w:szCs w:val="16"/>
        </w:rPr>
        <w:t>1</w:t>
      </w:r>
      <w:r w:rsidRPr="00A51861">
        <w:rPr>
          <w:rFonts w:asciiTheme="majorHAnsi" w:hAnsiTheme="majorHAnsi"/>
          <w:color w:val="auto"/>
          <w:sz w:val="16"/>
          <w:szCs w:val="16"/>
        </w:rPr>
        <w:t xml:space="preserve">. </w:t>
      </w:r>
      <w:r w:rsidR="0029564F">
        <w:rPr>
          <w:rFonts w:asciiTheme="majorHAnsi" w:hAnsiTheme="majorHAnsi"/>
          <w:color w:val="auto"/>
          <w:sz w:val="16"/>
          <w:szCs w:val="16"/>
        </w:rPr>
        <w:t>Argentine National Congress</w:t>
      </w:r>
      <w:r w:rsidRPr="00A51861">
        <w:rPr>
          <w:rFonts w:asciiTheme="majorHAnsi" w:hAnsiTheme="majorHAnsi"/>
          <w:color w:val="auto"/>
          <w:sz w:val="16"/>
          <w:szCs w:val="16"/>
        </w:rPr>
        <w:t>, Ley No. 24.043,</w:t>
      </w:r>
      <w:r w:rsidR="00357129">
        <w:rPr>
          <w:rFonts w:asciiTheme="majorHAnsi" w:hAnsiTheme="majorHAnsi"/>
          <w:color w:val="auto"/>
          <w:sz w:val="16"/>
          <w:szCs w:val="16"/>
        </w:rPr>
        <w:t xml:space="preserve"> November</w:t>
      </w:r>
      <w:r w:rsidR="0029564F">
        <w:rPr>
          <w:rFonts w:asciiTheme="majorHAnsi" w:hAnsiTheme="majorHAnsi"/>
          <w:color w:val="auto"/>
          <w:sz w:val="16"/>
          <w:szCs w:val="16"/>
        </w:rPr>
        <w:t xml:space="preserve"> 1991</w:t>
      </w:r>
      <w:r w:rsidRPr="00A51861">
        <w:rPr>
          <w:rFonts w:asciiTheme="majorHAnsi" w:hAnsiTheme="majorHAnsi"/>
          <w:color w:val="auto"/>
          <w:sz w:val="16"/>
          <w:szCs w:val="16"/>
        </w:rPr>
        <w:t xml:space="preserve">.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Julio César Rito de los Santos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6">
    <w:p w14:paraId="5A85D77B" w14:textId="267149BA"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C238A7">
        <w:rPr>
          <w:rFonts w:asciiTheme="majorHAnsi" w:hAnsiTheme="majorHAnsi"/>
          <w:color w:val="auto"/>
          <w:sz w:val="16"/>
          <w:szCs w:val="16"/>
        </w:rPr>
        <w:t>1</w:t>
      </w:r>
      <w:r w:rsidRPr="00A51861">
        <w:rPr>
          <w:rFonts w:asciiTheme="majorHAnsi" w:hAnsiTheme="majorHAnsi"/>
          <w:color w:val="auto"/>
          <w:sz w:val="16"/>
          <w:szCs w:val="16"/>
        </w:rPr>
        <w:t xml:space="preserve">. </w:t>
      </w:r>
      <w:r w:rsidR="0029564F">
        <w:rPr>
          <w:rFonts w:asciiTheme="majorHAnsi" w:hAnsiTheme="majorHAnsi"/>
          <w:color w:val="auto"/>
          <w:sz w:val="16"/>
          <w:szCs w:val="16"/>
        </w:rPr>
        <w:t>Argentine National Congress</w:t>
      </w:r>
      <w:r w:rsidRPr="00A51861">
        <w:rPr>
          <w:rFonts w:asciiTheme="majorHAnsi" w:hAnsiTheme="majorHAnsi"/>
          <w:color w:val="auto"/>
          <w:sz w:val="16"/>
          <w:szCs w:val="16"/>
        </w:rPr>
        <w:t>, Ley No. 24.043,</w:t>
      </w:r>
      <w:r w:rsidR="00357129">
        <w:rPr>
          <w:rFonts w:asciiTheme="majorHAnsi" w:hAnsiTheme="majorHAnsi"/>
          <w:color w:val="auto"/>
          <w:sz w:val="16"/>
          <w:szCs w:val="16"/>
        </w:rPr>
        <w:t xml:space="preserve"> November</w:t>
      </w:r>
      <w:r w:rsidR="0029564F">
        <w:rPr>
          <w:rFonts w:asciiTheme="majorHAnsi" w:hAnsiTheme="majorHAnsi"/>
          <w:color w:val="auto"/>
          <w:sz w:val="16"/>
          <w:szCs w:val="16"/>
        </w:rPr>
        <w:t xml:space="preserve"> 1991</w:t>
      </w:r>
      <w:r w:rsidRPr="00A51861">
        <w:rPr>
          <w:rFonts w:asciiTheme="majorHAnsi" w:hAnsiTheme="majorHAnsi"/>
          <w:color w:val="auto"/>
          <w:sz w:val="16"/>
          <w:szCs w:val="16"/>
        </w:rPr>
        <w:t xml:space="preserve">.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Julio César Rito de los Santos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7">
    <w:p w14:paraId="5BA86CD0" w14:textId="02B0833C"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C238A7">
        <w:rPr>
          <w:rFonts w:asciiTheme="majorHAnsi" w:hAnsiTheme="majorHAnsi"/>
          <w:color w:val="auto"/>
          <w:sz w:val="16"/>
          <w:szCs w:val="16"/>
        </w:rPr>
        <w:t>2</w:t>
      </w:r>
      <w:r w:rsidRPr="00A51861">
        <w:rPr>
          <w:rFonts w:asciiTheme="majorHAnsi" w:hAnsiTheme="majorHAnsi"/>
          <w:color w:val="auto"/>
          <w:sz w:val="16"/>
          <w:szCs w:val="16"/>
        </w:rPr>
        <w:t xml:space="preserve">. </w:t>
      </w:r>
      <w:r w:rsidR="00772057">
        <w:rPr>
          <w:rFonts w:asciiTheme="majorHAnsi" w:hAnsiTheme="majorHAnsi"/>
          <w:color w:val="auto"/>
          <w:sz w:val="16"/>
          <w:szCs w:val="16"/>
        </w:rPr>
        <w:t>Regulatory Decree 1023</w:t>
      </w:r>
      <w:r w:rsidRPr="00A51861">
        <w:rPr>
          <w:rFonts w:asciiTheme="majorHAnsi" w:hAnsiTheme="majorHAnsi"/>
          <w:color w:val="auto"/>
          <w:sz w:val="16"/>
          <w:szCs w:val="16"/>
        </w:rPr>
        <w:t xml:space="preserve"> </w:t>
      </w:r>
      <w:r w:rsidR="0029564F">
        <w:rPr>
          <w:rFonts w:asciiTheme="majorHAnsi" w:hAnsiTheme="majorHAnsi"/>
          <w:color w:val="auto"/>
          <w:sz w:val="16"/>
          <w:szCs w:val="16"/>
        </w:rPr>
        <w:t>of Law</w:t>
      </w:r>
      <w:r w:rsidRPr="00A51861">
        <w:rPr>
          <w:rFonts w:asciiTheme="majorHAnsi" w:hAnsiTheme="majorHAnsi"/>
          <w:color w:val="auto"/>
          <w:sz w:val="16"/>
          <w:szCs w:val="16"/>
        </w:rPr>
        <w:t xml:space="preserve"> No. 24.043, </w:t>
      </w:r>
      <w:r w:rsidR="00772057">
        <w:rPr>
          <w:rFonts w:asciiTheme="majorHAnsi" w:hAnsiTheme="majorHAnsi"/>
          <w:color w:val="auto"/>
          <w:sz w:val="16"/>
          <w:szCs w:val="16"/>
        </w:rPr>
        <w:t xml:space="preserve">June 24, </w:t>
      </w:r>
      <w:r w:rsidRPr="00A51861">
        <w:rPr>
          <w:rFonts w:asciiTheme="majorHAnsi" w:hAnsiTheme="majorHAnsi"/>
          <w:color w:val="auto"/>
          <w:sz w:val="16"/>
          <w:szCs w:val="16"/>
        </w:rPr>
        <w:t xml:space="preserve">1992.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Julio César Rito de los Santos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8">
    <w:p w14:paraId="67634D50" w14:textId="4A783E0A"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29564F">
        <w:rPr>
          <w:rFonts w:asciiTheme="majorHAnsi" w:hAnsiTheme="majorHAnsi"/>
          <w:color w:val="auto"/>
          <w:sz w:val="16"/>
          <w:szCs w:val="16"/>
        </w:rPr>
        <w:t>Argentine National Congress</w:t>
      </w:r>
      <w:r w:rsidRPr="00A51861">
        <w:rPr>
          <w:rFonts w:asciiTheme="majorHAnsi" w:hAnsiTheme="majorHAnsi"/>
          <w:color w:val="auto"/>
          <w:sz w:val="16"/>
          <w:szCs w:val="16"/>
        </w:rPr>
        <w:t xml:space="preserve">. </w:t>
      </w:r>
      <w:hyperlink r:id="rId1" w:history="1">
        <w:r w:rsidR="00772057">
          <w:rPr>
            <w:rStyle w:val="Hyperlink"/>
            <w:rFonts w:asciiTheme="majorHAnsi" w:hAnsiTheme="majorHAnsi"/>
            <w:color w:val="auto"/>
            <w:sz w:val="16"/>
            <w:szCs w:val="16"/>
          </w:rPr>
          <w:t>Law 24.906</w:t>
        </w:r>
        <w:r w:rsidRPr="00A51861">
          <w:rPr>
            <w:rStyle w:val="Hyperlink"/>
            <w:rFonts w:asciiTheme="majorHAnsi" w:hAnsiTheme="majorHAnsi"/>
            <w:color w:val="auto"/>
            <w:sz w:val="16"/>
            <w:szCs w:val="16"/>
          </w:rPr>
          <w:t>,</w:t>
        </w:r>
        <w:r w:rsidR="00357129">
          <w:rPr>
            <w:rStyle w:val="Hyperlink"/>
            <w:rFonts w:asciiTheme="majorHAnsi" w:hAnsiTheme="majorHAnsi"/>
            <w:color w:val="auto"/>
            <w:sz w:val="16"/>
            <w:szCs w:val="16"/>
          </w:rPr>
          <w:t xml:space="preserve"> November</w:t>
        </w:r>
        <w:r w:rsidR="00772057">
          <w:rPr>
            <w:rStyle w:val="Hyperlink"/>
            <w:rFonts w:asciiTheme="majorHAnsi" w:hAnsiTheme="majorHAnsi"/>
            <w:color w:val="auto"/>
            <w:sz w:val="16"/>
            <w:szCs w:val="16"/>
          </w:rPr>
          <w:t xml:space="preserve"> 26,</w:t>
        </w:r>
        <w:r w:rsidRPr="00A51861">
          <w:rPr>
            <w:rStyle w:val="Hyperlink"/>
            <w:rFonts w:asciiTheme="majorHAnsi" w:hAnsiTheme="majorHAnsi"/>
            <w:color w:val="auto"/>
            <w:sz w:val="16"/>
            <w:szCs w:val="16"/>
          </w:rPr>
          <w:t xml:space="preserve"> 1997.</w:t>
        </w:r>
      </w:hyperlink>
    </w:p>
  </w:footnote>
  <w:footnote w:id="9">
    <w:p w14:paraId="6799E986" w14:textId="64DBB866"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C238A7">
        <w:rPr>
          <w:rFonts w:asciiTheme="majorHAnsi" w:hAnsiTheme="majorHAnsi"/>
          <w:color w:val="auto"/>
          <w:sz w:val="16"/>
          <w:szCs w:val="16"/>
        </w:rPr>
        <w:t>3</w:t>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 xml:space="preserve">Resolution </w:t>
      </w:r>
      <w:r w:rsidRPr="00A51861">
        <w:rPr>
          <w:rFonts w:asciiTheme="majorHAnsi" w:hAnsiTheme="majorHAnsi"/>
          <w:color w:val="auto"/>
          <w:sz w:val="16"/>
          <w:szCs w:val="16"/>
        </w:rPr>
        <w:t xml:space="preserve">No. 670 </w:t>
      </w:r>
      <w:r w:rsidR="00A51861">
        <w:rPr>
          <w:rFonts w:asciiTheme="majorHAnsi" w:hAnsiTheme="majorHAnsi"/>
          <w:color w:val="auto"/>
          <w:sz w:val="16"/>
          <w:szCs w:val="16"/>
        </w:rPr>
        <w:t>of the Ministry of Justice and Human Rights</w:t>
      </w:r>
      <w:r w:rsidRPr="00A51861">
        <w:rPr>
          <w:rFonts w:asciiTheme="majorHAnsi" w:hAnsiTheme="majorHAnsi"/>
          <w:color w:val="auto"/>
          <w:sz w:val="16"/>
          <w:szCs w:val="16"/>
        </w:rPr>
        <w:t xml:space="preserve">, </w:t>
      </w:r>
      <w:r w:rsidR="00A51861">
        <w:rPr>
          <w:rFonts w:asciiTheme="majorHAnsi" w:hAnsiTheme="majorHAnsi"/>
          <w:color w:val="auto"/>
          <w:sz w:val="16"/>
          <w:szCs w:val="16"/>
        </w:rPr>
        <w:t xml:space="preserve">August 19, </w:t>
      </w:r>
      <w:r w:rsidRPr="00A51861">
        <w:rPr>
          <w:rFonts w:asciiTheme="majorHAnsi" w:hAnsiTheme="majorHAnsi"/>
          <w:color w:val="auto"/>
          <w:sz w:val="16"/>
          <w:szCs w:val="16"/>
        </w:rPr>
        <w:t xml:space="preserve">2016. </w:t>
      </w:r>
      <w:r w:rsidR="00A51861" w:rsidRPr="00A51861">
        <w:rPr>
          <w:rFonts w:asciiTheme="majorHAnsi" w:hAnsiTheme="majorHAnsi"/>
          <w:color w:val="auto"/>
          <w:sz w:val="16"/>
          <w:szCs w:val="16"/>
        </w:rPr>
        <w:t xml:space="preserve">Annexed to the </w:t>
      </w:r>
      <w:r w:rsidR="00A51861">
        <w:rPr>
          <w:rFonts w:asciiTheme="majorHAnsi" w:hAnsiTheme="majorHAnsi"/>
          <w:color w:val="auto"/>
          <w:sz w:val="16"/>
          <w:szCs w:val="16"/>
        </w:rPr>
        <w:t xml:space="preserve">brief of the State of </w:t>
      </w:r>
      <w:r w:rsidRPr="00A51861">
        <w:rPr>
          <w:rFonts w:asciiTheme="majorHAnsi" w:hAnsiTheme="majorHAnsi"/>
          <w:color w:val="auto"/>
          <w:sz w:val="16"/>
          <w:szCs w:val="16"/>
        </w:rPr>
        <w:t xml:space="preserve">Julio César Rito de los Santos </w:t>
      </w:r>
      <w:r w:rsidR="00A51861">
        <w:rPr>
          <w:rFonts w:asciiTheme="majorHAnsi" w:hAnsiTheme="majorHAnsi"/>
          <w:color w:val="auto"/>
          <w:sz w:val="16"/>
          <w:szCs w:val="16"/>
        </w:rPr>
        <w:t xml:space="preserve">of September 5, </w:t>
      </w:r>
      <w:r w:rsidRPr="00A51861">
        <w:rPr>
          <w:rFonts w:asciiTheme="majorHAnsi" w:hAnsiTheme="majorHAnsi"/>
          <w:color w:val="auto"/>
          <w:sz w:val="16"/>
          <w:szCs w:val="16"/>
        </w:rPr>
        <w:t>2017.</w:t>
      </w:r>
    </w:p>
  </w:footnote>
  <w:footnote w:id="10">
    <w:p w14:paraId="16A0B65D" w14:textId="74FE7FAE"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C238A7">
        <w:rPr>
          <w:rFonts w:asciiTheme="majorHAnsi" w:hAnsiTheme="majorHAnsi"/>
          <w:color w:val="auto"/>
          <w:sz w:val="16"/>
          <w:szCs w:val="16"/>
        </w:rPr>
        <w:t>3</w:t>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 xml:space="preserve">Resolution </w:t>
      </w:r>
      <w:r w:rsidRPr="00A51861">
        <w:rPr>
          <w:rFonts w:asciiTheme="majorHAnsi" w:hAnsiTheme="majorHAnsi"/>
          <w:color w:val="auto"/>
          <w:sz w:val="16"/>
          <w:szCs w:val="16"/>
        </w:rPr>
        <w:t xml:space="preserve">No. 670 </w:t>
      </w:r>
      <w:r w:rsidR="00A51861">
        <w:rPr>
          <w:rFonts w:asciiTheme="majorHAnsi" w:hAnsiTheme="majorHAnsi"/>
          <w:color w:val="auto"/>
          <w:sz w:val="16"/>
          <w:szCs w:val="16"/>
        </w:rPr>
        <w:t>of the Ministry of Justice and Human Rights</w:t>
      </w:r>
      <w:r w:rsidRPr="00A51861">
        <w:rPr>
          <w:rFonts w:asciiTheme="majorHAnsi" w:hAnsiTheme="majorHAnsi"/>
          <w:color w:val="auto"/>
          <w:sz w:val="16"/>
          <w:szCs w:val="16"/>
        </w:rPr>
        <w:t xml:space="preserve">, </w:t>
      </w:r>
      <w:r w:rsidR="00A51861">
        <w:rPr>
          <w:rFonts w:asciiTheme="majorHAnsi" w:hAnsiTheme="majorHAnsi"/>
          <w:color w:val="auto"/>
          <w:sz w:val="16"/>
          <w:szCs w:val="16"/>
        </w:rPr>
        <w:t xml:space="preserve">August 19, </w:t>
      </w:r>
      <w:r w:rsidRPr="00A51861">
        <w:rPr>
          <w:rFonts w:asciiTheme="majorHAnsi" w:hAnsiTheme="majorHAnsi"/>
          <w:color w:val="auto"/>
          <w:sz w:val="16"/>
          <w:szCs w:val="16"/>
        </w:rPr>
        <w:t xml:space="preserve">2016. </w:t>
      </w:r>
      <w:r w:rsidR="00A51861" w:rsidRPr="00A51861">
        <w:rPr>
          <w:rFonts w:asciiTheme="majorHAnsi" w:hAnsiTheme="majorHAnsi"/>
          <w:color w:val="auto"/>
          <w:sz w:val="16"/>
          <w:szCs w:val="16"/>
        </w:rPr>
        <w:t xml:space="preserve">Annexed to the </w:t>
      </w:r>
      <w:r w:rsidR="00A51861">
        <w:rPr>
          <w:rFonts w:asciiTheme="majorHAnsi" w:hAnsiTheme="majorHAnsi"/>
          <w:color w:val="auto"/>
          <w:sz w:val="16"/>
          <w:szCs w:val="16"/>
        </w:rPr>
        <w:t xml:space="preserve">brief of the State of </w:t>
      </w:r>
      <w:r w:rsidRPr="00A51861">
        <w:rPr>
          <w:rFonts w:asciiTheme="majorHAnsi" w:hAnsiTheme="majorHAnsi"/>
          <w:color w:val="auto"/>
          <w:sz w:val="16"/>
          <w:szCs w:val="16"/>
        </w:rPr>
        <w:t xml:space="preserve">Julio César Rito de los Santos </w:t>
      </w:r>
      <w:r w:rsidR="00A51861">
        <w:rPr>
          <w:rFonts w:asciiTheme="majorHAnsi" w:hAnsiTheme="majorHAnsi"/>
          <w:color w:val="auto"/>
          <w:sz w:val="16"/>
          <w:szCs w:val="16"/>
        </w:rPr>
        <w:t xml:space="preserve">of September 5, </w:t>
      </w:r>
      <w:r w:rsidRPr="00A51861">
        <w:rPr>
          <w:rFonts w:asciiTheme="majorHAnsi" w:hAnsiTheme="majorHAnsi"/>
          <w:color w:val="auto"/>
          <w:sz w:val="16"/>
          <w:szCs w:val="16"/>
        </w:rPr>
        <w:t>2017.</w:t>
      </w:r>
    </w:p>
  </w:footnote>
  <w:footnote w:id="11">
    <w:p w14:paraId="2E80CADA" w14:textId="59E64F0E"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C238A7">
        <w:rPr>
          <w:rFonts w:asciiTheme="majorHAnsi" w:hAnsiTheme="majorHAnsi"/>
          <w:color w:val="auto"/>
          <w:sz w:val="16"/>
          <w:szCs w:val="16"/>
        </w:rPr>
        <w:t>3</w:t>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 xml:space="preserve">Resolution </w:t>
      </w:r>
      <w:r w:rsidRPr="00A51861">
        <w:rPr>
          <w:rFonts w:asciiTheme="majorHAnsi" w:hAnsiTheme="majorHAnsi"/>
          <w:color w:val="auto"/>
          <w:sz w:val="16"/>
          <w:szCs w:val="16"/>
        </w:rPr>
        <w:t xml:space="preserve">No. 670 </w:t>
      </w:r>
      <w:r w:rsidR="00A51861">
        <w:rPr>
          <w:rFonts w:asciiTheme="majorHAnsi" w:hAnsiTheme="majorHAnsi"/>
          <w:color w:val="auto"/>
          <w:sz w:val="16"/>
          <w:szCs w:val="16"/>
        </w:rPr>
        <w:t>of the Ministry of Justice and Human Rights</w:t>
      </w:r>
      <w:r w:rsidRPr="00A51861">
        <w:rPr>
          <w:rFonts w:asciiTheme="majorHAnsi" w:hAnsiTheme="majorHAnsi"/>
          <w:color w:val="auto"/>
          <w:sz w:val="16"/>
          <w:szCs w:val="16"/>
        </w:rPr>
        <w:t xml:space="preserve">, </w:t>
      </w:r>
      <w:r w:rsidR="00A51861">
        <w:rPr>
          <w:rFonts w:asciiTheme="majorHAnsi" w:hAnsiTheme="majorHAnsi"/>
          <w:color w:val="auto"/>
          <w:sz w:val="16"/>
          <w:szCs w:val="16"/>
        </w:rPr>
        <w:t xml:space="preserve">August 19, </w:t>
      </w:r>
      <w:r w:rsidRPr="00A51861">
        <w:rPr>
          <w:rFonts w:asciiTheme="majorHAnsi" w:hAnsiTheme="majorHAnsi"/>
          <w:color w:val="auto"/>
          <w:sz w:val="16"/>
          <w:szCs w:val="16"/>
        </w:rPr>
        <w:t xml:space="preserve">2016. </w:t>
      </w:r>
      <w:r w:rsidR="00A51861" w:rsidRPr="00A51861">
        <w:rPr>
          <w:rFonts w:asciiTheme="majorHAnsi" w:hAnsiTheme="majorHAnsi"/>
          <w:color w:val="auto"/>
          <w:sz w:val="16"/>
          <w:szCs w:val="16"/>
        </w:rPr>
        <w:t xml:space="preserve">Annexed to the </w:t>
      </w:r>
      <w:r w:rsidR="00A51861">
        <w:rPr>
          <w:rFonts w:asciiTheme="majorHAnsi" w:hAnsiTheme="majorHAnsi"/>
          <w:color w:val="auto"/>
          <w:sz w:val="16"/>
          <w:szCs w:val="16"/>
        </w:rPr>
        <w:t xml:space="preserve">brief of the State of </w:t>
      </w:r>
      <w:r w:rsidRPr="00A51861">
        <w:rPr>
          <w:rFonts w:asciiTheme="majorHAnsi" w:hAnsiTheme="majorHAnsi"/>
          <w:color w:val="auto"/>
          <w:sz w:val="16"/>
          <w:szCs w:val="16"/>
        </w:rPr>
        <w:t xml:space="preserve">Julio César Rito de los Santos </w:t>
      </w:r>
      <w:r w:rsidR="00A51861">
        <w:rPr>
          <w:rFonts w:asciiTheme="majorHAnsi" w:hAnsiTheme="majorHAnsi"/>
          <w:color w:val="auto"/>
          <w:sz w:val="16"/>
          <w:szCs w:val="16"/>
        </w:rPr>
        <w:t xml:space="preserve">of September 5, </w:t>
      </w:r>
      <w:r w:rsidRPr="00A51861">
        <w:rPr>
          <w:rFonts w:asciiTheme="majorHAnsi" w:hAnsiTheme="majorHAnsi"/>
          <w:color w:val="auto"/>
          <w:sz w:val="16"/>
          <w:szCs w:val="16"/>
        </w:rPr>
        <w:t>2017.</w:t>
      </w:r>
    </w:p>
  </w:footnote>
  <w:footnote w:id="12">
    <w:p w14:paraId="1DF2E876" w14:textId="0EBD2D86"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29564F">
        <w:rPr>
          <w:rFonts w:asciiTheme="majorHAnsi" w:hAnsiTheme="majorHAnsi"/>
          <w:color w:val="auto"/>
          <w:sz w:val="16"/>
          <w:szCs w:val="16"/>
        </w:rPr>
        <w:t>Argentine National Congress</w:t>
      </w:r>
      <w:r w:rsidRPr="00A51861">
        <w:rPr>
          <w:rFonts w:asciiTheme="majorHAnsi" w:hAnsiTheme="majorHAnsi"/>
          <w:color w:val="auto"/>
          <w:sz w:val="16"/>
          <w:szCs w:val="16"/>
        </w:rPr>
        <w:t xml:space="preserve">. </w:t>
      </w:r>
      <w:hyperlink r:id="rId2" w:history="1">
        <w:r w:rsidRPr="00A51861">
          <w:rPr>
            <w:rStyle w:val="Hyperlink"/>
            <w:rFonts w:asciiTheme="majorHAnsi" w:hAnsiTheme="majorHAnsi"/>
            <w:color w:val="auto"/>
            <w:sz w:val="16"/>
            <w:szCs w:val="16"/>
          </w:rPr>
          <w:t>Ley 26.564,</w:t>
        </w:r>
        <w:r w:rsidR="00357129">
          <w:rPr>
            <w:rStyle w:val="Hyperlink"/>
            <w:rFonts w:asciiTheme="majorHAnsi" w:hAnsiTheme="majorHAnsi"/>
            <w:color w:val="auto"/>
            <w:sz w:val="16"/>
            <w:szCs w:val="16"/>
          </w:rPr>
          <w:t xml:space="preserve"> November</w:t>
        </w:r>
        <w:r w:rsidR="00A9213F">
          <w:rPr>
            <w:rStyle w:val="Hyperlink"/>
            <w:rFonts w:asciiTheme="majorHAnsi" w:hAnsiTheme="majorHAnsi"/>
            <w:color w:val="auto"/>
            <w:sz w:val="16"/>
            <w:szCs w:val="16"/>
          </w:rPr>
          <w:t xml:space="preserve"> 25,</w:t>
        </w:r>
        <w:r w:rsidRPr="00A51861">
          <w:rPr>
            <w:rStyle w:val="Hyperlink"/>
            <w:rFonts w:asciiTheme="majorHAnsi" w:hAnsiTheme="majorHAnsi"/>
            <w:color w:val="auto"/>
            <w:sz w:val="16"/>
            <w:szCs w:val="16"/>
          </w:rPr>
          <w:t xml:space="preserve"> 2009</w:t>
        </w:r>
      </w:hyperlink>
      <w:r w:rsidRPr="00A51861">
        <w:rPr>
          <w:rFonts w:asciiTheme="majorHAnsi" w:hAnsiTheme="majorHAnsi"/>
          <w:color w:val="auto"/>
          <w:sz w:val="16"/>
          <w:szCs w:val="16"/>
        </w:rPr>
        <w:t>.</w:t>
      </w:r>
    </w:p>
  </w:footnote>
  <w:footnote w:id="13">
    <w:p w14:paraId="0ACCB37D" w14:textId="0E3992B1"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C238A7">
        <w:rPr>
          <w:rFonts w:asciiTheme="majorHAnsi" w:hAnsiTheme="majorHAnsi"/>
          <w:color w:val="auto"/>
          <w:sz w:val="16"/>
          <w:szCs w:val="16"/>
        </w:rPr>
        <w:t>4</w:t>
      </w:r>
      <w:r w:rsidRPr="00A51861">
        <w:rPr>
          <w:rFonts w:asciiTheme="majorHAnsi" w:hAnsiTheme="majorHAnsi"/>
          <w:color w:val="auto"/>
          <w:sz w:val="16"/>
          <w:szCs w:val="16"/>
        </w:rPr>
        <w:t xml:space="preserve">. </w:t>
      </w:r>
      <w:r w:rsidR="00A9213F">
        <w:rPr>
          <w:rFonts w:asciiTheme="majorHAnsi" w:hAnsiTheme="majorHAnsi"/>
          <w:color w:val="auto"/>
          <w:sz w:val="16"/>
          <w:szCs w:val="16"/>
        </w:rPr>
        <w:t>Brief or request of benefits of Law</w:t>
      </w:r>
      <w:r w:rsidRPr="00A51861">
        <w:rPr>
          <w:rFonts w:asciiTheme="majorHAnsi" w:hAnsiTheme="majorHAnsi"/>
          <w:color w:val="auto"/>
          <w:sz w:val="16"/>
          <w:szCs w:val="16"/>
        </w:rPr>
        <w:t xml:space="preserve"> No. 24.043, 1998.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Julio César Rito de los Santos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14">
    <w:p w14:paraId="6A0E73DC" w14:textId="1D2C16AC"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C238A7">
        <w:rPr>
          <w:rFonts w:asciiTheme="majorHAnsi" w:hAnsiTheme="majorHAnsi"/>
          <w:color w:val="auto"/>
          <w:sz w:val="16"/>
          <w:szCs w:val="16"/>
        </w:rPr>
        <w:t>5</w:t>
      </w:r>
      <w:r w:rsidRPr="00A51861">
        <w:rPr>
          <w:rFonts w:asciiTheme="majorHAnsi" w:hAnsiTheme="majorHAnsi"/>
          <w:color w:val="auto"/>
          <w:sz w:val="16"/>
          <w:szCs w:val="16"/>
        </w:rPr>
        <w:t xml:space="preserve">. </w:t>
      </w:r>
      <w:r w:rsidR="00A9213F">
        <w:rPr>
          <w:rFonts w:asciiTheme="majorHAnsi" w:hAnsiTheme="majorHAnsi"/>
          <w:color w:val="auto"/>
          <w:sz w:val="16"/>
          <w:szCs w:val="16"/>
        </w:rPr>
        <w:t xml:space="preserve">Initial petition of </w:t>
      </w:r>
      <w:r w:rsidRPr="00A51861">
        <w:rPr>
          <w:rFonts w:asciiTheme="majorHAnsi" w:hAnsiTheme="majorHAnsi"/>
          <w:color w:val="auto"/>
          <w:sz w:val="16"/>
          <w:szCs w:val="16"/>
        </w:rPr>
        <w:t xml:space="preserve">Julio César Rito de los Santos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15">
    <w:p w14:paraId="477FBAA1" w14:textId="4F2D43B7"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C238A7">
        <w:rPr>
          <w:rFonts w:asciiTheme="majorHAnsi" w:hAnsiTheme="majorHAnsi"/>
          <w:color w:val="auto"/>
          <w:sz w:val="16"/>
          <w:szCs w:val="16"/>
        </w:rPr>
        <w:t>6</w:t>
      </w:r>
      <w:r w:rsidRPr="00A51861">
        <w:rPr>
          <w:rFonts w:asciiTheme="majorHAnsi" w:hAnsiTheme="majorHAnsi"/>
          <w:color w:val="auto"/>
          <w:sz w:val="16"/>
          <w:szCs w:val="16"/>
        </w:rPr>
        <w:t xml:space="preserve">. </w:t>
      </w:r>
      <w:r w:rsidR="00A9213F">
        <w:rPr>
          <w:rFonts w:asciiTheme="majorHAnsi" w:hAnsiTheme="majorHAnsi"/>
          <w:color w:val="auto"/>
          <w:sz w:val="16"/>
          <w:szCs w:val="16"/>
        </w:rPr>
        <w:t>Record of the Intergovernmental Committee for European Migration</w:t>
      </w:r>
      <w:r w:rsidRPr="00A51861">
        <w:rPr>
          <w:rFonts w:asciiTheme="majorHAnsi" w:hAnsiTheme="majorHAnsi"/>
          <w:color w:val="auto"/>
          <w:sz w:val="16"/>
          <w:szCs w:val="16"/>
        </w:rPr>
        <w:t xml:space="preserve">, </w:t>
      </w:r>
      <w:r w:rsidR="00A9213F">
        <w:rPr>
          <w:rFonts w:asciiTheme="majorHAnsi" w:hAnsiTheme="majorHAnsi"/>
          <w:color w:val="auto"/>
          <w:sz w:val="16"/>
          <w:szCs w:val="16"/>
        </w:rPr>
        <w:t>July 10,</w:t>
      </w:r>
      <w:r w:rsidRPr="00A51861">
        <w:rPr>
          <w:rFonts w:asciiTheme="majorHAnsi" w:hAnsiTheme="majorHAnsi"/>
          <w:color w:val="auto"/>
          <w:sz w:val="16"/>
          <w:szCs w:val="16"/>
        </w:rPr>
        <w:t xml:space="preserve"> 1975.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Julio César Rito de los Santos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16">
    <w:p w14:paraId="0A27880F" w14:textId="4DDA42A6"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C238A7">
        <w:rPr>
          <w:rFonts w:asciiTheme="majorHAnsi" w:hAnsiTheme="majorHAnsi"/>
          <w:color w:val="auto"/>
          <w:sz w:val="16"/>
          <w:szCs w:val="16"/>
        </w:rPr>
        <w:t>5</w:t>
      </w:r>
      <w:r w:rsidRPr="00A51861">
        <w:rPr>
          <w:rFonts w:asciiTheme="majorHAnsi" w:hAnsiTheme="majorHAnsi"/>
          <w:color w:val="auto"/>
          <w:sz w:val="16"/>
          <w:szCs w:val="16"/>
        </w:rPr>
        <w:t xml:space="preserve">. </w:t>
      </w:r>
      <w:r w:rsidR="00A9213F">
        <w:rPr>
          <w:rFonts w:asciiTheme="majorHAnsi" w:hAnsiTheme="majorHAnsi"/>
          <w:color w:val="auto"/>
          <w:sz w:val="16"/>
          <w:szCs w:val="16"/>
        </w:rPr>
        <w:t xml:space="preserve">Initial petition of </w:t>
      </w:r>
      <w:r w:rsidRPr="00A51861">
        <w:rPr>
          <w:rFonts w:asciiTheme="majorHAnsi" w:hAnsiTheme="majorHAnsi"/>
          <w:color w:val="auto"/>
          <w:sz w:val="16"/>
          <w:szCs w:val="16"/>
        </w:rPr>
        <w:t xml:space="preserve">Julio César Rito de los Santos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17">
    <w:p w14:paraId="299B6B90" w14:textId="590F71D4"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C238A7">
        <w:rPr>
          <w:rFonts w:asciiTheme="majorHAnsi" w:hAnsiTheme="majorHAnsi"/>
          <w:color w:val="auto"/>
          <w:sz w:val="16"/>
          <w:szCs w:val="16"/>
        </w:rPr>
        <w:t>7</w:t>
      </w:r>
      <w:r w:rsidRPr="00A51861">
        <w:rPr>
          <w:rFonts w:asciiTheme="majorHAnsi" w:hAnsiTheme="majorHAnsi"/>
          <w:color w:val="auto"/>
          <w:sz w:val="16"/>
          <w:szCs w:val="16"/>
        </w:rPr>
        <w:t xml:space="preserve">. </w:t>
      </w:r>
      <w:r w:rsidR="001A574D">
        <w:rPr>
          <w:rFonts w:asciiTheme="majorHAnsi" w:hAnsiTheme="majorHAnsi"/>
          <w:color w:val="auto"/>
          <w:sz w:val="16"/>
          <w:szCs w:val="16"/>
        </w:rPr>
        <w:t>Brief which claims a new fact before the</w:t>
      </w:r>
      <w:r w:rsidRPr="00A51861">
        <w:rPr>
          <w:rFonts w:asciiTheme="majorHAnsi" w:hAnsiTheme="majorHAnsi"/>
          <w:color w:val="auto"/>
          <w:sz w:val="16"/>
          <w:szCs w:val="16"/>
        </w:rPr>
        <w:t xml:space="preserve"> </w:t>
      </w:r>
      <w:r w:rsidR="001A574D">
        <w:rPr>
          <w:rFonts w:asciiTheme="majorHAnsi" w:hAnsiTheme="majorHAnsi"/>
          <w:color w:val="auto"/>
          <w:sz w:val="16"/>
          <w:szCs w:val="16"/>
        </w:rPr>
        <w:t>Supreme Court of Justice</w:t>
      </w:r>
      <w:r w:rsidRPr="00A51861">
        <w:rPr>
          <w:rFonts w:asciiTheme="majorHAnsi" w:hAnsiTheme="majorHAnsi"/>
          <w:color w:val="auto"/>
          <w:sz w:val="16"/>
          <w:szCs w:val="16"/>
        </w:rPr>
        <w:t xml:space="preserve">, </w:t>
      </w:r>
      <w:r w:rsidR="00A9213F">
        <w:rPr>
          <w:rFonts w:asciiTheme="majorHAnsi" w:hAnsiTheme="majorHAnsi"/>
          <w:color w:val="auto"/>
          <w:sz w:val="16"/>
          <w:szCs w:val="16"/>
        </w:rPr>
        <w:t>September 16,</w:t>
      </w:r>
      <w:r w:rsidRPr="00A51861">
        <w:rPr>
          <w:rFonts w:asciiTheme="majorHAnsi" w:hAnsiTheme="majorHAnsi"/>
          <w:color w:val="auto"/>
          <w:sz w:val="16"/>
          <w:szCs w:val="16"/>
        </w:rPr>
        <w:t xml:space="preserve"> 2003.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Julio César Rito de los Santos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18">
    <w:p w14:paraId="4A7A2B0F" w14:textId="2C118453"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C238A7">
        <w:rPr>
          <w:rFonts w:asciiTheme="majorHAnsi" w:hAnsiTheme="majorHAnsi"/>
          <w:color w:val="auto"/>
          <w:sz w:val="16"/>
          <w:szCs w:val="16"/>
        </w:rPr>
        <w:t>8</w:t>
      </w:r>
      <w:r w:rsidRPr="00A51861">
        <w:rPr>
          <w:rFonts w:asciiTheme="majorHAnsi" w:hAnsiTheme="majorHAnsi"/>
          <w:color w:val="auto"/>
          <w:sz w:val="16"/>
          <w:szCs w:val="16"/>
        </w:rPr>
        <w:t xml:space="preserve">. </w:t>
      </w:r>
      <w:r w:rsidR="001A574D">
        <w:rPr>
          <w:rFonts w:asciiTheme="majorHAnsi" w:hAnsiTheme="majorHAnsi"/>
          <w:color w:val="auto"/>
          <w:sz w:val="16"/>
          <w:szCs w:val="16"/>
        </w:rPr>
        <w:t>Judgment from the</w:t>
      </w:r>
      <w:r w:rsidRPr="00A51861">
        <w:rPr>
          <w:rFonts w:asciiTheme="majorHAnsi" w:hAnsiTheme="majorHAnsi"/>
          <w:color w:val="auto"/>
          <w:sz w:val="16"/>
          <w:szCs w:val="16"/>
        </w:rPr>
        <w:t xml:space="preserve"> </w:t>
      </w:r>
      <w:r w:rsidR="001A574D">
        <w:rPr>
          <w:rFonts w:asciiTheme="majorHAnsi" w:hAnsiTheme="majorHAnsi"/>
          <w:color w:val="auto"/>
          <w:sz w:val="16"/>
          <w:szCs w:val="16"/>
        </w:rPr>
        <w:t>Psycho-physical Selection Service</w:t>
      </w:r>
      <w:r w:rsidRPr="00A51861">
        <w:rPr>
          <w:rFonts w:asciiTheme="majorHAnsi" w:hAnsiTheme="majorHAnsi"/>
          <w:color w:val="auto"/>
          <w:sz w:val="16"/>
          <w:szCs w:val="16"/>
        </w:rPr>
        <w:t xml:space="preserve">, </w:t>
      </w:r>
      <w:r w:rsidR="001A574D">
        <w:rPr>
          <w:rFonts w:asciiTheme="majorHAnsi" w:hAnsiTheme="majorHAnsi"/>
          <w:color w:val="auto"/>
          <w:sz w:val="16"/>
          <w:szCs w:val="16"/>
        </w:rPr>
        <w:t>March 5,</w:t>
      </w:r>
      <w:r w:rsidRPr="00A51861">
        <w:rPr>
          <w:rFonts w:asciiTheme="majorHAnsi" w:hAnsiTheme="majorHAnsi"/>
          <w:color w:val="auto"/>
          <w:sz w:val="16"/>
          <w:szCs w:val="16"/>
        </w:rPr>
        <w:t xml:space="preserve"> 1974.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Julio César Rito de los Santos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19">
    <w:p w14:paraId="4BD2BDAF" w14:textId="6C1441AB"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C238A7">
        <w:rPr>
          <w:rFonts w:asciiTheme="majorHAnsi" w:hAnsiTheme="majorHAnsi"/>
          <w:color w:val="auto"/>
          <w:sz w:val="16"/>
          <w:szCs w:val="16"/>
        </w:rPr>
        <w:t>9</w:t>
      </w:r>
      <w:r w:rsidRPr="00A51861">
        <w:rPr>
          <w:rFonts w:asciiTheme="majorHAnsi" w:hAnsiTheme="majorHAnsi"/>
          <w:color w:val="auto"/>
          <w:sz w:val="16"/>
          <w:szCs w:val="16"/>
        </w:rPr>
        <w:t>.</w:t>
      </w:r>
      <w:r w:rsidR="000E67CA">
        <w:rPr>
          <w:rFonts w:asciiTheme="majorHAnsi" w:hAnsiTheme="majorHAnsi"/>
          <w:color w:val="auto"/>
          <w:sz w:val="16"/>
          <w:szCs w:val="16"/>
        </w:rPr>
        <w:t xml:space="preserve"> Report</w:t>
      </w:r>
      <w:r w:rsidR="00061928">
        <w:rPr>
          <w:rFonts w:asciiTheme="majorHAnsi" w:hAnsiTheme="majorHAnsi"/>
          <w:color w:val="auto"/>
          <w:sz w:val="16"/>
          <w:szCs w:val="16"/>
        </w:rPr>
        <w:t xml:space="preserve"> of the </w:t>
      </w:r>
      <w:r w:rsidR="001A574D">
        <w:rPr>
          <w:rFonts w:asciiTheme="majorHAnsi" w:hAnsiTheme="majorHAnsi"/>
          <w:color w:val="auto"/>
          <w:sz w:val="16"/>
          <w:szCs w:val="16"/>
        </w:rPr>
        <w:t>Bureau of Entries Division</w:t>
      </w:r>
      <w:r w:rsidRPr="00A51861">
        <w:rPr>
          <w:rFonts w:asciiTheme="majorHAnsi" w:hAnsiTheme="majorHAnsi"/>
          <w:color w:val="auto"/>
          <w:sz w:val="16"/>
          <w:szCs w:val="16"/>
        </w:rPr>
        <w:t xml:space="preserve">, </w:t>
      </w:r>
      <w:r w:rsidR="001A574D">
        <w:rPr>
          <w:rFonts w:asciiTheme="majorHAnsi" w:hAnsiTheme="majorHAnsi"/>
          <w:color w:val="auto"/>
          <w:sz w:val="16"/>
          <w:szCs w:val="16"/>
        </w:rPr>
        <w:t>Departures and Archive</w:t>
      </w:r>
      <w:r w:rsidRPr="00A51861">
        <w:rPr>
          <w:rFonts w:asciiTheme="majorHAnsi" w:hAnsiTheme="majorHAnsi"/>
          <w:color w:val="auto"/>
          <w:sz w:val="16"/>
          <w:szCs w:val="16"/>
        </w:rPr>
        <w:t xml:space="preserve">, </w:t>
      </w:r>
      <w:r w:rsidR="001A574D">
        <w:rPr>
          <w:rFonts w:asciiTheme="majorHAnsi" w:hAnsiTheme="majorHAnsi"/>
          <w:color w:val="auto"/>
          <w:sz w:val="16"/>
          <w:szCs w:val="16"/>
        </w:rPr>
        <w:t>March 4,</w:t>
      </w:r>
      <w:r w:rsidRPr="00A51861">
        <w:rPr>
          <w:rFonts w:asciiTheme="majorHAnsi" w:hAnsiTheme="majorHAnsi"/>
          <w:color w:val="auto"/>
          <w:sz w:val="16"/>
          <w:szCs w:val="16"/>
        </w:rPr>
        <w:t xml:space="preserve"> 1974.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Julio César Rito de los Santos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20">
    <w:p w14:paraId="6EC3B73E" w14:textId="75ED5C1A"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C238A7">
        <w:rPr>
          <w:rFonts w:asciiTheme="majorHAnsi" w:hAnsiTheme="majorHAnsi"/>
          <w:color w:val="auto"/>
          <w:sz w:val="16"/>
          <w:szCs w:val="16"/>
        </w:rPr>
        <w:t>10</w:t>
      </w:r>
      <w:r w:rsidRPr="00A51861">
        <w:rPr>
          <w:rFonts w:asciiTheme="majorHAnsi" w:hAnsiTheme="majorHAnsi"/>
          <w:color w:val="auto"/>
          <w:sz w:val="16"/>
          <w:szCs w:val="16"/>
        </w:rPr>
        <w:t xml:space="preserve">. </w:t>
      </w:r>
      <w:r w:rsidR="001A574D">
        <w:rPr>
          <w:rFonts w:asciiTheme="majorHAnsi" w:hAnsiTheme="majorHAnsi"/>
          <w:color w:val="auto"/>
          <w:sz w:val="16"/>
          <w:szCs w:val="16"/>
        </w:rPr>
        <w:t>Record</w:t>
      </w:r>
      <w:r w:rsidR="00061928">
        <w:rPr>
          <w:rFonts w:asciiTheme="majorHAnsi" w:hAnsiTheme="majorHAnsi"/>
          <w:color w:val="auto"/>
          <w:sz w:val="16"/>
          <w:szCs w:val="16"/>
        </w:rPr>
        <w:t xml:space="preserve"> of </w:t>
      </w:r>
      <w:r w:rsidR="001A574D">
        <w:rPr>
          <w:rFonts w:asciiTheme="majorHAnsi" w:hAnsiTheme="majorHAnsi"/>
          <w:color w:val="auto"/>
          <w:sz w:val="16"/>
          <w:szCs w:val="16"/>
        </w:rPr>
        <w:t xml:space="preserve">the </w:t>
      </w:r>
      <w:r w:rsidR="004E56A9">
        <w:rPr>
          <w:rFonts w:asciiTheme="majorHAnsi" w:hAnsiTheme="majorHAnsi"/>
          <w:color w:val="auto"/>
          <w:sz w:val="16"/>
          <w:szCs w:val="16"/>
        </w:rPr>
        <w:t>Residency</w:t>
      </w:r>
      <w:r w:rsidR="001A574D">
        <w:rPr>
          <w:rFonts w:asciiTheme="majorHAnsi" w:hAnsiTheme="majorHAnsi"/>
          <w:color w:val="auto"/>
          <w:sz w:val="16"/>
          <w:szCs w:val="16"/>
        </w:rPr>
        <w:t xml:space="preserve"> Division of the forwarding of the casefile of</w:t>
      </w:r>
      <w:r w:rsidRPr="00A51861">
        <w:rPr>
          <w:rFonts w:asciiTheme="majorHAnsi" w:hAnsiTheme="majorHAnsi"/>
          <w:color w:val="auto"/>
          <w:sz w:val="16"/>
          <w:szCs w:val="16"/>
        </w:rPr>
        <w:t xml:space="preserve"> </w:t>
      </w:r>
      <w:r w:rsidR="001A574D">
        <w:rPr>
          <w:rFonts w:asciiTheme="majorHAnsi" w:hAnsiTheme="majorHAnsi"/>
          <w:color w:val="auto"/>
          <w:sz w:val="16"/>
          <w:szCs w:val="16"/>
        </w:rPr>
        <w:t>Mr.</w:t>
      </w:r>
      <w:r w:rsidR="00A51861" w:rsidRPr="00A51861">
        <w:rPr>
          <w:rFonts w:asciiTheme="majorHAnsi" w:hAnsiTheme="majorHAnsi"/>
          <w:color w:val="auto"/>
          <w:sz w:val="16"/>
          <w:szCs w:val="16"/>
        </w:rPr>
        <w:t xml:space="preserve"> </w:t>
      </w:r>
      <w:r w:rsidRPr="00A51861">
        <w:rPr>
          <w:rFonts w:asciiTheme="majorHAnsi" w:hAnsiTheme="majorHAnsi"/>
          <w:color w:val="auto"/>
          <w:sz w:val="16"/>
          <w:szCs w:val="16"/>
        </w:rPr>
        <w:t xml:space="preserve">Rito de los Santos </w:t>
      </w:r>
      <w:r w:rsidR="001A574D">
        <w:rPr>
          <w:rFonts w:asciiTheme="majorHAnsi" w:hAnsiTheme="majorHAnsi"/>
          <w:color w:val="auto"/>
          <w:sz w:val="16"/>
          <w:szCs w:val="16"/>
        </w:rPr>
        <w:t>for archive</w:t>
      </w:r>
      <w:r w:rsidRPr="00A51861">
        <w:rPr>
          <w:rFonts w:asciiTheme="majorHAnsi" w:hAnsiTheme="majorHAnsi"/>
          <w:color w:val="auto"/>
          <w:sz w:val="16"/>
          <w:szCs w:val="16"/>
        </w:rPr>
        <w:t xml:space="preserve">, </w:t>
      </w:r>
      <w:r w:rsidR="001A574D">
        <w:rPr>
          <w:rFonts w:asciiTheme="majorHAnsi" w:hAnsiTheme="majorHAnsi"/>
          <w:color w:val="auto"/>
          <w:sz w:val="16"/>
          <w:szCs w:val="16"/>
        </w:rPr>
        <w:t>March 18,</w:t>
      </w:r>
      <w:r w:rsidRPr="00A51861">
        <w:rPr>
          <w:rFonts w:asciiTheme="majorHAnsi" w:hAnsiTheme="majorHAnsi"/>
          <w:color w:val="auto"/>
          <w:sz w:val="16"/>
          <w:szCs w:val="16"/>
        </w:rPr>
        <w:t xml:space="preserve"> 1974.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Julio César Rito de los Santos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21">
    <w:p w14:paraId="6559A91A" w14:textId="71811622"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C238A7">
        <w:rPr>
          <w:rFonts w:asciiTheme="majorHAnsi" w:hAnsiTheme="majorHAnsi"/>
          <w:color w:val="auto"/>
          <w:sz w:val="16"/>
          <w:szCs w:val="16"/>
        </w:rPr>
        <w:t>7</w:t>
      </w:r>
      <w:r w:rsidRPr="00A51861">
        <w:rPr>
          <w:rFonts w:asciiTheme="majorHAnsi" w:hAnsiTheme="majorHAnsi"/>
          <w:color w:val="auto"/>
          <w:sz w:val="16"/>
          <w:szCs w:val="16"/>
        </w:rPr>
        <w:t xml:space="preserve">. </w:t>
      </w:r>
      <w:r w:rsidR="001A574D">
        <w:rPr>
          <w:rFonts w:asciiTheme="majorHAnsi" w:hAnsiTheme="majorHAnsi"/>
          <w:color w:val="auto"/>
          <w:sz w:val="16"/>
          <w:szCs w:val="16"/>
        </w:rPr>
        <w:t>Brief which claims a new fact before the Supreme Court of Justice</w:t>
      </w:r>
      <w:r w:rsidRPr="00A51861">
        <w:rPr>
          <w:rFonts w:asciiTheme="majorHAnsi" w:hAnsiTheme="majorHAnsi"/>
          <w:color w:val="auto"/>
          <w:sz w:val="16"/>
          <w:szCs w:val="16"/>
        </w:rPr>
        <w:t xml:space="preserve">, </w:t>
      </w:r>
      <w:r w:rsidR="001A574D">
        <w:rPr>
          <w:rFonts w:asciiTheme="majorHAnsi" w:hAnsiTheme="majorHAnsi"/>
          <w:color w:val="auto"/>
          <w:sz w:val="16"/>
          <w:szCs w:val="16"/>
        </w:rPr>
        <w:t>September 16,</w:t>
      </w:r>
      <w:r w:rsidRPr="00A51861">
        <w:rPr>
          <w:rFonts w:asciiTheme="majorHAnsi" w:hAnsiTheme="majorHAnsi"/>
          <w:color w:val="auto"/>
          <w:sz w:val="16"/>
          <w:szCs w:val="16"/>
        </w:rPr>
        <w:t xml:space="preserve"> 2003.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Julio César Rito de los Santos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22">
    <w:p w14:paraId="3BB933B8" w14:textId="7F027AA8"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C238A7">
        <w:rPr>
          <w:rFonts w:asciiTheme="majorHAnsi" w:hAnsiTheme="majorHAnsi"/>
          <w:color w:val="auto"/>
          <w:sz w:val="16"/>
          <w:szCs w:val="16"/>
        </w:rPr>
        <w:t>11</w:t>
      </w:r>
      <w:r w:rsidRPr="00A51861">
        <w:rPr>
          <w:rFonts w:asciiTheme="majorHAnsi" w:hAnsiTheme="majorHAnsi"/>
          <w:color w:val="auto"/>
          <w:sz w:val="16"/>
          <w:szCs w:val="16"/>
        </w:rPr>
        <w:t xml:space="preserve">. </w:t>
      </w:r>
      <w:r w:rsidR="00A9213F">
        <w:rPr>
          <w:rFonts w:asciiTheme="majorHAnsi" w:hAnsiTheme="majorHAnsi"/>
          <w:color w:val="auto"/>
          <w:sz w:val="16"/>
          <w:szCs w:val="16"/>
        </w:rPr>
        <w:t>Brief or request of benefits of Law</w:t>
      </w:r>
      <w:r w:rsidRPr="00A51861">
        <w:rPr>
          <w:rFonts w:asciiTheme="majorHAnsi" w:hAnsiTheme="majorHAnsi"/>
          <w:color w:val="auto"/>
          <w:sz w:val="16"/>
          <w:szCs w:val="16"/>
        </w:rPr>
        <w:t xml:space="preserve"> No. 24.043, 1998.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Hugo Daniel Ferreira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23">
    <w:p w14:paraId="4B01FB8D" w14:textId="147EC3D5"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C238A7">
        <w:rPr>
          <w:rFonts w:asciiTheme="majorHAnsi" w:hAnsiTheme="majorHAnsi"/>
          <w:color w:val="auto"/>
          <w:sz w:val="16"/>
          <w:szCs w:val="16"/>
        </w:rPr>
        <w:t>11</w:t>
      </w:r>
      <w:r w:rsidRPr="00A51861">
        <w:rPr>
          <w:rFonts w:asciiTheme="majorHAnsi" w:hAnsiTheme="majorHAnsi"/>
          <w:color w:val="auto"/>
          <w:sz w:val="16"/>
          <w:szCs w:val="16"/>
        </w:rPr>
        <w:t xml:space="preserve">. </w:t>
      </w:r>
      <w:r w:rsidR="00A9213F">
        <w:rPr>
          <w:rFonts w:asciiTheme="majorHAnsi" w:hAnsiTheme="majorHAnsi"/>
          <w:color w:val="auto"/>
          <w:sz w:val="16"/>
          <w:szCs w:val="16"/>
        </w:rPr>
        <w:t>Brief or request of benefits of Law</w:t>
      </w:r>
      <w:r w:rsidRPr="00A51861">
        <w:rPr>
          <w:rFonts w:asciiTheme="majorHAnsi" w:hAnsiTheme="majorHAnsi"/>
          <w:color w:val="auto"/>
          <w:sz w:val="16"/>
          <w:szCs w:val="16"/>
        </w:rPr>
        <w:t xml:space="preserve"> No. 24.043, 1998.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Hugo Daniel Ferreira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24">
    <w:p w14:paraId="261C24AB" w14:textId="1F8599A3"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C238A7">
        <w:rPr>
          <w:rFonts w:asciiTheme="majorHAnsi" w:hAnsiTheme="majorHAnsi"/>
          <w:color w:val="auto"/>
          <w:sz w:val="16"/>
          <w:szCs w:val="16"/>
        </w:rPr>
        <w:t>12</w:t>
      </w:r>
      <w:r w:rsidRPr="00A51861">
        <w:rPr>
          <w:rFonts w:asciiTheme="majorHAnsi" w:hAnsiTheme="majorHAnsi"/>
          <w:color w:val="auto"/>
          <w:sz w:val="16"/>
          <w:szCs w:val="16"/>
        </w:rPr>
        <w:t xml:space="preserve">. </w:t>
      </w:r>
      <w:r w:rsidR="005766F7">
        <w:rPr>
          <w:rFonts w:asciiTheme="majorHAnsi" w:hAnsiTheme="majorHAnsi"/>
          <w:color w:val="auto"/>
          <w:sz w:val="16"/>
          <w:szCs w:val="16"/>
        </w:rPr>
        <w:t xml:space="preserve">National Immigration Authority Certificate </w:t>
      </w:r>
      <w:r w:rsidRPr="00A51861">
        <w:rPr>
          <w:rFonts w:asciiTheme="majorHAnsi" w:hAnsiTheme="majorHAnsi"/>
          <w:color w:val="auto"/>
          <w:sz w:val="16"/>
          <w:szCs w:val="16"/>
        </w:rPr>
        <w:t xml:space="preserve">Daniela Edith Ferreira García, </w:t>
      </w:r>
      <w:r w:rsidR="005766F7">
        <w:rPr>
          <w:rFonts w:asciiTheme="majorHAnsi" w:hAnsiTheme="majorHAnsi"/>
          <w:color w:val="auto"/>
          <w:sz w:val="16"/>
          <w:szCs w:val="16"/>
        </w:rPr>
        <w:t xml:space="preserve">March 31, </w:t>
      </w:r>
      <w:r w:rsidRPr="00A51861">
        <w:rPr>
          <w:rFonts w:asciiTheme="majorHAnsi" w:hAnsiTheme="majorHAnsi"/>
          <w:color w:val="auto"/>
          <w:sz w:val="16"/>
          <w:szCs w:val="16"/>
        </w:rPr>
        <w:t xml:space="preserve">1999.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Hugo Daniel Ferreira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25">
    <w:p w14:paraId="20B782CC" w14:textId="6CAE32E9"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C238A7">
        <w:rPr>
          <w:rFonts w:asciiTheme="majorHAnsi" w:hAnsiTheme="majorHAnsi"/>
          <w:color w:val="auto"/>
          <w:sz w:val="16"/>
          <w:szCs w:val="16"/>
        </w:rPr>
        <w:t>13</w:t>
      </w:r>
      <w:r w:rsidRPr="00A51861">
        <w:rPr>
          <w:rFonts w:asciiTheme="majorHAnsi" w:hAnsiTheme="majorHAnsi"/>
          <w:color w:val="auto"/>
          <w:sz w:val="16"/>
          <w:szCs w:val="16"/>
        </w:rPr>
        <w:t xml:space="preserve">. </w:t>
      </w:r>
      <w:r w:rsidR="005766F7">
        <w:rPr>
          <w:rFonts w:asciiTheme="majorHAnsi" w:hAnsiTheme="majorHAnsi"/>
          <w:color w:val="auto"/>
          <w:sz w:val="16"/>
          <w:szCs w:val="16"/>
        </w:rPr>
        <w:t xml:space="preserve">National Immigration Authority Certificate </w:t>
      </w:r>
      <w:r w:rsidRPr="00A51861">
        <w:rPr>
          <w:rFonts w:asciiTheme="majorHAnsi" w:hAnsiTheme="majorHAnsi"/>
          <w:color w:val="auto"/>
          <w:sz w:val="16"/>
          <w:szCs w:val="16"/>
        </w:rPr>
        <w:t>Verónica Sole</w:t>
      </w:r>
      <w:r w:rsidR="00FA2E7B">
        <w:rPr>
          <w:rFonts w:asciiTheme="majorHAnsi" w:hAnsiTheme="majorHAnsi"/>
          <w:color w:val="auto"/>
          <w:sz w:val="16"/>
          <w:szCs w:val="16"/>
        </w:rPr>
        <w:t xml:space="preserve">ty </w:t>
      </w:r>
      <w:r w:rsidRPr="00A51861">
        <w:rPr>
          <w:rFonts w:asciiTheme="majorHAnsi" w:hAnsiTheme="majorHAnsi"/>
          <w:color w:val="auto"/>
          <w:sz w:val="16"/>
          <w:szCs w:val="16"/>
        </w:rPr>
        <w:t xml:space="preserve">Ferreira, </w:t>
      </w:r>
      <w:r w:rsidR="005766F7">
        <w:rPr>
          <w:rFonts w:asciiTheme="majorHAnsi" w:hAnsiTheme="majorHAnsi"/>
          <w:color w:val="auto"/>
          <w:sz w:val="16"/>
          <w:szCs w:val="16"/>
        </w:rPr>
        <w:t>March 31,</w:t>
      </w:r>
      <w:r w:rsidRPr="00A51861">
        <w:rPr>
          <w:rFonts w:asciiTheme="majorHAnsi" w:hAnsiTheme="majorHAnsi"/>
          <w:color w:val="auto"/>
          <w:sz w:val="16"/>
          <w:szCs w:val="16"/>
        </w:rPr>
        <w:t xml:space="preserve"> 1999.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Hugo Daniel Ferreira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26">
    <w:p w14:paraId="3B219B4F" w14:textId="3C6465A5"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C238A7">
        <w:rPr>
          <w:rFonts w:asciiTheme="majorHAnsi" w:hAnsiTheme="majorHAnsi"/>
          <w:color w:val="auto"/>
          <w:sz w:val="16"/>
          <w:szCs w:val="16"/>
        </w:rPr>
        <w:t>14</w:t>
      </w:r>
      <w:r w:rsidRPr="00A51861">
        <w:rPr>
          <w:rFonts w:asciiTheme="majorHAnsi" w:hAnsiTheme="majorHAnsi"/>
          <w:color w:val="auto"/>
          <w:sz w:val="16"/>
          <w:szCs w:val="16"/>
        </w:rPr>
        <w:t xml:space="preserve">. </w:t>
      </w:r>
      <w:r w:rsidR="005766F7">
        <w:rPr>
          <w:rFonts w:asciiTheme="majorHAnsi" w:hAnsiTheme="majorHAnsi"/>
          <w:color w:val="auto"/>
          <w:sz w:val="16"/>
          <w:szCs w:val="16"/>
        </w:rPr>
        <w:t xml:space="preserve">National Immigration Authority Certificate </w:t>
      </w:r>
      <w:r w:rsidRPr="00A51861">
        <w:rPr>
          <w:rFonts w:asciiTheme="majorHAnsi" w:hAnsiTheme="majorHAnsi"/>
          <w:color w:val="auto"/>
          <w:sz w:val="16"/>
          <w:szCs w:val="16"/>
        </w:rPr>
        <w:t xml:space="preserve">Amilcar Nicolás Ferreira.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Hugo Daniel Ferreira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27">
    <w:p w14:paraId="134FFF51" w14:textId="67FB366B"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C238A7">
        <w:rPr>
          <w:rFonts w:asciiTheme="majorHAnsi" w:hAnsiTheme="majorHAnsi"/>
          <w:color w:val="auto"/>
          <w:sz w:val="16"/>
          <w:szCs w:val="16"/>
        </w:rPr>
        <w:t>15</w:t>
      </w:r>
      <w:r w:rsidRPr="00A51861">
        <w:rPr>
          <w:rFonts w:asciiTheme="majorHAnsi" w:hAnsiTheme="majorHAnsi"/>
          <w:color w:val="auto"/>
          <w:sz w:val="16"/>
          <w:szCs w:val="16"/>
        </w:rPr>
        <w:t xml:space="preserve">. </w:t>
      </w:r>
      <w:r w:rsidR="005766F7">
        <w:rPr>
          <w:rFonts w:asciiTheme="majorHAnsi" w:hAnsiTheme="majorHAnsi"/>
          <w:color w:val="auto"/>
          <w:sz w:val="16"/>
          <w:szCs w:val="16"/>
        </w:rPr>
        <w:t>Temporary residency of</w:t>
      </w:r>
      <w:r w:rsidRPr="00A51861">
        <w:rPr>
          <w:rFonts w:asciiTheme="majorHAnsi" w:hAnsiTheme="majorHAnsi"/>
          <w:color w:val="auto"/>
          <w:sz w:val="16"/>
          <w:szCs w:val="16"/>
        </w:rPr>
        <w:t xml:space="preserve"> Hugo Daniel Ferreira, </w:t>
      </w:r>
      <w:r w:rsidR="005766F7">
        <w:rPr>
          <w:rFonts w:asciiTheme="majorHAnsi" w:hAnsiTheme="majorHAnsi"/>
          <w:color w:val="auto"/>
          <w:sz w:val="16"/>
          <w:szCs w:val="16"/>
        </w:rPr>
        <w:t xml:space="preserve">June 11, </w:t>
      </w:r>
      <w:r w:rsidRPr="00A51861">
        <w:rPr>
          <w:rFonts w:asciiTheme="majorHAnsi" w:hAnsiTheme="majorHAnsi"/>
          <w:color w:val="auto"/>
          <w:sz w:val="16"/>
          <w:szCs w:val="16"/>
        </w:rPr>
        <w:t xml:space="preserve">1974.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Hugo Daniel Ferreira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28">
    <w:p w14:paraId="7F028330" w14:textId="0AC42650"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C238A7">
        <w:rPr>
          <w:rFonts w:asciiTheme="majorHAnsi" w:hAnsiTheme="majorHAnsi"/>
          <w:color w:val="auto"/>
          <w:sz w:val="16"/>
          <w:szCs w:val="16"/>
        </w:rPr>
        <w:t>16</w:t>
      </w:r>
      <w:r w:rsidRPr="00A51861">
        <w:rPr>
          <w:rFonts w:asciiTheme="majorHAnsi" w:hAnsiTheme="majorHAnsi"/>
          <w:color w:val="auto"/>
          <w:sz w:val="16"/>
          <w:szCs w:val="16"/>
        </w:rPr>
        <w:t xml:space="preserve">. Dictamen del </w:t>
      </w:r>
      <w:r w:rsidR="001A574D">
        <w:rPr>
          <w:rFonts w:asciiTheme="majorHAnsi" w:hAnsiTheme="majorHAnsi"/>
          <w:color w:val="auto"/>
          <w:sz w:val="16"/>
          <w:szCs w:val="16"/>
        </w:rPr>
        <w:t>Psycho-physical Selection Service</w:t>
      </w:r>
      <w:r w:rsidRPr="00A51861">
        <w:rPr>
          <w:rFonts w:asciiTheme="majorHAnsi" w:hAnsiTheme="majorHAnsi"/>
          <w:color w:val="auto"/>
          <w:sz w:val="16"/>
          <w:szCs w:val="16"/>
        </w:rPr>
        <w:t xml:space="preserve">, </w:t>
      </w:r>
      <w:r w:rsidR="005766F7">
        <w:rPr>
          <w:rFonts w:asciiTheme="majorHAnsi" w:hAnsiTheme="majorHAnsi"/>
          <w:color w:val="auto"/>
          <w:sz w:val="16"/>
          <w:szCs w:val="16"/>
        </w:rPr>
        <w:t>May 14,</w:t>
      </w:r>
      <w:r w:rsidRPr="00A51861">
        <w:rPr>
          <w:rFonts w:asciiTheme="majorHAnsi" w:hAnsiTheme="majorHAnsi"/>
          <w:color w:val="auto"/>
          <w:sz w:val="16"/>
          <w:szCs w:val="16"/>
        </w:rPr>
        <w:t xml:space="preserve"> 1974.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Hugo Daniel Ferreira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29">
    <w:p w14:paraId="1E6FD48E" w14:textId="5F79A16B"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C238A7">
        <w:rPr>
          <w:rFonts w:asciiTheme="majorHAnsi" w:hAnsiTheme="majorHAnsi"/>
          <w:color w:val="auto"/>
          <w:sz w:val="16"/>
          <w:szCs w:val="16"/>
        </w:rPr>
        <w:t>17</w:t>
      </w:r>
      <w:r w:rsidRPr="00A51861">
        <w:rPr>
          <w:rFonts w:asciiTheme="majorHAnsi" w:hAnsiTheme="majorHAnsi"/>
          <w:color w:val="auto"/>
          <w:sz w:val="16"/>
          <w:szCs w:val="16"/>
        </w:rPr>
        <w:t>.</w:t>
      </w:r>
      <w:r w:rsidR="000E67CA">
        <w:rPr>
          <w:rFonts w:asciiTheme="majorHAnsi" w:hAnsiTheme="majorHAnsi"/>
          <w:color w:val="auto"/>
          <w:sz w:val="16"/>
          <w:szCs w:val="16"/>
        </w:rPr>
        <w:t xml:space="preserve"> Report</w:t>
      </w:r>
      <w:r w:rsidR="00061928">
        <w:rPr>
          <w:rFonts w:asciiTheme="majorHAnsi" w:hAnsiTheme="majorHAnsi"/>
          <w:color w:val="auto"/>
          <w:sz w:val="16"/>
          <w:szCs w:val="16"/>
        </w:rPr>
        <w:t xml:space="preserve"> of the </w:t>
      </w:r>
      <w:r w:rsidRPr="00A51861">
        <w:rPr>
          <w:rFonts w:asciiTheme="majorHAnsi" w:hAnsiTheme="majorHAnsi"/>
          <w:color w:val="auto"/>
          <w:sz w:val="16"/>
          <w:szCs w:val="16"/>
        </w:rPr>
        <w:t xml:space="preserve">División </w:t>
      </w:r>
      <w:r w:rsidR="004E56A9">
        <w:rPr>
          <w:rFonts w:asciiTheme="majorHAnsi" w:hAnsiTheme="majorHAnsi"/>
          <w:color w:val="auto"/>
          <w:sz w:val="16"/>
          <w:szCs w:val="16"/>
        </w:rPr>
        <w:t xml:space="preserve">Bureau of Entries, Departures and Archive, </w:t>
      </w:r>
      <w:r w:rsidR="005766F7">
        <w:rPr>
          <w:rFonts w:asciiTheme="majorHAnsi" w:hAnsiTheme="majorHAnsi"/>
          <w:color w:val="auto"/>
          <w:sz w:val="16"/>
          <w:szCs w:val="16"/>
        </w:rPr>
        <w:t>April 23,</w:t>
      </w:r>
      <w:r w:rsidRPr="00A51861">
        <w:rPr>
          <w:rFonts w:asciiTheme="majorHAnsi" w:hAnsiTheme="majorHAnsi"/>
          <w:color w:val="auto"/>
          <w:sz w:val="16"/>
          <w:szCs w:val="16"/>
        </w:rPr>
        <w:t xml:space="preserve"> 1974.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Hugo Daniel Ferreira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30">
    <w:p w14:paraId="433A18D6" w14:textId="1D54F5F4"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C238A7">
        <w:rPr>
          <w:rFonts w:asciiTheme="majorHAnsi" w:hAnsiTheme="majorHAnsi"/>
          <w:color w:val="auto"/>
          <w:sz w:val="16"/>
          <w:szCs w:val="16"/>
        </w:rPr>
        <w:t>18</w:t>
      </w:r>
      <w:r w:rsidRPr="00A51861">
        <w:rPr>
          <w:rFonts w:asciiTheme="majorHAnsi" w:hAnsiTheme="majorHAnsi"/>
          <w:color w:val="auto"/>
          <w:sz w:val="16"/>
          <w:szCs w:val="16"/>
        </w:rPr>
        <w:t xml:space="preserve">. </w:t>
      </w:r>
      <w:r w:rsidR="001A574D">
        <w:rPr>
          <w:rFonts w:asciiTheme="majorHAnsi" w:hAnsiTheme="majorHAnsi"/>
          <w:color w:val="auto"/>
          <w:sz w:val="16"/>
          <w:szCs w:val="16"/>
        </w:rPr>
        <w:t>Brief which claims a new fact before the Supreme Court of Justice</w:t>
      </w:r>
      <w:r w:rsidRPr="00A51861">
        <w:rPr>
          <w:rFonts w:asciiTheme="majorHAnsi" w:hAnsiTheme="majorHAnsi"/>
          <w:color w:val="auto"/>
          <w:sz w:val="16"/>
          <w:szCs w:val="16"/>
        </w:rPr>
        <w:t xml:space="preserve">.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Hugo Daniel Ferreira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31">
    <w:p w14:paraId="26D7AE00" w14:textId="77D518B9"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C238A7">
        <w:rPr>
          <w:rFonts w:asciiTheme="majorHAnsi" w:hAnsiTheme="majorHAnsi"/>
          <w:color w:val="auto"/>
          <w:sz w:val="16"/>
          <w:szCs w:val="16"/>
        </w:rPr>
        <w:t>19</w:t>
      </w:r>
      <w:r w:rsidRPr="00A51861">
        <w:rPr>
          <w:rFonts w:asciiTheme="majorHAnsi" w:hAnsiTheme="majorHAnsi"/>
          <w:color w:val="auto"/>
          <w:sz w:val="16"/>
          <w:szCs w:val="16"/>
        </w:rPr>
        <w:t xml:space="preserve">. </w:t>
      </w:r>
      <w:r w:rsidR="004E56A9">
        <w:rPr>
          <w:rFonts w:asciiTheme="majorHAnsi" w:hAnsiTheme="majorHAnsi"/>
          <w:color w:val="auto"/>
          <w:sz w:val="16"/>
          <w:szCs w:val="16"/>
        </w:rPr>
        <w:t>Brief of amplification of demands</w:t>
      </w:r>
      <w:r w:rsidRPr="00A51861">
        <w:rPr>
          <w:rFonts w:asciiTheme="majorHAnsi" w:hAnsiTheme="majorHAnsi"/>
          <w:color w:val="auto"/>
          <w:sz w:val="16"/>
          <w:szCs w:val="16"/>
        </w:rPr>
        <w:t xml:space="preserve">.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Nicasio Washington Romero Ubal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32">
    <w:p w14:paraId="3B3AEAD3" w14:textId="2FA6D114"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C238A7">
        <w:rPr>
          <w:rFonts w:asciiTheme="majorHAnsi" w:hAnsiTheme="majorHAnsi"/>
          <w:color w:val="auto"/>
          <w:sz w:val="16"/>
          <w:szCs w:val="16"/>
        </w:rPr>
        <w:t>20</w:t>
      </w:r>
      <w:r w:rsidRPr="00A51861">
        <w:rPr>
          <w:rFonts w:asciiTheme="majorHAnsi" w:hAnsiTheme="majorHAnsi"/>
          <w:color w:val="auto"/>
          <w:sz w:val="16"/>
          <w:szCs w:val="16"/>
        </w:rPr>
        <w:t xml:space="preserve">. </w:t>
      </w:r>
      <w:r w:rsidR="004E56A9">
        <w:rPr>
          <w:rFonts w:asciiTheme="majorHAnsi" w:hAnsiTheme="majorHAnsi"/>
          <w:color w:val="auto"/>
          <w:sz w:val="16"/>
          <w:szCs w:val="16"/>
        </w:rPr>
        <w:t>Judgment</w:t>
      </w:r>
      <w:r w:rsidR="00061928">
        <w:rPr>
          <w:rFonts w:asciiTheme="majorHAnsi" w:hAnsiTheme="majorHAnsi"/>
          <w:color w:val="auto"/>
          <w:sz w:val="16"/>
          <w:szCs w:val="16"/>
        </w:rPr>
        <w:t xml:space="preserve"> of the </w:t>
      </w:r>
      <w:r w:rsidR="0020342F">
        <w:rPr>
          <w:rFonts w:asciiTheme="majorHAnsi" w:hAnsiTheme="majorHAnsi"/>
          <w:color w:val="auto"/>
          <w:sz w:val="16"/>
          <w:szCs w:val="16"/>
        </w:rPr>
        <w:t>Supreme Court of Justice of the Nation</w:t>
      </w:r>
      <w:r w:rsidRPr="00A51861">
        <w:rPr>
          <w:rFonts w:asciiTheme="majorHAnsi" w:hAnsiTheme="majorHAnsi"/>
          <w:color w:val="auto"/>
          <w:sz w:val="16"/>
          <w:szCs w:val="16"/>
        </w:rPr>
        <w:t xml:space="preserve">, </w:t>
      </w:r>
      <w:r w:rsidR="00076366">
        <w:rPr>
          <w:rFonts w:asciiTheme="majorHAnsi" w:hAnsiTheme="majorHAnsi"/>
          <w:color w:val="auto"/>
          <w:sz w:val="16"/>
          <w:szCs w:val="16"/>
        </w:rPr>
        <w:t xml:space="preserve">October 31, </w:t>
      </w:r>
      <w:r w:rsidRPr="00A51861">
        <w:rPr>
          <w:rFonts w:asciiTheme="majorHAnsi" w:hAnsiTheme="majorHAnsi"/>
          <w:color w:val="auto"/>
          <w:sz w:val="16"/>
          <w:szCs w:val="16"/>
        </w:rPr>
        <w:t xml:space="preserve">2006.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Nicasio Washington Romero Ubal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33">
    <w:p w14:paraId="5E4F7CAA" w14:textId="20809F95"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C238A7">
        <w:rPr>
          <w:rFonts w:asciiTheme="majorHAnsi" w:hAnsiTheme="majorHAnsi"/>
          <w:color w:val="auto"/>
          <w:sz w:val="16"/>
          <w:szCs w:val="16"/>
        </w:rPr>
        <w:t>4</w:t>
      </w:r>
      <w:r w:rsidRPr="00A51861">
        <w:rPr>
          <w:rFonts w:asciiTheme="majorHAnsi" w:hAnsiTheme="majorHAnsi"/>
          <w:color w:val="auto"/>
          <w:sz w:val="16"/>
          <w:szCs w:val="16"/>
        </w:rPr>
        <w:t xml:space="preserve">. </w:t>
      </w:r>
      <w:r w:rsidR="00A9213F">
        <w:rPr>
          <w:rFonts w:asciiTheme="majorHAnsi" w:hAnsiTheme="majorHAnsi"/>
          <w:color w:val="auto"/>
          <w:sz w:val="16"/>
          <w:szCs w:val="16"/>
        </w:rPr>
        <w:t>Brief or request of benefits of Law</w:t>
      </w:r>
      <w:r w:rsidRPr="00A51861">
        <w:rPr>
          <w:rFonts w:asciiTheme="majorHAnsi" w:hAnsiTheme="majorHAnsi"/>
          <w:color w:val="auto"/>
          <w:sz w:val="16"/>
          <w:szCs w:val="16"/>
        </w:rPr>
        <w:t xml:space="preserve"> No. 24.043, 1998.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Julio César Rito de los Santos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34">
    <w:p w14:paraId="2A6E61B2" w14:textId="5879451B"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C238A7">
        <w:rPr>
          <w:rFonts w:asciiTheme="majorHAnsi" w:hAnsiTheme="majorHAnsi"/>
          <w:color w:val="auto"/>
          <w:sz w:val="16"/>
          <w:szCs w:val="16"/>
        </w:rPr>
        <w:t>4</w:t>
      </w:r>
      <w:r w:rsidRPr="00A51861">
        <w:rPr>
          <w:rFonts w:asciiTheme="majorHAnsi" w:hAnsiTheme="majorHAnsi"/>
          <w:color w:val="auto"/>
          <w:sz w:val="16"/>
          <w:szCs w:val="16"/>
        </w:rPr>
        <w:t xml:space="preserve">. </w:t>
      </w:r>
      <w:r w:rsidR="00A9213F">
        <w:rPr>
          <w:rFonts w:asciiTheme="majorHAnsi" w:hAnsiTheme="majorHAnsi"/>
          <w:color w:val="auto"/>
          <w:sz w:val="16"/>
          <w:szCs w:val="16"/>
        </w:rPr>
        <w:t>Brief or request of benefits of Law</w:t>
      </w:r>
      <w:r w:rsidRPr="00A51861">
        <w:rPr>
          <w:rFonts w:asciiTheme="majorHAnsi" w:hAnsiTheme="majorHAnsi"/>
          <w:color w:val="auto"/>
          <w:sz w:val="16"/>
          <w:szCs w:val="16"/>
        </w:rPr>
        <w:t xml:space="preserve"> No. 24.043, 1998.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Julio César Rito de los Santos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 xml:space="preserve">2007. </w:t>
      </w:r>
    </w:p>
  </w:footnote>
  <w:footnote w:id="35">
    <w:p w14:paraId="67A6BEA1" w14:textId="79AF732B"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4</w:t>
      </w:r>
      <w:r w:rsidRPr="00A51861">
        <w:rPr>
          <w:rFonts w:asciiTheme="majorHAnsi" w:hAnsiTheme="majorHAnsi"/>
          <w:color w:val="auto"/>
          <w:sz w:val="16"/>
          <w:szCs w:val="16"/>
        </w:rPr>
        <w:t xml:space="preserve">. </w:t>
      </w:r>
      <w:r w:rsidR="00A9213F">
        <w:rPr>
          <w:rFonts w:asciiTheme="majorHAnsi" w:hAnsiTheme="majorHAnsi"/>
          <w:color w:val="auto"/>
          <w:sz w:val="16"/>
          <w:szCs w:val="16"/>
        </w:rPr>
        <w:t>Brief or request of benefits of Law</w:t>
      </w:r>
      <w:r w:rsidRPr="00A51861">
        <w:rPr>
          <w:rFonts w:asciiTheme="majorHAnsi" w:hAnsiTheme="majorHAnsi"/>
          <w:color w:val="auto"/>
          <w:sz w:val="16"/>
          <w:szCs w:val="16"/>
        </w:rPr>
        <w:t xml:space="preserve"> No. 24.043, 1998.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Julio César Rito de los Santos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36">
    <w:p w14:paraId="02EC25F2" w14:textId="7F8ED360"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4</w:t>
      </w:r>
      <w:r w:rsidRPr="00A51861">
        <w:rPr>
          <w:rFonts w:asciiTheme="majorHAnsi" w:hAnsiTheme="majorHAnsi"/>
          <w:color w:val="auto"/>
          <w:sz w:val="16"/>
          <w:szCs w:val="16"/>
        </w:rPr>
        <w:t xml:space="preserve">. </w:t>
      </w:r>
      <w:r w:rsidR="00A9213F">
        <w:rPr>
          <w:rFonts w:asciiTheme="majorHAnsi" w:hAnsiTheme="majorHAnsi"/>
          <w:color w:val="auto"/>
          <w:sz w:val="16"/>
          <w:szCs w:val="16"/>
        </w:rPr>
        <w:t>Brief or request of benefits of Law</w:t>
      </w:r>
      <w:r w:rsidRPr="00A51861">
        <w:rPr>
          <w:rFonts w:asciiTheme="majorHAnsi" w:hAnsiTheme="majorHAnsi"/>
          <w:color w:val="auto"/>
          <w:sz w:val="16"/>
          <w:szCs w:val="16"/>
        </w:rPr>
        <w:t xml:space="preserve"> No. 24.043, 1998.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Julio César Rito de los Santos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37">
    <w:p w14:paraId="38786744" w14:textId="24DA9FDD"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4</w:t>
      </w:r>
      <w:r w:rsidRPr="00A51861">
        <w:rPr>
          <w:rFonts w:asciiTheme="majorHAnsi" w:hAnsiTheme="majorHAnsi"/>
          <w:color w:val="auto"/>
          <w:sz w:val="16"/>
          <w:szCs w:val="16"/>
        </w:rPr>
        <w:t xml:space="preserve">. </w:t>
      </w:r>
      <w:r w:rsidR="00A9213F">
        <w:rPr>
          <w:rFonts w:asciiTheme="majorHAnsi" w:hAnsiTheme="majorHAnsi"/>
          <w:color w:val="auto"/>
          <w:sz w:val="16"/>
          <w:szCs w:val="16"/>
        </w:rPr>
        <w:t>Brief or request of benefits of Law</w:t>
      </w:r>
      <w:r w:rsidRPr="00A51861">
        <w:rPr>
          <w:rFonts w:asciiTheme="majorHAnsi" w:hAnsiTheme="majorHAnsi"/>
          <w:color w:val="auto"/>
          <w:sz w:val="16"/>
          <w:szCs w:val="16"/>
        </w:rPr>
        <w:t xml:space="preserve"> No. 24.043, 1998.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Julio César Rito de los Santos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38">
    <w:p w14:paraId="7E1E77F0" w14:textId="29F61934"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4</w:t>
      </w:r>
      <w:r w:rsidRPr="00A51861">
        <w:rPr>
          <w:rFonts w:asciiTheme="majorHAnsi" w:hAnsiTheme="majorHAnsi"/>
          <w:color w:val="auto"/>
          <w:sz w:val="16"/>
          <w:szCs w:val="16"/>
        </w:rPr>
        <w:t xml:space="preserve">. </w:t>
      </w:r>
      <w:r w:rsidR="00A9213F">
        <w:rPr>
          <w:rFonts w:asciiTheme="majorHAnsi" w:hAnsiTheme="majorHAnsi"/>
          <w:color w:val="auto"/>
          <w:sz w:val="16"/>
          <w:szCs w:val="16"/>
        </w:rPr>
        <w:t>Brief or request of benefits of Law</w:t>
      </w:r>
      <w:r w:rsidRPr="00A51861">
        <w:rPr>
          <w:rFonts w:asciiTheme="majorHAnsi" w:hAnsiTheme="majorHAnsi"/>
          <w:color w:val="auto"/>
          <w:sz w:val="16"/>
          <w:szCs w:val="16"/>
        </w:rPr>
        <w:t xml:space="preserve"> No. 24.043, 1998.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Julio César Rito de los Santos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39">
    <w:p w14:paraId="71EC3A08" w14:textId="3322D29F"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4</w:t>
      </w:r>
      <w:r w:rsidRPr="00A51861">
        <w:rPr>
          <w:rFonts w:asciiTheme="majorHAnsi" w:hAnsiTheme="majorHAnsi"/>
          <w:color w:val="auto"/>
          <w:sz w:val="16"/>
          <w:szCs w:val="16"/>
        </w:rPr>
        <w:t xml:space="preserve">. </w:t>
      </w:r>
      <w:r w:rsidR="00A9213F">
        <w:rPr>
          <w:rFonts w:asciiTheme="majorHAnsi" w:hAnsiTheme="majorHAnsi"/>
          <w:color w:val="auto"/>
          <w:sz w:val="16"/>
          <w:szCs w:val="16"/>
        </w:rPr>
        <w:t>Brief or request of benefits of Law</w:t>
      </w:r>
      <w:r w:rsidRPr="00A51861">
        <w:rPr>
          <w:rFonts w:asciiTheme="majorHAnsi" w:hAnsiTheme="majorHAnsi"/>
          <w:color w:val="auto"/>
          <w:sz w:val="16"/>
          <w:szCs w:val="16"/>
        </w:rPr>
        <w:t xml:space="preserve"> No. 24.043, 1998.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Julio César Rito de los Santos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40">
    <w:p w14:paraId="0E7B2AE3" w14:textId="5AEA7856"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4</w:t>
      </w:r>
      <w:r w:rsidRPr="00A51861">
        <w:rPr>
          <w:rFonts w:asciiTheme="majorHAnsi" w:hAnsiTheme="majorHAnsi"/>
          <w:color w:val="auto"/>
          <w:sz w:val="16"/>
          <w:szCs w:val="16"/>
        </w:rPr>
        <w:t xml:space="preserve">. </w:t>
      </w:r>
      <w:r w:rsidR="00A9213F">
        <w:rPr>
          <w:rFonts w:asciiTheme="majorHAnsi" w:hAnsiTheme="majorHAnsi"/>
          <w:color w:val="auto"/>
          <w:sz w:val="16"/>
          <w:szCs w:val="16"/>
        </w:rPr>
        <w:t>Brief or request of benefits of Law</w:t>
      </w:r>
      <w:r w:rsidRPr="00A51861">
        <w:rPr>
          <w:rFonts w:asciiTheme="majorHAnsi" w:hAnsiTheme="majorHAnsi"/>
          <w:color w:val="auto"/>
          <w:sz w:val="16"/>
          <w:szCs w:val="16"/>
        </w:rPr>
        <w:t xml:space="preserve"> No. 24.043, 1998.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Julio César Rito de los Santos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41">
    <w:p w14:paraId="2629022F" w14:textId="5FFB6004"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4</w:t>
      </w:r>
      <w:r w:rsidRPr="00A51861">
        <w:rPr>
          <w:rFonts w:asciiTheme="majorHAnsi" w:hAnsiTheme="majorHAnsi"/>
          <w:color w:val="auto"/>
          <w:sz w:val="16"/>
          <w:szCs w:val="16"/>
        </w:rPr>
        <w:t xml:space="preserve">. </w:t>
      </w:r>
      <w:r w:rsidR="00A9213F">
        <w:rPr>
          <w:rFonts w:asciiTheme="majorHAnsi" w:hAnsiTheme="majorHAnsi"/>
          <w:color w:val="auto"/>
          <w:sz w:val="16"/>
          <w:szCs w:val="16"/>
        </w:rPr>
        <w:t>Brief or request of benefits of Law</w:t>
      </w:r>
      <w:r w:rsidRPr="00A51861">
        <w:rPr>
          <w:rFonts w:asciiTheme="majorHAnsi" w:hAnsiTheme="majorHAnsi"/>
          <w:color w:val="auto"/>
          <w:sz w:val="16"/>
          <w:szCs w:val="16"/>
        </w:rPr>
        <w:t xml:space="preserve"> No. 24.043, 1998.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Julio César Rito de los Santos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42">
    <w:p w14:paraId="0E459600" w14:textId="3C519402"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4</w:t>
      </w:r>
      <w:r w:rsidRPr="00A51861">
        <w:rPr>
          <w:rFonts w:asciiTheme="majorHAnsi" w:hAnsiTheme="majorHAnsi"/>
          <w:color w:val="auto"/>
          <w:sz w:val="16"/>
          <w:szCs w:val="16"/>
        </w:rPr>
        <w:t xml:space="preserve">. </w:t>
      </w:r>
      <w:r w:rsidR="00A9213F">
        <w:rPr>
          <w:rFonts w:asciiTheme="majorHAnsi" w:hAnsiTheme="majorHAnsi"/>
          <w:color w:val="auto"/>
          <w:sz w:val="16"/>
          <w:szCs w:val="16"/>
        </w:rPr>
        <w:t>Brief or request of benefits of Law</w:t>
      </w:r>
      <w:r w:rsidRPr="00A51861">
        <w:rPr>
          <w:rFonts w:asciiTheme="majorHAnsi" w:hAnsiTheme="majorHAnsi"/>
          <w:color w:val="auto"/>
          <w:sz w:val="16"/>
          <w:szCs w:val="16"/>
        </w:rPr>
        <w:t xml:space="preserve"> No. 24.043, 1998.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Julio César Rito de los Santos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43">
    <w:p w14:paraId="1E983812" w14:textId="29A09BD9"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4</w:t>
      </w:r>
      <w:r w:rsidRPr="00A51861">
        <w:rPr>
          <w:rFonts w:asciiTheme="majorHAnsi" w:hAnsiTheme="majorHAnsi"/>
          <w:color w:val="auto"/>
          <w:sz w:val="16"/>
          <w:szCs w:val="16"/>
        </w:rPr>
        <w:t xml:space="preserve">. </w:t>
      </w:r>
      <w:r w:rsidR="00A63761">
        <w:rPr>
          <w:rFonts w:asciiTheme="majorHAnsi" w:hAnsiTheme="majorHAnsi"/>
          <w:color w:val="auto"/>
          <w:sz w:val="16"/>
          <w:szCs w:val="16"/>
        </w:rPr>
        <w:t xml:space="preserve">Official document of the Federal Police, June 11, </w:t>
      </w:r>
      <w:r w:rsidRPr="00A51861">
        <w:rPr>
          <w:rFonts w:asciiTheme="majorHAnsi" w:hAnsiTheme="majorHAnsi"/>
          <w:color w:val="auto"/>
          <w:sz w:val="16"/>
          <w:szCs w:val="16"/>
        </w:rPr>
        <w:t xml:space="preserve">1974.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Julio César Rito de los Santos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44">
    <w:p w14:paraId="50ABDB9C" w14:textId="4799B7C2"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21</w:t>
      </w:r>
      <w:r w:rsidRPr="00A51861">
        <w:rPr>
          <w:rFonts w:asciiTheme="majorHAnsi" w:hAnsiTheme="majorHAnsi"/>
          <w:color w:val="auto"/>
          <w:sz w:val="16"/>
          <w:szCs w:val="16"/>
        </w:rPr>
        <w:t xml:space="preserve">. </w:t>
      </w:r>
      <w:r w:rsidR="00A63761">
        <w:rPr>
          <w:rFonts w:asciiTheme="majorHAnsi" w:hAnsiTheme="majorHAnsi"/>
          <w:color w:val="auto"/>
          <w:sz w:val="16"/>
          <w:szCs w:val="16"/>
        </w:rPr>
        <w:t xml:space="preserve">Official document of the Federal Police, June 11, </w:t>
      </w:r>
      <w:r w:rsidRPr="00A51861">
        <w:rPr>
          <w:rFonts w:asciiTheme="majorHAnsi" w:hAnsiTheme="majorHAnsi"/>
          <w:color w:val="auto"/>
          <w:sz w:val="16"/>
          <w:szCs w:val="16"/>
        </w:rPr>
        <w:t xml:space="preserve">1974.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Julio César Rito de los Santos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45">
    <w:p w14:paraId="6C14DE0A" w14:textId="7F098AE8"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22</w:t>
      </w:r>
      <w:r w:rsidRPr="00A51861">
        <w:rPr>
          <w:rFonts w:asciiTheme="majorHAnsi" w:hAnsiTheme="majorHAnsi"/>
          <w:color w:val="auto"/>
          <w:sz w:val="16"/>
          <w:szCs w:val="16"/>
        </w:rPr>
        <w:t xml:space="preserve">. Providencia No. 7888 del </w:t>
      </w:r>
      <w:r w:rsidR="00166E8A">
        <w:rPr>
          <w:rFonts w:asciiTheme="majorHAnsi" w:hAnsiTheme="majorHAnsi"/>
          <w:color w:val="auto"/>
          <w:sz w:val="16"/>
          <w:szCs w:val="16"/>
        </w:rPr>
        <w:t>Juridical Affairs Department</w:t>
      </w:r>
      <w:r w:rsidRPr="00A51861">
        <w:rPr>
          <w:rFonts w:asciiTheme="majorHAnsi" w:hAnsiTheme="majorHAnsi"/>
          <w:color w:val="auto"/>
          <w:sz w:val="16"/>
          <w:szCs w:val="16"/>
        </w:rPr>
        <w:t xml:space="preserve">, </w:t>
      </w:r>
      <w:r w:rsidR="00CB0928">
        <w:rPr>
          <w:rFonts w:asciiTheme="majorHAnsi" w:hAnsiTheme="majorHAnsi"/>
          <w:color w:val="auto"/>
          <w:sz w:val="16"/>
          <w:szCs w:val="16"/>
        </w:rPr>
        <w:t>June 28,</w:t>
      </w:r>
      <w:r w:rsidRPr="00A51861">
        <w:rPr>
          <w:rFonts w:asciiTheme="majorHAnsi" w:hAnsiTheme="majorHAnsi"/>
          <w:color w:val="auto"/>
          <w:sz w:val="16"/>
          <w:szCs w:val="16"/>
        </w:rPr>
        <w:t xml:space="preserve"> 1974.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Julio César Rito de los Santos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46">
    <w:p w14:paraId="779714D3" w14:textId="47CDF241"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23</w:t>
      </w:r>
      <w:r w:rsidRPr="00A51861">
        <w:rPr>
          <w:rFonts w:asciiTheme="majorHAnsi" w:hAnsiTheme="majorHAnsi"/>
          <w:color w:val="auto"/>
          <w:sz w:val="16"/>
          <w:szCs w:val="16"/>
        </w:rPr>
        <w:t xml:space="preserve">. </w:t>
      </w:r>
      <w:r w:rsidR="00166E8A">
        <w:rPr>
          <w:rFonts w:asciiTheme="majorHAnsi" w:hAnsiTheme="majorHAnsi"/>
          <w:color w:val="auto"/>
          <w:sz w:val="16"/>
          <w:szCs w:val="16"/>
        </w:rPr>
        <w:t>Official document of</w:t>
      </w:r>
      <w:r w:rsidR="00061928">
        <w:rPr>
          <w:rFonts w:asciiTheme="majorHAnsi" w:hAnsiTheme="majorHAnsi"/>
          <w:color w:val="auto"/>
          <w:sz w:val="16"/>
          <w:szCs w:val="16"/>
        </w:rPr>
        <w:t xml:space="preserve"> the </w:t>
      </w:r>
      <w:r w:rsidR="00F86E9F">
        <w:rPr>
          <w:rFonts w:asciiTheme="majorHAnsi" w:hAnsiTheme="majorHAnsi"/>
          <w:color w:val="auto"/>
          <w:sz w:val="16"/>
          <w:szCs w:val="16"/>
        </w:rPr>
        <w:t>National Directorate of Migrations</w:t>
      </w:r>
      <w:r w:rsidRPr="00A51861">
        <w:rPr>
          <w:rFonts w:asciiTheme="majorHAnsi" w:hAnsiTheme="majorHAnsi"/>
          <w:color w:val="auto"/>
          <w:sz w:val="16"/>
          <w:szCs w:val="16"/>
        </w:rPr>
        <w:t xml:space="preserve"> </w:t>
      </w:r>
      <w:r w:rsidR="00166E8A">
        <w:rPr>
          <w:rFonts w:asciiTheme="majorHAnsi" w:hAnsiTheme="majorHAnsi"/>
          <w:color w:val="auto"/>
          <w:sz w:val="16"/>
          <w:szCs w:val="16"/>
        </w:rPr>
        <w:t xml:space="preserve">addressed to </w:t>
      </w:r>
      <w:r w:rsidR="00CB0928">
        <w:rPr>
          <w:rFonts w:asciiTheme="majorHAnsi" w:hAnsiTheme="majorHAnsi"/>
          <w:color w:val="auto"/>
          <w:sz w:val="16"/>
          <w:szCs w:val="16"/>
        </w:rPr>
        <w:t>the</w:t>
      </w:r>
      <w:r w:rsidRPr="00A51861">
        <w:rPr>
          <w:rFonts w:asciiTheme="majorHAnsi" w:hAnsiTheme="majorHAnsi"/>
          <w:color w:val="auto"/>
          <w:sz w:val="16"/>
          <w:szCs w:val="16"/>
        </w:rPr>
        <w:t xml:space="preserve"> Secretar</w:t>
      </w:r>
      <w:r w:rsidR="00CB0928">
        <w:rPr>
          <w:rFonts w:asciiTheme="majorHAnsi" w:hAnsiTheme="majorHAnsi"/>
          <w:color w:val="auto"/>
          <w:sz w:val="16"/>
          <w:szCs w:val="16"/>
        </w:rPr>
        <w:t>iat</w:t>
      </w:r>
      <w:r w:rsidRPr="00A51861">
        <w:rPr>
          <w:rFonts w:asciiTheme="majorHAnsi" w:hAnsiTheme="majorHAnsi"/>
          <w:color w:val="auto"/>
          <w:sz w:val="16"/>
          <w:szCs w:val="16"/>
        </w:rPr>
        <w:t xml:space="preserve"> </w:t>
      </w:r>
      <w:r w:rsidR="00CB0928">
        <w:rPr>
          <w:rFonts w:asciiTheme="majorHAnsi" w:hAnsiTheme="majorHAnsi"/>
          <w:color w:val="auto"/>
          <w:sz w:val="16"/>
          <w:szCs w:val="16"/>
        </w:rPr>
        <w:t>of</w:t>
      </w:r>
      <w:r w:rsidRPr="00A51861">
        <w:rPr>
          <w:rFonts w:asciiTheme="majorHAnsi" w:hAnsiTheme="majorHAnsi"/>
          <w:color w:val="auto"/>
          <w:sz w:val="16"/>
          <w:szCs w:val="16"/>
        </w:rPr>
        <w:t xml:space="preserve"> Informa</w:t>
      </w:r>
      <w:r w:rsidR="00CB0928">
        <w:rPr>
          <w:rFonts w:asciiTheme="majorHAnsi" w:hAnsiTheme="majorHAnsi"/>
          <w:color w:val="auto"/>
          <w:sz w:val="16"/>
          <w:szCs w:val="16"/>
        </w:rPr>
        <w:t>t</w:t>
      </w:r>
      <w:r w:rsidRPr="00A51861">
        <w:rPr>
          <w:rFonts w:asciiTheme="majorHAnsi" w:hAnsiTheme="majorHAnsi"/>
          <w:color w:val="auto"/>
          <w:sz w:val="16"/>
          <w:szCs w:val="16"/>
        </w:rPr>
        <w:t>ion</w:t>
      </w:r>
      <w:r w:rsidR="00CB0928">
        <w:rPr>
          <w:rFonts w:asciiTheme="majorHAnsi" w:hAnsiTheme="majorHAnsi"/>
          <w:color w:val="auto"/>
          <w:sz w:val="16"/>
          <w:szCs w:val="16"/>
        </w:rPr>
        <w:t xml:space="preserve"> of the</w:t>
      </w:r>
      <w:r w:rsidRPr="00A51861">
        <w:rPr>
          <w:rFonts w:asciiTheme="majorHAnsi" w:hAnsiTheme="majorHAnsi"/>
          <w:color w:val="auto"/>
          <w:sz w:val="16"/>
          <w:szCs w:val="16"/>
        </w:rPr>
        <w:t xml:space="preserve"> </w:t>
      </w:r>
      <w:r w:rsidR="00CB0928">
        <w:rPr>
          <w:rFonts w:asciiTheme="majorHAnsi" w:hAnsiTheme="majorHAnsi"/>
          <w:color w:val="auto"/>
          <w:sz w:val="16"/>
          <w:szCs w:val="16"/>
        </w:rPr>
        <w:t>S</w:t>
      </w:r>
      <w:r w:rsidRPr="00A51861">
        <w:rPr>
          <w:rFonts w:asciiTheme="majorHAnsi" w:hAnsiTheme="majorHAnsi"/>
          <w:color w:val="auto"/>
          <w:sz w:val="16"/>
          <w:szCs w:val="16"/>
        </w:rPr>
        <w:t>ta</w:t>
      </w:r>
      <w:r w:rsidR="00CB0928">
        <w:rPr>
          <w:rFonts w:asciiTheme="majorHAnsi" w:hAnsiTheme="majorHAnsi"/>
          <w:color w:val="auto"/>
          <w:sz w:val="16"/>
          <w:szCs w:val="16"/>
        </w:rPr>
        <w:t>te</w:t>
      </w:r>
      <w:r w:rsidRPr="00A51861">
        <w:rPr>
          <w:rFonts w:asciiTheme="majorHAnsi" w:hAnsiTheme="majorHAnsi"/>
          <w:color w:val="auto"/>
          <w:sz w:val="16"/>
          <w:szCs w:val="16"/>
        </w:rPr>
        <w:t xml:space="preserve">, </w:t>
      </w:r>
      <w:r w:rsidR="00CB0928">
        <w:rPr>
          <w:rFonts w:asciiTheme="majorHAnsi" w:hAnsiTheme="majorHAnsi"/>
          <w:color w:val="auto"/>
          <w:sz w:val="16"/>
          <w:szCs w:val="16"/>
        </w:rPr>
        <w:t xml:space="preserve">July 25, </w:t>
      </w:r>
      <w:r w:rsidRPr="00A51861">
        <w:rPr>
          <w:rFonts w:asciiTheme="majorHAnsi" w:hAnsiTheme="majorHAnsi"/>
          <w:color w:val="auto"/>
          <w:sz w:val="16"/>
          <w:szCs w:val="16"/>
        </w:rPr>
        <w:t xml:space="preserve">1974.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Julio César Rito de los Santos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47">
    <w:p w14:paraId="7A06D1C5" w14:textId="449AF128"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24</w:t>
      </w:r>
      <w:r w:rsidRPr="00A51861">
        <w:rPr>
          <w:rFonts w:asciiTheme="majorHAnsi" w:hAnsiTheme="majorHAnsi"/>
          <w:color w:val="auto"/>
          <w:sz w:val="16"/>
          <w:szCs w:val="16"/>
        </w:rPr>
        <w:t xml:space="preserve">. </w:t>
      </w:r>
      <w:r w:rsidR="00F86E9F" w:rsidRPr="00A51861">
        <w:rPr>
          <w:rFonts w:asciiTheme="majorHAnsi" w:hAnsiTheme="majorHAnsi"/>
          <w:color w:val="auto"/>
          <w:sz w:val="16"/>
          <w:szCs w:val="16"/>
        </w:rPr>
        <w:t>Certification</w:t>
      </w:r>
      <w:r w:rsidRPr="00A51861">
        <w:rPr>
          <w:rFonts w:asciiTheme="majorHAnsi" w:hAnsiTheme="majorHAnsi"/>
          <w:color w:val="auto"/>
          <w:sz w:val="16"/>
          <w:szCs w:val="16"/>
        </w:rPr>
        <w:t xml:space="preserve"> </w:t>
      </w:r>
      <w:r w:rsidR="00F86E9F">
        <w:rPr>
          <w:rFonts w:asciiTheme="majorHAnsi" w:hAnsiTheme="majorHAnsi"/>
          <w:color w:val="auto"/>
          <w:sz w:val="16"/>
          <w:szCs w:val="16"/>
        </w:rPr>
        <w:t>of the Judicial Power of the Nation</w:t>
      </w:r>
      <w:r w:rsidRPr="00A51861">
        <w:rPr>
          <w:rFonts w:asciiTheme="majorHAnsi" w:hAnsiTheme="majorHAnsi"/>
          <w:color w:val="auto"/>
          <w:sz w:val="16"/>
          <w:szCs w:val="16"/>
        </w:rPr>
        <w:t xml:space="preserve">, </w:t>
      </w:r>
      <w:r w:rsidR="00CB0928">
        <w:rPr>
          <w:rFonts w:asciiTheme="majorHAnsi" w:hAnsiTheme="majorHAnsi"/>
          <w:color w:val="auto"/>
          <w:sz w:val="16"/>
          <w:szCs w:val="16"/>
        </w:rPr>
        <w:t>June 14,</w:t>
      </w:r>
      <w:r w:rsidRPr="00A51861">
        <w:rPr>
          <w:rFonts w:asciiTheme="majorHAnsi" w:hAnsiTheme="majorHAnsi"/>
          <w:color w:val="auto"/>
          <w:sz w:val="16"/>
          <w:szCs w:val="16"/>
        </w:rPr>
        <w:t xml:space="preserve"> 1994.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Julio César Rito de los Santos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48">
    <w:p w14:paraId="72AA5ACA" w14:textId="4D9A9F0E"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25</w:t>
      </w:r>
      <w:r w:rsidRPr="00A51861">
        <w:rPr>
          <w:rFonts w:asciiTheme="majorHAnsi" w:hAnsiTheme="majorHAnsi"/>
          <w:color w:val="auto"/>
          <w:sz w:val="16"/>
          <w:szCs w:val="16"/>
        </w:rPr>
        <w:t xml:space="preserve">. Providencia No. 8395 </w:t>
      </w:r>
      <w:r w:rsidR="00F86E9F">
        <w:rPr>
          <w:rFonts w:asciiTheme="majorHAnsi" w:hAnsiTheme="majorHAnsi"/>
          <w:color w:val="auto"/>
          <w:sz w:val="16"/>
          <w:szCs w:val="16"/>
        </w:rPr>
        <w:t>of the</w:t>
      </w:r>
      <w:r w:rsidRPr="00A51861">
        <w:rPr>
          <w:rFonts w:asciiTheme="majorHAnsi" w:hAnsiTheme="majorHAnsi"/>
          <w:color w:val="auto"/>
          <w:sz w:val="16"/>
          <w:szCs w:val="16"/>
        </w:rPr>
        <w:t xml:space="preserve"> </w:t>
      </w:r>
      <w:r w:rsidR="00166E8A">
        <w:rPr>
          <w:rFonts w:asciiTheme="majorHAnsi" w:hAnsiTheme="majorHAnsi"/>
          <w:color w:val="auto"/>
          <w:sz w:val="16"/>
          <w:szCs w:val="16"/>
        </w:rPr>
        <w:t>Juridical Affairs Department</w:t>
      </w:r>
      <w:r w:rsidRPr="00A51861">
        <w:rPr>
          <w:rFonts w:asciiTheme="majorHAnsi" w:hAnsiTheme="majorHAnsi"/>
          <w:color w:val="auto"/>
          <w:sz w:val="16"/>
          <w:szCs w:val="16"/>
        </w:rPr>
        <w:t>,</w:t>
      </w:r>
      <w:r w:rsidR="00357129">
        <w:rPr>
          <w:rFonts w:asciiTheme="majorHAnsi" w:hAnsiTheme="majorHAnsi"/>
          <w:color w:val="auto"/>
          <w:sz w:val="16"/>
          <w:szCs w:val="16"/>
        </w:rPr>
        <w:t xml:space="preserve"> November</w:t>
      </w:r>
      <w:r w:rsidR="00F86E9F">
        <w:rPr>
          <w:rFonts w:asciiTheme="majorHAnsi" w:hAnsiTheme="majorHAnsi"/>
          <w:color w:val="auto"/>
          <w:sz w:val="16"/>
          <w:szCs w:val="16"/>
        </w:rPr>
        <w:t xml:space="preserve"> 20,</w:t>
      </w:r>
      <w:r w:rsidRPr="00A51861">
        <w:rPr>
          <w:rFonts w:asciiTheme="majorHAnsi" w:hAnsiTheme="majorHAnsi"/>
          <w:color w:val="auto"/>
          <w:sz w:val="16"/>
          <w:szCs w:val="16"/>
        </w:rPr>
        <w:t xml:space="preserve"> 1974.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Julio César Rito de los Santos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49">
    <w:p w14:paraId="0C69EAB3" w14:textId="089DD4DD"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26</w:t>
      </w:r>
      <w:r w:rsidRPr="00A51861">
        <w:rPr>
          <w:rFonts w:asciiTheme="majorHAnsi" w:hAnsiTheme="majorHAnsi"/>
          <w:color w:val="auto"/>
          <w:sz w:val="16"/>
          <w:szCs w:val="16"/>
        </w:rPr>
        <w:t xml:space="preserve">. </w:t>
      </w:r>
      <w:r w:rsidR="00166E8A">
        <w:rPr>
          <w:rFonts w:asciiTheme="majorHAnsi" w:hAnsiTheme="majorHAnsi"/>
          <w:color w:val="auto"/>
          <w:sz w:val="16"/>
          <w:szCs w:val="16"/>
        </w:rPr>
        <w:t>Official document of</w:t>
      </w:r>
      <w:r w:rsidR="00061928">
        <w:rPr>
          <w:rFonts w:asciiTheme="majorHAnsi" w:hAnsiTheme="majorHAnsi"/>
          <w:color w:val="auto"/>
          <w:sz w:val="16"/>
          <w:szCs w:val="16"/>
        </w:rPr>
        <w:t xml:space="preserve"> the </w:t>
      </w:r>
      <w:r w:rsidR="00F86E9F">
        <w:rPr>
          <w:rFonts w:asciiTheme="majorHAnsi" w:hAnsiTheme="majorHAnsi"/>
          <w:color w:val="auto"/>
          <w:sz w:val="16"/>
          <w:szCs w:val="16"/>
        </w:rPr>
        <w:t xml:space="preserve">Secretariat of Information of the State </w:t>
      </w:r>
      <w:r w:rsidR="00166E8A">
        <w:rPr>
          <w:rFonts w:asciiTheme="majorHAnsi" w:hAnsiTheme="majorHAnsi"/>
          <w:color w:val="auto"/>
          <w:sz w:val="16"/>
          <w:szCs w:val="16"/>
        </w:rPr>
        <w:t xml:space="preserve">addressed to </w:t>
      </w:r>
      <w:r w:rsidRPr="00A51861">
        <w:rPr>
          <w:rFonts w:asciiTheme="majorHAnsi" w:hAnsiTheme="majorHAnsi"/>
          <w:color w:val="auto"/>
          <w:sz w:val="16"/>
          <w:szCs w:val="16"/>
        </w:rPr>
        <w:t xml:space="preserve">la </w:t>
      </w:r>
      <w:r w:rsidR="00F86E9F">
        <w:rPr>
          <w:rFonts w:asciiTheme="majorHAnsi" w:hAnsiTheme="majorHAnsi"/>
          <w:color w:val="auto"/>
          <w:sz w:val="16"/>
          <w:szCs w:val="16"/>
        </w:rPr>
        <w:t>National Directorate of Migrations</w:t>
      </w:r>
      <w:r w:rsidRPr="00A51861">
        <w:rPr>
          <w:rFonts w:asciiTheme="majorHAnsi" w:hAnsiTheme="majorHAnsi"/>
          <w:color w:val="auto"/>
          <w:sz w:val="16"/>
          <w:szCs w:val="16"/>
        </w:rPr>
        <w:t xml:space="preserve">, mayo de 1975.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Julio César Rito de los Santos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50">
    <w:p w14:paraId="565D9D7B" w14:textId="434B088A"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27</w:t>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 xml:space="preserve">Resolution </w:t>
      </w:r>
      <w:r w:rsidRPr="00A51861">
        <w:rPr>
          <w:rFonts w:asciiTheme="majorHAnsi" w:hAnsiTheme="majorHAnsi"/>
          <w:color w:val="auto"/>
          <w:sz w:val="16"/>
          <w:szCs w:val="16"/>
        </w:rPr>
        <w:t>No. 3840</w:t>
      </w:r>
      <w:r w:rsidR="00061928">
        <w:rPr>
          <w:rFonts w:asciiTheme="majorHAnsi" w:hAnsiTheme="majorHAnsi"/>
          <w:color w:val="auto"/>
          <w:sz w:val="16"/>
          <w:szCs w:val="16"/>
        </w:rPr>
        <w:t xml:space="preserve"> of the </w:t>
      </w:r>
      <w:r w:rsidR="00F86E9F">
        <w:rPr>
          <w:rFonts w:asciiTheme="majorHAnsi" w:hAnsiTheme="majorHAnsi"/>
          <w:color w:val="auto"/>
          <w:sz w:val="16"/>
          <w:szCs w:val="16"/>
        </w:rPr>
        <w:t>National Directorate of Migrations</w:t>
      </w:r>
      <w:r w:rsidRPr="00A51861">
        <w:rPr>
          <w:rFonts w:asciiTheme="majorHAnsi" w:hAnsiTheme="majorHAnsi"/>
          <w:color w:val="auto"/>
          <w:sz w:val="16"/>
          <w:szCs w:val="16"/>
        </w:rPr>
        <w:t xml:space="preserve">, </w:t>
      </w:r>
      <w:r w:rsidR="00CB0928">
        <w:rPr>
          <w:rFonts w:asciiTheme="majorHAnsi" w:hAnsiTheme="majorHAnsi"/>
          <w:color w:val="auto"/>
          <w:sz w:val="16"/>
          <w:szCs w:val="16"/>
        </w:rPr>
        <w:t xml:space="preserve">July 15, </w:t>
      </w:r>
      <w:r w:rsidRPr="00A51861">
        <w:rPr>
          <w:rFonts w:asciiTheme="majorHAnsi" w:hAnsiTheme="majorHAnsi"/>
          <w:color w:val="auto"/>
          <w:sz w:val="16"/>
          <w:szCs w:val="16"/>
        </w:rPr>
        <w:t xml:space="preserve">1975.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Julio César Rito de los Santos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51">
    <w:p w14:paraId="606F6A52" w14:textId="03594541"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27</w:t>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 xml:space="preserve">Resolution </w:t>
      </w:r>
      <w:r w:rsidRPr="00A51861">
        <w:rPr>
          <w:rFonts w:asciiTheme="majorHAnsi" w:hAnsiTheme="majorHAnsi"/>
          <w:color w:val="auto"/>
          <w:sz w:val="16"/>
          <w:szCs w:val="16"/>
        </w:rPr>
        <w:t>No. 3840</w:t>
      </w:r>
      <w:r w:rsidR="00061928">
        <w:rPr>
          <w:rFonts w:asciiTheme="majorHAnsi" w:hAnsiTheme="majorHAnsi"/>
          <w:color w:val="auto"/>
          <w:sz w:val="16"/>
          <w:szCs w:val="16"/>
        </w:rPr>
        <w:t xml:space="preserve"> of the </w:t>
      </w:r>
      <w:r w:rsidR="00F86E9F">
        <w:rPr>
          <w:rFonts w:asciiTheme="majorHAnsi" w:hAnsiTheme="majorHAnsi"/>
          <w:color w:val="auto"/>
          <w:sz w:val="16"/>
          <w:szCs w:val="16"/>
        </w:rPr>
        <w:t>National Directorate of Migrations</w:t>
      </w:r>
      <w:r w:rsidRPr="00A51861">
        <w:rPr>
          <w:rFonts w:asciiTheme="majorHAnsi" w:hAnsiTheme="majorHAnsi"/>
          <w:color w:val="auto"/>
          <w:sz w:val="16"/>
          <w:szCs w:val="16"/>
        </w:rPr>
        <w:t xml:space="preserve">, </w:t>
      </w:r>
      <w:r w:rsidR="00CB0928">
        <w:rPr>
          <w:rFonts w:asciiTheme="majorHAnsi" w:hAnsiTheme="majorHAnsi"/>
          <w:color w:val="auto"/>
          <w:sz w:val="16"/>
          <w:szCs w:val="16"/>
        </w:rPr>
        <w:t xml:space="preserve">July 15, </w:t>
      </w:r>
      <w:r w:rsidRPr="00A51861">
        <w:rPr>
          <w:rFonts w:asciiTheme="majorHAnsi" w:hAnsiTheme="majorHAnsi"/>
          <w:color w:val="auto"/>
          <w:sz w:val="16"/>
          <w:szCs w:val="16"/>
        </w:rPr>
        <w:t xml:space="preserve">1975.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Julio César Rito de los Santos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52">
    <w:p w14:paraId="2D4EC88C" w14:textId="2A7C708D"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4</w:t>
      </w:r>
      <w:r w:rsidRPr="00A51861">
        <w:rPr>
          <w:rFonts w:asciiTheme="majorHAnsi" w:hAnsiTheme="majorHAnsi"/>
          <w:color w:val="auto"/>
          <w:sz w:val="16"/>
          <w:szCs w:val="16"/>
        </w:rPr>
        <w:t xml:space="preserve">. </w:t>
      </w:r>
      <w:r w:rsidR="00A9213F">
        <w:rPr>
          <w:rFonts w:asciiTheme="majorHAnsi" w:hAnsiTheme="majorHAnsi"/>
          <w:color w:val="auto"/>
          <w:sz w:val="16"/>
          <w:szCs w:val="16"/>
        </w:rPr>
        <w:t>Brief or request of benefits of Law</w:t>
      </w:r>
      <w:r w:rsidRPr="00A51861">
        <w:rPr>
          <w:rFonts w:asciiTheme="majorHAnsi" w:hAnsiTheme="majorHAnsi"/>
          <w:color w:val="auto"/>
          <w:sz w:val="16"/>
          <w:szCs w:val="16"/>
        </w:rPr>
        <w:t xml:space="preserve"> No. 24.043, 1998.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Julio César Rito de los Santos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53">
    <w:p w14:paraId="427066E5" w14:textId="0D5056C5"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28</w:t>
      </w:r>
      <w:r w:rsidRPr="00A51861">
        <w:rPr>
          <w:rFonts w:asciiTheme="majorHAnsi" w:hAnsiTheme="majorHAnsi"/>
          <w:color w:val="auto"/>
          <w:sz w:val="16"/>
          <w:szCs w:val="16"/>
        </w:rPr>
        <w:t xml:space="preserve">. </w:t>
      </w:r>
      <w:r w:rsidR="00F86E9F">
        <w:rPr>
          <w:rFonts w:asciiTheme="majorHAnsi" w:hAnsiTheme="majorHAnsi"/>
          <w:color w:val="auto"/>
          <w:sz w:val="16"/>
          <w:szCs w:val="16"/>
        </w:rPr>
        <w:t>Certificate</w:t>
      </w:r>
      <w:r w:rsidR="00061928">
        <w:rPr>
          <w:rFonts w:asciiTheme="majorHAnsi" w:hAnsiTheme="majorHAnsi"/>
          <w:color w:val="auto"/>
          <w:sz w:val="16"/>
          <w:szCs w:val="16"/>
        </w:rPr>
        <w:t xml:space="preserve"> of the </w:t>
      </w:r>
      <w:r w:rsidR="00F86E9F">
        <w:rPr>
          <w:rFonts w:asciiTheme="majorHAnsi" w:hAnsiTheme="majorHAnsi"/>
          <w:color w:val="auto"/>
          <w:sz w:val="16"/>
          <w:szCs w:val="16"/>
        </w:rPr>
        <w:t xml:space="preserve">Office of the High </w:t>
      </w:r>
      <w:r w:rsidR="00FE1E27">
        <w:rPr>
          <w:rFonts w:asciiTheme="majorHAnsi" w:hAnsiTheme="majorHAnsi"/>
          <w:color w:val="auto"/>
          <w:sz w:val="16"/>
          <w:szCs w:val="16"/>
        </w:rPr>
        <w:t>Commission</w:t>
      </w:r>
      <w:r w:rsidR="00F86E9F">
        <w:rPr>
          <w:rFonts w:asciiTheme="majorHAnsi" w:hAnsiTheme="majorHAnsi"/>
          <w:color w:val="auto"/>
          <w:sz w:val="16"/>
          <w:szCs w:val="16"/>
        </w:rPr>
        <w:t>er of United Nations for Refugees</w:t>
      </w:r>
      <w:r w:rsidRPr="00A51861">
        <w:rPr>
          <w:rFonts w:asciiTheme="majorHAnsi" w:hAnsiTheme="majorHAnsi"/>
          <w:color w:val="auto"/>
          <w:sz w:val="16"/>
          <w:szCs w:val="16"/>
        </w:rPr>
        <w:t xml:space="preserve">, </w:t>
      </w:r>
      <w:r w:rsidR="00081F38">
        <w:rPr>
          <w:rFonts w:asciiTheme="majorHAnsi" w:hAnsiTheme="majorHAnsi"/>
          <w:color w:val="auto"/>
          <w:sz w:val="16"/>
          <w:szCs w:val="16"/>
        </w:rPr>
        <w:t>May 12,</w:t>
      </w:r>
      <w:r w:rsidRPr="00A51861">
        <w:rPr>
          <w:rFonts w:asciiTheme="majorHAnsi" w:hAnsiTheme="majorHAnsi"/>
          <w:color w:val="auto"/>
          <w:sz w:val="16"/>
          <w:szCs w:val="16"/>
        </w:rPr>
        <w:t xml:space="preserve"> 1998. </w:t>
      </w:r>
      <w:r w:rsidR="00772057">
        <w:rPr>
          <w:rFonts w:asciiTheme="majorHAnsi" w:hAnsiTheme="majorHAnsi"/>
          <w:color w:val="auto"/>
          <w:sz w:val="16"/>
          <w:szCs w:val="16"/>
        </w:rPr>
        <w:t xml:space="preserve">Annexed to the initial petition of </w:t>
      </w:r>
      <w:r w:rsidR="00166E8A">
        <w:rPr>
          <w:rFonts w:asciiTheme="majorHAnsi" w:hAnsiTheme="majorHAnsi"/>
          <w:color w:val="auto"/>
          <w:sz w:val="16"/>
          <w:szCs w:val="16"/>
        </w:rPr>
        <w:t xml:space="preserve">May 11, </w:t>
      </w:r>
      <w:r w:rsidRPr="00A51861">
        <w:rPr>
          <w:rFonts w:asciiTheme="majorHAnsi" w:hAnsiTheme="majorHAnsi"/>
          <w:color w:val="auto"/>
          <w:sz w:val="16"/>
          <w:szCs w:val="16"/>
        </w:rPr>
        <w:t xml:space="preserve">2007, </w:t>
      </w:r>
      <w:r w:rsidR="00166E8A">
        <w:rPr>
          <w:rFonts w:asciiTheme="majorHAnsi" w:hAnsiTheme="majorHAnsi"/>
          <w:color w:val="auto"/>
          <w:sz w:val="16"/>
          <w:szCs w:val="16"/>
        </w:rPr>
        <w:t>and</w:t>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29</w:t>
      </w:r>
      <w:r w:rsidRPr="00A51861">
        <w:rPr>
          <w:rFonts w:asciiTheme="majorHAnsi" w:hAnsiTheme="majorHAnsi"/>
          <w:color w:val="auto"/>
          <w:sz w:val="16"/>
          <w:szCs w:val="16"/>
        </w:rPr>
        <w:t xml:space="preserve">. </w:t>
      </w:r>
      <w:r w:rsidR="00F86E9F">
        <w:rPr>
          <w:rFonts w:asciiTheme="majorHAnsi" w:hAnsiTheme="majorHAnsi"/>
          <w:color w:val="auto"/>
          <w:sz w:val="16"/>
          <w:szCs w:val="16"/>
        </w:rPr>
        <w:t>Certificate</w:t>
      </w:r>
      <w:r w:rsidRPr="00A51861">
        <w:rPr>
          <w:rFonts w:asciiTheme="majorHAnsi" w:hAnsiTheme="majorHAnsi"/>
          <w:color w:val="auto"/>
          <w:sz w:val="16"/>
          <w:szCs w:val="16"/>
        </w:rPr>
        <w:t xml:space="preserve"> </w:t>
      </w:r>
      <w:r w:rsidR="00F86E9F">
        <w:rPr>
          <w:rFonts w:asciiTheme="majorHAnsi" w:hAnsiTheme="majorHAnsi"/>
          <w:color w:val="auto"/>
          <w:sz w:val="16"/>
          <w:szCs w:val="16"/>
        </w:rPr>
        <w:t>of the National Directorate of Immigration of Sweden</w:t>
      </w:r>
      <w:r w:rsidRPr="00A51861">
        <w:rPr>
          <w:rFonts w:asciiTheme="majorHAnsi" w:hAnsiTheme="majorHAnsi"/>
          <w:color w:val="auto"/>
          <w:sz w:val="16"/>
          <w:szCs w:val="16"/>
        </w:rPr>
        <w:t>,</w:t>
      </w:r>
      <w:r w:rsidR="00357129">
        <w:rPr>
          <w:rFonts w:asciiTheme="majorHAnsi" w:hAnsiTheme="majorHAnsi"/>
          <w:color w:val="auto"/>
          <w:sz w:val="16"/>
          <w:szCs w:val="16"/>
        </w:rPr>
        <w:t xml:space="preserve"> November</w:t>
      </w:r>
      <w:r w:rsidR="00F86E9F">
        <w:rPr>
          <w:rFonts w:asciiTheme="majorHAnsi" w:hAnsiTheme="majorHAnsi"/>
          <w:color w:val="auto"/>
          <w:sz w:val="16"/>
          <w:szCs w:val="16"/>
        </w:rPr>
        <w:t xml:space="preserve"> 14, </w:t>
      </w:r>
      <w:r w:rsidRPr="00A51861">
        <w:rPr>
          <w:rFonts w:asciiTheme="majorHAnsi" w:hAnsiTheme="majorHAnsi"/>
          <w:color w:val="auto"/>
          <w:sz w:val="16"/>
          <w:szCs w:val="16"/>
        </w:rPr>
        <w:t xml:space="preserve">1997.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Julio César Rito de los Santos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54">
    <w:p w14:paraId="6D283655" w14:textId="2A550988"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30</w:t>
      </w:r>
      <w:r w:rsidRPr="00A51861">
        <w:rPr>
          <w:rFonts w:asciiTheme="majorHAnsi" w:hAnsiTheme="majorHAnsi"/>
          <w:color w:val="auto"/>
          <w:sz w:val="16"/>
          <w:szCs w:val="16"/>
        </w:rPr>
        <w:t>.</w:t>
      </w:r>
      <w:r w:rsidR="00185E46">
        <w:rPr>
          <w:rFonts w:asciiTheme="majorHAnsi" w:hAnsiTheme="majorHAnsi"/>
          <w:color w:val="auto"/>
          <w:sz w:val="16"/>
          <w:szCs w:val="16"/>
        </w:rPr>
        <w:t xml:space="preserve"> NDM </w:t>
      </w:r>
      <w:r w:rsidR="00A24A5F">
        <w:rPr>
          <w:rFonts w:asciiTheme="majorHAnsi" w:hAnsiTheme="majorHAnsi"/>
          <w:color w:val="auto"/>
          <w:sz w:val="16"/>
          <w:szCs w:val="16"/>
        </w:rPr>
        <w:t xml:space="preserve">Note </w:t>
      </w:r>
      <w:r w:rsidRPr="00A51861">
        <w:rPr>
          <w:rFonts w:asciiTheme="majorHAnsi" w:hAnsiTheme="majorHAnsi"/>
          <w:color w:val="auto"/>
          <w:sz w:val="16"/>
          <w:szCs w:val="16"/>
        </w:rPr>
        <w:t>No. 161/07</w:t>
      </w:r>
      <w:r w:rsidR="00061928">
        <w:rPr>
          <w:rFonts w:asciiTheme="majorHAnsi" w:hAnsiTheme="majorHAnsi"/>
          <w:color w:val="auto"/>
          <w:sz w:val="16"/>
          <w:szCs w:val="16"/>
        </w:rPr>
        <w:t xml:space="preserve"> of the </w:t>
      </w:r>
      <w:r w:rsidR="00F86E9F">
        <w:rPr>
          <w:rFonts w:asciiTheme="majorHAnsi" w:hAnsiTheme="majorHAnsi"/>
          <w:color w:val="auto"/>
          <w:sz w:val="16"/>
          <w:szCs w:val="16"/>
        </w:rPr>
        <w:t>National Directorate of Migrations</w:t>
      </w:r>
      <w:r w:rsidRPr="00A51861">
        <w:rPr>
          <w:rFonts w:asciiTheme="majorHAnsi" w:hAnsiTheme="majorHAnsi"/>
          <w:color w:val="auto"/>
          <w:sz w:val="16"/>
          <w:szCs w:val="16"/>
        </w:rPr>
        <w:t xml:space="preserve">, </w:t>
      </w:r>
      <w:r w:rsidR="00F86E9F">
        <w:rPr>
          <w:rFonts w:asciiTheme="majorHAnsi" w:hAnsiTheme="majorHAnsi"/>
          <w:color w:val="auto"/>
          <w:sz w:val="16"/>
          <w:szCs w:val="16"/>
        </w:rPr>
        <w:t>March 19,</w:t>
      </w:r>
      <w:r w:rsidRPr="00A51861">
        <w:rPr>
          <w:rFonts w:asciiTheme="majorHAnsi" w:hAnsiTheme="majorHAnsi"/>
          <w:color w:val="auto"/>
          <w:sz w:val="16"/>
          <w:szCs w:val="16"/>
        </w:rPr>
        <w:t xml:space="preserve"> 2007.</w:t>
      </w:r>
    </w:p>
  </w:footnote>
  <w:footnote w:id="55">
    <w:p w14:paraId="3AB93E3C" w14:textId="2C3E6462"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31</w:t>
      </w:r>
      <w:r w:rsidRPr="00A51861">
        <w:rPr>
          <w:rFonts w:asciiTheme="majorHAnsi" w:hAnsiTheme="majorHAnsi"/>
          <w:color w:val="auto"/>
          <w:sz w:val="16"/>
          <w:szCs w:val="16"/>
        </w:rPr>
        <w:t xml:space="preserve">. </w:t>
      </w:r>
      <w:r w:rsidR="00280367">
        <w:rPr>
          <w:rFonts w:asciiTheme="majorHAnsi" w:hAnsiTheme="majorHAnsi"/>
          <w:color w:val="auto"/>
          <w:sz w:val="16"/>
          <w:szCs w:val="16"/>
        </w:rPr>
        <w:t xml:space="preserve">Request form for benefits of Law </w:t>
      </w:r>
      <w:r w:rsidRPr="00A51861">
        <w:rPr>
          <w:rFonts w:asciiTheme="majorHAnsi" w:hAnsiTheme="majorHAnsi"/>
          <w:color w:val="auto"/>
          <w:sz w:val="16"/>
          <w:szCs w:val="16"/>
        </w:rPr>
        <w:t xml:space="preserve">No. 24.043, </w:t>
      </w:r>
      <w:r w:rsidR="00280367">
        <w:rPr>
          <w:rFonts w:asciiTheme="majorHAnsi" w:hAnsiTheme="majorHAnsi"/>
          <w:color w:val="auto"/>
          <w:sz w:val="16"/>
          <w:szCs w:val="16"/>
        </w:rPr>
        <w:t xml:space="preserve">August 7, </w:t>
      </w:r>
      <w:r w:rsidRPr="00A51861">
        <w:rPr>
          <w:rFonts w:asciiTheme="majorHAnsi" w:hAnsiTheme="majorHAnsi"/>
          <w:color w:val="auto"/>
          <w:sz w:val="16"/>
          <w:szCs w:val="16"/>
        </w:rPr>
        <w:t xml:space="preserve">1998.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Julio César Rito de los Santos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56">
    <w:p w14:paraId="6F95583D" w14:textId="6DE0FB0B"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32</w:t>
      </w:r>
      <w:r w:rsidRPr="00A51861">
        <w:rPr>
          <w:rFonts w:asciiTheme="majorHAnsi" w:hAnsiTheme="majorHAnsi"/>
          <w:color w:val="auto"/>
          <w:sz w:val="16"/>
          <w:szCs w:val="16"/>
        </w:rPr>
        <w:t xml:space="preserve">. </w:t>
      </w:r>
      <w:r w:rsidR="004E56A9">
        <w:rPr>
          <w:rFonts w:asciiTheme="majorHAnsi" w:hAnsiTheme="majorHAnsi"/>
          <w:color w:val="auto"/>
          <w:sz w:val="16"/>
          <w:szCs w:val="16"/>
        </w:rPr>
        <w:t>Brief of amplification of demands</w:t>
      </w:r>
      <w:r w:rsidRPr="00A51861">
        <w:rPr>
          <w:rFonts w:asciiTheme="majorHAnsi" w:hAnsiTheme="majorHAnsi"/>
          <w:color w:val="auto"/>
          <w:sz w:val="16"/>
          <w:szCs w:val="16"/>
        </w:rPr>
        <w:t xml:space="preserve">.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Julio César Rito de los Santos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57">
    <w:p w14:paraId="4F671133" w14:textId="336269F8"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33</w:t>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 xml:space="preserve">Resolution </w:t>
      </w:r>
      <w:r w:rsidRPr="00A51861">
        <w:rPr>
          <w:rFonts w:asciiTheme="majorHAnsi" w:hAnsiTheme="majorHAnsi"/>
          <w:color w:val="auto"/>
          <w:sz w:val="16"/>
          <w:szCs w:val="16"/>
        </w:rPr>
        <w:t xml:space="preserve">No. 098 </w:t>
      </w:r>
      <w:r w:rsidR="00A51861">
        <w:rPr>
          <w:rFonts w:asciiTheme="majorHAnsi" w:hAnsiTheme="majorHAnsi"/>
          <w:color w:val="auto"/>
          <w:sz w:val="16"/>
          <w:szCs w:val="16"/>
        </w:rPr>
        <w:t>of the Ministry of Justice and Human Rights</w:t>
      </w:r>
      <w:r w:rsidRPr="00A51861">
        <w:rPr>
          <w:rFonts w:asciiTheme="majorHAnsi" w:hAnsiTheme="majorHAnsi"/>
          <w:color w:val="auto"/>
          <w:sz w:val="16"/>
          <w:szCs w:val="16"/>
        </w:rPr>
        <w:t xml:space="preserve">, </w:t>
      </w:r>
      <w:r w:rsidR="00280367">
        <w:rPr>
          <w:rFonts w:asciiTheme="majorHAnsi" w:hAnsiTheme="majorHAnsi"/>
          <w:color w:val="auto"/>
          <w:sz w:val="16"/>
          <w:szCs w:val="16"/>
        </w:rPr>
        <w:t xml:space="preserve">January 23, </w:t>
      </w:r>
      <w:r w:rsidRPr="00A51861">
        <w:rPr>
          <w:rFonts w:asciiTheme="majorHAnsi" w:hAnsiTheme="majorHAnsi"/>
          <w:color w:val="auto"/>
          <w:sz w:val="16"/>
          <w:szCs w:val="16"/>
        </w:rPr>
        <w:t xml:space="preserve">2001.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Julio César Rito de los Santos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58">
    <w:p w14:paraId="400BA0E0" w14:textId="6765367F"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33</w:t>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 xml:space="preserve">Resolution </w:t>
      </w:r>
      <w:r w:rsidRPr="00A51861">
        <w:rPr>
          <w:rFonts w:asciiTheme="majorHAnsi" w:hAnsiTheme="majorHAnsi"/>
          <w:color w:val="auto"/>
          <w:sz w:val="16"/>
          <w:szCs w:val="16"/>
        </w:rPr>
        <w:t xml:space="preserve">No. 098 </w:t>
      </w:r>
      <w:r w:rsidR="00A51861">
        <w:rPr>
          <w:rFonts w:asciiTheme="majorHAnsi" w:hAnsiTheme="majorHAnsi"/>
          <w:color w:val="auto"/>
          <w:sz w:val="16"/>
          <w:szCs w:val="16"/>
        </w:rPr>
        <w:t>of the Ministry of Justice and Human Rights</w:t>
      </w:r>
      <w:r w:rsidRPr="00A51861">
        <w:rPr>
          <w:rFonts w:asciiTheme="majorHAnsi" w:hAnsiTheme="majorHAnsi"/>
          <w:color w:val="auto"/>
          <w:sz w:val="16"/>
          <w:szCs w:val="16"/>
        </w:rPr>
        <w:t xml:space="preserve">, </w:t>
      </w:r>
      <w:r w:rsidR="00280367">
        <w:rPr>
          <w:rFonts w:asciiTheme="majorHAnsi" w:hAnsiTheme="majorHAnsi"/>
          <w:color w:val="auto"/>
          <w:sz w:val="16"/>
          <w:szCs w:val="16"/>
        </w:rPr>
        <w:t xml:space="preserve">January 23, </w:t>
      </w:r>
      <w:r w:rsidRPr="00A51861">
        <w:rPr>
          <w:rFonts w:asciiTheme="majorHAnsi" w:hAnsiTheme="majorHAnsi"/>
          <w:color w:val="auto"/>
          <w:sz w:val="16"/>
          <w:szCs w:val="16"/>
        </w:rPr>
        <w:t xml:space="preserve">2001.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Julio César Rito de los Santos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59">
    <w:p w14:paraId="192798EE" w14:textId="36A023DA"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34</w:t>
      </w:r>
      <w:r w:rsidRPr="00A51861">
        <w:rPr>
          <w:rFonts w:asciiTheme="majorHAnsi" w:hAnsiTheme="majorHAnsi"/>
          <w:color w:val="auto"/>
          <w:sz w:val="16"/>
          <w:szCs w:val="16"/>
        </w:rPr>
        <w:t xml:space="preserve">. </w:t>
      </w:r>
      <w:r w:rsidR="00356384">
        <w:rPr>
          <w:rFonts w:asciiTheme="majorHAnsi" w:hAnsiTheme="majorHAnsi"/>
          <w:color w:val="auto"/>
          <w:sz w:val="16"/>
          <w:szCs w:val="16"/>
        </w:rPr>
        <w:t>Brief of filing of direct appeal</w:t>
      </w:r>
      <w:r w:rsidRPr="00A51861">
        <w:rPr>
          <w:rFonts w:asciiTheme="majorHAnsi" w:hAnsiTheme="majorHAnsi"/>
          <w:color w:val="auto"/>
          <w:sz w:val="16"/>
          <w:szCs w:val="16"/>
        </w:rPr>
        <w:t xml:space="preserve">, </w:t>
      </w:r>
      <w:r w:rsidR="00356384">
        <w:rPr>
          <w:rFonts w:asciiTheme="majorHAnsi" w:hAnsiTheme="majorHAnsi"/>
          <w:color w:val="auto"/>
          <w:sz w:val="16"/>
          <w:szCs w:val="16"/>
        </w:rPr>
        <w:t xml:space="preserve">February 9, </w:t>
      </w:r>
      <w:r w:rsidRPr="00A51861">
        <w:rPr>
          <w:rFonts w:asciiTheme="majorHAnsi" w:hAnsiTheme="majorHAnsi"/>
          <w:color w:val="auto"/>
          <w:sz w:val="16"/>
          <w:szCs w:val="16"/>
        </w:rPr>
        <w:t xml:space="preserve">2001.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Julio César Rito de los Santos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60">
    <w:p w14:paraId="1F2296FD" w14:textId="0E9BE4D0"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34</w:t>
      </w:r>
      <w:r w:rsidRPr="00A51861">
        <w:rPr>
          <w:rFonts w:asciiTheme="majorHAnsi" w:hAnsiTheme="majorHAnsi"/>
          <w:color w:val="auto"/>
          <w:sz w:val="16"/>
          <w:szCs w:val="16"/>
        </w:rPr>
        <w:t xml:space="preserve">. </w:t>
      </w:r>
      <w:r w:rsidR="00356384">
        <w:rPr>
          <w:rFonts w:asciiTheme="majorHAnsi" w:hAnsiTheme="majorHAnsi"/>
          <w:color w:val="auto"/>
          <w:sz w:val="16"/>
          <w:szCs w:val="16"/>
        </w:rPr>
        <w:t>Brief of filing of direct appeal</w:t>
      </w:r>
      <w:r w:rsidRPr="00A51861">
        <w:rPr>
          <w:rFonts w:asciiTheme="majorHAnsi" w:hAnsiTheme="majorHAnsi"/>
          <w:color w:val="auto"/>
          <w:sz w:val="16"/>
          <w:szCs w:val="16"/>
        </w:rPr>
        <w:t xml:space="preserve">, </w:t>
      </w:r>
      <w:r w:rsidR="00356384">
        <w:rPr>
          <w:rFonts w:asciiTheme="majorHAnsi" w:hAnsiTheme="majorHAnsi"/>
          <w:color w:val="auto"/>
          <w:sz w:val="16"/>
          <w:szCs w:val="16"/>
        </w:rPr>
        <w:t xml:space="preserve">February 9, </w:t>
      </w:r>
      <w:r w:rsidRPr="00A51861">
        <w:rPr>
          <w:rFonts w:asciiTheme="majorHAnsi" w:hAnsiTheme="majorHAnsi"/>
          <w:color w:val="auto"/>
          <w:sz w:val="16"/>
          <w:szCs w:val="16"/>
        </w:rPr>
        <w:t xml:space="preserve">2001.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Julio César Rito de los Santos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61">
    <w:p w14:paraId="0D07280D" w14:textId="478B048B"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35</w:t>
      </w:r>
      <w:r w:rsidRPr="00A51861">
        <w:rPr>
          <w:rFonts w:asciiTheme="majorHAnsi" w:hAnsiTheme="majorHAnsi"/>
          <w:color w:val="auto"/>
          <w:sz w:val="16"/>
          <w:szCs w:val="16"/>
        </w:rPr>
        <w:t xml:space="preserve">. </w:t>
      </w:r>
      <w:r w:rsidR="000E67CA">
        <w:rPr>
          <w:rFonts w:asciiTheme="majorHAnsi" w:hAnsiTheme="majorHAnsi"/>
          <w:color w:val="auto"/>
          <w:sz w:val="16"/>
          <w:szCs w:val="16"/>
        </w:rPr>
        <w:t>Decision</w:t>
      </w:r>
      <w:r w:rsidR="00061928">
        <w:rPr>
          <w:rFonts w:asciiTheme="majorHAnsi" w:hAnsiTheme="majorHAnsi"/>
          <w:color w:val="auto"/>
          <w:sz w:val="16"/>
          <w:szCs w:val="16"/>
        </w:rPr>
        <w:t xml:space="preserve"> of the </w:t>
      </w:r>
      <w:r w:rsidR="00116313">
        <w:rPr>
          <w:rFonts w:asciiTheme="majorHAnsi" w:hAnsiTheme="majorHAnsi"/>
          <w:color w:val="auto"/>
          <w:sz w:val="16"/>
          <w:szCs w:val="16"/>
        </w:rPr>
        <w:t>National Chamber of Federal Contentious Administrative Appeals</w:t>
      </w:r>
      <w:r w:rsidRPr="00A51861">
        <w:rPr>
          <w:rFonts w:asciiTheme="majorHAnsi" w:hAnsiTheme="majorHAnsi"/>
          <w:color w:val="auto"/>
          <w:sz w:val="16"/>
          <w:szCs w:val="16"/>
        </w:rPr>
        <w:t xml:space="preserve">, </w:t>
      </w:r>
      <w:r w:rsidR="00280367">
        <w:rPr>
          <w:rFonts w:asciiTheme="majorHAnsi" w:hAnsiTheme="majorHAnsi"/>
          <w:color w:val="auto"/>
          <w:sz w:val="16"/>
          <w:szCs w:val="16"/>
        </w:rPr>
        <w:t xml:space="preserve">June 11, </w:t>
      </w:r>
      <w:r w:rsidRPr="00A51861">
        <w:rPr>
          <w:rFonts w:asciiTheme="majorHAnsi" w:hAnsiTheme="majorHAnsi"/>
          <w:color w:val="auto"/>
          <w:sz w:val="16"/>
          <w:szCs w:val="16"/>
        </w:rPr>
        <w:t xml:space="preserve">2002.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Julio César Rito de los Santos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 xml:space="preserve">2007. </w:t>
      </w:r>
    </w:p>
  </w:footnote>
  <w:footnote w:id="62">
    <w:p w14:paraId="669840C7" w14:textId="1C98B9FF"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35</w:t>
      </w:r>
      <w:r w:rsidRPr="00A51861">
        <w:rPr>
          <w:rFonts w:asciiTheme="majorHAnsi" w:hAnsiTheme="majorHAnsi"/>
          <w:color w:val="auto"/>
          <w:sz w:val="16"/>
          <w:szCs w:val="16"/>
        </w:rPr>
        <w:t xml:space="preserve">. </w:t>
      </w:r>
      <w:r w:rsidR="000E67CA">
        <w:rPr>
          <w:rFonts w:asciiTheme="majorHAnsi" w:hAnsiTheme="majorHAnsi"/>
          <w:color w:val="auto"/>
          <w:sz w:val="16"/>
          <w:szCs w:val="16"/>
        </w:rPr>
        <w:t>Decision</w:t>
      </w:r>
      <w:r w:rsidR="00061928">
        <w:rPr>
          <w:rFonts w:asciiTheme="majorHAnsi" w:hAnsiTheme="majorHAnsi"/>
          <w:color w:val="auto"/>
          <w:sz w:val="16"/>
          <w:szCs w:val="16"/>
        </w:rPr>
        <w:t xml:space="preserve"> of the </w:t>
      </w:r>
      <w:r w:rsidR="00116313">
        <w:rPr>
          <w:rFonts w:asciiTheme="majorHAnsi" w:hAnsiTheme="majorHAnsi"/>
          <w:color w:val="auto"/>
          <w:sz w:val="16"/>
          <w:szCs w:val="16"/>
        </w:rPr>
        <w:t>National Chamber of Federal Contentious Administrative Appeals</w:t>
      </w:r>
      <w:r w:rsidRPr="00A51861">
        <w:rPr>
          <w:rFonts w:asciiTheme="majorHAnsi" w:hAnsiTheme="majorHAnsi"/>
          <w:color w:val="auto"/>
          <w:sz w:val="16"/>
          <w:szCs w:val="16"/>
        </w:rPr>
        <w:t xml:space="preserve">, </w:t>
      </w:r>
      <w:r w:rsidR="00280367">
        <w:rPr>
          <w:rFonts w:asciiTheme="majorHAnsi" w:hAnsiTheme="majorHAnsi"/>
          <w:color w:val="auto"/>
          <w:sz w:val="16"/>
          <w:szCs w:val="16"/>
        </w:rPr>
        <w:t xml:space="preserve">June 11, </w:t>
      </w:r>
      <w:r w:rsidRPr="00A51861">
        <w:rPr>
          <w:rFonts w:asciiTheme="majorHAnsi" w:hAnsiTheme="majorHAnsi"/>
          <w:color w:val="auto"/>
          <w:sz w:val="16"/>
          <w:szCs w:val="16"/>
        </w:rPr>
        <w:t xml:space="preserve">2002.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Julio César Rito de los Santos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63">
    <w:p w14:paraId="79FA0C20" w14:textId="5D1F9195"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35</w:t>
      </w:r>
      <w:r w:rsidRPr="00A51861">
        <w:rPr>
          <w:rFonts w:asciiTheme="majorHAnsi" w:hAnsiTheme="majorHAnsi"/>
          <w:color w:val="auto"/>
          <w:sz w:val="16"/>
          <w:szCs w:val="16"/>
        </w:rPr>
        <w:t xml:space="preserve">. </w:t>
      </w:r>
      <w:r w:rsidR="000E67CA">
        <w:rPr>
          <w:rFonts w:asciiTheme="majorHAnsi" w:hAnsiTheme="majorHAnsi"/>
          <w:color w:val="auto"/>
          <w:sz w:val="16"/>
          <w:szCs w:val="16"/>
        </w:rPr>
        <w:t>Decision</w:t>
      </w:r>
      <w:r w:rsidR="00061928">
        <w:rPr>
          <w:rFonts w:asciiTheme="majorHAnsi" w:hAnsiTheme="majorHAnsi"/>
          <w:color w:val="auto"/>
          <w:sz w:val="16"/>
          <w:szCs w:val="16"/>
        </w:rPr>
        <w:t xml:space="preserve"> of the </w:t>
      </w:r>
      <w:r w:rsidR="00116313">
        <w:rPr>
          <w:rFonts w:asciiTheme="majorHAnsi" w:hAnsiTheme="majorHAnsi"/>
          <w:color w:val="auto"/>
          <w:sz w:val="16"/>
          <w:szCs w:val="16"/>
        </w:rPr>
        <w:t>National Chamber of Federal Contentious Administrative Appeals</w:t>
      </w:r>
      <w:r w:rsidRPr="00A51861">
        <w:rPr>
          <w:rFonts w:asciiTheme="majorHAnsi" w:hAnsiTheme="majorHAnsi"/>
          <w:color w:val="auto"/>
          <w:sz w:val="16"/>
          <w:szCs w:val="16"/>
        </w:rPr>
        <w:t xml:space="preserve">, </w:t>
      </w:r>
      <w:r w:rsidR="00280367">
        <w:rPr>
          <w:rFonts w:asciiTheme="majorHAnsi" w:hAnsiTheme="majorHAnsi"/>
          <w:color w:val="auto"/>
          <w:sz w:val="16"/>
          <w:szCs w:val="16"/>
        </w:rPr>
        <w:t xml:space="preserve">June 11, </w:t>
      </w:r>
      <w:r w:rsidRPr="00A51861">
        <w:rPr>
          <w:rFonts w:asciiTheme="majorHAnsi" w:hAnsiTheme="majorHAnsi"/>
          <w:color w:val="auto"/>
          <w:sz w:val="16"/>
          <w:szCs w:val="16"/>
        </w:rPr>
        <w:t xml:space="preserve">2002.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Julio César Rito de los Santos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64">
    <w:p w14:paraId="08B00ECE" w14:textId="5B88BBC1"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36</w:t>
      </w:r>
      <w:r w:rsidRPr="00A51861">
        <w:rPr>
          <w:rFonts w:asciiTheme="majorHAnsi" w:hAnsiTheme="majorHAnsi"/>
          <w:color w:val="auto"/>
          <w:sz w:val="16"/>
          <w:szCs w:val="16"/>
        </w:rPr>
        <w:t xml:space="preserve">. </w:t>
      </w:r>
      <w:r w:rsidR="00280367">
        <w:rPr>
          <w:rFonts w:asciiTheme="majorHAnsi" w:hAnsiTheme="majorHAnsi"/>
          <w:color w:val="auto"/>
          <w:sz w:val="16"/>
          <w:szCs w:val="16"/>
        </w:rPr>
        <w:t>Brief of filing of extraordinary judicial remedy</w:t>
      </w:r>
      <w:r w:rsidRPr="00A51861">
        <w:rPr>
          <w:rFonts w:asciiTheme="majorHAnsi" w:hAnsiTheme="majorHAnsi"/>
          <w:color w:val="auto"/>
          <w:sz w:val="16"/>
          <w:szCs w:val="16"/>
        </w:rPr>
        <w:t xml:space="preserve">.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Julio César Rito de los Santos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65">
    <w:p w14:paraId="6534ACF5" w14:textId="54C2356F"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36</w:t>
      </w:r>
      <w:r w:rsidRPr="00A51861">
        <w:rPr>
          <w:rFonts w:asciiTheme="majorHAnsi" w:hAnsiTheme="majorHAnsi"/>
          <w:color w:val="auto"/>
          <w:sz w:val="16"/>
          <w:szCs w:val="16"/>
        </w:rPr>
        <w:t xml:space="preserve">. </w:t>
      </w:r>
      <w:r w:rsidR="00280367">
        <w:rPr>
          <w:rFonts w:asciiTheme="majorHAnsi" w:hAnsiTheme="majorHAnsi"/>
          <w:color w:val="auto"/>
          <w:sz w:val="16"/>
          <w:szCs w:val="16"/>
        </w:rPr>
        <w:t>Brief of filing of extraordinary judicial remedy</w:t>
      </w:r>
      <w:r w:rsidRPr="00A51861">
        <w:rPr>
          <w:rFonts w:asciiTheme="majorHAnsi" w:hAnsiTheme="majorHAnsi"/>
          <w:color w:val="auto"/>
          <w:sz w:val="16"/>
          <w:szCs w:val="16"/>
        </w:rPr>
        <w:t xml:space="preserve">.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Julio César Rito de los Santos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66">
    <w:p w14:paraId="30DC0EB8" w14:textId="73A36937"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37</w:t>
      </w:r>
      <w:r w:rsidRPr="00A51861">
        <w:rPr>
          <w:rFonts w:asciiTheme="majorHAnsi" w:hAnsiTheme="majorHAnsi"/>
          <w:color w:val="auto"/>
          <w:sz w:val="16"/>
          <w:szCs w:val="16"/>
        </w:rPr>
        <w:t xml:space="preserve">. </w:t>
      </w:r>
      <w:r w:rsidR="004E56A9">
        <w:rPr>
          <w:rFonts w:asciiTheme="majorHAnsi" w:hAnsiTheme="majorHAnsi"/>
          <w:color w:val="auto"/>
          <w:sz w:val="16"/>
          <w:szCs w:val="16"/>
        </w:rPr>
        <w:t>Judgment</w:t>
      </w:r>
      <w:r w:rsidR="00061928">
        <w:rPr>
          <w:rFonts w:asciiTheme="majorHAnsi" w:hAnsiTheme="majorHAnsi"/>
          <w:color w:val="auto"/>
          <w:sz w:val="16"/>
          <w:szCs w:val="16"/>
        </w:rPr>
        <w:t xml:space="preserve"> of the </w:t>
      </w:r>
      <w:r w:rsidR="0020342F">
        <w:rPr>
          <w:rFonts w:asciiTheme="majorHAnsi" w:hAnsiTheme="majorHAnsi"/>
          <w:color w:val="auto"/>
          <w:sz w:val="16"/>
          <w:szCs w:val="16"/>
        </w:rPr>
        <w:t>Supreme Court of Justice of the Nation</w:t>
      </w:r>
      <w:r w:rsidRPr="00A51861">
        <w:rPr>
          <w:rFonts w:asciiTheme="majorHAnsi" w:hAnsiTheme="majorHAnsi"/>
          <w:color w:val="auto"/>
          <w:sz w:val="16"/>
          <w:szCs w:val="16"/>
        </w:rPr>
        <w:t xml:space="preserve">, </w:t>
      </w:r>
      <w:r w:rsidR="00106AEF">
        <w:rPr>
          <w:rFonts w:asciiTheme="majorHAnsi" w:hAnsiTheme="majorHAnsi"/>
          <w:color w:val="auto"/>
          <w:sz w:val="16"/>
          <w:szCs w:val="16"/>
        </w:rPr>
        <w:t>October 31,</w:t>
      </w:r>
      <w:r w:rsidRPr="00A51861">
        <w:rPr>
          <w:rFonts w:asciiTheme="majorHAnsi" w:hAnsiTheme="majorHAnsi"/>
          <w:color w:val="auto"/>
          <w:sz w:val="16"/>
          <w:szCs w:val="16"/>
        </w:rPr>
        <w:t xml:space="preserve"> 2006.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Julio César Rito de los Santos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67">
    <w:p w14:paraId="052D68E9" w14:textId="5707F922"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38</w:t>
      </w:r>
      <w:r w:rsidRPr="00A51861">
        <w:rPr>
          <w:rFonts w:asciiTheme="majorHAnsi" w:hAnsiTheme="majorHAnsi"/>
          <w:color w:val="auto"/>
          <w:sz w:val="16"/>
          <w:szCs w:val="16"/>
        </w:rPr>
        <w:t xml:space="preserve">. Dictamen </w:t>
      </w:r>
      <w:r w:rsidR="001F7816">
        <w:rPr>
          <w:rFonts w:asciiTheme="majorHAnsi" w:hAnsiTheme="majorHAnsi"/>
          <w:color w:val="auto"/>
          <w:sz w:val="16"/>
          <w:szCs w:val="16"/>
        </w:rPr>
        <w:t xml:space="preserve">of the Attorney General before the Supreme </w:t>
      </w:r>
      <w:r w:rsidR="0020342F">
        <w:rPr>
          <w:rFonts w:asciiTheme="majorHAnsi" w:hAnsiTheme="majorHAnsi"/>
          <w:color w:val="auto"/>
          <w:sz w:val="16"/>
          <w:szCs w:val="16"/>
        </w:rPr>
        <w:t>Court of Justice of the Nation</w:t>
      </w:r>
      <w:r w:rsidRPr="00A51861">
        <w:rPr>
          <w:rFonts w:asciiTheme="majorHAnsi" w:hAnsiTheme="majorHAnsi"/>
          <w:color w:val="auto"/>
          <w:sz w:val="16"/>
          <w:szCs w:val="16"/>
        </w:rPr>
        <w:t xml:space="preserve">, </w:t>
      </w:r>
      <w:r w:rsidR="00106AEF">
        <w:rPr>
          <w:rFonts w:asciiTheme="majorHAnsi" w:hAnsiTheme="majorHAnsi"/>
          <w:color w:val="auto"/>
          <w:sz w:val="16"/>
          <w:szCs w:val="16"/>
        </w:rPr>
        <w:t>August 22,</w:t>
      </w:r>
      <w:r w:rsidRPr="00A51861">
        <w:rPr>
          <w:rFonts w:asciiTheme="majorHAnsi" w:hAnsiTheme="majorHAnsi"/>
          <w:color w:val="auto"/>
          <w:sz w:val="16"/>
          <w:szCs w:val="16"/>
        </w:rPr>
        <w:t xml:space="preserve"> 2005.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Julio César Rito de los Santos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68">
    <w:p w14:paraId="3A1E71BC" w14:textId="06FD5550"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38</w:t>
      </w:r>
      <w:r w:rsidRPr="00A51861">
        <w:rPr>
          <w:rFonts w:asciiTheme="majorHAnsi" w:hAnsiTheme="majorHAnsi"/>
          <w:color w:val="auto"/>
          <w:sz w:val="16"/>
          <w:szCs w:val="16"/>
        </w:rPr>
        <w:t xml:space="preserve">. Dictamen </w:t>
      </w:r>
      <w:r w:rsidR="001F7816">
        <w:rPr>
          <w:rFonts w:asciiTheme="majorHAnsi" w:hAnsiTheme="majorHAnsi"/>
          <w:color w:val="auto"/>
          <w:sz w:val="16"/>
          <w:szCs w:val="16"/>
        </w:rPr>
        <w:t xml:space="preserve">of the Attorney General before the Supreme </w:t>
      </w:r>
      <w:r w:rsidR="0020342F">
        <w:rPr>
          <w:rFonts w:asciiTheme="majorHAnsi" w:hAnsiTheme="majorHAnsi"/>
          <w:color w:val="auto"/>
          <w:sz w:val="16"/>
          <w:szCs w:val="16"/>
        </w:rPr>
        <w:t>Court of Justice of the Nation</w:t>
      </w:r>
      <w:r w:rsidRPr="00A51861">
        <w:rPr>
          <w:rFonts w:asciiTheme="majorHAnsi" w:hAnsiTheme="majorHAnsi"/>
          <w:color w:val="auto"/>
          <w:sz w:val="16"/>
          <w:szCs w:val="16"/>
        </w:rPr>
        <w:t xml:space="preserve">, </w:t>
      </w:r>
      <w:r w:rsidR="00106AEF">
        <w:rPr>
          <w:rFonts w:asciiTheme="majorHAnsi" w:hAnsiTheme="majorHAnsi"/>
          <w:color w:val="auto"/>
          <w:sz w:val="16"/>
          <w:szCs w:val="16"/>
        </w:rPr>
        <w:t>August 22,</w:t>
      </w:r>
      <w:r w:rsidRPr="00A51861">
        <w:rPr>
          <w:rFonts w:asciiTheme="majorHAnsi" w:hAnsiTheme="majorHAnsi"/>
          <w:color w:val="auto"/>
          <w:sz w:val="16"/>
          <w:szCs w:val="16"/>
        </w:rPr>
        <w:t xml:space="preserve"> 2005.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Julio César Rito de los Santos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69">
    <w:p w14:paraId="3CFE10E3" w14:textId="19035E22"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5</w:t>
      </w:r>
      <w:r w:rsidRPr="00A51861">
        <w:rPr>
          <w:rFonts w:asciiTheme="majorHAnsi" w:hAnsiTheme="majorHAnsi"/>
          <w:color w:val="auto"/>
          <w:sz w:val="16"/>
          <w:szCs w:val="16"/>
        </w:rPr>
        <w:t xml:space="preserve">. </w:t>
      </w:r>
      <w:r w:rsidR="00A9213F">
        <w:rPr>
          <w:rFonts w:asciiTheme="majorHAnsi" w:hAnsiTheme="majorHAnsi"/>
          <w:color w:val="auto"/>
          <w:sz w:val="16"/>
          <w:szCs w:val="16"/>
        </w:rPr>
        <w:t xml:space="preserve">Initial petition of </w:t>
      </w:r>
      <w:r w:rsidRPr="00A51861">
        <w:rPr>
          <w:rFonts w:asciiTheme="majorHAnsi" w:hAnsiTheme="majorHAnsi"/>
          <w:color w:val="auto"/>
          <w:sz w:val="16"/>
          <w:szCs w:val="16"/>
        </w:rPr>
        <w:t xml:space="preserve">Julio César Rito de los Santos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70">
    <w:p w14:paraId="79DABB43" w14:textId="5A00D661"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32</w:t>
      </w:r>
      <w:r w:rsidRPr="00A51861">
        <w:rPr>
          <w:rFonts w:asciiTheme="majorHAnsi" w:hAnsiTheme="majorHAnsi"/>
          <w:color w:val="auto"/>
          <w:sz w:val="16"/>
          <w:szCs w:val="16"/>
        </w:rPr>
        <w:t xml:space="preserve">. </w:t>
      </w:r>
      <w:r w:rsidR="004E56A9">
        <w:rPr>
          <w:rFonts w:asciiTheme="majorHAnsi" w:hAnsiTheme="majorHAnsi"/>
          <w:color w:val="auto"/>
          <w:sz w:val="16"/>
          <w:szCs w:val="16"/>
        </w:rPr>
        <w:t>Brief of amplification of demands</w:t>
      </w:r>
      <w:r w:rsidRPr="00A51861">
        <w:rPr>
          <w:rFonts w:asciiTheme="majorHAnsi" w:hAnsiTheme="majorHAnsi"/>
          <w:color w:val="auto"/>
          <w:sz w:val="16"/>
          <w:szCs w:val="16"/>
        </w:rPr>
        <w:t xml:space="preserve">.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Julio César Rito de los Santos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71">
    <w:p w14:paraId="574F01A2" w14:textId="06A63377"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5</w:t>
      </w:r>
      <w:r w:rsidRPr="00A51861">
        <w:rPr>
          <w:rFonts w:asciiTheme="majorHAnsi" w:hAnsiTheme="majorHAnsi"/>
          <w:color w:val="auto"/>
          <w:sz w:val="16"/>
          <w:szCs w:val="16"/>
        </w:rPr>
        <w:t xml:space="preserve">. </w:t>
      </w:r>
      <w:r w:rsidR="00A9213F">
        <w:rPr>
          <w:rFonts w:asciiTheme="majorHAnsi" w:hAnsiTheme="majorHAnsi"/>
          <w:color w:val="auto"/>
          <w:sz w:val="16"/>
          <w:szCs w:val="16"/>
        </w:rPr>
        <w:t xml:space="preserve">Initial petition of </w:t>
      </w:r>
      <w:r w:rsidRPr="00A51861">
        <w:rPr>
          <w:rFonts w:asciiTheme="majorHAnsi" w:hAnsiTheme="majorHAnsi"/>
          <w:color w:val="auto"/>
          <w:sz w:val="16"/>
          <w:szCs w:val="16"/>
        </w:rPr>
        <w:t xml:space="preserve">Julio César Rito de los Santos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72">
    <w:p w14:paraId="0CFE8D47" w14:textId="31D180A6"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7</w:t>
      </w:r>
      <w:r w:rsidRPr="00A51861">
        <w:rPr>
          <w:rFonts w:asciiTheme="majorHAnsi" w:hAnsiTheme="majorHAnsi"/>
          <w:color w:val="auto"/>
          <w:sz w:val="16"/>
          <w:szCs w:val="16"/>
        </w:rPr>
        <w:t xml:space="preserve">. </w:t>
      </w:r>
      <w:r w:rsidR="001A574D">
        <w:rPr>
          <w:rFonts w:asciiTheme="majorHAnsi" w:hAnsiTheme="majorHAnsi"/>
          <w:color w:val="auto"/>
          <w:sz w:val="16"/>
          <w:szCs w:val="16"/>
        </w:rPr>
        <w:t>Brief which claims a new fact before the Supreme Court of Justice</w:t>
      </w:r>
      <w:r w:rsidRPr="00A51861">
        <w:rPr>
          <w:rFonts w:asciiTheme="majorHAnsi" w:hAnsiTheme="majorHAnsi"/>
          <w:color w:val="auto"/>
          <w:sz w:val="16"/>
          <w:szCs w:val="16"/>
        </w:rPr>
        <w:t xml:space="preserve">, </w:t>
      </w:r>
      <w:r w:rsidR="00521E91">
        <w:rPr>
          <w:rFonts w:asciiTheme="majorHAnsi" w:hAnsiTheme="majorHAnsi"/>
          <w:color w:val="auto"/>
          <w:sz w:val="16"/>
          <w:szCs w:val="16"/>
        </w:rPr>
        <w:t>September 16,</w:t>
      </w:r>
      <w:r w:rsidRPr="00A51861">
        <w:rPr>
          <w:rFonts w:asciiTheme="majorHAnsi" w:hAnsiTheme="majorHAnsi"/>
          <w:color w:val="auto"/>
          <w:sz w:val="16"/>
          <w:szCs w:val="16"/>
        </w:rPr>
        <w:t xml:space="preserve"> 2003.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Julio César Rito de los Santos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73">
    <w:p w14:paraId="1C7EA613" w14:textId="4927FE09"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5</w:t>
      </w:r>
      <w:r w:rsidRPr="00A51861">
        <w:rPr>
          <w:rFonts w:asciiTheme="majorHAnsi" w:hAnsiTheme="majorHAnsi"/>
          <w:color w:val="auto"/>
          <w:sz w:val="16"/>
          <w:szCs w:val="16"/>
        </w:rPr>
        <w:t xml:space="preserve">. </w:t>
      </w:r>
      <w:r w:rsidR="00A9213F">
        <w:rPr>
          <w:rFonts w:asciiTheme="majorHAnsi" w:hAnsiTheme="majorHAnsi"/>
          <w:color w:val="auto"/>
          <w:sz w:val="16"/>
          <w:szCs w:val="16"/>
        </w:rPr>
        <w:t xml:space="preserve">Initial petition of </w:t>
      </w:r>
      <w:r w:rsidRPr="00A51861">
        <w:rPr>
          <w:rFonts w:asciiTheme="majorHAnsi" w:hAnsiTheme="majorHAnsi"/>
          <w:color w:val="auto"/>
          <w:sz w:val="16"/>
          <w:szCs w:val="16"/>
        </w:rPr>
        <w:t xml:space="preserve">Julio César Rito de los Santos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74">
    <w:p w14:paraId="41B5F31B" w14:textId="212E8BC9"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39</w:t>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 xml:space="preserve">Resolution </w:t>
      </w:r>
      <w:r w:rsidRPr="00A51861">
        <w:rPr>
          <w:rFonts w:asciiTheme="majorHAnsi" w:hAnsiTheme="majorHAnsi"/>
          <w:color w:val="auto"/>
          <w:sz w:val="16"/>
          <w:szCs w:val="16"/>
        </w:rPr>
        <w:t xml:space="preserve">No. 1184 </w:t>
      </w:r>
      <w:r w:rsidR="00A51861">
        <w:rPr>
          <w:rFonts w:asciiTheme="majorHAnsi" w:hAnsiTheme="majorHAnsi"/>
          <w:color w:val="auto"/>
          <w:sz w:val="16"/>
          <w:szCs w:val="16"/>
        </w:rPr>
        <w:t>of the Ministry of Justice and Human Rights</w:t>
      </w:r>
      <w:r w:rsidRPr="00A51861">
        <w:rPr>
          <w:rFonts w:asciiTheme="majorHAnsi" w:hAnsiTheme="majorHAnsi"/>
          <w:color w:val="auto"/>
          <w:sz w:val="16"/>
          <w:szCs w:val="16"/>
        </w:rPr>
        <w:t xml:space="preserve">, 26 de Julio de 2011. </w:t>
      </w:r>
      <w:r w:rsidR="00A51861" w:rsidRPr="00A51861">
        <w:rPr>
          <w:rFonts w:asciiTheme="majorHAnsi" w:hAnsiTheme="majorHAnsi"/>
          <w:color w:val="auto"/>
          <w:sz w:val="16"/>
          <w:szCs w:val="16"/>
        </w:rPr>
        <w:t>Annexed to the brief</w:t>
      </w:r>
      <w:r w:rsidR="00061928">
        <w:rPr>
          <w:rFonts w:asciiTheme="majorHAnsi" w:hAnsiTheme="majorHAnsi"/>
          <w:color w:val="auto"/>
          <w:sz w:val="16"/>
          <w:szCs w:val="16"/>
        </w:rPr>
        <w:t xml:space="preserve"> of the </w:t>
      </w:r>
      <w:r w:rsidR="00106AEF">
        <w:rPr>
          <w:rFonts w:asciiTheme="majorHAnsi" w:hAnsiTheme="majorHAnsi"/>
          <w:color w:val="auto"/>
          <w:sz w:val="16"/>
          <w:szCs w:val="16"/>
        </w:rPr>
        <w:t>petitioner</w:t>
      </w:r>
      <w:r w:rsidRPr="00A51861">
        <w:rPr>
          <w:rFonts w:asciiTheme="majorHAnsi" w:hAnsiTheme="majorHAnsi"/>
          <w:color w:val="auto"/>
          <w:sz w:val="16"/>
          <w:szCs w:val="16"/>
        </w:rPr>
        <w:t xml:space="preserve"> de Julio César Rito de los Santos </w:t>
      </w:r>
      <w:r w:rsidR="00106AEF">
        <w:rPr>
          <w:rFonts w:asciiTheme="majorHAnsi" w:hAnsiTheme="majorHAnsi"/>
          <w:color w:val="auto"/>
          <w:sz w:val="16"/>
          <w:szCs w:val="16"/>
        </w:rPr>
        <w:t>received on March 20,</w:t>
      </w:r>
      <w:r w:rsidRPr="00A51861">
        <w:rPr>
          <w:rFonts w:asciiTheme="majorHAnsi" w:hAnsiTheme="majorHAnsi"/>
          <w:color w:val="auto"/>
          <w:sz w:val="16"/>
          <w:szCs w:val="16"/>
        </w:rPr>
        <w:t xml:space="preserve"> 2012.</w:t>
      </w:r>
    </w:p>
  </w:footnote>
  <w:footnote w:id="75">
    <w:p w14:paraId="7C3C223B" w14:textId="5C2288DA"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40</w:t>
      </w:r>
      <w:r w:rsidRPr="00A51861">
        <w:rPr>
          <w:rFonts w:asciiTheme="majorHAnsi" w:hAnsiTheme="majorHAnsi"/>
          <w:color w:val="auto"/>
          <w:sz w:val="16"/>
          <w:szCs w:val="16"/>
        </w:rPr>
        <w:t xml:space="preserve">. </w:t>
      </w:r>
      <w:r w:rsidR="000E67CA">
        <w:rPr>
          <w:rFonts w:asciiTheme="majorHAnsi" w:hAnsiTheme="majorHAnsi"/>
          <w:color w:val="auto"/>
          <w:sz w:val="16"/>
          <w:szCs w:val="16"/>
        </w:rPr>
        <w:t>Decision</w:t>
      </w:r>
      <w:r w:rsidR="00061928">
        <w:rPr>
          <w:rFonts w:asciiTheme="majorHAnsi" w:hAnsiTheme="majorHAnsi"/>
          <w:color w:val="auto"/>
          <w:sz w:val="16"/>
          <w:szCs w:val="16"/>
        </w:rPr>
        <w:t xml:space="preserve"> of the </w:t>
      </w:r>
      <w:r w:rsidR="00116313">
        <w:rPr>
          <w:rFonts w:asciiTheme="majorHAnsi" w:hAnsiTheme="majorHAnsi"/>
          <w:color w:val="auto"/>
          <w:sz w:val="16"/>
          <w:szCs w:val="16"/>
        </w:rPr>
        <w:t>National Chamber of Federal Contentious Administrative Appeals</w:t>
      </w:r>
      <w:r w:rsidRPr="00A51861">
        <w:rPr>
          <w:rFonts w:asciiTheme="majorHAnsi" w:hAnsiTheme="majorHAnsi"/>
          <w:color w:val="auto"/>
          <w:sz w:val="16"/>
          <w:szCs w:val="16"/>
        </w:rPr>
        <w:t xml:space="preserve">, </w:t>
      </w:r>
      <w:r w:rsidR="00521E91">
        <w:rPr>
          <w:rFonts w:asciiTheme="majorHAnsi" w:hAnsiTheme="majorHAnsi"/>
          <w:color w:val="auto"/>
          <w:sz w:val="16"/>
          <w:szCs w:val="16"/>
        </w:rPr>
        <w:t>October 9,</w:t>
      </w:r>
      <w:r w:rsidRPr="00A51861">
        <w:rPr>
          <w:rFonts w:asciiTheme="majorHAnsi" w:hAnsiTheme="majorHAnsi"/>
          <w:color w:val="auto"/>
          <w:sz w:val="16"/>
          <w:szCs w:val="16"/>
        </w:rPr>
        <w:t xml:space="preserve"> 2009. </w:t>
      </w:r>
      <w:r w:rsidR="00A51861" w:rsidRPr="00A51861">
        <w:rPr>
          <w:rFonts w:asciiTheme="majorHAnsi" w:hAnsiTheme="majorHAnsi"/>
          <w:color w:val="auto"/>
          <w:sz w:val="16"/>
          <w:szCs w:val="16"/>
        </w:rPr>
        <w:t>Annexed to the brief</w:t>
      </w:r>
      <w:r w:rsidR="00061928">
        <w:rPr>
          <w:rFonts w:asciiTheme="majorHAnsi" w:hAnsiTheme="majorHAnsi"/>
          <w:color w:val="auto"/>
          <w:sz w:val="16"/>
          <w:szCs w:val="16"/>
        </w:rPr>
        <w:t xml:space="preserve"> of the </w:t>
      </w:r>
      <w:r w:rsidR="00106AEF">
        <w:rPr>
          <w:rFonts w:asciiTheme="majorHAnsi" w:hAnsiTheme="majorHAnsi"/>
          <w:color w:val="auto"/>
          <w:sz w:val="16"/>
          <w:szCs w:val="16"/>
        </w:rPr>
        <w:t>petitioner</w:t>
      </w:r>
      <w:r w:rsidRPr="00A51861">
        <w:rPr>
          <w:rFonts w:asciiTheme="majorHAnsi" w:hAnsiTheme="majorHAnsi"/>
          <w:color w:val="auto"/>
          <w:sz w:val="16"/>
          <w:szCs w:val="16"/>
        </w:rPr>
        <w:t xml:space="preserve"> de Julio César Rito de los Santos </w:t>
      </w:r>
      <w:r w:rsidR="00521E91">
        <w:rPr>
          <w:rFonts w:asciiTheme="majorHAnsi" w:hAnsiTheme="majorHAnsi"/>
          <w:color w:val="auto"/>
          <w:sz w:val="16"/>
          <w:szCs w:val="16"/>
        </w:rPr>
        <w:t>received on June 26,</w:t>
      </w:r>
      <w:r w:rsidRPr="00A51861">
        <w:rPr>
          <w:rFonts w:asciiTheme="majorHAnsi" w:hAnsiTheme="majorHAnsi"/>
          <w:color w:val="auto"/>
          <w:sz w:val="16"/>
          <w:szCs w:val="16"/>
        </w:rPr>
        <w:t xml:space="preserve"> 2012. </w:t>
      </w:r>
    </w:p>
  </w:footnote>
  <w:footnote w:id="76">
    <w:p w14:paraId="29FA1FF4" w14:textId="7BAF3273"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521E91">
        <w:rPr>
          <w:rFonts w:asciiTheme="majorHAnsi" w:hAnsiTheme="majorHAnsi"/>
          <w:color w:val="auto"/>
          <w:sz w:val="16"/>
          <w:szCs w:val="16"/>
        </w:rPr>
        <w:t>In the</w:t>
      </w:r>
      <w:r w:rsidRPr="00A51861">
        <w:rPr>
          <w:rFonts w:asciiTheme="majorHAnsi" w:hAnsiTheme="majorHAnsi"/>
          <w:color w:val="auto"/>
          <w:sz w:val="16"/>
          <w:szCs w:val="16"/>
        </w:rPr>
        <w:t xml:space="preserve"> </w:t>
      </w:r>
      <w:r w:rsidR="000E67CA">
        <w:rPr>
          <w:rFonts w:asciiTheme="majorHAnsi" w:hAnsiTheme="majorHAnsi"/>
          <w:color w:val="auto"/>
          <w:sz w:val="16"/>
          <w:szCs w:val="16"/>
        </w:rPr>
        <w:t>decision</w:t>
      </w:r>
      <w:r w:rsidR="00061928">
        <w:rPr>
          <w:rFonts w:asciiTheme="majorHAnsi" w:hAnsiTheme="majorHAnsi"/>
          <w:color w:val="auto"/>
          <w:sz w:val="16"/>
          <w:szCs w:val="16"/>
        </w:rPr>
        <w:t xml:space="preserve"> of the </w:t>
      </w:r>
      <w:r w:rsidR="00521E91">
        <w:rPr>
          <w:rFonts w:asciiTheme="majorHAnsi" w:hAnsiTheme="majorHAnsi"/>
          <w:color w:val="auto"/>
          <w:sz w:val="16"/>
          <w:szCs w:val="16"/>
        </w:rPr>
        <w:t>National Chamber of Appeals</w:t>
      </w:r>
      <w:r w:rsidRPr="00A51861">
        <w:rPr>
          <w:rFonts w:asciiTheme="majorHAnsi" w:hAnsiTheme="majorHAnsi"/>
          <w:color w:val="auto"/>
          <w:sz w:val="16"/>
          <w:szCs w:val="16"/>
        </w:rPr>
        <w:t xml:space="preserve"> </w:t>
      </w:r>
      <w:r w:rsidR="00521E91">
        <w:rPr>
          <w:rFonts w:asciiTheme="majorHAnsi" w:hAnsiTheme="majorHAnsi"/>
          <w:color w:val="auto"/>
          <w:sz w:val="16"/>
          <w:szCs w:val="16"/>
        </w:rPr>
        <w:t xml:space="preserve">which recognized the benefit of the law to </w:t>
      </w:r>
      <w:r w:rsidR="008333FF">
        <w:rPr>
          <w:rFonts w:asciiTheme="majorHAnsi" w:hAnsiTheme="majorHAnsi"/>
          <w:color w:val="auto"/>
          <w:sz w:val="16"/>
          <w:szCs w:val="16"/>
        </w:rPr>
        <w:t>Mrs.</w:t>
      </w:r>
      <w:r w:rsidRPr="00A51861">
        <w:rPr>
          <w:rFonts w:asciiTheme="majorHAnsi" w:hAnsiTheme="majorHAnsi"/>
          <w:color w:val="auto"/>
          <w:sz w:val="16"/>
          <w:szCs w:val="16"/>
        </w:rPr>
        <w:t xml:space="preserve"> Delma Pi, </w:t>
      </w:r>
      <w:r w:rsidR="00521E91">
        <w:rPr>
          <w:rFonts w:asciiTheme="majorHAnsi" w:hAnsiTheme="majorHAnsi"/>
          <w:color w:val="auto"/>
          <w:sz w:val="16"/>
          <w:szCs w:val="16"/>
        </w:rPr>
        <w:t>it was held that according to</w:t>
      </w:r>
      <w:r w:rsidRPr="00A51861">
        <w:rPr>
          <w:rFonts w:asciiTheme="majorHAnsi" w:hAnsiTheme="majorHAnsi"/>
          <w:color w:val="auto"/>
          <w:sz w:val="16"/>
          <w:szCs w:val="16"/>
        </w:rPr>
        <w:t xml:space="preserve"> </w:t>
      </w:r>
      <w:r w:rsidR="00521E91">
        <w:rPr>
          <w:rFonts w:asciiTheme="majorHAnsi" w:hAnsiTheme="majorHAnsi"/>
          <w:color w:val="auto"/>
          <w:sz w:val="16"/>
          <w:szCs w:val="16"/>
        </w:rPr>
        <w:t>the doctrine set by the</w:t>
      </w:r>
      <w:r w:rsidRPr="00A51861">
        <w:rPr>
          <w:rFonts w:asciiTheme="majorHAnsi" w:hAnsiTheme="majorHAnsi"/>
          <w:color w:val="auto"/>
          <w:sz w:val="16"/>
          <w:szCs w:val="16"/>
        </w:rPr>
        <w:t xml:space="preserve"> </w:t>
      </w:r>
      <w:r w:rsidR="00521E91" w:rsidRPr="00A51861">
        <w:rPr>
          <w:rFonts w:asciiTheme="majorHAnsi" w:hAnsiTheme="majorHAnsi"/>
          <w:color w:val="auto"/>
          <w:sz w:val="16"/>
          <w:szCs w:val="16"/>
        </w:rPr>
        <w:t>jurisprudential</w:t>
      </w:r>
      <w:r w:rsidR="00521E91">
        <w:rPr>
          <w:rFonts w:asciiTheme="majorHAnsi" w:hAnsiTheme="majorHAnsi"/>
          <w:color w:val="auto"/>
          <w:sz w:val="16"/>
          <w:szCs w:val="16"/>
        </w:rPr>
        <w:t xml:space="preserve"> </w:t>
      </w:r>
      <w:r w:rsidRPr="00A51861">
        <w:rPr>
          <w:rFonts w:asciiTheme="majorHAnsi" w:hAnsiTheme="majorHAnsi"/>
          <w:color w:val="auto"/>
          <w:sz w:val="16"/>
          <w:szCs w:val="16"/>
        </w:rPr>
        <w:t xml:space="preserve">precedents </w:t>
      </w:r>
      <w:r w:rsidR="00061928">
        <w:rPr>
          <w:rFonts w:asciiTheme="majorHAnsi" w:hAnsiTheme="majorHAnsi"/>
          <w:color w:val="auto"/>
          <w:sz w:val="16"/>
          <w:szCs w:val="16"/>
        </w:rPr>
        <w:t xml:space="preserve">of the </w:t>
      </w:r>
      <w:r w:rsidR="00521E91">
        <w:rPr>
          <w:rFonts w:asciiTheme="majorHAnsi" w:hAnsiTheme="majorHAnsi"/>
          <w:color w:val="auto"/>
          <w:sz w:val="16"/>
          <w:szCs w:val="16"/>
        </w:rPr>
        <w:t>Supreme Court</w:t>
      </w:r>
      <w:r w:rsidRPr="00A51861">
        <w:rPr>
          <w:rFonts w:asciiTheme="majorHAnsi" w:hAnsiTheme="majorHAnsi"/>
          <w:color w:val="auto"/>
          <w:sz w:val="16"/>
          <w:szCs w:val="16"/>
        </w:rPr>
        <w:t xml:space="preserve">, </w:t>
      </w:r>
      <w:r w:rsidR="00521E91">
        <w:rPr>
          <w:rFonts w:asciiTheme="majorHAnsi" w:hAnsiTheme="majorHAnsi"/>
          <w:color w:val="auto"/>
          <w:sz w:val="16"/>
          <w:szCs w:val="16"/>
        </w:rPr>
        <w:t>the</w:t>
      </w:r>
      <w:r w:rsidRPr="00A51861">
        <w:rPr>
          <w:rFonts w:asciiTheme="majorHAnsi" w:hAnsiTheme="majorHAnsi"/>
          <w:color w:val="auto"/>
          <w:sz w:val="16"/>
          <w:szCs w:val="16"/>
        </w:rPr>
        <w:t xml:space="preserve"> </w:t>
      </w:r>
      <w:r w:rsidR="00F86E9F">
        <w:rPr>
          <w:rFonts w:asciiTheme="majorHAnsi" w:hAnsiTheme="majorHAnsi"/>
          <w:color w:val="auto"/>
          <w:sz w:val="16"/>
          <w:szCs w:val="16"/>
        </w:rPr>
        <w:t>Certificate</w:t>
      </w:r>
      <w:r w:rsidR="00061928">
        <w:rPr>
          <w:rFonts w:asciiTheme="majorHAnsi" w:hAnsiTheme="majorHAnsi"/>
          <w:color w:val="auto"/>
          <w:sz w:val="16"/>
          <w:szCs w:val="16"/>
        </w:rPr>
        <w:t xml:space="preserve"> of the</w:t>
      </w:r>
      <w:r w:rsidR="00934FDF">
        <w:rPr>
          <w:rFonts w:asciiTheme="majorHAnsi" w:hAnsiTheme="majorHAnsi"/>
          <w:color w:val="auto"/>
          <w:sz w:val="16"/>
          <w:szCs w:val="16"/>
        </w:rPr>
        <w:t xml:space="preserve"> HCUNR </w:t>
      </w:r>
      <w:r w:rsidR="00521E91">
        <w:rPr>
          <w:rFonts w:asciiTheme="majorHAnsi" w:hAnsiTheme="majorHAnsi"/>
          <w:color w:val="auto"/>
          <w:sz w:val="16"/>
          <w:szCs w:val="16"/>
        </w:rPr>
        <w:t xml:space="preserve">was not enough proof of </w:t>
      </w:r>
      <w:r w:rsidR="00061928">
        <w:rPr>
          <w:rFonts w:asciiTheme="majorHAnsi" w:hAnsiTheme="majorHAnsi"/>
          <w:color w:val="auto"/>
          <w:sz w:val="16"/>
          <w:szCs w:val="16"/>
        </w:rPr>
        <w:t xml:space="preserve">the </w:t>
      </w:r>
      <w:r w:rsidRPr="00A51861">
        <w:rPr>
          <w:rFonts w:asciiTheme="majorHAnsi" w:hAnsiTheme="majorHAnsi"/>
          <w:color w:val="auto"/>
          <w:sz w:val="16"/>
          <w:szCs w:val="16"/>
        </w:rPr>
        <w:t>permanenc</w:t>
      </w:r>
      <w:r w:rsidR="00026BBF">
        <w:rPr>
          <w:rFonts w:asciiTheme="majorHAnsi" w:hAnsiTheme="majorHAnsi"/>
          <w:color w:val="auto"/>
          <w:sz w:val="16"/>
          <w:szCs w:val="16"/>
        </w:rPr>
        <w:t xml:space="preserve">e </w:t>
      </w:r>
      <w:r w:rsidR="00061928">
        <w:rPr>
          <w:rFonts w:asciiTheme="majorHAnsi" w:hAnsiTheme="majorHAnsi"/>
          <w:color w:val="auto"/>
          <w:sz w:val="16"/>
          <w:szCs w:val="16"/>
        </w:rPr>
        <w:t xml:space="preserve">of the </w:t>
      </w:r>
      <w:r w:rsidRPr="00A51861">
        <w:rPr>
          <w:rFonts w:asciiTheme="majorHAnsi" w:hAnsiTheme="majorHAnsi"/>
          <w:color w:val="auto"/>
          <w:sz w:val="16"/>
          <w:szCs w:val="16"/>
        </w:rPr>
        <w:t xml:space="preserve">actor </w:t>
      </w:r>
      <w:r w:rsidR="00026BBF">
        <w:rPr>
          <w:rFonts w:asciiTheme="majorHAnsi" w:hAnsiTheme="majorHAnsi"/>
          <w:color w:val="auto"/>
          <w:sz w:val="16"/>
          <w:szCs w:val="16"/>
        </w:rPr>
        <w:t>out of the country in the time period foreseen by the regime of</w:t>
      </w:r>
      <w:r w:rsidR="00061928">
        <w:rPr>
          <w:rFonts w:asciiTheme="majorHAnsi" w:hAnsiTheme="majorHAnsi"/>
          <w:color w:val="auto"/>
          <w:sz w:val="16"/>
          <w:szCs w:val="16"/>
        </w:rPr>
        <w:t xml:space="preserve"> </w:t>
      </w:r>
      <w:r w:rsidR="00026BBF">
        <w:rPr>
          <w:rFonts w:asciiTheme="majorHAnsi" w:hAnsiTheme="majorHAnsi"/>
          <w:color w:val="auto"/>
          <w:sz w:val="16"/>
          <w:szCs w:val="16"/>
        </w:rPr>
        <w:t>Law 24.043</w:t>
      </w:r>
      <w:r w:rsidRPr="00A51861">
        <w:rPr>
          <w:rFonts w:asciiTheme="majorHAnsi" w:hAnsiTheme="majorHAnsi"/>
          <w:color w:val="auto"/>
          <w:sz w:val="16"/>
          <w:szCs w:val="16"/>
        </w:rPr>
        <w:t xml:space="preserve"> </w:t>
      </w:r>
      <w:r w:rsidR="00026BBF">
        <w:rPr>
          <w:rFonts w:asciiTheme="majorHAnsi" w:hAnsiTheme="majorHAnsi"/>
          <w:color w:val="auto"/>
          <w:sz w:val="16"/>
          <w:szCs w:val="16"/>
        </w:rPr>
        <w:t>for the merely declarative nature of said instrument</w:t>
      </w:r>
      <w:r w:rsidRPr="00A51861">
        <w:rPr>
          <w:rFonts w:asciiTheme="majorHAnsi" w:hAnsiTheme="majorHAnsi"/>
          <w:color w:val="auto"/>
          <w:sz w:val="16"/>
          <w:szCs w:val="16"/>
        </w:rPr>
        <w:t xml:space="preserve">, </w:t>
      </w:r>
      <w:r w:rsidR="00026BBF">
        <w:rPr>
          <w:rFonts w:asciiTheme="majorHAnsi" w:hAnsiTheme="majorHAnsi"/>
          <w:color w:val="auto"/>
          <w:sz w:val="16"/>
          <w:szCs w:val="16"/>
        </w:rPr>
        <w:t>which does not allow to corroborate whether the exile</w:t>
      </w:r>
      <w:r w:rsidRPr="00A51861">
        <w:rPr>
          <w:rFonts w:asciiTheme="majorHAnsi" w:hAnsiTheme="majorHAnsi"/>
          <w:color w:val="auto"/>
          <w:sz w:val="16"/>
          <w:szCs w:val="16"/>
        </w:rPr>
        <w:t xml:space="preserve"> </w:t>
      </w:r>
      <w:r w:rsidR="00026BBF">
        <w:rPr>
          <w:rFonts w:asciiTheme="majorHAnsi" w:hAnsiTheme="majorHAnsi"/>
          <w:color w:val="auto"/>
          <w:sz w:val="16"/>
          <w:szCs w:val="16"/>
        </w:rPr>
        <w:t>was produced before or after</w:t>
      </w:r>
      <w:r w:rsidRPr="00A51861">
        <w:rPr>
          <w:rFonts w:asciiTheme="majorHAnsi" w:hAnsiTheme="majorHAnsi"/>
          <w:color w:val="auto"/>
          <w:sz w:val="16"/>
          <w:szCs w:val="16"/>
        </w:rPr>
        <w:t xml:space="preserve"> </w:t>
      </w:r>
      <w:r w:rsidR="00026BBF">
        <w:rPr>
          <w:rFonts w:asciiTheme="majorHAnsi" w:hAnsiTheme="majorHAnsi"/>
          <w:color w:val="auto"/>
          <w:sz w:val="16"/>
          <w:szCs w:val="16"/>
        </w:rPr>
        <w:t>the term set forth in the law</w:t>
      </w:r>
      <w:r w:rsidRPr="00A51861">
        <w:rPr>
          <w:rFonts w:asciiTheme="majorHAnsi" w:hAnsiTheme="majorHAnsi"/>
          <w:color w:val="auto"/>
          <w:sz w:val="16"/>
          <w:szCs w:val="16"/>
        </w:rPr>
        <w:t xml:space="preserve">. </w:t>
      </w:r>
      <w:r w:rsidR="00026BBF">
        <w:rPr>
          <w:rFonts w:asciiTheme="majorHAnsi" w:hAnsiTheme="majorHAnsi"/>
          <w:color w:val="auto"/>
          <w:sz w:val="16"/>
          <w:szCs w:val="16"/>
        </w:rPr>
        <w:t>However</w:t>
      </w:r>
      <w:r w:rsidRPr="00A51861">
        <w:rPr>
          <w:rFonts w:asciiTheme="majorHAnsi" w:hAnsiTheme="majorHAnsi"/>
          <w:color w:val="auto"/>
          <w:sz w:val="16"/>
          <w:szCs w:val="16"/>
        </w:rPr>
        <w:t xml:space="preserve">, </w:t>
      </w:r>
      <w:r w:rsidR="00026BBF">
        <w:rPr>
          <w:rFonts w:asciiTheme="majorHAnsi" w:hAnsiTheme="majorHAnsi"/>
          <w:color w:val="auto"/>
          <w:sz w:val="16"/>
          <w:szCs w:val="16"/>
        </w:rPr>
        <w:t>it was held that in this case there was confirmation of</w:t>
      </w:r>
      <w:r w:rsidRPr="00A51861">
        <w:rPr>
          <w:rFonts w:asciiTheme="majorHAnsi" w:hAnsiTheme="majorHAnsi"/>
          <w:color w:val="auto"/>
          <w:sz w:val="16"/>
          <w:szCs w:val="16"/>
        </w:rPr>
        <w:t xml:space="preserve">: </w:t>
      </w:r>
      <w:r w:rsidR="00026BBF">
        <w:rPr>
          <w:rFonts w:asciiTheme="majorHAnsi" w:hAnsiTheme="majorHAnsi"/>
          <w:color w:val="auto"/>
          <w:sz w:val="16"/>
          <w:szCs w:val="16"/>
        </w:rPr>
        <w:t>the</w:t>
      </w:r>
      <w:r w:rsidRPr="00A51861">
        <w:rPr>
          <w:rFonts w:asciiTheme="majorHAnsi" w:hAnsiTheme="majorHAnsi"/>
          <w:color w:val="auto"/>
          <w:sz w:val="16"/>
          <w:szCs w:val="16"/>
        </w:rPr>
        <w:t xml:space="preserve"> </w:t>
      </w:r>
      <w:r w:rsidR="00026BBF" w:rsidRPr="00A51861">
        <w:rPr>
          <w:rFonts w:asciiTheme="majorHAnsi" w:hAnsiTheme="majorHAnsi"/>
          <w:color w:val="auto"/>
          <w:sz w:val="16"/>
          <w:szCs w:val="16"/>
        </w:rPr>
        <w:t>obtention</w:t>
      </w:r>
      <w:r w:rsidR="00061928">
        <w:rPr>
          <w:rFonts w:asciiTheme="majorHAnsi" w:hAnsiTheme="majorHAnsi"/>
          <w:color w:val="auto"/>
          <w:sz w:val="16"/>
          <w:szCs w:val="16"/>
        </w:rPr>
        <w:t xml:space="preserve"> of the </w:t>
      </w:r>
      <w:r w:rsidRPr="00A51861">
        <w:rPr>
          <w:rFonts w:asciiTheme="majorHAnsi" w:hAnsiTheme="majorHAnsi"/>
          <w:color w:val="auto"/>
          <w:sz w:val="16"/>
          <w:szCs w:val="16"/>
        </w:rPr>
        <w:t>residenc</w:t>
      </w:r>
      <w:r w:rsidR="00026BBF">
        <w:rPr>
          <w:rFonts w:asciiTheme="majorHAnsi" w:hAnsiTheme="majorHAnsi"/>
          <w:color w:val="auto"/>
          <w:sz w:val="16"/>
          <w:szCs w:val="16"/>
        </w:rPr>
        <w:t>y</w:t>
      </w:r>
      <w:r w:rsidRPr="00A51861">
        <w:rPr>
          <w:rFonts w:asciiTheme="majorHAnsi" w:hAnsiTheme="majorHAnsi"/>
          <w:color w:val="auto"/>
          <w:sz w:val="16"/>
          <w:szCs w:val="16"/>
        </w:rPr>
        <w:t xml:space="preserve"> </w:t>
      </w:r>
      <w:r w:rsidR="00026BBF">
        <w:rPr>
          <w:rFonts w:asciiTheme="majorHAnsi" w:hAnsiTheme="majorHAnsi"/>
          <w:color w:val="auto"/>
          <w:sz w:val="16"/>
          <w:szCs w:val="16"/>
        </w:rPr>
        <w:t>of her husband</w:t>
      </w:r>
      <w:r w:rsidRPr="00A51861">
        <w:rPr>
          <w:rFonts w:asciiTheme="majorHAnsi" w:hAnsiTheme="majorHAnsi"/>
          <w:color w:val="auto"/>
          <w:sz w:val="16"/>
          <w:szCs w:val="16"/>
        </w:rPr>
        <w:t xml:space="preserve"> –Rito de los Santos-; </w:t>
      </w:r>
      <w:r w:rsidR="00026BBF">
        <w:rPr>
          <w:rFonts w:asciiTheme="majorHAnsi" w:hAnsiTheme="majorHAnsi"/>
          <w:color w:val="auto"/>
          <w:sz w:val="16"/>
          <w:szCs w:val="16"/>
        </w:rPr>
        <w:t>the safe-guard pass</w:t>
      </w:r>
      <w:r w:rsidRPr="00A51861">
        <w:rPr>
          <w:rFonts w:asciiTheme="majorHAnsi" w:hAnsiTheme="majorHAnsi"/>
          <w:color w:val="auto"/>
          <w:sz w:val="16"/>
          <w:szCs w:val="16"/>
        </w:rPr>
        <w:t xml:space="preserve"> </w:t>
      </w:r>
      <w:r w:rsidR="00026BBF">
        <w:rPr>
          <w:rFonts w:asciiTheme="majorHAnsi" w:hAnsiTheme="majorHAnsi"/>
          <w:color w:val="auto"/>
          <w:sz w:val="16"/>
          <w:szCs w:val="16"/>
        </w:rPr>
        <w:t>obtained to leave the country for political causes</w:t>
      </w:r>
      <w:r w:rsidRPr="00A51861">
        <w:rPr>
          <w:rFonts w:asciiTheme="majorHAnsi" w:hAnsiTheme="majorHAnsi"/>
          <w:color w:val="auto"/>
          <w:sz w:val="16"/>
          <w:szCs w:val="16"/>
        </w:rPr>
        <w:t xml:space="preserve">; </w:t>
      </w:r>
      <w:r w:rsidR="00CB67C7">
        <w:rPr>
          <w:rFonts w:asciiTheme="majorHAnsi" w:hAnsiTheme="majorHAnsi"/>
          <w:color w:val="auto"/>
          <w:sz w:val="16"/>
          <w:szCs w:val="16"/>
        </w:rPr>
        <w:t>the record</w:t>
      </w:r>
      <w:r w:rsidR="00061928">
        <w:rPr>
          <w:rFonts w:asciiTheme="majorHAnsi" w:hAnsiTheme="majorHAnsi"/>
          <w:color w:val="auto"/>
          <w:sz w:val="16"/>
          <w:szCs w:val="16"/>
        </w:rPr>
        <w:t xml:space="preserve"> of the </w:t>
      </w:r>
      <w:r w:rsidR="00CB67C7" w:rsidRPr="00A51861">
        <w:rPr>
          <w:rFonts w:asciiTheme="majorHAnsi" w:hAnsiTheme="majorHAnsi"/>
          <w:color w:val="auto"/>
          <w:sz w:val="16"/>
          <w:szCs w:val="16"/>
        </w:rPr>
        <w:t>detention</w:t>
      </w:r>
      <w:r w:rsidRPr="00A51861">
        <w:rPr>
          <w:rFonts w:asciiTheme="majorHAnsi" w:hAnsiTheme="majorHAnsi"/>
          <w:color w:val="auto"/>
          <w:sz w:val="16"/>
          <w:szCs w:val="16"/>
        </w:rPr>
        <w:t xml:space="preserve"> </w:t>
      </w:r>
      <w:r w:rsidR="00C91385">
        <w:rPr>
          <w:rFonts w:asciiTheme="majorHAnsi" w:hAnsiTheme="majorHAnsi"/>
          <w:color w:val="auto"/>
          <w:sz w:val="16"/>
          <w:szCs w:val="16"/>
        </w:rPr>
        <w:t>for</w:t>
      </w:r>
      <w:r w:rsidRPr="00A51861">
        <w:rPr>
          <w:rFonts w:asciiTheme="majorHAnsi" w:hAnsiTheme="majorHAnsi"/>
          <w:color w:val="auto"/>
          <w:sz w:val="16"/>
          <w:szCs w:val="16"/>
        </w:rPr>
        <w:t xml:space="preserve"> </w:t>
      </w:r>
      <w:r w:rsidR="00CB67C7">
        <w:rPr>
          <w:rFonts w:asciiTheme="majorHAnsi" w:hAnsiTheme="majorHAnsi"/>
          <w:color w:val="auto"/>
          <w:sz w:val="16"/>
          <w:szCs w:val="16"/>
        </w:rPr>
        <w:t>infringement</w:t>
      </w:r>
      <w:r w:rsidRPr="00A51861">
        <w:rPr>
          <w:rFonts w:asciiTheme="majorHAnsi" w:hAnsiTheme="majorHAnsi"/>
          <w:color w:val="auto"/>
          <w:sz w:val="16"/>
          <w:szCs w:val="16"/>
        </w:rPr>
        <w:t xml:space="preserve"> </w:t>
      </w:r>
      <w:r w:rsidR="00CB67C7">
        <w:rPr>
          <w:rFonts w:asciiTheme="majorHAnsi" w:hAnsiTheme="majorHAnsi"/>
          <w:color w:val="auto"/>
          <w:sz w:val="16"/>
          <w:szCs w:val="16"/>
        </w:rPr>
        <w:t>of</w:t>
      </w:r>
      <w:r w:rsidRPr="00A51861">
        <w:rPr>
          <w:rFonts w:asciiTheme="majorHAnsi" w:hAnsiTheme="majorHAnsi"/>
          <w:color w:val="auto"/>
          <w:sz w:val="16"/>
          <w:szCs w:val="16"/>
        </w:rPr>
        <w:t xml:space="preserve"> </w:t>
      </w:r>
      <w:r w:rsidR="00CA5959">
        <w:rPr>
          <w:rFonts w:asciiTheme="majorHAnsi" w:hAnsiTheme="majorHAnsi"/>
          <w:color w:val="auto"/>
          <w:sz w:val="16"/>
          <w:szCs w:val="16"/>
        </w:rPr>
        <w:t xml:space="preserve">a </w:t>
      </w:r>
      <w:r w:rsidR="00CB67C7">
        <w:rPr>
          <w:rFonts w:asciiTheme="majorHAnsi" w:hAnsiTheme="majorHAnsi"/>
          <w:color w:val="auto"/>
          <w:sz w:val="16"/>
          <w:szCs w:val="16"/>
        </w:rPr>
        <w:t xml:space="preserve">police </w:t>
      </w:r>
      <w:r w:rsidR="00280367">
        <w:rPr>
          <w:rFonts w:asciiTheme="majorHAnsi" w:hAnsiTheme="majorHAnsi"/>
          <w:color w:val="auto"/>
          <w:sz w:val="16"/>
          <w:szCs w:val="16"/>
        </w:rPr>
        <w:t>decree</w:t>
      </w:r>
      <w:r w:rsidRPr="00A51861">
        <w:rPr>
          <w:rFonts w:asciiTheme="majorHAnsi" w:hAnsiTheme="majorHAnsi"/>
          <w:color w:val="auto"/>
          <w:sz w:val="16"/>
          <w:szCs w:val="16"/>
        </w:rPr>
        <w:t xml:space="preserve"> </w:t>
      </w:r>
      <w:r w:rsidR="00CB67C7">
        <w:rPr>
          <w:rFonts w:asciiTheme="majorHAnsi" w:hAnsiTheme="majorHAnsi"/>
          <w:color w:val="auto"/>
          <w:sz w:val="16"/>
          <w:szCs w:val="16"/>
        </w:rPr>
        <w:t xml:space="preserve">concerning </w:t>
      </w:r>
      <w:r w:rsidR="00C91385">
        <w:rPr>
          <w:rFonts w:asciiTheme="majorHAnsi" w:hAnsiTheme="majorHAnsi"/>
          <w:color w:val="auto"/>
          <w:sz w:val="16"/>
          <w:szCs w:val="16"/>
        </w:rPr>
        <w:t xml:space="preserve">public assemblies </w:t>
      </w:r>
      <w:r w:rsidR="00CB67C7">
        <w:rPr>
          <w:rFonts w:asciiTheme="majorHAnsi" w:hAnsiTheme="majorHAnsi"/>
          <w:color w:val="auto"/>
          <w:sz w:val="16"/>
          <w:szCs w:val="16"/>
        </w:rPr>
        <w:t>which the claimant suffered</w:t>
      </w:r>
      <w:r w:rsidRPr="00A51861">
        <w:rPr>
          <w:rFonts w:asciiTheme="majorHAnsi" w:hAnsiTheme="majorHAnsi"/>
          <w:color w:val="auto"/>
          <w:sz w:val="16"/>
          <w:szCs w:val="16"/>
        </w:rPr>
        <w:t xml:space="preserve">, </w:t>
      </w:r>
      <w:r w:rsidR="00CB67C7">
        <w:rPr>
          <w:rFonts w:asciiTheme="majorHAnsi" w:hAnsiTheme="majorHAnsi"/>
          <w:color w:val="auto"/>
          <w:sz w:val="16"/>
          <w:szCs w:val="16"/>
        </w:rPr>
        <w:t>issued by the</w:t>
      </w:r>
      <w:r w:rsidRPr="00A51861">
        <w:rPr>
          <w:rFonts w:asciiTheme="majorHAnsi" w:hAnsiTheme="majorHAnsi"/>
          <w:color w:val="auto"/>
          <w:sz w:val="16"/>
          <w:szCs w:val="16"/>
        </w:rPr>
        <w:t xml:space="preserve"> </w:t>
      </w:r>
      <w:r w:rsidR="00CB67C7">
        <w:rPr>
          <w:rFonts w:asciiTheme="majorHAnsi" w:hAnsiTheme="majorHAnsi"/>
          <w:color w:val="auto"/>
          <w:sz w:val="16"/>
          <w:szCs w:val="16"/>
        </w:rPr>
        <w:t>Migration Control Area</w:t>
      </w:r>
      <w:r w:rsidR="00061928">
        <w:rPr>
          <w:rFonts w:asciiTheme="majorHAnsi" w:hAnsiTheme="majorHAnsi"/>
          <w:color w:val="auto"/>
          <w:sz w:val="16"/>
          <w:szCs w:val="16"/>
        </w:rPr>
        <w:t xml:space="preserve"> of the </w:t>
      </w:r>
      <w:r w:rsidR="008E2F10">
        <w:rPr>
          <w:rFonts w:asciiTheme="majorHAnsi" w:hAnsiTheme="majorHAnsi"/>
          <w:color w:val="auto"/>
          <w:sz w:val="16"/>
          <w:szCs w:val="16"/>
        </w:rPr>
        <w:t>NDM</w:t>
      </w:r>
      <w:r w:rsidRPr="00A51861">
        <w:rPr>
          <w:rFonts w:asciiTheme="majorHAnsi" w:hAnsiTheme="majorHAnsi"/>
          <w:color w:val="auto"/>
          <w:sz w:val="16"/>
          <w:szCs w:val="16"/>
        </w:rPr>
        <w:t xml:space="preserve">; </w:t>
      </w:r>
      <w:r w:rsidR="00CB67C7">
        <w:rPr>
          <w:rFonts w:asciiTheme="majorHAnsi" w:hAnsiTheme="majorHAnsi"/>
          <w:color w:val="auto"/>
          <w:sz w:val="16"/>
          <w:szCs w:val="16"/>
        </w:rPr>
        <w:t>the</w:t>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Resolution</w:t>
      </w:r>
      <w:r w:rsidR="00061928">
        <w:rPr>
          <w:rFonts w:asciiTheme="majorHAnsi" w:hAnsiTheme="majorHAnsi"/>
          <w:color w:val="auto"/>
          <w:sz w:val="16"/>
          <w:szCs w:val="16"/>
        </w:rPr>
        <w:t xml:space="preserve"> of the</w:t>
      </w:r>
      <w:r w:rsidR="00185E46">
        <w:rPr>
          <w:rFonts w:asciiTheme="majorHAnsi" w:hAnsiTheme="majorHAnsi"/>
          <w:color w:val="auto"/>
          <w:sz w:val="16"/>
          <w:szCs w:val="16"/>
        </w:rPr>
        <w:t xml:space="preserve"> NDM </w:t>
      </w:r>
      <w:r w:rsidR="00CB67C7">
        <w:rPr>
          <w:rFonts w:asciiTheme="majorHAnsi" w:hAnsiTheme="majorHAnsi"/>
          <w:color w:val="auto"/>
          <w:sz w:val="16"/>
          <w:szCs w:val="16"/>
        </w:rPr>
        <w:t>which declared her permanence in the country as illegal</w:t>
      </w:r>
      <w:r w:rsidRPr="00A51861">
        <w:rPr>
          <w:rFonts w:asciiTheme="majorHAnsi" w:hAnsiTheme="majorHAnsi"/>
          <w:color w:val="auto"/>
          <w:sz w:val="16"/>
          <w:szCs w:val="16"/>
        </w:rPr>
        <w:t xml:space="preserve">, </w:t>
      </w:r>
      <w:r w:rsidR="00CB67C7">
        <w:rPr>
          <w:rFonts w:asciiTheme="majorHAnsi" w:hAnsiTheme="majorHAnsi"/>
          <w:color w:val="auto"/>
          <w:sz w:val="16"/>
          <w:szCs w:val="16"/>
        </w:rPr>
        <w:t xml:space="preserve">her </w:t>
      </w:r>
      <w:r w:rsidR="00CB67C7" w:rsidRPr="00A51861">
        <w:rPr>
          <w:rFonts w:asciiTheme="majorHAnsi" w:hAnsiTheme="majorHAnsi"/>
          <w:color w:val="auto"/>
          <w:sz w:val="16"/>
          <w:szCs w:val="16"/>
        </w:rPr>
        <w:t>expulsion</w:t>
      </w:r>
      <w:r w:rsidR="00CB67C7">
        <w:rPr>
          <w:rFonts w:asciiTheme="majorHAnsi" w:hAnsiTheme="majorHAnsi"/>
          <w:color w:val="auto"/>
          <w:sz w:val="16"/>
          <w:szCs w:val="16"/>
        </w:rPr>
        <w:t xml:space="preserve"> was ordered as the</w:t>
      </w:r>
      <w:r w:rsidRPr="00A51861">
        <w:rPr>
          <w:rFonts w:asciiTheme="majorHAnsi" w:hAnsiTheme="majorHAnsi"/>
          <w:color w:val="auto"/>
          <w:sz w:val="16"/>
          <w:szCs w:val="16"/>
        </w:rPr>
        <w:t xml:space="preserve"> </w:t>
      </w:r>
      <w:r w:rsidR="00CB67C7" w:rsidRPr="00A51861">
        <w:rPr>
          <w:rFonts w:asciiTheme="majorHAnsi" w:hAnsiTheme="majorHAnsi"/>
          <w:color w:val="auto"/>
          <w:sz w:val="16"/>
          <w:szCs w:val="16"/>
        </w:rPr>
        <w:t>prohibition</w:t>
      </w:r>
      <w:r w:rsidRPr="00A51861">
        <w:rPr>
          <w:rFonts w:asciiTheme="majorHAnsi" w:hAnsiTheme="majorHAnsi"/>
          <w:color w:val="auto"/>
          <w:sz w:val="16"/>
          <w:szCs w:val="16"/>
        </w:rPr>
        <w:t xml:space="preserve"> </w:t>
      </w:r>
      <w:r w:rsidR="00CB67C7">
        <w:rPr>
          <w:rFonts w:asciiTheme="majorHAnsi" w:hAnsiTheme="majorHAnsi"/>
          <w:color w:val="auto"/>
          <w:sz w:val="16"/>
          <w:szCs w:val="16"/>
        </w:rPr>
        <w:t>to re-enter</w:t>
      </w:r>
      <w:r w:rsidRPr="00A51861">
        <w:rPr>
          <w:rFonts w:asciiTheme="majorHAnsi" w:hAnsiTheme="majorHAnsi"/>
          <w:color w:val="auto"/>
          <w:sz w:val="16"/>
          <w:szCs w:val="16"/>
        </w:rPr>
        <w:t xml:space="preserve">; </w:t>
      </w:r>
      <w:r w:rsidR="00CB67C7">
        <w:rPr>
          <w:rFonts w:asciiTheme="majorHAnsi" w:hAnsiTheme="majorHAnsi"/>
          <w:color w:val="auto"/>
          <w:sz w:val="16"/>
          <w:szCs w:val="16"/>
        </w:rPr>
        <w:t>and the record</w:t>
      </w:r>
      <w:r w:rsidR="00061928">
        <w:rPr>
          <w:rFonts w:asciiTheme="majorHAnsi" w:hAnsiTheme="majorHAnsi"/>
          <w:color w:val="auto"/>
          <w:sz w:val="16"/>
          <w:szCs w:val="16"/>
        </w:rPr>
        <w:t xml:space="preserve"> of the </w:t>
      </w:r>
      <w:r w:rsidRPr="00A51861">
        <w:rPr>
          <w:rFonts w:asciiTheme="majorHAnsi" w:hAnsiTheme="majorHAnsi"/>
          <w:color w:val="auto"/>
          <w:sz w:val="16"/>
          <w:szCs w:val="16"/>
        </w:rPr>
        <w:t xml:space="preserve">SIDE </w:t>
      </w:r>
      <w:r w:rsidR="00CB67C7">
        <w:rPr>
          <w:rFonts w:asciiTheme="majorHAnsi" w:hAnsiTheme="majorHAnsi"/>
          <w:color w:val="auto"/>
          <w:sz w:val="16"/>
          <w:szCs w:val="16"/>
        </w:rPr>
        <w:t>of the unfavorable background of the claimant</w:t>
      </w:r>
      <w:r w:rsidRPr="00A51861">
        <w:rPr>
          <w:rFonts w:asciiTheme="majorHAnsi" w:hAnsiTheme="majorHAnsi"/>
          <w:color w:val="auto"/>
          <w:sz w:val="16"/>
          <w:szCs w:val="16"/>
        </w:rPr>
        <w:t xml:space="preserve">. </w:t>
      </w:r>
      <w:r w:rsidR="00CB67C7">
        <w:rPr>
          <w:rFonts w:asciiTheme="majorHAnsi" w:hAnsiTheme="majorHAnsi"/>
          <w:color w:val="auto"/>
          <w:sz w:val="16"/>
          <w:szCs w:val="16"/>
        </w:rPr>
        <w:t>There is likewise corroboration of the</w:t>
      </w:r>
      <w:r w:rsidRPr="00A51861">
        <w:rPr>
          <w:rFonts w:asciiTheme="majorHAnsi" w:hAnsiTheme="majorHAnsi"/>
          <w:color w:val="auto"/>
          <w:sz w:val="16"/>
          <w:szCs w:val="16"/>
        </w:rPr>
        <w:t xml:space="preserve"> </w:t>
      </w:r>
      <w:r w:rsidR="00CB67C7" w:rsidRPr="00A51861">
        <w:rPr>
          <w:rFonts w:asciiTheme="majorHAnsi" w:hAnsiTheme="majorHAnsi"/>
          <w:color w:val="auto"/>
          <w:sz w:val="16"/>
          <w:szCs w:val="16"/>
        </w:rPr>
        <w:t>detention</w:t>
      </w:r>
      <w:r w:rsidRPr="00A51861">
        <w:rPr>
          <w:rFonts w:asciiTheme="majorHAnsi" w:hAnsiTheme="majorHAnsi"/>
          <w:color w:val="auto"/>
          <w:sz w:val="16"/>
          <w:szCs w:val="16"/>
        </w:rPr>
        <w:t xml:space="preserve"> </w:t>
      </w:r>
      <w:r w:rsidR="00CB67C7">
        <w:rPr>
          <w:rFonts w:asciiTheme="majorHAnsi" w:hAnsiTheme="majorHAnsi"/>
          <w:color w:val="auto"/>
          <w:sz w:val="16"/>
          <w:szCs w:val="16"/>
        </w:rPr>
        <w:t>narrated by the claimant in the</w:t>
      </w:r>
      <w:r w:rsidRPr="00A51861">
        <w:rPr>
          <w:rFonts w:asciiTheme="majorHAnsi" w:hAnsiTheme="majorHAnsi"/>
          <w:color w:val="auto"/>
          <w:sz w:val="16"/>
          <w:szCs w:val="16"/>
        </w:rPr>
        <w:t xml:space="preserve"> </w:t>
      </w:r>
      <w:r w:rsidR="00F86E9F">
        <w:rPr>
          <w:rFonts w:asciiTheme="majorHAnsi" w:hAnsiTheme="majorHAnsi"/>
          <w:color w:val="auto"/>
          <w:sz w:val="16"/>
          <w:szCs w:val="16"/>
        </w:rPr>
        <w:t>Certificate</w:t>
      </w:r>
      <w:r w:rsidRPr="00A51861">
        <w:rPr>
          <w:rFonts w:asciiTheme="majorHAnsi" w:hAnsiTheme="majorHAnsi"/>
          <w:color w:val="auto"/>
          <w:sz w:val="16"/>
          <w:szCs w:val="16"/>
        </w:rPr>
        <w:t xml:space="preserve"> </w:t>
      </w:r>
      <w:r w:rsidR="00CB67C7">
        <w:rPr>
          <w:rFonts w:asciiTheme="majorHAnsi" w:hAnsiTheme="majorHAnsi"/>
          <w:color w:val="auto"/>
          <w:sz w:val="16"/>
          <w:szCs w:val="16"/>
        </w:rPr>
        <w:t>from the</w:t>
      </w:r>
      <w:r w:rsidRPr="00A51861">
        <w:rPr>
          <w:rFonts w:asciiTheme="majorHAnsi" w:hAnsiTheme="majorHAnsi"/>
          <w:color w:val="auto"/>
          <w:sz w:val="16"/>
          <w:szCs w:val="16"/>
        </w:rPr>
        <w:t xml:space="preserve"> </w:t>
      </w:r>
      <w:r w:rsidR="00CB67C7">
        <w:rPr>
          <w:rFonts w:asciiTheme="majorHAnsi" w:hAnsiTheme="majorHAnsi"/>
          <w:color w:val="auto"/>
          <w:sz w:val="16"/>
          <w:szCs w:val="16"/>
        </w:rPr>
        <w:t>Investigating Court</w:t>
      </w:r>
      <w:r w:rsidRPr="00A51861">
        <w:rPr>
          <w:rFonts w:asciiTheme="majorHAnsi" w:hAnsiTheme="majorHAnsi"/>
          <w:color w:val="auto"/>
          <w:sz w:val="16"/>
          <w:szCs w:val="16"/>
        </w:rPr>
        <w:t xml:space="preserve">. </w:t>
      </w:r>
      <w:r w:rsidR="00CB67C7">
        <w:rPr>
          <w:rFonts w:asciiTheme="majorHAnsi" w:hAnsiTheme="majorHAnsi"/>
          <w:color w:val="auto"/>
          <w:sz w:val="16"/>
          <w:szCs w:val="16"/>
        </w:rPr>
        <w:t xml:space="preserve">For these </w:t>
      </w:r>
      <w:r w:rsidR="00CB67C7" w:rsidRPr="00A51861">
        <w:rPr>
          <w:rFonts w:asciiTheme="majorHAnsi" w:hAnsiTheme="majorHAnsi"/>
          <w:color w:val="auto"/>
          <w:sz w:val="16"/>
          <w:szCs w:val="16"/>
        </w:rPr>
        <w:t>conditions</w:t>
      </w:r>
      <w:r w:rsidRPr="00A51861">
        <w:rPr>
          <w:rFonts w:asciiTheme="majorHAnsi" w:hAnsiTheme="majorHAnsi"/>
          <w:color w:val="auto"/>
          <w:sz w:val="16"/>
          <w:szCs w:val="16"/>
        </w:rPr>
        <w:t xml:space="preserve">, </w:t>
      </w:r>
      <w:r w:rsidR="00CB67C7">
        <w:rPr>
          <w:rFonts w:asciiTheme="majorHAnsi" w:hAnsiTheme="majorHAnsi"/>
          <w:color w:val="auto"/>
          <w:sz w:val="16"/>
          <w:szCs w:val="16"/>
        </w:rPr>
        <w:t>it was verified in the case of</w:t>
      </w:r>
      <w:r w:rsidRPr="00A51861">
        <w:rPr>
          <w:rFonts w:asciiTheme="majorHAnsi" w:hAnsiTheme="majorHAnsi"/>
          <w:color w:val="auto"/>
          <w:sz w:val="16"/>
          <w:szCs w:val="16"/>
        </w:rPr>
        <w:t xml:space="preserve"> Delma Alicia Pi, </w:t>
      </w:r>
      <w:r w:rsidR="00CB67C7">
        <w:rPr>
          <w:rFonts w:asciiTheme="majorHAnsi" w:hAnsiTheme="majorHAnsi"/>
          <w:color w:val="auto"/>
          <w:sz w:val="16"/>
          <w:szCs w:val="16"/>
        </w:rPr>
        <w:t>an alleged analogous which was assessed by the</w:t>
      </w:r>
      <w:r w:rsidRPr="00A51861">
        <w:rPr>
          <w:rFonts w:asciiTheme="majorHAnsi" w:hAnsiTheme="majorHAnsi"/>
          <w:color w:val="auto"/>
          <w:sz w:val="16"/>
          <w:szCs w:val="16"/>
        </w:rPr>
        <w:t xml:space="preserve"> </w:t>
      </w:r>
      <w:r w:rsidR="00521E91">
        <w:rPr>
          <w:rFonts w:asciiTheme="majorHAnsi" w:hAnsiTheme="majorHAnsi"/>
          <w:color w:val="auto"/>
          <w:sz w:val="16"/>
          <w:szCs w:val="16"/>
        </w:rPr>
        <w:t>Supreme Court</w:t>
      </w:r>
      <w:r w:rsidRPr="00A51861">
        <w:rPr>
          <w:rFonts w:asciiTheme="majorHAnsi" w:hAnsiTheme="majorHAnsi"/>
          <w:color w:val="auto"/>
          <w:sz w:val="16"/>
          <w:szCs w:val="16"/>
        </w:rPr>
        <w:t xml:space="preserve"> </w:t>
      </w:r>
      <w:r w:rsidR="00CB67C7">
        <w:rPr>
          <w:rFonts w:asciiTheme="majorHAnsi" w:hAnsiTheme="majorHAnsi"/>
          <w:color w:val="auto"/>
          <w:sz w:val="16"/>
          <w:szCs w:val="16"/>
        </w:rPr>
        <w:t>in the case of</w:t>
      </w:r>
      <w:r w:rsidRPr="00A51861">
        <w:rPr>
          <w:rFonts w:asciiTheme="majorHAnsi" w:hAnsiTheme="majorHAnsi"/>
          <w:color w:val="auto"/>
          <w:sz w:val="16"/>
          <w:szCs w:val="16"/>
        </w:rPr>
        <w:t xml:space="preserve"> Yofre de Vaca Narvaja </w:t>
      </w:r>
      <w:r w:rsidR="00CB67C7">
        <w:rPr>
          <w:rFonts w:asciiTheme="majorHAnsi" w:hAnsiTheme="majorHAnsi"/>
          <w:color w:val="auto"/>
          <w:sz w:val="16"/>
          <w:szCs w:val="16"/>
        </w:rPr>
        <w:t>of October 14,</w:t>
      </w:r>
      <w:r w:rsidRPr="00A51861">
        <w:rPr>
          <w:rFonts w:asciiTheme="majorHAnsi" w:hAnsiTheme="majorHAnsi"/>
          <w:color w:val="auto"/>
          <w:sz w:val="16"/>
          <w:szCs w:val="16"/>
        </w:rPr>
        <w:t xml:space="preserve"> 2004 </w:t>
      </w:r>
      <w:r w:rsidR="00CB67C7">
        <w:rPr>
          <w:rFonts w:asciiTheme="majorHAnsi" w:hAnsiTheme="majorHAnsi"/>
          <w:color w:val="auto"/>
          <w:sz w:val="16"/>
          <w:szCs w:val="16"/>
        </w:rPr>
        <w:t>and in the following precedents of the</w:t>
      </w:r>
      <w:r w:rsidRPr="00A51861">
        <w:rPr>
          <w:rFonts w:asciiTheme="majorHAnsi" w:hAnsiTheme="majorHAnsi"/>
          <w:color w:val="auto"/>
          <w:sz w:val="16"/>
          <w:szCs w:val="16"/>
        </w:rPr>
        <w:t xml:space="preserve"> </w:t>
      </w:r>
      <w:r w:rsidR="00CB67C7">
        <w:rPr>
          <w:rFonts w:asciiTheme="majorHAnsi" w:hAnsiTheme="majorHAnsi"/>
          <w:color w:val="auto"/>
          <w:sz w:val="16"/>
          <w:szCs w:val="16"/>
        </w:rPr>
        <w:t>High Court</w:t>
      </w:r>
      <w:r w:rsidRPr="00A51861">
        <w:rPr>
          <w:rFonts w:asciiTheme="majorHAnsi" w:hAnsiTheme="majorHAnsi"/>
          <w:color w:val="auto"/>
          <w:sz w:val="16"/>
          <w:szCs w:val="16"/>
        </w:rPr>
        <w:t xml:space="preserve">. </w:t>
      </w:r>
    </w:p>
  </w:footnote>
  <w:footnote w:id="77">
    <w:p w14:paraId="7BA8AA7B" w14:textId="5E7EB842"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11</w:t>
      </w:r>
      <w:r w:rsidRPr="00A51861">
        <w:rPr>
          <w:rFonts w:asciiTheme="majorHAnsi" w:hAnsiTheme="majorHAnsi"/>
          <w:color w:val="auto"/>
          <w:sz w:val="16"/>
          <w:szCs w:val="16"/>
        </w:rPr>
        <w:t xml:space="preserve">. </w:t>
      </w:r>
      <w:r w:rsidR="00A9213F">
        <w:rPr>
          <w:rFonts w:asciiTheme="majorHAnsi" w:hAnsiTheme="majorHAnsi"/>
          <w:color w:val="auto"/>
          <w:sz w:val="16"/>
          <w:szCs w:val="16"/>
        </w:rPr>
        <w:t>Brief or request of benefits of Law</w:t>
      </w:r>
      <w:r w:rsidRPr="00A51861">
        <w:rPr>
          <w:rFonts w:asciiTheme="majorHAnsi" w:hAnsiTheme="majorHAnsi"/>
          <w:color w:val="auto"/>
          <w:sz w:val="16"/>
          <w:szCs w:val="16"/>
        </w:rPr>
        <w:t xml:space="preserve"> No. 24.043, 1998.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Hugo Daniel Ferreira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78">
    <w:p w14:paraId="10A11E88" w14:textId="45B4EBE4"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11</w:t>
      </w:r>
      <w:r w:rsidRPr="00A51861">
        <w:rPr>
          <w:rFonts w:asciiTheme="majorHAnsi" w:hAnsiTheme="majorHAnsi"/>
          <w:color w:val="auto"/>
          <w:sz w:val="16"/>
          <w:szCs w:val="16"/>
        </w:rPr>
        <w:t xml:space="preserve">. </w:t>
      </w:r>
      <w:r w:rsidR="00A9213F">
        <w:rPr>
          <w:rFonts w:asciiTheme="majorHAnsi" w:hAnsiTheme="majorHAnsi"/>
          <w:color w:val="auto"/>
          <w:sz w:val="16"/>
          <w:szCs w:val="16"/>
        </w:rPr>
        <w:t>Brief or request of benefits of Law</w:t>
      </w:r>
      <w:r w:rsidRPr="00A51861">
        <w:rPr>
          <w:rFonts w:asciiTheme="majorHAnsi" w:hAnsiTheme="majorHAnsi"/>
          <w:color w:val="auto"/>
          <w:sz w:val="16"/>
          <w:szCs w:val="16"/>
        </w:rPr>
        <w:t xml:space="preserve"> No. 24.043, 1998.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Hugo Daniel Ferreira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79">
    <w:p w14:paraId="101D05FA" w14:textId="67B43418"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11</w:t>
      </w:r>
      <w:r w:rsidRPr="00A51861">
        <w:rPr>
          <w:rFonts w:asciiTheme="majorHAnsi" w:hAnsiTheme="majorHAnsi"/>
          <w:color w:val="auto"/>
          <w:sz w:val="16"/>
          <w:szCs w:val="16"/>
        </w:rPr>
        <w:t xml:space="preserve">. </w:t>
      </w:r>
      <w:r w:rsidR="00A9213F">
        <w:rPr>
          <w:rFonts w:asciiTheme="majorHAnsi" w:hAnsiTheme="majorHAnsi"/>
          <w:color w:val="auto"/>
          <w:sz w:val="16"/>
          <w:szCs w:val="16"/>
        </w:rPr>
        <w:t>Brief or request of benefits of Law</w:t>
      </w:r>
      <w:r w:rsidRPr="00A51861">
        <w:rPr>
          <w:rFonts w:asciiTheme="majorHAnsi" w:hAnsiTheme="majorHAnsi"/>
          <w:color w:val="auto"/>
          <w:sz w:val="16"/>
          <w:szCs w:val="16"/>
        </w:rPr>
        <w:t xml:space="preserve"> No. 24.043, 1998.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Hugo Daniel Ferreira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80">
    <w:p w14:paraId="447AEEA2" w14:textId="3268AE34"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11</w:t>
      </w:r>
      <w:r w:rsidRPr="00A51861">
        <w:rPr>
          <w:rFonts w:asciiTheme="majorHAnsi" w:hAnsiTheme="majorHAnsi"/>
          <w:color w:val="auto"/>
          <w:sz w:val="16"/>
          <w:szCs w:val="16"/>
        </w:rPr>
        <w:t xml:space="preserve">. </w:t>
      </w:r>
      <w:r w:rsidR="00A9213F">
        <w:rPr>
          <w:rFonts w:asciiTheme="majorHAnsi" w:hAnsiTheme="majorHAnsi"/>
          <w:color w:val="auto"/>
          <w:sz w:val="16"/>
          <w:szCs w:val="16"/>
        </w:rPr>
        <w:t>Brief or request of benefits of Law</w:t>
      </w:r>
      <w:r w:rsidRPr="00A51861">
        <w:rPr>
          <w:rFonts w:asciiTheme="majorHAnsi" w:hAnsiTheme="majorHAnsi"/>
          <w:color w:val="auto"/>
          <w:sz w:val="16"/>
          <w:szCs w:val="16"/>
        </w:rPr>
        <w:t xml:space="preserve"> No. 24.043, 1998.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Hugo Daniel Ferreira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81">
    <w:p w14:paraId="3B219A23" w14:textId="66A807E3"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52</w:t>
      </w:r>
      <w:r w:rsidRPr="00A51861">
        <w:rPr>
          <w:rFonts w:asciiTheme="majorHAnsi" w:hAnsiTheme="majorHAnsi"/>
          <w:color w:val="auto"/>
          <w:sz w:val="16"/>
          <w:szCs w:val="16"/>
        </w:rPr>
        <w:t xml:space="preserve">. </w:t>
      </w:r>
      <w:r w:rsidR="004E56A9">
        <w:rPr>
          <w:rFonts w:asciiTheme="majorHAnsi" w:hAnsiTheme="majorHAnsi"/>
          <w:color w:val="auto"/>
          <w:sz w:val="16"/>
          <w:szCs w:val="16"/>
        </w:rPr>
        <w:t>Brief of amplification of demands</w:t>
      </w:r>
      <w:r w:rsidRPr="00A51861">
        <w:rPr>
          <w:rFonts w:asciiTheme="majorHAnsi" w:hAnsiTheme="majorHAnsi"/>
          <w:color w:val="auto"/>
          <w:sz w:val="16"/>
          <w:szCs w:val="16"/>
        </w:rPr>
        <w:t xml:space="preserve">.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Hugo Daniel Ferreira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 xml:space="preserve">2007. </w:t>
      </w:r>
    </w:p>
  </w:footnote>
  <w:footnote w:id="82">
    <w:p w14:paraId="13231007" w14:textId="0EEB2852"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41</w:t>
      </w:r>
      <w:r w:rsidRPr="00A51861">
        <w:rPr>
          <w:rFonts w:asciiTheme="majorHAnsi" w:hAnsiTheme="majorHAnsi"/>
          <w:color w:val="auto"/>
          <w:sz w:val="16"/>
          <w:szCs w:val="16"/>
        </w:rPr>
        <w:t xml:space="preserve">. </w:t>
      </w:r>
      <w:r w:rsidR="00A9213F">
        <w:rPr>
          <w:rFonts w:asciiTheme="majorHAnsi" w:hAnsiTheme="majorHAnsi"/>
          <w:color w:val="auto"/>
          <w:sz w:val="16"/>
          <w:szCs w:val="16"/>
        </w:rPr>
        <w:t>Brief or request of benefits of Law</w:t>
      </w:r>
      <w:r w:rsidRPr="00A51861">
        <w:rPr>
          <w:rFonts w:asciiTheme="majorHAnsi" w:hAnsiTheme="majorHAnsi"/>
          <w:color w:val="auto"/>
          <w:sz w:val="16"/>
          <w:szCs w:val="16"/>
        </w:rPr>
        <w:t xml:space="preserve"> No. 24.043, 1998.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Hugo Daniel Ferreira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83">
    <w:p w14:paraId="432A91D1" w14:textId="7B402B6B"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11</w:t>
      </w:r>
      <w:r w:rsidRPr="00A51861">
        <w:rPr>
          <w:rFonts w:asciiTheme="majorHAnsi" w:hAnsiTheme="majorHAnsi"/>
          <w:color w:val="auto"/>
          <w:sz w:val="16"/>
          <w:szCs w:val="16"/>
        </w:rPr>
        <w:t xml:space="preserve">. </w:t>
      </w:r>
      <w:r w:rsidR="00A9213F">
        <w:rPr>
          <w:rFonts w:asciiTheme="majorHAnsi" w:hAnsiTheme="majorHAnsi"/>
          <w:color w:val="auto"/>
          <w:sz w:val="16"/>
          <w:szCs w:val="16"/>
        </w:rPr>
        <w:t>Brief or request of benefits of Law</w:t>
      </w:r>
      <w:r w:rsidRPr="00A51861">
        <w:rPr>
          <w:rFonts w:asciiTheme="majorHAnsi" w:hAnsiTheme="majorHAnsi"/>
          <w:color w:val="auto"/>
          <w:sz w:val="16"/>
          <w:szCs w:val="16"/>
        </w:rPr>
        <w:t xml:space="preserve"> No. 24.043, 1998.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Hugo Daniel Ferreira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84">
    <w:p w14:paraId="5328DE62" w14:textId="0C25BC48"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11</w:t>
      </w:r>
      <w:r w:rsidRPr="00A51861">
        <w:rPr>
          <w:rFonts w:asciiTheme="majorHAnsi" w:hAnsiTheme="majorHAnsi"/>
          <w:color w:val="auto"/>
          <w:sz w:val="16"/>
          <w:szCs w:val="16"/>
        </w:rPr>
        <w:t xml:space="preserve">. </w:t>
      </w:r>
      <w:r w:rsidR="00A9213F">
        <w:rPr>
          <w:rFonts w:asciiTheme="majorHAnsi" w:hAnsiTheme="majorHAnsi"/>
          <w:color w:val="auto"/>
          <w:sz w:val="16"/>
          <w:szCs w:val="16"/>
        </w:rPr>
        <w:t>Brief or request of benefits of Law</w:t>
      </w:r>
      <w:r w:rsidRPr="00A51861">
        <w:rPr>
          <w:rFonts w:asciiTheme="majorHAnsi" w:hAnsiTheme="majorHAnsi"/>
          <w:color w:val="auto"/>
          <w:sz w:val="16"/>
          <w:szCs w:val="16"/>
        </w:rPr>
        <w:t xml:space="preserve"> No. 24.043, 1998.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Hugo Daniel Ferreira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85">
    <w:p w14:paraId="61E83F2C" w14:textId="4CE054C4"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15</w:t>
      </w:r>
      <w:r w:rsidRPr="00A51861">
        <w:rPr>
          <w:rFonts w:asciiTheme="majorHAnsi" w:hAnsiTheme="majorHAnsi"/>
          <w:color w:val="auto"/>
          <w:sz w:val="16"/>
          <w:szCs w:val="16"/>
        </w:rPr>
        <w:t xml:space="preserve">. </w:t>
      </w:r>
      <w:r w:rsidR="005766F7">
        <w:rPr>
          <w:rFonts w:asciiTheme="majorHAnsi" w:hAnsiTheme="majorHAnsi"/>
          <w:color w:val="auto"/>
          <w:sz w:val="16"/>
          <w:szCs w:val="16"/>
        </w:rPr>
        <w:t xml:space="preserve">Temporary residency </w:t>
      </w:r>
      <w:r w:rsidRPr="00A51861">
        <w:rPr>
          <w:rFonts w:asciiTheme="majorHAnsi" w:hAnsiTheme="majorHAnsi"/>
          <w:color w:val="auto"/>
          <w:sz w:val="16"/>
          <w:szCs w:val="16"/>
        </w:rPr>
        <w:t xml:space="preserve">de Hugo Daniel Ferreira, </w:t>
      </w:r>
      <w:r w:rsidR="00280367">
        <w:rPr>
          <w:rFonts w:asciiTheme="majorHAnsi" w:hAnsiTheme="majorHAnsi"/>
          <w:color w:val="auto"/>
          <w:sz w:val="16"/>
          <w:szCs w:val="16"/>
        </w:rPr>
        <w:t xml:space="preserve">June 11, </w:t>
      </w:r>
      <w:r w:rsidRPr="00A51861">
        <w:rPr>
          <w:rFonts w:asciiTheme="majorHAnsi" w:hAnsiTheme="majorHAnsi"/>
          <w:color w:val="auto"/>
          <w:sz w:val="16"/>
          <w:szCs w:val="16"/>
        </w:rPr>
        <w:t xml:space="preserve">1974.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Hugo Daniel Ferreira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86">
    <w:p w14:paraId="25CC7891" w14:textId="58809C47"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42</w:t>
      </w:r>
      <w:r w:rsidRPr="00A51861">
        <w:rPr>
          <w:rFonts w:asciiTheme="majorHAnsi" w:hAnsiTheme="majorHAnsi"/>
          <w:color w:val="auto"/>
          <w:sz w:val="16"/>
          <w:szCs w:val="16"/>
        </w:rPr>
        <w:t xml:space="preserve">. </w:t>
      </w:r>
      <w:r w:rsidR="00166E8A">
        <w:rPr>
          <w:rFonts w:asciiTheme="majorHAnsi" w:hAnsiTheme="majorHAnsi"/>
          <w:color w:val="auto"/>
          <w:sz w:val="16"/>
          <w:szCs w:val="16"/>
        </w:rPr>
        <w:t>Official document of</w:t>
      </w:r>
      <w:r w:rsidR="00061928">
        <w:rPr>
          <w:rFonts w:asciiTheme="majorHAnsi" w:hAnsiTheme="majorHAnsi"/>
          <w:color w:val="auto"/>
          <w:sz w:val="16"/>
          <w:szCs w:val="16"/>
        </w:rPr>
        <w:t xml:space="preserve"> the </w:t>
      </w:r>
      <w:r w:rsidRPr="00A51861">
        <w:rPr>
          <w:rFonts w:asciiTheme="majorHAnsi" w:hAnsiTheme="majorHAnsi"/>
          <w:color w:val="auto"/>
          <w:sz w:val="16"/>
          <w:szCs w:val="16"/>
        </w:rPr>
        <w:t xml:space="preserve">Policía Federal, </w:t>
      </w:r>
      <w:r w:rsidR="00CB67C7">
        <w:rPr>
          <w:rFonts w:asciiTheme="majorHAnsi" w:hAnsiTheme="majorHAnsi"/>
          <w:color w:val="auto"/>
          <w:sz w:val="16"/>
          <w:szCs w:val="16"/>
        </w:rPr>
        <w:t>June 14,</w:t>
      </w:r>
      <w:r w:rsidRPr="00A51861">
        <w:rPr>
          <w:rFonts w:asciiTheme="majorHAnsi" w:hAnsiTheme="majorHAnsi"/>
          <w:color w:val="auto"/>
          <w:sz w:val="16"/>
          <w:szCs w:val="16"/>
        </w:rPr>
        <w:t xml:space="preserve"> 1974.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Hugo Daniel Ferreira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87">
    <w:p w14:paraId="303A16A3" w14:textId="4159A8D1"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42</w:t>
      </w:r>
      <w:r w:rsidRPr="00A51861">
        <w:rPr>
          <w:rFonts w:asciiTheme="majorHAnsi" w:hAnsiTheme="majorHAnsi"/>
          <w:color w:val="auto"/>
          <w:sz w:val="16"/>
          <w:szCs w:val="16"/>
        </w:rPr>
        <w:t xml:space="preserve">. </w:t>
      </w:r>
      <w:r w:rsidR="00166E8A">
        <w:rPr>
          <w:rFonts w:asciiTheme="majorHAnsi" w:hAnsiTheme="majorHAnsi"/>
          <w:color w:val="auto"/>
          <w:sz w:val="16"/>
          <w:szCs w:val="16"/>
        </w:rPr>
        <w:t>Official document of</w:t>
      </w:r>
      <w:r w:rsidR="00061928">
        <w:rPr>
          <w:rFonts w:asciiTheme="majorHAnsi" w:hAnsiTheme="majorHAnsi"/>
          <w:color w:val="auto"/>
          <w:sz w:val="16"/>
          <w:szCs w:val="16"/>
        </w:rPr>
        <w:t xml:space="preserve"> the </w:t>
      </w:r>
      <w:r w:rsidRPr="00A51861">
        <w:rPr>
          <w:rFonts w:asciiTheme="majorHAnsi" w:hAnsiTheme="majorHAnsi"/>
          <w:color w:val="auto"/>
          <w:sz w:val="16"/>
          <w:szCs w:val="16"/>
        </w:rPr>
        <w:t xml:space="preserve">Policía Federal, </w:t>
      </w:r>
      <w:r w:rsidR="00E40E0D">
        <w:rPr>
          <w:rFonts w:asciiTheme="majorHAnsi" w:hAnsiTheme="majorHAnsi"/>
          <w:color w:val="auto"/>
          <w:sz w:val="16"/>
          <w:szCs w:val="16"/>
        </w:rPr>
        <w:t xml:space="preserve">June 14, </w:t>
      </w:r>
      <w:r w:rsidRPr="00A51861">
        <w:rPr>
          <w:rFonts w:asciiTheme="majorHAnsi" w:hAnsiTheme="majorHAnsi"/>
          <w:color w:val="auto"/>
          <w:sz w:val="16"/>
          <w:szCs w:val="16"/>
        </w:rPr>
        <w:t xml:space="preserve">1974.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Hugo Daniel Ferreira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88">
    <w:p w14:paraId="3F833B63" w14:textId="69694479"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43</w:t>
      </w:r>
      <w:r w:rsidRPr="00A51861">
        <w:rPr>
          <w:rFonts w:asciiTheme="majorHAnsi" w:hAnsiTheme="majorHAnsi"/>
          <w:color w:val="auto"/>
          <w:sz w:val="16"/>
          <w:szCs w:val="16"/>
        </w:rPr>
        <w:t xml:space="preserve">. </w:t>
      </w:r>
      <w:r w:rsidR="00F86E9F">
        <w:rPr>
          <w:rFonts w:asciiTheme="majorHAnsi" w:hAnsiTheme="majorHAnsi"/>
          <w:color w:val="auto"/>
          <w:sz w:val="16"/>
          <w:szCs w:val="16"/>
        </w:rPr>
        <w:t>Certificate</w:t>
      </w:r>
      <w:r w:rsidRPr="00A51861">
        <w:rPr>
          <w:rFonts w:asciiTheme="majorHAnsi" w:hAnsiTheme="majorHAnsi"/>
          <w:color w:val="auto"/>
          <w:sz w:val="16"/>
          <w:szCs w:val="16"/>
        </w:rPr>
        <w:t xml:space="preserve"> </w:t>
      </w:r>
      <w:r w:rsidR="00F86E9F">
        <w:rPr>
          <w:rFonts w:asciiTheme="majorHAnsi" w:hAnsiTheme="majorHAnsi"/>
          <w:color w:val="auto"/>
          <w:sz w:val="16"/>
          <w:szCs w:val="16"/>
        </w:rPr>
        <w:t>of the Judicial Power of the Nation</w:t>
      </w:r>
      <w:r w:rsidRPr="00A51861">
        <w:rPr>
          <w:rFonts w:asciiTheme="majorHAnsi" w:hAnsiTheme="majorHAnsi"/>
          <w:color w:val="auto"/>
          <w:sz w:val="16"/>
          <w:szCs w:val="16"/>
        </w:rPr>
        <w:t xml:space="preserve">, </w:t>
      </w:r>
      <w:r w:rsidR="00E40E0D">
        <w:rPr>
          <w:rFonts w:asciiTheme="majorHAnsi" w:hAnsiTheme="majorHAnsi"/>
          <w:color w:val="auto"/>
          <w:sz w:val="16"/>
          <w:szCs w:val="16"/>
        </w:rPr>
        <w:t xml:space="preserve">June 14, </w:t>
      </w:r>
      <w:r w:rsidRPr="00A51861">
        <w:rPr>
          <w:rFonts w:asciiTheme="majorHAnsi" w:hAnsiTheme="majorHAnsi"/>
          <w:color w:val="auto"/>
          <w:sz w:val="16"/>
          <w:szCs w:val="16"/>
        </w:rPr>
        <w:t xml:space="preserve">1974.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Hugo Daniel Ferreira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89">
    <w:p w14:paraId="288A2C71" w14:textId="1B5D7254"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44</w:t>
      </w:r>
      <w:r w:rsidRPr="00A51861">
        <w:rPr>
          <w:rFonts w:asciiTheme="majorHAnsi" w:hAnsiTheme="majorHAnsi"/>
          <w:color w:val="auto"/>
          <w:sz w:val="16"/>
          <w:szCs w:val="16"/>
        </w:rPr>
        <w:t xml:space="preserve">. Dictamen No. 56038 del </w:t>
      </w:r>
      <w:r w:rsidR="00166E8A">
        <w:rPr>
          <w:rFonts w:asciiTheme="majorHAnsi" w:hAnsiTheme="majorHAnsi"/>
          <w:color w:val="auto"/>
          <w:sz w:val="16"/>
          <w:szCs w:val="16"/>
        </w:rPr>
        <w:t>Juridical Affairs Department</w:t>
      </w:r>
      <w:r w:rsidR="00061928">
        <w:rPr>
          <w:rFonts w:asciiTheme="majorHAnsi" w:hAnsiTheme="majorHAnsi"/>
          <w:color w:val="auto"/>
          <w:sz w:val="16"/>
          <w:szCs w:val="16"/>
        </w:rPr>
        <w:t xml:space="preserve"> of the </w:t>
      </w:r>
      <w:r w:rsidR="00F86E9F">
        <w:rPr>
          <w:rFonts w:asciiTheme="majorHAnsi" w:hAnsiTheme="majorHAnsi"/>
          <w:color w:val="auto"/>
          <w:sz w:val="16"/>
          <w:szCs w:val="16"/>
        </w:rPr>
        <w:t>National Directorate of Migrations</w:t>
      </w:r>
      <w:r w:rsidRPr="00A51861">
        <w:rPr>
          <w:rFonts w:asciiTheme="majorHAnsi" w:hAnsiTheme="majorHAnsi"/>
          <w:color w:val="auto"/>
          <w:sz w:val="16"/>
          <w:szCs w:val="16"/>
        </w:rPr>
        <w:t xml:space="preserve">, </w:t>
      </w:r>
      <w:r w:rsidR="004969F4">
        <w:rPr>
          <w:rFonts w:asciiTheme="majorHAnsi" w:hAnsiTheme="majorHAnsi"/>
          <w:color w:val="auto"/>
          <w:sz w:val="16"/>
          <w:szCs w:val="16"/>
        </w:rPr>
        <w:t>June 19,</w:t>
      </w:r>
      <w:r w:rsidRPr="00A51861">
        <w:rPr>
          <w:rFonts w:asciiTheme="majorHAnsi" w:hAnsiTheme="majorHAnsi"/>
          <w:color w:val="auto"/>
          <w:sz w:val="16"/>
          <w:szCs w:val="16"/>
        </w:rPr>
        <w:t xml:space="preserve"> 1974. </w:t>
      </w:r>
      <w:r w:rsidR="00A9213F">
        <w:rPr>
          <w:rFonts w:asciiTheme="majorHAnsi" w:hAnsiTheme="majorHAnsi"/>
          <w:color w:val="auto"/>
          <w:sz w:val="16"/>
          <w:szCs w:val="16"/>
        </w:rPr>
        <w:t xml:space="preserve">Initial petition of </w:t>
      </w:r>
      <w:r w:rsidRPr="00A51861">
        <w:rPr>
          <w:rFonts w:asciiTheme="majorHAnsi" w:hAnsiTheme="majorHAnsi"/>
          <w:color w:val="auto"/>
          <w:sz w:val="16"/>
          <w:szCs w:val="16"/>
        </w:rPr>
        <w:t xml:space="preserve">Hugo Daniel Ferreira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90">
    <w:p w14:paraId="57D7BEF8" w14:textId="6DC8B1CF"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45</w:t>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 xml:space="preserve">Resolution </w:t>
      </w:r>
      <w:r w:rsidRPr="00A51861">
        <w:rPr>
          <w:rFonts w:asciiTheme="majorHAnsi" w:hAnsiTheme="majorHAnsi"/>
          <w:color w:val="auto"/>
          <w:sz w:val="16"/>
          <w:szCs w:val="16"/>
        </w:rPr>
        <w:t>No. 4058</w:t>
      </w:r>
      <w:r w:rsidR="00061928">
        <w:rPr>
          <w:rFonts w:asciiTheme="majorHAnsi" w:hAnsiTheme="majorHAnsi"/>
          <w:color w:val="auto"/>
          <w:sz w:val="16"/>
          <w:szCs w:val="16"/>
        </w:rPr>
        <w:t xml:space="preserve"> of the </w:t>
      </w:r>
      <w:r w:rsidR="00F86E9F">
        <w:rPr>
          <w:rFonts w:asciiTheme="majorHAnsi" w:hAnsiTheme="majorHAnsi"/>
          <w:color w:val="auto"/>
          <w:sz w:val="16"/>
          <w:szCs w:val="16"/>
        </w:rPr>
        <w:t>National Directorate of Migrations</w:t>
      </w:r>
      <w:r w:rsidRPr="00A51861">
        <w:rPr>
          <w:rFonts w:asciiTheme="majorHAnsi" w:hAnsiTheme="majorHAnsi"/>
          <w:color w:val="auto"/>
          <w:sz w:val="16"/>
          <w:szCs w:val="16"/>
        </w:rPr>
        <w:t xml:space="preserve">, </w:t>
      </w:r>
      <w:r w:rsidR="00772057">
        <w:rPr>
          <w:rFonts w:asciiTheme="majorHAnsi" w:hAnsiTheme="majorHAnsi"/>
          <w:color w:val="auto"/>
          <w:sz w:val="16"/>
          <w:szCs w:val="16"/>
        </w:rPr>
        <w:t xml:space="preserve">June 24, </w:t>
      </w:r>
      <w:r w:rsidRPr="00A51861">
        <w:rPr>
          <w:rFonts w:asciiTheme="majorHAnsi" w:hAnsiTheme="majorHAnsi"/>
          <w:color w:val="auto"/>
          <w:sz w:val="16"/>
          <w:szCs w:val="16"/>
        </w:rPr>
        <w:t xml:space="preserve">1974.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Hugo Daniel Ferreira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91">
    <w:p w14:paraId="0AC61AB8" w14:textId="68F5D1B9"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46</w:t>
      </w:r>
      <w:r w:rsidRPr="00A51861">
        <w:rPr>
          <w:rFonts w:asciiTheme="majorHAnsi" w:hAnsiTheme="majorHAnsi"/>
          <w:color w:val="auto"/>
          <w:sz w:val="16"/>
          <w:szCs w:val="16"/>
        </w:rPr>
        <w:t xml:space="preserve">. </w:t>
      </w:r>
      <w:r w:rsidR="00E40E0D">
        <w:rPr>
          <w:rFonts w:asciiTheme="majorHAnsi" w:hAnsiTheme="majorHAnsi"/>
          <w:color w:val="auto"/>
          <w:sz w:val="16"/>
          <w:szCs w:val="16"/>
        </w:rPr>
        <w:t>Brief of Appeal of Resolution of expulsion before the Ministry of Interior</w:t>
      </w:r>
      <w:r w:rsidRPr="00A51861">
        <w:rPr>
          <w:rFonts w:asciiTheme="majorHAnsi" w:hAnsiTheme="majorHAnsi"/>
          <w:color w:val="auto"/>
          <w:sz w:val="16"/>
          <w:szCs w:val="16"/>
        </w:rPr>
        <w:t xml:space="preserve">.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Hugo Daniel Ferreira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92">
    <w:p w14:paraId="6CFBCA86" w14:textId="75AE5A3A"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47</w:t>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 xml:space="preserve">Resolution </w:t>
      </w:r>
      <w:r w:rsidRPr="00A51861">
        <w:rPr>
          <w:rFonts w:asciiTheme="majorHAnsi" w:hAnsiTheme="majorHAnsi"/>
          <w:color w:val="auto"/>
          <w:sz w:val="16"/>
          <w:szCs w:val="16"/>
        </w:rPr>
        <w:t>No. 6028</w:t>
      </w:r>
      <w:r w:rsidR="00061928">
        <w:rPr>
          <w:rFonts w:asciiTheme="majorHAnsi" w:hAnsiTheme="majorHAnsi"/>
          <w:color w:val="auto"/>
          <w:sz w:val="16"/>
          <w:szCs w:val="16"/>
        </w:rPr>
        <w:t xml:space="preserve"> of the </w:t>
      </w:r>
      <w:r w:rsidR="00F86E9F">
        <w:rPr>
          <w:rFonts w:asciiTheme="majorHAnsi" w:hAnsiTheme="majorHAnsi"/>
          <w:color w:val="auto"/>
          <w:sz w:val="16"/>
          <w:szCs w:val="16"/>
        </w:rPr>
        <w:t>National Directorate of Migrations</w:t>
      </w:r>
      <w:r w:rsidRPr="00A51861">
        <w:rPr>
          <w:rFonts w:asciiTheme="majorHAnsi" w:hAnsiTheme="majorHAnsi"/>
          <w:color w:val="auto"/>
          <w:sz w:val="16"/>
          <w:szCs w:val="16"/>
        </w:rPr>
        <w:t xml:space="preserve">, </w:t>
      </w:r>
      <w:r w:rsidR="00E40E0D">
        <w:rPr>
          <w:rFonts w:asciiTheme="majorHAnsi" w:hAnsiTheme="majorHAnsi"/>
          <w:color w:val="auto"/>
          <w:sz w:val="16"/>
          <w:szCs w:val="16"/>
        </w:rPr>
        <w:t xml:space="preserve">September 16, </w:t>
      </w:r>
      <w:r w:rsidRPr="00A51861">
        <w:rPr>
          <w:rFonts w:asciiTheme="majorHAnsi" w:hAnsiTheme="majorHAnsi"/>
          <w:color w:val="auto"/>
          <w:sz w:val="16"/>
          <w:szCs w:val="16"/>
        </w:rPr>
        <w:t xml:space="preserve">1974.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Hugo Daniel Ferreira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93">
    <w:p w14:paraId="1295740A" w14:textId="6281122C"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48</w:t>
      </w:r>
      <w:r w:rsidRPr="00A51861">
        <w:rPr>
          <w:rFonts w:asciiTheme="majorHAnsi" w:hAnsiTheme="majorHAnsi"/>
          <w:color w:val="auto"/>
          <w:sz w:val="16"/>
          <w:szCs w:val="16"/>
        </w:rPr>
        <w:t xml:space="preserve">. Dictamen No. 46588 </w:t>
      </w:r>
      <w:r w:rsidR="00E40E0D">
        <w:rPr>
          <w:rFonts w:asciiTheme="majorHAnsi" w:hAnsiTheme="majorHAnsi"/>
          <w:color w:val="auto"/>
          <w:sz w:val="16"/>
          <w:szCs w:val="16"/>
        </w:rPr>
        <w:t xml:space="preserve">of the Foreigners Admission Department </w:t>
      </w:r>
      <w:r w:rsidR="00061928">
        <w:rPr>
          <w:rFonts w:asciiTheme="majorHAnsi" w:hAnsiTheme="majorHAnsi"/>
          <w:color w:val="auto"/>
          <w:sz w:val="16"/>
          <w:szCs w:val="16"/>
        </w:rPr>
        <w:t xml:space="preserve">of the </w:t>
      </w:r>
      <w:r w:rsidR="00F86E9F">
        <w:rPr>
          <w:rFonts w:asciiTheme="majorHAnsi" w:hAnsiTheme="majorHAnsi"/>
          <w:color w:val="auto"/>
          <w:sz w:val="16"/>
          <w:szCs w:val="16"/>
        </w:rPr>
        <w:t>National Directorate of Migrations</w:t>
      </w:r>
      <w:r w:rsidRPr="00A51861">
        <w:rPr>
          <w:rFonts w:asciiTheme="majorHAnsi" w:hAnsiTheme="majorHAnsi"/>
          <w:color w:val="auto"/>
          <w:sz w:val="16"/>
          <w:szCs w:val="16"/>
        </w:rPr>
        <w:t xml:space="preserve">, </w:t>
      </w:r>
      <w:r w:rsidR="005C6A92">
        <w:rPr>
          <w:rFonts w:asciiTheme="majorHAnsi" w:hAnsiTheme="majorHAnsi"/>
          <w:color w:val="auto"/>
          <w:sz w:val="16"/>
          <w:szCs w:val="16"/>
        </w:rPr>
        <w:t xml:space="preserve">January 30, </w:t>
      </w:r>
      <w:r w:rsidRPr="00A51861">
        <w:rPr>
          <w:rFonts w:asciiTheme="majorHAnsi" w:hAnsiTheme="majorHAnsi"/>
          <w:color w:val="auto"/>
          <w:sz w:val="16"/>
          <w:szCs w:val="16"/>
        </w:rPr>
        <w:t xml:space="preserve">1975.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Hugo Daniel Ferreira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94">
    <w:p w14:paraId="0A9152C4" w14:textId="2605E26E"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49</w:t>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 xml:space="preserve">Resolution </w:t>
      </w:r>
      <w:r w:rsidRPr="00A51861">
        <w:rPr>
          <w:rFonts w:asciiTheme="majorHAnsi" w:hAnsiTheme="majorHAnsi"/>
          <w:color w:val="auto"/>
          <w:sz w:val="16"/>
          <w:szCs w:val="16"/>
        </w:rPr>
        <w:t>No. 8207</w:t>
      </w:r>
      <w:r w:rsidR="00061928">
        <w:rPr>
          <w:rFonts w:asciiTheme="majorHAnsi" w:hAnsiTheme="majorHAnsi"/>
          <w:color w:val="auto"/>
          <w:sz w:val="16"/>
          <w:szCs w:val="16"/>
        </w:rPr>
        <w:t xml:space="preserve"> of the </w:t>
      </w:r>
      <w:r w:rsidR="00F86E9F">
        <w:rPr>
          <w:rFonts w:asciiTheme="majorHAnsi" w:hAnsiTheme="majorHAnsi"/>
          <w:color w:val="auto"/>
          <w:sz w:val="16"/>
          <w:szCs w:val="16"/>
        </w:rPr>
        <w:t>National Directorate of Migrations</w:t>
      </w:r>
      <w:r w:rsidRPr="00A51861">
        <w:rPr>
          <w:rFonts w:asciiTheme="majorHAnsi" w:hAnsiTheme="majorHAnsi"/>
          <w:color w:val="auto"/>
          <w:sz w:val="16"/>
          <w:szCs w:val="16"/>
        </w:rPr>
        <w:t xml:space="preserve">, </w:t>
      </w:r>
      <w:r w:rsidR="00E40E0D">
        <w:rPr>
          <w:rFonts w:asciiTheme="majorHAnsi" w:hAnsiTheme="majorHAnsi"/>
          <w:color w:val="auto"/>
          <w:sz w:val="16"/>
          <w:szCs w:val="16"/>
        </w:rPr>
        <w:t>December 16,</w:t>
      </w:r>
      <w:r w:rsidRPr="00A51861">
        <w:rPr>
          <w:rFonts w:asciiTheme="majorHAnsi" w:hAnsiTheme="majorHAnsi"/>
          <w:color w:val="auto"/>
          <w:sz w:val="16"/>
          <w:szCs w:val="16"/>
        </w:rPr>
        <w:t xml:space="preserve"> 1974.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Hugo Daniel Ferreira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95">
    <w:p w14:paraId="0420E659" w14:textId="2B6E824F"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50</w:t>
      </w:r>
      <w:r w:rsidRPr="00A51861">
        <w:rPr>
          <w:rFonts w:asciiTheme="majorHAnsi" w:hAnsiTheme="majorHAnsi"/>
          <w:color w:val="auto"/>
          <w:sz w:val="16"/>
          <w:szCs w:val="16"/>
        </w:rPr>
        <w:t xml:space="preserve">. </w:t>
      </w:r>
      <w:r w:rsidR="00E40E0D">
        <w:rPr>
          <w:rFonts w:asciiTheme="majorHAnsi" w:hAnsiTheme="majorHAnsi"/>
          <w:color w:val="auto"/>
          <w:sz w:val="16"/>
          <w:szCs w:val="16"/>
        </w:rPr>
        <w:t xml:space="preserve">Memorandum from the Ministry of </w:t>
      </w:r>
      <w:r w:rsidRPr="00A51861">
        <w:rPr>
          <w:rFonts w:asciiTheme="majorHAnsi" w:hAnsiTheme="majorHAnsi"/>
          <w:color w:val="auto"/>
          <w:sz w:val="16"/>
          <w:szCs w:val="16"/>
        </w:rPr>
        <w:t xml:space="preserve">Interior </w:t>
      </w:r>
      <w:r w:rsidR="00166E8A">
        <w:rPr>
          <w:rFonts w:asciiTheme="majorHAnsi" w:hAnsiTheme="majorHAnsi"/>
          <w:color w:val="auto"/>
          <w:sz w:val="16"/>
          <w:szCs w:val="16"/>
        </w:rPr>
        <w:t xml:space="preserve">addressed to </w:t>
      </w:r>
      <w:r w:rsidRPr="00A51861">
        <w:rPr>
          <w:rFonts w:asciiTheme="majorHAnsi" w:hAnsiTheme="majorHAnsi"/>
          <w:color w:val="auto"/>
          <w:sz w:val="16"/>
          <w:szCs w:val="16"/>
        </w:rPr>
        <w:t xml:space="preserve">Hugo Daniel Ferreira, </w:t>
      </w:r>
      <w:r w:rsidR="00E40E0D">
        <w:rPr>
          <w:rFonts w:asciiTheme="majorHAnsi" w:hAnsiTheme="majorHAnsi"/>
          <w:color w:val="auto"/>
          <w:sz w:val="16"/>
          <w:szCs w:val="16"/>
        </w:rPr>
        <w:t>February</w:t>
      </w:r>
      <w:r w:rsidRPr="00A51861">
        <w:rPr>
          <w:rFonts w:asciiTheme="majorHAnsi" w:hAnsiTheme="majorHAnsi"/>
          <w:color w:val="auto"/>
          <w:sz w:val="16"/>
          <w:szCs w:val="16"/>
        </w:rPr>
        <w:t xml:space="preserve"> 1975.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Hugo Daniel Ferreira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96">
    <w:p w14:paraId="7D31A032" w14:textId="32761EAD"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51</w:t>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 xml:space="preserve">Resolution </w:t>
      </w:r>
      <w:r w:rsidRPr="00A51861">
        <w:rPr>
          <w:rFonts w:asciiTheme="majorHAnsi" w:hAnsiTheme="majorHAnsi"/>
          <w:color w:val="auto"/>
          <w:sz w:val="16"/>
          <w:szCs w:val="16"/>
        </w:rPr>
        <w:t xml:space="preserve">No. 913 </w:t>
      </w:r>
      <w:r w:rsidR="00E40E0D">
        <w:rPr>
          <w:rFonts w:asciiTheme="majorHAnsi" w:hAnsiTheme="majorHAnsi"/>
          <w:color w:val="auto"/>
          <w:sz w:val="16"/>
          <w:szCs w:val="16"/>
        </w:rPr>
        <w:t xml:space="preserve">of the Ministry of </w:t>
      </w:r>
      <w:r w:rsidRPr="00A51861">
        <w:rPr>
          <w:rFonts w:asciiTheme="majorHAnsi" w:hAnsiTheme="majorHAnsi"/>
          <w:color w:val="auto"/>
          <w:sz w:val="16"/>
          <w:szCs w:val="16"/>
        </w:rPr>
        <w:t xml:space="preserve">Interior, 27 de mayo de 1975.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Hugo Daniel Ferreira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97">
    <w:p w14:paraId="73DBA362" w14:textId="78295928"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52</w:t>
      </w:r>
      <w:r w:rsidRPr="00A51861">
        <w:rPr>
          <w:rFonts w:asciiTheme="majorHAnsi" w:hAnsiTheme="majorHAnsi"/>
          <w:color w:val="auto"/>
          <w:sz w:val="16"/>
          <w:szCs w:val="16"/>
        </w:rPr>
        <w:t xml:space="preserve">. </w:t>
      </w:r>
      <w:r w:rsidR="004E56A9">
        <w:rPr>
          <w:rFonts w:asciiTheme="majorHAnsi" w:hAnsiTheme="majorHAnsi"/>
          <w:color w:val="auto"/>
          <w:sz w:val="16"/>
          <w:szCs w:val="16"/>
        </w:rPr>
        <w:t>Brief of amplification of demands</w:t>
      </w:r>
      <w:r w:rsidRPr="00A51861">
        <w:rPr>
          <w:rFonts w:asciiTheme="majorHAnsi" w:hAnsiTheme="majorHAnsi"/>
          <w:color w:val="auto"/>
          <w:sz w:val="16"/>
          <w:szCs w:val="16"/>
        </w:rPr>
        <w:t xml:space="preserve">.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Hugo Daniel Ferreira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98">
    <w:p w14:paraId="4C17E54E" w14:textId="5B2AFDB8"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11</w:t>
      </w:r>
      <w:r w:rsidRPr="00A51861">
        <w:rPr>
          <w:rFonts w:asciiTheme="majorHAnsi" w:hAnsiTheme="majorHAnsi"/>
          <w:color w:val="auto"/>
          <w:sz w:val="16"/>
          <w:szCs w:val="16"/>
        </w:rPr>
        <w:t xml:space="preserve">. </w:t>
      </w:r>
      <w:r w:rsidR="00A9213F">
        <w:rPr>
          <w:rFonts w:asciiTheme="majorHAnsi" w:hAnsiTheme="majorHAnsi"/>
          <w:color w:val="auto"/>
          <w:sz w:val="16"/>
          <w:szCs w:val="16"/>
        </w:rPr>
        <w:t>Brief or request of benefits of Law</w:t>
      </w:r>
      <w:r w:rsidRPr="00A51861">
        <w:rPr>
          <w:rFonts w:asciiTheme="majorHAnsi" w:hAnsiTheme="majorHAnsi"/>
          <w:color w:val="auto"/>
          <w:sz w:val="16"/>
          <w:szCs w:val="16"/>
        </w:rPr>
        <w:t xml:space="preserve"> No. 24.043, 1998.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Hugo Daniel Ferreira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99">
    <w:p w14:paraId="4BC4C12B" w14:textId="75BAED0C"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53</w:t>
      </w:r>
      <w:r w:rsidRPr="00A51861">
        <w:rPr>
          <w:rFonts w:asciiTheme="majorHAnsi" w:hAnsiTheme="majorHAnsi"/>
          <w:color w:val="auto"/>
          <w:sz w:val="16"/>
          <w:szCs w:val="16"/>
        </w:rPr>
        <w:t xml:space="preserve">. </w:t>
      </w:r>
      <w:r w:rsidR="00A9213F">
        <w:rPr>
          <w:rFonts w:asciiTheme="majorHAnsi" w:hAnsiTheme="majorHAnsi"/>
          <w:color w:val="auto"/>
          <w:sz w:val="16"/>
          <w:szCs w:val="16"/>
        </w:rPr>
        <w:t xml:space="preserve">Initial petition of </w:t>
      </w:r>
      <w:r w:rsidRPr="00A51861">
        <w:rPr>
          <w:rFonts w:asciiTheme="majorHAnsi" w:hAnsiTheme="majorHAnsi"/>
          <w:color w:val="auto"/>
          <w:sz w:val="16"/>
          <w:szCs w:val="16"/>
        </w:rPr>
        <w:t xml:space="preserve">Hugo Daniel Ferreira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100">
    <w:p w14:paraId="563374AC" w14:textId="3E3A879E"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31</w:t>
      </w:r>
      <w:r w:rsidRPr="00A51861">
        <w:rPr>
          <w:rFonts w:asciiTheme="majorHAnsi" w:hAnsiTheme="majorHAnsi"/>
          <w:color w:val="auto"/>
          <w:sz w:val="16"/>
          <w:szCs w:val="16"/>
        </w:rPr>
        <w:t xml:space="preserve">. </w:t>
      </w:r>
      <w:r w:rsidR="00280367">
        <w:rPr>
          <w:rFonts w:asciiTheme="majorHAnsi" w:hAnsiTheme="majorHAnsi"/>
          <w:color w:val="auto"/>
          <w:sz w:val="16"/>
          <w:szCs w:val="16"/>
        </w:rPr>
        <w:t xml:space="preserve">Request form for benefits of Law </w:t>
      </w:r>
      <w:r w:rsidRPr="00A51861">
        <w:rPr>
          <w:rFonts w:asciiTheme="majorHAnsi" w:hAnsiTheme="majorHAnsi"/>
          <w:color w:val="auto"/>
          <w:sz w:val="16"/>
          <w:szCs w:val="16"/>
        </w:rPr>
        <w:t xml:space="preserve">No. 24.043, </w:t>
      </w:r>
      <w:r w:rsidR="00280367">
        <w:rPr>
          <w:rFonts w:asciiTheme="majorHAnsi" w:hAnsiTheme="majorHAnsi"/>
          <w:color w:val="auto"/>
          <w:sz w:val="16"/>
          <w:szCs w:val="16"/>
        </w:rPr>
        <w:t xml:space="preserve">August 7, </w:t>
      </w:r>
      <w:r w:rsidRPr="00A51861">
        <w:rPr>
          <w:rFonts w:asciiTheme="majorHAnsi" w:hAnsiTheme="majorHAnsi"/>
          <w:color w:val="auto"/>
          <w:sz w:val="16"/>
          <w:szCs w:val="16"/>
        </w:rPr>
        <w:t xml:space="preserve">1998.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Hugo Daniel Ferreira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101">
    <w:p w14:paraId="0F0FD376" w14:textId="6DDE1F24"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52</w:t>
      </w:r>
      <w:r w:rsidRPr="00A51861">
        <w:rPr>
          <w:rFonts w:asciiTheme="majorHAnsi" w:hAnsiTheme="majorHAnsi"/>
          <w:color w:val="auto"/>
          <w:sz w:val="16"/>
          <w:szCs w:val="16"/>
        </w:rPr>
        <w:t xml:space="preserve">. </w:t>
      </w:r>
      <w:r w:rsidR="004E56A9">
        <w:rPr>
          <w:rFonts w:asciiTheme="majorHAnsi" w:hAnsiTheme="majorHAnsi"/>
          <w:color w:val="auto"/>
          <w:sz w:val="16"/>
          <w:szCs w:val="16"/>
        </w:rPr>
        <w:t>Brief of amplification of demands</w:t>
      </w:r>
      <w:r w:rsidRPr="00A51861">
        <w:rPr>
          <w:rFonts w:asciiTheme="majorHAnsi" w:hAnsiTheme="majorHAnsi"/>
          <w:color w:val="auto"/>
          <w:sz w:val="16"/>
          <w:szCs w:val="16"/>
        </w:rPr>
        <w:t xml:space="preserve">.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Hugo Daniel Ferreira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102">
    <w:p w14:paraId="6D301BB3" w14:textId="4981225A"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54</w:t>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 xml:space="preserve">Resolution </w:t>
      </w:r>
      <w:r w:rsidRPr="00A51861">
        <w:rPr>
          <w:rFonts w:asciiTheme="majorHAnsi" w:hAnsiTheme="majorHAnsi"/>
          <w:color w:val="auto"/>
          <w:sz w:val="16"/>
          <w:szCs w:val="16"/>
        </w:rPr>
        <w:t xml:space="preserve">No. 212 </w:t>
      </w:r>
      <w:r w:rsidR="00A51861">
        <w:rPr>
          <w:rFonts w:asciiTheme="majorHAnsi" w:hAnsiTheme="majorHAnsi"/>
          <w:color w:val="auto"/>
          <w:sz w:val="16"/>
          <w:szCs w:val="16"/>
        </w:rPr>
        <w:t>of the Ministry of Justice and Human Rights</w:t>
      </w:r>
      <w:r w:rsidRPr="00A51861">
        <w:rPr>
          <w:rFonts w:asciiTheme="majorHAnsi" w:hAnsiTheme="majorHAnsi"/>
          <w:color w:val="auto"/>
          <w:sz w:val="16"/>
          <w:szCs w:val="16"/>
        </w:rPr>
        <w:t xml:space="preserve">, </w:t>
      </w:r>
      <w:r w:rsidR="00076366">
        <w:rPr>
          <w:rFonts w:asciiTheme="majorHAnsi" w:hAnsiTheme="majorHAnsi"/>
          <w:color w:val="auto"/>
          <w:sz w:val="16"/>
          <w:szCs w:val="16"/>
        </w:rPr>
        <w:t xml:space="preserve">February 23, </w:t>
      </w:r>
      <w:r w:rsidRPr="00A51861">
        <w:rPr>
          <w:rFonts w:asciiTheme="majorHAnsi" w:hAnsiTheme="majorHAnsi"/>
          <w:color w:val="auto"/>
          <w:sz w:val="16"/>
          <w:szCs w:val="16"/>
        </w:rPr>
        <w:t xml:space="preserve">2001.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Hugo Daniel Ferreira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103">
    <w:p w14:paraId="69A386F4" w14:textId="28078A84"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54</w:t>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 xml:space="preserve">Resolution </w:t>
      </w:r>
      <w:r w:rsidRPr="00A51861">
        <w:rPr>
          <w:rFonts w:asciiTheme="majorHAnsi" w:hAnsiTheme="majorHAnsi"/>
          <w:color w:val="auto"/>
          <w:sz w:val="16"/>
          <w:szCs w:val="16"/>
        </w:rPr>
        <w:t xml:space="preserve">No. 212 </w:t>
      </w:r>
      <w:r w:rsidR="00A51861">
        <w:rPr>
          <w:rFonts w:asciiTheme="majorHAnsi" w:hAnsiTheme="majorHAnsi"/>
          <w:color w:val="auto"/>
          <w:sz w:val="16"/>
          <w:szCs w:val="16"/>
        </w:rPr>
        <w:t>of the Ministry of Justice and Human Rights</w:t>
      </w:r>
      <w:r w:rsidRPr="00A51861">
        <w:rPr>
          <w:rFonts w:asciiTheme="majorHAnsi" w:hAnsiTheme="majorHAnsi"/>
          <w:color w:val="auto"/>
          <w:sz w:val="16"/>
          <w:szCs w:val="16"/>
        </w:rPr>
        <w:t xml:space="preserve">, </w:t>
      </w:r>
      <w:r w:rsidR="00076366">
        <w:rPr>
          <w:rFonts w:asciiTheme="majorHAnsi" w:hAnsiTheme="majorHAnsi"/>
          <w:color w:val="auto"/>
          <w:sz w:val="16"/>
          <w:szCs w:val="16"/>
        </w:rPr>
        <w:t xml:space="preserve">February 23, </w:t>
      </w:r>
      <w:r w:rsidRPr="00A51861">
        <w:rPr>
          <w:rFonts w:asciiTheme="majorHAnsi" w:hAnsiTheme="majorHAnsi"/>
          <w:color w:val="auto"/>
          <w:sz w:val="16"/>
          <w:szCs w:val="16"/>
        </w:rPr>
        <w:t xml:space="preserve">2001.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Hugo Daniel Ferreira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104">
    <w:p w14:paraId="417D3241" w14:textId="68A6C21A"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55</w:t>
      </w:r>
      <w:r w:rsidRPr="00A51861">
        <w:rPr>
          <w:rFonts w:asciiTheme="majorHAnsi" w:hAnsiTheme="majorHAnsi"/>
          <w:color w:val="auto"/>
          <w:sz w:val="16"/>
          <w:szCs w:val="16"/>
        </w:rPr>
        <w:t xml:space="preserve">. </w:t>
      </w:r>
      <w:r w:rsidR="000E67CA">
        <w:rPr>
          <w:rFonts w:asciiTheme="majorHAnsi" w:hAnsiTheme="majorHAnsi"/>
          <w:color w:val="auto"/>
          <w:sz w:val="16"/>
          <w:szCs w:val="16"/>
        </w:rPr>
        <w:t>Decision</w:t>
      </w:r>
      <w:r w:rsidR="00061928">
        <w:rPr>
          <w:rFonts w:asciiTheme="majorHAnsi" w:hAnsiTheme="majorHAnsi"/>
          <w:color w:val="auto"/>
          <w:sz w:val="16"/>
          <w:szCs w:val="16"/>
        </w:rPr>
        <w:t xml:space="preserve"> of the </w:t>
      </w:r>
      <w:r w:rsidR="00116313">
        <w:rPr>
          <w:rFonts w:asciiTheme="majorHAnsi" w:hAnsiTheme="majorHAnsi"/>
          <w:color w:val="auto"/>
          <w:sz w:val="16"/>
          <w:szCs w:val="16"/>
        </w:rPr>
        <w:t>National Chamber of Federal Contentious Administrative Appeals</w:t>
      </w:r>
      <w:r w:rsidRPr="00A51861">
        <w:rPr>
          <w:rFonts w:asciiTheme="majorHAnsi" w:hAnsiTheme="majorHAnsi"/>
          <w:color w:val="auto"/>
          <w:sz w:val="16"/>
          <w:szCs w:val="16"/>
        </w:rPr>
        <w:t xml:space="preserve">, </w:t>
      </w:r>
      <w:r w:rsidR="00076366">
        <w:rPr>
          <w:rFonts w:asciiTheme="majorHAnsi" w:hAnsiTheme="majorHAnsi"/>
          <w:color w:val="auto"/>
          <w:sz w:val="16"/>
          <w:szCs w:val="16"/>
        </w:rPr>
        <w:t xml:space="preserve">December 11, </w:t>
      </w:r>
      <w:r w:rsidRPr="00A51861">
        <w:rPr>
          <w:rFonts w:asciiTheme="majorHAnsi" w:hAnsiTheme="majorHAnsi"/>
          <w:color w:val="auto"/>
          <w:sz w:val="16"/>
          <w:szCs w:val="16"/>
        </w:rPr>
        <w:t xml:space="preserve">2001.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Hugo Daniel Ferreira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105">
    <w:p w14:paraId="7AFDCBDD" w14:textId="1DE005D4"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55</w:t>
      </w:r>
      <w:r w:rsidRPr="00A51861">
        <w:rPr>
          <w:rFonts w:asciiTheme="majorHAnsi" w:hAnsiTheme="majorHAnsi"/>
          <w:color w:val="auto"/>
          <w:sz w:val="16"/>
          <w:szCs w:val="16"/>
        </w:rPr>
        <w:t xml:space="preserve">. </w:t>
      </w:r>
      <w:r w:rsidR="000E67CA">
        <w:rPr>
          <w:rFonts w:asciiTheme="majorHAnsi" w:hAnsiTheme="majorHAnsi"/>
          <w:color w:val="auto"/>
          <w:sz w:val="16"/>
          <w:szCs w:val="16"/>
        </w:rPr>
        <w:t>Decision</w:t>
      </w:r>
      <w:r w:rsidR="00061928">
        <w:rPr>
          <w:rFonts w:asciiTheme="majorHAnsi" w:hAnsiTheme="majorHAnsi"/>
          <w:color w:val="auto"/>
          <w:sz w:val="16"/>
          <w:szCs w:val="16"/>
        </w:rPr>
        <w:t xml:space="preserve"> of the </w:t>
      </w:r>
      <w:r w:rsidR="00116313">
        <w:rPr>
          <w:rFonts w:asciiTheme="majorHAnsi" w:hAnsiTheme="majorHAnsi"/>
          <w:color w:val="auto"/>
          <w:sz w:val="16"/>
          <w:szCs w:val="16"/>
        </w:rPr>
        <w:t>National Chamber of Federal Contentious Administrative Appeals</w:t>
      </w:r>
      <w:r w:rsidRPr="00A51861">
        <w:rPr>
          <w:rFonts w:asciiTheme="majorHAnsi" w:hAnsiTheme="majorHAnsi"/>
          <w:color w:val="auto"/>
          <w:sz w:val="16"/>
          <w:szCs w:val="16"/>
        </w:rPr>
        <w:t xml:space="preserve">, </w:t>
      </w:r>
      <w:r w:rsidR="00076366">
        <w:rPr>
          <w:rFonts w:asciiTheme="majorHAnsi" w:hAnsiTheme="majorHAnsi"/>
          <w:color w:val="auto"/>
          <w:sz w:val="16"/>
          <w:szCs w:val="16"/>
        </w:rPr>
        <w:t xml:space="preserve">December 11, </w:t>
      </w:r>
      <w:r w:rsidRPr="00A51861">
        <w:rPr>
          <w:rFonts w:asciiTheme="majorHAnsi" w:hAnsiTheme="majorHAnsi"/>
          <w:color w:val="auto"/>
          <w:sz w:val="16"/>
          <w:szCs w:val="16"/>
        </w:rPr>
        <w:t xml:space="preserve">2001.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Hugo Daniel Ferreira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106">
    <w:p w14:paraId="7582DED5" w14:textId="7E7BDB13"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55</w:t>
      </w:r>
      <w:r w:rsidRPr="00A51861">
        <w:rPr>
          <w:rFonts w:asciiTheme="majorHAnsi" w:hAnsiTheme="majorHAnsi"/>
          <w:color w:val="auto"/>
          <w:sz w:val="16"/>
          <w:szCs w:val="16"/>
        </w:rPr>
        <w:t xml:space="preserve">. </w:t>
      </w:r>
      <w:r w:rsidR="000E67CA">
        <w:rPr>
          <w:rFonts w:asciiTheme="majorHAnsi" w:hAnsiTheme="majorHAnsi"/>
          <w:color w:val="auto"/>
          <w:sz w:val="16"/>
          <w:szCs w:val="16"/>
        </w:rPr>
        <w:t>Decision</w:t>
      </w:r>
      <w:r w:rsidR="00061928">
        <w:rPr>
          <w:rFonts w:asciiTheme="majorHAnsi" w:hAnsiTheme="majorHAnsi"/>
          <w:color w:val="auto"/>
          <w:sz w:val="16"/>
          <w:szCs w:val="16"/>
        </w:rPr>
        <w:t xml:space="preserve"> of the </w:t>
      </w:r>
      <w:r w:rsidR="00116313">
        <w:rPr>
          <w:rFonts w:asciiTheme="majorHAnsi" w:hAnsiTheme="majorHAnsi"/>
          <w:color w:val="auto"/>
          <w:sz w:val="16"/>
          <w:szCs w:val="16"/>
        </w:rPr>
        <w:t>National Chamber of Federal Contentious Administrative Appeals</w:t>
      </w:r>
      <w:r w:rsidRPr="00A51861">
        <w:rPr>
          <w:rFonts w:asciiTheme="majorHAnsi" w:hAnsiTheme="majorHAnsi"/>
          <w:color w:val="auto"/>
          <w:sz w:val="16"/>
          <w:szCs w:val="16"/>
        </w:rPr>
        <w:t xml:space="preserve">, </w:t>
      </w:r>
      <w:r w:rsidR="00076366">
        <w:rPr>
          <w:rFonts w:asciiTheme="majorHAnsi" w:hAnsiTheme="majorHAnsi"/>
          <w:color w:val="auto"/>
          <w:sz w:val="16"/>
          <w:szCs w:val="16"/>
        </w:rPr>
        <w:t xml:space="preserve">December 11, </w:t>
      </w:r>
      <w:r w:rsidRPr="00A51861">
        <w:rPr>
          <w:rFonts w:asciiTheme="majorHAnsi" w:hAnsiTheme="majorHAnsi"/>
          <w:color w:val="auto"/>
          <w:sz w:val="16"/>
          <w:szCs w:val="16"/>
        </w:rPr>
        <w:t xml:space="preserve">2001.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Hugo Daniel Ferreira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107">
    <w:p w14:paraId="38AB93D4" w14:textId="4C462765"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55</w:t>
      </w:r>
      <w:r w:rsidRPr="00A51861">
        <w:rPr>
          <w:rFonts w:asciiTheme="majorHAnsi" w:hAnsiTheme="majorHAnsi"/>
          <w:color w:val="auto"/>
          <w:sz w:val="16"/>
          <w:szCs w:val="16"/>
        </w:rPr>
        <w:t xml:space="preserve">. </w:t>
      </w:r>
      <w:r w:rsidR="000E67CA">
        <w:rPr>
          <w:rFonts w:asciiTheme="majorHAnsi" w:hAnsiTheme="majorHAnsi"/>
          <w:color w:val="auto"/>
          <w:sz w:val="16"/>
          <w:szCs w:val="16"/>
        </w:rPr>
        <w:t>Decision</w:t>
      </w:r>
      <w:r w:rsidR="00061928">
        <w:rPr>
          <w:rFonts w:asciiTheme="majorHAnsi" w:hAnsiTheme="majorHAnsi"/>
          <w:color w:val="auto"/>
          <w:sz w:val="16"/>
          <w:szCs w:val="16"/>
        </w:rPr>
        <w:t xml:space="preserve"> of the </w:t>
      </w:r>
      <w:r w:rsidR="00116313">
        <w:rPr>
          <w:rFonts w:asciiTheme="majorHAnsi" w:hAnsiTheme="majorHAnsi"/>
          <w:color w:val="auto"/>
          <w:sz w:val="16"/>
          <w:szCs w:val="16"/>
        </w:rPr>
        <w:t>National Chamber of Federal Contentious Administrative Appeals</w:t>
      </w:r>
      <w:r w:rsidRPr="00A51861">
        <w:rPr>
          <w:rFonts w:asciiTheme="majorHAnsi" w:hAnsiTheme="majorHAnsi"/>
          <w:color w:val="auto"/>
          <w:sz w:val="16"/>
          <w:szCs w:val="16"/>
        </w:rPr>
        <w:t xml:space="preserve">, </w:t>
      </w:r>
      <w:r w:rsidR="00076366">
        <w:rPr>
          <w:rFonts w:asciiTheme="majorHAnsi" w:hAnsiTheme="majorHAnsi"/>
          <w:color w:val="auto"/>
          <w:sz w:val="16"/>
          <w:szCs w:val="16"/>
        </w:rPr>
        <w:t xml:space="preserve">December 11, </w:t>
      </w:r>
      <w:r w:rsidRPr="00A51861">
        <w:rPr>
          <w:rFonts w:asciiTheme="majorHAnsi" w:hAnsiTheme="majorHAnsi"/>
          <w:color w:val="auto"/>
          <w:sz w:val="16"/>
          <w:szCs w:val="16"/>
        </w:rPr>
        <w:t xml:space="preserve">2001.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Hugo Daniel Ferreira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108">
    <w:p w14:paraId="29530EFF" w14:textId="788A5F35"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56</w:t>
      </w:r>
      <w:r w:rsidRPr="00A51861">
        <w:rPr>
          <w:rFonts w:asciiTheme="majorHAnsi" w:hAnsiTheme="majorHAnsi"/>
          <w:color w:val="auto"/>
          <w:sz w:val="16"/>
          <w:szCs w:val="16"/>
        </w:rPr>
        <w:t xml:space="preserve">. </w:t>
      </w:r>
      <w:r w:rsidR="00280367">
        <w:rPr>
          <w:rFonts w:asciiTheme="majorHAnsi" w:hAnsiTheme="majorHAnsi"/>
          <w:color w:val="auto"/>
          <w:sz w:val="16"/>
          <w:szCs w:val="16"/>
        </w:rPr>
        <w:t>Brief of filing of extraordinary judicial remedy</w:t>
      </w:r>
      <w:r w:rsidRPr="00A51861">
        <w:rPr>
          <w:rFonts w:asciiTheme="majorHAnsi" w:hAnsiTheme="majorHAnsi"/>
          <w:color w:val="auto"/>
          <w:sz w:val="16"/>
          <w:szCs w:val="16"/>
        </w:rPr>
        <w:t xml:space="preserve">.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Hugo Daniel Ferreira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109">
    <w:p w14:paraId="72732473" w14:textId="5352DF5E"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57</w:t>
      </w:r>
      <w:r w:rsidRPr="00A51861">
        <w:rPr>
          <w:rFonts w:asciiTheme="majorHAnsi" w:hAnsiTheme="majorHAnsi"/>
          <w:color w:val="auto"/>
          <w:sz w:val="16"/>
          <w:szCs w:val="16"/>
        </w:rPr>
        <w:t xml:space="preserve">. </w:t>
      </w:r>
      <w:r w:rsidR="004E56A9">
        <w:rPr>
          <w:rFonts w:asciiTheme="majorHAnsi" w:hAnsiTheme="majorHAnsi"/>
          <w:color w:val="auto"/>
          <w:sz w:val="16"/>
          <w:szCs w:val="16"/>
        </w:rPr>
        <w:t>Judgment</w:t>
      </w:r>
      <w:r w:rsidR="00061928">
        <w:rPr>
          <w:rFonts w:asciiTheme="majorHAnsi" w:hAnsiTheme="majorHAnsi"/>
          <w:color w:val="auto"/>
          <w:sz w:val="16"/>
          <w:szCs w:val="16"/>
        </w:rPr>
        <w:t xml:space="preserve"> of the </w:t>
      </w:r>
      <w:r w:rsidR="0020342F">
        <w:rPr>
          <w:rFonts w:asciiTheme="majorHAnsi" w:hAnsiTheme="majorHAnsi"/>
          <w:color w:val="auto"/>
          <w:sz w:val="16"/>
          <w:szCs w:val="16"/>
        </w:rPr>
        <w:t>Supreme Court of Justice of the Nation</w:t>
      </w:r>
      <w:r w:rsidRPr="00A51861">
        <w:rPr>
          <w:rFonts w:asciiTheme="majorHAnsi" w:hAnsiTheme="majorHAnsi"/>
          <w:color w:val="auto"/>
          <w:sz w:val="16"/>
          <w:szCs w:val="16"/>
        </w:rPr>
        <w:t xml:space="preserve">, </w:t>
      </w:r>
      <w:r w:rsidR="00076366">
        <w:rPr>
          <w:rFonts w:asciiTheme="majorHAnsi" w:hAnsiTheme="majorHAnsi"/>
          <w:color w:val="auto"/>
          <w:sz w:val="16"/>
          <w:szCs w:val="16"/>
        </w:rPr>
        <w:t xml:space="preserve">October 31, </w:t>
      </w:r>
      <w:r w:rsidRPr="00A51861">
        <w:rPr>
          <w:rFonts w:asciiTheme="majorHAnsi" w:hAnsiTheme="majorHAnsi"/>
          <w:color w:val="auto"/>
          <w:sz w:val="16"/>
          <w:szCs w:val="16"/>
        </w:rPr>
        <w:t xml:space="preserve">2006.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Hugo Daniel Ferreira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110">
    <w:p w14:paraId="464A4B7C" w14:textId="08344CD5"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58</w:t>
      </w:r>
      <w:r w:rsidRPr="00A51861">
        <w:rPr>
          <w:rFonts w:asciiTheme="majorHAnsi" w:hAnsiTheme="majorHAnsi"/>
          <w:color w:val="auto"/>
          <w:sz w:val="16"/>
          <w:szCs w:val="16"/>
        </w:rPr>
        <w:t xml:space="preserve">. Dictamen </w:t>
      </w:r>
      <w:r w:rsidR="001F7816">
        <w:rPr>
          <w:rFonts w:asciiTheme="majorHAnsi" w:hAnsiTheme="majorHAnsi"/>
          <w:color w:val="auto"/>
          <w:sz w:val="16"/>
          <w:szCs w:val="16"/>
        </w:rPr>
        <w:t xml:space="preserve">of the Attorney General before the Supreme </w:t>
      </w:r>
      <w:r w:rsidR="0020342F">
        <w:rPr>
          <w:rFonts w:asciiTheme="majorHAnsi" w:hAnsiTheme="majorHAnsi"/>
          <w:color w:val="auto"/>
          <w:sz w:val="16"/>
          <w:szCs w:val="16"/>
        </w:rPr>
        <w:t>Court of Justice of the Nation</w:t>
      </w:r>
      <w:r w:rsidRPr="00A51861">
        <w:rPr>
          <w:rFonts w:asciiTheme="majorHAnsi" w:hAnsiTheme="majorHAnsi"/>
          <w:color w:val="auto"/>
          <w:sz w:val="16"/>
          <w:szCs w:val="16"/>
        </w:rPr>
        <w:t xml:space="preserve">, </w:t>
      </w:r>
      <w:r w:rsidR="00076366">
        <w:rPr>
          <w:rFonts w:asciiTheme="majorHAnsi" w:hAnsiTheme="majorHAnsi"/>
          <w:color w:val="auto"/>
          <w:sz w:val="16"/>
          <w:szCs w:val="16"/>
        </w:rPr>
        <w:t xml:space="preserve">July 29, </w:t>
      </w:r>
      <w:r w:rsidRPr="00A51861">
        <w:rPr>
          <w:rFonts w:asciiTheme="majorHAnsi" w:hAnsiTheme="majorHAnsi"/>
          <w:color w:val="auto"/>
          <w:sz w:val="16"/>
          <w:szCs w:val="16"/>
        </w:rPr>
        <w:t xml:space="preserve">2005.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Hugo Daniel Ferreira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111">
    <w:p w14:paraId="2B3EA9B1" w14:textId="18054063"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58</w:t>
      </w:r>
      <w:r w:rsidRPr="00A51861">
        <w:rPr>
          <w:rFonts w:asciiTheme="majorHAnsi" w:hAnsiTheme="majorHAnsi"/>
          <w:color w:val="auto"/>
          <w:sz w:val="16"/>
          <w:szCs w:val="16"/>
        </w:rPr>
        <w:t xml:space="preserve">. Dictamen </w:t>
      </w:r>
      <w:r w:rsidR="001F7816">
        <w:rPr>
          <w:rFonts w:asciiTheme="majorHAnsi" w:hAnsiTheme="majorHAnsi"/>
          <w:color w:val="auto"/>
          <w:sz w:val="16"/>
          <w:szCs w:val="16"/>
        </w:rPr>
        <w:t xml:space="preserve">of the Attorney General before the Supreme </w:t>
      </w:r>
      <w:r w:rsidR="0020342F">
        <w:rPr>
          <w:rFonts w:asciiTheme="majorHAnsi" w:hAnsiTheme="majorHAnsi"/>
          <w:color w:val="auto"/>
          <w:sz w:val="16"/>
          <w:szCs w:val="16"/>
        </w:rPr>
        <w:t>Court of Justice of the Nation</w:t>
      </w:r>
      <w:r w:rsidRPr="00A51861">
        <w:rPr>
          <w:rFonts w:asciiTheme="majorHAnsi" w:hAnsiTheme="majorHAnsi"/>
          <w:color w:val="auto"/>
          <w:sz w:val="16"/>
          <w:szCs w:val="16"/>
        </w:rPr>
        <w:t xml:space="preserve">, </w:t>
      </w:r>
      <w:r w:rsidR="00076366">
        <w:rPr>
          <w:rFonts w:asciiTheme="majorHAnsi" w:hAnsiTheme="majorHAnsi"/>
          <w:color w:val="auto"/>
          <w:sz w:val="16"/>
          <w:szCs w:val="16"/>
        </w:rPr>
        <w:t xml:space="preserve">July 29, </w:t>
      </w:r>
      <w:r w:rsidRPr="00A51861">
        <w:rPr>
          <w:rFonts w:asciiTheme="majorHAnsi" w:hAnsiTheme="majorHAnsi"/>
          <w:color w:val="auto"/>
          <w:sz w:val="16"/>
          <w:szCs w:val="16"/>
        </w:rPr>
        <w:t xml:space="preserve">2005.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Hugo Daniel Ferreira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112">
    <w:p w14:paraId="1E00B662" w14:textId="1AEE90D6"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53</w:t>
      </w:r>
      <w:r w:rsidRPr="00A51861">
        <w:rPr>
          <w:rFonts w:asciiTheme="majorHAnsi" w:hAnsiTheme="majorHAnsi"/>
          <w:color w:val="auto"/>
          <w:sz w:val="16"/>
          <w:szCs w:val="16"/>
        </w:rPr>
        <w:t xml:space="preserve">. </w:t>
      </w:r>
      <w:r w:rsidR="00A9213F">
        <w:rPr>
          <w:rFonts w:asciiTheme="majorHAnsi" w:hAnsiTheme="majorHAnsi"/>
          <w:color w:val="auto"/>
          <w:sz w:val="16"/>
          <w:szCs w:val="16"/>
        </w:rPr>
        <w:t xml:space="preserve">Initial petition of </w:t>
      </w:r>
      <w:r w:rsidRPr="00A51861">
        <w:rPr>
          <w:rFonts w:asciiTheme="majorHAnsi" w:hAnsiTheme="majorHAnsi"/>
          <w:color w:val="auto"/>
          <w:sz w:val="16"/>
          <w:szCs w:val="16"/>
        </w:rPr>
        <w:t xml:space="preserve">Hugo Daniel Ferreira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113">
    <w:p w14:paraId="1C61813B" w14:textId="15FBCDEE"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52</w:t>
      </w:r>
      <w:r w:rsidRPr="00A51861">
        <w:rPr>
          <w:rFonts w:asciiTheme="majorHAnsi" w:hAnsiTheme="majorHAnsi"/>
          <w:color w:val="auto"/>
          <w:sz w:val="16"/>
          <w:szCs w:val="16"/>
        </w:rPr>
        <w:t xml:space="preserve">. </w:t>
      </w:r>
      <w:r w:rsidR="004E56A9">
        <w:rPr>
          <w:rFonts w:asciiTheme="majorHAnsi" w:hAnsiTheme="majorHAnsi"/>
          <w:color w:val="auto"/>
          <w:sz w:val="16"/>
          <w:szCs w:val="16"/>
        </w:rPr>
        <w:t>Brief of amplification of demands</w:t>
      </w:r>
      <w:r w:rsidRPr="00A51861">
        <w:rPr>
          <w:rFonts w:asciiTheme="majorHAnsi" w:hAnsiTheme="majorHAnsi"/>
          <w:color w:val="auto"/>
          <w:sz w:val="16"/>
          <w:szCs w:val="16"/>
        </w:rPr>
        <w:t xml:space="preserve">.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Hugo Daniel Ferreira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 xml:space="preserve">2007,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6D7ED9">
        <w:rPr>
          <w:rFonts w:asciiTheme="majorHAnsi" w:hAnsiTheme="majorHAnsi"/>
          <w:color w:val="auto"/>
          <w:sz w:val="16"/>
          <w:szCs w:val="16"/>
        </w:rPr>
        <w:t>59</w:t>
      </w:r>
      <w:r w:rsidRPr="00A51861">
        <w:rPr>
          <w:rFonts w:asciiTheme="majorHAnsi" w:hAnsiTheme="majorHAnsi"/>
          <w:color w:val="auto"/>
          <w:sz w:val="16"/>
          <w:szCs w:val="16"/>
        </w:rPr>
        <w:t xml:space="preserve">. </w:t>
      </w:r>
      <w:r w:rsidR="00356384">
        <w:rPr>
          <w:rFonts w:asciiTheme="majorHAnsi" w:hAnsiTheme="majorHAnsi"/>
          <w:color w:val="auto"/>
          <w:sz w:val="16"/>
          <w:szCs w:val="16"/>
        </w:rPr>
        <w:t>Brief of filing of direct appeal</w:t>
      </w:r>
      <w:r w:rsidRPr="00A51861">
        <w:rPr>
          <w:rFonts w:asciiTheme="majorHAnsi" w:hAnsiTheme="majorHAnsi"/>
          <w:color w:val="auto"/>
          <w:sz w:val="16"/>
          <w:szCs w:val="16"/>
        </w:rPr>
        <w:t xml:space="preserve">, </w:t>
      </w:r>
      <w:r w:rsidR="001F7816">
        <w:rPr>
          <w:rFonts w:asciiTheme="majorHAnsi" w:hAnsiTheme="majorHAnsi"/>
          <w:color w:val="auto"/>
          <w:sz w:val="16"/>
          <w:szCs w:val="16"/>
        </w:rPr>
        <w:t>May</w:t>
      </w:r>
      <w:r w:rsidRPr="00A51861">
        <w:rPr>
          <w:rFonts w:asciiTheme="majorHAnsi" w:hAnsiTheme="majorHAnsi"/>
          <w:color w:val="auto"/>
          <w:sz w:val="16"/>
          <w:szCs w:val="16"/>
        </w:rPr>
        <w:t xml:space="preserve"> 2001.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Hugo Daniel Ferreira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r w:rsidR="00B6596B">
        <w:rPr>
          <w:rFonts w:asciiTheme="majorHAnsi" w:hAnsiTheme="majorHAnsi"/>
          <w:color w:val="auto"/>
          <w:sz w:val="16"/>
          <w:szCs w:val="16"/>
        </w:rPr>
        <w:t xml:space="preserve"> and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6D7ED9">
        <w:rPr>
          <w:rFonts w:asciiTheme="majorHAnsi" w:hAnsiTheme="majorHAnsi"/>
          <w:color w:val="auto"/>
          <w:sz w:val="16"/>
          <w:szCs w:val="16"/>
        </w:rPr>
        <w:t>56</w:t>
      </w:r>
      <w:r w:rsidRPr="00A51861">
        <w:rPr>
          <w:rFonts w:asciiTheme="majorHAnsi" w:hAnsiTheme="majorHAnsi"/>
          <w:color w:val="auto"/>
          <w:sz w:val="16"/>
          <w:szCs w:val="16"/>
        </w:rPr>
        <w:t xml:space="preserve">. </w:t>
      </w:r>
      <w:r w:rsidR="00280367">
        <w:rPr>
          <w:rFonts w:asciiTheme="majorHAnsi" w:hAnsiTheme="majorHAnsi"/>
          <w:color w:val="auto"/>
          <w:sz w:val="16"/>
          <w:szCs w:val="16"/>
        </w:rPr>
        <w:t>Brief of filing of extraordinary judicial remedy</w:t>
      </w:r>
      <w:r w:rsidRPr="00A51861">
        <w:rPr>
          <w:rFonts w:asciiTheme="majorHAnsi" w:hAnsiTheme="majorHAnsi"/>
          <w:color w:val="auto"/>
          <w:sz w:val="16"/>
          <w:szCs w:val="16"/>
        </w:rPr>
        <w:t xml:space="preserve">.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Hugo Daniel Ferreira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114">
    <w:p w14:paraId="63A76DAD" w14:textId="18ED1EB5"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53</w:t>
      </w:r>
      <w:r w:rsidRPr="00A51861">
        <w:rPr>
          <w:rFonts w:asciiTheme="majorHAnsi" w:hAnsiTheme="majorHAnsi"/>
          <w:color w:val="auto"/>
          <w:sz w:val="16"/>
          <w:szCs w:val="16"/>
        </w:rPr>
        <w:t xml:space="preserve">. </w:t>
      </w:r>
      <w:r w:rsidR="00A9213F">
        <w:rPr>
          <w:rFonts w:asciiTheme="majorHAnsi" w:hAnsiTheme="majorHAnsi"/>
          <w:color w:val="auto"/>
          <w:sz w:val="16"/>
          <w:szCs w:val="16"/>
        </w:rPr>
        <w:t xml:space="preserve">Initial petition of </w:t>
      </w:r>
      <w:r w:rsidRPr="00A51861">
        <w:rPr>
          <w:rFonts w:asciiTheme="majorHAnsi" w:hAnsiTheme="majorHAnsi"/>
          <w:color w:val="auto"/>
          <w:sz w:val="16"/>
          <w:szCs w:val="16"/>
        </w:rPr>
        <w:t xml:space="preserve">Hugo Daniel Ferreira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115">
    <w:p w14:paraId="29277D5C" w14:textId="02E29494"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59</w:t>
      </w:r>
      <w:r w:rsidRPr="00A51861">
        <w:rPr>
          <w:rFonts w:asciiTheme="majorHAnsi" w:hAnsiTheme="majorHAnsi"/>
          <w:color w:val="auto"/>
          <w:sz w:val="16"/>
          <w:szCs w:val="16"/>
        </w:rPr>
        <w:t xml:space="preserve">. </w:t>
      </w:r>
      <w:r w:rsidR="00356384">
        <w:rPr>
          <w:rFonts w:asciiTheme="majorHAnsi" w:hAnsiTheme="majorHAnsi"/>
          <w:color w:val="auto"/>
          <w:sz w:val="16"/>
          <w:szCs w:val="16"/>
        </w:rPr>
        <w:t>Brief of filing of direct appeal</w:t>
      </w:r>
      <w:r w:rsidRPr="00A51861">
        <w:rPr>
          <w:rFonts w:asciiTheme="majorHAnsi" w:hAnsiTheme="majorHAnsi"/>
          <w:color w:val="auto"/>
          <w:sz w:val="16"/>
          <w:szCs w:val="16"/>
        </w:rPr>
        <w:t xml:space="preserve">, mayo de 2001.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Hugo Daniel Ferreira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116">
    <w:p w14:paraId="6B010165" w14:textId="0FCB248B"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18</w:t>
      </w:r>
      <w:r w:rsidRPr="00A51861">
        <w:rPr>
          <w:rFonts w:asciiTheme="majorHAnsi" w:hAnsiTheme="majorHAnsi"/>
          <w:color w:val="auto"/>
          <w:sz w:val="16"/>
          <w:szCs w:val="16"/>
        </w:rPr>
        <w:t xml:space="preserve">. </w:t>
      </w:r>
      <w:r w:rsidR="001A574D">
        <w:rPr>
          <w:rFonts w:asciiTheme="majorHAnsi" w:hAnsiTheme="majorHAnsi"/>
          <w:color w:val="auto"/>
          <w:sz w:val="16"/>
          <w:szCs w:val="16"/>
        </w:rPr>
        <w:t>Brief which claims a new fact before the Supreme Court of Justice</w:t>
      </w:r>
      <w:r w:rsidRPr="00A51861">
        <w:rPr>
          <w:rFonts w:asciiTheme="majorHAnsi" w:hAnsiTheme="majorHAnsi"/>
          <w:color w:val="auto"/>
          <w:sz w:val="16"/>
          <w:szCs w:val="16"/>
        </w:rPr>
        <w:t xml:space="preserve">.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Hugo Daniel Ferreira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117">
    <w:p w14:paraId="209F6AC4" w14:textId="0CC2A089"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18</w:t>
      </w:r>
      <w:r w:rsidRPr="00A51861">
        <w:rPr>
          <w:rFonts w:asciiTheme="majorHAnsi" w:hAnsiTheme="majorHAnsi"/>
          <w:color w:val="auto"/>
          <w:sz w:val="16"/>
          <w:szCs w:val="16"/>
        </w:rPr>
        <w:t xml:space="preserve">. </w:t>
      </w:r>
      <w:r w:rsidR="004E56A9">
        <w:rPr>
          <w:rFonts w:asciiTheme="majorHAnsi" w:hAnsiTheme="majorHAnsi"/>
          <w:color w:val="auto"/>
          <w:sz w:val="16"/>
          <w:szCs w:val="16"/>
        </w:rPr>
        <w:t>Judgment</w:t>
      </w:r>
      <w:r w:rsidR="00061928">
        <w:rPr>
          <w:rFonts w:asciiTheme="majorHAnsi" w:hAnsiTheme="majorHAnsi"/>
          <w:color w:val="auto"/>
          <w:sz w:val="16"/>
          <w:szCs w:val="16"/>
        </w:rPr>
        <w:t xml:space="preserve"> of the </w:t>
      </w:r>
      <w:r w:rsidR="0020342F">
        <w:rPr>
          <w:rFonts w:asciiTheme="majorHAnsi" w:hAnsiTheme="majorHAnsi"/>
          <w:color w:val="auto"/>
          <w:sz w:val="16"/>
          <w:szCs w:val="16"/>
        </w:rPr>
        <w:t>Supreme Court of Justice of the Nation</w:t>
      </w:r>
      <w:r w:rsidRPr="00A51861">
        <w:rPr>
          <w:rFonts w:asciiTheme="majorHAnsi" w:hAnsiTheme="majorHAnsi"/>
          <w:color w:val="auto"/>
          <w:sz w:val="16"/>
          <w:szCs w:val="16"/>
        </w:rPr>
        <w:t xml:space="preserve">, </w:t>
      </w:r>
      <w:r w:rsidR="00076366">
        <w:rPr>
          <w:rFonts w:asciiTheme="majorHAnsi" w:hAnsiTheme="majorHAnsi"/>
          <w:color w:val="auto"/>
          <w:sz w:val="16"/>
          <w:szCs w:val="16"/>
        </w:rPr>
        <w:t xml:space="preserve">October 31, </w:t>
      </w:r>
      <w:r w:rsidRPr="00A51861">
        <w:rPr>
          <w:rFonts w:asciiTheme="majorHAnsi" w:hAnsiTheme="majorHAnsi"/>
          <w:color w:val="auto"/>
          <w:sz w:val="16"/>
          <w:szCs w:val="16"/>
        </w:rPr>
        <w:t xml:space="preserve">2006.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Hugo Daniel Ferreira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118">
    <w:p w14:paraId="1ECFAA69" w14:textId="1819474D"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60</w:t>
      </w:r>
      <w:r w:rsidRPr="00A51861">
        <w:rPr>
          <w:rFonts w:asciiTheme="majorHAnsi" w:hAnsiTheme="majorHAnsi"/>
          <w:color w:val="auto"/>
          <w:sz w:val="16"/>
          <w:szCs w:val="16"/>
        </w:rPr>
        <w:t xml:space="preserve">. </w:t>
      </w:r>
      <w:r w:rsidR="004E56A9">
        <w:rPr>
          <w:rFonts w:asciiTheme="majorHAnsi" w:hAnsiTheme="majorHAnsi"/>
          <w:color w:val="auto"/>
          <w:sz w:val="16"/>
          <w:szCs w:val="16"/>
        </w:rPr>
        <w:t>Brief of amplification of demands</w:t>
      </w:r>
      <w:r w:rsidRPr="00A51861">
        <w:rPr>
          <w:rFonts w:asciiTheme="majorHAnsi" w:hAnsiTheme="majorHAnsi"/>
          <w:color w:val="auto"/>
          <w:sz w:val="16"/>
          <w:szCs w:val="16"/>
        </w:rPr>
        <w:t xml:space="preserve">.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Nicasio Washington Romero Ubal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119">
    <w:p w14:paraId="1FC94361" w14:textId="31E0CFB1"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60</w:t>
      </w:r>
      <w:r w:rsidRPr="00A51861">
        <w:rPr>
          <w:rFonts w:asciiTheme="majorHAnsi" w:hAnsiTheme="majorHAnsi"/>
          <w:color w:val="auto"/>
          <w:sz w:val="16"/>
          <w:szCs w:val="16"/>
        </w:rPr>
        <w:t xml:space="preserve">. </w:t>
      </w:r>
      <w:r w:rsidR="004E56A9">
        <w:rPr>
          <w:rFonts w:asciiTheme="majorHAnsi" w:hAnsiTheme="majorHAnsi"/>
          <w:color w:val="auto"/>
          <w:sz w:val="16"/>
          <w:szCs w:val="16"/>
        </w:rPr>
        <w:t>Brief of amplification of demands</w:t>
      </w:r>
      <w:r w:rsidRPr="00A51861">
        <w:rPr>
          <w:rFonts w:asciiTheme="majorHAnsi" w:hAnsiTheme="majorHAnsi"/>
          <w:color w:val="auto"/>
          <w:sz w:val="16"/>
          <w:szCs w:val="16"/>
        </w:rPr>
        <w:t xml:space="preserve">.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Nicasio Washington Romero Ubal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120">
    <w:p w14:paraId="072AB3CA" w14:textId="2A94CD13"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60</w:t>
      </w:r>
      <w:r w:rsidRPr="00A51861">
        <w:rPr>
          <w:rFonts w:asciiTheme="majorHAnsi" w:hAnsiTheme="majorHAnsi"/>
          <w:color w:val="auto"/>
          <w:sz w:val="16"/>
          <w:szCs w:val="16"/>
        </w:rPr>
        <w:t xml:space="preserve">. </w:t>
      </w:r>
      <w:r w:rsidR="004E56A9">
        <w:rPr>
          <w:rFonts w:asciiTheme="majorHAnsi" w:hAnsiTheme="majorHAnsi"/>
          <w:color w:val="auto"/>
          <w:sz w:val="16"/>
          <w:szCs w:val="16"/>
        </w:rPr>
        <w:t>Brief of amplification of demands</w:t>
      </w:r>
      <w:r w:rsidRPr="00A51861">
        <w:rPr>
          <w:rFonts w:asciiTheme="majorHAnsi" w:hAnsiTheme="majorHAnsi"/>
          <w:color w:val="auto"/>
          <w:sz w:val="16"/>
          <w:szCs w:val="16"/>
        </w:rPr>
        <w:t xml:space="preserve">.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Nicasio Washington Romero Ubal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121">
    <w:p w14:paraId="0C3FEDCE" w14:textId="3AEA58F8"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60</w:t>
      </w:r>
      <w:r w:rsidRPr="00A51861">
        <w:rPr>
          <w:rFonts w:asciiTheme="majorHAnsi" w:hAnsiTheme="majorHAnsi"/>
          <w:color w:val="auto"/>
          <w:sz w:val="16"/>
          <w:szCs w:val="16"/>
        </w:rPr>
        <w:t xml:space="preserve">. </w:t>
      </w:r>
      <w:r w:rsidR="004E56A9">
        <w:rPr>
          <w:rFonts w:asciiTheme="majorHAnsi" w:hAnsiTheme="majorHAnsi"/>
          <w:color w:val="auto"/>
          <w:sz w:val="16"/>
          <w:szCs w:val="16"/>
        </w:rPr>
        <w:t>Brief of amplification of demands</w:t>
      </w:r>
      <w:r w:rsidRPr="00A51861">
        <w:rPr>
          <w:rFonts w:asciiTheme="majorHAnsi" w:hAnsiTheme="majorHAnsi"/>
          <w:color w:val="auto"/>
          <w:sz w:val="16"/>
          <w:szCs w:val="16"/>
        </w:rPr>
        <w:t xml:space="preserve">.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Nicasio Washington Romero Ubal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122">
    <w:p w14:paraId="0B92ABC4" w14:textId="29D8EE96"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60</w:t>
      </w:r>
      <w:r w:rsidRPr="00A51861">
        <w:rPr>
          <w:rFonts w:asciiTheme="majorHAnsi" w:hAnsiTheme="majorHAnsi"/>
          <w:color w:val="auto"/>
          <w:sz w:val="16"/>
          <w:szCs w:val="16"/>
        </w:rPr>
        <w:t xml:space="preserve">. </w:t>
      </w:r>
      <w:r w:rsidR="004E56A9">
        <w:rPr>
          <w:rFonts w:asciiTheme="majorHAnsi" w:hAnsiTheme="majorHAnsi"/>
          <w:color w:val="auto"/>
          <w:sz w:val="16"/>
          <w:szCs w:val="16"/>
        </w:rPr>
        <w:t>Brief of amplification of demands</w:t>
      </w:r>
      <w:r w:rsidRPr="00A51861">
        <w:rPr>
          <w:rFonts w:asciiTheme="majorHAnsi" w:hAnsiTheme="majorHAnsi"/>
          <w:color w:val="auto"/>
          <w:sz w:val="16"/>
          <w:szCs w:val="16"/>
        </w:rPr>
        <w:t xml:space="preserve">.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Nicasio Washington Romero Ubal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123">
    <w:p w14:paraId="14D42CF6" w14:textId="19DA358C" w:rsidR="00F40E67" w:rsidRPr="00A51861" w:rsidRDefault="00F40E67" w:rsidP="0063693D">
      <w:pPr>
        <w:pStyle w:val="FootnoteText"/>
        <w:jc w:val="both"/>
        <w:rPr>
          <w:rFonts w:asciiTheme="majorHAnsi" w:hAnsiTheme="majorHAnsi"/>
          <w:color w:val="auto"/>
          <w:sz w:val="16"/>
          <w:szCs w:val="16"/>
          <w:highlight w:val="cyan"/>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60</w:t>
      </w:r>
      <w:r w:rsidRPr="00A51861">
        <w:rPr>
          <w:rFonts w:asciiTheme="majorHAnsi" w:hAnsiTheme="majorHAnsi"/>
          <w:color w:val="auto"/>
          <w:sz w:val="16"/>
          <w:szCs w:val="16"/>
        </w:rPr>
        <w:t xml:space="preserve">. </w:t>
      </w:r>
      <w:r w:rsidR="004E56A9">
        <w:rPr>
          <w:rFonts w:asciiTheme="majorHAnsi" w:hAnsiTheme="majorHAnsi"/>
          <w:color w:val="auto"/>
          <w:sz w:val="16"/>
          <w:szCs w:val="16"/>
        </w:rPr>
        <w:t>Brief of amplification of demands</w:t>
      </w:r>
      <w:r w:rsidRPr="00A51861">
        <w:rPr>
          <w:rFonts w:asciiTheme="majorHAnsi" w:hAnsiTheme="majorHAnsi"/>
          <w:color w:val="auto"/>
          <w:sz w:val="16"/>
          <w:szCs w:val="16"/>
        </w:rPr>
        <w:t xml:space="preserve">.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Nicasio Washington Romero Ubal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124">
    <w:p w14:paraId="2ACD9A08" w14:textId="31DA3BF8"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60</w:t>
      </w:r>
      <w:r w:rsidRPr="00A51861">
        <w:rPr>
          <w:rFonts w:asciiTheme="majorHAnsi" w:hAnsiTheme="majorHAnsi"/>
          <w:color w:val="auto"/>
          <w:sz w:val="16"/>
          <w:szCs w:val="16"/>
        </w:rPr>
        <w:t xml:space="preserve">. </w:t>
      </w:r>
      <w:r w:rsidR="004E56A9">
        <w:rPr>
          <w:rFonts w:asciiTheme="majorHAnsi" w:hAnsiTheme="majorHAnsi"/>
          <w:color w:val="auto"/>
          <w:sz w:val="16"/>
          <w:szCs w:val="16"/>
        </w:rPr>
        <w:t>Brief of amplification of demands</w:t>
      </w:r>
      <w:r w:rsidRPr="00A51861">
        <w:rPr>
          <w:rFonts w:asciiTheme="majorHAnsi" w:hAnsiTheme="majorHAnsi"/>
          <w:color w:val="auto"/>
          <w:sz w:val="16"/>
          <w:szCs w:val="16"/>
        </w:rPr>
        <w:t xml:space="preserve">.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Nicasio Washington Romero Ubal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125">
    <w:p w14:paraId="2C9AF561" w14:textId="503A3BED"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60</w:t>
      </w:r>
      <w:r w:rsidRPr="00A51861">
        <w:rPr>
          <w:rFonts w:asciiTheme="majorHAnsi" w:hAnsiTheme="majorHAnsi"/>
          <w:color w:val="auto"/>
          <w:sz w:val="16"/>
          <w:szCs w:val="16"/>
        </w:rPr>
        <w:t xml:space="preserve">. </w:t>
      </w:r>
      <w:r w:rsidR="004E56A9">
        <w:rPr>
          <w:rFonts w:asciiTheme="majorHAnsi" w:hAnsiTheme="majorHAnsi"/>
          <w:color w:val="auto"/>
          <w:sz w:val="16"/>
          <w:szCs w:val="16"/>
        </w:rPr>
        <w:t>Brief of amplification of demands</w:t>
      </w:r>
      <w:r w:rsidRPr="00A51861">
        <w:rPr>
          <w:rFonts w:asciiTheme="majorHAnsi" w:hAnsiTheme="majorHAnsi"/>
          <w:color w:val="auto"/>
          <w:sz w:val="16"/>
          <w:szCs w:val="16"/>
        </w:rPr>
        <w:t xml:space="preserve">.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Nicasio Washington Romero Ubal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126">
    <w:p w14:paraId="4FC46739" w14:textId="2D5F549F"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60</w:t>
      </w:r>
      <w:r w:rsidRPr="00A51861">
        <w:rPr>
          <w:rFonts w:asciiTheme="majorHAnsi" w:hAnsiTheme="majorHAnsi"/>
          <w:color w:val="auto"/>
          <w:sz w:val="16"/>
          <w:szCs w:val="16"/>
        </w:rPr>
        <w:t xml:space="preserve">. </w:t>
      </w:r>
      <w:r w:rsidR="004E56A9">
        <w:rPr>
          <w:rFonts w:asciiTheme="majorHAnsi" w:hAnsiTheme="majorHAnsi"/>
          <w:color w:val="auto"/>
          <w:sz w:val="16"/>
          <w:szCs w:val="16"/>
        </w:rPr>
        <w:t>Brief of amplification of demands</w:t>
      </w:r>
      <w:r w:rsidRPr="00A51861">
        <w:rPr>
          <w:rFonts w:asciiTheme="majorHAnsi" w:hAnsiTheme="majorHAnsi"/>
          <w:color w:val="auto"/>
          <w:sz w:val="16"/>
          <w:szCs w:val="16"/>
        </w:rPr>
        <w:t xml:space="preserve">.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Nicasio Washington Romero Ubal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127">
    <w:p w14:paraId="3CB8DF82" w14:textId="32A51BDE"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60</w:t>
      </w:r>
      <w:r w:rsidRPr="00A51861">
        <w:rPr>
          <w:rFonts w:asciiTheme="majorHAnsi" w:hAnsiTheme="majorHAnsi"/>
          <w:color w:val="auto"/>
          <w:sz w:val="16"/>
          <w:szCs w:val="16"/>
        </w:rPr>
        <w:t xml:space="preserve">. </w:t>
      </w:r>
      <w:r w:rsidR="004E56A9">
        <w:rPr>
          <w:rFonts w:asciiTheme="majorHAnsi" w:hAnsiTheme="majorHAnsi"/>
          <w:color w:val="auto"/>
          <w:sz w:val="16"/>
          <w:szCs w:val="16"/>
        </w:rPr>
        <w:t>Brief of amplification of demands</w:t>
      </w:r>
      <w:r w:rsidRPr="00A51861">
        <w:rPr>
          <w:rFonts w:asciiTheme="majorHAnsi" w:hAnsiTheme="majorHAnsi"/>
          <w:color w:val="auto"/>
          <w:sz w:val="16"/>
          <w:szCs w:val="16"/>
        </w:rPr>
        <w:t xml:space="preserve">.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Nicasio Washington Romero Ubal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128">
    <w:p w14:paraId="1B6343FD" w14:textId="1058771E"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60</w:t>
      </w:r>
      <w:r w:rsidRPr="00A51861">
        <w:rPr>
          <w:rFonts w:asciiTheme="majorHAnsi" w:hAnsiTheme="majorHAnsi"/>
          <w:color w:val="auto"/>
          <w:sz w:val="16"/>
          <w:szCs w:val="16"/>
        </w:rPr>
        <w:t xml:space="preserve">. </w:t>
      </w:r>
      <w:r w:rsidR="004E56A9">
        <w:rPr>
          <w:rFonts w:asciiTheme="majorHAnsi" w:hAnsiTheme="majorHAnsi"/>
          <w:color w:val="auto"/>
          <w:sz w:val="16"/>
          <w:szCs w:val="16"/>
        </w:rPr>
        <w:t>Brief of amplification of demands</w:t>
      </w:r>
      <w:r w:rsidRPr="00A51861">
        <w:rPr>
          <w:rFonts w:asciiTheme="majorHAnsi" w:hAnsiTheme="majorHAnsi"/>
          <w:color w:val="auto"/>
          <w:sz w:val="16"/>
          <w:szCs w:val="16"/>
        </w:rPr>
        <w:t xml:space="preserve">.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Nicasio Washington Romero Ubal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r w:rsidRPr="00A51861">
        <w:rPr>
          <w:rFonts w:asciiTheme="majorHAnsi" w:hAnsiTheme="majorHAnsi"/>
          <w:color w:val="auto"/>
          <w:sz w:val="16"/>
          <w:szCs w:val="16"/>
        </w:rPr>
        <w:tab/>
      </w:r>
    </w:p>
  </w:footnote>
  <w:footnote w:id="129">
    <w:p w14:paraId="4A33F882" w14:textId="0489FFDF"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0529E6">
        <w:rPr>
          <w:rFonts w:asciiTheme="majorHAnsi" w:hAnsiTheme="majorHAnsi"/>
          <w:color w:val="auto"/>
          <w:sz w:val="16"/>
          <w:szCs w:val="16"/>
        </w:rPr>
        <w:t>61</w:t>
      </w:r>
      <w:r w:rsidRPr="00A51861">
        <w:rPr>
          <w:rFonts w:asciiTheme="majorHAnsi" w:hAnsiTheme="majorHAnsi"/>
          <w:color w:val="auto"/>
          <w:sz w:val="16"/>
          <w:szCs w:val="16"/>
        </w:rPr>
        <w:t xml:space="preserve">. Dictamen No. 276 </w:t>
      </w:r>
      <w:r w:rsidR="00A51861">
        <w:rPr>
          <w:rFonts w:asciiTheme="majorHAnsi" w:hAnsiTheme="majorHAnsi"/>
          <w:color w:val="auto"/>
          <w:sz w:val="16"/>
          <w:szCs w:val="16"/>
        </w:rPr>
        <w:t>of the Ministry of Justice and Human Rights</w:t>
      </w:r>
      <w:r w:rsidRPr="00A51861">
        <w:rPr>
          <w:rFonts w:asciiTheme="majorHAnsi" w:hAnsiTheme="majorHAnsi"/>
          <w:color w:val="auto"/>
          <w:sz w:val="16"/>
          <w:szCs w:val="16"/>
        </w:rPr>
        <w:t xml:space="preserve">, </w:t>
      </w:r>
      <w:r w:rsidR="00E22665">
        <w:rPr>
          <w:rFonts w:asciiTheme="majorHAnsi" w:hAnsiTheme="majorHAnsi"/>
          <w:color w:val="auto"/>
          <w:sz w:val="16"/>
          <w:szCs w:val="16"/>
        </w:rPr>
        <w:t>December 27,</w:t>
      </w:r>
      <w:r w:rsidRPr="00A51861">
        <w:rPr>
          <w:rFonts w:asciiTheme="majorHAnsi" w:hAnsiTheme="majorHAnsi"/>
          <w:color w:val="auto"/>
          <w:sz w:val="16"/>
          <w:szCs w:val="16"/>
        </w:rPr>
        <w:t xml:space="preserve"> 2011. </w:t>
      </w:r>
      <w:r w:rsidR="00A51861" w:rsidRPr="00A51861">
        <w:rPr>
          <w:rFonts w:asciiTheme="majorHAnsi" w:hAnsiTheme="majorHAnsi"/>
          <w:color w:val="auto"/>
          <w:sz w:val="16"/>
          <w:szCs w:val="16"/>
        </w:rPr>
        <w:t xml:space="preserve">Annexed to the </w:t>
      </w:r>
      <w:r w:rsidR="00A51861">
        <w:rPr>
          <w:rFonts w:asciiTheme="majorHAnsi" w:hAnsiTheme="majorHAnsi"/>
          <w:color w:val="auto"/>
          <w:sz w:val="16"/>
          <w:szCs w:val="16"/>
        </w:rPr>
        <w:t xml:space="preserve">brief of the State of </w:t>
      </w:r>
      <w:r w:rsidRPr="00A51861">
        <w:rPr>
          <w:rFonts w:asciiTheme="majorHAnsi" w:hAnsiTheme="majorHAnsi"/>
          <w:color w:val="auto"/>
          <w:sz w:val="16"/>
          <w:szCs w:val="16"/>
        </w:rPr>
        <w:t xml:space="preserve">Nicasio Washington Romero Ubal </w:t>
      </w:r>
      <w:r w:rsidR="00E22665">
        <w:rPr>
          <w:rFonts w:asciiTheme="majorHAnsi" w:hAnsiTheme="majorHAnsi"/>
          <w:color w:val="auto"/>
          <w:sz w:val="16"/>
          <w:szCs w:val="16"/>
        </w:rPr>
        <w:t>of February 2,</w:t>
      </w:r>
      <w:r w:rsidRPr="00A51861">
        <w:rPr>
          <w:rFonts w:asciiTheme="majorHAnsi" w:hAnsiTheme="majorHAnsi"/>
          <w:color w:val="auto"/>
          <w:sz w:val="16"/>
          <w:szCs w:val="16"/>
        </w:rPr>
        <w:t xml:space="preserve"> 2012 </w:t>
      </w:r>
      <w:r w:rsidR="00E22665">
        <w:rPr>
          <w:rFonts w:asciiTheme="majorHAnsi" w:hAnsiTheme="majorHAnsi"/>
          <w:color w:val="auto"/>
          <w:sz w:val="16"/>
          <w:szCs w:val="16"/>
        </w:rPr>
        <w:t>and</w:t>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6D7ED9">
        <w:rPr>
          <w:rFonts w:asciiTheme="majorHAnsi" w:hAnsiTheme="majorHAnsi"/>
          <w:color w:val="auto"/>
          <w:sz w:val="16"/>
          <w:szCs w:val="16"/>
        </w:rPr>
        <w:t>62</w:t>
      </w:r>
      <w:r w:rsidRPr="00A51861">
        <w:rPr>
          <w:rFonts w:asciiTheme="majorHAnsi" w:hAnsiTheme="majorHAnsi"/>
          <w:color w:val="auto"/>
          <w:sz w:val="16"/>
          <w:szCs w:val="16"/>
        </w:rPr>
        <w:t xml:space="preserve">. </w:t>
      </w:r>
      <w:r w:rsidR="00E22665">
        <w:rPr>
          <w:rFonts w:asciiTheme="majorHAnsi" w:hAnsiTheme="majorHAnsi"/>
          <w:color w:val="auto"/>
          <w:sz w:val="16"/>
          <w:szCs w:val="16"/>
        </w:rPr>
        <w:t xml:space="preserve">Brief of </w:t>
      </w:r>
      <w:r w:rsidR="00061928">
        <w:rPr>
          <w:rFonts w:asciiTheme="majorHAnsi" w:hAnsiTheme="majorHAnsi"/>
          <w:color w:val="auto"/>
          <w:sz w:val="16"/>
          <w:szCs w:val="16"/>
        </w:rPr>
        <w:t xml:space="preserve">the </w:t>
      </w:r>
      <w:r w:rsidR="00106AEF">
        <w:rPr>
          <w:rFonts w:asciiTheme="majorHAnsi" w:hAnsiTheme="majorHAnsi"/>
          <w:color w:val="auto"/>
          <w:sz w:val="16"/>
          <w:szCs w:val="16"/>
        </w:rPr>
        <w:t>petitioner</w:t>
      </w:r>
      <w:r w:rsidRPr="00A51861">
        <w:rPr>
          <w:rFonts w:asciiTheme="majorHAnsi" w:hAnsiTheme="majorHAnsi"/>
          <w:color w:val="auto"/>
          <w:sz w:val="16"/>
          <w:szCs w:val="16"/>
        </w:rPr>
        <w:t xml:space="preserve"> </w:t>
      </w:r>
      <w:r w:rsidR="00E22665">
        <w:rPr>
          <w:rFonts w:asciiTheme="majorHAnsi" w:hAnsiTheme="majorHAnsi"/>
          <w:color w:val="auto"/>
          <w:sz w:val="16"/>
          <w:szCs w:val="16"/>
        </w:rPr>
        <w:t>of</w:t>
      </w:r>
      <w:r w:rsidRPr="00A51861">
        <w:rPr>
          <w:rFonts w:asciiTheme="majorHAnsi" w:hAnsiTheme="majorHAnsi"/>
          <w:color w:val="auto"/>
          <w:sz w:val="16"/>
          <w:szCs w:val="16"/>
        </w:rPr>
        <w:t xml:space="preserve"> Nicasio Washington Romero Ubal </w:t>
      </w:r>
      <w:r w:rsidR="00521E91">
        <w:rPr>
          <w:rFonts w:asciiTheme="majorHAnsi" w:hAnsiTheme="majorHAnsi"/>
          <w:color w:val="auto"/>
          <w:sz w:val="16"/>
          <w:szCs w:val="16"/>
        </w:rPr>
        <w:t xml:space="preserve">received </w:t>
      </w:r>
      <w:r w:rsidR="00E22665">
        <w:rPr>
          <w:rFonts w:asciiTheme="majorHAnsi" w:hAnsiTheme="majorHAnsi"/>
          <w:color w:val="auto"/>
          <w:sz w:val="16"/>
          <w:szCs w:val="16"/>
        </w:rPr>
        <w:t>March 23,</w:t>
      </w:r>
      <w:r w:rsidRPr="00A51861">
        <w:rPr>
          <w:rFonts w:asciiTheme="majorHAnsi" w:hAnsiTheme="majorHAnsi"/>
          <w:color w:val="auto"/>
          <w:sz w:val="16"/>
          <w:szCs w:val="16"/>
        </w:rPr>
        <w:t xml:space="preserve"> 2012.</w:t>
      </w:r>
    </w:p>
  </w:footnote>
  <w:footnote w:id="130">
    <w:p w14:paraId="46D16486" w14:textId="62F14F98"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F842EE">
        <w:rPr>
          <w:rFonts w:asciiTheme="majorHAnsi" w:hAnsiTheme="majorHAnsi"/>
          <w:color w:val="auto"/>
          <w:sz w:val="16"/>
          <w:szCs w:val="16"/>
        </w:rPr>
        <w:t>19</w:t>
      </w:r>
      <w:r w:rsidRPr="00A51861">
        <w:rPr>
          <w:rFonts w:asciiTheme="majorHAnsi" w:hAnsiTheme="majorHAnsi"/>
          <w:color w:val="auto"/>
          <w:sz w:val="16"/>
          <w:szCs w:val="16"/>
        </w:rPr>
        <w:t xml:space="preserve">. </w:t>
      </w:r>
      <w:r w:rsidR="004E56A9">
        <w:rPr>
          <w:rFonts w:asciiTheme="majorHAnsi" w:hAnsiTheme="majorHAnsi"/>
          <w:color w:val="auto"/>
          <w:sz w:val="16"/>
          <w:szCs w:val="16"/>
        </w:rPr>
        <w:t>Brief of amplification of demands</w:t>
      </w:r>
      <w:r w:rsidRPr="00A51861">
        <w:rPr>
          <w:rFonts w:asciiTheme="majorHAnsi" w:hAnsiTheme="majorHAnsi"/>
          <w:color w:val="auto"/>
          <w:sz w:val="16"/>
          <w:szCs w:val="16"/>
        </w:rPr>
        <w:t xml:space="preserve">.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Nicasio Washington Romero Ubal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131">
    <w:p w14:paraId="6A0A4597" w14:textId="3A9ABD2A"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F842EE">
        <w:rPr>
          <w:rFonts w:asciiTheme="majorHAnsi" w:hAnsiTheme="majorHAnsi"/>
          <w:color w:val="auto"/>
          <w:sz w:val="16"/>
          <w:szCs w:val="16"/>
        </w:rPr>
        <w:t>19</w:t>
      </w:r>
      <w:r w:rsidRPr="00A51861">
        <w:rPr>
          <w:rFonts w:asciiTheme="majorHAnsi" w:hAnsiTheme="majorHAnsi"/>
          <w:color w:val="auto"/>
          <w:sz w:val="16"/>
          <w:szCs w:val="16"/>
        </w:rPr>
        <w:t xml:space="preserve">. </w:t>
      </w:r>
      <w:r w:rsidR="004E56A9">
        <w:rPr>
          <w:rFonts w:asciiTheme="majorHAnsi" w:hAnsiTheme="majorHAnsi"/>
          <w:color w:val="auto"/>
          <w:sz w:val="16"/>
          <w:szCs w:val="16"/>
        </w:rPr>
        <w:t>Brief of amplification of demands</w:t>
      </w:r>
      <w:r w:rsidRPr="00A51861">
        <w:rPr>
          <w:rFonts w:asciiTheme="majorHAnsi" w:hAnsiTheme="majorHAnsi"/>
          <w:color w:val="auto"/>
          <w:sz w:val="16"/>
          <w:szCs w:val="16"/>
        </w:rPr>
        <w:t xml:space="preserve">.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Nicasio Washington Romero Ubal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132">
    <w:p w14:paraId="271C94B0" w14:textId="6C1243A2"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F842EE">
        <w:rPr>
          <w:rFonts w:asciiTheme="majorHAnsi" w:hAnsiTheme="majorHAnsi"/>
          <w:color w:val="auto"/>
          <w:sz w:val="16"/>
          <w:szCs w:val="16"/>
        </w:rPr>
        <w:t>63</w:t>
      </w:r>
      <w:r w:rsidRPr="00A51861">
        <w:rPr>
          <w:rFonts w:asciiTheme="majorHAnsi" w:hAnsiTheme="majorHAnsi"/>
          <w:color w:val="auto"/>
          <w:sz w:val="16"/>
          <w:szCs w:val="16"/>
        </w:rPr>
        <w:t xml:space="preserve">. </w:t>
      </w:r>
      <w:r w:rsidR="00E22665" w:rsidRPr="00A51861">
        <w:rPr>
          <w:rFonts w:asciiTheme="majorHAnsi" w:hAnsiTheme="majorHAnsi"/>
          <w:color w:val="auto"/>
          <w:sz w:val="16"/>
          <w:szCs w:val="16"/>
        </w:rPr>
        <w:t>Notification</w:t>
      </w:r>
      <w:r w:rsidR="00061928">
        <w:rPr>
          <w:rFonts w:asciiTheme="majorHAnsi" w:hAnsiTheme="majorHAnsi"/>
          <w:color w:val="auto"/>
          <w:sz w:val="16"/>
          <w:szCs w:val="16"/>
        </w:rPr>
        <w:t xml:space="preserve"> of the </w:t>
      </w:r>
      <w:r w:rsidR="00A51861" w:rsidRPr="00A51861">
        <w:rPr>
          <w:rFonts w:asciiTheme="majorHAnsi" w:hAnsiTheme="majorHAnsi"/>
          <w:color w:val="auto"/>
          <w:sz w:val="16"/>
          <w:szCs w:val="16"/>
        </w:rPr>
        <w:t xml:space="preserve">Resolution </w:t>
      </w:r>
      <w:r w:rsidRPr="00A51861">
        <w:rPr>
          <w:rFonts w:asciiTheme="majorHAnsi" w:hAnsiTheme="majorHAnsi"/>
          <w:color w:val="auto"/>
          <w:sz w:val="16"/>
          <w:szCs w:val="16"/>
        </w:rPr>
        <w:t xml:space="preserve">No. 2068 </w:t>
      </w:r>
      <w:r w:rsidR="00E40E0D">
        <w:rPr>
          <w:rFonts w:asciiTheme="majorHAnsi" w:hAnsiTheme="majorHAnsi"/>
          <w:color w:val="auto"/>
          <w:sz w:val="16"/>
          <w:szCs w:val="16"/>
        </w:rPr>
        <w:t xml:space="preserve">of the Ministry of </w:t>
      </w:r>
      <w:r w:rsidRPr="00A51861">
        <w:rPr>
          <w:rFonts w:asciiTheme="majorHAnsi" w:hAnsiTheme="majorHAnsi"/>
          <w:color w:val="auto"/>
          <w:sz w:val="16"/>
          <w:szCs w:val="16"/>
        </w:rPr>
        <w:t xml:space="preserve">interior, </w:t>
      </w:r>
      <w:r w:rsidR="00E22665">
        <w:rPr>
          <w:rFonts w:asciiTheme="majorHAnsi" w:hAnsiTheme="majorHAnsi"/>
          <w:color w:val="auto"/>
          <w:sz w:val="16"/>
          <w:szCs w:val="16"/>
        </w:rPr>
        <w:t>September 27,</w:t>
      </w:r>
      <w:r w:rsidRPr="00A51861">
        <w:rPr>
          <w:rFonts w:asciiTheme="majorHAnsi" w:hAnsiTheme="majorHAnsi"/>
          <w:color w:val="auto"/>
          <w:sz w:val="16"/>
          <w:szCs w:val="16"/>
        </w:rPr>
        <w:t xml:space="preserve"> 1999.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Nicasio Washington Romero Ubal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133">
    <w:p w14:paraId="0E80EDD2" w14:textId="0ED3F311"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F842EE">
        <w:rPr>
          <w:rFonts w:asciiTheme="majorHAnsi" w:hAnsiTheme="majorHAnsi"/>
          <w:color w:val="auto"/>
          <w:sz w:val="16"/>
          <w:szCs w:val="16"/>
        </w:rPr>
        <w:t>64</w:t>
      </w:r>
      <w:r w:rsidRPr="00A51861">
        <w:rPr>
          <w:rFonts w:asciiTheme="majorHAnsi" w:hAnsiTheme="majorHAnsi"/>
          <w:color w:val="auto"/>
          <w:sz w:val="16"/>
          <w:szCs w:val="16"/>
        </w:rPr>
        <w:t xml:space="preserve">. </w:t>
      </w:r>
      <w:r w:rsidR="00E22665">
        <w:rPr>
          <w:rFonts w:asciiTheme="majorHAnsi" w:hAnsiTheme="majorHAnsi"/>
          <w:color w:val="auto"/>
          <w:sz w:val="16"/>
          <w:szCs w:val="16"/>
        </w:rPr>
        <w:t>Brief of filing of direct appeal</w:t>
      </w:r>
      <w:r w:rsidRPr="00A51861">
        <w:rPr>
          <w:rFonts w:asciiTheme="majorHAnsi" w:hAnsiTheme="majorHAnsi"/>
          <w:color w:val="auto"/>
          <w:sz w:val="16"/>
          <w:szCs w:val="16"/>
        </w:rPr>
        <w:t xml:space="preserve">, </w:t>
      </w:r>
      <w:r w:rsidR="00E22665">
        <w:rPr>
          <w:rFonts w:asciiTheme="majorHAnsi" w:hAnsiTheme="majorHAnsi"/>
          <w:color w:val="auto"/>
          <w:sz w:val="16"/>
          <w:szCs w:val="16"/>
        </w:rPr>
        <w:t xml:space="preserve">October 19, </w:t>
      </w:r>
      <w:r w:rsidRPr="00A51861">
        <w:rPr>
          <w:rFonts w:asciiTheme="majorHAnsi" w:hAnsiTheme="majorHAnsi"/>
          <w:color w:val="auto"/>
          <w:sz w:val="16"/>
          <w:szCs w:val="16"/>
        </w:rPr>
        <w:t xml:space="preserve">1999.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Nicasio Washington Romero Ubal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134">
    <w:p w14:paraId="03304884" w14:textId="0E3C67D1"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F842EE">
        <w:rPr>
          <w:rFonts w:asciiTheme="majorHAnsi" w:hAnsiTheme="majorHAnsi"/>
          <w:color w:val="auto"/>
          <w:sz w:val="16"/>
          <w:szCs w:val="16"/>
        </w:rPr>
        <w:t>64</w:t>
      </w:r>
      <w:r w:rsidRPr="00A51861">
        <w:rPr>
          <w:rFonts w:asciiTheme="majorHAnsi" w:hAnsiTheme="majorHAnsi"/>
          <w:color w:val="auto"/>
          <w:sz w:val="16"/>
          <w:szCs w:val="16"/>
        </w:rPr>
        <w:t xml:space="preserve">. </w:t>
      </w:r>
      <w:r w:rsidR="00E22665">
        <w:rPr>
          <w:rFonts w:asciiTheme="majorHAnsi" w:hAnsiTheme="majorHAnsi"/>
          <w:color w:val="auto"/>
          <w:sz w:val="16"/>
          <w:szCs w:val="16"/>
        </w:rPr>
        <w:t>Brief of filing of direct appeal</w:t>
      </w:r>
      <w:r w:rsidRPr="00A51861">
        <w:rPr>
          <w:rFonts w:asciiTheme="majorHAnsi" w:hAnsiTheme="majorHAnsi"/>
          <w:color w:val="auto"/>
          <w:sz w:val="16"/>
          <w:szCs w:val="16"/>
        </w:rPr>
        <w:t xml:space="preserve">, </w:t>
      </w:r>
      <w:r w:rsidR="00E22665">
        <w:rPr>
          <w:rFonts w:asciiTheme="majorHAnsi" w:hAnsiTheme="majorHAnsi"/>
          <w:color w:val="auto"/>
          <w:sz w:val="16"/>
          <w:szCs w:val="16"/>
        </w:rPr>
        <w:t xml:space="preserve">October 19, </w:t>
      </w:r>
      <w:r w:rsidRPr="00A51861">
        <w:rPr>
          <w:rFonts w:asciiTheme="majorHAnsi" w:hAnsiTheme="majorHAnsi"/>
          <w:color w:val="auto"/>
          <w:sz w:val="16"/>
          <w:szCs w:val="16"/>
        </w:rPr>
        <w:t xml:space="preserve">1999.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Nicasio Washington Romero Ubal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135">
    <w:p w14:paraId="6E5A9E68" w14:textId="7EA6E0B4"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F842EE">
        <w:rPr>
          <w:rFonts w:asciiTheme="majorHAnsi" w:hAnsiTheme="majorHAnsi"/>
          <w:color w:val="auto"/>
          <w:sz w:val="16"/>
          <w:szCs w:val="16"/>
        </w:rPr>
        <w:t>65</w:t>
      </w:r>
      <w:r w:rsidRPr="00A51861">
        <w:rPr>
          <w:rFonts w:asciiTheme="majorHAnsi" w:hAnsiTheme="majorHAnsi"/>
          <w:color w:val="auto"/>
          <w:sz w:val="16"/>
          <w:szCs w:val="16"/>
        </w:rPr>
        <w:t xml:space="preserve">. </w:t>
      </w:r>
      <w:r w:rsidR="000E67CA">
        <w:rPr>
          <w:rFonts w:asciiTheme="majorHAnsi" w:hAnsiTheme="majorHAnsi"/>
          <w:color w:val="auto"/>
          <w:sz w:val="16"/>
          <w:szCs w:val="16"/>
        </w:rPr>
        <w:t>Decision</w:t>
      </w:r>
      <w:r w:rsidR="00061928">
        <w:rPr>
          <w:rFonts w:asciiTheme="majorHAnsi" w:hAnsiTheme="majorHAnsi"/>
          <w:color w:val="auto"/>
          <w:sz w:val="16"/>
          <w:szCs w:val="16"/>
        </w:rPr>
        <w:t xml:space="preserve"> of the </w:t>
      </w:r>
      <w:r w:rsidR="00116313">
        <w:rPr>
          <w:rFonts w:asciiTheme="majorHAnsi" w:hAnsiTheme="majorHAnsi"/>
          <w:color w:val="auto"/>
          <w:sz w:val="16"/>
          <w:szCs w:val="16"/>
        </w:rPr>
        <w:t>National Chamber of Federal Contentious Administrative Appeals</w:t>
      </w:r>
      <w:r w:rsidRPr="00A51861">
        <w:rPr>
          <w:rFonts w:asciiTheme="majorHAnsi" w:hAnsiTheme="majorHAnsi"/>
          <w:color w:val="auto"/>
          <w:sz w:val="16"/>
          <w:szCs w:val="16"/>
        </w:rPr>
        <w:t xml:space="preserve">, </w:t>
      </w:r>
      <w:r w:rsidR="00E22665">
        <w:rPr>
          <w:rFonts w:asciiTheme="majorHAnsi" w:hAnsiTheme="majorHAnsi"/>
          <w:color w:val="auto"/>
          <w:sz w:val="16"/>
          <w:szCs w:val="16"/>
        </w:rPr>
        <w:t xml:space="preserve">May 9, </w:t>
      </w:r>
      <w:r w:rsidRPr="00A51861">
        <w:rPr>
          <w:rFonts w:asciiTheme="majorHAnsi" w:hAnsiTheme="majorHAnsi"/>
          <w:color w:val="auto"/>
          <w:sz w:val="16"/>
          <w:szCs w:val="16"/>
        </w:rPr>
        <w:t xml:space="preserve">2000.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Nicasio Washington Romero Ubal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136">
    <w:p w14:paraId="257BED4D" w14:textId="27BDA8BE"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F842EE">
        <w:rPr>
          <w:rFonts w:asciiTheme="majorHAnsi" w:hAnsiTheme="majorHAnsi"/>
          <w:color w:val="auto"/>
          <w:sz w:val="16"/>
          <w:szCs w:val="16"/>
        </w:rPr>
        <w:t>66</w:t>
      </w:r>
      <w:r w:rsidRPr="00A51861">
        <w:rPr>
          <w:rFonts w:asciiTheme="majorHAnsi" w:hAnsiTheme="majorHAnsi"/>
          <w:color w:val="auto"/>
          <w:sz w:val="16"/>
          <w:szCs w:val="16"/>
        </w:rPr>
        <w:t xml:space="preserve">. </w:t>
      </w:r>
      <w:r w:rsidR="00280367">
        <w:rPr>
          <w:rFonts w:asciiTheme="majorHAnsi" w:hAnsiTheme="majorHAnsi"/>
          <w:color w:val="auto"/>
          <w:sz w:val="16"/>
          <w:szCs w:val="16"/>
        </w:rPr>
        <w:t>Brief of filing of extraordinary judicial remedy</w:t>
      </w:r>
      <w:r w:rsidRPr="00A51861">
        <w:rPr>
          <w:rFonts w:asciiTheme="majorHAnsi" w:hAnsiTheme="majorHAnsi"/>
          <w:color w:val="auto"/>
          <w:sz w:val="16"/>
          <w:szCs w:val="16"/>
        </w:rPr>
        <w:t xml:space="preserve">.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Nicasio Washington Romero Ubal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137">
    <w:p w14:paraId="1E4B7492" w14:textId="61ECB7A6"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F842EE">
        <w:rPr>
          <w:rFonts w:asciiTheme="majorHAnsi" w:hAnsiTheme="majorHAnsi"/>
          <w:color w:val="auto"/>
          <w:sz w:val="16"/>
          <w:szCs w:val="16"/>
        </w:rPr>
        <w:t>67</w:t>
      </w:r>
      <w:r w:rsidRPr="00A51861">
        <w:rPr>
          <w:rFonts w:asciiTheme="majorHAnsi" w:hAnsiTheme="majorHAnsi"/>
          <w:color w:val="auto"/>
          <w:sz w:val="16"/>
          <w:szCs w:val="16"/>
        </w:rPr>
        <w:t xml:space="preserve">. </w:t>
      </w:r>
      <w:r w:rsidR="00E22665">
        <w:rPr>
          <w:rFonts w:asciiTheme="majorHAnsi" w:hAnsiTheme="majorHAnsi"/>
          <w:color w:val="auto"/>
          <w:sz w:val="16"/>
          <w:szCs w:val="16"/>
        </w:rPr>
        <w:t>Brief of filing of complaint</w:t>
      </w:r>
      <w:r w:rsidRPr="00A51861">
        <w:rPr>
          <w:rFonts w:asciiTheme="majorHAnsi" w:hAnsiTheme="majorHAnsi"/>
          <w:color w:val="auto"/>
          <w:sz w:val="16"/>
          <w:szCs w:val="16"/>
        </w:rPr>
        <w:t xml:space="preserve">.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Nicasio Washington Romero Ubal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138">
    <w:p w14:paraId="4FC3D776" w14:textId="0A5FFCBD"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F842EE">
        <w:rPr>
          <w:rFonts w:asciiTheme="majorHAnsi" w:hAnsiTheme="majorHAnsi"/>
          <w:color w:val="auto"/>
          <w:sz w:val="16"/>
          <w:szCs w:val="16"/>
        </w:rPr>
        <w:t>67</w:t>
      </w:r>
      <w:r w:rsidRPr="00A51861">
        <w:rPr>
          <w:rFonts w:asciiTheme="majorHAnsi" w:hAnsiTheme="majorHAnsi"/>
          <w:color w:val="auto"/>
          <w:sz w:val="16"/>
          <w:szCs w:val="16"/>
        </w:rPr>
        <w:t xml:space="preserve">. </w:t>
      </w:r>
      <w:r w:rsidR="00E22665">
        <w:rPr>
          <w:rFonts w:asciiTheme="majorHAnsi" w:hAnsiTheme="majorHAnsi"/>
          <w:color w:val="auto"/>
          <w:sz w:val="16"/>
          <w:szCs w:val="16"/>
        </w:rPr>
        <w:t>Brief of filing of complaint</w:t>
      </w:r>
      <w:r w:rsidRPr="00A51861">
        <w:rPr>
          <w:rFonts w:asciiTheme="majorHAnsi" w:hAnsiTheme="majorHAnsi"/>
          <w:color w:val="auto"/>
          <w:sz w:val="16"/>
          <w:szCs w:val="16"/>
        </w:rPr>
        <w:t xml:space="preserve">.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Nicasio Washington Romero Ubal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139">
    <w:p w14:paraId="272D9C37" w14:textId="6FE84A98"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F842EE">
        <w:rPr>
          <w:rFonts w:asciiTheme="majorHAnsi" w:hAnsiTheme="majorHAnsi"/>
          <w:color w:val="auto"/>
          <w:sz w:val="16"/>
          <w:szCs w:val="16"/>
        </w:rPr>
        <w:t>68</w:t>
      </w:r>
      <w:r w:rsidRPr="00A51861">
        <w:rPr>
          <w:rFonts w:asciiTheme="majorHAnsi" w:hAnsiTheme="majorHAnsi"/>
          <w:color w:val="auto"/>
          <w:sz w:val="16"/>
          <w:szCs w:val="16"/>
        </w:rPr>
        <w:t xml:space="preserve">. </w:t>
      </w:r>
      <w:r w:rsidR="004E56A9">
        <w:rPr>
          <w:rFonts w:asciiTheme="majorHAnsi" w:hAnsiTheme="majorHAnsi"/>
          <w:color w:val="auto"/>
          <w:sz w:val="16"/>
          <w:szCs w:val="16"/>
        </w:rPr>
        <w:t>Judgment</w:t>
      </w:r>
      <w:r w:rsidR="00061928">
        <w:rPr>
          <w:rFonts w:asciiTheme="majorHAnsi" w:hAnsiTheme="majorHAnsi"/>
          <w:color w:val="auto"/>
          <w:sz w:val="16"/>
          <w:szCs w:val="16"/>
        </w:rPr>
        <w:t xml:space="preserve"> of the </w:t>
      </w:r>
      <w:r w:rsidR="0020342F">
        <w:rPr>
          <w:rFonts w:asciiTheme="majorHAnsi" w:hAnsiTheme="majorHAnsi"/>
          <w:color w:val="auto"/>
          <w:sz w:val="16"/>
          <w:szCs w:val="16"/>
        </w:rPr>
        <w:t>Supreme Court of Justice of the Nation</w:t>
      </w:r>
      <w:r w:rsidRPr="00A51861">
        <w:rPr>
          <w:rFonts w:asciiTheme="majorHAnsi" w:hAnsiTheme="majorHAnsi"/>
          <w:color w:val="auto"/>
          <w:sz w:val="16"/>
          <w:szCs w:val="16"/>
        </w:rPr>
        <w:t xml:space="preserve">, </w:t>
      </w:r>
      <w:r w:rsidR="00076366">
        <w:rPr>
          <w:rFonts w:asciiTheme="majorHAnsi" w:hAnsiTheme="majorHAnsi"/>
          <w:color w:val="auto"/>
          <w:sz w:val="16"/>
          <w:szCs w:val="16"/>
        </w:rPr>
        <w:t xml:space="preserve">October 31, </w:t>
      </w:r>
      <w:r w:rsidRPr="00A51861">
        <w:rPr>
          <w:rFonts w:asciiTheme="majorHAnsi" w:hAnsiTheme="majorHAnsi"/>
          <w:color w:val="auto"/>
          <w:sz w:val="16"/>
          <w:szCs w:val="16"/>
        </w:rPr>
        <w:t xml:space="preserve">2006.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Nicasio Washington Romero Ubal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140">
    <w:p w14:paraId="1BCEB55C" w14:textId="5C2F7EB3"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F842EE">
        <w:rPr>
          <w:rFonts w:asciiTheme="majorHAnsi" w:hAnsiTheme="majorHAnsi"/>
          <w:color w:val="auto"/>
          <w:sz w:val="16"/>
          <w:szCs w:val="16"/>
        </w:rPr>
        <w:t>68</w:t>
      </w:r>
      <w:r w:rsidRPr="00A51861">
        <w:rPr>
          <w:rFonts w:asciiTheme="majorHAnsi" w:hAnsiTheme="majorHAnsi"/>
          <w:color w:val="auto"/>
          <w:sz w:val="16"/>
          <w:szCs w:val="16"/>
        </w:rPr>
        <w:t xml:space="preserve">. </w:t>
      </w:r>
      <w:r w:rsidR="004E56A9">
        <w:rPr>
          <w:rFonts w:asciiTheme="majorHAnsi" w:hAnsiTheme="majorHAnsi"/>
          <w:color w:val="auto"/>
          <w:sz w:val="16"/>
          <w:szCs w:val="16"/>
        </w:rPr>
        <w:t>Judgment</w:t>
      </w:r>
      <w:r w:rsidR="00061928">
        <w:rPr>
          <w:rFonts w:asciiTheme="majorHAnsi" w:hAnsiTheme="majorHAnsi"/>
          <w:color w:val="auto"/>
          <w:sz w:val="16"/>
          <w:szCs w:val="16"/>
        </w:rPr>
        <w:t xml:space="preserve"> of the </w:t>
      </w:r>
      <w:r w:rsidR="0020342F">
        <w:rPr>
          <w:rFonts w:asciiTheme="majorHAnsi" w:hAnsiTheme="majorHAnsi"/>
          <w:color w:val="auto"/>
          <w:sz w:val="16"/>
          <w:szCs w:val="16"/>
        </w:rPr>
        <w:t>Supreme Court of Justice of the Nation</w:t>
      </w:r>
      <w:r w:rsidRPr="00A51861">
        <w:rPr>
          <w:rFonts w:asciiTheme="majorHAnsi" w:hAnsiTheme="majorHAnsi"/>
          <w:color w:val="auto"/>
          <w:sz w:val="16"/>
          <w:szCs w:val="16"/>
        </w:rPr>
        <w:t xml:space="preserve">, </w:t>
      </w:r>
      <w:r w:rsidR="00076366">
        <w:rPr>
          <w:rFonts w:asciiTheme="majorHAnsi" w:hAnsiTheme="majorHAnsi"/>
          <w:color w:val="auto"/>
          <w:sz w:val="16"/>
          <w:szCs w:val="16"/>
        </w:rPr>
        <w:t xml:space="preserve">October 31, </w:t>
      </w:r>
      <w:r w:rsidRPr="00A51861">
        <w:rPr>
          <w:rFonts w:asciiTheme="majorHAnsi" w:hAnsiTheme="majorHAnsi"/>
          <w:color w:val="auto"/>
          <w:sz w:val="16"/>
          <w:szCs w:val="16"/>
        </w:rPr>
        <w:t xml:space="preserve">2006.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Nicasio Washington Romero Ubal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141">
    <w:p w14:paraId="641059EB" w14:textId="0A6833BA"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F842EE">
        <w:rPr>
          <w:rFonts w:asciiTheme="majorHAnsi" w:hAnsiTheme="majorHAnsi"/>
          <w:color w:val="auto"/>
          <w:sz w:val="16"/>
          <w:szCs w:val="16"/>
        </w:rPr>
        <w:t>69</w:t>
      </w:r>
      <w:r w:rsidRPr="00A51861">
        <w:rPr>
          <w:rFonts w:asciiTheme="majorHAnsi" w:hAnsiTheme="majorHAnsi"/>
          <w:color w:val="auto"/>
          <w:sz w:val="16"/>
          <w:szCs w:val="16"/>
        </w:rPr>
        <w:t xml:space="preserve">. </w:t>
      </w:r>
      <w:r w:rsidR="004E56A9">
        <w:rPr>
          <w:rFonts w:asciiTheme="majorHAnsi" w:hAnsiTheme="majorHAnsi"/>
          <w:color w:val="auto"/>
          <w:sz w:val="16"/>
          <w:szCs w:val="16"/>
        </w:rPr>
        <w:t>Brief of amplification of demands</w:t>
      </w:r>
      <w:r w:rsidRPr="00A51861">
        <w:rPr>
          <w:rFonts w:asciiTheme="majorHAnsi" w:hAnsiTheme="majorHAnsi"/>
          <w:color w:val="auto"/>
          <w:sz w:val="16"/>
          <w:szCs w:val="16"/>
        </w:rPr>
        <w:t xml:space="preserve">.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Nicasio Washington Romero Ubal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142">
    <w:p w14:paraId="625681DB" w14:textId="05D2AB1D"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F842EE">
        <w:rPr>
          <w:rFonts w:asciiTheme="majorHAnsi" w:hAnsiTheme="majorHAnsi"/>
          <w:color w:val="auto"/>
          <w:sz w:val="16"/>
          <w:szCs w:val="16"/>
        </w:rPr>
        <w:t>60</w:t>
      </w:r>
      <w:r w:rsidRPr="00A51861">
        <w:rPr>
          <w:rFonts w:asciiTheme="majorHAnsi" w:hAnsiTheme="majorHAnsi"/>
          <w:color w:val="auto"/>
          <w:sz w:val="16"/>
          <w:szCs w:val="16"/>
        </w:rPr>
        <w:t xml:space="preserve">. </w:t>
      </w:r>
      <w:r w:rsidR="004E56A9">
        <w:rPr>
          <w:rFonts w:asciiTheme="majorHAnsi" w:hAnsiTheme="majorHAnsi"/>
          <w:color w:val="auto"/>
          <w:sz w:val="16"/>
          <w:szCs w:val="16"/>
        </w:rPr>
        <w:t>Brief of amplification of demands</w:t>
      </w:r>
      <w:r w:rsidRPr="00A51861">
        <w:rPr>
          <w:rFonts w:asciiTheme="majorHAnsi" w:hAnsiTheme="majorHAnsi"/>
          <w:color w:val="auto"/>
          <w:sz w:val="16"/>
          <w:szCs w:val="16"/>
        </w:rPr>
        <w:t xml:space="preserve">.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Nicasio Washington Romero Ubal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143">
    <w:p w14:paraId="2BC0A792" w14:textId="2323B307"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F842EE">
        <w:rPr>
          <w:rFonts w:asciiTheme="majorHAnsi" w:hAnsiTheme="majorHAnsi"/>
          <w:color w:val="auto"/>
          <w:sz w:val="16"/>
          <w:szCs w:val="16"/>
        </w:rPr>
        <w:t>64</w:t>
      </w:r>
      <w:r w:rsidRPr="00A51861">
        <w:rPr>
          <w:rFonts w:asciiTheme="majorHAnsi" w:hAnsiTheme="majorHAnsi"/>
          <w:color w:val="auto"/>
          <w:sz w:val="16"/>
          <w:szCs w:val="16"/>
        </w:rPr>
        <w:t xml:space="preserve">. </w:t>
      </w:r>
      <w:r w:rsidR="00E22665">
        <w:rPr>
          <w:rFonts w:asciiTheme="majorHAnsi" w:hAnsiTheme="majorHAnsi"/>
          <w:color w:val="auto"/>
          <w:sz w:val="16"/>
          <w:szCs w:val="16"/>
        </w:rPr>
        <w:t>Brief of filing of direct appeal</w:t>
      </w:r>
      <w:r w:rsidRPr="00A51861">
        <w:rPr>
          <w:rFonts w:asciiTheme="majorHAnsi" w:hAnsiTheme="majorHAnsi"/>
          <w:color w:val="auto"/>
          <w:sz w:val="16"/>
          <w:szCs w:val="16"/>
        </w:rPr>
        <w:t xml:space="preserve">, </w:t>
      </w:r>
      <w:r w:rsidR="00E22665">
        <w:rPr>
          <w:rFonts w:asciiTheme="majorHAnsi" w:hAnsiTheme="majorHAnsi"/>
          <w:color w:val="auto"/>
          <w:sz w:val="16"/>
          <w:szCs w:val="16"/>
        </w:rPr>
        <w:t xml:space="preserve">October 19, </w:t>
      </w:r>
      <w:r w:rsidRPr="00A51861">
        <w:rPr>
          <w:rFonts w:asciiTheme="majorHAnsi" w:hAnsiTheme="majorHAnsi"/>
          <w:color w:val="auto"/>
          <w:sz w:val="16"/>
          <w:szCs w:val="16"/>
        </w:rPr>
        <w:t xml:space="preserve">1999.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Nicasio Washington Romero Ubal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144">
    <w:p w14:paraId="18E94CEE" w14:textId="2F93A127" w:rsidR="00F40E67" w:rsidRPr="00A51861" w:rsidRDefault="00F40E67" w:rsidP="0063693D">
      <w:pPr>
        <w:pStyle w:val="FootnoteText"/>
        <w:jc w:val="both"/>
        <w:rPr>
          <w:rFonts w:asciiTheme="majorHAnsi" w:hAnsiTheme="majorHAnsi" w:cs="Arial"/>
          <w:color w:val="auto"/>
          <w:sz w:val="16"/>
          <w:szCs w:val="16"/>
        </w:rPr>
      </w:pPr>
      <w:r w:rsidRPr="00A51861">
        <w:rPr>
          <w:rStyle w:val="FootnoteReference"/>
          <w:rFonts w:asciiTheme="majorHAnsi" w:hAnsiTheme="majorHAnsi" w:cs="Arial"/>
          <w:color w:val="auto"/>
          <w:sz w:val="16"/>
          <w:szCs w:val="16"/>
        </w:rPr>
        <w:footnoteRef/>
      </w:r>
      <w:r w:rsidRPr="00A51861">
        <w:rPr>
          <w:rFonts w:asciiTheme="majorHAnsi" w:hAnsiTheme="majorHAnsi" w:cs="Arial"/>
          <w:color w:val="auto"/>
          <w:sz w:val="16"/>
          <w:szCs w:val="16"/>
        </w:rPr>
        <w:t xml:space="preserve"> </w:t>
      </w:r>
      <w:r w:rsidR="00E22665">
        <w:rPr>
          <w:rFonts w:asciiTheme="majorHAnsi" w:hAnsiTheme="majorHAnsi" w:cs="Arial"/>
          <w:color w:val="auto"/>
          <w:sz w:val="16"/>
          <w:szCs w:val="16"/>
        </w:rPr>
        <w:t xml:space="preserve">Article </w:t>
      </w:r>
      <w:r w:rsidRPr="00A51861">
        <w:rPr>
          <w:rFonts w:asciiTheme="majorHAnsi" w:hAnsiTheme="majorHAnsi" w:cs="Arial"/>
          <w:color w:val="auto"/>
          <w:sz w:val="16"/>
          <w:szCs w:val="16"/>
        </w:rPr>
        <w:t xml:space="preserve">I </w:t>
      </w:r>
      <w:r w:rsidR="00AA020F" w:rsidRPr="00A51861">
        <w:rPr>
          <w:rFonts w:asciiTheme="majorHAnsi" w:hAnsiTheme="majorHAnsi" w:cs="Arial"/>
          <w:color w:val="auto"/>
          <w:sz w:val="16"/>
          <w:szCs w:val="16"/>
        </w:rPr>
        <w:t>establ</w:t>
      </w:r>
      <w:r w:rsidR="00AA020F">
        <w:rPr>
          <w:rFonts w:asciiTheme="majorHAnsi" w:hAnsiTheme="majorHAnsi" w:cs="Arial"/>
          <w:color w:val="auto"/>
          <w:sz w:val="16"/>
          <w:szCs w:val="16"/>
        </w:rPr>
        <w:t>ishes</w:t>
      </w:r>
      <w:r w:rsidRPr="00A51861">
        <w:rPr>
          <w:rFonts w:asciiTheme="majorHAnsi" w:hAnsiTheme="majorHAnsi" w:cs="Arial"/>
          <w:color w:val="auto"/>
          <w:sz w:val="16"/>
          <w:szCs w:val="16"/>
        </w:rPr>
        <w:t>: “</w:t>
      </w:r>
      <w:r w:rsidR="00AA020F" w:rsidRPr="00AA020F">
        <w:rPr>
          <w:rFonts w:asciiTheme="majorHAnsi" w:hAnsiTheme="majorHAnsi" w:cs="Arial"/>
          <w:color w:val="auto"/>
          <w:sz w:val="16"/>
          <w:szCs w:val="16"/>
        </w:rPr>
        <w:t>Every human being has the right to life, liberty and the security of his person.</w:t>
      </w:r>
      <w:r w:rsidRPr="00A51861">
        <w:rPr>
          <w:rFonts w:asciiTheme="majorHAnsi" w:hAnsiTheme="majorHAnsi" w:cs="Arial"/>
          <w:color w:val="auto"/>
          <w:sz w:val="16"/>
          <w:szCs w:val="16"/>
        </w:rPr>
        <w:t>”.</w:t>
      </w:r>
    </w:p>
  </w:footnote>
  <w:footnote w:id="145">
    <w:p w14:paraId="4939057A" w14:textId="5F2A0041"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E22665">
        <w:rPr>
          <w:rFonts w:asciiTheme="majorHAnsi" w:hAnsiTheme="majorHAnsi"/>
          <w:color w:val="auto"/>
          <w:sz w:val="16"/>
          <w:szCs w:val="16"/>
        </w:rPr>
        <w:t xml:space="preserve">Article </w:t>
      </w:r>
      <w:r w:rsidRPr="00A51861">
        <w:rPr>
          <w:rFonts w:asciiTheme="majorHAnsi" w:hAnsiTheme="majorHAnsi"/>
          <w:color w:val="auto"/>
          <w:sz w:val="16"/>
          <w:szCs w:val="16"/>
        </w:rPr>
        <w:t xml:space="preserve">XXV </w:t>
      </w:r>
      <w:r w:rsidR="00AB53C0">
        <w:rPr>
          <w:rFonts w:asciiTheme="majorHAnsi" w:hAnsiTheme="majorHAnsi"/>
          <w:color w:val="auto"/>
          <w:sz w:val="16"/>
          <w:szCs w:val="16"/>
        </w:rPr>
        <w:t>provides that</w:t>
      </w:r>
      <w:r w:rsidRPr="00A51861">
        <w:rPr>
          <w:rFonts w:asciiTheme="majorHAnsi" w:hAnsiTheme="majorHAnsi"/>
          <w:color w:val="auto"/>
          <w:sz w:val="16"/>
          <w:szCs w:val="16"/>
        </w:rPr>
        <w:t>: “</w:t>
      </w:r>
      <w:r w:rsidR="00AA020F" w:rsidRPr="00AA020F">
        <w:rPr>
          <w:rFonts w:asciiTheme="majorHAnsi" w:hAnsiTheme="majorHAnsi"/>
          <w:color w:val="auto"/>
          <w:sz w:val="16"/>
          <w:szCs w:val="16"/>
        </w:rPr>
        <w:t>No person may be deprived of his liberty except in the cases and according to the procedures established by pre-existing law</w:t>
      </w:r>
      <w:r w:rsidRPr="00A51861">
        <w:rPr>
          <w:rFonts w:asciiTheme="majorHAnsi" w:hAnsiTheme="majorHAnsi"/>
          <w:color w:val="auto"/>
          <w:sz w:val="16"/>
          <w:szCs w:val="16"/>
        </w:rPr>
        <w:t xml:space="preserve">. </w:t>
      </w:r>
      <w:r w:rsidR="00AA020F" w:rsidRPr="00AA020F">
        <w:rPr>
          <w:rFonts w:asciiTheme="majorHAnsi" w:hAnsiTheme="majorHAnsi"/>
          <w:color w:val="auto"/>
          <w:sz w:val="16"/>
          <w:szCs w:val="16"/>
        </w:rPr>
        <w:t>No person may be deprived of liberty for nonfulfillment of obligations of a purely civil character</w:t>
      </w:r>
      <w:r w:rsidRPr="00A51861">
        <w:rPr>
          <w:rFonts w:asciiTheme="majorHAnsi" w:hAnsiTheme="majorHAnsi"/>
          <w:color w:val="auto"/>
          <w:sz w:val="16"/>
          <w:szCs w:val="16"/>
        </w:rPr>
        <w:t xml:space="preserve">. </w:t>
      </w:r>
      <w:r w:rsidR="00AA020F" w:rsidRPr="00AA020F">
        <w:rPr>
          <w:rFonts w:asciiTheme="majorHAnsi" w:hAnsiTheme="majorHAnsi"/>
          <w:color w:val="auto"/>
          <w:sz w:val="16"/>
          <w:szCs w:val="16"/>
        </w:rPr>
        <w:t>Every individual who has been deprived of his liberty has the right to have the legality of his detention ascertained without delay by a court, and the right to be tried without undue delay or, otherwise, to be released.  He also has the right to humane treatment during the time he is in custody.</w:t>
      </w:r>
      <w:r w:rsidRPr="00A51861">
        <w:rPr>
          <w:rFonts w:asciiTheme="majorHAnsi" w:hAnsiTheme="majorHAnsi"/>
          <w:color w:val="auto"/>
          <w:sz w:val="16"/>
          <w:szCs w:val="16"/>
        </w:rPr>
        <w:t>”.</w:t>
      </w:r>
    </w:p>
  </w:footnote>
  <w:footnote w:id="146">
    <w:p w14:paraId="2B93E9F2" w14:textId="3CCFCE74"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E22665">
        <w:rPr>
          <w:rFonts w:asciiTheme="majorHAnsi" w:hAnsiTheme="majorHAnsi"/>
          <w:color w:val="auto"/>
          <w:sz w:val="16"/>
          <w:szCs w:val="16"/>
        </w:rPr>
        <w:t xml:space="preserve">Article </w:t>
      </w:r>
      <w:r w:rsidRPr="00A51861">
        <w:rPr>
          <w:rFonts w:asciiTheme="majorHAnsi" w:hAnsiTheme="majorHAnsi"/>
          <w:color w:val="auto"/>
          <w:sz w:val="16"/>
          <w:szCs w:val="16"/>
        </w:rPr>
        <w:t xml:space="preserve">XXI </w:t>
      </w:r>
      <w:r w:rsidR="00AB53C0" w:rsidRPr="00A51861">
        <w:rPr>
          <w:rFonts w:asciiTheme="majorHAnsi" w:hAnsiTheme="majorHAnsi" w:cs="Arial"/>
          <w:color w:val="auto"/>
          <w:sz w:val="16"/>
          <w:szCs w:val="16"/>
        </w:rPr>
        <w:t>establ</w:t>
      </w:r>
      <w:r w:rsidR="00AB53C0">
        <w:rPr>
          <w:rFonts w:asciiTheme="majorHAnsi" w:hAnsiTheme="majorHAnsi" w:cs="Arial"/>
          <w:color w:val="auto"/>
          <w:sz w:val="16"/>
          <w:szCs w:val="16"/>
        </w:rPr>
        <w:t>ishes</w:t>
      </w:r>
      <w:r w:rsidRPr="00A51861">
        <w:rPr>
          <w:rFonts w:asciiTheme="majorHAnsi" w:hAnsiTheme="majorHAnsi"/>
          <w:color w:val="auto"/>
          <w:sz w:val="16"/>
          <w:szCs w:val="16"/>
        </w:rPr>
        <w:t>: “</w:t>
      </w:r>
      <w:r w:rsidR="00AA020F" w:rsidRPr="00AA020F">
        <w:rPr>
          <w:rFonts w:asciiTheme="majorHAnsi" w:hAnsiTheme="majorHAnsi"/>
          <w:color w:val="auto"/>
          <w:sz w:val="16"/>
          <w:szCs w:val="16"/>
        </w:rPr>
        <w:t>Every person has the right to assemble peaceably with others in a formal public meeting or an informal gathering, in connection with matters of common interest of any nature</w:t>
      </w:r>
      <w:r w:rsidRPr="00A51861">
        <w:rPr>
          <w:rFonts w:asciiTheme="majorHAnsi" w:hAnsiTheme="majorHAnsi"/>
          <w:color w:val="auto"/>
          <w:sz w:val="16"/>
          <w:szCs w:val="16"/>
        </w:rPr>
        <w:t>”.</w:t>
      </w:r>
    </w:p>
  </w:footnote>
  <w:footnote w:id="147">
    <w:p w14:paraId="6482AD79" w14:textId="436D5013"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0E67CA">
        <w:rPr>
          <w:rFonts w:asciiTheme="majorHAnsi" w:hAnsiTheme="majorHAnsi"/>
          <w:color w:val="auto"/>
          <w:sz w:val="16"/>
          <w:szCs w:val="16"/>
        </w:rPr>
        <w:t>IACHR</w:t>
      </w:r>
      <w:r w:rsidRPr="00A51861">
        <w:rPr>
          <w:rFonts w:asciiTheme="majorHAnsi" w:hAnsiTheme="majorHAnsi"/>
          <w:color w:val="auto"/>
          <w:sz w:val="16"/>
          <w:szCs w:val="16"/>
        </w:rPr>
        <w:t>.</w:t>
      </w:r>
      <w:r w:rsidR="000E67CA">
        <w:rPr>
          <w:rFonts w:asciiTheme="majorHAnsi" w:hAnsiTheme="majorHAnsi"/>
          <w:color w:val="auto"/>
          <w:sz w:val="16"/>
          <w:szCs w:val="16"/>
        </w:rPr>
        <w:t xml:space="preserve"> Report </w:t>
      </w:r>
      <w:r w:rsidR="00AA020F">
        <w:rPr>
          <w:rFonts w:asciiTheme="majorHAnsi" w:hAnsiTheme="majorHAnsi"/>
          <w:color w:val="auto"/>
          <w:sz w:val="16"/>
          <w:szCs w:val="16"/>
        </w:rPr>
        <w:t>on</w:t>
      </w:r>
      <w:r w:rsidRPr="00A51861">
        <w:rPr>
          <w:rFonts w:asciiTheme="majorHAnsi" w:hAnsiTheme="majorHAnsi"/>
          <w:color w:val="auto"/>
          <w:sz w:val="16"/>
          <w:szCs w:val="16"/>
        </w:rPr>
        <w:t xml:space="preserve"> terrorism</w:t>
      </w:r>
      <w:r w:rsidR="00B6596B">
        <w:rPr>
          <w:rFonts w:asciiTheme="majorHAnsi" w:hAnsiTheme="majorHAnsi"/>
          <w:color w:val="auto"/>
          <w:sz w:val="16"/>
          <w:szCs w:val="16"/>
        </w:rPr>
        <w:t xml:space="preserve"> and </w:t>
      </w:r>
      <w:r w:rsidRPr="00A51861">
        <w:rPr>
          <w:rFonts w:asciiTheme="majorHAnsi" w:hAnsiTheme="majorHAnsi"/>
          <w:color w:val="auto"/>
          <w:sz w:val="16"/>
          <w:szCs w:val="16"/>
        </w:rPr>
        <w:t>human</w:t>
      </w:r>
      <w:r w:rsidR="00AA020F">
        <w:rPr>
          <w:rFonts w:asciiTheme="majorHAnsi" w:hAnsiTheme="majorHAnsi"/>
          <w:color w:val="auto"/>
          <w:sz w:val="16"/>
          <w:szCs w:val="16"/>
        </w:rPr>
        <w:t xml:space="preserve"> right</w:t>
      </w:r>
      <w:r w:rsidRPr="00A51861">
        <w:rPr>
          <w:rFonts w:asciiTheme="majorHAnsi" w:hAnsiTheme="majorHAnsi"/>
          <w:color w:val="auto"/>
          <w:sz w:val="16"/>
          <w:szCs w:val="16"/>
        </w:rPr>
        <w:t xml:space="preserve">s, OEA/Ser.L/V/II.116.Doc.5 rev.1, </w:t>
      </w:r>
      <w:r w:rsidR="00AA020F">
        <w:rPr>
          <w:rFonts w:asciiTheme="majorHAnsi" w:hAnsiTheme="majorHAnsi"/>
          <w:color w:val="auto"/>
          <w:sz w:val="16"/>
          <w:szCs w:val="16"/>
        </w:rPr>
        <w:t>October 22,</w:t>
      </w:r>
      <w:r w:rsidRPr="00A51861">
        <w:rPr>
          <w:rFonts w:asciiTheme="majorHAnsi" w:hAnsiTheme="majorHAnsi"/>
          <w:color w:val="auto"/>
          <w:sz w:val="16"/>
          <w:szCs w:val="16"/>
        </w:rPr>
        <w:t xml:space="preserve"> 2002. </w:t>
      </w:r>
      <w:r w:rsidR="00357129">
        <w:rPr>
          <w:rFonts w:asciiTheme="majorHAnsi" w:hAnsiTheme="majorHAnsi"/>
          <w:color w:val="auto"/>
          <w:sz w:val="16"/>
          <w:szCs w:val="16"/>
        </w:rPr>
        <w:t xml:space="preserve">Para. </w:t>
      </w:r>
      <w:r w:rsidRPr="00A51861">
        <w:rPr>
          <w:rFonts w:asciiTheme="majorHAnsi" w:hAnsiTheme="majorHAnsi"/>
          <w:color w:val="auto"/>
          <w:sz w:val="16"/>
          <w:szCs w:val="16"/>
        </w:rPr>
        <w:t>120.</w:t>
      </w:r>
    </w:p>
  </w:footnote>
  <w:footnote w:id="148">
    <w:p w14:paraId="0445DC85" w14:textId="4D35E590"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0E67CA">
        <w:rPr>
          <w:rFonts w:asciiTheme="majorHAnsi" w:hAnsiTheme="majorHAnsi"/>
          <w:color w:val="auto"/>
          <w:sz w:val="16"/>
          <w:szCs w:val="16"/>
        </w:rPr>
        <w:t>IACHR</w:t>
      </w:r>
      <w:r w:rsidRPr="00A51861">
        <w:rPr>
          <w:rFonts w:asciiTheme="majorHAnsi" w:hAnsiTheme="majorHAnsi"/>
          <w:color w:val="auto"/>
          <w:sz w:val="16"/>
          <w:szCs w:val="16"/>
        </w:rPr>
        <w:t xml:space="preserve">. </w:t>
      </w:r>
      <w:r w:rsidR="00B6596B">
        <w:rPr>
          <w:rFonts w:asciiTheme="majorHAnsi" w:hAnsiTheme="majorHAnsi"/>
          <w:color w:val="auto"/>
          <w:sz w:val="16"/>
          <w:szCs w:val="16"/>
        </w:rPr>
        <w:t>Request before the Inter-American Court on Human Rights in the case of</w:t>
      </w:r>
      <w:r w:rsidRPr="00A51861">
        <w:rPr>
          <w:rFonts w:asciiTheme="majorHAnsi" w:hAnsiTheme="majorHAnsi"/>
          <w:color w:val="auto"/>
          <w:sz w:val="16"/>
          <w:szCs w:val="16"/>
        </w:rPr>
        <w:t xml:space="preserve"> Juan Carlos Chaparro</w:t>
      </w:r>
      <w:r w:rsidR="00B6596B">
        <w:rPr>
          <w:rFonts w:asciiTheme="majorHAnsi" w:hAnsiTheme="majorHAnsi"/>
          <w:color w:val="auto"/>
          <w:sz w:val="16"/>
          <w:szCs w:val="16"/>
        </w:rPr>
        <w:t xml:space="preserve"> and </w:t>
      </w:r>
      <w:r w:rsidRPr="00A51861">
        <w:rPr>
          <w:rFonts w:asciiTheme="majorHAnsi" w:hAnsiTheme="majorHAnsi"/>
          <w:color w:val="auto"/>
          <w:sz w:val="16"/>
          <w:szCs w:val="16"/>
        </w:rPr>
        <w:t xml:space="preserve">Freddy Hernán Lapo. </w:t>
      </w:r>
      <w:r w:rsidR="00B6596B">
        <w:rPr>
          <w:rFonts w:asciiTheme="majorHAnsi" w:hAnsiTheme="majorHAnsi"/>
          <w:color w:val="auto"/>
          <w:sz w:val="16"/>
          <w:szCs w:val="16"/>
        </w:rPr>
        <w:t xml:space="preserve">Case </w:t>
      </w:r>
      <w:r w:rsidRPr="00A51861">
        <w:rPr>
          <w:rFonts w:asciiTheme="majorHAnsi" w:hAnsiTheme="majorHAnsi"/>
          <w:color w:val="auto"/>
          <w:sz w:val="16"/>
          <w:szCs w:val="16"/>
        </w:rPr>
        <w:t xml:space="preserve">12.091. Ecuador. </w:t>
      </w:r>
      <w:r w:rsidR="00B6596B">
        <w:rPr>
          <w:rFonts w:asciiTheme="majorHAnsi" w:hAnsiTheme="majorHAnsi"/>
          <w:color w:val="auto"/>
          <w:sz w:val="16"/>
          <w:szCs w:val="16"/>
        </w:rPr>
        <w:t>June 23,</w:t>
      </w:r>
      <w:r w:rsidRPr="00A51861">
        <w:rPr>
          <w:rFonts w:asciiTheme="majorHAnsi" w:hAnsiTheme="majorHAnsi"/>
          <w:color w:val="auto"/>
          <w:sz w:val="16"/>
          <w:szCs w:val="16"/>
        </w:rPr>
        <w:t xml:space="preserve"> 2006. </w:t>
      </w:r>
      <w:r w:rsidR="00B6596B">
        <w:rPr>
          <w:rFonts w:asciiTheme="majorHAnsi" w:hAnsiTheme="majorHAnsi"/>
          <w:color w:val="auto"/>
          <w:sz w:val="16"/>
          <w:szCs w:val="16"/>
        </w:rPr>
        <w:t>Para.</w:t>
      </w:r>
      <w:r w:rsidRPr="00A51861">
        <w:rPr>
          <w:rFonts w:asciiTheme="majorHAnsi" w:hAnsiTheme="majorHAnsi"/>
          <w:color w:val="auto"/>
          <w:sz w:val="16"/>
          <w:szCs w:val="16"/>
        </w:rPr>
        <w:t xml:space="preserve"> 59.</w:t>
      </w:r>
    </w:p>
  </w:footnote>
  <w:footnote w:id="149">
    <w:p w14:paraId="07297A77" w14:textId="565BD793"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B6596B">
        <w:rPr>
          <w:rFonts w:asciiTheme="majorHAnsi" w:hAnsiTheme="majorHAnsi"/>
          <w:color w:val="auto"/>
          <w:sz w:val="16"/>
          <w:szCs w:val="16"/>
        </w:rPr>
        <w:t>See about this</w:t>
      </w:r>
      <w:r w:rsidRPr="00A51861">
        <w:rPr>
          <w:rFonts w:asciiTheme="majorHAnsi" w:hAnsiTheme="majorHAnsi"/>
          <w:color w:val="auto"/>
          <w:sz w:val="16"/>
          <w:szCs w:val="16"/>
        </w:rPr>
        <w:t xml:space="preserve">, </w:t>
      </w:r>
      <w:r w:rsidR="000E67CA">
        <w:rPr>
          <w:rFonts w:asciiTheme="majorHAnsi" w:hAnsiTheme="majorHAnsi"/>
          <w:color w:val="auto"/>
          <w:sz w:val="16"/>
          <w:szCs w:val="16"/>
        </w:rPr>
        <w:t>IACHR</w:t>
      </w:r>
      <w:r w:rsidRPr="00A51861">
        <w:rPr>
          <w:rFonts w:asciiTheme="majorHAnsi" w:hAnsiTheme="majorHAnsi"/>
          <w:color w:val="auto"/>
          <w:sz w:val="16"/>
          <w:szCs w:val="16"/>
        </w:rPr>
        <w:t>.</w:t>
      </w:r>
      <w:r w:rsidR="000E67CA">
        <w:rPr>
          <w:rFonts w:asciiTheme="majorHAnsi" w:hAnsiTheme="majorHAnsi"/>
          <w:color w:val="auto"/>
          <w:sz w:val="16"/>
          <w:szCs w:val="16"/>
        </w:rPr>
        <w:t xml:space="preserve"> Report </w:t>
      </w:r>
      <w:r w:rsidRPr="00A51861">
        <w:rPr>
          <w:rFonts w:asciiTheme="majorHAnsi" w:hAnsiTheme="majorHAnsi"/>
          <w:color w:val="auto"/>
          <w:sz w:val="16"/>
          <w:szCs w:val="16"/>
        </w:rPr>
        <w:t>129/17. Cas</w:t>
      </w:r>
      <w:r w:rsidR="00B6596B">
        <w:rPr>
          <w:rFonts w:asciiTheme="majorHAnsi" w:hAnsiTheme="majorHAnsi"/>
          <w:color w:val="auto"/>
          <w:sz w:val="16"/>
          <w:szCs w:val="16"/>
        </w:rPr>
        <w:t>e</w:t>
      </w:r>
      <w:r w:rsidRPr="00A51861">
        <w:rPr>
          <w:rFonts w:asciiTheme="majorHAnsi" w:hAnsiTheme="majorHAnsi"/>
          <w:color w:val="auto"/>
          <w:sz w:val="16"/>
          <w:szCs w:val="16"/>
        </w:rPr>
        <w:t xml:space="preserve"> 12.315. </w:t>
      </w:r>
      <w:r w:rsidR="00B6596B" w:rsidRPr="00061015">
        <w:rPr>
          <w:rFonts w:asciiTheme="majorHAnsi" w:hAnsiTheme="majorHAnsi"/>
          <w:color w:val="auto"/>
          <w:sz w:val="16"/>
          <w:szCs w:val="16"/>
          <w:lang w:val="pt-BR"/>
        </w:rPr>
        <w:t>Merits</w:t>
      </w:r>
      <w:r w:rsidRPr="00061015">
        <w:rPr>
          <w:rFonts w:asciiTheme="majorHAnsi" w:hAnsiTheme="majorHAnsi"/>
          <w:color w:val="auto"/>
          <w:sz w:val="16"/>
          <w:szCs w:val="16"/>
          <w:lang w:val="pt-BR"/>
        </w:rPr>
        <w:t>. Carlos Alberto Fernández</w:t>
      </w:r>
      <w:r w:rsidR="00B6596B" w:rsidRPr="00061015">
        <w:rPr>
          <w:rFonts w:asciiTheme="majorHAnsi" w:hAnsiTheme="majorHAnsi"/>
          <w:color w:val="auto"/>
          <w:sz w:val="16"/>
          <w:szCs w:val="16"/>
          <w:lang w:val="pt-BR"/>
        </w:rPr>
        <w:t xml:space="preserve"> and </w:t>
      </w:r>
      <w:r w:rsidRPr="00061015">
        <w:rPr>
          <w:rFonts w:asciiTheme="majorHAnsi" w:hAnsiTheme="majorHAnsi"/>
          <w:color w:val="auto"/>
          <w:sz w:val="16"/>
          <w:szCs w:val="16"/>
          <w:lang w:val="pt-BR"/>
        </w:rPr>
        <w:t xml:space="preserve">Carlos Alejandro Tumbeiro. </w:t>
      </w:r>
      <w:r w:rsidRPr="00A51861">
        <w:rPr>
          <w:rFonts w:asciiTheme="majorHAnsi" w:hAnsiTheme="majorHAnsi"/>
          <w:color w:val="auto"/>
          <w:sz w:val="16"/>
          <w:szCs w:val="16"/>
        </w:rPr>
        <w:t xml:space="preserve">Argentina. </w:t>
      </w:r>
      <w:r w:rsidR="00B6596B">
        <w:rPr>
          <w:rFonts w:asciiTheme="majorHAnsi" w:hAnsiTheme="majorHAnsi"/>
          <w:color w:val="auto"/>
          <w:sz w:val="16"/>
          <w:szCs w:val="16"/>
        </w:rPr>
        <w:t xml:space="preserve">October 25, </w:t>
      </w:r>
      <w:r w:rsidRPr="00A51861">
        <w:rPr>
          <w:rFonts w:asciiTheme="majorHAnsi" w:hAnsiTheme="majorHAnsi"/>
          <w:color w:val="auto"/>
          <w:sz w:val="16"/>
          <w:szCs w:val="16"/>
        </w:rPr>
        <w:t xml:space="preserve">2017, </w:t>
      </w:r>
      <w:r w:rsidR="00B6596B">
        <w:rPr>
          <w:rFonts w:asciiTheme="majorHAnsi" w:hAnsiTheme="majorHAnsi"/>
          <w:color w:val="auto"/>
          <w:sz w:val="16"/>
          <w:szCs w:val="16"/>
        </w:rPr>
        <w:t>para.</w:t>
      </w:r>
      <w:r w:rsidRPr="00A51861">
        <w:rPr>
          <w:rFonts w:asciiTheme="majorHAnsi" w:hAnsiTheme="majorHAnsi"/>
          <w:color w:val="auto"/>
          <w:sz w:val="16"/>
          <w:szCs w:val="16"/>
        </w:rPr>
        <w:t xml:space="preserve"> 50.</w:t>
      </w:r>
    </w:p>
  </w:footnote>
  <w:footnote w:id="150">
    <w:p w14:paraId="5D4BD7C8" w14:textId="51E20F2F"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B6596B">
        <w:rPr>
          <w:rFonts w:asciiTheme="majorHAnsi" w:hAnsiTheme="majorHAnsi"/>
          <w:color w:val="auto"/>
          <w:sz w:val="16"/>
          <w:szCs w:val="16"/>
        </w:rPr>
        <w:t>United Nations</w:t>
      </w:r>
      <w:r w:rsidRPr="00A51861">
        <w:rPr>
          <w:rFonts w:asciiTheme="majorHAnsi" w:hAnsiTheme="majorHAnsi"/>
          <w:color w:val="auto"/>
          <w:sz w:val="16"/>
          <w:szCs w:val="16"/>
        </w:rPr>
        <w:t xml:space="preserve">, </w:t>
      </w:r>
      <w:r w:rsidR="00BC278F" w:rsidRPr="00BC278F">
        <w:rPr>
          <w:rFonts w:asciiTheme="majorHAnsi" w:hAnsiTheme="majorHAnsi"/>
          <w:color w:val="auto"/>
          <w:sz w:val="16"/>
          <w:szCs w:val="16"/>
        </w:rPr>
        <w:t>Body of Principles for the Protection of All Persons under Any Form of Detention or Imprisonment</w:t>
      </w:r>
      <w:r w:rsidRPr="00A51861">
        <w:rPr>
          <w:rFonts w:asciiTheme="majorHAnsi" w:hAnsiTheme="majorHAnsi"/>
          <w:color w:val="auto"/>
          <w:sz w:val="16"/>
          <w:szCs w:val="16"/>
        </w:rPr>
        <w:t xml:space="preserve">, </w:t>
      </w:r>
      <w:r w:rsidR="00BC278F">
        <w:rPr>
          <w:rFonts w:asciiTheme="majorHAnsi" w:hAnsiTheme="majorHAnsi"/>
          <w:color w:val="auto"/>
          <w:sz w:val="16"/>
          <w:szCs w:val="16"/>
        </w:rPr>
        <w:t>approved by the</w:t>
      </w:r>
      <w:r w:rsidRPr="00A51861">
        <w:rPr>
          <w:rFonts w:asciiTheme="majorHAnsi" w:hAnsiTheme="majorHAnsi"/>
          <w:color w:val="auto"/>
          <w:sz w:val="16"/>
          <w:szCs w:val="16"/>
        </w:rPr>
        <w:t xml:space="preserve"> General </w:t>
      </w:r>
      <w:r w:rsidR="00BC278F">
        <w:rPr>
          <w:rFonts w:asciiTheme="majorHAnsi" w:hAnsiTheme="majorHAnsi"/>
          <w:color w:val="auto"/>
          <w:sz w:val="16"/>
          <w:szCs w:val="16"/>
        </w:rPr>
        <w:t xml:space="preserve">Assembly </w:t>
      </w:r>
      <w:r w:rsidR="00B6596B">
        <w:rPr>
          <w:rFonts w:asciiTheme="majorHAnsi" w:hAnsiTheme="majorHAnsi"/>
          <w:color w:val="auto"/>
          <w:sz w:val="16"/>
          <w:szCs w:val="16"/>
        </w:rPr>
        <w:t>by</w:t>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 xml:space="preserve">Resolution </w:t>
      </w:r>
      <w:r w:rsidRPr="00A51861">
        <w:rPr>
          <w:rFonts w:asciiTheme="majorHAnsi" w:hAnsiTheme="majorHAnsi"/>
          <w:color w:val="auto"/>
          <w:sz w:val="16"/>
          <w:szCs w:val="16"/>
        </w:rPr>
        <w:t xml:space="preserve">43/173 </w:t>
      </w:r>
      <w:r w:rsidR="00BC278F">
        <w:rPr>
          <w:rFonts w:asciiTheme="majorHAnsi" w:hAnsiTheme="majorHAnsi"/>
          <w:color w:val="auto"/>
          <w:sz w:val="16"/>
          <w:szCs w:val="16"/>
        </w:rPr>
        <w:t>of December 9,</w:t>
      </w:r>
      <w:r w:rsidRPr="00A51861">
        <w:rPr>
          <w:rFonts w:asciiTheme="majorHAnsi" w:hAnsiTheme="majorHAnsi"/>
          <w:color w:val="auto"/>
          <w:sz w:val="16"/>
          <w:szCs w:val="16"/>
        </w:rPr>
        <w:t xml:space="preserve"> 1988, Princip</w:t>
      </w:r>
      <w:r w:rsidR="00BC278F">
        <w:rPr>
          <w:rFonts w:asciiTheme="majorHAnsi" w:hAnsiTheme="majorHAnsi"/>
          <w:color w:val="auto"/>
          <w:sz w:val="16"/>
          <w:szCs w:val="16"/>
        </w:rPr>
        <w:t>le</w:t>
      </w:r>
      <w:r w:rsidRPr="00A51861">
        <w:rPr>
          <w:rFonts w:asciiTheme="majorHAnsi" w:hAnsiTheme="majorHAnsi"/>
          <w:color w:val="auto"/>
          <w:sz w:val="16"/>
          <w:szCs w:val="16"/>
        </w:rPr>
        <w:t xml:space="preserve"> 4.</w:t>
      </w:r>
    </w:p>
  </w:footnote>
  <w:footnote w:id="151">
    <w:p w14:paraId="41A20878" w14:textId="3A9DDD0F"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0E67CA">
        <w:rPr>
          <w:rFonts w:asciiTheme="majorHAnsi" w:hAnsiTheme="majorHAnsi"/>
          <w:color w:val="auto"/>
          <w:sz w:val="16"/>
          <w:szCs w:val="16"/>
        </w:rPr>
        <w:t>IACHR</w:t>
      </w:r>
      <w:r w:rsidRPr="00A51861">
        <w:rPr>
          <w:rFonts w:asciiTheme="majorHAnsi" w:hAnsiTheme="majorHAnsi"/>
          <w:color w:val="auto"/>
          <w:sz w:val="16"/>
          <w:szCs w:val="16"/>
        </w:rPr>
        <w:t>.</w:t>
      </w:r>
      <w:r w:rsidR="000E67CA">
        <w:rPr>
          <w:rFonts w:asciiTheme="majorHAnsi" w:hAnsiTheme="majorHAnsi"/>
          <w:color w:val="auto"/>
          <w:sz w:val="16"/>
          <w:szCs w:val="16"/>
        </w:rPr>
        <w:t xml:space="preserve"> Report </w:t>
      </w:r>
      <w:r w:rsidRPr="00A51861">
        <w:rPr>
          <w:rFonts w:asciiTheme="majorHAnsi" w:hAnsiTheme="majorHAnsi"/>
          <w:color w:val="auto"/>
          <w:sz w:val="16"/>
          <w:szCs w:val="16"/>
        </w:rPr>
        <w:t xml:space="preserve">No. 8/16. </w:t>
      </w:r>
      <w:r w:rsidR="00B6596B">
        <w:rPr>
          <w:rFonts w:asciiTheme="majorHAnsi" w:hAnsiTheme="majorHAnsi"/>
          <w:color w:val="auto"/>
          <w:sz w:val="16"/>
          <w:szCs w:val="16"/>
        </w:rPr>
        <w:t xml:space="preserve">Case </w:t>
      </w:r>
      <w:r w:rsidRPr="00A51861">
        <w:rPr>
          <w:rFonts w:asciiTheme="majorHAnsi" w:hAnsiTheme="majorHAnsi"/>
          <w:color w:val="auto"/>
          <w:sz w:val="16"/>
          <w:szCs w:val="16"/>
        </w:rPr>
        <w:t xml:space="preserve">11.661. </w:t>
      </w:r>
      <w:r w:rsidR="00B6596B">
        <w:rPr>
          <w:rFonts w:asciiTheme="majorHAnsi" w:hAnsiTheme="majorHAnsi"/>
          <w:color w:val="auto"/>
          <w:sz w:val="16"/>
          <w:szCs w:val="16"/>
        </w:rPr>
        <w:t>Merits</w:t>
      </w:r>
      <w:r w:rsidRPr="00A51861">
        <w:rPr>
          <w:rFonts w:asciiTheme="majorHAnsi" w:hAnsiTheme="majorHAnsi"/>
          <w:color w:val="auto"/>
          <w:sz w:val="16"/>
          <w:szCs w:val="16"/>
        </w:rPr>
        <w:t xml:space="preserve"> (</w:t>
      </w:r>
      <w:r w:rsidR="00357129" w:rsidRPr="00A51861">
        <w:rPr>
          <w:rFonts w:asciiTheme="majorHAnsi" w:hAnsiTheme="majorHAnsi"/>
          <w:color w:val="auto"/>
          <w:sz w:val="16"/>
          <w:szCs w:val="16"/>
        </w:rPr>
        <w:t>Publication</w:t>
      </w:r>
      <w:r w:rsidRPr="00A51861">
        <w:rPr>
          <w:rFonts w:asciiTheme="majorHAnsi" w:hAnsiTheme="majorHAnsi"/>
          <w:color w:val="auto"/>
          <w:sz w:val="16"/>
          <w:szCs w:val="16"/>
        </w:rPr>
        <w:t>). Manickavasagam Suresh. Canad</w:t>
      </w:r>
      <w:r w:rsidR="00357129">
        <w:rPr>
          <w:rFonts w:asciiTheme="majorHAnsi" w:hAnsiTheme="majorHAnsi"/>
          <w:color w:val="auto"/>
          <w:sz w:val="16"/>
          <w:szCs w:val="16"/>
        </w:rPr>
        <w:t>a</w:t>
      </w:r>
      <w:r w:rsidRPr="00A51861">
        <w:rPr>
          <w:rFonts w:asciiTheme="majorHAnsi" w:hAnsiTheme="majorHAnsi"/>
          <w:color w:val="auto"/>
          <w:sz w:val="16"/>
          <w:szCs w:val="16"/>
        </w:rPr>
        <w:t xml:space="preserve">. </w:t>
      </w:r>
      <w:r w:rsidR="00357129">
        <w:rPr>
          <w:rFonts w:asciiTheme="majorHAnsi" w:hAnsiTheme="majorHAnsi"/>
          <w:color w:val="auto"/>
          <w:sz w:val="16"/>
          <w:szCs w:val="16"/>
        </w:rPr>
        <w:t>April 13,</w:t>
      </w:r>
      <w:r w:rsidRPr="00A51861">
        <w:rPr>
          <w:rFonts w:asciiTheme="majorHAnsi" w:hAnsiTheme="majorHAnsi"/>
          <w:color w:val="auto"/>
          <w:sz w:val="16"/>
          <w:szCs w:val="16"/>
        </w:rPr>
        <w:t xml:space="preserve"> 2016, </w:t>
      </w:r>
      <w:r w:rsidR="00357129">
        <w:rPr>
          <w:rFonts w:asciiTheme="majorHAnsi" w:hAnsiTheme="majorHAnsi"/>
          <w:color w:val="auto"/>
          <w:sz w:val="16"/>
          <w:szCs w:val="16"/>
        </w:rPr>
        <w:t xml:space="preserve">Para. </w:t>
      </w:r>
      <w:r w:rsidRPr="00A51861">
        <w:rPr>
          <w:rFonts w:asciiTheme="majorHAnsi" w:hAnsiTheme="majorHAnsi"/>
          <w:color w:val="auto"/>
          <w:sz w:val="16"/>
          <w:szCs w:val="16"/>
        </w:rPr>
        <w:t>73</w:t>
      </w:r>
      <w:r w:rsidR="00B6596B">
        <w:rPr>
          <w:rFonts w:asciiTheme="majorHAnsi" w:hAnsiTheme="majorHAnsi"/>
          <w:color w:val="auto"/>
          <w:sz w:val="16"/>
          <w:szCs w:val="16"/>
        </w:rPr>
        <w:t xml:space="preserve"> and </w:t>
      </w:r>
      <w:r w:rsidR="000E67CA">
        <w:rPr>
          <w:rFonts w:asciiTheme="majorHAnsi" w:hAnsiTheme="majorHAnsi"/>
          <w:color w:val="auto"/>
          <w:sz w:val="16"/>
          <w:szCs w:val="16"/>
        </w:rPr>
        <w:t>IACHR</w:t>
      </w:r>
      <w:r w:rsidRPr="00A51861">
        <w:rPr>
          <w:rFonts w:asciiTheme="majorHAnsi" w:hAnsiTheme="majorHAnsi"/>
          <w:color w:val="auto"/>
          <w:sz w:val="16"/>
          <w:szCs w:val="16"/>
        </w:rPr>
        <w:t>.</w:t>
      </w:r>
      <w:r w:rsidR="000E67CA">
        <w:rPr>
          <w:rFonts w:asciiTheme="majorHAnsi" w:hAnsiTheme="majorHAnsi"/>
          <w:color w:val="auto"/>
          <w:sz w:val="16"/>
          <w:szCs w:val="16"/>
        </w:rPr>
        <w:t xml:space="preserve"> Report </w:t>
      </w:r>
      <w:r w:rsidRPr="00A51861">
        <w:rPr>
          <w:rFonts w:asciiTheme="majorHAnsi" w:hAnsiTheme="majorHAnsi"/>
          <w:color w:val="auto"/>
          <w:sz w:val="16"/>
          <w:szCs w:val="16"/>
        </w:rPr>
        <w:t xml:space="preserve">No. 211/20. </w:t>
      </w:r>
      <w:r w:rsidR="00B6596B">
        <w:rPr>
          <w:rFonts w:asciiTheme="majorHAnsi" w:hAnsiTheme="majorHAnsi"/>
          <w:color w:val="auto"/>
          <w:sz w:val="16"/>
          <w:szCs w:val="16"/>
        </w:rPr>
        <w:t xml:space="preserve">Case </w:t>
      </w:r>
      <w:r w:rsidRPr="00A51861">
        <w:rPr>
          <w:rFonts w:asciiTheme="majorHAnsi" w:hAnsiTheme="majorHAnsi"/>
          <w:color w:val="auto"/>
          <w:sz w:val="16"/>
          <w:szCs w:val="16"/>
        </w:rPr>
        <w:t xml:space="preserve">13.570. Lezmond C. Mitchell. </w:t>
      </w:r>
      <w:r w:rsidR="00357129">
        <w:rPr>
          <w:rFonts w:asciiTheme="majorHAnsi" w:hAnsiTheme="majorHAnsi"/>
          <w:color w:val="auto"/>
          <w:sz w:val="16"/>
          <w:szCs w:val="16"/>
        </w:rPr>
        <w:t>United States</w:t>
      </w:r>
      <w:r w:rsidRPr="00A51861">
        <w:rPr>
          <w:rFonts w:asciiTheme="majorHAnsi" w:hAnsiTheme="majorHAnsi"/>
          <w:color w:val="auto"/>
          <w:sz w:val="16"/>
          <w:szCs w:val="16"/>
        </w:rPr>
        <w:t xml:space="preserve">. </w:t>
      </w:r>
      <w:r w:rsidR="00357129">
        <w:rPr>
          <w:rFonts w:asciiTheme="majorHAnsi" w:hAnsiTheme="majorHAnsi"/>
          <w:color w:val="auto"/>
          <w:sz w:val="16"/>
          <w:szCs w:val="16"/>
        </w:rPr>
        <w:t>August 24,</w:t>
      </w:r>
      <w:r w:rsidRPr="00A51861">
        <w:rPr>
          <w:rFonts w:asciiTheme="majorHAnsi" w:hAnsiTheme="majorHAnsi"/>
          <w:color w:val="auto"/>
          <w:sz w:val="16"/>
          <w:szCs w:val="16"/>
        </w:rPr>
        <w:t xml:space="preserve"> 2020.</w:t>
      </w:r>
    </w:p>
  </w:footnote>
  <w:footnote w:id="152">
    <w:p w14:paraId="002BC441" w14:textId="7C6B30A5"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Cfr. </w:t>
      </w:r>
      <w:r w:rsidR="00B6596B">
        <w:rPr>
          <w:rFonts w:asciiTheme="majorHAnsi" w:hAnsiTheme="majorHAnsi"/>
          <w:color w:val="auto"/>
          <w:sz w:val="16"/>
          <w:szCs w:val="16"/>
        </w:rPr>
        <w:t xml:space="preserve">Case </w:t>
      </w:r>
      <w:r w:rsidR="00CE4CA1">
        <w:rPr>
          <w:rFonts w:asciiTheme="majorHAnsi" w:hAnsiTheme="majorHAnsi"/>
          <w:color w:val="auto"/>
          <w:sz w:val="16"/>
          <w:szCs w:val="16"/>
        </w:rPr>
        <w:t xml:space="preserve">of </w:t>
      </w:r>
      <w:r w:rsidRPr="00A51861">
        <w:rPr>
          <w:rFonts w:asciiTheme="majorHAnsi" w:hAnsiTheme="majorHAnsi"/>
          <w:color w:val="auto"/>
          <w:sz w:val="16"/>
          <w:szCs w:val="16"/>
        </w:rPr>
        <w:t>Chaparro Álvarez</w:t>
      </w:r>
      <w:r w:rsidR="00B6596B">
        <w:rPr>
          <w:rFonts w:asciiTheme="majorHAnsi" w:hAnsiTheme="majorHAnsi"/>
          <w:color w:val="auto"/>
          <w:sz w:val="16"/>
          <w:szCs w:val="16"/>
        </w:rPr>
        <w:t xml:space="preserve"> and </w:t>
      </w:r>
      <w:r w:rsidRPr="00A51861">
        <w:rPr>
          <w:rFonts w:asciiTheme="majorHAnsi" w:hAnsiTheme="majorHAnsi"/>
          <w:color w:val="auto"/>
          <w:sz w:val="16"/>
          <w:szCs w:val="16"/>
        </w:rPr>
        <w:t xml:space="preserve">Lapo Íñiguez Vs. Ecuador, </w:t>
      </w:r>
      <w:r w:rsidR="00357129">
        <w:rPr>
          <w:rFonts w:asciiTheme="majorHAnsi" w:hAnsiTheme="majorHAnsi"/>
          <w:color w:val="auto"/>
          <w:sz w:val="16"/>
          <w:szCs w:val="16"/>
        </w:rPr>
        <w:t>Exceptions, Preliminary Exceptions, Merits, Reparations and Costs</w:t>
      </w:r>
      <w:r w:rsidRPr="00A51861">
        <w:rPr>
          <w:rFonts w:asciiTheme="majorHAnsi" w:hAnsiTheme="majorHAnsi"/>
          <w:color w:val="auto"/>
          <w:sz w:val="16"/>
          <w:szCs w:val="16"/>
        </w:rPr>
        <w:t xml:space="preserve">. </w:t>
      </w:r>
      <w:r w:rsidR="004E56A9">
        <w:rPr>
          <w:rFonts w:asciiTheme="majorHAnsi" w:hAnsiTheme="majorHAnsi"/>
          <w:color w:val="auto"/>
          <w:sz w:val="16"/>
          <w:szCs w:val="16"/>
        </w:rPr>
        <w:t>Judgment</w:t>
      </w:r>
      <w:r w:rsidRPr="00A51861">
        <w:rPr>
          <w:rFonts w:asciiTheme="majorHAnsi" w:hAnsiTheme="majorHAnsi"/>
          <w:color w:val="auto"/>
          <w:sz w:val="16"/>
          <w:szCs w:val="16"/>
        </w:rPr>
        <w:t xml:space="preserve"> </w:t>
      </w:r>
      <w:r w:rsidR="00357129">
        <w:rPr>
          <w:rFonts w:asciiTheme="majorHAnsi" w:hAnsiTheme="majorHAnsi"/>
          <w:color w:val="auto"/>
          <w:sz w:val="16"/>
          <w:szCs w:val="16"/>
        </w:rPr>
        <w:t xml:space="preserve">of November 21, </w:t>
      </w:r>
      <w:r w:rsidRPr="00A51861">
        <w:rPr>
          <w:rFonts w:asciiTheme="majorHAnsi" w:hAnsiTheme="majorHAnsi"/>
          <w:color w:val="auto"/>
          <w:sz w:val="16"/>
          <w:szCs w:val="16"/>
        </w:rPr>
        <w:t xml:space="preserve">2007. Serie C No. 170, </w:t>
      </w:r>
      <w:r w:rsidR="00B6596B">
        <w:rPr>
          <w:rFonts w:asciiTheme="majorHAnsi" w:hAnsiTheme="majorHAnsi"/>
          <w:color w:val="auto"/>
          <w:sz w:val="16"/>
          <w:szCs w:val="16"/>
        </w:rPr>
        <w:t>para.</w:t>
      </w:r>
      <w:r w:rsidRPr="00A51861">
        <w:rPr>
          <w:rFonts w:asciiTheme="majorHAnsi" w:hAnsiTheme="majorHAnsi"/>
          <w:color w:val="auto"/>
          <w:sz w:val="16"/>
          <w:szCs w:val="16"/>
        </w:rPr>
        <w:t xml:space="preserve"> 56,</w:t>
      </w:r>
      <w:r w:rsidR="00B6596B">
        <w:rPr>
          <w:rFonts w:asciiTheme="majorHAnsi" w:hAnsiTheme="majorHAnsi"/>
          <w:color w:val="auto"/>
          <w:sz w:val="16"/>
          <w:szCs w:val="16"/>
        </w:rPr>
        <w:t xml:space="preserve"> and Case </w:t>
      </w:r>
      <w:r w:rsidRPr="00A51861">
        <w:rPr>
          <w:rFonts w:asciiTheme="majorHAnsi" w:hAnsiTheme="majorHAnsi"/>
          <w:color w:val="auto"/>
          <w:sz w:val="16"/>
          <w:szCs w:val="16"/>
        </w:rPr>
        <w:t xml:space="preserve">Carranza Alarcón vs. Ecuador. </w:t>
      </w:r>
      <w:r w:rsidR="00357129">
        <w:rPr>
          <w:rFonts w:asciiTheme="majorHAnsi" w:hAnsiTheme="majorHAnsi"/>
          <w:color w:val="auto"/>
          <w:sz w:val="16"/>
          <w:szCs w:val="16"/>
        </w:rPr>
        <w:t>Exceptions, Preliminary Exceptions, Merits, Reparations and Costs</w:t>
      </w:r>
      <w:r w:rsidRPr="00A51861">
        <w:rPr>
          <w:rFonts w:asciiTheme="majorHAnsi" w:hAnsiTheme="majorHAnsi"/>
          <w:color w:val="auto"/>
          <w:sz w:val="16"/>
          <w:szCs w:val="16"/>
        </w:rPr>
        <w:t xml:space="preserve">. </w:t>
      </w:r>
      <w:r w:rsidR="004E56A9">
        <w:rPr>
          <w:rFonts w:asciiTheme="majorHAnsi" w:hAnsiTheme="majorHAnsi"/>
          <w:color w:val="auto"/>
          <w:sz w:val="16"/>
          <w:szCs w:val="16"/>
        </w:rPr>
        <w:t>Judgment</w:t>
      </w:r>
      <w:r w:rsidRPr="00A51861">
        <w:rPr>
          <w:rFonts w:asciiTheme="majorHAnsi" w:hAnsiTheme="majorHAnsi"/>
          <w:color w:val="auto"/>
          <w:sz w:val="16"/>
          <w:szCs w:val="16"/>
        </w:rPr>
        <w:t xml:space="preserve"> </w:t>
      </w:r>
      <w:r w:rsidR="00357129">
        <w:rPr>
          <w:rFonts w:asciiTheme="majorHAnsi" w:hAnsiTheme="majorHAnsi"/>
          <w:color w:val="auto"/>
          <w:sz w:val="16"/>
          <w:szCs w:val="16"/>
        </w:rPr>
        <w:t xml:space="preserve">of February 3, </w:t>
      </w:r>
      <w:r w:rsidRPr="00A51861">
        <w:rPr>
          <w:rFonts w:asciiTheme="majorHAnsi" w:hAnsiTheme="majorHAnsi"/>
          <w:color w:val="auto"/>
          <w:sz w:val="16"/>
          <w:szCs w:val="16"/>
        </w:rPr>
        <w:t xml:space="preserve">2020. Serie C No. 399, </w:t>
      </w:r>
      <w:r w:rsidR="00B6596B">
        <w:rPr>
          <w:rFonts w:asciiTheme="majorHAnsi" w:hAnsiTheme="majorHAnsi"/>
          <w:color w:val="auto"/>
          <w:sz w:val="16"/>
          <w:szCs w:val="16"/>
        </w:rPr>
        <w:t>para.</w:t>
      </w:r>
      <w:r w:rsidRPr="00A51861">
        <w:rPr>
          <w:rFonts w:asciiTheme="majorHAnsi" w:hAnsiTheme="majorHAnsi"/>
          <w:color w:val="auto"/>
          <w:sz w:val="16"/>
          <w:szCs w:val="16"/>
        </w:rPr>
        <w:t xml:space="preserve"> 61.</w:t>
      </w:r>
    </w:p>
  </w:footnote>
  <w:footnote w:id="153">
    <w:p w14:paraId="2A14B13B" w14:textId="573FA574"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357129">
        <w:rPr>
          <w:rFonts w:asciiTheme="majorHAnsi" w:hAnsiTheme="majorHAnsi"/>
          <w:color w:val="auto"/>
          <w:sz w:val="16"/>
          <w:szCs w:val="16"/>
        </w:rPr>
        <w:t>The Expression</w:t>
      </w:r>
      <w:r w:rsidRPr="00A51861">
        <w:rPr>
          <w:rFonts w:asciiTheme="majorHAnsi" w:hAnsiTheme="majorHAnsi"/>
          <w:color w:val="auto"/>
          <w:sz w:val="16"/>
          <w:szCs w:val="16"/>
        </w:rPr>
        <w:t xml:space="preserve"> “</w:t>
      </w:r>
      <w:r w:rsidR="00357129">
        <w:rPr>
          <w:rFonts w:asciiTheme="majorHAnsi" w:hAnsiTheme="majorHAnsi"/>
          <w:color w:val="auto"/>
          <w:sz w:val="16"/>
          <w:szCs w:val="16"/>
        </w:rPr>
        <w:t>Laws</w:t>
      </w:r>
      <w:r w:rsidRPr="00A51861">
        <w:rPr>
          <w:rFonts w:asciiTheme="majorHAnsi" w:hAnsiTheme="majorHAnsi"/>
          <w:color w:val="auto"/>
          <w:sz w:val="16"/>
          <w:szCs w:val="16"/>
        </w:rPr>
        <w:t xml:space="preserve">” </w:t>
      </w:r>
      <w:r w:rsidR="00357129">
        <w:rPr>
          <w:rFonts w:asciiTheme="majorHAnsi" w:hAnsiTheme="majorHAnsi"/>
          <w:color w:val="auto"/>
          <w:sz w:val="16"/>
          <w:szCs w:val="16"/>
        </w:rPr>
        <w:t>in</w:t>
      </w:r>
      <w:r w:rsidRPr="00A51861">
        <w:rPr>
          <w:rFonts w:asciiTheme="majorHAnsi" w:hAnsiTheme="majorHAnsi"/>
          <w:color w:val="auto"/>
          <w:sz w:val="16"/>
          <w:szCs w:val="16"/>
        </w:rPr>
        <w:t xml:space="preserve"> </w:t>
      </w:r>
      <w:r w:rsidR="0029564F">
        <w:rPr>
          <w:rFonts w:asciiTheme="majorHAnsi" w:hAnsiTheme="majorHAnsi"/>
          <w:color w:val="auto"/>
          <w:sz w:val="16"/>
          <w:szCs w:val="16"/>
        </w:rPr>
        <w:t>Article</w:t>
      </w:r>
      <w:r w:rsidRPr="00A51861">
        <w:rPr>
          <w:rFonts w:asciiTheme="majorHAnsi" w:hAnsiTheme="majorHAnsi"/>
          <w:color w:val="auto"/>
          <w:sz w:val="16"/>
          <w:szCs w:val="16"/>
        </w:rPr>
        <w:t xml:space="preserve"> 30</w:t>
      </w:r>
      <w:r w:rsidR="00061928">
        <w:rPr>
          <w:rFonts w:asciiTheme="majorHAnsi" w:hAnsiTheme="majorHAnsi"/>
          <w:color w:val="auto"/>
          <w:sz w:val="16"/>
          <w:szCs w:val="16"/>
        </w:rPr>
        <w:t xml:space="preserve"> of the </w:t>
      </w:r>
      <w:r w:rsidR="00357129">
        <w:rPr>
          <w:rFonts w:asciiTheme="majorHAnsi" w:hAnsiTheme="majorHAnsi"/>
          <w:color w:val="auto"/>
          <w:sz w:val="16"/>
          <w:szCs w:val="16"/>
        </w:rPr>
        <w:t>American Convention on Human Rights</w:t>
      </w:r>
      <w:r w:rsidRPr="00A51861">
        <w:rPr>
          <w:rFonts w:asciiTheme="majorHAnsi" w:hAnsiTheme="majorHAnsi"/>
          <w:color w:val="auto"/>
          <w:sz w:val="16"/>
          <w:szCs w:val="16"/>
        </w:rPr>
        <w:t xml:space="preserve">. </w:t>
      </w:r>
      <w:r w:rsidR="00357129">
        <w:rPr>
          <w:rFonts w:asciiTheme="majorHAnsi" w:hAnsiTheme="majorHAnsi"/>
          <w:color w:val="auto"/>
          <w:sz w:val="16"/>
          <w:szCs w:val="16"/>
        </w:rPr>
        <w:t xml:space="preserve">Advisory Opinion </w:t>
      </w:r>
      <w:r w:rsidRPr="00A51861">
        <w:rPr>
          <w:rFonts w:asciiTheme="majorHAnsi" w:hAnsiTheme="majorHAnsi"/>
          <w:color w:val="auto"/>
          <w:sz w:val="16"/>
          <w:szCs w:val="16"/>
        </w:rPr>
        <w:t xml:space="preserve">OC-6/86 </w:t>
      </w:r>
      <w:r w:rsidR="00357129">
        <w:rPr>
          <w:rFonts w:asciiTheme="majorHAnsi" w:hAnsiTheme="majorHAnsi"/>
          <w:color w:val="auto"/>
          <w:sz w:val="16"/>
          <w:szCs w:val="16"/>
        </w:rPr>
        <w:t xml:space="preserve">of May 9, </w:t>
      </w:r>
      <w:r w:rsidRPr="00A51861">
        <w:rPr>
          <w:rFonts w:asciiTheme="majorHAnsi" w:hAnsiTheme="majorHAnsi"/>
          <w:color w:val="auto"/>
          <w:sz w:val="16"/>
          <w:szCs w:val="16"/>
        </w:rPr>
        <w:t xml:space="preserve">1986. Serie A No. 6, </w:t>
      </w:r>
      <w:r w:rsidR="00B6596B">
        <w:rPr>
          <w:rFonts w:asciiTheme="majorHAnsi" w:hAnsiTheme="majorHAnsi"/>
          <w:color w:val="auto"/>
          <w:sz w:val="16"/>
          <w:szCs w:val="16"/>
        </w:rPr>
        <w:t>para.</w:t>
      </w:r>
      <w:r w:rsidRPr="00A51861">
        <w:rPr>
          <w:rFonts w:asciiTheme="majorHAnsi" w:hAnsiTheme="majorHAnsi"/>
          <w:color w:val="auto"/>
          <w:sz w:val="16"/>
          <w:szCs w:val="16"/>
        </w:rPr>
        <w:t xml:space="preserve"> 27.</w:t>
      </w:r>
    </w:p>
  </w:footnote>
  <w:footnote w:id="154">
    <w:p w14:paraId="76DFE013" w14:textId="624BD66B"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Cfr. </w:t>
      </w:r>
      <w:r w:rsidR="00036743">
        <w:rPr>
          <w:rFonts w:asciiTheme="majorHAnsi" w:hAnsiTheme="majorHAnsi"/>
          <w:color w:val="auto"/>
          <w:sz w:val="16"/>
          <w:szCs w:val="16"/>
        </w:rPr>
        <w:t>IHR Court</w:t>
      </w:r>
      <w:r w:rsidRPr="00A51861">
        <w:rPr>
          <w:rFonts w:asciiTheme="majorHAnsi" w:hAnsiTheme="majorHAnsi"/>
          <w:color w:val="auto"/>
          <w:sz w:val="16"/>
          <w:szCs w:val="16"/>
        </w:rPr>
        <w:t xml:space="preserve">. </w:t>
      </w:r>
      <w:r w:rsidR="00B6596B">
        <w:rPr>
          <w:rFonts w:asciiTheme="majorHAnsi" w:hAnsiTheme="majorHAnsi"/>
          <w:color w:val="auto"/>
          <w:sz w:val="16"/>
          <w:szCs w:val="16"/>
        </w:rPr>
        <w:t xml:space="preserve">Case </w:t>
      </w:r>
      <w:r w:rsidR="00CE4CA1">
        <w:rPr>
          <w:rFonts w:asciiTheme="majorHAnsi" w:hAnsiTheme="majorHAnsi"/>
          <w:color w:val="auto"/>
          <w:sz w:val="16"/>
          <w:szCs w:val="16"/>
        </w:rPr>
        <w:t xml:space="preserve">of </w:t>
      </w:r>
      <w:r w:rsidRPr="00A51861">
        <w:rPr>
          <w:rFonts w:asciiTheme="majorHAnsi" w:hAnsiTheme="majorHAnsi"/>
          <w:color w:val="auto"/>
          <w:sz w:val="16"/>
          <w:szCs w:val="16"/>
        </w:rPr>
        <w:t>Chaparro Álvarez</w:t>
      </w:r>
      <w:r w:rsidR="00B6596B">
        <w:rPr>
          <w:rFonts w:asciiTheme="majorHAnsi" w:hAnsiTheme="majorHAnsi"/>
          <w:color w:val="auto"/>
          <w:sz w:val="16"/>
          <w:szCs w:val="16"/>
        </w:rPr>
        <w:t xml:space="preserve"> and </w:t>
      </w:r>
      <w:r w:rsidRPr="00A51861">
        <w:rPr>
          <w:rFonts w:asciiTheme="majorHAnsi" w:hAnsiTheme="majorHAnsi"/>
          <w:color w:val="auto"/>
          <w:sz w:val="16"/>
          <w:szCs w:val="16"/>
        </w:rPr>
        <w:t xml:space="preserve">Lapo Íñiguez Vs. Ecuador. </w:t>
      </w:r>
      <w:r w:rsidR="00357129">
        <w:rPr>
          <w:rFonts w:asciiTheme="majorHAnsi" w:hAnsiTheme="majorHAnsi"/>
          <w:color w:val="auto"/>
          <w:sz w:val="16"/>
          <w:szCs w:val="16"/>
        </w:rPr>
        <w:t>Exceptions, Preliminary Exceptions, Merits, Reparations and Costs</w:t>
      </w:r>
      <w:r w:rsidRPr="00A51861">
        <w:rPr>
          <w:rFonts w:asciiTheme="majorHAnsi" w:hAnsiTheme="majorHAnsi"/>
          <w:color w:val="auto"/>
          <w:sz w:val="16"/>
          <w:szCs w:val="16"/>
        </w:rPr>
        <w:t xml:space="preserve">. </w:t>
      </w:r>
      <w:r w:rsidR="004E56A9">
        <w:rPr>
          <w:rFonts w:asciiTheme="majorHAnsi" w:hAnsiTheme="majorHAnsi"/>
          <w:color w:val="auto"/>
          <w:sz w:val="16"/>
          <w:szCs w:val="16"/>
        </w:rPr>
        <w:t>Judgment</w:t>
      </w:r>
      <w:r w:rsidRPr="00A51861">
        <w:rPr>
          <w:rFonts w:asciiTheme="majorHAnsi" w:hAnsiTheme="majorHAnsi"/>
          <w:color w:val="auto"/>
          <w:sz w:val="16"/>
          <w:szCs w:val="16"/>
        </w:rPr>
        <w:t xml:space="preserve"> </w:t>
      </w:r>
      <w:r w:rsidR="00357129">
        <w:rPr>
          <w:rFonts w:asciiTheme="majorHAnsi" w:hAnsiTheme="majorHAnsi"/>
          <w:color w:val="auto"/>
          <w:sz w:val="16"/>
          <w:szCs w:val="16"/>
        </w:rPr>
        <w:t xml:space="preserve">of November 21, </w:t>
      </w:r>
      <w:r w:rsidRPr="00A51861">
        <w:rPr>
          <w:rFonts w:asciiTheme="majorHAnsi" w:hAnsiTheme="majorHAnsi"/>
          <w:color w:val="auto"/>
          <w:sz w:val="16"/>
          <w:szCs w:val="16"/>
        </w:rPr>
        <w:t xml:space="preserve">2007. Serie C No. 170, </w:t>
      </w:r>
      <w:r w:rsidR="00B6596B">
        <w:rPr>
          <w:rFonts w:asciiTheme="majorHAnsi" w:hAnsiTheme="majorHAnsi"/>
          <w:color w:val="auto"/>
          <w:sz w:val="16"/>
          <w:szCs w:val="16"/>
        </w:rPr>
        <w:t>para.</w:t>
      </w:r>
      <w:r w:rsidRPr="00A51861">
        <w:rPr>
          <w:rFonts w:asciiTheme="majorHAnsi" w:hAnsiTheme="majorHAnsi"/>
          <w:color w:val="auto"/>
          <w:sz w:val="16"/>
          <w:szCs w:val="16"/>
        </w:rPr>
        <w:t xml:space="preserve"> 57</w:t>
      </w:r>
      <w:r w:rsidR="00B6596B">
        <w:rPr>
          <w:rFonts w:asciiTheme="majorHAnsi" w:hAnsiTheme="majorHAnsi"/>
          <w:color w:val="auto"/>
          <w:sz w:val="16"/>
          <w:szCs w:val="16"/>
        </w:rPr>
        <w:t xml:space="preserve"> and </w:t>
      </w:r>
      <w:r w:rsidR="00036743">
        <w:rPr>
          <w:rFonts w:asciiTheme="majorHAnsi" w:hAnsiTheme="majorHAnsi"/>
          <w:color w:val="auto"/>
          <w:sz w:val="16"/>
          <w:szCs w:val="16"/>
        </w:rPr>
        <w:t>IHR Court</w:t>
      </w:r>
      <w:r w:rsidRPr="00A51861">
        <w:rPr>
          <w:rFonts w:asciiTheme="majorHAnsi" w:hAnsiTheme="majorHAnsi"/>
          <w:color w:val="auto"/>
          <w:sz w:val="16"/>
          <w:szCs w:val="16"/>
        </w:rPr>
        <w:t xml:space="preserve">. </w:t>
      </w:r>
      <w:r w:rsidR="00B6596B">
        <w:rPr>
          <w:rFonts w:asciiTheme="majorHAnsi" w:hAnsiTheme="majorHAnsi"/>
          <w:color w:val="auto"/>
          <w:sz w:val="16"/>
          <w:szCs w:val="16"/>
        </w:rPr>
        <w:t xml:space="preserve">Case </w:t>
      </w:r>
      <w:r w:rsidRPr="00A51861">
        <w:rPr>
          <w:rFonts w:asciiTheme="majorHAnsi" w:hAnsiTheme="majorHAnsi"/>
          <w:color w:val="auto"/>
          <w:sz w:val="16"/>
          <w:szCs w:val="16"/>
        </w:rPr>
        <w:t>Acosta Martínez</w:t>
      </w:r>
      <w:r w:rsidR="00B6596B">
        <w:rPr>
          <w:rFonts w:asciiTheme="majorHAnsi" w:hAnsiTheme="majorHAnsi"/>
          <w:color w:val="auto"/>
          <w:sz w:val="16"/>
          <w:szCs w:val="16"/>
        </w:rPr>
        <w:t xml:space="preserve"> </w:t>
      </w:r>
      <w:r w:rsidR="00357129">
        <w:rPr>
          <w:rFonts w:asciiTheme="majorHAnsi" w:hAnsiTheme="majorHAnsi"/>
          <w:color w:val="auto"/>
          <w:sz w:val="16"/>
          <w:szCs w:val="16"/>
        </w:rPr>
        <w:t xml:space="preserve">and others </w:t>
      </w:r>
      <w:r w:rsidRPr="00A51861">
        <w:rPr>
          <w:rFonts w:asciiTheme="majorHAnsi" w:hAnsiTheme="majorHAnsi"/>
          <w:color w:val="auto"/>
          <w:sz w:val="16"/>
          <w:szCs w:val="16"/>
        </w:rPr>
        <w:t xml:space="preserve">Vs. Argentina. </w:t>
      </w:r>
      <w:r w:rsidR="00B6596B">
        <w:rPr>
          <w:rFonts w:asciiTheme="majorHAnsi" w:hAnsiTheme="majorHAnsi"/>
          <w:color w:val="auto"/>
          <w:sz w:val="16"/>
          <w:szCs w:val="16"/>
        </w:rPr>
        <w:t>Merits</w:t>
      </w:r>
      <w:r w:rsidRPr="00A51861">
        <w:rPr>
          <w:rFonts w:asciiTheme="majorHAnsi" w:hAnsiTheme="majorHAnsi"/>
          <w:color w:val="auto"/>
          <w:sz w:val="16"/>
          <w:szCs w:val="16"/>
        </w:rPr>
        <w:t xml:space="preserve">, </w:t>
      </w:r>
      <w:r w:rsidR="00357129">
        <w:rPr>
          <w:rFonts w:asciiTheme="majorHAnsi" w:hAnsiTheme="majorHAnsi"/>
          <w:color w:val="auto"/>
          <w:sz w:val="16"/>
          <w:szCs w:val="16"/>
        </w:rPr>
        <w:t>Reparations and Costs</w:t>
      </w:r>
      <w:r w:rsidRPr="00A51861">
        <w:rPr>
          <w:rFonts w:asciiTheme="majorHAnsi" w:hAnsiTheme="majorHAnsi"/>
          <w:color w:val="auto"/>
          <w:sz w:val="16"/>
          <w:szCs w:val="16"/>
        </w:rPr>
        <w:t xml:space="preserve">. </w:t>
      </w:r>
      <w:r w:rsidR="004E56A9">
        <w:rPr>
          <w:rFonts w:asciiTheme="majorHAnsi" w:hAnsiTheme="majorHAnsi"/>
          <w:color w:val="auto"/>
          <w:sz w:val="16"/>
          <w:szCs w:val="16"/>
        </w:rPr>
        <w:t>Judgment</w:t>
      </w:r>
      <w:r w:rsidRPr="00A51861">
        <w:rPr>
          <w:rFonts w:asciiTheme="majorHAnsi" w:hAnsiTheme="majorHAnsi"/>
          <w:color w:val="auto"/>
          <w:sz w:val="16"/>
          <w:szCs w:val="16"/>
        </w:rPr>
        <w:t xml:space="preserve"> </w:t>
      </w:r>
      <w:r w:rsidR="00357129">
        <w:rPr>
          <w:rFonts w:asciiTheme="majorHAnsi" w:hAnsiTheme="majorHAnsi"/>
          <w:color w:val="auto"/>
          <w:sz w:val="16"/>
          <w:szCs w:val="16"/>
        </w:rPr>
        <w:t xml:space="preserve">of August 31, </w:t>
      </w:r>
      <w:r w:rsidRPr="00A51861">
        <w:rPr>
          <w:rFonts w:asciiTheme="majorHAnsi" w:hAnsiTheme="majorHAnsi"/>
          <w:color w:val="auto"/>
          <w:sz w:val="16"/>
          <w:szCs w:val="16"/>
        </w:rPr>
        <w:t>2020.</w:t>
      </w:r>
    </w:p>
  </w:footnote>
  <w:footnote w:id="155">
    <w:p w14:paraId="05A4379C" w14:textId="0E2B324E"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0E67CA">
        <w:rPr>
          <w:rFonts w:asciiTheme="majorHAnsi" w:hAnsiTheme="majorHAnsi"/>
          <w:color w:val="auto"/>
          <w:sz w:val="16"/>
          <w:szCs w:val="16"/>
        </w:rPr>
        <w:t>IACHR</w:t>
      </w:r>
      <w:r w:rsidRPr="00A51861">
        <w:rPr>
          <w:rFonts w:asciiTheme="majorHAnsi" w:hAnsiTheme="majorHAnsi"/>
          <w:color w:val="auto"/>
          <w:sz w:val="16"/>
          <w:szCs w:val="16"/>
        </w:rPr>
        <w:t xml:space="preserve">, </w:t>
      </w:r>
      <w:r w:rsidR="00B6596B">
        <w:rPr>
          <w:rFonts w:asciiTheme="majorHAnsi" w:hAnsiTheme="majorHAnsi"/>
          <w:color w:val="auto"/>
          <w:sz w:val="16"/>
          <w:szCs w:val="16"/>
        </w:rPr>
        <w:t xml:space="preserve">Request before the Inter-American Court on Human Rights </w:t>
      </w:r>
      <w:r w:rsidR="00357129">
        <w:rPr>
          <w:rFonts w:asciiTheme="majorHAnsi" w:hAnsiTheme="majorHAnsi"/>
          <w:color w:val="auto"/>
          <w:sz w:val="16"/>
          <w:szCs w:val="16"/>
        </w:rPr>
        <w:t xml:space="preserve">in the case of </w:t>
      </w:r>
      <w:r w:rsidRPr="00A51861">
        <w:rPr>
          <w:rFonts w:asciiTheme="majorHAnsi" w:hAnsiTheme="majorHAnsi"/>
          <w:color w:val="auto"/>
          <w:sz w:val="16"/>
          <w:szCs w:val="16"/>
        </w:rPr>
        <w:t>Juan Carlos Chaparro</w:t>
      </w:r>
      <w:r w:rsidR="00B6596B">
        <w:rPr>
          <w:rFonts w:asciiTheme="majorHAnsi" w:hAnsiTheme="majorHAnsi"/>
          <w:color w:val="auto"/>
          <w:sz w:val="16"/>
          <w:szCs w:val="16"/>
        </w:rPr>
        <w:t xml:space="preserve"> and </w:t>
      </w:r>
      <w:r w:rsidRPr="00A51861">
        <w:rPr>
          <w:rFonts w:asciiTheme="majorHAnsi" w:hAnsiTheme="majorHAnsi"/>
          <w:color w:val="auto"/>
          <w:sz w:val="16"/>
          <w:szCs w:val="16"/>
        </w:rPr>
        <w:t xml:space="preserve">Freddy Hernán Lapo. </w:t>
      </w:r>
      <w:r w:rsidR="00B6596B">
        <w:rPr>
          <w:rFonts w:asciiTheme="majorHAnsi" w:hAnsiTheme="majorHAnsi"/>
          <w:color w:val="auto"/>
          <w:sz w:val="16"/>
          <w:szCs w:val="16"/>
        </w:rPr>
        <w:t xml:space="preserve">Case </w:t>
      </w:r>
      <w:r w:rsidRPr="00A51861">
        <w:rPr>
          <w:rFonts w:asciiTheme="majorHAnsi" w:hAnsiTheme="majorHAnsi"/>
          <w:color w:val="auto"/>
          <w:sz w:val="16"/>
          <w:szCs w:val="16"/>
        </w:rPr>
        <w:t xml:space="preserve">12.091. Ecuador. </w:t>
      </w:r>
      <w:r w:rsidR="00357129">
        <w:rPr>
          <w:rFonts w:asciiTheme="majorHAnsi" w:hAnsiTheme="majorHAnsi"/>
          <w:color w:val="auto"/>
          <w:sz w:val="16"/>
          <w:szCs w:val="16"/>
        </w:rPr>
        <w:t xml:space="preserve">June 23, </w:t>
      </w:r>
      <w:r w:rsidRPr="00A51861">
        <w:rPr>
          <w:rFonts w:asciiTheme="majorHAnsi" w:hAnsiTheme="majorHAnsi"/>
          <w:color w:val="auto"/>
          <w:sz w:val="16"/>
          <w:szCs w:val="16"/>
        </w:rPr>
        <w:t xml:space="preserve">2006, </w:t>
      </w:r>
      <w:r w:rsidR="00B6596B">
        <w:rPr>
          <w:rFonts w:asciiTheme="majorHAnsi" w:hAnsiTheme="majorHAnsi"/>
          <w:color w:val="auto"/>
          <w:sz w:val="16"/>
          <w:szCs w:val="16"/>
        </w:rPr>
        <w:t>para.</w:t>
      </w:r>
      <w:r w:rsidRPr="00A51861">
        <w:rPr>
          <w:rFonts w:asciiTheme="majorHAnsi" w:hAnsiTheme="majorHAnsi"/>
          <w:color w:val="auto"/>
          <w:sz w:val="16"/>
          <w:szCs w:val="16"/>
        </w:rPr>
        <w:t xml:space="preserve"> 72.</w:t>
      </w:r>
    </w:p>
  </w:footnote>
  <w:footnote w:id="156">
    <w:p w14:paraId="07F61525" w14:textId="17CE7D56"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036743">
        <w:rPr>
          <w:rFonts w:asciiTheme="majorHAnsi" w:hAnsiTheme="majorHAnsi"/>
          <w:color w:val="auto"/>
          <w:sz w:val="16"/>
          <w:szCs w:val="16"/>
        </w:rPr>
        <w:t>IHR Court</w:t>
      </w:r>
      <w:r w:rsidRPr="00A51861">
        <w:rPr>
          <w:rFonts w:asciiTheme="majorHAnsi" w:hAnsiTheme="majorHAnsi"/>
          <w:color w:val="auto"/>
          <w:sz w:val="16"/>
          <w:szCs w:val="16"/>
        </w:rPr>
        <w:t xml:space="preserve">. </w:t>
      </w:r>
      <w:r w:rsidR="00B6596B">
        <w:rPr>
          <w:rFonts w:asciiTheme="majorHAnsi" w:hAnsiTheme="majorHAnsi"/>
          <w:color w:val="auto"/>
          <w:sz w:val="16"/>
          <w:szCs w:val="16"/>
        </w:rPr>
        <w:t xml:space="preserve">Case </w:t>
      </w:r>
      <w:r w:rsidR="00CE4CA1">
        <w:rPr>
          <w:rFonts w:asciiTheme="majorHAnsi" w:hAnsiTheme="majorHAnsi"/>
          <w:color w:val="auto"/>
          <w:sz w:val="16"/>
          <w:szCs w:val="16"/>
        </w:rPr>
        <w:t xml:space="preserve">of </w:t>
      </w:r>
      <w:r w:rsidRPr="00A51861">
        <w:rPr>
          <w:rFonts w:asciiTheme="majorHAnsi" w:hAnsiTheme="majorHAnsi"/>
          <w:color w:val="auto"/>
          <w:sz w:val="16"/>
          <w:szCs w:val="16"/>
        </w:rPr>
        <w:t>Norín Catrimán</w:t>
      </w:r>
      <w:r w:rsidR="00B6596B">
        <w:rPr>
          <w:rFonts w:asciiTheme="majorHAnsi" w:hAnsiTheme="majorHAnsi"/>
          <w:color w:val="auto"/>
          <w:sz w:val="16"/>
          <w:szCs w:val="16"/>
        </w:rPr>
        <w:t xml:space="preserve"> </w:t>
      </w:r>
      <w:r w:rsidR="00357129">
        <w:rPr>
          <w:rFonts w:asciiTheme="majorHAnsi" w:hAnsiTheme="majorHAnsi"/>
          <w:color w:val="auto"/>
          <w:sz w:val="16"/>
          <w:szCs w:val="16"/>
        </w:rPr>
        <w:t xml:space="preserve">and others </w:t>
      </w:r>
      <w:r w:rsidRPr="00A51861">
        <w:rPr>
          <w:rFonts w:asciiTheme="majorHAnsi" w:hAnsiTheme="majorHAnsi"/>
          <w:color w:val="auto"/>
          <w:sz w:val="16"/>
          <w:szCs w:val="16"/>
        </w:rPr>
        <w:t>(</w:t>
      </w:r>
      <w:r w:rsidR="00CE4CA1">
        <w:rPr>
          <w:rFonts w:asciiTheme="majorHAnsi" w:hAnsiTheme="majorHAnsi"/>
          <w:color w:val="auto"/>
          <w:sz w:val="16"/>
          <w:szCs w:val="16"/>
        </w:rPr>
        <w:t>Leaders</w:t>
      </w:r>
      <w:r w:rsidRPr="00A51861">
        <w:rPr>
          <w:rFonts w:asciiTheme="majorHAnsi" w:hAnsiTheme="majorHAnsi"/>
          <w:color w:val="auto"/>
          <w:sz w:val="16"/>
          <w:szCs w:val="16"/>
        </w:rPr>
        <w:t xml:space="preserve">, </w:t>
      </w:r>
      <w:r w:rsidR="00CE4CA1">
        <w:rPr>
          <w:rFonts w:asciiTheme="majorHAnsi" w:hAnsiTheme="majorHAnsi"/>
          <w:color w:val="auto"/>
          <w:sz w:val="16"/>
          <w:szCs w:val="16"/>
        </w:rPr>
        <w:t>members</w:t>
      </w:r>
      <w:r w:rsidR="00B6596B">
        <w:rPr>
          <w:rFonts w:asciiTheme="majorHAnsi" w:hAnsiTheme="majorHAnsi"/>
          <w:color w:val="auto"/>
          <w:sz w:val="16"/>
          <w:szCs w:val="16"/>
        </w:rPr>
        <w:t xml:space="preserve"> and </w:t>
      </w:r>
      <w:r w:rsidRPr="00A51861">
        <w:rPr>
          <w:rFonts w:asciiTheme="majorHAnsi" w:hAnsiTheme="majorHAnsi"/>
          <w:color w:val="auto"/>
          <w:sz w:val="16"/>
          <w:szCs w:val="16"/>
        </w:rPr>
        <w:t xml:space="preserve">activist </w:t>
      </w:r>
      <w:r w:rsidR="00CE4CA1">
        <w:rPr>
          <w:rFonts w:asciiTheme="majorHAnsi" w:hAnsiTheme="majorHAnsi"/>
          <w:color w:val="auto"/>
          <w:sz w:val="16"/>
          <w:szCs w:val="16"/>
        </w:rPr>
        <w:t>of the</w:t>
      </w:r>
      <w:r w:rsidRPr="00A51861">
        <w:rPr>
          <w:rFonts w:asciiTheme="majorHAnsi" w:hAnsiTheme="majorHAnsi"/>
          <w:color w:val="auto"/>
          <w:sz w:val="16"/>
          <w:szCs w:val="16"/>
        </w:rPr>
        <w:t xml:space="preserve"> </w:t>
      </w:r>
      <w:r w:rsidR="00CE4CA1" w:rsidRPr="00A51861">
        <w:rPr>
          <w:rFonts w:asciiTheme="majorHAnsi" w:hAnsiTheme="majorHAnsi"/>
          <w:color w:val="auto"/>
          <w:sz w:val="16"/>
          <w:szCs w:val="16"/>
        </w:rPr>
        <w:t>Mapuche Ind</w:t>
      </w:r>
      <w:r w:rsidR="00CE4CA1">
        <w:rPr>
          <w:rFonts w:asciiTheme="majorHAnsi" w:hAnsiTheme="majorHAnsi"/>
          <w:color w:val="auto"/>
          <w:sz w:val="16"/>
          <w:szCs w:val="16"/>
        </w:rPr>
        <w:t>igenous</w:t>
      </w:r>
      <w:r w:rsidR="00CE4CA1" w:rsidRPr="00A51861">
        <w:rPr>
          <w:rFonts w:asciiTheme="majorHAnsi" w:hAnsiTheme="majorHAnsi"/>
          <w:color w:val="auto"/>
          <w:sz w:val="16"/>
          <w:szCs w:val="16"/>
        </w:rPr>
        <w:t xml:space="preserve"> </w:t>
      </w:r>
      <w:r w:rsidR="00CE4CA1">
        <w:rPr>
          <w:rFonts w:asciiTheme="majorHAnsi" w:hAnsiTheme="majorHAnsi"/>
          <w:color w:val="auto"/>
          <w:sz w:val="16"/>
          <w:szCs w:val="16"/>
        </w:rPr>
        <w:t>People</w:t>
      </w:r>
      <w:r w:rsidRPr="00A51861">
        <w:rPr>
          <w:rFonts w:asciiTheme="majorHAnsi" w:hAnsiTheme="majorHAnsi"/>
          <w:color w:val="auto"/>
          <w:sz w:val="16"/>
          <w:szCs w:val="16"/>
        </w:rPr>
        <w:t xml:space="preserve">) Vs. Chile. </w:t>
      </w:r>
      <w:r w:rsidR="00B6596B">
        <w:rPr>
          <w:rFonts w:asciiTheme="majorHAnsi" w:hAnsiTheme="majorHAnsi"/>
          <w:color w:val="auto"/>
          <w:sz w:val="16"/>
          <w:szCs w:val="16"/>
        </w:rPr>
        <w:t>Merits</w:t>
      </w:r>
      <w:r w:rsidRPr="00A51861">
        <w:rPr>
          <w:rFonts w:asciiTheme="majorHAnsi" w:hAnsiTheme="majorHAnsi"/>
          <w:color w:val="auto"/>
          <w:sz w:val="16"/>
          <w:szCs w:val="16"/>
        </w:rPr>
        <w:t xml:space="preserve">, </w:t>
      </w:r>
      <w:r w:rsidR="00357129">
        <w:rPr>
          <w:rFonts w:asciiTheme="majorHAnsi" w:hAnsiTheme="majorHAnsi"/>
          <w:color w:val="auto"/>
          <w:sz w:val="16"/>
          <w:szCs w:val="16"/>
        </w:rPr>
        <w:t>Reparations and Costs</w:t>
      </w:r>
      <w:r w:rsidRPr="00A51861">
        <w:rPr>
          <w:rFonts w:asciiTheme="majorHAnsi" w:hAnsiTheme="majorHAnsi"/>
          <w:color w:val="auto"/>
          <w:sz w:val="16"/>
          <w:szCs w:val="16"/>
        </w:rPr>
        <w:t xml:space="preserve">. </w:t>
      </w:r>
      <w:r w:rsidR="004E56A9">
        <w:rPr>
          <w:rFonts w:asciiTheme="majorHAnsi" w:hAnsiTheme="majorHAnsi"/>
          <w:color w:val="auto"/>
          <w:sz w:val="16"/>
          <w:szCs w:val="16"/>
        </w:rPr>
        <w:t>Judgment</w:t>
      </w:r>
      <w:r w:rsidRPr="00A51861">
        <w:rPr>
          <w:rFonts w:asciiTheme="majorHAnsi" w:hAnsiTheme="majorHAnsi"/>
          <w:color w:val="auto"/>
          <w:sz w:val="16"/>
          <w:szCs w:val="16"/>
        </w:rPr>
        <w:t xml:space="preserve"> </w:t>
      </w:r>
      <w:r w:rsidR="00CE4CA1">
        <w:rPr>
          <w:rFonts w:asciiTheme="majorHAnsi" w:hAnsiTheme="majorHAnsi"/>
          <w:color w:val="auto"/>
          <w:sz w:val="16"/>
          <w:szCs w:val="16"/>
        </w:rPr>
        <w:t>of May 29,</w:t>
      </w:r>
      <w:r w:rsidRPr="00A51861">
        <w:rPr>
          <w:rFonts w:asciiTheme="majorHAnsi" w:hAnsiTheme="majorHAnsi"/>
          <w:color w:val="auto"/>
          <w:sz w:val="16"/>
          <w:szCs w:val="16"/>
        </w:rPr>
        <w:t xml:space="preserve"> 2014, </w:t>
      </w:r>
      <w:r w:rsidR="00B6596B">
        <w:rPr>
          <w:rFonts w:asciiTheme="majorHAnsi" w:hAnsiTheme="majorHAnsi"/>
          <w:color w:val="auto"/>
          <w:sz w:val="16"/>
          <w:szCs w:val="16"/>
        </w:rPr>
        <w:t>para.</w:t>
      </w:r>
      <w:r w:rsidRPr="00A51861">
        <w:rPr>
          <w:rFonts w:asciiTheme="majorHAnsi" w:hAnsiTheme="majorHAnsi"/>
          <w:color w:val="auto"/>
          <w:sz w:val="16"/>
          <w:szCs w:val="16"/>
        </w:rPr>
        <w:t xml:space="preserve"> 388.</w:t>
      </w:r>
    </w:p>
  </w:footnote>
  <w:footnote w:id="157">
    <w:p w14:paraId="0695EC22" w14:textId="2887009F" w:rsidR="00F40E67" w:rsidRPr="00061015" w:rsidRDefault="00F40E67" w:rsidP="0063693D">
      <w:pPr>
        <w:pStyle w:val="FootnoteText"/>
        <w:jc w:val="both"/>
        <w:rPr>
          <w:rFonts w:asciiTheme="majorHAnsi" w:hAnsiTheme="majorHAnsi"/>
          <w:color w:val="auto"/>
          <w:sz w:val="16"/>
          <w:szCs w:val="16"/>
          <w:lang w:val="es-US"/>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0E67CA">
        <w:rPr>
          <w:rFonts w:asciiTheme="majorHAnsi" w:hAnsiTheme="majorHAnsi"/>
          <w:color w:val="auto"/>
          <w:sz w:val="16"/>
          <w:szCs w:val="16"/>
        </w:rPr>
        <w:t>IACHR</w:t>
      </w:r>
      <w:r w:rsidRPr="00A51861">
        <w:rPr>
          <w:rFonts w:asciiTheme="majorHAnsi" w:hAnsiTheme="majorHAnsi"/>
          <w:color w:val="auto"/>
          <w:sz w:val="16"/>
          <w:szCs w:val="16"/>
        </w:rPr>
        <w:t>.</w:t>
      </w:r>
      <w:r w:rsidR="000E67CA">
        <w:rPr>
          <w:rFonts w:asciiTheme="majorHAnsi" w:hAnsiTheme="majorHAnsi"/>
          <w:color w:val="auto"/>
          <w:sz w:val="16"/>
          <w:szCs w:val="16"/>
        </w:rPr>
        <w:t xml:space="preserve"> Report </w:t>
      </w:r>
      <w:r w:rsidRPr="00A51861">
        <w:rPr>
          <w:rFonts w:asciiTheme="majorHAnsi" w:hAnsiTheme="majorHAnsi"/>
          <w:color w:val="auto"/>
          <w:sz w:val="16"/>
          <w:szCs w:val="16"/>
        </w:rPr>
        <w:t xml:space="preserve">No. 45/17. </w:t>
      </w:r>
      <w:r w:rsidR="00B6596B">
        <w:rPr>
          <w:rFonts w:asciiTheme="majorHAnsi" w:hAnsiTheme="majorHAnsi"/>
          <w:color w:val="auto"/>
          <w:sz w:val="16"/>
          <w:szCs w:val="16"/>
        </w:rPr>
        <w:t xml:space="preserve">Case </w:t>
      </w:r>
      <w:r w:rsidRPr="00A51861">
        <w:rPr>
          <w:rFonts w:asciiTheme="majorHAnsi" w:hAnsiTheme="majorHAnsi"/>
          <w:color w:val="auto"/>
          <w:sz w:val="16"/>
          <w:szCs w:val="16"/>
        </w:rPr>
        <w:t xml:space="preserve">10.455. </w:t>
      </w:r>
      <w:r w:rsidR="00B6596B">
        <w:rPr>
          <w:rFonts w:asciiTheme="majorHAnsi" w:hAnsiTheme="majorHAnsi"/>
          <w:color w:val="auto"/>
          <w:sz w:val="16"/>
          <w:szCs w:val="16"/>
        </w:rPr>
        <w:t>Merits</w:t>
      </w:r>
      <w:r w:rsidRPr="00A51861">
        <w:rPr>
          <w:rFonts w:asciiTheme="majorHAnsi" w:hAnsiTheme="majorHAnsi"/>
          <w:color w:val="auto"/>
          <w:sz w:val="16"/>
          <w:szCs w:val="16"/>
        </w:rPr>
        <w:t xml:space="preserve"> (</w:t>
      </w:r>
      <w:r w:rsidR="00CE4CA1">
        <w:rPr>
          <w:rFonts w:asciiTheme="majorHAnsi" w:hAnsiTheme="majorHAnsi"/>
          <w:color w:val="auto"/>
          <w:sz w:val="16"/>
          <w:szCs w:val="16"/>
        </w:rPr>
        <w:t>Publication</w:t>
      </w:r>
      <w:r w:rsidRPr="00A51861">
        <w:rPr>
          <w:rFonts w:asciiTheme="majorHAnsi" w:hAnsiTheme="majorHAnsi"/>
          <w:color w:val="auto"/>
          <w:sz w:val="16"/>
          <w:szCs w:val="16"/>
        </w:rPr>
        <w:t xml:space="preserve">). Valentín Basto Calderón </w:t>
      </w:r>
      <w:r w:rsidR="00061928">
        <w:rPr>
          <w:rFonts w:asciiTheme="majorHAnsi" w:hAnsiTheme="majorHAnsi"/>
          <w:color w:val="auto"/>
          <w:sz w:val="16"/>
          <w:szCs w:val="16"/>
        </w:rPr>
        <w:t xml:space="preserve">and others. </w:t>
      </w:r>
      <w:r w:rsidRPr="00061015">
        <w:rPr>
          <w:rFonts w:asciiTheme="majorHAnsi" w:hAnsiTheme="majorHAnsi"/>
          <w:color w:val="auto"/>
          <w:sz w:val="16"/>
          <w:szCs w:val="16"/>
          <w:lang w:val="es-US"/>
        </w:rPr>
        <w:t xml:space="preserve">Colombia. 25 de mayo de 2017. </w:t>
      </w:r>
      <w:r w:rsidR="00357129" w:rsidRPr="00061015">
        <w:rPr>
          <w:rFonts w:asciiTheme="majorHAnsi" w:hAnsiTheme="majorHAnsi"/>
          <w:color w:val="auto"/>
          <w:sz w:val="16"/>
          <w:szCs w:val="16"/>
          <w:lang w:val="es-US"/>
        </w:rPr>
        <w:t xml:space="preserve">Para. </w:t>
      </w:r>
      <w:r w:rsidRPr="00061015">
        <w:rPr>
          <w:rFonts w:asciiTheme="majorHAnsi" w:hAnsiTheme="majorHAnsi"/>
          <w:color w:val="auto"/>
          <w:sz w:val="16"/>
          <w:szCs w:val="16"/>
          <w:lang w:val="es-US"/>
        </w:rPr>
        <w:t>139.</w:t>
      </w:r>
    </w:p>
  </w:footnote>
  <w:footnote w:id="158">
    <w:p w14:paraId="409096F7" w14:textId="2B3A4C3D" w:rsidR="00F40E67" w:rsidRPr="00A51861" w:rsidRDefault="00F40E67" w:rsidP="0063693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ajorHAnsi" w:eastAsia="Calibri" w:hAnsiTheme="majorHAnsi"/>
          <w:sz w:val="16"/>
          <w:szCs w:val="16"/>
          <w:bdr w:val="none" w:sz="0" w:space="0" w:color="auto"/>
        </w:rPr>
      </w:pPr>
      <w:r w:rsidRPr="00A51861">
        <w:rPr>
          <w:rStyle w:val="FootnoteReference"/>
          <w:rFonts w:asciiTheme="majorHAnsi" w:hAnsiTheme="majorHAnsi"/>
          <w:sz w:val="16"/>
          <w:szCs w:val="16"/>
        </w:rPr>
        <w:footnoteRef/>
      </w:r>
      <w:r w:rsidRPr="00FB23E4">
        <w:rPr>
          <w:rFonts w:asciiTheme="majorHAnsi" w:hAnsiTheme="majorHAnsi"/>
          <w:sz w:val="16"/>
          <w:szCs w:val="16"/>
          <w:lang w:val="es-US"/>
        </w:rPr>
        <w:t xml:space="preserve"> </w:t>
      </w:r>
      <w:r w:rsidR="000E67CA" w:rsidRPr="00FB23E4">
        <w:rPr>
          <w:rFonts w:asciiTheme="majorHAnsi" w:hAnsiTheme="majorHAnsi"/>
          <w:sz w:val="16"/>
          <w:szCs w:val="16"/>
          <w:lang w:val="es-US"/>
        </w:rPr>
        <w:t>IACHR</w:t>
      </w:r>
      <w:r w:rsidRPr="00FB23E4">
        <w:rPr>
          <w:rFonts w:asciiTheme="majorHAnsi" w:hAnsiTheme="majorHAnsi"/>
          <w:sz w:val="16"/>
          <w:szCs w:val="16"/>
          <w:lang w:val="es-US"/>
        </w:rPr>
        <w:t>.</w:t>
      </w:r>
      <w:r w:rsidR="000E67CA" w:rsidRPr="00FB23E4">
        <w:rPr>
          <w:rFonts w:asciiTheme="majorHAnsi" w:hAnsiTheme="majorHAnsi"/>
          <w:sz w:val="16"/>
          <w:szCs w:val="16"/>
          <w:lang w:val="es-US"/>
        </w:rPr>
        <w:t xml:space="preserve"> Report </w:t>
      </w:r>
      <w:r w:rsidRPr="00FB23E4">
        <w:rPr>
          <w:rFonts w:asciiTheme="majorHAnsi" w:hAnsiTheme="majorHAnsi"/>
          <w:sz w:val="16"/>
          <w:szCs w:val="16"/>
          <w:lang w:val="es-US"/>
        </w:rPr>
        <w:t xml:space="preserve">No. 170/17. </w:t>
      </w:r>
      <w:r w:rsidR="00B6596B" w:rsidRPr="00FB23E4">
        <w:rPr>
          <w:rFonts w:asciiTheme="majorHAnsi" w:hAnsiTheme="majorHAnsi"/>
          <w:sz w:val="16"/>
          <w:szCs w:val="16"/>
          <w:lang w:val="es-US"/>
        </w:rPr>
        <w:t xml:space="preserve">Case </w:t>
      </w:r>
      <w:r w:rsidRPr="00FB23E4">
        <w:rPr>
          <w:rFonts w:asciiTheme="majorHAnsi" w:hAnsiTheme="majorHAnsi"/>
          <w:sz w:val="16"/>
          <w:szCs w:val="16"/>
          <w:lang w:val="es-US"/>
        </w:rPr>
        <w:t xml:space="preserve">11.227. </w:t>
      </w:r>
      <w:r w:rsidR="00B6596B" w:rsidRPr="00FB23E4">
        <w:rPr>
          <w:rFonts w:asciiTheme="majorHAnsi" w:hAnsiTheme="majorHAnsi"/>
          <w:sz w:val="16"/>
          <w:szCs w:val="16"/>
          <w:lang w:val="es-US"/>
        </w:rPr>
        <w:t>Merits</w:t>
      </w:r>
      <w:r w:rsidRPr="00FB23E4">
        <w:rPr>
          <w:rFonts w:asciiTheme="majorHAnsi" w:hAnsiTheme="majorHAnsi"/>
          <w:sz w:val="16"/>
          <w:szCs w:val="16"/>
          <w:lang w:val="es-US"/>
        </w:rPr>
        <w:t xml:space="preserve">. </w:t>
      </w:r>
      <w:r w:rsidR="00036743">
        <w:rPr>
          <w:rFonts w:asciiTheme="majorHAnsi" w:hAnsiTheme="majorHAnsi"/>
          <w:sz w:val="16"/>
          <w:szCs w:val="16"/>
        </w:rPr>
        <w:t>Members</w:t>
      </w:r>
      <w:r w:rsidR="00B6596B">
        <w:rPr>
          <w:rFonts w:asciiTheme="majorHAnsi" w:hAnsiTheme="majorHAnsi"/>
          <w:sz w:val="16"/>
          <w:szCs w:val="16"/>
        </w:rPr>
        <w:t xml:space="preserve"> and </w:t>
      </w:r>
      <w:r w:rsidRPr="00A51861">
        <w:rPr>
          <w:rFonts w:asciiTheme="majorHAnsi" w:hAnsiTheme="majorHAnsi"/>
          <w:sz w:val="16"/>
          <w:szCs w:val="16"/>
        </w:rPr>
        <w:t>militants</w:t>
      </w:r>
      <w:r w:rsidR="00061928">
        <w:rPr>
          <w:rFonts w:asciiTheme="majorHAnsi" w:hAnsiTheme="majorHAnsi"/>
          <w:sz w:val="16"/>
          <w:szCs w:val="16"/>
        </w:rPr>
        <w:t xml:space="preserve"> of the </w:t>
      </w:r>
      <w:r w:rsidR="00036743">
        <w:rPr>
          <w:rFonts w:asciiTheme="majorHAnsi" w:hAnsiTheme="majorHAnsi"/>
          <w:sz w:val="16"/>
          <w:szCs w:val="16"/>
        </w:rPr>
        <w:t>Patriotic Unity</w:t>
      </w:r>
      <w:r w:rsidRPr="00A51861">
        <w:rPr>
          <w:rFonts w:asciiTheme="majorHAnsi" w:hAnsiTheme="majorHAnsi"/>
          <w:sz w:val="16"/>
          <w:szCs w:val="16"/>
        </w:rPr>
        <w:t xml:space="preserve">. Colombia. </w:t>
      </w:r>
      <w:r w:rsidR="00036743">
        <w:rPr>
          <w:rFonts w:asciiTheme="majorHAnsi" w:hAnsiTheme="majorHAnsi"/>
          <w:sz w:val="16"/>
          <w:szCs w:val="16"/>
        </w:rPr>
        <w:t>December 6,</w:t>
      </w:r>
      <w:r w:rsidRPr="00A51861">
        <w:rPr>
          <w:rFonts w:asciiTheme="majorHAnsi" w:hAnsiTheme="majorHAnsi"/>
          <w:sz w:val="16"/>
          <w:szCs w:val="16"/>
        </w:rPr>
        <w:t xml:space="preserve"> 2017, </w:t>
      </w:r>
      <w:r w:rsidR="00036743">
        <w:rPr>
          <w:rFonts w:asciiTheme="majorHAnsi" w:hAnsiTheme="majorHAnsi"/>
          <w:sz w:val="16"/>
          <w:szCs w:val="16"/>
        </w:rPr>
        <w:t>IHR Court</w:t>
      </w:r>
      <w:r w:rsidRPr="00A51861">
        <w:rPr>
          <w:rFonts w:asciiTheme="majorHAnsi" w:hAnsiTheme="majorHAnsi"/>
          <w:sz w:val="16"/>
          <w:szCs w:val="16"/>
        </w:rPr>
        <w:t xml:space="preserve">. </w:t>
      </w:r>
      <w:r w:rsidR="00B6596B">
        <w:rPr>
          <w:rFonts w:asciiTheme="majorHAnsi" w:hAnsiTheme="majorHAnsi"/>
          <w:sz w:val="16"/>
          <w:szCs w:val="16"/>
        </w:rPr>
        <w:t>Case</w:t>
      </w:r>
      <w:r w:rsidR="00036743">
        <w:rPr>
          <w:rFonts w:asciiTheme="majorHAnsi" w:hAnsiTheme="majorHAnsi"/>
          <w:sz w:val="16"/>
          <w:szCs w:val="16"/>
        </w:rPr>
        <w:t xml:space="preserve"> of</w:t>
      </w:r>
      <w:r w:rsidR="00B6596B">
        <w:rPr>
          <w:rFonts w:asciiTheme="majorHAnsi" w:hAnsiTheme="majorHAnsi"/>
          <w:sz w:val="16"/>
          <w:szCs w:val="16"/>
        </w:rPr>
        <w:t xml:space="preserve"> </w:t>
      </w:r>
      <w:r w:rsidRPr="00A51861">
        <w:rPr>
          <w:rFonts w:asciiTheme="majorHAnsi" w:hAnsiTheme="majorHAnsi"/>
          <w:sz w:val="16"/>
          <w:szCs w:val="16"/>
        </w:rPr>
        <w:t xml:space="preserve">Gutiérrez Soler Vs. Colombia. </w:t>
      </w:r>
      <w:r w:rsidR="00B6596B">
        <w:rPr>
          <w:rFonts w:asciiTheme="majorHAnsi" w:hAnsiTheme="majorHAnsi"/>
          <w:sz w:val="16"/>
          <w:szCs w:val="16"/>
        </w:rPr>
        <w:t>Merits</w:t>
      </w:r>
      <w:r w:rsidRPr="00A51861">
        <w:rPr>
          <w:rFonts w:asciiTheme="majorHAnsi" w:hAnsiTheme="majorHAnsi"/>
          <w:sz w:val="16"/>
          <w:szCs w:val="16"/>
        </w:rPr>
        <w:t xml:space="preserve">, </w:t>
      </w:r>
      <w:r w:rsidR="00357129">
        <w:rPr>
          <w:rFonts w:asciiTheme="majorHAnsi" w:hAnsiTheme="majorHAnsi"/>
          <w:sz w:val="16"/>
          <w:szCs w:val="16"/>
        </w:rPr>
        <w:t>Reparations and Costs</w:t>
      </w:r>
      <w:r w:rsidRPr="00A51861">
        <w:rPr>
          <w:rFonts w:asciiTheme="majorHAnsi" w:hAnsiTheme="majorHAnsi"/>
          <w:sz w:val="16"/>
          <w:szCs w:val="16"/>
        </w:rPr>
        <w:t xml:space="preserve">. </w:t>
      </w:r>
      <w:r w:rsidR="004E56A9">
        <w:rPr>
          <w:rFonts w:asciiTheme="majorHAnsi" w:hAnsiTheme="majorHAnsi"/>
          <w:sz w:val="16"/>
          <w:szCs w:val="16"/>
        </w:rPr>
        <w:t>Judgment</w:t>
      </w:r>
      <w:r w:rsidRPr="00A51861">
        <w:rPr>
          <w:rFonts w:asciiTheme="majorHAnsi" w:hAnsiTheme="majorHAnsi"/>
          <w:sz w:val="16"/>
          <w:szCs w:val="16"/>
        </w:rPr>
        <w:t xml:space="preserve"> </w:t>
      </w:r>
      <w:r w:rsidR="00036743">
        <w:rPr>
          <w:rFonts w:asciiTheme="majorHAnsi" w:hAnsiTheme="majorHAnsi"/>
          <w:sz w:val="16"/>
          <w:szCs w:val="16"/>
        </w:rPr>
        <w:t>of September 12,</w:t>
      </w:r>
      <w:r w:rsidRPr="00A51861">
        <w:rPr>
          <w:rFonts w:asciiTheme="majorHAnsi" w:hAnsiTheme="majorHAnsi"/>
          <w:sz w:val="16"/>
          <w:szCs w:val="16"/>
        </w:rPr>
        <w:t xml:space="preserve"> 2005. Serie C No. 132, </w:t>
      </w:r>
      <w:r w:rsidR="00036743">
        <w:rPr>
          <w:rFonts w:asciiTheme="majorHAnsi" w:hAnsiTheme="majorHAnsi"/>
          <w:sz w:val="16"/>
          <w:szCs w:val="16"/>
        </w:rPr>
        <w:t>para.</w:t>
      </w:r>
      <w:r w:rsidRPr="00A51861">
        <w:rPr>
          <w:rFonts w:asciiTheme="majorHAnsi" w:hAnsiTheme="majorHAnsi"/>
          <w:sz w:val="16"/>
          <w:szCs w:val="16"/>
        </w:rPr>
        <w:t xml:space="preserve"> 56-57, </w:t>
      </w:r>
      <w:r w:rsidR="00B6596B">
        <w:rPr>
          <w:rFonts w:asciiTheme="majorHAnsi" w:hAnsiTheme="majorHAnsi"/>
          <w:sz w:val="16"/>
          <w:szCs w:val="16"/>
        </w:rPr>
        <w:t xml:space="preserve">Case </w:t>
      </w:r>
      <w:r w:rsidR="00036743">
        <w:rPr>
          <w:rFonts w:asciiTheme="majorHAnsi" w:hAnsiTheme="majorHAnsi"/>
          <w:sz w:val="16"/>
          <w:szCs w:val="16"/>
        </w:rPr>
        <w:t xml:space="preserve">of </w:t>
      </w:r>
      <w:r w:rsidRPr="00A51861">
        <w:rPr>
          <w:rFonts w:asciiTheme="majorHAnsi" w:hAnsiTheme="majorHAnsi"/>
          <w:sz w:val="16"/>
          <w:szCs w:val="16"/>
        </w:rPr>
        <w:t xml:space="preserve">Tibi Vs. Ecuador. </w:t>
      </w:r>
      <w:r w:rsidR="00357129">
        <w:rPr>
          <w:rFonts w:asciiTheme="majorHAnsi" w:hAnsiTheme="majorHAnsi"/>
          <w:sz w:val="16"/>
          <w:szCs w:val="16"/>
        </w:rPr>
        <w:t>Exceptions, Preliminary Exceptions, Merits, Reparations and Costs</w:t>
      </w:r>
      <w:r w:rsidRPr="00A51861">
        <w:rPr>
          <w:rFonts w:asciiTheme="majorHAnsi" w:hAnsiTheme="majorHAnsi"/>
          <w:sz w:val="16"/>
          <w:szCs w:val="16"/>
        </w:rPr>
        <w:t xml:space="preserve">. </w:t>
      </w:r>
      <w:r w:rsidR="004E56A9">
        <w:rPr>
          <w:rFonts w:asciiTheme="majorHAnsi" w:hAnsiTheme="majorHAnsi"/>
          <w:sz w:val="16"/>
          <w:szCs w:val="16"/>
        </w:rPr>
        <w:t>Judgment</w:t>
      </w:r>
      <w:r w:rsidRPr="00A51861">
        <w:rPr>
          <w:rFonts w:asciiTheme="majorHAnsi" w:hAnsiTheme="majorHAnsi"/>
          <w:sz w:val="16"/>
          <w:szCs w:val="16"/>
        </w:rPr>
        <w:t xml:space="preserve"> </w:t>
      </w:r>
      <w:r w:rsidR="00036743">
        <w:rPr>
          <w:rFonts w:asciiTheme="majorHAnsi" w:hAnsiTheme="majorHAnsi"/>
          <w:sz w:val="16"/>
          <w:szCs w:val="16"/>
        </w:rPr>
        <w:t xml:space="preserve">of September 7, </w:t>
      </w:r>
      <w:r w:rsidRPr="00A51861">
        <w:rPr>
          <w:rFonts w:asciiTheme="majorHAnsi" w:hAnsiTheme="majorHAnsi"/>
          <w:sz w:val="16"/>
          <w:szCs w:val="16"/>
        </w:rPr>
        <w:t xml:space="preserve">2004. Serie C No. 114, </w:t>
      </w:r>
      <w:r w:rsidR="00B6596B">
        <w:rPr>
          <w:rFonts w:asciiTheme="majorHAnsi" w:hAnsiTheme="majorHAnsi"/>
          <w:sz w:val="16"/>
          <w:szCs w:val="16"/>
        </w:rPr>
        <w:t>para.</w:t>
      </w:r>
      <w:r w:rsidRPr="00A51861">
        <w:rPr>
          <w:rFonts w:asciiTheme="majorHAnsi" w:hAnsiTheme="majorHAnsi"/>
          <w:sz w:val="16"/>
          <w:szCs w:val="16"/>
        </w:rPr>
        <w:t xml:space="preserve"> 147. </w:t>
      </w:r>
      <w:r w:rsidR="00036743">
        <w:rPr>
          <w:rFonts w:asciiTheme="majorHAnsi" w:hAnsiTheme="majorHAnsi"/>
          <w:sz w:val="16"/>
          <w:szCs w:val="16"/>
        </w:rPr>
        <w:t>See also</w:t>
      </w:r>
      <w:r w:rsidRPr="00A51861">
        <w:rPr>
          <w:rFonts w:asciiTheme="majorHAnsi" w:hAnsiTheme="majorHAnsi"/>
          <w:sz w:val="16"/>
          <w:szCs w:val="16"/>
        </w:rPr>
        <w:t xml:space="preserve"> </w:t>
      </w:r>
      <w:r w:rsidR="000E67CA">
        <w:rPr>
          <w:rFonts w:asciiTheme="majorHAnsi" w:hAnsiTheme="majorHAnsi"/>
          <w:sz w:val="16"/>
          <w:szCs w:val="16"/>
        </w:rPr>
        <w:t>IACHR</w:t>
      </w:r>
      <w:r w:rsidRPr="00A51861">
        <w:rPr>
          <w:rFonts w:asciiTheme="majorHAnsi" w:hAnsiTheme="majorHAnsi"/>
          <w:sz w:val="16"/>
          <w:szCs w:val="16"/>
        </w:rPr>
        <w:t>, S</w:t>
      </w:r>
      <w:r w:rsidR="009A1CB9">
        <w:rPr>
          <w:rFonts w:asciiTheme="majorHAnsi" w:hAnsiTheme="majorHAnsi"/>
          <w:sz w:val="16"/>
          <w:szCs w:val="16"/>
        </w:rPr>
        <w:t>econd</w:t>
      </w:r>
      <w:r w:rsidR="000E67CA">
        <w:rPr>
          <w:rFonts w:asciiTheme="majorHAnsi" w:hAnsiTheme="majorHAnsi"/>
          <w:sz w:val="16"/>
          <w:szCs w:val="16"/>
        </w:rPr>
        <w:t xml:space="preserve"> Report </w:t>
      </w:r>
      <w:r w:rsidR="009A1CB9">
        <w:rPr>
          <w:rFonts w:asciiTheme="majorHAnsi" w:hAnsiTheme="majorHAnsi"/>
          <w:sz w:val="16"/>
          <w:szCs w:val="16"/>
        </w:rPr>
        <w:t>on the</w:t>
      </w:r>
      <w:r w:rsidRPr="00A51861">
        <w:rPr>
          <w:rFonts w:asciiTheme="majorHAnsi" w:hAnsiTheme="majorHAnsi"/>
          <w:sz w:val="16"/>
          <w:szCs w:val="16"/>
        </w:rPr>
        <w:t xml:space="preserve"> </w:t>
      </w:r>
      <w:r w:rsidR="00E92985">
        <w:rPr>
          <w:rFonts w:asciiTheme="majorHAnsi" w:hAnsiTheme="majorHAnsi"/>
          <w:sz w:val="16"/>
          <w:szCs w:val="16"/>
        </w:rPr>
        <w:t>situation</w:t>
      </w:r>
      <w:r w:rsidRPr="00A51861">
        <w:rPr>
          <w:rFonts w:asciiTheme="majorHAnsi" w:hAnsiTheme="majorHAnsi"/>
          <w:sz w:val="16"/>
          <w:szCs w:val="16"/>
        </w:rPr>
        <w:t xml:space="preserve"> </w:t>
      </w:r>
      <w:r w:rsidR="009A1CB9">
        <w:rPr>
          <w:rFonts w:asciiTheme="majorHAnsi" w:hAnsiTheme="majorHAnsi"/>
          <w:sz w:val="16"/>
          <w:szCs w:val="16"/>
        </w:rPr>
        <w:t>of Human Rights Defenders in the Americas</w:t>
      </w:r>
      <w:r w:rsidRPr="00A51861">
        <w:rPr>
          <w:rFonts w:asciiTheme="majorHAnsi" w:hAnsiTheme="majorHAnsi"/>
          <w:sz w:val="16"/>
          <w:szCs w:val="16"/>
        </w:rPr>
        <w:t xml:space="preserve">, OEA/ser.L/V/II.Doc.66, </w:t>
      </w:r>
      <w:r w:rsidR="009A1CB9">
        <w:rPr>
          <w:rFonts w:asciiTheme="majorHAnsi" w:hAnsiTheme="majorHAnsi"/>
          <w:sz w:val="16"/>
          <w:szCs w:val="16"/>
        </w:rPr>
        <w:t>December 31,</w:t>
      </w:r>
      <w:r w:rsidRPr="00A51861">
        <w:rPr>
          <w:rFonts w:asciiTheme="majorHAnsi" w:hAnsiTheme="majorHAnsi"/>
          <w:sz w:val="16"/>
          <w:szCs w:val="16"/>
        </w:rPr>
        <w:t xml:space="preserve"> 2011. </w:t>
      </w:r>
      <w:r w:rsidR="009A1CB9">
        <w:rPr>
          <w:rFonts w:asciiTheme="majorHAnsi" w:hAnsiTheme="majorHAnsi"/>
          <w:sz w:val="16"/>
          <w:szCs w:val="16"/>
        </w:rPr>
        <w:t>On the right to</w:t>
      </w:r>
      <w:r w:rsidRPr="00A51861">
        <w:rPr>
          <w:rFonts w:asciiTheme="majorHAnsi" w:hAnsiTheme="majorHAnsi"/>
          <w:sz w:val="16"/>
          <w:szCs w:val="16"/>
        </w:rPr>
        <w:t xml:space="preserve"> </w:t>
      </w:r>
      <w:r w:rsidR="009A1CB9">
        <w:rPr>
          <w:rFonts w:asciiTheme="majorHAnsi" w:hAnsiTheme="majorHAnsi"/>
          <w:sz w:val="16"/>
          <w:szCs w:val="16"/>
        </w:rPr>
        <w:t>humane treatment</w:t>
      </w:r>
      <w:r w:rsidRPr="00A51861">
        <w:rPr>
          <w:rFonts w:asciiTheme="majorHAnsi" w:hAnsiTheme="majorHAnsi"/>
          <w:sz w:val="16"/>
          <w:szCs w:val="16"/>
        </w:rPr>
        <w:t xml:space="preserve">, </w:t>
      </w:r>
      <w:r w:rsidR="00A51861" w:rsidRPr="00A51861">
        <w:rPr>
          <w:rFonts w:asciiTheme="majorHAnsi" w:hAnsiTheme="majorHAnsi"/>
          <w:sz w:val="16"/>
          <w:szCs w:val="16"/>
        </w:rPr>
        <w:t xml:space="preserve">the </w:t>
      </w:r>
      <w:r w:rsidR="00FE1E27">
        <w:rPr>
          <w:rFonts w:asciiTheme="majorHAnsi" w:hAnsiTheme="majorHAnsi"/>
          <w:sz w:val="16"/>
          <w:szCs w:val="16"/>
        </w:rPr>
        <w:t>Commission</w:t>
      </w:r>
      <w:r w:rsidRPr="00A51861">
        <w:rPr>
          <w:rFonts w:asciiTheme="majorHAnsi" w:hAnsiTheme="majorHAnsi"/>
          <w:sz w:val="16"/>
          <w:szCs w:val="16"/>
        </w:rPr>
        <w:t xml:space="preserve"> ha</w:t>
      </w:r>
      <w:r w:rsidR="009A1CB9">
        <w:rPr>
          <w:rFonts w:asciiTheme="majorHAnsi" w:hAnsiTheme="majorHAnsi"/>
          <w:sz w:val="16"/>
          <w:szCs w:val="16"/>
        </w:rPr>
        <w:t>s also held that</w:t>
      </w:r>
      <w:r w:rsidRPr="00A51861">
        <w:rPr>
          <w:rFonts w:asciiTheme="majorHAnsi" w:hAnsiTheme="majorHAnsi"/>
          <w:sz w:val="16"/>
          <w:szCs w:val="16"/>
        </w:rPr>
        <w:t xml:space="preserve"> “</w:t>
      </w:r>
      <w:r w:rsidR="009A1CB9">
        <w:rPr>
          <w:rFonts w:asciiTheme="majorHAnsi" w:eastAsia="Calibri" w:hAnsiTheme="majorHAnsi"/>
          <w:sz w:val="16"/>
          <w:szCs w:val="16"/>
          <w:bdr w:val="none" w:sz="0" w:space="0" w:color="auto"/>
        </w:rPr>
        <w:t>it implies the</w:t>
      </w:r>
      <w:r w:rsidRPr="00A51861">
        <w:rPr>
          <w:rFonts w:asciiTheme="majorHAnsi" w:eastAsia="Calibri" w:hAnsiTheme="majorHAnsi"/>
          <w:sz w:val="16"/>
          <w:szCs w:val="16"/>
          <w:bdr w:val="none" w:sz="0" w:space="0" w:color="auto"/>
        </w:rPr>
        <w:t xml:space="preserve"> </w:t>
      </w:r>
      <w:r w:rsidR="009A1CB9" w:rsidRPr="00A51861">
        <w:rPr>
          <w:rFonts w:asciiTheme="majorHAnsi" w:eastAsia="Calibri" w:hAnsiTheme="majorHAnsi"/>
          <w:sz w:val="16"/>
          <w:szCs w:val="16"/>
          <w:bdr w:val="none" w:sz="0" w:space="0" w:color="auto"/>
        </w:rPr>
        <w:t>obligation</w:t>
      </w:r>
      <w:r w:rsidRPr="00A51861">
        <w:rPr>
          <w:rFonts w:asciiTheme="majorHAnsi" w:eastAsia="Calibri" w:hAnsiTheme="majorHAnsi"/>
          <w:sz w:val="16"/>
          <w:szCs w:val="16"/>
          <w:bdr w:val="none" w:sz="0" w:space="0" w:color="auto"/>
        </w:rPr>
        <w:t xml:space="preserve"> </w:t>
      </w:r>
      <w:r w:rsidR="009A1CB9">
        <w:rPr>
          <w:rFonts w:asciiTheme="majorHAnsi" w:eastAsia="Calibri" w:hAnsiTheme="majorHAnsi"/>
          <w:sz w:val="16"/>
          <w:szCs w:val="16"/>
          <w:bdr w:val="none" w:sz="0" w:space="0" w:color="auto"/>
        </w:rPr>
        <w:t xml:space="preserve">of the State to </w:t>
      </w:r>
      <w:r w:rsidRPr="00A51861">
        <w:rPr>
          <w:rFonts w:asciiTheme="majorHAnsi" w:eastAsia="Calibri" w:hAnsiTheme="majorHAnsi"/>
          <w:sz w:val="16"/>
          <w:szCs w:val="16"/>
          <w:bdr w:val="none" w:sz="0" w:space="0" w:color="auto"/>
        </w:rPr>
        <w:t xml:space="preserve">adopt </w:t>
      </w:r>
      <w:r w:rsidR="009A1CB9">
        <w:rPr>
          <w:rFonts w:asciiTheme="majorHAnsi" w:eastAsia="Calibri" w:hAnsiTheme="majorHAnsi"/>
          <w:sz w:val="16"/>
          <w:szCs w:val="16"/>
          <w:bdr w:val="none" w:sz="0" w:space="0" w:color="auto"/>
        </w:rPr>
        <w:t>the necessary measures to prevent</w:t>
      </w:r>
      <w:r w:rsidRPr="00A51861">
        <w:rPr>
          <w:rFonts w:asciiTheme="majorHAnsi" w:eastAsia="Calibri" w:hAnsiTheme="majorHAnsi"/>
          <w:sz w:val="16"/>
          <w:szCs w:val="16"/>
          <w:bdr w:val="none" w:sz="0" w:space="0" w:color="auto"/>
        </w:rPr>
        <w:t xml:space="preserve"> </w:t>
      </w:r>
      <w:r w:rsidR="009A1CB9">
        <w:rPr>
          <w:rFonts w:asciiTheme="majorHAnsi" w:eastAsia="Calibri" w:hAnsiTheme="majorHAnsi"/>
          <w:sz w:val="16"/>
          <w:szCs w:val="16"/>
          <w:bdr w:val="none" w:sz="0" w:space="0" w:color="auto"/>
        </w:rPr>
        <w:t>physical</w:t>
      </w:r>
      <w:r w:rsidRPr="00A51861">
        <w:rPr>
          <w:rFonts w:asciiTheme="majorHAnsi" w:eastAsia="Calibri" w:hAnsiTheme="majorHAnsi"/>
          <w:sz w:val="16"/>
          <w:szCs w:val="16"/>
          <w:bdr w:val="none" w:sz="0" w:space="0" w:color="auto"/>
        </w:rPr>
        <w:t xml:space="preserve"> o</w:t>
      </w:r>
      <w:r w:rsidR="009A1CB9">
        <w:rPr>
          <w:rFonts w:asciiTheme="majorHAnsi" w:eastAsia="Calibri" w:hAnsiTheme="majorHAnsi"/>
          <w:sz w:val="16"/>
          <w:szCs w:val="16"/>
          <w:bdr w:val="none" w:sz="0" w:space="0" w:color="auto"/>
        </w:rPr>
        <w:t>r</w:t>
      </w:r>
      <w:r w:rsidRPr="00A51861">
        <w:rPr>
          <w:rFonts w:asciiTheme="majorHAnsi" w:eastAsia="Calibri" w:hAnsiTheme="majorHAnsi"/>
          <w:sz w:val="16"/>
          <w:szCs w:val="16"/>
          <w:bdr w:val="none" w:sz="0" w:space="0" w:color="auto"/>
        </w:rPr>
        <w:t xml:space="preserve"> ps</w:t>
      </w:r>
      <w:r w:rsidR="009A1CB9">
        <w:rPr>
          <w:rFonts w:asciiTheme="majorHAnsi" w:eastAsia="Calibri" w:hAnsiTheme="majorHAnsi"/>
          <w:sz w:val="16"/>
          <w:szCs w:val="16"/>
          <w:bdr w:val="none" w:sz="0" w:space="0" w:color="auto"/>
        </w:rPr>
        <w:t>y</w:t>
      </w:r>
      <w:r w:rsidRPr="00A51861">
        <w:rPr>
          <w:rFonts w:asciiTheme="majorHAnsi" w:eastAsia="Calibri" w:hAnsiTheme="majorHAnsi"/>
          <w:sz w:val="16"/>
          <w:szCs w:val="16"/>
          <w:bdr w:val="none" w:sz="0" w:space="0" w:color="auto"/>
        </w:rPr>
        <w:t>c</w:t>
      </w:r>
      <w:r w:rsidR="009A1CB9">
        <w:rPr>
          <w:rFonts w:asciiTheme="majorHAnsi" w:eastAsia="Calibri" w:hAnsiTheme="majorHAnsi"/>
          <w:sz w:val="16"/>
          <w:szCs w:val="16"/>
          <w:bdr w:val="none" w:sz="0" w:space="0" w:color="auto"/>
        </w:rPr>
        <w:t>h</w:t>
      </w:r>
      <w:r w:rsidRPr="00A51861">
        <w:rPr>
          <w:rFonts w:asciiTheme="majorHAnsi" w:eastAsia="Calibri" w:hAnsiTheme="majorHAnsi"/>
          <w:sz w:val="16"/>
          <w:szCs w:val="16"/>
          <w:bdr w:val="none" w:sz="0" w:space="0" w:color="auto"/>
        </w:rPr>
        <w:t>ol</w:t>
      </w:r>
      <w:r w:rsidR="009A1CB9">
        <w:rPr>
          <w:rFonts w:asciiTheme="majorHAnsi" w:eastAsia="Calibri" w:hAnsiTheme="majorHAnsi"/>
          <w:sz w:val="16"/>
          <w:szCs w:val="16"/>
          <w:bdr w:val="none" w:sz="0" w:space="0" w:color="auto"/>
        </w:rPr>
        <w:t>o</w:t>
      </w:r>
      <w:r w:rsidRPr="00A51861">
        <w:rPr>
          <w:rFonts w:asciiTheme="majorHAnsi" w:eastAsia="Calibri" w:hAnsiTheme="majorHAnsi"/>
          <w:sz w:val="16"/>
          <w:szCs w:val="16"/>
          <w:bdr w:val="none" w:sz="0" w:space="0" w:color="auto"/>
        </w:rPr>
        <w:t>gic</w:t>
      </w:r>
      <w:r w:rsidR="009A1CB9">
        <w:rPr>
          <w:rFonts w:asciiTheme="majorHAnsi" w:eastAsia="Calibri" w:hAnsiTheme="majorHAnsi"/>
          <w:sz w:val="16"/>
          <w:szCs w:val="16"/>
          <w:bdr w:val="none" w:sz="0" w:space="0" w:color="auto"/>
        </w:rPr>
        <w:t>al</w:t>
      </w:r>
      <w:r w:rsidR="009A1CB9" w:rsidRPr="009A1CB9">
        <w:rPr>
          <w:rFonts w:asciiTheme="majorHAnsi" w:eastAsia="Calibri" w:hAnsiTheme="majorHAnsi"/>
          <w:sz w:val="16"/>
          <w:szCs w:val="16"/>
          <w:bdr w:val="none" w:sz="0" w:space="0" w:color="auto"/>
        </w:rPr>
        <w:t xml:space="preserve"> </w:t>
      </w:r>
      <w:r w:rsidR="009A1CB9" w:rsidRPr="00A51861">
        <w:rPr>
          <w:rFonts w:asciiTheme="majorHAnsi" w:eastAsia="Calibri" w:hAnsiTheme="majorHAnsi"/>
          <w:sz w:val="16"/>
          <w:szCs w:val="16"/>
          <w:bdr w:val="none" w:sz="0" w:space="0" w:color="auto"/>
        </w:rPr>
        <w:t>aggressions</w:t>
      </w:r>
      <w:r w:rsidRPr="00A51861">
        <w:rPr>
          <w:rFonts w:asciiTheme="majorHAnsi" w:eastAsia="Calibri" w:hAnsiTheme="majorHAnsi"/>
          <w:sz w:val="16"/>
          <w:szCs w:val="16"/>
          <w:bdr w:val="none" w:sz="0" w:space="0" w:color="auto"/>
        </w:rPr>
        <w:t xml:space="preserve">, </w:t>
      </w:r>
      <w:r w:rsidR="009A1CB9">
        <w:rPr>
          <w:rFonts w:asciiTheme="majorHAnsi" w:eastAsia="Calibri" w:hAnsiTheme="majorHAnsi"/>
          <w:sz w:val="16"/>
          <w:szCs w:val="16"/>
          <w:bdr w:val="none" w:sz="0" w:space="0" w:color="auto"/>
        </w:rPr>
        <w:t>threats</w:t>
      </w:r>
      <w:r w:rsidRPr="00A51861">
        <w:rPr>
          <w:rFonts w:asciiTheme="majorHAnsi" w:eastAsia="Calibri" w:hAnsiTheme="majorHAnsi"/>
          <w:sz w:val="16"/>
          <w:szCs w:val="16"/>
          <w:bdr w:val="none" w:sz="0" w:space="0" w:color="auto"/>
        </w:rPr>
        <w:t>,</w:t>
      </w:r>
      <w:r w:rsidR="00B6596B">
        <w:rPr>
          <w:rFonts w:asciiTheme="majorHAnsi" w:eastAsia="Calibri" w:hAnsiTheme="majorHAnsi"/>
          <w:sz w:val="16"/>
          <w:szCs w:val="16"/>
          <w:bdr w:val="none" w:sz="0" w:space="0" w:color="auto"/>
        </w:rPr>
        <w:t xml:space="preserve"> and </w:t>
      </w:r>
      <w:r w:rsidR="009A1CB9">
        <w:rPr>
          <w:rFonts w:asciiTheme="majorHAnsi" w:eastAsia="Calibri" w:hAnsiTheme="majorHAnsi"/>
          <w:sz w:val="16"/>
          <w:szCs w:val="16"/>
          <w:bdr w:val="none" w:sz="0" w:space="0" w:color="auto"/>
        </w:rPr>
        <w:t>harassment used in an attempt to diminish the</w:t>
      </w:r>
      <w:r w:rsidRPr="00A51861">
        <w:rPr>
          <w:rFonts w:asciiTheme="majorHAnsi" w:eastAsia="Calibri" w:hAnsiTheme="majorHAnsi"/>
          <w:sz w:val="16"/>
          <w:szCs w:val="16"/>
          <w:bdr w:val="none" w:sz="0" w:space="0" w:color="auto"/>
        </w:rPr>
        <w:t xml:space="preserve"> </w:t>
      </w:r>
      <w:r w:rsidR="009A1CB9">
        <w:rPr>
          <w:rFonts w:asciiTheme="majorHAnsi" w:eastAsia="Calibri" w:hAnsiTheme="majorHAnsi"/>
          <w:sz w:val="16"/>
          <w:szCs w:val="16"/>
          <w:bdr w:val="none" w:sz="0" w:space="0" w:color="auto"/>
        </w:rPr>
        <w:t xml:space="preserve">physical </w:t>
      </w:r>
      <w:r w:rsidR="00B6596B">
        <w:rPr>
          <w:rFonts w:asciiTheme="majorHAnsi" w:eastAsia="Calibri" w:hAnsiTheme="majorHAnsi"/>
          <w:sz w:val="16"/>
          <w:szCs w:val="16"/>
          <w:bdr w:val="none" w:sz="0" w:space="0" w:color="auto"/>
        </w:rPr>
        <w:t xml:space="preserve">and </w:t>
      </w:r>
      <w:r w:rsidRPr="00A51861">
        <w:rPr>
          <w:rFonts w:asciiTheme="majorHAnsi" w:eastAsia="Calibri" w:hAnsiTheme="majorHAnsi"/>
          <w:sz w:val="16"/>
          <w:szCs w:val="16"/>
          <w:bdr w:val="none" w:sz="0" w:space="0" w:color="auto"/>
        </w:rPr>
        <w:t xml:space="preserve">mental </w:t>
      </w:r>
      <w:r w:rsidR="009A1CB9" w:rsidRPr="00A51861">
        <w:rPr>
          <w:rFonts w:asciiTheme="majorHAnsi" w:eastAsia="Calibri" w:hAnsiTheme="majorHAnsi"/>
          <w:sz w:val="16"/>
          <w:szCs w:val="16"/>
          <w:bdr w:val="none" w:sz="0" w:space="0" w:color="auto"/>
        </w:rPr>
        <w:t>capa</w:t>
      </w:r>
      <w:r w:rsidR="009A1CB9">
        <w:rPr>
          <w:rFonts w:asciiTheme="majorHAnsi" w:eastAsia="Calibri" w:hAnsiTheme="majorHAnsi"/>
          <w:sz w:val="16"/>
          <w:szCs w:val="16"/>
          <w:bdr w:val="none" w:sz="0" w:space="0" w:color="auto"/>
        </w:rPr>
        <w:t>bil</w:t>
      </w:r>
      <w:r w:rsidR="009A1CB9" w:rsidRPr="00A51861">
        <w:rPr>
          <w:rFonts w:asciiTheme="majorHAnsi" w:eastAsia="Calibri" w:hAnsiTheme="majorHAnsi"/>
          <w:sz w:val="16"/>
          <w:szCs w:val="16"/>
          <w:bdr w:val="none" w:sz="0" w:space="0" w:color="auto"/>
        </w:rPr>
        <w:t>i</w:t>
      </w:r>
      <w:r w:rsidR="009A1CB9">
        <w:rPr>
          <w:rFonts w:asciiTheme="majorHAnsi" w:eastAsia="Calibri" w:hAnsiTheme="majorHAnsi"/>
          <w:sz w:val="16"/>
          <w:szCs w:val="16"/>
          <w:bdr w:val="none" w:sz="0" w:space="0" w:color="auto"/>
        </w:rPr>
        <w:t>ty of human rights defenders</w:t>
      </w:r>
      <w:r w:rsidRPr="00A51861">
        <w:rPr>
          <w:rFonts w:asciiTheme="majorHAnsi" w:eastAsia="Calibri" w:hAnsiTheme="majorHAnsi"/>
          <w:sz w:val="16"/>
          <w:szCs w:val="16"/>
          <w:bdr w:val="none" w:sz="0" w:space="0" w:color="auto"/>
        </w:rPr>
        <w:t xml:space="preserve">. </w:t>
      </w:r>
      <w:r w:rsidR="00A51861" w:rsidRPr="00A51861">
        <w:rPr>
          <w:rFonts w:asciiTheme="majorHAnsi" w:eastAsia="Calibri" w:hAnsiTheme="majorHAnsi"/>
          <w:sz w:val="16"/>
          <w:szCs w:val="16"/>
          <w:bdr w:val="none" w:sz="0" w:space="0" w:color="auto"/>
        </w:rPr>
        <w:t xml:space="preserve">The </w:t>
      </w:r>
      <w:r w:rsidR="00FE1E27">
        <w:rPr>
          <w:rFonts w:asciiTheme="majorHAnsi" w:eastAsia="Calibri" w:hAnsiTheme="majorHAnsi"/>
          <w:sz w:val="16"/>
          <w:szCs w:val="16"/>
          <w:bdr w:val="none" w:sz="0" w:space="0" w:color="auto"/>
        </w:rPr>
        <w:t>Commission</w:t>
      </w:r>
      <w:r w:rsidRPr="00A51861">
        <w:rPr>
          <w:rFonts w:asciiTheme="majorHAnsi" w:eastAsia="Calibri" w:hAnsiTheme="majorHAnsi"/>
          <w:sz w:val="16"/>
          <w:szCs w:val="16"/>
          <w:bdr w:val="none" w:sz="0" w:space="0" w:color="auto"/>
        </w:rPr>
        <w:t xml:space="preserve"> ha</w:t>
      </w:r>
      <w:r w:rsidR="009A1CB9">
        <w:rPr>
          <w:rFonts w:asciiTheme="majorHAnsi" w:eastAsia="Calibri" w:hAnsiTheme="majorHAnsi"/>
          <w:sz w:val="16"/>
          <w:szCs w:val="16"/>
          <w:bdr w:val="none" w:sz="0" w:space="0" w:color="auto"/>
        </w:rPr>
        <w:t>s</w:t>
      </w:r>
      <w:r w:rsidRPr="00A51861">
        <w:rPr>
          <w:rFonts w:asciiTheme="majorHAnsi" w:eastAsia="Calibri" w:hAnsiTheme="majorHAnsi"/>
          <w:sz w:val="16"/>
          <w:szCs w:val="16"/>
          <w:bdr w:val="none" w:sz="0" w:space="0" w:color="auto"/>
        </w:rPr>
        <w:t xml:space="preserve"> </w:t>
      </w:r>
      <w:r w:rsidR="009A1CB9">
        <w:rPr>
          <w:rFonts w:asciiTheme="majorHAnsi" w:eastAsia="Calibri" w:hAnsiTheme="majorHAnsi"/>
          <w:sz w:val="16"/>
          <w:szCs w:val="16"/>
          <w:bdr w:val="none" w:sz="0" w:space="0" w:color="auto"/>
        </w:rPr>
        <w:t>stressed that said</w:t>
      </w:r>
      <w:r w:rsidRPr="00A51861">
        <w:rPr>
          <w:rFonts w:asciiTheme="majorHAnsi" w:eastAsia="Calibri" w:hAnsiTheme="majorHAnsi"/>
          <w:sz w:val="16"/>
          <w:szCs w:val="16"/>
          <w:bdr w:val="none" w:sz="0" w:space="0" w:color="auto"/>
        </w:rPr>
        <w:t xml:space="preserve"> </w:t>
      </w:r>
      <w:r w:rsidR="009A1CB9">
        <w:rPr>
          <w:rFonts w:asciiTheme="majorHAnsi" w:eastAsia="Calibri" w:hAnsiTheme="majorHAnsi"/>
          <w:sz w:val="16"/>
          <w:szCs w:val="16"/>
          <w:bdr w:val="none" w:sz="0" w:space="0" w:color="auto"/>
        </w:rPr>
        <w:t>elements</w:t>
      </w:r>
      <w:r w:rsidRPr="00A51861">
        <w:rPr>
          <w:rFonts w:asciiTheme="majorHAnsi" w:eastAsia="Calibri" w:hAnsiTheme="majorHAnsi"/>
          <w:sz w:val="16"/>
          <w:szCs w:val="16"/>
          <w:bdr w:val="none" w:sz="0" w:space="0" w:color="auto"/>
        </w:rPr>
        <w:t xml:space="preserve"> </w:t>
      </w:r>
      <w:r w:rsidR="009A1CB9">
        <w:rPr>
          <w:rFonts w:asciiTheme="majorHAnsi" w:eastAsia="Calibri" w:hAnsiTheme="majorHAnsi"/>
          <w:sz w:val="16"/>
          <w:szCs w:val="16"/>
          <w:bdr w:val="none" w:sz="0" w:space="0" w:color="auto"/>
        </w:rPr>
        <w:t>cannot only breach their right to</w:t>
      </w:r>
      <w:r w:rsidRPr="00A51861">
        <w:rPr>
          <w:rFonts w:asciiTheme="majorHAnsi" w:eastAsia="Calibri" w:hAnsiTheme="majorHAnsi"/>
          <w:sz w:val="16"/>
          <w:szCs w:val="16"/>
          <w:bdr w:val="none" w:sz="0" w:space="0" w:color="auto"/>
        </w:rPr>
        <w:t xml:space="preserve"> </w:t>
      </w:r>
      <w:r w:rsidR="009A1CB9">
        <w:rPr>
          <w:rFonts w:asciiTheme="majorHAnsi" w:eastAsia="Calibri" w:hAnsiTheme="majorHAnsi"/>
          <w:sz w:val="16"/>
          <w:szCs w:val="16"/>
          <w:bdr w:val="none" w:sz="0" w:space="0" w:color="auto"/>
        </w:rPr>
        <w:t>physical</w:t>
      </w:r>
      <w:r w:rsidR="009A1CB9" w:rsidRPr="00A51861">
        <w:rPr>
          <w:rFonts w:asciiTheme="majorHAnsi" w:eastAsia="Calibri" w:hAnsiTheme="majorHAnsi"/>
          <w:sz w:val="16"/>
          <w:szCs w:val="16"/>
          <w:bdr w:val="none" w:sz="0" w:space="0" w:color="auto"/>
        </w:rPr>
        <w:t xml:space="preserve"> </w:t>
      </w:r>
      <w:r w:rsidRPr="00A51861">
        <w:rPr>
          <w:rFonts w:asciiTheme="majorHAnsi" w:eastAsia="Calibri" w:hAnsiTheme="majorHAnsi"/>
          <w:sz w:val="16"/>
          <w:szCs w:val="16"/>
          <w:bdr w:val="none" w:sz="0" w:space="0" w:color="auto"/>
        </w:rPr>
        <w:t>integri</w:t>
      </w:r>
      <w:r w:rsidR="00FA2E7B">
        <w:rPr>
          <w:rFonts w:asciiTheme="majorHAnsi" w:eastAsia="Calibri" w:hAnsiTheme="majorHAnsi"/>
          <w:sz w:val="16"/>
          <w:szCs w:val="16"/>
          <w:bdr w:val="none" w:sz="0" w:space="0" w:color="auto"/>
        </w:rPr>
        <w:t>ty</w:t>
      </w:r>
      <w:r w:rsidRPr="00A51861">
        <w:rPr>
          <w:rFonts w:asciiTheme="majorHAnsi" w:eastAsia="Calibri" w:hAnsiTheme="majorHAnsi"/>
          <w:sz w:val="16"/>
          <w:szCs w:val="16"/>
          <w:bdr w:val="none" w:sz="0" w:space="0" w:color="auto"/>
        </w:rPr>
        <w:t xml:space="preserve">, </w:t>
      </w:r>
      <w:r w:rsidR="009A1CB9">
        <w:rPr>
          <w:rFonts w:asciiTheme="majorHAnsi" w:eastAsia="Calibri" w:hAnsiTheme="majorHAnsi"/>
          <w:sz w:val="16"/>
          <w:szCs w:val="16"/>
          <w:bdr w:val="none" w:sz="0" w:space="0" w:color="auto"/>
        </w:rPr>
        <w:t>but also their</w:t>
      </w:r>
      <w:r w:rsidRPr="00A51861">
        <w:rPr>
          <w:rFonts w:asciiTheme="majorHAnsi" w:eastAsia="Calibri" w:hAnsiTheme="majorHAnsi"/>
          <w:sz w:val="16"/>
          <w:szCs w:val="16"/>
          <w:bdr w:val="none" w:sz="0" w:space="0" w:color="auto"/>
        </w:rPr>
        <w:t xml:space="preserve"> </w:t>
      </w:r>
      <w:r w:rsidR="009A1CB9">
        <w:rPr>
          <w:rFonts w:asciiTheme="majorHAnsi" w:eastAsia="Calibri" w:hAnsiTheme="majorHAnsi"/>
          <w:sz w:val="16"/>
          <w:szCs w:val="16"/>
          <w:bdr w:val="none" w:sz="0" w:space="0" w:color="auto"/>
        </w:rPr>
        <w:t>psychic</w:t>
      </w:r>
      <w:r w:rsidR="00B6596B">
        <w:rPr>
          <w:rFonts w:asciiTheme="majorHAnsi" w:eastAsia="Calibri" w:hAnsiTheme="majorHAnsi"/>
          <w:sz w:val="16"/>
          <w:szCs w:val="16"/>
          <w:bdr w:val="none" w:sz="0" w:space="0" w:color="auto"/>
        </w:rPr>
        <w:t xml:space="preserve"> and </w:t>
      </w:r>
      <w:r w:rsidRPr="00A51861">
        <w:rPr>
          <w:rFonts w:asciiTheme="majorHAnsi" w:eastAsia="Calibri" w:hAnsiTheme="majorHAnsi"/>
          <w:sz w:val="16"/>
          <w:szCs w:val="16"/>
          <w:bdr w:val="none" w:sz="0" w:space="0" w:color="auto"/>
        </w:rPr>
        <w:t>moral</w:t>
      </w:r>
      <w:r w:rsidR="009A1CB9" w:rsidRPr="009A1CB9">
        <w:rPr>
          <w:rFonts w:asciiTheme="majorHAnsi" w:eastAsia="Calibri" w:hAnsiTheme="majorHAnsi"/>
          <w:sz w:val="16"/>
          <w:szCs w:val="16"/>
          <w:bdr w:val="none" w:sz="0" w:space="0" w:color="auto"/>
        </w:rPr>
        <w:t xml:space="preserve"> </w:t>
      </w:r>
      <w:r w:rsidR="009A1CB9" w:rsidRPr="00A51861">
        <w:rPr>
          <w:rFonts w:asciiTheme="majorHAnsi" w:eastAsia="Calibri" w:hAnsiTheme="majorHAnsi"/>
          <w:sz w:val="16"/>
          <w:szCs w:val="16"/>
          <w:bdr w:val="none" w:sz="0" w:space="0" w:color="auto"/>
        </w:rPr>
        <w:t>integri</w:t>
      </w:r>
      <w:r w:rsidR="009A1CB9">
        <w:rPr>
          <w:rFonts w:asciiTheme="majorHAnsi" w:eastAsia="Calibri" w:hAnsiTheme="majorHAnsi"/>
          <w:sz w:val="16"/>
          <w:szCs w:val="16"/>
          <w:bdr w:val="none" w:sz="0" w:space="0" w:color="auto"/>
        </w:rPr>
        <w:t>ty</w:t>
      </w:r>
      <w:r w:rsidRPr="00A51861">
        <w:rPr>
          <w:rFonts w:asciiTheme="majorHAnsi" w:eastAsia="Calibri" w:hAnsiTheme="majorHAnsi"/>
          <w:sz w:val="16"/>
          <w:szCs w:val="16"/>
          <w:bdr w:val="none" w:sz="0" w:space="0" w:color="auto"/>
        </w:rPr>
        <w:t xml:space="preserve">. </w:t>
      </w:r>
      <w:r w:rsidR="009A1CB9">
        <w:rPr>
          <w:rFonts w:asciiTheme="majorHAnsi" w:eastAsia="Calibri" w:hAnsiTheme="majorHAnsi"/>
          <w:sz w:val="16"/>
          <w:szCs w:val="16"/>
          <w:bdr w:val="none" w:sz="0" w:space="0" w:color="auto"/>
        </w:rPr>
        <w:t>This since said</w:t>
      </w:r>
      <w:r w:rsidR="005F6157">
        <w:rPr>
          <w:rFonts w:asciiTheme="majorHAnsi" w:eastAsia="Calibri" w:hAnsiTheme="majorHAnsi"/>
          <w:sz w:val="16"/>
          <w:szCs w:val="16"/>
          <w:bdr w:val="none" w:sz="0" w:space="0" w:color="auto"/>
        </w:rPr>
        <w:t xml:space="preserve"> fact</w:t>
      </w:r>
      <w:r w:rsidRPr="00A51861">
        <w:rPr>
          <w:rFonts w:asciiTheme="majorHAnsi" w:eastAsia="Calibri" w:hAnsiTheme="majorHAnsi"/>
          <w:sz w:val="16"/>
          <w:szCs w:val="16"/>
          <w:bdr w:val="none" w:sz="0" w:space="0" w:color="auto"/>
        </w:rPr>
        <w:t xml:space="preserve">s produce </w:t>
      </w:r>
      <w:r w:rsidR="009A1CB9">
        <w:rPr>
          <w:rFonts w:asciiTheme="majorHAnsi" w:eastAsia="Calibri" w:hAnsiTheme="majorHAnsi"/>
          <w:sz w:val="16"/>
          <w:szCs w:val="16"/>
          <w:bdr w:val="none" w:sz="0" w:space="0" w:color="auto"/>
        </w:rPr>
        <w:t>feelings of</w:t>
      </w:r>
      <w:r w:rsidRPr="00A51861">
        <w:rPr>
          <w:rFonts w:asciiTheme="majorHAnsi" w:eastAsia="Calibri" w:hAnsiTheme="majorHAnsi"/>
          <w:sz w:val="16"/>
          <w:szCs w:val="16"/>
          <w:bdr w:val="none" w:sz="0" w:space="0" w:color="auto"/>
        </w:rPr>
        <w:t xml:space="preserve"> angu</w:t>
      </w:r>
      <w:r w:rsidR="009A1CB9">
        <w:rPr>
          <w:rFonts w:asciiTheme="majorHAnsi" w:eastAsia="Calibri" w:hAnsiTheme="majorHAnsi"/>
          <w:sz w:val="16"/>
          <w:szCs w:val="16"/>
          <w:bdr w:val="none" w:sz="0" w:space="0" w:color="auto"/>
        </w:rPr>
        <w:t>i</w:t>
      </w:r>
      <w:r w:rsidRPr="00A51861">
        <w:rPr>
          <w:rFonts w:asciiTheme="majorHAnsi" w:eastAsia="Calibri" w:hAnsiTheme="majorHAnsi"/>
          <w:sz w:val="16"/>
          <w:szCs w:val="16"/>
          <w:bdr w:val="none" w:sz="0" w:space="0" w:color="auto"/>
        </w:rPr>
        <w:t>s</w:t>
      </w:r>
      <w:r w:rsidR="009A1CB9">
        <w:rPr>
          <w:rFonts w:asciiTheme="majorHAnsi" w:eastAsia="Calibri" w:hAnsiTheme="majorHAnsi"/>
          <w:sz w:val="16"/>
          <w:szCs w:val="16"/>
          <w:bdr w:val="none" w:sz="0" w:space="0" w:color="auto"/>
        </w:rPr>
        <w:t>h</w:t>
      </w:r>
      <w:r w:rsidRPr="00A51861">
        <w:rPr>
          <w:rFonts w:asciiTheme="majorHAnsi" w:eastAsia="Calibri" w:hAnsiTheme="majorHAnsi"/>
          <w:sz w:val="16"/>
          <w:szCs w:val="16"/>
          <w:bdr w:val="none" w:sz="0" w:space="0" w:color="auto"/>
        </w:rPr>
        <w:t xml:space="preserve">, </w:t>
      </w:r>
      <w:r w:rsidR="009A1CB9">
        <w:rPr>
          <w:rFonts w:asciiTheme="majorHAnsi" w:eastAsia="Calibri" w:hAnsiTheme="majorHAnsi"/>
          <w:sz w:val="16"/>
          <w:szCs w:val="16"/>
          <w:bdr w:val="none" w:sz="0" w:space="0" w:color="auto"/>
        </w:rPr>
        <w:t>fear and</w:t>
      </w:r>
      <w:r w:rsidRPr="00A51861">
        <w:rPr>
          <w:rFonts w:asciiTheme="majorHAnsi" w:eastAsia="Calibri" w:hAnsiTheme="majorHAnsi"/>
          <w:sz w:val="16"/>
          <w:szCs w:val="16"/>
          <w:bdr w:val="none" w:sz="0" w:space="0" w:color="auto"/>
        </w:rPr>
        <w:t xml:space="preserve"> </w:t>
      </w:r>
      <w:r w:rsidR="009A1CB9">
        <w:rPr>
          <w:rFonts w:asciiTheme="majorHAnsi" w:eastAsia="Calibri" w:hAnsiTheme="majorHAnsi"/>
          <w:sz w:val="16"/>
          <w:szCs w:val="16"/>
          <w:bdr w:val="none" w:sz="0" w:space="0" w:color="auto"/>
        </w:rPr>
        <w:t>insecurity</w:t>
      </w:r>
      <w:r w:rsidRPr="00A51861">
        <w:rPr>
          <w:rFonts w:asciiTheme="majorHAnsi" w:eastAsia="Calibri" w:hAnsiTheme="majorHAnsi"/>
          <w:sz w:val="16"/>
          <w:szCs w:val="16"/>
          <w:bdr w:val="none" w:sz="0" w:space="0" w:color="auto"/>
        </w:rPr>
        <w:t xml:space="preserve">”. </w:t>
      </w:r>
      <w:r w:rsidR="000E67CA">
        <w:rPr>
          <w:rFonts w:asciiTheme="majorHAnsi" w:eastAsia="Calibri" w:hAnsiTheme="majorHAnsi"/>
          <w:sz w:val="16"/>
          <w:szCs w:val="16"/>
          <w:bdr w:val="none" w:sz="0" w:space="0" w:color="auto"/>
        </w:rPr>
        <w:t>IACHR</w:t>
      </w:r>
      <w:r w:rsidRPr="00A51861">
        <w:rPr>
          <w:rFonts w:asciiTheme="majorHAnsi" w:eastAsia="Calibri" w:hAnsiTheme="majorHAnsi"/>
          <w:sz w:val="16"/>
          <w:szCs w:val="16"/>
          <w:bdr w:val="none" w:sz="0" w:space="0" w:color="auto"/>
        </w:rPr>
        <w:t>.</w:t>
      </w:r>
      <w:r w:rsidR="000E67CA">
        <w:rPr>
          <w:rFonts w:asciiTheme="majorHAnsi" w:eastAsia="Calibri" w:hAnsiTheme="majorHAnsi"/>
          <w:sz w:val="16"/>
          <w:szCs w:val="16"/>
          <w:bdr w:val="none" w:sz="0" w:space="0" w:color="auto"/>
        </w:rPr>
        <w:t xml:space="preserve"> Report </w:t>
      </w:r>
      <w:r w:rsidRPr="00A51861">
        <w:rPr>
          <w:rFonts w:asciiTheme="majorHAnsi" w:eastAsia="Calibri" w:hAnsiTheme="majorHAnsi"/>
          <w:sz w:val="16"/>
          <w:szCs w:val="16"/>
          <w:bdr w:val="none" w:sz="0" w:space="0" w:color="auto"/>
        </w:rPr>
        <w:t xml:space="preserve">No. 57/19. </w:t>
      </w:r>
      <w:r w:rsidR="00B6596B">
        <w:rPr>
          <w:rFonts w:asciiTheme="majorHAnsi" w:eastAsia="Calibri" w:hAnsiTheme="majorHAnsi"/>
          <w:sz w:val="16"/>
          <w:szCs w:val="16"/>
          <w:bdr w:val="none" w:sz="0" w:space="0" w:color="auto"/>
        </w:rPr>
        <w:t xml:space="preserve">Case </w:t>
      </w:r>
      <w:r w:rsidRPr="00A51861">
        <w:rPr>
          <w:rFonts w:asciiTheme="majorHAnsi" w:eastAsia="Calibri" w:hAnsiTheme="majorHAnsi"/>
          <w:sz w:val="16"/>
          <w:szCs w:val="16"/>
          <w:bdr w:val="none" w:sz="0" w:space="0" w:color="auto"/>
        </w:rPr>
        <w:t xml:space="preserve">12.380. </w:t>
      </w:r>
      <w:r w:rsidR="00B6596B">
        <w:rPr>
          <w:rFonts w:asciiTheme="majorHAnsi" w:eastAsia="Calibri" w:hAnsiTheme="majorHAnsi"/>
          <w:sz w:val="16"/>
          <w:szCs w:val="16"/>
          <w:bdr w:val="none" w:sz="0" w:space="0" w:color="auto"/>
        </w:rPr>
        <w:t>Merits</w:t>
      </w:r>
      <w:r w:rsidRPr="00A51861">
        <w:rPr>
          <w:rFonts w:asciiTheme="majorHAnsi" w:eastAsia="Calibri" w:hAnsiTheme="majorHAnsi"/>
          <w:sz w:val="16"/>
          <w:szCs w:val="16"/>
          <w:bdr w:val="none" w:sz="0" w:space="0" w:color="auto"/>
        </w:rPr>
        <w:t xml:space="preserve">. </w:t>
      </w:r>
      <w:r w:rsidR="00EB7848">
        <w:rPr>
          <w:rFonts w:asciiTheme="majorHAnsi" w:eastAsia="Calibri" w:hAnsiTheme="majorHAnsi"/>
          <w:sz w:val="16"/>
          <w:szCs w:val="16"/>
          <w:bdr w:val="none" w:sz="0" w:space="0" w:color="auto"/>
        </w:rPr>
        <w:t>Member</w:t>
      </w:r>
      <w:r w:rsidRPr="00A51861">
        <w:rPr>
          <w:rFonts w:asciiTheme="majorHAnsi" w:eastAsia="Calibri" w:hAnsiTheme="majorHAnsi"/>
          <w:sz w:val="16"/>
          <w:szCs w:val="16"/>
          <w:bdr w:val="none" w:sz="0" w:space="0" w:color="auto"/>
        </w:rPr>
        <w:t>s</w:t>
      </w:r>
      <w:r w:rsidR="00061928">
        <w:rPr>
          <w:rFonts w:asciiTheme="majorHAnsi" w:eastAsia="Calibri" w:hAnsiTheme="majorHAnsi"/>
          <w:sz w:val="16"/>
          <w:szCs w:val="16"/>
          <w:bdr w:val="none" w:sz="0" w:space="0" w:color="auto"/>
        </w:rPr>
        <w:t xml:space="preserve"> of the </w:t>
      </w:r>
      <w:r w:rsidR="00EB7848">
        <w:rPr>
          <w:rFonts w:asciiTheme="majorHAnsi" w:eastAsia="Calibri" w:hAnsiTheme="majorHAnsi"/>
          <w:sz w:val="16"/>
          <w:szCs w:val="16"/>
          <w:bdr w:val="none" w:sz="0" w:space="0" w:color="auto"/>
        </w:rPr>
        <w:t>Collective Lawyers Group</w:t>
      </w:r>
      <w:r w:rsidRPr="00A51861">
        <w:rPr>
          <w:rFonts w:asciiTheme="majorHAnsi" w:eastAsia="Calibri" w:hAnsiTheme="majorHAnsi"/>
          <w:sz w:val="16"/>
          <w:szCs w:val="16"/>
          <w:bdr w:val="none" w:sz="0" w:space="0" w:color="auto"/>
        </w:rPr>
        <w:t xml:space="preserve"> José Alvear Restrepo. Colombia. </w:t>
      </w:r>
      <w:r w:rsidR="00EB7848">
        <w:rPr>
          <w:rFonts w:asciiTheme="majorHAnsi" w:eastAsia="Calibri" w:hAnsiTheme="majorHAnsi"/>
          <w:sz w:val="16"/>
          <w:szCs w:val="16"/>
          <w:bdr w:val="none" w:sz="0" w:space="0" w:color="auto"/>
        </w:rPr>
        <w:t>May 4,</w:t>
      </w:r>
      <w:r w:rsidRPr="00A51861">
        <w:rPr>
          <w:rFonts w:asciiTheme="majorHAnsi" w:eastAsia="Calibri" w:hAnsiTheme="majorHAnsi"/>
          <w:sz w:val="16"/>
          <w:szCs w:val="16"/>
          <w:bdr w:val="none" w:sz="0" w:space="0" w:color="auto"/>
        </w:rPr>
        <w:t xml:space="preserve"> 2019. </w:t>
      </w:r>
    </w:p>
  </w:footnote>
  <w:footnote w:id="159">
    <w:p w14:paraId="05FC4791" w14:textId="18A8B094"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EB7848">
        <w:rPr>
          <w:rFonts w:asciiTheme="majorHAnsi" w:hAnsiTheme="majorHAnsi"/>
          <w:color w:val="auto"/>
          <w:sz w:val="16"/>
          <w:szCs w:val="16"/>
        </w:rPr>
        <w:t>Human Rights Council</w:t>
      </w:r>
      <w:r w:rsidRPr="00A51861">
        <w:rPr>
          <w:rFonts w:asciiTheme="majorHAnsi" w:hAnsiTheme="majorHAnsi"/>
          <w:color w:val="auto"/>
          <w:sz w:val="16"/>
          <w:szCs w:val="16"/>
        </w:rPr>
        <w:t>,</w:t>
      </w:r>
      <w:r w:rsidR="000E67CA">
        <w:rPr>
          <w:rFonts w:asciiTheme="majorHAnsi" w:hAnsiTheme="majorHAnsi"/>
          <w:color w:val="auto"/>
          <w:sz w:val="16"/>
          <w:szCs w:val="16"/>
        </w:rPr>
        <w:t xml:space="preserve"> Report </w:t>
      </w:r>
      <w:r w:rsidR="00EB7848">
        <w:rPr>
          <w:rFonts w:asciiTheme="majorHAnsi" w:hAnsiTheme="majorHAnsi"/>
          <w:color w:val="auto"/>
          <w:sz w:val="16"/>
          <w:szCs w:val="16"/>
        </w:rPr>
        <w:t>of the</w:t>
      </w:r>
      <w:r w:rsidRPr="00A51861">
        <w:rPr>
          <w:rFonts w:asciiTheme="majorHAnsi" w:hAnsiTheme="majorHAnsi"/>
          <w:color w:val="auto"/>
          <w:sz w:val="16"/>
          <w:szCs w:val="16"/>
        </w:rPr>
        <w:t xml:space="preserve"> </w:t>
      </w:r>
      <w:r w:rsidR="00EB7848" w:rsidRPr="00EB7848">
        <w:rPr>
          <w:rFonts w:asciiTheme="majorHAnsi" w:hAnsiTheme="majorHAnsi"/>
          <w:color w:val="auto"/>
          <w:sz w:val="16"/>
          <w:szCs w:val="16"/>
        </w:rPr>
        <w:t xml:space="preserve">Special Rapporteur </w:t>
      </w:r>
      <w:r w:rsidR="00EB7848">
        <w:rPr>
          <w:rFonts w:asciiTheme="majorHAnsi" w:hAnsiTheme="majorHAnsi"/>
          <w:color w:val="auto"/>
          <w:sz w:val="16"/>
          <w:szCs w:val="16"/>
        </w:rPr>
        <w:t xml:space="preserve">on rights to </w:t>
      </w:r>
      <w:r w:rsidR="00EB7848" w:rsidRPr="00EB7848">
        <w:rPr>
          <w:rFonts w:asciiTheme="majorHAnsi" w:hAnsiTheme="majorHAnsi"/>
          <w:color w:val="auto"/>
          <w:sz w:val="16"/>
          <w:szCs w:val="16"/>
        </w:rPr>
        <w:t>freedom of association and peaceful assembly</w:t>
      </w:r>
      <w:r w:rsidRPr="00A51861">
        <w:rPr>
          <w:rFonts w:asciiTheme="majorHAnsi" w:hAnsiTheme="majorHAnsi"/>
          <w:color w:val="auto"/>
          <w:sz w:val="16"/>
          <w:szCs w:val="16"/>
        </w:rPr>
        <w:t xml:space="preserve">, Maina Kiai, </w:t>
      </w:r>
      <w:r w:rsidR="00EB7848">
        <w:rPr>
          <w:rFonts w:asciiTheme="majorHAnsi" w:hAnsiTheme="majorHAnsi"/>
          <w:color w:val="auto"/>
          <w:sz w:val="16"/>
          <w:szCs w:val="16"/>
        </w:rPr>
        <w:t xml:space="preserve">May 21, </w:t>
      </w:r>
      <w:r w:rsidRPr="00A51861">
        <w:rPr>
          <w:rFonts w:asciiTheme="majorHAnsi" w:hAnsiTheme="majorHAnsi"/>
          <w:color w:val="auto"/>
          <w:sz w:val="16"/>
          <w:szCs w:val="16"/>
        </w:rPr>
        <w:t xml:space="preserve">2012, A/HRC/20/27, </w:t>
      </w:r>
      <w:r w:rsidR="00B6596B">
        <w:rPr>
          <w:rFonts w:asciiTheme="majorHAnsi" w:hAnsiTheme="majorHAnsi"/>
          <w:color w:val="auto"/>
          <w:sz w:val="16"/>
          <w:szCs w:val="16"/>
        </w:rPr>
        <w:t>para.</w:t>
      </w:r>
      <w:r w:rsidRPr="00A51861">
        <w:rPr>
          <w:rFonts w:asciiTheme="majorHAnsi" w:hAnsiTheme="majorHAnsi"/>
          <w:color w:val="auto"/>
          <w:sz w:val="16"/>
          <w:szCs w:val="16"/>
        </w:rPr>
        <w:t xml:space="preserve"> 24.</w:t>
      </w:r>
    </w:p>
  </w:footnote>
  <w:footnote w:id="160">
    <w:p w14:paraId="3A52443E" w14:textId="5967B642"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EB7848">
        <w:rPr>
          <w:rFonts w:asciiTheme="majorHAnsi" w:hAnsiTheme="majorHAnsi"/>
          <w:color w:val="auto"/>
          <w:sz w:val="16"/>
          <w:szCs w:val="16"/>
        </w:rPr>
        <w:t>Human Rights Council, Report of the Special Rapporteur on rights to freedom of association and peaceful assembly</w:t>
      </w:r>
      <w:r w:rsidRPr="00A51861">
        <w:rPr>
          <w:rFonts w:asciiTheme="majorHAnsi" w:hAnsiTheme="majorHAnsi"/>
          <w:color w:val="auto"/>
          <w:sz w:val="16"/>
          <w:szCs w:val="16"/>
        </w:rPr>
        <w:t xml:space="preserve">, Maina Kiai, 21 de mayo de 2012, A/HRC/20/27, </w:t>
      </w:r>
      <w:r w:rsidR="00B6596B">
        <w:rPr>
          <w:rFonts w:asciiTheme="majorHAnsi" w:hAnsiTheme="majorHAnsi"/>
          <w:color w:val="auto"/>
          <w:sz w:val="16"/>
          <w:szCs w:val="16"/>
        </w:rPr>
        <w:t>para.</w:t>
      </w:r>
      <w:r w:rsidRPr="00A51861">
        <w:rPr>
          <w:rFonts w:asciiTheme="majorHAnsi" w:hAnsiTheme="majorHAnsi"/>
          <w:color w:val="auto"/>
          <w:sz w:val="16"/>
          <w:szCs w:val="16"/>
        </w:rPr>
        <w:t xml:space="preserve"> 24</w:t>
      </w:r>
    </w:p>
  </w:footnote>
  <w:footnote w:id="161">
    <w:p w14:paraId="0110CBB4" w14:textId="61B4654B"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0E67CA">
        <w:rPr>
          <w:rFonts w:asciiTheme="majorHAnsi" w:hAnsiTheme="majorHAnsi"/>
          <w:color w:val="auto"/>
          <w:sz w:val="16"/>
          <w:szCs w:val="16"/>
        </w:rPr>
        <w:t>IACHR</w:t>
      </w:r>
      <w:r w:rsidRPr="00A51861">
        <w:rPr>
          <w:rFonts w:asciiTheme="majorHAnsi" w:hAnsiTheme="majorHAnsi"/>
          <w:color w:val="auto"/>
          <w:sz w:val="16"/>
          <w:szCs w:val="16"/>
        </w:rPr>
        <w:t xml:space="preserve">. </w:t>
      </w:r>
      <w:r w:rsidR="00EB7848">
        <w:rPr>
          <w:rFonts w:asciiTheme="majorHAnsi" w:hAnsiTheme="majorHAnsi"/>
          <w:color w:val="auto"/>
          <w:sz w:val="16"/>
          <w:szCs w:val="16"/>
        </w:rPr>
        <w:t xml:space="preserve">Special Rapporteur on Freedom of Expression of </w:t>
      </w:r>
      <w:r w:rsidR="00A51861" w:rsidRPr="00A51861">
        <w:rPr>
          <w:rFonts w:asciiTheme="majorHAnsi" w:hAnsiTheme="majorHAnsi"/>
          <w:color w:val="auto"/>
          <w:sz w:val="16"/>
          <w:szCs w:val="16"/>
        </w:rPr>
        <w:t xml:space="preserve">the </w:t>
      </w:r>
      <w:r w:rsidR="000E67CA">
        <w:rPr>
          <w:rFonts w:asciiTheme="majorHAnsi" w:hAnsiTheme="majorHAnsi"/>
          <w:color w:val="auto"/>
          <w:sz w:val="16"/>
          <w:szCs w:val="16"/>
        </w:rPr>
        <w:t xml:space="preserve">Inter-American </w:t>
      </w:r>
      <w:r w:rsidR="00FE1E27">
        <w:rPr>
          <w:rFonts w:asciiTheme="majorHAnsi" w:hAnsiTheme="majorHAnsi"/>
          <w:color w:val="auto"/>
          <w:sz w:val="16"/>
          <w:szCs w:val="16"/>
        </w:rPr>
        <w:t>Commission</w:t>
      </w:r>
      <w:r w:rsidR="00EB7848">
        <w:rPr>
          <w:rFonts w:asciiTheme="majorHAnsi" w:hAnsiTheme="majorHAnsi"/>
          <w:color w:val="auto"/>
          <w:sz w:val="16"/>
          <w:szCs w:val="16"/>
        </w:rPr>
        <w:t xml:space="preserve"> on Human Rights</w:t>
      </w:r>
      <w:r w:rsidRPr="00A51861">
        <w:rPr>
          <w:rFonts w:asciiTheme="majorHAnsi" w:hAnsiTheme="majorHAnsi"/>
          <w:color w:val="auto"/>
          <w:sz w:val="16"/>
          <w:szCs w:val="16"/>
        </w:rPr>
        <w:t>.</w:t>
      </w:r>
      <w:r w:rsidR="000E67CA">
        <w:rPr>
          <w:rFonts w:asciiTheme="majorHAnsi" w:hAnsiTheme="majorHAnsi"/>
          <w:color w:val="auto"/>
          <w:sz w:val="16"/>
          <w:szCs w:val="16"/>
        </w:rPr>
        <w:t xml:space="preserve"> Report </w:t>
      </w:r>
      <w:r w:rsidR="006307D0">
        <w:rPr>
          <w:rFonts w:asciiTheme="majorHAnsi" w:hAnsiTheme="majorHAnsi"/>
          <w:color w:val="auto"/>
          <w:sz w:val="16"/>
          <w:szCs w:val="16"/>
        </w:rPr>
        <w:t xml:space="preserve">on </w:t>
      </w:r>
      <w:r w:rsidRPr="00A51861">
        <w:rPr>
          <w:rFonts w:asciiTheme="majorHAnsi" w:hAnsiTheme="majorHAnsi"/>
          <w:color w:val="auto"/>
          <w:sz w:val="16"/>
          <w:szCs w:val="16"/>
        </w:rPr>
        <w:t>Protest</w:t>
      </w:r>
      <w:r w:rsidR="00B6596B">
        <w:rPr>
          <w:rFonts w:asciiTheme="majorHAnsi" w:hAnsiTheme="majorHAnsi"/>
          <w:color w:val="auto"/>
          <w:sz w:val="16"/>
          <w:szCs w:val="16"/>
        </w:rPr>
        <w:t xml:space="preserve"> and </w:t>
      </w:r>
      <w:r w:rsidRPr="00A51861">
        <w:rPr>
          <w:rFonts w:asciiTheme="majorHAnsi" w:hAnsiTheme="majorHAnsi"/>
          <w:color w:val="auto"/>
          <w:sz w:val="16"/>
          <w:szCs w:val="16"/>
        </w:rPr>
        <w:t>Human</w:t>
      </w:r>
      <w:r w:rsidR="00EB7848">
        <w:rPr>
          <w:rFonts w:asciiTheme="majorHAnsi" w:hAnsiTheme="majorHAnsi"/>
          <w:color w:val="auto"/>
          <w:sz w:val="16"/>
          <w:szCs w:val="16"/>
        </w:rPr>
        <w:t xml:space="preserve"> Right</w:t>
      </w:r>
      <w:r w:rsidRPr="00A51861">
        <w:rPr>
          <w:rFonts w:asciiTheme="majorHAnsi" w:hAnsiTheme="majorHAnsi"/>
          <w:color w:val="auto"/>
          <w:sz w:val="16"/>
          <w:szCs w:val="16"/>
        </w:rPr>
        <w:t xml:space="preserve">s. </w:t>
      </w:r>
      <w:r w:rsidR="00EB7848">
        <w:rPr>
          <w:rFonts w:asciiTheme="majorHAnsi" w:hAnsiTheme="majorHAnsi"/>
          <w:color w:val="auto"/>
          <w:sz w:val="16"/>
          <w:szCs w:val="16"/>
        </w:rPr>
        <w:t>Standards on rights involved in</w:t>
      </w:r>
      <w:r w:rsidRPr="00A51861">
        <w:rPr>
          <w:rFonts w:asciiTheme="majorHAnsi" w:hAnsiTheme="majorHAnsi"/>
          <w:color w:val="auto"/>
          <w:sz w:val="16"/>
          <w:szCs w:val="16"/>
        </w:rPr>
        <w:t xml:space="preserve"> social</w:t>
      </w:r>
      <w:r w:rsidR="00B6596B">
        <w:rPr>
          <w:rFonts w:asciiTheme="majorHAnsi" w:hAnsiTheme="majorHAnsi"/>
          <w:color w:val="auto"/>
          <w:sz w:val="16"/>
          <w:szCs w:val="16"/>
        </w:rPr>
        <w:t xml:space="preserve"> </w:t>
      </w:r>
      <w:r w:rsidR="00EB7848" w:rsidRPr="00A51861">
        <w:rPr>
          <w:rFonts w:asciiTheme="majorHAnsi" w:hAnsiTheme="majorHAnsi"/>
          <w:color w:val="auto"/>
          <w:sz w:val="16"/>
          <w:szCs w:val="16"/>
        </w:rPr>
        <w:t xml:space="preserve">protest </w:t>
      </w:r>
      <w:r w:rsidR="00B6596B">
        <w:rPr>
          <w:rFonts w:asciiTheme="majorHAnsi" w:hAnsiTheme="majorHAnsi"/>
          <w:color w:val="auto"/>
          <w:sz w:val="16"/>
          <w:szCs w:val="16"/>
        </w:rPr>
        <w:t xml:space="preserve">and </w:t>
      </w:r>
      <w:r w:rsidR="00EB7848">
        <w:rPr>
          <w:rFonts w:asciiTheme="majorHAnsi" w:hAnsiTheme="majorHAnsi"/>
          <w:color w:val="auto"/>
          <w:sz w:val="16"/>
          <w:szCs w:val="16"/>
        </w:rPr>
        <w:t>o</w:t>
      </w:r>
      <w:r w:rsidRPr="00A51861">
        <w:rPr>
          <w:rFonts w:asciiTheme="majorHAnsi" w:hAnsiTheme="majorHAnsi"/>
          <w:color w:val="auto"/>
          <w:sz w:val="16"/>
          <w:szCs w:val="16"/>
        </w:rPr>
        <w:t>bliga</w:t>
      </w:r>
      <w:r w:rsidR="00EB7848">
        <w:rPr>
          <w:rFonts w:asciiTheme="majorHAnsi" w:hAnsiTheme="majorHAnsi"/>
          <w:color w:val="auto"/>
          <w:sz w:val="16"/>
          <w:szCs w:val="16"/>
        </w:rPr>
        <w:t>ti</w:t>
      </w:r>
      <w:r w:rsidRPr="00A51861">
        <w:rPr>
          <w:rFonts w:asciiTheme="majorHAnsi" w:hAnsiTheme="majorHAnsi"/>
          <w:color w:val="auto"/>
          <w:sz w:val="16"/>
          <w:szCs w:val="16"/>
        </w:rPr>
        <w:t xml:space="preserve">ons </w:t>
      </w:r>
      <w:r w:rsidR="00EB7848">
        <w:rPr>
          <w:rFonts w:asciiTheme="majorHAnsi" w:hAnsiTheme="majorHAnsi"/>
          <w:color w:val="auto"/>
          <w:sz w:val="16"/>
          <w:szCs w:val="16"/>
        </w:rPr>
        <w:t>which must guide the State’s response</w:t>
      </w:r>
      <w:r w:rsidRPr="00A51861">
        <w:rPr>
          <w:rFonts w:asciiTheme="majorHAnsi" w:hAnsiTheme="majorHAnsi"/>
          <w:color w:val="auto"/>
          <w:sz w:val="16"/>
          <w:szCs w:val="16"/>
        </w:rPr>
        <w:t xml:space="preserve">. OEA/Ser.L/V/II. </w:t>
      </w:r>
      <w:r w:rsidR="00EB7848">
        <w:rPr>
          <w:rFonts w:asciiTheme="majorHAnsi" w:hAnsiTheme="majorHAnsi"/>
          <w:color w:val="auto"/>
          <w:sz w:val="16"/>
          <w:szCs w:val="16"/>
        </w:rPr>
        <w:t>September of</w:t>
      </w:r>
      <w:r w:rsidRPr="00A51861">
        <w:rPr>
          <w:rFonts w:asciiTheme="majorHAnsi" w:hAnsiTheme="majorHAnsi"/>
          <w:color w:val="auto"/>
          <w:sz w:val="16"/>
          <w:szCs w:val="16"/>
        </w:rPr>
        <w:t xml:space="preserve"> 2019. </w:t>
      </w:r>
      <w:r w:rsidR="00357129">
        <w:rPr>
          <w:rFonts w:asciiTheme="majorHAnsi" w:hAnsiTheme="majorHAnsi"/>
          <w:color w:val="auto"/>
          <w:sz w:val="16"/>
          <w:szCs w:val="16"/>
        </w:rPr>
        <w:t xml:space="preserve">Para. </w:t>
      </w:r>
      <w:r w:rsidRPr="00A51861">
        <w:rPr>
          <w:rFonts w:asciiTheme="majorHAnsi" w:hAnsiTheme="majorHAnsi"/>
          <w:color w:val="auto"/>
          <w:sz w:val="16"/>
          <w:szCs w:val="16"/>
        </w:rPr>
        <w:t xml:space="preserve">19. </w:t>
      </w:r>
      <w:r w:rsidR="00EB7848">
        <w:rPr>
          <w:rFonts w:asciiTheme="majorHAnsi" w:hAnsiTheme="majorHAnsi"/>
          <w:color w:val="auto"/>
          <w:sz w:val="16"/>
          <w:szCs w:val="16"/>
        </w:rPr>
        <w:t xml:space="preserve">See </w:t>
      </w:r>
      <w:r w:rsidRPr="00A51861">
        <w:rPr>
          <w:rFonts w:asciiTheme="majorHAnsi" w:hAnsiTheme="majorHAnsi"/>
          <w:color w:val="auto"/>
          <w:sz w:val="16"/>
          <w:szCs w:val="16"/>
        </w:rPr>
        <w:t>com</w:t>
      </w:r>
      <w:r w:rsidR="00EB7848">
        <w:rPr>
          <w:rFonts w:asciiTheme="majorHAnsi" w:hAnsiTheme="majorHAnsi"/>
          <w:color w:val="auto"/>
          <w:sz w:val="16"/>
          <w:szCs w:val="16"/>
        </w:rPr>
        <w:t>m</w:t>
      </w:r>
      <w:r w:rsidRPr="00A51861">
        <w:rPr>
          <w:rFonts w:asciiTheme="majorHAnsi" w:hAnsiTheme="majorHAnsi"/>
          <w:color w:val="auto"/>
          <w:sz w:val="16"/>
          <w:szCs w:val="16"/>
        </w:rPr>
        <w:t>unica</w:t>
      </w:r>
      <w:r w:rsidR="00EB7848">
        <w:rPr>
          <w:rFonts w:asciiTheme="majorHAnsi" w:hAnsiTheme="majorHAnsi"/>
          <w:color w:val="auto"/>
          <w:sz w:val="16"/>
          <w:szCs w:val="16"/>
        </w:rPr>
        <w:t>tio</w:t>
      </w:r>
      <w:r w:rsidRPr="00A51861">
        <w:rPr>
          <w:rFonts w:asciiTheme="majorHAnsi" w:hAnsiTheme="majorHAnsi"/>
          <w:color w:val="auto"/>
          <w:sz w:val="16"/>
          <w:szCs w:val="16"/>
        </w:rPr>
        <w:t>n Nº 1948/2010, Turchenyak</w:t>
      </w:r>
      <w:r w:rsidR="00B6596B">
        <w:rPr>
          <w:rFonts w:asciiTheme="majorHAnsi" w:hAnsiTheme="majorHAnsi"/>
          <w:color w:val="auto"/>
          <w:sz w:val="16"/>
          <w:szCs w:val="16"/>
        </w:rPr>
        <w:t xml:space="preserve"> </w:t>
      </w:r>
      <w:r w:rsidR="00357129">
        <w:rPr>
          <w:rFonts w:asciiTheme="majorHAnsi" w:hAnsiTheme="majorHAnsi"/>
          <w:color w:val="auto"/>
          <w:sz w:val="16"/>
          <w:szCs w:val="16"/>
        </w:rPr>
        <w:t xml:space="preserve">and others </w:t>
      </w:r>
      <w:r w:rsidRPr="00A51861">
        <w:rPr>
          <w:rFonts w:asciiTheme="majorHAnsi" w:hAnsiTheme="majorHAnsi"/>
          <w:color w:val="auto"/>
          <w:sz w:val="16"/>
          <w:szCs w:val="16"/>
        </w:rPr>
        <w:t xml:space="preserve">c. Belarús, </w:t>
      </w:r>
      <w:r w:rsidR="00EB7848">
        <w:rPr>
          <w:rFonts w:asciiTheme="majorHAnsi" w:hAnsiTheme="majorHAnsi"/>
          <w:color w:val="auto"/>
          <w:sz w:val="16"/>
          <w:szCs w:val="16"/>
        </w:rPr>
        <w:t>judgment approved on July 24,</w:t>
      </w:r>
      <w:r w:rsidRPr="00A51861">
        <w:rPr>
          <w:rFonts w:asciiTheme="majorHAnsi" w:hAnsiTheme="majorHAnsi"/>
          <w:color w:val="auto"/>
          <w:sz w:val="16"/>
          <w:szCs w:val="16"/>
        </w:rPr>
        <w:t xml:space="preserve"> 2013. </w:t>
      </w:r>
    </w:p>
  </w:footnote>
  <w:footnote w:id="162">
    <w:p w14:paraId="7C636F4F" w14:textId="7645F886"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0E67CA">
        <w:rPr>
          <w:rFonts w:asciiTheme="majorHAnsi" w:hAnsiTheme="majorHAnsi"/>
          <w:color w:val="auto"/>
          <w:sz w:val="16"/>
          <w:szCs w:val="16"/>
        </w:rPr>
        <w:t>IACHR</w:t>
      </w:r>
      <w:r w:rsidRPr="00A51861">
        <w:rPr>
          <w:rFonts w:asciiTheme="majorHAnsi" w:hAnsiTheme="majorHAnsi"/>
          <w:color w:val="auto"/>
          <w:sz w:val="16"/>
          <w:szCs w:val="16"/>
        </w:rPr>
        <w:t xml:space="preserve">, </w:t>
      </w:r>
      <w:r w:rsidR="00EB7848">
        <w:rPr>
          <w:rFonts w:asciiTheme="majorHAnsi" w:hAnsiTheme="majorHAnsi"/>
          <w:color w:val="auto"/>
          <w:sz w:val="16"/>
          <w:szCs w:val="16"/>
        </w:rPr>
        <w:t>Second</w:t>
      </w:r>
      <w:r w:rsidR="000E67CA">
        <w:rPr>
          <w:rFonts w:asciiTheme="majorHAnsi" w:hAnsiTheme="majorHAnsi"/>
          <w:color w:val="auto"/>
          <w:sz w:val="16"/>
          <w:szCs w:val="16"/>
        </w:rPr>
        <w:t xml:space="preserve"> Report </w:t>
      </w:r>
      <w:r w:rsidR="00EB7848">
        <w:rPr>
          <w:rFonts w:asciiTheme="majorHAnsi" w:hAnsiTheme="majorHAnsi"/>
          <w:color w:val="auto"/>
          <w:sz w:val="16"/>
          <w:szCs w:val="16"/>
        </w:rPr>
        <w:t>on the</w:t>
      </w:r>
      <w:r w:rsidRPr="00A51861">
        <w:rPr>
          <w:rFonts w:asciiTheme="majorHAnsi" w:hAnsiTheme="majorHAnsi"/>
          <w:color w:val="auto"/>
          <w:sz w:val="16"/>
          <w:szCs w:val="16"/>
        </w:rPr>
        <w:t xml:space="preserve"> </w:t>
      </w:r>
      <w:r w:rsidR="00E92985">
        <w:rPr>
          <w:rFonts w:asciiTheme="majorHAnsi" w:hAnsiTheme="majorHAnsi"/>
          <w:color w:val="auto"/>
          <w:sz w:val="16"/>
          <w:szCs w:val="16"/>
        </w:rPr>
        <w:t>Situation</w:t>
      </w:r>
      <w:r w:rsidRPr="00A51861">
        <w:rPr>
          <w:rFonts w:asciiTheme="majorHAnsi" w:hAnsiTheme="majorHAnsi"/>
          <w:color w:val="auto"/>
          <w:sz w:val="16"/>
          <w:szCs w:val="16"/>
        </w:rPr>
        <w:t xml:space="preserve"> </w:t>
      </w:r>
      <w:r w:rsidR="009A1CB9">
        <w:rPr>
          <w:rFonts w:asciiTheme="majorHAnsi" w:hAnsiTheme="majorHAnsi"/>
          <w:color w:val="auto"/>
          <w:sz w:val="16"/>
          <w:szCs w:val="16"/>
        </w:rPr>
        <w:t>of Human Rights Defenders in the Americas</w:t>
      </w:r>
      <w:r w:rsidRPr="00A51861">
        <w:rPr>
          <w:rFonts w:asciiTheme="majorHAnsi" w:hAnsiTheme="majorHAnsi"/>
          <w:color w:val="auto"/>
          <w:sz w:val="16"/>
          <w:szCs w:val="16"/>
        </w:rPr>
        <w:t xml:space="preserve">, </w:t>
      </w:r>
      <w:r w:rsidR="00EB7848">
        <w:rPr>
          <w:rFonts w:asciiTheme="majorHAnsi" w:hAnsiTheme="majorHAnsi"/>
          <w:color w:val="auto"/>
          <w:sz w:val="16"/>
          <w:szCs w:val="16"/>
        </w:rPr>
        <w:t>December 31,</w:t>
      </w:r>
      <w:r w:rsidRPr="00A51861">
        <w:rPr>
          <w:rFonts w:asciiTheme="majorHAnsi" w:hAnsiTheme="majorHAnsi"/>
          <w:color w:val="auto"/>
          <w:sz w:val="16"/>
          <w:szCs w:val="16"/>
        </w:rPr>
        <w:t xml:space="preserve"> 2011, OEA/Ser.L/V/II. Doc. 66, </w:t>
      </w:r>
      <w:r w:rsidR="00B6596B">
        <w:rPr>
          <w:rFonts w:asciiTheme="majorHAnsi" w:hAnsiTheme="majorHAnsi"/>
          <w:color w:val="auto"/>
          <w:sz w:val="16"/>
          <w:szCs w:val="16"/>
        </w:rPr>
        <w:t>para.</w:t>
      </w:r>
      <w:r w:rsidRPr="00A51861">
        <w:rPr>
          <w:rFonts w:asciiTheme="majorHAnsi" w:hAnsiTheme="majorHAnsi"/>
          <w:color w:val="auto"/>
          <w:sz w:val="16"/>
          <w:szCs w:val="16"/>
        </w:rPr>
        <w:t xml:space="preserve"> 128</w:t>
      </w:r>
      <w:r w:rsidR="00B6596B">
        <w:rPr>
          <w:rFonts w:asciiTheme="majorHAnsi" w:hAnsiTheme="majorHAnsi"/>
          <w:color w:val="auto"/>
          <w:sz w:val="16"/>
          <w:szCs w:val="16"/>
        </w:rPr>
        <w:t xml:space="preserve"> and </w:t>
      </w:r>
      <w:r w:rsidRPr="00A51861">
        <w:rPr>
          <w:rFonts w:asciiTheme="majorHAnsi" w:hAnsiTheme="majorHAnsi"/>
          <w:color w:val="auto"/>
          <w:sz w:val="16"/>
          <w:szCs w:val="16"/>
        </w:rPr>
        <w:t>129.</w:t>
      </w:r>
    </w:p>
  </w:footnote>
  <w:footnote w:id="163">
    <w:p w14:paraId="0DB22F60" w14:textId="270069F4"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6307D0">
        <w:rPr>
          <w:rFonts w:asciiTheme="majorHAnsi" w:hAnsiTheme="majorHAnsi"/>
          <w:color w:val="auto"/>
          <w:sz w:val="16"/>
          <w:szCs w:val="16"/>
        </w:rPr>
        <w:t>In that same sense it was expressed that</w:t>
      </w:r>
      <w:r w:rsidRPr="00A51861">
        <w:rPr>
          <w:rFonts w:asciiTheme="majorHAnsi" w:hAnsiTheme="majorHAnsi"/>
          <w:color w:val="auto"/>
          <w:sz w:val="16"/>
          <w:szCs w:val="16"/>
        </w:rPr>
        <w:t xml:space="preserve"> </w:t>
      </w:r>
      <w:r w:rsidR="006307D0">
        <w:rPr>
          <w:rFonts w:asciiTheme="majorHAnsi" w:hAnsiTheme="majorHAnsi"/>
          <w:color w:val="auto"/>
          <w:sz w:val="16"/>
          <w:szCs w:val="16"/>
        </w:rPr>
        <w:t xml:space="preserve">the Human Rights Committee of the UNO with amendment to </w:t>
      </w:r>
      <w:r w:rsidR="0029564F">
        <w:rPr>
          <w:rFonts w:asciiTheme="majorHAnsi" w:hAnsiTheme="majorHAnsi"/>
          <w:color w:val="auto"/>
          <w:sz w:val="16"/>
          <w:szCs w:val="16"/>
        </w:rPr>
        <w:t>article</w:t>
      </w:r>
      <w:r w:rsidRPr="00A51861">
        <w:rPr>
          <w:rFonts w:asciiTheme="majorHAnsi" w:hAnsiTheme="majorHAnsi"/>
          <w:color w:val="auto"/>
          <w:sz w:val="16"/>
          <w:szCs w:val="16"/>
        </w:rPr>
        <w:t xml:space="preserve"> 19, </w:t>
      </w:r>
      <w:r w:rsidR="006307D0">
        <w:rPr>
          <w:rFonts w:asciiTheme="majorHAnsi" w:hAnsiTheme="majorHAnsi"/>
          <w:color w:val="auto"/>
          <w:sz w:val="16"/>
          <w:szCs w:val="16"/>
        </w:rPr>
        <w:t>paragraph</w:t>
      </w:r>
      <w:r w:rsidRPr="00A51861">
        <w:rPr>
          <w:rFonts w:asciiTheme="majorHAnsi" w:hAnsiTheme="majorHAnsi"/>
          <w:color w:val="auto"/>
          <w:sz w:val="16"/>
          <w:szCs w:val="16"/>
        </w:rPr>
        <w:t xml:space="preserve"> 3, </w:t>
      </w:r>
      <w:r w:rsidR="006307D0">
        <w:rPr>
          <w:rFonts w:asciiTheme="majorHAnsi" w:hAnsiTheme="majorHAnsi"/>
          <w:color w:val="auto"/>
          <w:sz w:val="16"/>
          <w:szCs w:val="16"/>
        </w:rPr>
        <w:t>of the Covenant</w:t>
      </w:r>
      <w:r w:rsidRPr="00A51861">
        <w:rPr>
          <w:rFonts w:asciiTheme="majorHAnsi" w:hAnsiTheme="majorHAnsi"/>
          <w:color w:val="auto"/>
          <w:sz w:val="16"/>
          <w:szCs w:val="16"/>
        </w:rPr>
        <w:t xml:space="preserve">, </w:t>
      </w:r>
      <w:r w:rsidR="006307D0">
        <w:rPr>
          <w:rFonts w:asciiTheme="majorHAnsi" w:hAnsiTheme="majorHAnsi"/>
          <w:color w:val="auto"/>
          <w:sz w:val="16"/>
          <w:szCs w:val="16"/>
        </w:rPr>
        <w:t>certain</w:t>
      </w:r>
      <w:r w:rsidRPr="00A51861">
        <w:rPr>
          <w:rFonts w:asciiTheme="majorHAnsi" w:hAnsiTheme="majorHAnsi"/>
          <w:color w:val="auto"/>
          <w:sz w:val="16"/>
          <w:szCs w:val="16"/>
        </w:rPr>
        <w:t xml:space="preserve"> </w:t>
      </w:r>
      <w:r w:rsidR="006307D0">
        <w:rPr>
          <w:rFonts w:asciiTheme="majorHAnsi" w:hAnsiTheme="majorHAnsi"/>
          <w:color w:val="auto"/>
          <w:sz w:val="16"/>
          <w:szCs w:val="16"/>
        </w:rPr>
        <w:t>restrictions</w:t>
      </w:r>
      <w:r w:rsidRPr="00A51861">
        <w:rPr>
          <w:rFonts w:asciiTheme="majorHAnsi" w:hAnsiTheme="majorHAnsi"/>
          <w:color w:val="auto"/>
          <w:sz w:val="16"/>
          <w:szCs w:val="16"/>
        </w:rPr>
        <w:t xml:space="preserve"> </w:t>
      </w:r>
      <w:r w:rsidR="006307D0">
        <w:rPr>
          <w:rFonts w:asciiTheme="majorHAnsi" w:hAnsiTheme="majorHAnsi"/>
          <w:color w:val="auto"/>
          <w:sz w:val="16"/>
          <w:szCs w:val="16"/>
        </w:rPr>
        <w:t>are allowed for</w:t>
      </w:r>
      <w:r w:rsidRPr="00A51861">
        <w:rPr>
          <w:rFonts w:asciiTheme="majorHAnsi" w:hAnsiTheme="majorHAnsi"/>
          <w:color w:val="auto"/>
          <w:sz w:val="16"/>
          <w:szCs w:val="16"/>
        </w:rPr>
        <w:t xml:space="preserve"> </w:t>
      </w:r>
      <w:r w:rsidR="00EB7848">
        <w:rPr>
          <w:rFonts w:asciiTheme="majorHAnsi" w:hAnsiTheme="majorHAnsi"/>
          <w:color w:val="auto"/>
          <w:sz w:val="16"/>
          <w:szCs w:val="16"/>
        </w:rPr>
        <w:t>freedom of expression</w:t>
      </w:r>
      <w:r w:rsidRPr="00A51861">
        <w:rPr>
          <w:rFonts w:asciiTheme="majorHAnsi" w:hAnsiTheme="majorHAnsi"/>
          <w:color w:val="auto"/>
          <w:sz w:val="16"/>
          <w:szCs w:val="16"/>
        </w:rPr>
        <w:t xml:space="preserve">, </w:t>
      </w:r>
      <w:r w:rsidR="006307D0">
        <w:rPr>
          <w:rFonts w:asciiTheme="majorHAnsi" w:hAnsiTheme="majorHAnsi"/>
          <w:color w:val="auto"/>
          <w:sz w:val="16"/>
          <w:szCs w:val="16"/>
        </w:rPr>
        <w:t>yet only as long as they are set forth by law</w:t>
      </w:r>
      <w:r w:rsidR="00B6596B">
        <w:rPr>
          <w:rFonts w:asciiTheme="majorHAnsi" w:hAnsiTheme="majorHAnsi"/>
          <w:color w:val="auto"/>
          <w:sz w:val="16"/>
          <w:szCs w:val="16"/>
        </w:rPr>
        <w:t xml:space="preserve"> and </w:t>
      </w:r>
      <w:r w:rsidR="006307D0">
        <w:rPr>
          <w:rFonts w:asciiTheme="majorHAnsi" w:hAnsiTheme="majorHAnsi"/>
          <w:color w:val="auto"/>
          <w:sz w:val="16"/>
          <w:szCs w:val="16"/>
        </w:rPr>
        <w:t>be necessary to</w:t>
      </w:r>
      <w:r w:rsidRPr="00A51861">
        <w:rPr>
          <w:rFonts w:asciiTheme="majorHAnsi" w:hAnsiTheme="majorHAnsi"/>
          <w:color w:val="auto"/>
          <w:sz w:val="16"/>
          <w:szCs w:val="16"/>
        </w:rPr>
        <w:t xml:space="preserve">: a) </w:t>
      </w:r>
      <w:r w:rsidR="006307D0">
        <w:rPr>
          <w:rFonts w:asciiTheme="majorHAnsi" w:hAnsiTheme="majorHAnsi"/>
          <w:color w:val="auto"/>
          <w:sz w:val="16"/>
          <w:szCs w:val="16"/>
        </w:rPr>
        <w:t>ensure the respect to rights</w:t>
      </w:r>
      <w:r w:rsidRPr="00A51861">
        <w:rPr>
          <w:rFonts w:asciiTheme="majorHAnsi" w:hAnsiTheme="majorHAnsi"/>
          <w:color w:val="auto"/>
          <w:sz w:val="16"/>
          <w:szCs w:val="16"/>
        </w:rPr>
        <w:t xml:space="preserve"> o</w:t>
      </w:r>
      <w:r w:rsidR="006307D0">
        <w:rPr>
          <w:rFonts w:asciiTheme="majorHAnsi" w:hAnsiTheme="majorHAnsi"/>
          <w:color w:val="auto"/>
          <w:sz w:val="16"/>
          <w:szCs w:val="16"/>
        </w:rPr>
        <w:t>r</w:t>
      </w:r>
      <w:r w:rsidRPr="00A51861">
        <w:rPr>
          <w:rFonts w:asciiTheme="majorHAnsi" w:hAnsiTheme="majorHAnsi"/>
          <w:color w:val="auto"/>
          <w:sz w:val="16"/>
          <w:szCs w:val="16"/>
        </w:rPr>
        <w:t xml:space="preserve"> </w:t>
      </w:r>
      <w:r w:rsidR="006307D0">
        <w:rPr>
          <w:rFonts w:asciiTheme="majorHAnsi" w:hAnsiTheme="majorHAnsi"/>
          <w:color w:val="auto"/>
          <w:sz w:val="16"/>
          <w:szCs w:val="16"/>
        </w:rPr>
        <w:t>the reputation of others</w:t>
      </w:r>
      <w:r w:rsidRPr="00A51861">
        <w:rPr>
          <w:rFonts w:asciiTheme="majorHAnsi" w:hAnsiTheme="majorHAnsi"/>
          <w:color w:val="auto"/>
          <w:sz w:val="16"/>
          <w:szCs w:val="16"/>
        </w:rPr>
        <w:t>; o</w:t>
      </w:r>
      <w:r w:rsidR="006307D0">
        <w:rPr>
          <w:rFonts w:asciiTheme="majorHAnsi" w:hAnsiTheme="majorHAnsi"/>
          <w:color w:val="auto"/>
          <w:sz w:val="16"/>
          <w:szCs w:val="16"/>
        </w:rPr>
        <w:t>r</w:t>
      </w:r>
      <w:r w:rsidRPr="00A51861">
        <w:rPr>
          <w:rFonts w:asciiTheme="majorHAnsi" w:hAnsiTheme="majorHAnsi"/>
          <w:color w:val="auto"/>
          <w:sz w:val="16"/>
          <w:szCs w:val="16"/>
        </w:rPr>
        <w:t xml:space="preserve"> b) </w:t>
      </w:r>
      <w:r w:rsidR="006307D0">
        <w:rPr>
          <w:rFonts w:asciiTheme="majorHAnsi" w:hAnsiTheme="majorHAnsi"/>
          <w:color w:val="auto"/>
          <w:sz w:val="16"/>
          <w:szCs w:val="16"/>
        </w:rPr>
        <w:t>the</w:t>
      </w:r>
      <w:r w:rsidRPr="00A51861">
        <w:rPr>
          <w:rFonts w:asciiTheme="majorHAnsi" w:hAnsiTheme="majorHAnsi"/>
          <w:color w:val="auto"/>
          <w:sz w:val="16"/>
          <w:szCs w:val="16"/>
        </w:rPr>
        <w:t xml:space="preserve"> </w:t>
      </w:r>
      <w:r w:rsidR="006307D0" w:rsidRPr="00A51861">
        <w:rPr>
          <w:rFonts w:asciiTheme="majorHAnsi" w:hAnsiTheme="majorHAnsi"/>
          <w:color w:val="auto"/>
          <w:sz w:val="16"/>
          <w:szCs w:val="16"/>
        </w:rPr>
        <w:t>protection</w:t>
      </w:r>
      <w:r w:rsidR="00061928">
        <w:rPr>
          <w:rFonts w:asciiTheme="majorHAnsi" w:hAnsiTheme="majorHAnsi"/>
          <w:color w:val="auto"/>
          <w:sz w:val="16"/>
          <w:szCs w:val="16"/>
        </w:rPr>
        <w:t xml:space="preserve"> of </w:t>
      </w:r>
      <w:r w:rsidR="006307D0">
        <w:rPr>
          <w:rFonts w:asciiTheme="majorHAnsi" w:hAnsiTheme="majorHAnsi"/>
          <w:color w:val="auto"/>
          <w:sz w:val="16"/>
          <w:szCs w:val="16"/>
        </w:rPr>
        <w:t>national security</w:t>
      </w:r>
      <w:r w:rsidRPr="00A51861">
        <w:rPr>
          <w:rFonts w:asciiTheme="majorHAnsi" w:hAnsiTheme="majorHAnsi"/>
          <w:color w:val="auto"/>
          <w:sz w:val="16"/>
          <w:szCs w:val="16"/>
        </w:rPr>
        <w:t xml:space="preserve">, </w:t>
      </w:r>
      <w:r w:rsidR="006307D0">
        <w:rPr>
          <w:rFonts w:asciiTheme="majorHAnsi" w:hAnsiTheme="majorHAnsi"/>
          <w:color w:val="auto"/>
          <w:sz w:val="16"/>
          <w:szCs w:val="16"/>
        </w:rPr>
        <w:t>public order</w:t>
      </w:r>
      <w:r w:rsidRPr="00A51861">
        <w:rPr>
          <w:rFonts w:asciiTheme="majorHAnsi" w:hAnsiTheme="majorHAnsi"/>
          <w:color w:val="auto"/>
          <w:sz w:val="16"/>
          <w:szCs w:val="16"/>
        </w:rPr>
        <w:t xml:space="preserve"> o</w:t>
      </w:r>
      <w:r w:rsidR="006307D0">
        <w:rPr>
          <w:rFonts w:asciiTheme="majorHAnsi" w:hAnsiTheme="majorHAnsi"/>
          <w:color w:val="auto"/>
          <w:sz w:val="16"/>
          <w:szCs w:val="16"/>
        </w:rPr>
        <w:t>r</w:t>
      </w:r>
      <w:r w:rsidRPr="00A51861">
        <w:rPr>
          <w:rFonts w:asciiTheme="majorHAnsi" w:hAnsiTheme="majorHAnsi"/>
          <w:color w:val="auto"/>
          <w:sz w:val="16"/>
          <w:szCs w:val="16"/>
        </w:rPr>
        <w:t xml:space="preserve"> </w:t>
      </w:r>
      <w:r w:rsidR="006307D0">
        <w:rPr>
          <w:rFonts w:asciiTheme="majorHAnsi" w:hAnsiTheme="majorHAnsi"/>
          <w:color w:val="auto"/>
          <w:sz w:val="16"/>
          <w:szCs w:val="16"/>
        </w:rPr>
        <w:t>public health or morale</w:t>
      </w:r>
      <w:r w:rsidRPr="00A51861">
        <w:rPr>
          <w:rFonts w:asciiTheme="majorHAnsi" w:hAnsiTheme="majorHAnsi"/>
          <w:color w:val="auto"/>
          <w:sz w:val="16"/>
          <w:szCs w:val="16"/>
        </w:rPr>
        <w:t xml:space="preserve">. </w:t>
      </w:r>
      <w:r w:rsidR="006307D0">
        <w:rPr>
          <w:rFonts w:asciiTheme="majorHAnsi" w:hAnsiTheme="majorHAnsi"/>
          <w:color w:val="auto"/>
          <w:sz w:val="16"/>
          <w:szCs w:val="16"/>
        </w:rPr>
        <w:t>The criteria for</w:t>
      </w:r>
      <w:r w:rsidRPr="00A51861">
        <w:rPr>
          <w:rFonts w:asciiTheme="majorHAnsi" w:hAnsiTheme="majorHAnsi"/>
          <w:color w:val="auto"/>
          <w:sz w:val="16"/>
          <w:szCs w:val="16"/>
        </w:rPr>
        <w:t xml:space="preserve"> </w:t>
      </w:r>
      <w:r w:rsidR="006307D0">
        <w:rPr>
          <w:rFonts w:asciiTheme="majorHAnsi" w:hAnsiTheme="majorHAnsi"/>
          <w:color w:val="auto"/>
          <w:sz w:val="16"/>
          <w:szCs w:val="16"/>
        </w:rPr>
        <w:t>restrictions</w:t>
      </w:r>
      <w:r w:rsidRPr="00A51861">
        <w:rPr>
          <w:rFonts w:asciiTheme="majorHAnsi" w:hAnsiTheme="majorHAnsi"/>
          <w:color w:val="auto"/>
          <w:sz w:val="16"/>
          <w:szCs w:val="16"/>
        </w:rPr>
        <w:t xml:space="preserve"> </w:t>
      </w:r>
      <w:r w:rsidR="006307D0">
        <w:rPr>
          <w:rFonts w:asciiTheme="majorHAnsi" w:hAnsiTheme="majorHAnsi"/>
          <w:color w:val="auto"/>
          <w:sz w:val="16"/>
          <w:szCs w:val="16"/>
        </w:rPr>
        <w:t>on</w:t>
      </w:r>
      <w:r w:rsidRPr="00A51861">
        <w:rPr>
          <w:rFonts w:asciiTheme="majorHAnsi" w:hAnsiTheme="majorHAnsi"/>
          <w:color w:val="auto"/>
          <w:sz w:val="16"/>
          <w:szCs w:val="16"/>
        </w:rPr>
        <w:t xml:space="preserve"> </w:t>
      </w:r>
      <w:r w:rsidR="006307D0">
        <w:rPr>
          <w:rFonts w:asciiTheme="majorHAnsi" w:hAnsiTheme="majorHAnsi"/>
          <w:color w:val="auto"/>
          <w:sz w:val="16"/>
          <w:szCs w:val="16"/>
        </w:rPr>
        <w:t>rights</w:t>
      </w:r>
      <w:r w:rsidRPr="00A51861">
        <w:rPr>
          <w:rFonts w:asciiTheme="majorHAnsi" w:hAnsiTheme="majorHAnsi"/>
          <w:color w:val="auto"/>
          <w:sz w:val="16"/>
          <w:szCs w:val="16"/>
        </w:rPr>
        <w:t xml:space="preserve"> </w:t>
      </w:r>
      <w:r w:rsidR="006307D0">
        <w:rPr>
          <w:rFonts w:asciiTheme="majorHAnsi" w:hAnsiTheme="majorHAnsi"/>
          <w:color w:val="auto"/>
          <w:sz w:val="16"/>
          <w:szCs w:val="16"/>
        </w:rPr>
        <w:t>guaranteed in</w:t>
      </w:r>
      <w:r w:rsidRPr="00A51861">
        <w:rPr>
          <w:rFonts w:asciiTheme="majorHAnsi" w:hAnsiTheme="majorHAnsi"/>
          <w:color w:val="auto"/>
          <w:sz w:val="16"/>
          <w:szCs w:val="16"/>
        </w:rPr>
        <w:t xml:space="preserve"> </w:t>
      </w:r>
      <w:r w:rsidR="0029564F">
        <w:rPr>
          <w:rFonts w:asciiTheme="majorHAnsi" w:hAnsiTheme="majorHAnsi"/>
          <w:color w:val="auto"/>
          <w:sz w:val="16"/>
          <w:szCs w:val="16"/>
        </w:rPr>
        <w:t>article</w:t>
      </w:r>
      <w:r w:rsidRPr="00A51861">
        <w:rPr>
          <w:rFonts w:asciiTheme="majorHAnsi" w:hAnsiTheme="majorHAnsi"/>
          <w:color w:val="auto"/>
          <w:sz w:val="16"/>
          <w:szCs w:val="16"/>
        </w:rPr>
        <w:t>s 21</w:t>
      </w:r>
      <w:r w:rsidR="00B6596B">
        <w:rPr>
          <w:rFonts w:asciiTheme="majorHAnsi" w:hAnsiTheme="majorHAnsi"/>
          <w:color w:val="auto"/>
          <w:sz w:val="16"/>
          <w:szCs w:val="16"/>
        </w:rPr>
        <w:t xml:space="preserve"> and </w:t>
      </w:r>
      <w:r w:rsidRPr="00A51861">
        <w:rPr>
          <w:rFonts w:asciiTheme="majorHAnsi" w:hAnsiTheme="majorHAnsi"/>
          <w:color w:val="auto"/>
          <w:sz w:val="16"/>
          <w:szCs w:val="16"/>
        </w:rPr>
        <w:t xml:space="preserve">22 </w:t>
      </w:r>
      <w:r w:rsidR="006307D0">
        <w:rPr>
          <w:rFonts w:asciiTheme="majorHAnsi" w:hAnsiTheme="majorHAnsi"/>
          <w:color w:val="auto"/>
          <w:sz w:val="16"/>
          <w:szCs w:val="16"/>
        </w:rPr>
        <w:t>of the</w:t>
      </w:r>
      <w:r w:rsidRPr="00A51861">
        <w:rPr>
          <w:rFonts w:asciiTheme="majorHAnsi" w:hAnsiTheme="majorHAnsi"/>
          <w:color w:val="auto"/>
          <w:sz w:val="16"/>
          <w:szCs w:val="16"/>
        </w:rPr>
        <w:t xml:space="preserve"> </w:t>
      </w:r>
      <w:r w:rsidR="006307D0">
        <w:rPr>
          <w:rFonts w:asciiTheme="majorHAnsi" w:hAnsiTheme="majorHAnsi"/>
          <w:color w:val="auto"/>
          <w:sz w:val="16"/>
          <w:szCs w:val="16"/>
        </w:rPr>
        <w:t>Covenant</w:t>
      </w:r>
      <w:r w:rsidRPr="00A51861">
        <w:rPr>
          <w:rFonts w:asciiTheme="majorHAnsi" w:hAnsiTheme="majorHAnsi"/>
          <w:color w:val="auto"/>
          <w:sz w:val="16"/>
          <w:szCs w:val="16"/>
        </w:rPr>
        <w:t xml:space="preserve"> obe</w:t>
      </w:r>
      <w:r w:rsidR="006307D0">
        <w:rPr>
          <w:rFonts w:asciiTheme="majorHAnsi" w:hAnsiTheme="majorHAnsi"/>
          <w:color w:val="auto"/>
          <w:sz w:val="16"/>
          <w:szCs w:val="16"/>
        </w:rPr>
        <w:t>y</w:t>
      </w:r>
      <w:r w:rsidRPr="00A51861">
        <w:rPr>
          <w:rFonts w:asciiTheme="majorHAnsi" w:hAnsiTheme="majorHAnsi"/>
          <w:color w:val="auto"/>
          <w:sz w:val="16"/>
          <w:szCs w:val="16"/>
        </w:rPr>
        <w:t xml:space="preserve"> a </w:t>
      </w:r>
      <w:r w:rsidR="006307D0">
        <w:rPr>
          <w:rFonts w:asciiTheme="majorHAnsi" w:hAnsiTheme="majorHAnsi"/>
          <w:color w:val="auto"/>
          <w:sz w:val="16"/>
          <w:szCs w:val="16"/>
        </w:rPr>
        <w:t>similar lo</w:t>
      </w:r>
      <w:r w:rsidRPr="00A51861">
        <w:rPr>
          <w:rFonts w:asciiTheme="majorHAnsi" w:hAnsiTheme="majorHAnsi"/>
          <w:color w:val="auto"/>
          <w:sz w:val="16"/>
          <w:szCs w:val="16"/>
        </w:rPr>
        <w:t xml:space="preserve">gic. </w:t>
      </w:r>
      <w:r w:rsidR="006307D0">
        <w:rPr>
          <w:rFonts w:asciiTheme="majorHAnsi" w:hAnsiTheme="majorHAnsi"/>
          <w:color w:val="auto"/>
          <w:sz w:val="16"/>
          <w:szCs w:val="16"/>
        </w:rPr>
        <w:t>The very</w:t>
      </w:r>
      <w:r w:rsidRPr="00A51861">
        <w:rPr>
          <w:rFonts w:asciiTheme="majorHAnsi" w:hAnsiTheme="majorHAnsi"/>
          <w:color w:val="auto"/>
          <w:sz w:val="16"/>
          <w:szCs w:val="16"/>
        </w:rPr>
        <w:t xml:space="preserve"> existence </w:t>
      </w:r>
      <w:r w:rsidR="006307D0">
        <w:rPr>
          <w:rFonts w:asciiTheme="majorHAnsi" w:hAnsiTheme="majorHAnsi"/>
          <w:color w:val="auto"/>
          <w:sz w:val="16"/>
          <w:szCs w:val="16"/>
        </w:rPr>
        <w:t xml:space="preserve">of </w:t>
      </w:r>
      <w:r w:rsidR="006307D0" w:rsidRPr="00A51861">
        <w:rPr>
          <w:rFonts w:asciiTheme="majorHAnsi" w:hAnsiTheme="majorHAnsi"/>
          <w:color w:val="auto"/>
          <w:sz w:val="16"/>
          <w:szCs w:val="16"/>
        </w:rPr>
        <w:t>obje</w:t>
      </w:r>
      <w:r w:rsidR="006307D0">
        <w:rPr>
          <w:rFonts w:asciiTheme="majorHAnsi" w:hAnsiTheme="majorHAnsi"/>
          <w:color w:val="auto"/>
          <w:sz w:val="16"/>
          <w:szCs w:val="16"/>
        </w:rPr>
        <w:t>c</w:t>
      </w:r>
      <w:r w:rsidR="006307D0" w:rsidRPr="00A51861">
        <w:rPr>
          <w:rFonts w:asciiTheme="majorHAnsi" w:hAnsiTheme="majorHAnsi"/>
          <w:color w:val="auto"/>
          <w:sz w:val="16"/>
          <w:szCs w:val="16"/>
        </w:rPr>
        <w:t>tiv</w:t>
      </w:r>
      <w:r w:rsidR="006307D0">
        <w:rPr>
          <w:rFonts w:asciiTheme="majorHAnsi" w:hAnsiTheme="majorHAnsi"/>
          <w:color w:val="auto"/>
          <w:sz w:val="16"/>
          <w:szCs w:val="16"/>
        </w:rPr>
        <w:t xml:space="preserve">e </w:t>
      </w:r>
      <w:r w:rsidRPr="00A51861">
        <w:rPr>
          <w:rFonts w:asciiTheme="majorHAnsi" w:hAnsiTheme="majorHAnsi"/>
          <w:color w:val="auto"/>
          <w:sz w:val="16"/>
          <w:szCs w:val="16"/>
        </w:rPr>
        <w:t>justifica</w:t>
      </w:r>
      <w:r w:rsidR="006307D0">
        <w:rPr>
          <w:rFonts w:asciiTheme="majorHAnsi" w:hAnsiTheme="majorHAnsi"/>
          <w:color w:val="auto"/>
          <w:sz w:val="16"/>
          <w:szCs w:val="16"/>
        </w:rPr>
        <w:t>tion</w:t>
      </w:r>
      <w:r w:rsidRPr="00A51861">
        <w:rPr>
          <w:rFonts w:asciiTheme="majorHAnsi" w:hAnsiTheme="majorHAnsi"/>
          <w:color w:val="auto"/>
          <w:sz w:val="16"/>
          <w:szCs w:val="16"/>
        </w:rPr>
        <w:t xml:space="preserve">s </w:t>
      </w:r>
      <w:r w:rsidR="006307D0">
        <w:rPr>
          <w:rFonts w:asciiTheme="majorHAnsi" w:hAnsiTheme="majorHAnsi"/>
          <w:color w:val="auto"/>
          <w:sz w:val="16"/>
          <w:szCs w:val="16"/>
        </w:rPr>
        <w:t>to</w:t>
      </w:r>
      <w:r w:rsidRPr="00A51861">
        <w:rPr>
          <w:rFonts w:asciiTheme="majorHAnsi" w:hAnsiTheme="majorHAnsi"/>
          <w:color w:val="auto"/>
          <w:sz w:val="16"/>
          <w:szCs w:val="16"/>
        </w:rPr>
        <w:t xml:space="preserve"> limit</w:t>
      </w:r>
      <w:r w:rsidR="006307D0">
        <w:rPr>
          <w:rFonts w:asciiTheme="majorHAnsi" w:hAnsiTheme="majorHAnsi"/>
          <w:color w:val="auto"/>
          <w:sz w:val="16"/>
          <w:szCs w:val="16"/>
        </w:rPr>
        <w:t xml:space="preserve"> said</w:t>
      </w:r>
      <w:r w:rsidRPr="00A51861">
        <w:rPr>
          <w:rFonts w:asciiTheme="majorHAnsi" w:hAnsiTheme="majorHAnsi"/>
          <w:color w:val="auto"/>
          <w:sz w:val="16"/>
          <w:szCs w:val="16"/>
        </w:rPr>
        <w:t xml:space="preserve"> </w:t>
      </w:r>
      <w:r w:rsidR="006307D0">
        <w:rPr>
          <w:rFonts w:asciiTheme="majorHAnsi" w:hAnsiTheme="majorHAnsi"/>
          <w:color w:val="auto"/>
          <w:sz w:val="16"/>
          <w:szCs w:val="16"/>
        </w:rPr>
        <w:t>rights</w:t>
      </w:r>
      <w:r w:rsidRPr="00A51861">
        <w:rPr>
          <w:rFonts w:asciiTheme="majorHAnsi" w:hAnsiTheme="majorHAnsi"/>
          <w:color w:val="auto"/>
          <w:sz w:val="16"/>
          <w:szCs w:val="16"/>
        </w:rPr>
        <w:t xml:space="preserve"> </w:t>
      </w:r>
      <w:r w:rsidR="006307D0">
        <w:rPr>
          <w:rFonts w:asciiTheme="majorHAnsi" w:hAnsiTheme="majorHAnsi"/>
          <w:color w:val="auto"/>
          <w:sz w:val="16"/>
          <w:szCs w:val="16"/>
        </w:rPr>
        <w:t>is not enough</w:t>
      </w:r>
      <w:r w:rsidRPr="00A51861">
        <w:rPr>
          <w:rFonts w:asciiTheme="majorHAnsi" w:hAnsiTheme="majorHAnsi"/>
          <w:color w:val="auto"/>
          <w:sz w:val="16"/>
          <w:szCs w:val="16"/>
        </w:rPr>
        <w:t xml:space="preserve">. </w:t>
      </w:r>
      <w:r w:rsidR="006307D0">
        <w:rPr>
          <w:rFonts w:asciiTheme="majorHAnsi" w:hAnsiTheme="majorHAnsi"/>
          <w:color w:val="auto"/>
          <w:sz w:val="16"/>
          <w:szCs w:val="16"/>
        </w:rPr>
        <w:t xml:space="preserve">The State </w:t>
      </w:r>
      <w:r w:rsidRPr="00A51861">
        <w:rPr>
          <w:rFonts w:asciiTheme="majorHAnsi" w:hAnsiTheme="majorHAnsi"/>
          <w:color w:val="auto"/>
          <w:sz w:val="16"/>
          <w:szCs w:val="16"/>
        </w:rPr>
        <w:t>part</w:t>
      </w:r>
      <w:r w:rsidR="006307D0">
        <w:rPr>
          <w:rFonts w:asciiTheme="majorHAnsi" w:hAnsiTheme="majorHAnsi"/>
          <w:color w:val="auto"/>
          <w:sz w:val="16"/>
          <w:szCs w:val="16"/>
        </w:rPr>
        <w:t>y</w:t>
      </w:r>
      <w:r w:rsidRPr="00A51861">
        <w:rPr>
          <w:rFonts w:asciiTheme="majorHAnsi" w:hAnsiTheme="majorHAnsi"/>
          <w:color w:val="auto"/>
          <w:sz w:val="16"/>
          <w:szCs w:val="16"/>
        </w:rPr>
        <w:t xml:space="preserve"> </w:t>
      </w:r>
      <w:r w:rsidR="006307D0">
        <w:rPr>
          <w:rFonts w:asciiTheme="majorHAnsi" w:hAnsiTheme="majorHAnsi"/>
          <w:color w:val="auto"/>
          <w:sz w:val="16"/>
          <w:szCs w:val="16"/>
        </w:rPr>
        <w:t>has to prove</w:t>
      </w:r>
      <w:r w:rsidRPr="00A51861">
        <w:rPr>
          <w:rFonts w:asciiTheme="majorHAnsi" w:hAnsiTheme="majorHAnsi"/>
          <w:color w:val="auto"/>
          <w:sz w:val="16"/>
          <w:szCs w:val="16"/>
        </w:rPr>
        <w:t xml:space="preserve">, </w:t>
      </w:r>
      <w:r w:rsidR="006307D0">
        <w:rPr>
          <w:rFonts w:asciiTheme="majorHAnsi" w:hAnsiTheme="majorHAnsi"/>
          <w:color w:val="auto"/>
          <w:sz w:val="16"/>
          <w:szCs w:val="16"/>
        </w:rPr>
        <w:t>also</w:t>
      </w:r>
      <w:r w:rsidRPr="00A51861">
        <w:rPr>
          <w:rFonts w:asciiTheme="majorHAnsi" w:hAnsiTheme="majorHAnsi"/>
          <w:color w:val="auto"/>
          <w:sz w:val="16"/>
          <w:szCs w:val="16"/>
        </w:rPr>
        <w:t xml:space="preserve">, </w:t>
      </w:r>
      <w:r w:rsidR="006307D0">
        <w:rPr>
          <w:rFonts w:asciiTheme="majorHAnsi" w:hAnsiTheme="majorHAnsi"/>
          <w:color w:val="auto"/>
          <w:sz w:val="16"/>
          <w:szCs w:val="16"/>
        </w:rPr>
        <w:t>that the</w:t>
      </w:r>
      <w:r w:rsidRPr="00A51861">
        <w:rPr>
          <w:rFonts w:asciiTheme="majorHAnsi" w:hAnsiTheme="majorHAnsi"/>
          <w:color w:val="auto"/>
          <w:sz w:val="16"/>
          <w:szCs w:val="16"/>
        </w:rPr>
        <w:t xml:space="preserve"> </w:t>
      </w:r>
      <w:r w:rsidR="00911263" w:rsidRPr="00A51861">
        <w:rPr>
          <w:rFonts w:asciiTheme="majorHAnsi" w:hAnsiTheme="majorHAnsi"/>
          <w:color w:val="auto"/>
          <w:sz w:val="16"/>
          <w:szCs w:val="16"/>
        </w:rPr>
        <w:t>prohibition</w:t>
      </w:r>
      <w:r w:rsidR="00911263">
        <w:rPr>
          <w:rFonts w:asciiTheme="majorHAnsi" w:hAnsiTheme="majorHAnsi"/>
          <w:color w:val="auto"/>
          <w:sz w:val="16"/>
          <w:szCs w:val="16"/>
        </w:rPr>
        <w:t xml:space="preserve"> is necessary to prevent a</w:t>
      </w:r>
      <w:r w:rsidRPr="00A51861">
        <w:rPr>
          <w:rFonts w:asciiTheme="majorHAnsi" w:hAnsiTheme="majorHAnsi"/>
          <w:color w:val="auto"/>
          <w:sz w:val="16"/>
          <w:szCs w:val="16"/>
        </w:rPr>
        <w:t xml:space="preserve"> real,</w:t>
      </w:r>
      <w:r w:rsidR="00B6596B">
        <w:rPr>
          <w:rFonts w:asciiTheme="majorHAnsi" w:hAnsiTheme="majorHAnsi"/>
          <w:color w:val="auto"/>
          <w:sz w:val="16"/>
          <w:szCs w:val="16"/>
        </w:rPr>
        <w:t xml:space="preserve"> and </w:t>
      </w:r>
      <w:r w:rsidR="00911263">
        <w:rPr>
          <w:rFonts w:asciiTheme="majorHAnsi" w:hAnsiTheme="majorHAnsi"/>
          <w:color w:val="auto"/>
          <w:sz w:val="16"/>
          <w:szCs w:val="16"/>
        </w:rPr>
        <w:t>not only</w:t>
      </w:r>
      <w:r w:rsidRPr="00A51861">
        <w:rPr>
          <w:rFonts w:asciiTheme="majorHAnsi" w:hAnsiTheme="majorHAnsi"/>
          <w:color w:val="auto"/>
          <w:sz w:val="16"/>
          <w:szCs w:val="16"/>
        </w:rPr>
        <w:t xml:space="preserve"> </w:t>
      </w:r>
      <w:r w:rsidR="00911263" w:rsidRPr="00A51861">
        <w:rPr>
          <w:rFonts w:asciiTheme="majorHAnsi" w:hAnsiTheme="majorHAnsi"/>
          <w:color w:val="auto"/>
          <w:sz w:val="16"/>
          <w:szCs w:val="16"/>
        </w:rPr>
        <w:t>hypothetical</w:t>
      </w:r>
      <w:r w:rsidR="00CD333E">
        <w:rPr>
          <w:rFonts w:asciiTheme="majorHAnsi" w:hAnsiTheme="majorHAnsi"/>
          <w:color w:val="auto"/>
          <w:sz w:val="16"/>
          <w:szCs w:val="16"/>
        </w:rPr>
        <w:t xml:space="preserve"> threat</w:t>
      </w:r>
      <w:r w:rsidRPr="00A51861">
        <w:rPr>
          <w:rFonts w:asciiTheme="majorHAnsi" w:hAnsiTheme="majorHAnsi"/>
          <w:color w:val="auto"/>
          <w:sz w:val="16"/>
          <w:szCs w:val="16"/>
        </w:rPr>
        <w:t xml:space="preserve">, </w:t>
      </w:r>
      <w:r w:rsidR="00911263">
        <w:rPr>
          <w:rFonts w:asciiTheme="majorHAnsi" w:hAnsiTheme="majorHAnsi"/>
          <w:color w:val="auto"/>
          <w:sz w:val="16"/>
          <w:szCs w:val="16"/>
        </w:rPr>
        <w:t>for</w:t>
      </w:r>
      <w:r w:rsidRPr="00A51861">
        <w:rPr>
          <w:rFonts w:asciiTheme="majorHAnsi" w:hAnsiTheme="majorHAnsi"/>
          <w:color w:val="auto"/>
          <w:sz w:val="16"/>
          <w:szCs w:val="16"/>
        </w:rPr>
        <w:t xml:space="preserve"> </w:t>
      </w:r>
      <w:r w:rsidR="00911263">
        <w:rPr>
          <w:rFonts w:asciiTheme="majorHAnsi" w:hAnsiTheme="majorHAnsi"/>
          <w:color w:val="auto"/>
          <w:sz w:val="16"/>
          <w:szCs w:val="16"/>
        </w:rPr>
        <w:t xml:space="preserve">national security </w:t>
      </w:r>
      <w:r w:rsidRPr="00A51861">
        <w:rPr>
          <w:rFonts w:asciiTheme="majorHAnsi" w:hAnsiTheme="majorHAnsi"/>
          <w:color w:val="auto"/>
          <w:sz w:val="16"/>
          <w:szCs w:val="16"/>
        </w:rPr>
        <w:t>o</w:t>
      </w:r>
      <w:r w:rsidR="00911263">
        <w:rPr>
          <w:rFonts w:asciiTheme="majorHAnsi" w:hAnsiTheme="majorHAnsi"/>
          <w:color w:val="auto"/>
          <w:sz w:val="16"/>
          <w:szCs w:val="16"/>
        </w:rPr>
        <w:t>r</w:t>
      </w:r>
      <w:r w:rsidRPr="00A51861">
        <w:rPr>
          <w:rFonts w:asciiTheme="majorHAnsi" w:hAnsiTheme="majorHAnsi"/>
          <w:color w:val="auto"/>
          <w:sz w:val="16"/>
          <w:szCs w:val="16"/>
        </w:rPr>
        <w:t xml:space="preserve"> </w:t>
      </w:r>
      <w:r w:rsidR="00911263">
        <w:rPr>
          <w:rFonts w:asciiTheme="majorHAnsi" w:hAnsiTheme="majorHAnsi"/>
          <w:color w:val="auto"/>
          <w:sz w:val="16"/>
          <w:szCs w:val="16"/>
        </w:rPr>
        <w:t>democratic order</w:t>
      </w:r>
      <w:r w:rsidRPr="00A51861">
        <w:rPr>
          <w:rFonts w:asciiTheme="majorHAnsi" w:hAnsiTheme="majorHAnsi"/>
          <w:color w:val="auto"/>
          <w:sz w:val="16"/>
          <w:szCs w:val="16"/>
        </w:rPr>
        <w:t xml:space="preserve">, </w:t>
      </w:r>
      <w:r w:rsidR="00911263">
        <w:rPr>
          <w:rFonts w:asciiTheme="majorHAnsi" w:hAnsiTheme="majorHAnsi"/>
          <w:color w:val="auto"/>
          <w:sz w:val="16"/>
          <w:szCs w:val="16"/>
        </w:rPr>
        <w:t>that the</w:t>
      </w:r>
      <w:r w:rsidRPr="00A51861">
        <w:rPr>
          <w:rFonts w:asciiTheme="majorHAnsi" w:hAnsiTheme="majorHAnsi"/>
          <w:color w:val="auto"/>
          <w:sz w:val="16"/>
          <w:szCs w:val="16"/>
        </w:rPr>
        <w:t xml:space="preserve"> </w:t>
      </w:r>
      <w:r w:rsidR="00911263">
        <w:rPr>
          <w:rFonts w:asciiTheme="majorHAnsi" w:hAnsiTheme="majorHAnsi"/>
          <w:color w:val="auto"/>
          <w:sz w:val="16"/>
          <w:szCs w:val="16"/>
        </w:rPr>
        <w:t>adoption of less intrusive measures would not</w:t>
      </w:r>
      <w:r w:rsidR="00CD333E">
        <w:rPr>
          <w:rFonts w:asciiTheme="majorHAnsi" w:hAnsiTheme="majorHAnsi"/>
          <w:color w:val="auto"/>
          <w:sz w:val="16"/>
          <w:szCs w:val="16"/>
        </w:rPr>
        <w:t xml:space="preserve"> </w:t>
      </w:r>
      <w:r w:rsidR="00911263">
        <w:rPr>
          <w:rFonts w:asciiTheme="majorHAnsi" w:hAnsiTheme="majorHAnsi"/>
          <w:color w:val="auto"/>
          <w:sz w:val="16"/>
          <w:szCs w:val="16"/>
        </w:rPr>
        <w:t>suffice</w:t>
      </w:r>
      <w:r w:rsidRPr="00A51861">
        <w:rPr>
          <w:rFonts w:asciiTheme="majorHAnsi" w:hAnsiTheme="majorHAnsi"/>
          <w:color w:val="auto"/>
          <w:sz w:val="16"/>
          <w:szCs w:val="16"/>
        </w:rPr>
        <w:t xml:space="preserve"> </w:t>
      </w:r>
      <w:r w:rsidR="00911263">
        <w:rPr>
          <w:rFonts w:asciiTheme="majorHAnsi" w:hAnsiTheme="majorHAnsi"/>
          <w:color w:val="auto"/>
          <w:sz w:val="16"/>
          <w:szCs w:val="16"/>
        </w:rPr>
        <w:t>to achieve the same purpose</w:t>
      </w:r>
      <w:r w:rsidR="00B6596B">
        <w:rPr>
          <w:rFonts w:asciiTheme="majorHAnsi" w:hAnsiTheme="majorHAnsi"/>
          <w:color w:val="auto"/>
          <w:sz w:val="16"/>
          <w:szCs w:val="16"/>
        </w:rPr>
        <w:t xml:space="preserve"> and</w:t>
      </w:r>
      <w:r w:rsidR="00911263">
        <w:rPr>
          <w:rFonts w:asciiTheme="majorHAnsi" w:hAnsiTheme="majorHAnsi"/>
          <w:color w:val="auto"/>
          <w:sz w:val="16"/>
          <w:szCs w:val="16"/>
        </w:rPr>
        <w:t xml:space="preserve"> that the restriction imposed is </w:t>
      </w:r>
      <w:r w:rsidR="00911263" w:rsidRPr="00A51861">
        <w:rPr>
          <w:rFonts w:asciiTheme="majorHAnsi" w:hAnsiTheme="majorHAnsi"/>
          <w:color w:val="auto"/>
          <w:sz w:val="16"/>
          <w:szCs w:val="16"/>
        </w:rPr>
        <w:t>proportional</w:t>
      </w:r>
      <w:r w:rsidRPr="00A51861">
        <w:rPr>
          <w:rFonts w:asciiTheme="majorHAnsi" w:hAnsiTheme="majorHAnsi"/>
          <w:color w:val="auto"/>
          <w:sz w:val="16"/>
          <w:szCs w:val="16"/>
        </w:rPr>
        <w:t xml:space="preserve"> </w:t>
      </w:r>
      <w:r w:rsidR="00911263">
        <w:rPr>
          <w:rFonts w:asciiTheme="majorHAnsi" w:hAnsiTheme="majorHAnsi"/>
          <w:color w:val="auto"/>
          <w:sz w:val="16"/>
          <w:szCs w:val="16"/>
        </w:rPr>
        <w:t>to the interest intended to protect</w:t>
      </w:r>
      <w:r w:rsidRPr="00A51861">
        <w:rPr>
          <w:rFonts w:asciiTheme="majorHAnsi" w:hAnsiTheme="majorHAnsi"/>
          <w:color w:val="auto"/>
          <w:sz w:val="16"/>
          <w:szCs w:val="16"/>
        </w:rPr>
        <w:t xml:space="preserve"> (</w:t>
      </w:r>
      <w:r w:rsidR="006307D0">
        <w:rPr>
          <w:rFonts w:asciiTheme="majorHAnsi" w:hAnsiTheme="majorHAnsi"/>
          <w:color w:val="auto"/>
          <w:sz w:val="16"/>
          <w:szCs w:val="16"/>
        </w:rPr>
        <w:t>See general observation</w:t>
      </w:r>
      <w:r w:rsidRPr="00A51861">
        <w:rPr>
          <w:rFonts w:asciiTheme="majorHAnsi" w:hAnsiTheme="majorHAnsi"/>
          <w:color w:val="auto"/>
          <w:sz w:val="16"/>
          <w:szCs w:val="16"/>
        </w:rPr>
        <w:t xml:space="preserve"> Nº 34 </w:t>
      </w:r>
      <w:r w:rsidR="00911263">
        <w:rPr>
          <w:rFonts w:asciiTheme="majorHAnsi" w:hAnsiTheme="majorHAnsi"/>
          <w:color w:val="auto"/>
          <w:sz w:val="16"/>
          <w:szCs w:val="16"/>
        </w:rPr>
        <w:t>of the</w:t>
      </w:r>
      <w:r w:rsidRPr="00A51861">
        <w:rPr>
          <w:rFonts w:asciiTheme="majorHAnsi" w:hAnsiTheme="majorHAnsi"/>
          <w:color w:val="auto"/>
          <w:sz w:val="16"/>
          <w:szCs w:val="16"/>
        </w:rPr>
        <w:t xml:space="preserve"> </w:t>
      </w:r>
      <w:r w:rsidR="006307D0">
        <w:rPr>
          <w:rFonts w:asciiTheme="majorHAnsi" w:hAnsiTheme="majorHAnsi"/>
          <w:color w:val="auto"/>
          <w:sz w:val="16"/>
          <w:szCs w:val="16"/>
        </w:rPr>
        <w:t xml:space="preserve">Committee </w:t>
      </w:r>
      <w:r w:rsidR="00911263">
        <w:rPr>
          <w:rFonts w:asciiTheme="majorHAnsi" w:hAnsiTheme="majorHAnsi"/>
          <w:color w:val="auto"/>
          <w:sz w:val="16"/>
          <w:szCs w:val="16"/>
        </w:rPr>
        <w:t>on freedom of opinion</w:t>
      </w:r>
      <w:r w:rsidR="00B6596B">
        <w:rPr>
          <w:rFonts w:asciiTheme="majorHAnsi" w:hAnsiTheme="majorHAnsi"/>
          <w:color w:val="auto"/>
          <w:sz w:val="16"/>
          <w:szCs w:val="16"/>
        </w:rPr>
        <w:t xml:space="preserve"> and </w:t>
      </w:r>
      <w:r w:rsidR="00EB7848">
        <w:rPr>
          <w:rFonts w:asciiTheme="majorHAnsi" w:hAnsiTheme="majorHAnsi"/>
          <w:color w:val="auto"/>
          <w:sz w:val="16"/>
          <w:szCs w:val="16"/>
        </w:rPr>
        <w:t>freedom of expression</w:t>
      </w:r>
      <w:r w:rsidRPr="00A51861">
        <w:rPr>
          <w:rFonts w:asciiTheme="majorHAnsi" w:hAnsiTheme="majorHAnsi"/>
          <w:color w:val="auto"/>
          <w:sz w:val="16"/>
          <w:szCs w:val="16"/>
        </w:rPr>
        <w:t xml:space="preserve">, </w:t>
      </w:r>
      <w:r w:rsidR="00B6596B">
        <w:rPr>
          <w:rFonts w:asciiTheme="majorHAnsi" w:hAnsiTheme="majorHAnsi"/>
          <w:color w:val="auto"/>
          <w:sz w:val="16"/>
          <w:szCs w:val="16"/>
        </w:rPr>
        <w:t>para.</w:t>
      </w:r>
      <w:r w:rsidRPr="00A51861">
        <w:rPr>
          <w:rFonts w:asciiTheme="majorHAnsi" w:hAnsiTheme="majorHAnsi"/>
          <w:color w:val="auto"/>
          <w:sz w:val="16"/>
          <w:szCs w:val="16"/>
        </w:rPr>
        <w:t xml:space="preserve"> 34; </w:t>
      </w:r>
      <w:r w:rsidR="006307D0">
        <w:rPr>
          <w:rFonts w:asciiTheme="majorHAnsi" w:hAnsiTheme="majorHAnsi"/>
          <w:color w:val="auto"/>
          <w:sz w:val="16"/>
          <w:szCs w:val="16"/>
        </w:rPr>
        <w:t>communication</w:t>
      </w:r>
      <w:r w:rsidRPr="00A51861">
        <w:rPr>
          <w:rFonts w:asciiTheme="majorHAnsi" w:hAnsiTheme="majorHAnsi"/>
          <w:color w:val="auto"/>
          <w:sz w:val="16"/>
          <w:szCs w:val="16"/>
        </w:rPr>
        <w:t xml:space="preserve"> Nº 1119/2002, Jeong-Eun Lee c. </w:t>
      </w:r>
      <w:r w:rsidR="006307D0">
        <w:rPr>
          <w:rFonts w:asciiTheme="majorHAnsi" w:hAnsiTheme="majorHAnsi"/>
          <w:color w:val="auto"/>
          <w:sz w:val="16"/>
          <w:szCs w:val="16"/>
        </w:rPr>
        <w:t>the Republic of Korea</w:t>
      </w:r>
      <w:r w:rsidRPr="00A51861">
        <w:rPr>
          <w:rFonts w:asciiTheme="majorHAnsi" w:hAnsiTheme="majorHAnsi"/>
          <w:color w:val="auto"/>
          <w:sz w:val="16"/>
          <w:szCs w:val="16"/>
        </w:rPr>
        <w:t xml:space="preserve">, </w:t>
      </w:r>
      <w:r w:rsidR="006307D0">
        <w:rPr>
          <w:rFonts w:asciiTheme="majorHAnsi" w:hAnsiTheme="majorHAnsi"/>
          <w:color w:val="auto"/>
          <w:sz w:val="16"/>
          <w:szCs w:val="16"/>
        </w:rPr>
        <w:t xml:space="preserve">judgment approved </w:t>
      </w:r>
      <w:r w:rsidR="00911263">
        <w:rPr>
          <w:rFonts w:asciiTheme="majorHAnsi" w:hAnsiTheme="majorHAnsi"/>
          <w:color w:val="auto"/>
          <w:sz w:val="16"/>
          <w:szCs w:val="16"/>
        </w:rPr>
        <w:t>on July 20,</w:t>
      </w:r>
      <w:r w:rsidRPr="00A51861">
        <w:rPr>
          <w:rFonts w:asciiTheme="majorHAnsi" w:hAnsiTheme="majorHAnsi"/>
          <w:color w:val="auto"/>
          <w:sz w:val="16"/>
          <w:szCs w:val="16"/>
        </w:rPr>
        <w:t xml:space="preserve"> 2005, </w:t>
      </w:r>
      <w:r w:rsidR="00B6596B">
        <w:rPr>
          <w:rFonts w:asciiTheme="majorHAnsi" w:hAnsiTheme="majorHAnsi"/>
          <w:color w:val="auto"/>
          <w:sz w:val="16"/>
          <w:szCs w:val="16"/>
        </w:rPr>
        <w:t>para.</w:t>
      </w:r>
      <w:r w:rsidRPr="00A51861">
        <w:rPr>
          <w:rFonts w:asciiTheme="majorHAnsi" w:hAnsiTheme="majorHAnsi"/>
          <w:color w:val="auto"/>
          <w:sz w:val="16"/>
          <w:szCs w:val="16"/>
        </w:rPr>
        <w:t xml:space="preserve"> 7.2,</w:t>
      </w:r>
      <w:r w:rsidR="00B6596B">
        <w:rPr>
          <w:rFonts w:asciiTheme="majorHAnsi" w:hAnsiTheme="majorHAnsi"/>
          <w:color w:val="auto"/>
          <w:sz w:val="16"/>
          <w:szCs w:val="16"/>
        </w:rPr>
        <w:t xml:space="preserve"> and </w:t>
      </w:r>
      <w:r w:rsidRPr="00A51861">
        <w:rPr>
          <w:rFonts w:asciiTheme="majorHAnsi" w:hAnsiTheme="majorHAnsi"/>
          <w:color w:val="auto"/>
          <w:sz w:val="16"/>
          <w:szCs w:val="16"/>
        </w:rPr>
        <w:t>Belyatsky</w:t>
      </w:r>
      <w:r w:rsidR="00B6596B">
        <w:rPr>
          <w:rFonts w:asciiTheme="majorHAnsi" w:hAnsiTheme="majorHAnsi"/>
          <w:color w:val="auto"/>
          <w:sz w:val="16"/>
          <w:szCs w:val="16"/>
        </w:rPr>
        <w:t xml:space="preserve"> </w:t>
      </w:r>
      <w:r w:rsidR="00357129">
        <w:rPr>
          <w:rFonts w:asciiTheme="majorHAnsi" w:hAnsiTheme="majorHAnsi"/>
          <w:color w:val="auto"/>
          <w:sz w:val="16"/>
          <w:szCs w:val="16"/>
        </w:rPr>
        <w:t xml:space="preserve">and others </w:t>
      </w:r>
      <w:r w:rsidRPr="00A51861">
        <w:rPr>
          <w:rFonts w:asciiTheme="majorHAnsi" w:hAnsiTheme="majorHAnsi"/>
          <w:color w:val="auto"/>
          <w:sz w:val="16"/>
          <w:szCs w:val="16"/>
        </w:rPr>
        <w:t xml:space="preserve">c. Belarús, </w:t>
      </w:r>
      <w:r w:rsidR="006307D0" w:rsidRPr="00A51861">
        <w:rPr>
          <w:rFonts w:asciiTheme="majorHAnsi" w:hAnsiTheme="majorHAnsi"/>
          <w:color w:val="auto"/>
          <w:sz w:val="16"/>
          <w:szCs w:val="16"/>
        </w:rPr>
        <w:t>Communication</w:t>
      </w:r>
      <w:r w:rsidRPr="00A51861">
        <w:rPr>
          <w:rFonts w:asciiTheme="majorHAnsi" w:hAnsiTheme="majorHAnsi"/>
          <w:color w:val="auto"/>
          <w:sz w:val="16"/>
          <w:szCs w:val="16"/>
        </w:rPr>
        <w:t xml:space="preserve"> Nº 1296/2004, </w:t>
      </w:r>
      <w:r w:rsidR="000E67CA">
        <w:rPr>
          <w:rFonts w:asciiTheme="majorHAnsi" w:hAnsiTheme="majorHAnsi"/>
          <w:color w:val="auto"/>
          <w:sz w:val="16"/>
          <w:szCs w:val="16"/>
        </w:rPr>
        <w:t>decision</w:t>
      </w:r>
      <w:r w:rsidRPr="00A51861">
        <w:rPr>
          <w:rFonts w:asciiTheme="majorHAnsi" w:hAnsiTheme="majorHAnsi"/>
          <w:color w:val="auto"/>
          <w:sz w:val="16"/>
          <w:szCs w:val="16"/>
        </w:rPr>
        <w:t xml:space="preserve"> </w:t>
      </w:r>
      <w:r w:rsidR="006307D0">
        <w:rPr>
          <w:rFonts w:asciiTheme="majorHAnsi" w:hAnsiTheme="majorHAnsi"/>
          <w:color w:val="auto"/>
          <w:sz w:val="16"/>
          <w:szCs w:val="16"/>
        </w:rPr>
        <w:t>of</w:t>
      </w:r>
      <w:r w:rsidRPr="00A51861">
        <w:rPr>
          <w:rFonts w:asciiTheme="majorHAnsi" w:hAnsiTheme="majorHAnsi"/>
          <w:color w:val="auto"/>
          <w:sz w:val="16"/>
          <w:szCs w:val="16"/>
        </w:rPr>
        <w:t xml:space="preserve"> </w:t>
      </w:r>
      <w:r w:rsidR="00280367">
        <w:rPr>
          <w:rFonts w:asciiTheme="majorHAnsi" w:hAnsiTheme="majorHAnsi"/>
          <w:color w:val="auto"/>
          <w:sz w:val="16"/>
          <w:szCs w:val="16"/>
        </w:rPr>
        <w:t xml:space="preserve">August 7, </w:t>
      </w:r>
      <w:r w:rsidRPr="00A51861">
        <w:rPr>
          <w:rFonts w:asciiTheme="majorHAnsi" w:hAnsiTheme="majorHAnsi"/>
          <w:color w:val="auto"/>
          <w:sz w:val="16"/>
          <w:szCs w:val="16"/>
        </w:rPr>
        <w:t xml:space="preserve">2007, </w:t>
      </w:r>
      <w:r w:rsidR="00B6596B">
        <w:rPr>
          <w:rFonts w:asciiTheme="majorHAnsi" w:hAnsiTheme="majorHAnsi"/>
          <w:color w:val="auto"/>
          <w:sz w:val="16"/>
          <w:szCs w:val="16"/>
        </w:rPr>
        <w:t>para.</w:t>
      </w:r>
      <w:r w:rsidRPr="00A51861">
        <w:rPr>
          <w:rFonts w:asciiTheme="majorHAnsi" w:hAnsiTheme="majorHAnsi"/>
          <w:color w:val="auto"/>
          <w:sz w:val="16"/>
          <w:szCs w:val="16"/>
        </w:rPr>
        <w:t xml:space="preserve"> 7.3.). </w:t>
      </w:r>
      <w:r w:rsidR="006307D0">
        <w:rPr>
          <w:rFonts w:asciiTheme="majorHAnsi" w:hAnsiTheme="majorHAnsi"/>
          <w:color w:val="auto"/>
          <w:sz w:val="16"/>
          <w:szCs w:val="16"/>
        </w:rPr>
        <w:t>Cited in</w:t>
      </w:r>
      <w:r w:rsidRPr="00A51861">
        <w:rPr>
          <w:rFonts w:asciiTheme="majorHAnsi" w:hAnsiTheme="majorHAnsi"/>
          <w:color w:val="auto"/>
          <w:sz w:val="16"/>
          <w:szCs w:val="16"/>
        </w:rPr>
        <w:t xml:space="preserve"> </w:t>
      </w:r>
      <w:r w:rsidR="000E67CA">
        <w:rPr>
          <w:rFonts w:asciiTheme="majorHAnsi" w:hAnsiTheme="majorHAnsi"/>
          <w:color w:val="auto"/>
          <w:sz w:val="16"/>
          <w:szCs w:val="16"/>
        </w:rPr>
        <w:t>IACHR</w:t>
      </w:r>
      <w:r w:rsidRPr="00A51861">
        <w:rPr>
          <w:rFonts w:asciiTheme="majorHAnsi" w:hAnsiTheme="majorHAnsi"/>
          <w:color w:val="auto"/>
          <w:sz w:val="16"/>
          <w:szCs w:val="16"/>
        </w:rPr>
        <w:t xml:space="preserve">. </w:t>
      </w:r>
      <w:r w:rsidR="00EB7848">
        <w:rPr>
          <w:rFonts w:asciiTheme="majorHAnsi" w:hAnsiTheme="majorHAnsi"/>
          <w:color w:val="auto"/>
          <w:sz w:val="16"/>
          <w:szCs w:val="16"/>
        </w:rPr>
        <w:t xml:space="preserve">Special Rapporteur on Freedom of Expression of </w:t>
      </w:r>
      <w:r w:rsidR="00A51861" w:rsidRPr="00A51861">
        <w:rPr>
          <w:rFonts w:asciiTheme="majorHAnsi" w:hAnsiTheme="majorHAnsi"/>
          <w:color w:val="auto"/>
          <w:sz w:val="16"/>
          <w:szCs w:val="16"/>
        </w:rPr>
        <w:t xml:space="preserve">the </w:t>
      </w:r>
      <w:r w:rsidR="000E67CA">
        <w:rPr>
          <w:rFonts w:asciiTheme="majorHAnsi" w:hAnsiTheme="majorHAnsi"/>
          <w:color w:val="auto"/>
          <w:sz w:val="16"/>
          <w:szCs w:val="16"/>
        </w:rPr>
        <w:t xml:space="preserve">Inter-American </w:t>
      </w:r>
      <w:r w:rsidR="00FE1E27">
        <w:rPr>
          <w:rFonts w:asciiTheme="majorHAnsi" w:hAnsiTheme="majorHAnsi"/>
          <w:color w:val="auto"/>
          <w:sz w:val="16"/>
          <w:szCs w:val="16"/>
        </w:rPr>
        <w:t>Commission</w:t>
      </w:r>
      <w:r w:rsidR="00EB7848">
        <w:rPr>
          <w:rFonts w:asciiTheme="majorHAnsi" w:hAnsiTheme="majorHAnsi"/>
          <w:color w:val="auto"/>
          <w:sz w:val="16"/>
          <w:szCs w:val="16"/>
        </w:rPr>
        <w:t xml:space="preserve"> on Human Rights</w:t>
      </w:r>
      <w:r w:rsidRPr="00A51861">
        <w:rPr>
          <w:rFonts w:asciiTheme="majorHAnsi" w:hAnsiTheme="majorHAnsi"/>
          <w:color w:val="auto"/>
          <w:sz w:val="16"/>
          <w:szCs w:val="16"/>
        </w:rPr>
        <w:t>.</w:t>
      </w:r>
      <w:r w:rsidR="000E67CA">
        <w:rPr>
          <w:rFonts w:asciiTheme="majorHAnsi" w:hAnsiTheme="majorHAnsi"/>
          <w:color w:val="auto"/>
          <w:sz w:val="16"/>
          <w:szCs w:val="16"/>
        </w:rPr>
        <w:t xml:space="preserve"> </w:t>
      </w:r>
      <w:r w:rsidR="006307D0">
        <w:rPr>
          <w:rFonts w:asciiTheme="majorHAnsi" w:hAnsiTheme="majorHAnsi"/>
          <w:color w:val="auto"/>
          <w:sz w:val="16"/>
          <w:szCs w:val="16"/>
        </w:rPr>
        <w:t>Report on Protest and Human Rights</w:t>
      </w:r>
      <w:r w:rsidRPr="00A51861">
        <w:rPr>
          <w:rFonts w:asciiTheme="majorHAnsi" w:hAnsiTheme="majorHAnsi"/>
          <w:color w:val="auto"/>
          <w:sz w:val="16"/>
          <w:szCs w:val="16"/>
        </w:rPr>
        <w:t xml:space="preserve">. </w:t>
      </w:r>
      <w:r w:rsidR="00EB7848">
        <w:rPr>
          <w:rFonts w:asciiTheme="majorHAnsi" w:hAnsiTheme="majorHAnsi"/>
          <w:color w:val="auto"/>
          <w:sz w:val="16"/>
          <w:szCs w:val="16"/>
        </w:rPr>
        <w:t>Standards on rights involved in social protest and obligations which must guide the State’s response</w:t>
      </w:r>
      <w:r w:rsidRPr="00A51861">
        <w:rPr>
          <w:rFonts w:asciiTheme="majorHAnsi" w:hAnsiTheme="majorHAnsi"/>
          <w:color w:val="auto"/>
          <w:sz w:val="16"/>
          <w:szCs w:val="16"/>
        </w:rPr>
        <w:t xml:space="preserve">. OEA/Ser.L/V/II. </w:t>
      </w:r>
      <w:r w:rsidR="00EB7848">
        <w:rPr>
          <w:rFonts w:asciiTheme="majorHAnsi" w:hAnsiTheme="majorHAnsi"/>
          <w:color w:val="auto"/>
          <w:sz w:val="16"/>
          <w:szCs w:val="16"/>
        </w:rPr>
        <w:t>September of</w:t>
      </w:r>
      <w:r w:rsidRPr="00A51861">
        <w:rPr>
          <w:rFonts w:asciiTheme="majorHAnsi" w:hAnsiTheme="majorHAnsi"/>
          <w:color w:val="auto"/>
          <w:sz w:val="16"/>
          <w:szCs w:val="16"/>
        </w:rPr>
        <w:t xml:space="preserve"> 2019.</w:t>
      </w:r>
    </w:p>
  </w:footnote>
  <w:footnote w:id="164">
    <w:p w14:paraId="07D036B1" w14:textId="4C6E33BC"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 xml:space="preserve">The </w:t>
      </w:r>
      <w:r w:rsidR="00FE1E27">
        <w:rPr>
          <w:rFonts w:asciiTheme="majorHAnsi" w:hAnsiTheme="majorHAnsi"/>
          <w:color w:val="auto"/>
          <w:sz w:val="16"/>
          <w:szCs w:val="16"/>
        </w:rPr>
        <w:t>Commission</w:t>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observes that</w:t>
      </w:r>
      <w:r w:rsidRPr="00A51861">
        <w:rPr>
          <w:rFonts w:asciiTheme="majorHAnsi" w:hAnsiTheme="majorHAnsi"/>
          <w:color w:val="auto"/>
          <w:sz w:val="16"/>
          <w:szCs w:val="16"/>
        </w:rPr>
        <w:t xml:space="preserve"> </w:t>
      </w:r>
      <w:r w:rsidR="00387B53">
        <w:rPr>
          <w:rFonts w:asciiTheme="majorHAnsi" w:hAnsiTheme="majorHAnsi"/>
          <w:color w:val="auto"/>
          <w:sz w:val="16"/>
          <w:szCs w:val="16"/>
        </w:rPr>
        <w:t>although</w:t>
      </w:r>
      <w:r w:rsidRPr="00A51861">
        <w:rPr>
          <w:rFonts w:asciiTheme="majorHAnsi" w:hAnsiTheme="majorHAnsi"/>
          <w:color w:val="auto"/>
          <w:sz w:val="16"/>
          <w:szCs w:val="16"/>
        </w:rPr>
        <w:t xml:space="preserve"> </w:t>
      </w:r>
      <w:r w:rsidR="00387B53">
        <w:rPr>
          <w:rFonts w:asciiTheme="majorHAnsi" w:hAnsiTheme="majorHAnsi"/>
          <w:color w:val="auto"/>
          <w:sz w:val="16"/>
          <w:szCs w:val="16"/>
        </w:rPr>
        <w:t xml:space="preserve">the </w:t>
      </w:r>
      <w:r w:rsidRPr="00A51861">
        <w:rPr>
          <w:rFonts w:asciiTheme="majorHAnsi" w:hAnsiTheme="majorHAnsi"/>
          <w:color w:val="auto"/>
          <w:sz w:val="16"/>
          <w:szCs w:val="16"/>
        </w:rPr>
        <w:t>Polic</w:t>
      </w:r>
      <w:r w:rsidR="00387B53">
        <w:rPr>
          <w:rFonts w:asciiTheme="majorHAnsi" w:hAnsiTheme="majorHAnsi"/>
          <w:color w:val="auto"/>
          <w:sz w:val="16"/>
          <w:szCs w:val="16"/>
        </w:rPr>
        <w:t>e</w:t>
      </w:r>
      <w:r w:rsidRPr="00A51861">
        <w:rPr>
          <w:rFonts w:asciiTheme="majorHAnsi" w:hAnsiTheme="majorHAnsi"/>
          <w:color w:val="auto"/>
          <w:sz w:val="16"/>
          <w:szCs w:val="16"/>
        </w:rPr>
        <w:t xml:space="preserve"> </w:t>
      </w:r>
      <w:r w:rsidR="00387B53">
        <w:rPr>
          <w:rFonts w:asciiTheme="majorHAnsi" w:hAnsiTheme="majorHAnsi"/>
          <w:color w:val="auto"/>
          <w:sz w:val="16"/>
          <w:szCs w:val="16"/>
        </w:rPr>
        <w:t>Decree</w:t>
      </w:r>
      <w:r w:rsidR="00387B53" w:rsidRPr="00A51861">
        <w:rPr>
          <w:rFonts w:asciiTheme="majorHAnsi" w:hAnsiTheme="majorHAnsi"/>
          <w:color w:val="auto"/>
          <w:sz w:val="16"/>
          <w:szCs w:val="16"/>
        </w:rPr>
        <w:t>s</w:t>
      </w:r>
      <w:r w:rsidR="00387B53">
        <w:rPr>
          <w:rFonts w:asciiTheme="majorHAnsi" w:hAnsiTheme="majorHAnsi"/>
          <w:color w:val="auto"/>
          <w:sz w:val="16"/>
          <w:szCs w:val="16"/>
        </w:rPr>
        <w:t xml:space="preserve"> based upon which a sentence of</w:t>
      </w:r>
      <w:r w:rsidRPr="00A51861">
        <w:rPr>
          <w:rFonts w:asciiTheme="majorHAnsi" w:hAnsiTheme="majorHAnsi"/>
          <w:color w:val="auto"/>
          <w:sz w:val="16"/>
          <w:szCs w:val="16"/>
        </w:rPr>
        <w:t xml:space="preserve"> arrest</w:t>
      </w:r>
      <w:r w:rsidR="00387B53">
        <w:rPr>
          <w:rFonts w:asciiTheme="majorHAnsi" w:hAnsiTheme="majorHAnsi"/>
          <w:color w:val="auto"/>
          <w:sz w:val="16"/>
          <w:szCs w:val="16"/>
        </w:rPr>
        <w:t xml:space="preserve"> was imposed on the</w:t>
      </w:r>
      <w:r w:rsidR="00E92985">
        <w:rPr>
          <w:rFonts w:asciiTheme="majorHAnsi" w:hAnsiTheme="majorHAnsi"/>
          <w:color w:val="auto"/>
          <w:sz w:val="16"/>
          <w:szCs w:val="16"/>
        </w:rPr>
        <w:t xml:space="preserve"> alleged victims</w:t>
      </w:r>
      <w:r w:rsidR="00387B53" w:rsidRPr="00387B53">
        <w:rPr>
          <w:rFonts w:asciiTheme="majorHAnsi" w:hAnsiTheme="majorHAnsi"/>
          <w:color w:val="auto"/>
          <w:sz w:val="16"/>
          <w:szCs w:val="16"/>
        </w:rPr>
        <w:t xml:space="preserve"> </w:t>
      </w:r>
      <w:r w:rsidR="00387B53">
        <w:rPr>
          <w:rFonts w:asciiTheme="majorHAnsi" w:hAnsiTheme="majorHAnsi"/>
          <w:color w:val="auto"/>
          <w:sz w:val="16"/>
          <w:szCs w:val="16"/>
        </w:rPr>
        <w:t>do not appear in the casefile</w:t>
      </w:r>
      <w:r w:rsidRPr="00A51861">
        <w:rPr>
          <w:rFonts w:asciiTheme="majorHAnsi" w:hAnsiTheme="majorHAnsi"/>
          <w:color w:val="auto"/>
          <w:sz w:val="16"/>
          <w:szCs w:val="16"/>
        </w:rPr>
        <w:t xml:space="preserve">, </w:t>
      </w:r>
      <w:r w:rsidR="00387B53">
        <w:rPr>
          <w:rFonts w:asciiTheme="majorHAnsi" w:hAnsiTheme="majorHAnsi"/>
          <w:color w:val="auto"/>
          <w:sz w:val="16"/>
          <w:szCs w:val="16"/>
        </w:rPr>
        <w:t>the Inter-American Court has referred to this kind of regulations</w:t>
      </w:r>
      <w:r w:rsidRPr="00A51861">
        <w:rPr>
          <w:rFonts w:asciiTheme="majorHAnsi" w:hAnsiTheme="majorHAnsi"/>
          <w:color w:val="auto"/>
          <w:sz w:val="16"/>
          <w:szCs w:val="16"/>
        </w:rPr>
        <w:t>,</w:t>
      </w:r>
      <w:r w:rsidR="00B6596B">
        <w:rPr>
          <w:rFonts w:asciiTheme="majorHAnsi" w:hAnsiTheme="majorHAnsi"/>
          <w:color w:val="auto"/>
          <w:sz w:val="16"/>
          <w:szCs w:val="16"/>
        </w:rPr>
        <w:t xml:space="preserve"> and </w:t>
      </w:r>
      <w:r w:rsidR="00387B53">
        <w:rPr>
          <w:rFonts w:asciiTheme="majorHAnsi" w:hAnsiTheme="majorHAnsi"/>
          <w:color w:val="auto"/>
          <w:sz w:val="16"/>
          <w:szCs w:val="16"/>
        </w:rPr>
        <w:t>the</w:t>
      </w:r>
      <w:r w:rsidRPr="00A51861">
        <w:rPr>
          <w:rFonts w:asciiTheme="majorHAnsi" w:hAnsiTheme="majorHAnsi"/>
          <w:color w:val="auto"/>
          <w:sz w:val="16"/>
          <w:szCs w:val="16"/>
        </w:rPr>
        <w:t xml:space="preserve"> competenci</w:t>
      </w:r>
      <w:r w:rsidR="00387B53">
        <w:rPr>
          <w:rFonts w:asciiTheme="majorHAnsi" w:hAnsiTheme="majorHAnsi"/>
          <w:color w:val="auto"/>
          <w:sz w:val="16"/>
          <w:szCs w:val="16"/>
        </w:rPr>
        <w:t>e</w:t>
      </w:r>
      <w:r w:rsidRPr="00A51861">
        <w:rPr>
          <w:rFonts w:asciiTheme="majorHAnsi" w:hAnsiTheme="majorHAnsi"/>
          <w:color w:val="auto"/>
          <w:sz w:val="16"/>
          <w:szCs w:val="16"/>
        </w:rPr>
        <w:t xml:space="preserve">s </w:t>
      </w:r>
      <w:r w:rsidR="00387B53">
        <w:rPr>
          <w:rFonts w:asciiTheme="majorHAnsi" w:hAnsiTheme="majorHAnsi"/>
          <w:color w:val="auto"/>
          <w:sz w:val="16"/>
          <w:szCs w:val="16"/>
        </w:rPr>
        <w:t>for their issuance holding</w:t>
      </w:r>
      <w:r w:rsidR="00911263">
        <w:rPr>
          <w:rFonts w:asciiTheme="majorHAnsi" w:hAnsiTheme="majorHAnsi"/>
          <w:color w:val="auto"/>
          <w:sz w:val="16"/>
          <w:szCs w:val="16"/>
        </w:rPr>
        <w:t xml:space="preserve"> that the </w:t>
      </w:r>
      <w:r w:rsidR="00387B53" w:rsidRPr="00A51861">
        <w:rPr>
          <w:rFonts w:asciiTheme="majorHAnsi" w:hAnsiTheme="majorHAnsi"/>
          <w:color w:val="auto"/>
          <w:sz w:val="16"/>
          <w:szCs w:val="16"/>
        </w:rPr>
        <w:t>Argentin</w:t>
      </w:r>
      <w:r w:rsidR="00387B53">
        <w:rPr>
          <w:rFonts w:asciiTheme="majorHAnsi" w:hAnsiTheme="majorHAnsi"/>
          <w:color w:val="auto"/>
          <w:sz w:val="16"/>
          <w:szCs w:val="16"/>
        </w:rPr>
        <w:t>e</w:t>
      </w:r>
      <w:r w:rsidR="00387B53" w:rsidRPr="00A51861">
        <w:rPr>
          <w:rFonts w:asciiTheme="majorHAnsi" w:hAnsiTheme="majorHAnsi"/>
          <w:color w:val="auto"/>
          <w:sz w:val="16"/>
          <w:szCs w:val="16"/>
        </w:rPr>
        <w:t xml:space="preserve"> Constitution</w:t>
      </w:r>
      <w:r w:rsidRPr="00A51861">
        <w:rPr>
          <w:rFonts w:asciiTheme="majorHAnsi" w:hAnsiTheme="majorHAnsi"/>
          <w:color w:val="auto"/>
          <w:sz w:val="16"/>
          <w:szCs w:val="16"/>
        </w:rPr>
        <w:t xml:space="preserve"> establ</w:t>
      </w:r>
      <w:r w:rsidR="00387B53">
        <w:rPr>
          <w:rFonts w:asciiTheme="majorHAnsi" w:hAnsiTheme="majorHAnsi"/>
          <w:color w:val="auto"/>
          <w:sz w:val="16"/>
          <w:szCs w:val="16"/>
        </w:rPr>
        <w:t>ishes</w:t>
      </w:r>
      <w:r w:rsidR="00911263">
        <w:rPr>
          <w:rFonts w:asciiTheme="majorHAnsi" w:hAnsiTheme="majorHAnsi"/>
          <w:color w:val="auto"/>
          <w:sz w:val="16"/>
          <w:szCs w:val="16"/>
        </w:rPr>
        <w:t xml:space="preserve"> that </w:t>
      </w:r>
      <w:r w:rsidR="00387B53">
        <w:rPr>
          <w:rFonts w:asciiTheme="majorHAnsi" w:hAnsiTheme="majorHAnsi"/>
          <w:color w:val="auto"/>
          <w:sz w:val="16"/>
          <w:szCs w:val="16"/>
        </w:rPr>
        <w:t>criminal matters concern exclusively the</w:t>
      </w:r>
      <w:r w:rsidRPr="00A51861">
        <w:rPr>
          <w:rFonts w:asciiTheme="majorHAnsi" w:hAnsiTheme="majorHAnsi"/>
          <w:color w:val="auto"/>
          <w:sz w:val="16"/>
          <w:szCs w:val="16"/>
        </w:rPr>
        <w:t xml:space="preserve"> Congres</w:t>
      </w:r>
      <w:r w:rsidR="00387B53">
        <w:rPr>
          <w:rFonts w:asciiTheme="majorHAnsi" w:hAnsiTheme="majorHAnsi"/>
          <w:color w:val="auto"/>
          <w:sz w:val="16"/>
          <w:szCs w:val="16"/>
        </w:rPr>
        <w:t>s</w:t>
      </w:r>
      <w:r w:rsidR="00061928">
        <w:rPr>
          <w:rFonts w:asciiTheme="majorHAnsi" w:hAnsiTheme="majorHAnsi"/>
          <w:color w:val="auto"/>
          <w:sz w:val="16"/>
          <w:szCs w:val="16"/>
        </w:rPr>
        <w:t xml:space="preserve"> </w:t>
      </w:r>
      <w:r w:rsidR="004E56A9">
        <w:rPr>
          <w:rFonts w:asciiTheme="majorHAnsi" w:hAnsiTheme="majorHAnsi"/>
          <w:color w:val="auto"/>
          <w:sz w:val="16"/>
          <w:szCs w:val="16"/>
        </w:rPr>
        <w:t>of the Nation</w:t>
      </w:r>
      <w:r w:rsidRPr="00A51861">
        <w:rPr>
          <w:rFonts w:asciiTheme="majorHAnsi" w:hAnsiTheme="majorHAnsi"/>
          <w:color w:val="auto"/>
          <w:sz w:val="16"/>
          <w:szCs w:val="16"/>
        </w:rPr>
        <w:t xml:space="preserve">, </w:t>
      </w:r>
      <w:r w:rsidR="00387B53">
        <w:rPr>
          <w:rFonts w:asciiTheme="majorHAnsi" w:hAnsiTheme="majorHAnsi"/>
          <w:color w:val="auto"/>
          <w:sz w:val="16"/>
          <w:szCs w:val="16"/>
        </w:rPr>
        <w:t>but on</w:t>
      </w:r>
      <w:r w:rsidRPr="00A51861">
        <w:rPr>
          <w:rFonts w:asciiTheme="majorHAnsi" w:hAnsiTheme="majorHAnsi"/>
          <w:color w:val="auto"/>
          <w:sz w:val="16"/>
          <w:szCs w:val="16"/>
        </w:rPr>
        <w:t xml:space="preserve"> </w:t>
      </w:r>
      <w:r w:rsidR="00387B53" w:rsidRPr="00A51861">
        <w:rPr>
          <w:rFonts w:asciiTheme="majorHAnsi" w:hAnsiTheme="majorHAnsi"/>
          <w:color w:val="auto"/>
          <w:sz w:val="16"/>
          <w:szCs w:val="16"/>
        </w:rPr>
        <w:t>contravention</w:t>
      </w:r>
      <w:r w:rsidR="000010D0">
        <w:rPr>
          <w:rFonts w:asciiTheme="majorHAnsi" w:hAnsiTheme="majorHAnsi"/>
          <w:color w:val="auto"/>
          <w:sz w:val="16"/>
          <w:szCs w:val="16"/>
        </w:rPr>
        <w:t xml:space="preserve"> matters</w:t>
      </w:r>
      <w:r w:rsidRPr="00A51861">
        <w:rPr>
          <w:rFonts w:asciiTheme="majorHAnsi" w:hAnsiTheme="majorHAnsi"/>
          <w:color w:val="auto"/>
          <w:sz w:val="16"/>
          <w:szCs w:val="16"/>
        </w:rPr>
        <w:t xml:space="preserve"> </w:t>
      </w:r>
      <w:r w:rsidR="000010D0">
        <w:rPr>
          <w:rFonts w:asciiTheme="majorHAnsi" w:hAnsiTheme="majorHAnsi"/>
          <w:color w:val="auto"/>
          <w:sz w:val="16"/>
          <w:szCs w:val="16"/>
        </w:rPr>
        <w:t>it has been preserved by</w:t>
      </w:r>
      <w:r w:rsidRPr="00A51861">
        <w:rPr>
          <w:rFonts w:asciiTheme="majorHAnsi" w:hAnsiTheme="majorHAnsi"/>
          <w:color w:val="auto"/>
          <w:sz w:val="16"/>
          <w:szCs w:val="16"/>
        </w:rPr>
        <w:t xml:space="preserve"> </w:t>
      </w:r>
      <w:r w:rsidR="000010D0" w:rsidRPr="00A51861">
        <w:rPr>
          <w:rFonts w:asciiTheme="majorHAnsi" w:hAnsiTheme="majorHAnsi"/>
          <w:color w:val="auto"/>
          <w:sz w:val="16"/>
          <w:szCs w:val="16"/>
        </w:rPr>
        <w:t>provinc</w:t>
      </w:r>
      <w:r w:rsidR="000010D0">
        <w:rPr>
          <w:rFonts w:asciiTheme="majorHAnsi" w:hAnsiTheme="majorHAnsi"/>
          <w:color w:val="auto"/>
          <w:sz w:val="16"/>
          <w:szCs w:val="16"/>
        </w:rPr>
        <w:t>e</w:t>
      </w:r>
      <w:r w:rsidR="000010D0" w:rsidRPr="00A51861">
        <w:rPr>
          <w:rFonts w:asciiTheme="majorHAnsi" w:hAnsiTheme="majorHAnsi"/>
          <w:color w:val="auto"/>
          <w:sz w:val="16"/>
          <w:szCs w:val="16"/>
        </w:rPr>
        <w:t xml:space="preserve"> jurisdictions</w:t>
      </w:r>
      <w:r w:rsidRPr="00A51861">
        <w:rPr>
          <w:rFonts w:asciiTheme="majorHAnsi" w:hAnsiTheme="majorHAnsi"/>
          <w:color w:val="auto"/>
          <w:sz w:val="16"/>
          <w:szCs w:val="16"/>
        </w:rPr>
        <w:t xml:space="preserve">, </w:t>
      </w:r>
      <w:r w:rsidR="000010D0">
        <w:rPr>
          <w:rFonts w:asciiTheme="majorHAnsi" w:hAnsiTheme="majorHAnsi"/>
          <w:color w:val="auto"/>
          <w:sz w:val="16"/>
          <w:szCs w:val="16"/>
        </w:rPr>
        <w:t xml:space="preserve">in </w:t>
      </w:r>
      <w:r w:rsidR="000010D0" w:rsidRPr="00A51861">
        <w:rPr>
          <w:rFonts w:asciiTheme="majorHAnsi" w:hAnsiTheme="majorHAnsi"/>
          <w:color w:val="auto"/>
          <w:sz w:val="16"/>
          <w:szCs w:val="16"/>
        </w:rPr>
        <w:t>application</w:t>
      </w:r>
      <w:r w:rsidRPr="00A51861">
        <w:rPr>
          <w:rFonts w:asciiTheme="majorHAnsi" w:hAnsiTheme="majorHAnsi"/>
          <w:color w:val="auto"/>
          <w:sz w:val="16"/>
          <w:szCs w:val="16"/>
        </w:rPr>
        <w:t xml:space="preserve"> </w:t>
      </w:r>
      <w:r w:rsidR="000010D0">
        <w:rPr>
          <w:rFonts w:asciiTheme="majorHAnsi" w:hAnsiTheme="majorHAnsi"/>
          <w:color w:val="auto"/>
          <w:sz w:val="16"/>
          <w:szCs w:val="16"/>
        </w:rPr>
        <w:t>of</w:t>
      </w:r>
      <w:r w:rsidRPr="00A51861">
        <w:rPr>
          <w:rFonts w:asciiTheme="majorHAnsi" w:hAnsiTheme="majorHAnsi"/>
          <w:color w:val="auto"/>
          <w:sz w:val="16"/>
          <w:szCs w:val="16"/>
        </w:rPr>
        <w:t xml:space="preserve"> </w:t>
      </w:r>
      <w:r w:rsidR="0029564F">
        <w:rPr>
          <w:rFonts w:asciiTheme="majorHAnsi" w:hAnsiTheme="majorHAnsi"/>
          <w:color w:val="auto"/>
          <w:sz w:val="16"/>
          <w:szCs w:val="16"/>
        </w:rPr>
        <w:t>article</w:t>
      </w:r>
      <w:r w:rsidRPr="00A51861">
        <w:rPr>
          <w:rFonts w:asciiTheme="majorHAnsi" w:hAnsiTheme="majorHAnsi"/>
          <w:color w:val="auto"/>
          <w:sz w:val="16"/>
          <w:szCs w:val="16"/>
        </w:rPr>
        <w:t xml:space="preserve"> 121</w:t>
      </w:r>
      <w:r w:rsidR="00061928">
        <w:rPr>
          <w:rFonts w:asciiTheme="majorHAnsi" w:hAnsiTheme="majorHAnsi"/>
          <w:color w:val="auto"/>
          <w:sz w:val="16"/>
          <w:szCs w:val="16"/>
        </w:rPr>
        <w:t xml:space="preserve"> of the </w:t>
      </w:r>
      <w:r w:rsidR="000010D0" w:rsidRPr="00A51861">
        <w:rPr>
          <w:rFonts w:asciiTheme="majorHAnsi" w:hAnsiTheme="majorHAnsi"/>
          <w:color w:val="auto"/>
          <w:sz w:val="16"/>
          <w:szCs w:val="16"/>
        </w:rPr>
        <w:t>Constitution</w:t>
      </w:r>
      <w:r w:rsidRPr="00A51861">
        <w:rPr>
          <w:rFonts w:asciiTheme="majorHAnsi" w:hAnsiTheme="majorHAnsi"/>
          <w:color w:val="auto"/>
          <w:sz w:val="16"/>
          <w:szCs w:val="16"/>
        </w:rPr>
        <w:t xml:space="preserve">. </w:t>
      </w:r>
      <w:r w:rsidR="000010D0">
        <w:rPr>
          <w:rFonts w:asciiTheme="majorHAnsi" w:hAnsiTheme="majorHAnsi"/>
          <w:color w:val="auto"/>
          <w:sz w:val="16"/>
          <w:szCs w:val="16"/>
        </w:rPr>
        <w:t>Likewise</w:t>
      </w:r>
      <w:r w:rsidRPr="00A51861">
        <w:rPr>
          <w:rFonts w:asciiTheme="majorHAnsi" w:hAnsiTheme="majorHAnsi"/>
          <w:color w:val="auto"/>
          <w:sz w:val="16"/>
          <w:szCs w:val="16"/>
        </w:rPr>
        <w:t xml:space="preserve">, </w:t>
      </w:r>
      <w:r w:rsidR="000010D0">
        <w:rPr>
          <w:rFonts w:asciiTheme="majorHAnsi" w:hAnsiTheme="majorHAnsi"/>
          <w:color w:val="auto"/>
          <w:sz w:val="16"/>
          <w:szCs w:val="16"/>
        </w:rPr>
        <w:t>it has held that</w:t>
      </w:r>
      <w:r w:rsidR="00911263">
        <w:rPr>
          <w:rFonts w:asciiTheme="majorHAnsi" w:hAnsiTheme="majorHAnsi"/>
          <w:color w:val="auto"/>
          <w:sz w:val="16"/>
          <w:szCs w:val="16"/>
        </w:rPr>
        <w:t xml:space="preserve"> the </w:t>
      </w:r>
      <w:r w:rsidRPr="00A51861">
        <w:rPr>
          <w:rFonts w:asciiTheme="majorHAnsi" w:hAnsiTheme="majorHAnsi"/>
          <w:color w:val="auto"/>
          <w:sz w:val="16"/>
          <w:szCs w:val="16"/>
        </w:rPr>
        <w:t>Ci</w:t>
      </w:r>
      <w:r w:rsidR="00FA2E7B">
        <w:rPr>
          <w:rFonts w:asciiTheme="majorHAnsi" w:hAnsiTheme="majorHAnsi"/>
          <w:color w:val="auto"/>
          <w:sz w:val="16"/>
          <w:szCs w:val="16"/>
        </w:rPr>
        <w:t xml:space="preserve">ty </w:t>
      </w:r>
      <w:r w:rsidR="000010D0">
        <w:rPr>
          <w:rFonts w:asciiTheme="majorHAnsi" w:hAnsiTheme="majorHAnsi"/>
          <w:color w:val="auto"/>
          <w:sz w:val="16"/>
          <w:szCs w:val="16"/>
        </w:rPr>
        <w:t>of</w:t>
      </w:r>
      <w:r w:rsidRPr="00A51861">
        <w:rPr>
          <w:rFonts w:asciiTheme="majorHAnsi" w:hAnsiTheme="majorHAnsi"/>
          <w:color w:val="auto"/>
          <w:sz w:val="16"/>
          <w:szCs w:val="16"/>
        </w:rPr>
        <w:t xml:space="preserve"> Buenos Aires </w:t>
      </w:r>
      <w:r w:rsidR="000010D0">
        <w:rPr>
          <w:rFonts w:asciiTheme="majorHAnsi" w:hAnsiTheme="majorHAnsi"/>
          <w:color w:val="auto"/>
          <w:sz w:val="16"/>
          <w:szCs w:val="16"/>
        </w:rPr>
        <w:t>has</w:t>
      </w:r>
      <w:r w:rsidRPr="00A51861">
        <w:rPr>
          <w:rFonts w:asciiTheme="majorHAnsi" w:hAnsiTheme="majorHAnsi"/>
          <w:color w:val="auto"/>
          <w:sz w:val="16"/>
          <w:szCs w:val="16"/>
        </w:rPr>
        <w:t xml:space="preserve"> “</w:t>
      </w:r>
      <w:r w:rsidR="000010D0">
        <w:rPr>
          <w:rFonts w:asciiTheme="majorHAnsi" w:hAnsiTheme="majorHAnsi"/>
          <w:color w:val="auto"/>
          <w:sz w:val="16"/>
          <w:szCs w:val="16"/>
        </w:rPr>
        <w:t>an autonomous government regime</w:t>
      </w:r>
      <w:r w:rsidRPr="00A51861">
        <w:rPr>
          <w:rFonts w:asciiTheme="majorHAnsi" w:hAnsiTheme="majorHAnsi"/>
          <w:color w:val="auto"/>
          <w:sz w:val="16"/>
          <w:szCs w:val="16"/>
        </w:rPr>
        <w:t xml:space="preserve"> </w:t>
      </w:r>
      <w:r w:rsidR="000010D0">
        <w:rPr>
          <w:rFonts w:asciiTheme="majorHAnsi" w:hAnsiTheme="majorHAnsi"/>
          <w:color w:val="auto"/>
          <w:sz w:val="16"/>
          <w:szCs w:val="16"/>
        </w:rPr>
        <w:t>with own</w:t>
      </w:r>
      <w:r w:rsidRPr="00A51861">
        <w:rPr>
          <w:rFonts w:asciiTheme="majorHAnsi" w:hAnsiTheme="majorHAnsi"/>
          <w:color w:val="auto"/>
          <w:sz w:val="16"/>
          <w:szCs w:val="16"/>
        </w:rPr>
        <w:t xml:space="preserve"> </w:t>
      </w:r>
      <w:r w:rsidR="000010D0" w:rsidRPr="00A51861">
        <w:rPr>
          <w:rFonts w:asciiTheme="majorHAnsi" w:hAnsiTheme="majorHAnsi"/>
          <w:color w:val="auto"/>
          <w:sz w:val="16"/>
          <w:szCs w:val="16"/>
        </w:rPr>
        <w:t>legislation</w:t>
      </w:r>
      <w:r w:rsidR="00B6596B">
        <w:rPr>
          <w:rFonts w:asciiTheme="majorHAnsi" w:hAnsiTheme="majorHAnsi"/>
          <w:color w:val="auto"/>
          <w:sz w:val="16"/>
          <w:szCs w:val="16"/>
        </w:rPr>
        <w:t xml:space="preserve"> and </w:t>
      </w:r>
      <w:r w:rsidR="000010D0" w:rsidRPr="00A51861">
        <w:rPr>
          <w:rFonts w:asciiTheme="majorHAnsi" w:hAnsiTheme="majorHAnsi"/>
          <w:color w:val="auto"/>
          <w:sz w:val="16"/>
          <w:szCs w:val="16"/>
        </w:rPr>
        <w:t>jurisdiction</w:t>
      </w:r>
      <w:r w:rsidR="000010D0">
        <w:rPr>
          <w:rFonts w:asciiTheme="majorHAnsi" w:hAnsiTheme="majorHAnsi"/>
          <w:color w:val="auto"/>
          <w:sz w:val="16"/>
          <w:szCs w:val="16"/>
        </w:rPr>
        <w:t xml:space="preserve"> powers</w:t>
      </w:r>
      <w:r w:rsidRPr="00A51861">
        <w:rPr>
          <w:rFonts w:asciiTheme="majorHAnsi" w:hAnsiTheme="majorHAnsi"/>
          <w:color w:val="auto"/>
          <w:sz w:val="16"/>
          <w:szCs w:val="16"/>
        </w:rPr>
        <w:t xml:space="preserve"> […]”. </w:t>
      </w:r>
      <w:r w:rsidR="00036743">
        <w:rPr>
          <w:rFonts w:asciiTheme="majorHAnsi" w:hAnsiTheme="majorHAnsi"/>
          <w:color w:val="auto"/>
          <w:sz w:val="16"/>
          <w:szCs w:val="16"/>
        </w:rPr>
        <w:t>IHR Court</w:t>
      </w:r>
      <w:r w:rsidRPr="00A51861">
        <w:rPr>
          <w:rFonts w:asciiTheme="majorHAnsi" w:hAnsiTheme="majorHAnsi"/>
          <w:color w:val="auto"/>
          <w:sz w:val="16"/>
          <w:szCs w:val="16"/>
        </w:rPr>
        <w:t xml:space="preserve">. </w:t>
      </w:r>
      <w:r w:rsidR="00B6596B">
        <w:rPr>
          <w:rFonts w:asciiTheme="majorHAnsi" w:hAnsiTheme="majorHAnsi"/>
          <w:color w:val="auto"/>
          <w:sz w:val="16"/>
          <w:szCs w:val="16"/>
        </w:rPr>
        <w:t xml:space="preserve">Case </w:t>
      </w:r>
      <w:r w:rsidR="000010D0">
        <w:rPr>
          <w:rFonts w:asciiTheme="majorHAnsi" w:hAnsiTheme="majorHAnsi"/>
          <w:color w:val="auto"/>
          <w:sz w:val="16"/>
          <w:szCs w:val="16"/>
        </w:rPr>
        <w:t xml:space="preserve">of </w:t>
      </w:r>
      <w:r w:rsidRPr="00A51861">
        <w:rPr>
          <w:rFonts w:asciiTheme="majorHAnsi" w:hAnsiTheme="majorHAnsi"/>
          <w:color w:val="auto"/>
          <w:sz w:val="16"/>
          <w:szCs w:val="16"/>
        </w:rPr>
        <w:t>Acosta Martínez</w:t>
      </w:r>
      <w:r w:rsidR="00B6596B">
        <w:rPr>
          <w:rFonts w:asciiTheme="majorHAnsi" w:hAnsiTheme="majorHAnsi"/>
          <w:color w:val="auto"/>
          <w:sz w:val="16"/>
          <w:szCs w:val="16"/>
        </w:rPr>
        <w:t xml:space="preserve"> </w:t>
      </w:r>
      <w:r w:rsidR="00357129">
        <w:rPr>
          <w:rFonts w:asciiTheme="majorHAnsi" w:hAnsiTheme="majorHAnsi"/>
          <w:color w:val="auto"/>
          <w:sz w:val="16"/>
          <w:szCs w:val="16"/>
        </w:rPr>
        <w:t xml:space="preserve">and others </w:t>
      </w:r>
      <w:r w:rsidRPr="00A51861">
        <w:rPr>
          <w:rFonts w:asciiTheme="majorHAnsi" w:hAnsiTheme="majorHAnsi"/>
          <w:color w:val="auto"/>
          <w:sz w:val="16"/>
          <w:szCs w:val="16"/>
        </w:rPr>
        <w:t xml:space="preserve">Vs. Argentina. </w:t>
      </w:r>
      <w:r w:rsidR="00B6596B">
        <w:rPr>
          <w:rFonts w:asciiTheme="majorHAnsi" w:hAnsiTheme="majorHAnsi"/>
          <w:color w:val="auto"/>
          <w:sz w:val="16"/>
          <w:szCs w:val="16"/>
        </w:rPr>
        <w:t>Merits</w:t>
      </w:r>
      <w:r w:rsidRPr="00A51861">
        <w:rPr>
          <w:rFonts w:asciiTheme="majorHAnsi" w:hAnsiTheme="majorHAnsi"/>
          <w:color w:val="auto"/>
          <w:sz w:val="16"/>
          <w:szCs w:val="16"/>
        </w:rPr>
        <w:t xml:space="preserve">, </w:t>
      </w:r>
      <w:r w:rsidR="00357129">
        <w:rPr>
          <w:rFonts w:asciiTheme="majorHAnsi" w:hAnsiTheme="majorHAnsi"/>
          <w:color w:val="auto"/>
          <w:sz w:val="16"/>
          <w:szCs w:val="16"/>
        </w:rPr>
        <w:t>Reparations and Costs</w:t>
      </w:r>
      <w:r w:rsidRPr="00A51861">
        <w:rPr>
          <w:rFonts w:asciiTheme="majorHAnsi" w:hAnsiTheme="majorHAnsi"/>
          <w:color w:val="auto"/>
          <w:sz w:val="16"/>
          <w:szCs w:val="16"/>
        </w:rPr>
        <w:t xml:space="preserve">. </w:t>
      </w:r>
      <w:r w:rsidR="004E56A9">
        <w:rPr>
          <w:rFonts w:asciiTheme="majorHAnsi" w:hAnsiTheme="majorHAnsi"/>
          <w:color w:val="auto"/>
          <w:sz w:val="16"/>
          <w:szCs w:val="16"/>
        </w:rPr>
        <w:t>Judgment</w:t>
      </w:r>
      <w:r w:rsidRPr="00A51861">
        <w:rPr>
          <w:rFonts w:asciiTheme="majorHAnsi" w:hAnsiTheme="majorHAnsi"/>
          <w:color w:val="auto"/>
          <w:sz w:val="16"/>
          <w:szCs w:val="16"/>
        </w:rPr>
        <w:t xml:space="preserve"> </w:t>
      </w:r>
      <w:r w:rsidR="00357129">
        <w:rPr>
          <w:rFonts w:asciiTheme="majorHAnsi" w:hAnsiTheme="majorHAnsi"/>
          <w:color w:val="auto"/>
          <w:sz w:val="16"/>
          <w:szCs w:val="16"/>
        </w:rPr>
        <w:t xml:space="preserve">of August 31, </w:t>
      </w:r>
      <w:r w:rsidRPr="00A51861">
        <w:rPr>
          <w:rFonts w:asciiTheme="majorHAnsi" w:hAnsiTheme="majorHAnsi"/>
          <w:color w:val="auto"/>
          <w:sz w:val="16"/>
          <w:szCs w:val="16"/>
        </w:rPr>
        <w:t>2020.</w:t>
      </w:r>
    </w:p>
  </w:footnote>
  <w:footnote w:id="165">
    <w:p w14:paraId="59CEDC59" w14:textId="6D80D8C8"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036743">
        <w:rPr>
          <w:rFonts w:asciiTheme="majorHAnsi" w:hAnsiTheme="majorHAnsi"/>
          <w:color w:val="auto"/>
          <w:sz w:val="16"/>
          <w:szCs w:val="16"/>
        </w:rPr>
        <w:t>IHR Court</w:t>
      </w:r>
      <w:r w:rsidRPr="00A51861">
        <w:rPr>
          <w:rFonts w:asciiTheme="majorHAnsi" w:hAnsiTheme="majorHAnsi"/>
          <w:color w:val="auto"/>
          <w:sz w:val="16"/>
          <w:szCs w:val="16"/>
        </w:rPr>
        <w:t xml:space="preserve">. </w:t>
      </w:r>
      <w:r w:rsidR="00B6596B">
        <w:rPr>
          <w:rFonts w:asciiTheme="majorHAnsi" w:hAnsiTheme="majorHAnsi"/>
          <w:color w:val="auto"/>
          <w:sz w:val="16"/>
          <w:szCs w:val="16"/>
        </w:rPr>
        <w:t xml:space="preserve">Case </w:t>
      </w:r>
      <w:r w:rsidRPr="00A51861">
        <w:rPr>
          <w:rFonts w:asciiTheme="majorHAnsi" w:hAnsiTheme="majorHAnsi"/>
          <w:color w:val="auto"/>
          <w:sz w:val="16"/>
          <w:szCs w:val="16"/>
        </w:rPr>
        <w:t>Acosta Martínez</w:t>
      </w:r>
      <w:r w:rsidR="00B6596B">
        <w:rPr>
          <w:rFonts w:asciiTheme="majorHAnsi" w:hAnsiTheme="majorHAnsi"/>
          <w:color w:val="auto"/>
          <w:sz w:val="16"/>
          <w:szCs w:val="16"/>
        </w:rPr>
        <w:t xml:space="preserve"> </w:t>
      </w:r>
      <w:r w:rsidR="00357129">
        <w:rPr>
          <w:rFonts w:asciiTheme="majorHAnsi" w:hAnsiTheme="majorHAnsi"/>
          <w:color w:val="auto"/>
          <w:sz w:val="16"/>
          <w:szCs w:val="16"/>
        </w:rPr>
        <w:t xml:space="preserve">and others </w:t>
      </w:r>
      <w:r w:rsidRPr="00A51861">
        <w:rPr>
          <w:rFonts w:asciiTheme="majorHAnsi" w:hAnsiTheme="majorHAnsi"/>
          <w:color w:val="auto"/>
          <w:sz w:val="16"/>
          <w:szCs w:val="16"/>
        </w:rPr>
        <w:t xml:space="preserve">Vs. Argentina. </w:t>
      </w:r>
      <w:r w:rsidR="00B6596B">
        <w:rPr>
          <w:rFonts w:asciiTheme="majorHAnsi" w:hAnsiTheme="majorHAnsi"/>
          <w:color w:val="auto"/>
          <w:sz w:val="16"/>
          <w:szCs w:val="16"/>
        </w:rPr>
        <w:t>Merits</w:t>
      </w:r>
      <w:r w:rsidRPr="00A51861">
        <w:rPr>
          <w:rFonts w:asciiTheme="majorHAnsi" w:hAnsiTheme="majorHAnsi"/>
          <w:color w:val="auto"/>
          <w:sz w:val="16"/>
          <w:szCs w:val="16"/>
        </w:rPr>
        <w:t xml:space="preserve">, </w:t>
      </w:r>
      <w:r w:rsidR="00357129">
        <w:rPr>
          <w:rFonts w:asciiTheme="majorHAnsi" w:hAnsiTheme="majorHAnsi"/>
          <w:color w:val="auto"/>
          <w:sz w:val="16"/>
          <w:szCs w:val="16"/>
        </w:rPr>
        <w:t>Reparations and Costs</w:t>
      </w:r>
      <w:r w:rsidRPr="00A51861">
        <w:rPr>
          <w:rFonts w:asciiTheme="majorHAnsi" w:hAnsiTheme="majorHAnsi"/>
          <w:color w:val="auto"/>
          <w:sz w:val="16"/>
          <w:szCs w:val="16"/>
        </w:rPr>
        <w:t xml:space="preserve">. </w:t>
      </w:r>
      <w:r w:rsidR="004E56A9">
        <w:rPr>
          <w:rFonts w:asciiTheme="majorHAnsi" w:hAnsiTheme="majorHAnsi"/>
          <w:color w:val="auto"/>
          <w:sz w:val="16"/>
          <w:szCs w:val="16"/>
        </w:rPr>
        <w:t>Judgment</w:t>
      </w:r>
      <w:r w:rsidRPr="00A51861">
        <w:rPr>
          <w:rFonts w:asciiTheme="majorHAnsi" w:hAnsiTheme="majorHAnsi"/>
          <w:color w:val="auto"/>
          <w:sz w:val="16"/>
          <w:szCs w:val="16"/>
        </w:rPr>
        <w:t xml:space="preserve"> </w:t>
      </w:r>
      <w:r w:rsidR="00357129">
        <w:rPr>
          <w:rFonts w:asciiTheme="majorHAnsi" w:hAnsiTheme="majorHAnsi"/>
          <w:color w:val="auto"/>
          <w:sz w:val="16"/>
          <w:szCs w:val="16"/>
        </w:rPr>
        <w:t xml:space="preserve">of August 31, </w:t>
      </w:r>
      <w:r w:rsidRPr="00A51861">
        <w:rPr>
          <w:rFonts w:asciiTheme="majorHAnsi" w:hAnsiTheme="majorHAnsi"/>
          <w:color w:val="auto"/>
          <w:sz w:val="16"/>
          <w:szCs w:val="16"/>
        </w:rPr>
        <w:t>2020.</w:t>
      </w:r>
    </w:p>
  </w:footnote>
  <w:footnote w:id="166">
    <w:p w14:paraId="6FE81713" w14:textId="1BB17FE1"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036743">
        <w:rPr>
          <w:rFonts w:asciiTheme="majorHAnsi" w:hAnsiTheme="majorHAnsi"/>
          <w:color w:val="auto"/>
          <w:sz w:val="16"/>
          <w:szCs w:val="16"/>
        </w:rPr>
        <w:t>IHR Court</w:t>
      </w:r>
      <w:r w:rsidRPr="00A51861">
        <w:rPr>
          <w:rFonts w:asciiTheme="majorHAnsi" w:hAnsiTheme="majorHAnsi"/>
          <w:color w:val="auto"/>
          <w:sz w:val="16"/>
          <w:szCs w:val="16"/>
        </w:rPr>
        <w:t xml:space="preserve">. </w:t>
      </w:r>
      <w:r w:rsidR="00B6596B">
        <w:rPr>
          <w:rFonts w:asciiTheme="majorHAnsi" w:hAnsiTheme="majorHAnsi"/>
          <w:color w:val="auto"/>
          <w:sz w:val="16"/>
          <w:szCs w:val="16"/>
        </w:rPr>
        <w:t xml:space="preserve">Case </w:t>
      </w:r>
      <w:r w:rsidRPr="00A51861">
        <w:rPr>
          <w:rFonts w:asciiTheme="majorHAnsi" w:hAnsiTheme="majorHAnsi"/>
          <w:color w:val="auto"/>
          <w:sz w:val="16"/>
          <w:szCs w:val="16"/>
        </w:rPr>
        <w:t>Acosta Martínez</w:t>
      </w:r>
      <w:r w:rsidR="00B6596B">
        <w:rPr>
          <w:rFonts w:asciiTheme="majorHAnsi" w:hAnsiTheme="majorHAnsi"/>
          <w:color w:val="auto"/>
          <w:sz w:val="16"/>
          <w:szCs w:val="16"/>
        </w:rPr>
        <w:t xml:space="preserve"> </w:t>
      </w:r>
      <w:r w:rsidR="00357129">
        <w:rPr>
          <w:rFonts w:asciiTheme="majorHAnsi" w:hAnsiTheme="majorHAnsi"/>
          <w:color w:val="auto"/>
          <w:sz w:val="16"/>
          <w:szCs w:val="16"/>
        </w:rPr>
        <w:t xml:space="preserve">and others </w:t>
      </w:r>
      <w:r w:rsidRPr="00A51861">
        <w:rPr>
          <w:rFonts w:asciiTheme="majorHAnsi" w:hAnsiTheme="majorHAnsi"/>
          <w:color w:val="auto"/>
          <w:sz w:val="16"/>
          <w:szCs w:val="16"/>
        </w:rPr>
        <w:t xml:space="preserve">Vs. Argentina. </w:t>
      </w:r>
      <w:r w:rsidR="00B6596B">
        <w:rPr>
          <w:rFonts w:asciiTheme="majorHAnsi" w:hAnsiTheme="majorHAnsi"/>
          <w:color w:val="auto"/>
          <w:sz w:val="16"/>
          <w:szCs w:val="16"/>
        </w:rPr>
        <w:t>Merits</w:t>
      </w:r>
      <w:r w:rsidRPr="00A51861">
        <w:rPr>
          <w:rFonts w:asciiTheme="majorHAnsi" w:hAnsiTheme="majorHAnsi"/>
          <w:color w:val="auto"/>
          <w:sz w:val="16"/>
          <w:szCs w:val="16"/>
        </w:rPr>
        <w:t xml:space="preserve">, </w:t>
      </w:r>
      <w:r w:rsidR="00357129">
        <w:rPr>
          <w:rFonts w:asciiTheme="majorHAnsi" w:hAnsiTheme="majorHAnsi"/>
          <w:color w:val="auto"/>
          <w:sz w:val="16"/>
          <w:szCs w:val="16"/>
        </w:rPr>
        <w:t>Reparations and Costs</w:t>
      </w:r>
      <w:r w:rsidRPr="00A51861">
        <w:rPr>
          <w:rFonts w:asciiTheme="majorHAnsi" w:hAnsiTheme="majorHAnsi"/>
          <w:color w:val="auto"/>
          <w:sz w:val="16"/>
          <w:szCs w:val="16"/>
        </w:rPr>
        <w:t xml:space="preserve">. </w:t>
      </w:r>
      <w:r w:rsidR="004E56A9">
        <w:rPr>
          <w:rFonts w:asciiTheme="majorHAnsi" w:hAnsiTheme="majorHAnsi"/>
          <w:color w:val="auto"/>
          <w:sz w:val="16"/>
          <w:szCs w:val="16"/>
        </w:rPr>
        <w:t>Judgment</w:t>
      </w:r>
      <w:r w:rsidRPr="00A51861">
        <w:rPr>
          <w:rFonts w:asciiTheme="majorHAnsi" w:hAnsiTheme="majorHAnsi"/>
          <w:color w:val="auto"/>
          <w:sz w:val="16"/>
          <w:szCs w:val="16"/>
        </w:rPr>
        <w:t xml:space="preserve"> </w:t>
      </w:r>
      <w:r w:rsidR="00357129">
        <w:rPr>
          <w:rFonts w:asciiTheme="majorHAnsi" w:hAnsiTheme="majorHAnsi"/>
          <w:color w:val="auto"/>
          <w:sz w:val="16"/>
          <w:szCs w:val="16"/>
        </w:rPr>
        <w:t xml:space="preserve">of August 31, </w:t>
      </w:r>
      <w:r w:rsidRPr="00A51861">
        <w:rPr>
          <w:rFonts w:asciiTheme="majorHAnsi" w:hAnsiTheme="majorHAnsi"/>
          <w:color w:val="auto"/>
          <w:sz w:val="16"/>
          <w:szCs w:val="16"/>
        </w:rPr>
        <w:t>2020.</w:t>
      </w:r>
    </w:p>
  </w:footnote>
  <w:footnote w:id="167">
    <w:p w14:paraId="35CA1E74" w14:textId="23D2F2BD"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036743">
        <w:rPr>
          <w:rFonts w:asciiTheme="majorHAnsi" w:hAnsiTheme="majorHAnsi"/>
          <w:color w:val="auto"/>
          <w:sz w:val="16"/>
          <w:szCs w:val="16"/>
        </w:rPr>
        <w:t>IHR Court</w:t>
      </w:r>
      <w:r w:rsidRPr="00A51861">
        <w:rPr>
          <w:rFonts w:asciiTheme="majorHAnsi" w:hAnsiTheme="majorHAnsi"/>
          <w:color w:val="auto"/>
          <w:sz w:val="16"/>
          <w:szCs w:val="16"/>
        </w:rPr>
        <w:t xml:space="preserve">. </w:t>
      </w:r>
      <w:r w:rsidR="00B6596B">
        <w:rPr>
          <w:rFonts w:asciiTheme="majorHAnsi" w:hAnsiTheme="majorHAnsi"/>
          <w:color w:val="auto"/>
          <w:sz w:val="16"/>
          <w:szCs w:val="16"/>
        </w:rPr>
        <w:t xml:space="preserve">Case </w:t>
      </w:r>
      <w:r w:rsidRPr="00A51861">
        <w:rPr>
          <w:rFonts w:asciiTheme="majorHAnsi" w:hAnsiTheme="majorHAnsi"/>
          <w:color w:val="auto"/>
          <w:sz w:val="16"/>
          <w:szCs w:val="16"/>
        </w:rPr>
        <w:t>Acosta Martínez</w:t>
      </w:r>
      <w:r w:rsidR="00B6596B">
        <w:rPr>
          <w:rFonts w:asciiTheme="majorHAnsi" w:hAnsiTheme="majorHAnsi"/>
          <w:color w:val="auto"/>
          <w:sz w:val="16"/>
          <w:szCs w:val="16"/>
        </w:rPr>
        <w:t xml:space="preserve"> </w:t>
      </w:r>
      <w:r w:rsidR="00357129">
        <w:rPr>
          <w:rFonts w:asciiTheme="majorHAnsi" w:hAnsiTheme="majorHAnsi"/>
          <w:color w:val="auto"/>
          <w:sz w:val="16"/>
          <w:szCs w:val="16"/>
        </w:rPr>
        <w:t xml:space="preserve">and others </w:t>
      </w:r>
      <w:r w:rsidRPr="00A51861">
        <w:rPr>
          <w:rFonts w:asciiTheme="majorHAnsi" w:hAnsiTheme="majorHAnsi"/>
          <w:color w:val="auto"/>
          <w:sz w:val="16"/>
          <w:szCs w:val="16"/>
        </w:rPr>
        <w:t xml:space="preserve">Vs. Argentina. </w:t>
      </w:r>
      <w:r w:rsidR="00B6596B">
        <w:rPr>
          <w:rFonts w:asciiTheme="majorHAnsi" w:hAnsiTheme="majorHAnsi"/>
          <w:color w:val="auto"/>
          <w:sz w:val="16"/>
          <w:szCs w:val="16"/>
        </w:rPr>
        <w:t>Merits</w:t>
      </w:r>
      <w:r w:rsidRPr="00A51861">
        <w:rPr>
          <w:rFonts w:asciiTheme="majorHAnsi" w:hAnsiTheme="majorHAnsi"/>
          <w:color w:val="auto"/>
          <w:sz w:val="16"/>
          <w:szCs w:val="16"/>
        </w:rPr>
        <w:t xml:space="preserve">, </w:t>
      </w:r>
      <w:r w:rsidR="00357129">
        <w:rPr>
          <w:rFonts w:asciiTheme="majorHAnsi" w:hAnsiTheme="majorHAnsi"/>
          <w:color w:val="auto"/>
          <w:sz w:val="16"/>
          <w:szCs w:val="16"/>
        </w:rPr>
        <w:t>Reparations and Costs</w:t>
      </w:r>
      <w:r w:rsidRPr="00A51861">
        <w:rPr>
          <w:rFonts w:asciiTheme="majorHAnsi" w:hAnsiTheme="majorHAnsi"/>
          <w:color w:val="auto"/>
          <w:sz w:val="16"/>
          <w:szCs w:val="16"/>
        </w:rPr>
        <w:t xml:space="preserve">. </w:t>
      </w:r>
      <w:r w:rsidR="004E56A9">
        <w:rPr>
          <w:rFonts w:asciiTheme="majorHAnsi" w:hAnsiTheme="majorHAnsi"/>
          <w:color w:val="auto"/>
          <w:sz w:val="16"/>
          <w:szCs w:val="16"/>
        </w:rPr>
        <w:t>Judgment</w:t>
      </w:r>
      <w:r w:rsidRPr="00A51861">
        <w:rPr>
          <w:rFonts w:asciiTheme="majorHAnsi" w:hAnsiTheme="majorHAnsi"/>
          <w:color w:val="auto"/>
          <w:sz w:val="16"/>
          <w:szCs w:val="16"/>
        </w:rPr>
        <w:t xml:space="preserve"> </w:t>
      </w:r>
      <w:r w:rsidR="00357129">
        <w:rPr>
          <w:rFonts w:asciiTheme="majorHAnsi" w:hAnsiTheme="majorHAnsi"/>
          <w:color w:val="auto"/>
          <w:sz w:val="16"/>
          <w:szCs w:val="16"/>
        </w:rPr>
        <w:t xml:space="preserve">of August 31, </w:t>
      </w:r>
      <w:r w:rsidRPr="00A51861">
        <w:rPr>
          <w:rFonts w:asciiTheme="majorHAnsi" w:hAnsiTheme="majorHAnsi"/>
          <w:color w:val="auto"/>
          <w:sz w:val="16"/>
          <w:szCs w:val="16"/>
        </w:rPr>
        <w:t xml:space="preserve">2020, </w:t>
      </w:r>
      <w:r w:rsidR="00B6596B">
        <w:rPr>
          <w:rFonts w:asciiTheme="majorHAnsi" w:hAnsiTheme="majorHAnsi"/>
          <w:color w:val="auto"/>
          <w:sz w:val="16"/>
          <w:szCs w:val="16"/>
        </w:rPr>
        <w:t xml:space="preserve">Case </w:t>
      </w:r>
      <w:r w:rsidRPr="00A51861">
        <w:rPr>
          <w:rFonts w:asciiTheme="majorHAnsi" w:hAnsiTheme="majorHAnsi"/>
          <w:color w:val="auto"/>
          <w:sz w:val="16"/>
          <w:szCs w:val="16"/>
        </w:rPr>
        <w:t xml:space="preserve">Kimel Vs. Argentina. </w:t>
      </w:r>
      <w:r w:rsidR="00B6596B">
        <w:rPr>
          <w:rFonts w:asciiTheme="majorHAnsi" w:hAnsiTheme="majorHAnsi"/>
          <w:color w:val="auto"/>
          <w:sz w:val="16"/>
          <w:szCs w:val="16"/>
        </w:rPr>
        <w:t>Merits</w:t>
      </w:r>
      <w:r w:rsidRPr="00A51861">
        <w:rPr>
          <w:rFonts w:asciiTheme="majorHAnsi" w:hAnsiTheme="majorHAnsi"/>
          <w:color w:val="auto"/>
          <w:sz w:val="16"/>
          <w:szCs w:val="16"/>
        </w:rPr>
        <w:t xml:space="preserve">, </w:t>
      </w:r>
      <w:r w:rsidR="00357129">
        <w:rPr>
          <w:rFonts w:asciiTheme="majorHAnsi" w:hAnsiTheme="majorHAnsi"/>
          <w:color w:val="auto"/>
          <w:sz w:val="16"/>
          <w:szCs w:val="16"/>
        </w:rPr>
        <w:t>Reparations and Costs</w:t>
      </w:r>
      <w:r w:rsidRPr="00A51861">
        <w:rPr>
          <w:rFonts w:asciiTheme="majorHAnsi" w:hAnsiTheme="majorHAnsi"/>
          <w:color w:val="auto"/>
          <w:sz w:val="16"/>
          <w:szCs w:val="16"/>
        </w:rPr>
        <w:t xml:space="preserve">. </w:t>
      </w:r>
      <w:r w:rsidR="004E56A9">
        <w:rPr>
          <w:rFonts w:asciiTheme="majorHAnsi" w:hAnsiTheme="majorHAnsi"/>
          <w:color w:val="auto"/>
          <w:sz w:val="16"/>
          <w:szCs w:val="16"/>
        </w:rPr>
        <w:t>Judgment</w:t>
      </w:r>
      <w:r w:rsidRPr="00A51861">
        <w:rPr>
          <w:rFonts w:asciiTheme="majorHAnsi" w:hAnsiTheme="majorHAnsi"/>
          <w:color w:val="auto"/>
          <w:sz w:val="16"/>
          <w:szCs w:val="16"/>
        </w:rPr>
        <w:t xml:space="preserve"> </w:t>
      </w:r>
      <w:r w:rsidR="000010D0">
        <w:rPr>
          <w:rFonts w:asciiTheme="majorHAnsi" w:hAnsiTheme="majorHAnsi"/>
          <w:color w:val="auto"/>
          <w:sz w:val="16"/>
          <w:szCs w:val="16"/>
        </w:rPr>
        <w:t xml:space="preserve">of May 2, </w:t>
      </w:r>
      <w:r w:rsidRPr="00A51861">
        <w:rPr>
          <w:rFonts w:asciiTheme="majorHAnsi" w:hAnsiTheme="majorHAnsi"/>
          <w:color w:val="auto"/>
          <w:sz w:val="16"/>
          <w:szCs w:val="16"/>
        </w:rPr>
        <w:t xml:space="preserve">2008. Serie C No. 177, </w:t>
      </w:r>
      <w:r w:rsidR="00B6596B">
        <w:rPr>
          <w:rFonts w:asciiTheme="majorHAnsi" w:hAnsiTheme="majorHAnsi"/>
          <w:color w:val="auto"/>
          <w:sz w:val="16"/>
          <w:szCs w:val="16"/>
        </w:rPr>
        <w:t>para.</w:t>
      </w:r>
      <w:r w:rsidRPr="00A51861">
        <w:rPr>
          <w:rFonts w:asciiTheme="majorHAnsi" w:hAnsiTheme="majorHAnsi"/>
          <w:color w:val="auto"/>
          <w:sz w:val="16"/>
          <w:szCs w:val="16"/>
        </w:rPr>
        <w:t xml:space="preserve"> 76,</w:t>
      </w:r>
      <w:r w:rsidR="00B6596B">
        <w:rPr>
          <w:rFonts w:asciiTheme="majorHAnsi" w:hAnsiTheme="majorHAnsi"/>
          <w:color w:val="auto"/>
          <w:sz w:val="16"/>
          <w:szCs w:val="16"/>
        </w:rPr>
        <w:t xml:space="preserve"> and Case </w:t>
      </w:r>
      <w:r w:rsidRPr="00A51861">
        <w:rPr>
          <w:rFonts w:asciiTheme="majorHAnsi" w:hAnsiTheme="majorHAnsi"/>
          <w:color w:val="auto"/>
          <w:sz w:val="16"/>
          <w:szCs w:val="16"/>
        </w:rPr>
        <w:t xml:space="preserve">Usón Ramírez Vs. Venezuela. </w:t>
      </w:r>
      <w:r w:rsidR="000010D0">
        <w:rPr>
          <w:rFonts w:asciiTheme="majorHAnsi" w:hAnsiTheme="majorHAnsi"/>
          <w:color w:val="auto"/>
          <w:sz w:val="16"/>
          <w:szCs w:val="16"/>
        </w:rPr>
        <w:t>Preliminary Exception</w:t>
      </w:r>
      <w:r w:rsidRPr="00A51861">
        <w:rPr>
          <w:rFonts w:asciiTheme="majorHAnsi" w:hAnsiTheme="majorHAnsi"/>
          <w:color w:val="auto"/>
          <w:sz w:val="16"/>
          <w:szCs w:val="16"/>
        </w:rPr>
        <w:t xml:space="preserve">, </w:t>
      </w:r>
      <w:r w:rsidR="00B6596B">
        <w:rPr>
          <w:rFonts w:asciiTheme="majorHAnsi" w:hAnsiTheme="majorHAnsi"/>
          <w:color w:val="auto"/>
          <w:sz w:val="16"/>
          <w:szCs w:val="16"/>
        </w:rPr>
        <w:t>Merits</w:t>
      </w:r>
      <w:r w:rsidRPr="00A51861">
        <w:rPr>
          <w:rFonts w:asciiTheme="majorHAnsi" w:hAnsiTheme="majorHAnsi"/>
          <w:color w:val="auto"/>
          <w:sz w:val="16"/>
          <w:szCs w:val="16"/>
        </w:rPr>
        <w:t xml:space="preserve">, </w:t>
      </w:r>
      <w:r w:rsidR="00357129">
        <w:rPr>
          <w:rFonts w:asciiTheme="majorHAnsi" w:hAnsiTheme="majorHAnsi"/>
          <w:color w:val="auto"/>
          <w:sz w:val="16"/>
          <w:szCs w:val="16"/>
        </w:rPr>
        <w:t>Reparations and Costs</w:t>
      </w:r>
      <w:r w:rsidRPr="00A51861">
        <w:rPr>
          <w:rFonts w:asciiTheme="majorHAnsi" w:hAnsiTheme="majorHAnsi"/>
          <w:color w:val="auto"/>
          <w:sz w:val="16"/>
          <w:szCs w:val="16"/>
        </w:rPr>
        <w:t xml:space="preserve">. </w:t>
      </w:r>
      <w:r w:rsidR="004E56A9">
        <w:rPr>
          <w:rFonts w:asciiTheme="majorHAnsi" w:hAnsiTheme="majorHAnsi"/>
          <w:color w:val="auto"/>
          <w:sz w:val="16"/>
          <w:szCs w:val="16"/>
        </w:rPr>
        <w:t>Judgment</w:t>
      </w:r>
      <w:r w:rsidRPr="00A51861">
        <w:rPr>
          <w:rFonts w:asciiTheme="majorHAnsi" w:hAnsiTheme="majorHAnsi"/>
          <w:color w:val="auto"/>
          <w:sz w:val="16"/>
          <w:szCs w:val="16"/>
        </w:rPr>
        <w:t xml:space="preserve"> </w:t>
      </w:r>
      <w:r w:rsidR="000010D0">
        <w:rPr>
          <w:rFonts w:asciiTheme="majorHAnsi" w:hAnsiTheme="majorHAnsi"/>
          <w:color w:val="auto"/>
          <w:sz w:val="16"/>
          <w:szCs w:val="16"/>
        </w:rPr>
        <w:t>of November 20,</w:t>
      </w:r>
      <w:r w:rsidRPr="00A51861">
        <w:rPr>
          <w:rFonts w:asciiTheme="majorHAnsi" w:hAnsiTheme="majorHAnsi"/>
          <w:color w:val="auto"/>
          <w:sz w:val="16"/>
          <w:szCs w:val="16"/>
        </w:rPr>
        <w:t xml:space="preserve"> 2009. Serie C No. 207, </w:t>
      </w:r>
      <w:r w:rsidR="00B6596B">
        <w:rPr>
          <w:rFonts w:asciiTheme="majorHAnsi" w:hAnsiTheme="majorHAnsi"/>
          <w:color w:val="auto"/>
          <w:sz w:val="16"/>
          <w:szCs w:val="16"/>
        </w:rPr>
        <w:t>para.</w:t>
      </w:r>
      <w:r w:rsidRPr="00A51861">
        <w:rPr>
          <w:rFonts w:asciiTheme="majorHAnsi" w:hAnsiTheme="majorHAnsi"/>
          <w:color w:val="auto"/>
          <w:sz w:val="16"/>
          <w:szCs w:val="16"/>
        </w:rPr>
        <w:t xml:space="preserve"> 73.</w:t>
      </w:r>
    </w:p>
  </w:footnote>
  <w:footnote w:id="168">
    <w:p w14:paraId="25FF0702" w14:textId="7CCAB535"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036743">
        <w:rPr>
          <w:rFonts w:asciiTheme="majorHAnsi" w:hAnsiTheme="majorHAnsi"/>
          <w:color w:val="auto"/>
          <w:sz w:val="16"/>
          <w:szCs w:val="16"/>
        </w:rPr>
        <w:t>IHR Court</w:t>
      </w:r>
      <w:r w:rsidRPr="00A51861">
        <w:rPr>
          <w:rFonts w:asciiTheme="majorHAnsi" w:hAnsiTheme="majorHAnsi"/>
          <w:color w:val="auto"/>
          <w:sz w:val="16"/>
          <w:szCs w:val="16"/>
        </w:rPr>
        <w:t xml:space="preserve">. </w:t>
      </w:r>
      <w:r w:rsidR="00B6596B">
        <w:rPr>
          <w:rFonts w:asciiTheme="majorHAnsi" w:hAnsiTheme="majorHAnsi"/>
          <w:color w:val="auto"/>
          <w:sz w:val="16"/>
          <w:szCs w:val="16"/>
        </w:rPr>
        <w:t xml:space="preserve">Case </w:t>
      </w:r>
      <w:r w:rsidRPr="00A51861">
        <w:rPr>
          <w:rFonts w:asciiTheme="majorHAnsi" w:hAnsiTheme="majorHAnsi"/>
          <w:color w:val="auto"/>
          <w:sz w:val="16"/>
          <w:szCs w:val="16"/>
        </w:rPr>
        <w:t>Acosta Martínez</w:t>
      </w:r>
      <w:r w:rsidR="00B6596B">
        <w:rPr>
          <w:rFonts w:asciiTheme="majorHAnsi" w:hAnsiTheme="majorHAnsi"/>
          <w:color w:val="auto"/>
          <w:sz w:val="16"/>
          <w:szCs w:val="16"/>
        </w:rPr>
        <w:t xml:space="preserve"> </w:t>
      </w:r>
      <w:r w:rsidR="00357129">
        <w:rPr>
          <w:rFonts w:asciiTheme="majorHAnsi" w:hAnsiTheme="majorHAnsi"/>
          <w:color w:val="auto"/>
          <w:sz w:val="16"/>
          <w:szCs w:val="16"/>
        </w:rPr>
        <w:t xml:space="preserve">and others </w:t>
      </w:r>
      <w:r w:rsidRPr="00A51861">
        <w:rPr>
          <w:rFonts w:asciiTheme="majorHAnsi" w:hAnsiTheme="majorHAnsi"/>
          <w:color w:val="auto"/>
          <w:sz w:val="16"/>
          <w:szCs w:val="16"/>
        </w:rPr>
        <w:t xml:space="preserve">Vs. Argentina. </w:t>
      </w:r>
      <w:r w:rsidR="00B6596B">
        <w:rPr>
          <w:rFonts w:asciiTheme="majorHAnsi" w:hAnsiTheme="majorHAnsi"/>
          <w:color w:val="auto"/>
          <w:sz w:val="16"/>
          <w:szCs w:val="16"/>
        </w:rPr>
        <w:t>Merits</w:t>
      </w:r>
      <w:r w:rsidRPr="00A51861">
        <w:rPr>
          <w:rFonts w:asciiTheme="majorHAnsi" w:hAnsiTheme="majorHAnsi"/>
          <w:color w:val="auto"/>
          <w:sz w:val="16"/>
          <w:szCs w:val="16"/>
        </w:rPr>
        <w:t xml:space="preserve">, </w:t>
      </w:r>
      <w:r w:rsidR="00357129">
        <w:rPr>
          <w:rFonts w:asciiTheme="majorHAnsi" w:hAnsiTheme="majorHAnsi"/>
          <w:color w:val="auto"/>
          <w:sz w:val="16"/>
          <w:szCs w:val="16"/>
        </w:rPr>
        <w:t>Reparations and Costs</w:t>
      </w:r>
      <w:r w:rsidRPr="00A51861">
        <w:rPr>
          <w:rFonts w:asciiTheme="majorHAnsi" w:hAnsiTheme="majorHAnsi"/>
          <w:color w:val="auto"/>
          <w:sz w:val="16"/>
          <w:szCs w:val="16"/>
        </w:rPr>
        <w:t xml:space="preserve">. </w:t>
      </w:r>
      <w:r w:rsidR="004E56A9">
        <w:rPr>
          <w:rFonts w:asciiTheme="majorHAnsi" w:hAnsiTheme="majorHAnsi"/>
          <w:color w:val="auto"/>
          <w:sz w:val="16"/>
          <w:szCs w:val="16"/>
        </w:rPr>
        <w:t>Judgment</w:t>
      </w:r>
      <w:r w:rsidRPr="00A51861">
        <w:rPr>
          <w:rFonts w:asciiTheme="majorHAnsi" w:hAnsiTheme="majorHAnsi"/>
          <w:color w:val="auto"/>
          <w:sz w:val="16"/>
          <w:szCs w:val="16"/>
        </w:rPr>
        <w:t xml:space="preserve"> </w:t>
      </w:r>
      <w:r w:rsidR="00357129">
        <w:rPr>
          <w:rFonts w:asciiTheme="majorHAnsi" w:hAnsiTheme="majorHAnsi"/>
          <w:color w:val="auto"/>
          <w:sz w:val="16"/>
          <w:szCs w:val="16"/>
        </w:rPr>
        <w:t xml:space="preserve">of August 31, </w:t>
      </w:r>
      <w:r w:rsidRPr="00A51861">
        <w:rPr>
          <w:rFonts w:asciiTheme="majorHAnsi" w:hAnsiTheme="majorHAnsi"/>
          <w:color w:val="auto"/>
          <w:sz w:val="16"/>
          <w:szCs w:val="16"/>
        </w:rPr>
        <w:t xml:space="preserve">2020. </w:t>
      </w:r>
      <w:r w:rsidR="000010D0">
        <w:rPr>
          <w:rFonts w:asciiTheme="majorHAnsi" w:hAnsiTheme="majorHAnsi"/>
          <w:color w:val="auto"/>
          <w:sz w:val="16"/>
          <w:szCs w:val="16"/>
        </w:rPr>
        <w:t>In the</w:t>
      </w:r>
      <w:r w:rsidR="000E67CA">
        <w:rPr>
          <w:rFonts w:asciiTheme="majorHAnsi" w:hAnsiTheme="majorHAnsi"/>
          <w:color w:val="auto"/>
          <w:sz w:val="16"/>
          <w:szCs w:val="16"/>
        </w:rPr>
        <w:t xml:space="preserve"> </w:t>
      </w:r>
      <w:r w:rsidR="000010D0">
        <w:rPr>
          <w:rFonts w:asciiTheme="majorHAnsi" w:hAnsiTheme="majorHAnsi"/>
          <w:color w:val="auto"/>
          <w:sz w:val="16"/>
          <w:szCs w:val="16"/>
        </w:rPr>
        <w:t xml:space="preserve">Report on Protest and Human Rights of the Inter-American </w:t>
      </w:r>
      <w:r w:rsidR="00FE1E27">
        <w:rPr>
          <w:rFonts w:asciiTheme="majorHAnsi" w:hAnsiTheme="majorHAnsi"/>
          <w:color w:val="auto"/>
          <w:sz w:val="16"/>
          <w:szCs w:val="16"/>
        </w:rPr>
        <w:t>Commission</w:t>
      </w:r>
      <w:r w:rsidRPr="00A51861">
        <w:rPr>
          <w:rFonts w:asciiTheme="majorHAnsi" w:hAnsiTheme="majorHAnsi"/>
          <w:color w:val="auto"/>
          <w:sz w:val="16"/>
          <w:szCs w:val="16"/>
        </w:rPr>
        <w:t xml:space="preserve">, </w:t>
      </w:r>
      <w:r w:rsidR="000010D0">
        <w:rPr>
          <w:rFonts w:asciiTheme="majorHAnsi" w:hAnsiTheme="majorHAnsi"/>
          <w:color w:val="auto"/>
          <w:sz w:val="16"/>
          <w:szCs w:val="16"/>
        </w:rPr>
        <w:t>it was held, summoning the</w:t>
      </w:r>
      <w:r w:rsidRPr="00A51861">
        <w:rPr>
          <w:rFonts w:asciiTheme="majorHAnsi" w:eastAsia="Arial Unicode MS" w:hAnsiTheme="majorHAnsi" w:cs="Times New Roman"/>
          <w:color w:val="auto"/>
          <w:sz w:val="16"/>
          <w:szCs w:val="16"/>
          <w:lang w:eastAsia="en-US"/>
        </w:rPr>
        <w:t xml:space="preserve"> </w:t>
      </w:r>
      <w:r w:rsidR="00EB7848">
        <w:rPr>
          <w:rFonts w:asciiTheme="majorHAnsi" w:hAnsiTheme="majorHAnsi"/>
          <w:color w:val="auto"/>
          <w:sz w:val="16"/>
          <w:szCs w:val="16"/>
        </w:rPr>
        <w:t>Human Rights Council, Report of the Special Rapporteur on rights to freedom of association and peaceful assembly</w:t>
      </w:r>
      <w:r w:rsidRPr="00A51861">
        <w:rPr>
          <w:rFonts w:asciiTheme="majorHAnsi" w:hAnsiTheme="majorHAnsi"/>
          <w:color w:val="auto"/>
          <w:sz w:val="16"/>
          <w:szCs w:val="16"/>
        </w:rPr>
        <w:t>, Maina Kiai, A/HRC/20/27,</w:t>
      </w:r>
      <w:r w:rsidR="000010D0">
        <w:rPr>
          <w:rFonts w:asciiTheme="majorHAnsi" w:hAnsiTheme="majorHAnsi"/>
          <w:color w:val="auto"/>
          <w:sz w:val="16"/>
          <w:szCs w:val="16"/>
        </w:rPr>
        <w:t xml:space="preserve"> para. </w:t>
      </w:r>
      <w:r w:rsidRPr="00A51861">
        <w:rPr>
          <w:rFonts w:asciiTheme="majorHAnsi" w:hAnsiTheme="majorHAnsi"/>
          <w:color w:val="auto"/>
          <w:sz w:val="16"/>
          <w:szCs w:val="16"/>
        </w:rPr>
        <w:t xml:space="preserve"> 12, </w:t>
      </w:r>
      <w:r w:rsidR="000010D0">
        <w:rPr>
          <w:rFonts w:asciiTheme="majorHAnsi" w:hAnsiTheme="majorHAnsi"/>
          <w:color w:val="auto"/>
          <w:sz w:val="16"/>
          <w:szCs w:val="16"/>
        </w:rPr>
        <w:t>that</w:t>
      </w:r>
      <w:r w:rsidRPr="00A51861">
        <w:rPr>
          <w:rFonts w:asciiTheme="majorHAnsi" w:hAnsiTheme="majorHAnsi"/>
          <w:color w:val="auto"/>
          <w:sz w:val="16"/>
          <w:szCs w:val="16"/>
        </w:rPr>
        <w:t>: “</w:t>
      </w:r>
      <w:r w:rsidR="000010D0">
        <w:rPr>
          <w:rFonts w:asciiTheme="majorHAnsi" w:hAnsiTheme="majorHAnsi"/>
          <w:color w:val="auto"/>
          <w:sz w:val="16"/>
          <w:szCs w:val="16"/>
        </w:rPr>
        <w:t>High national and</w:t>
      </w:r>
      <w:r w:rsidRPr="00A51861">
        <w:rPr>
          <w:rFonts w:asciiTheme="majorHAnsi" w:hAnsiTheme="majorHAnsi"/>
          <w:color w:val="auto"/>
          <w:sz w:val="16"/>
          <w:szCs w:val="16"/>
        </w:rPr>
        <w:t xml:space="preserve"> </w:t>
      </w:r>
      <w:r w:rsidR="000010D0" w:rsidRPr="00A51861">
        <w:rPr>
          <w:rFonts w:asciiTheme="majorHAnsi" w:hAnsiTheme="majorHAnsi"/>
          <w:color w:val="auto"/>
          <w:sz w:val="16"/>
          <w:szCs w:val="16"/>
        </w:rPr>
        <w:t>international</w:t>
      </w:r>
      <w:r w:rsidRPr="00A51861">
        <w:rPr>
          <w:rFonts w:asciiTheme="majorHAnsi" w:hAnsiTheme="majorHAnsi"/>
          <w:color w:val="auto"/>
          <w:sz w:val="16"/>
          <w:szCs w:val="16"/>
        </w:rPr>
        <w:t xml:space="preserve"> </w:t>
      </w:r>
      <w:r w:rsidR="000010D0">
        <w:rPr>
          <w:rFonts w:asciiTheme="majorHAnsi" w:hAnsiTheme="majorHAnsi"/>
          <w:color w:val="auto"/>
          <w:sz w:val="16"/>
          <w:szCs w:val="16"/>
        </w:rPr>
        <w:t>Courts</w:t>
      </w:r>
      <w:r w:rsidR="000010D0" w:rsidRPr="00A51861">
        <w:rPr>
          <w:rFonts w:asciiTheme="majorHAnsi" w:hAnsiTheme="majorHAnsi"/>
          <w:color w:val="auto"/>
          <w:sz w:val="16"/>
          <w:szCs w:val="16"/>
        </w:rPr>
        <w:t xml:space="preserve"> </w:t>
      </w:r>
      <w:r w:rsidRPr="00A51861">
        <w:rPr>
          <w:rFonts w:asciiTheme="majorHAnsi" w:hAnsiTheme="majorHAnsi"/>
          <w:color w:val="auto"/>
          <w:sz w:val="16"/>
          <w:szCs w:val="16"/>
        </w:rPr>
        <w:t>h</w:t>
      </w:r>
      <w:r w:rsidR="000010D0">
        <w:rPr>
          <w:rFonts w:asciiTheme="majorHAnsi" w:hAnsiTheme="majorHAnsi"/>
          <w:color w:val="auto"/>
          <w:sz w:val="16"/>
          <w:szCs w:val="16"/>
        </w:rPr>
        <w:t>ave</w:t>
      </w:r>
      <w:r w:rsidRPr="00A51861">
        <w:rPr>
          <w:rFonts w:asciiTheme="majorHAnsi" w:hAnsiTheme="majorHAnsi"/>
          <w:color w:val="auto"/>
          <w:sz w:val="16"/>
          <w:szCs w:val="16"/>
        </w:rPr>
        <w:t xml:space="preserve"> </w:t>
      </w:r>
      <w:r w:rsidR="000010D0" w:rsidRPr="00A51861">
        <w:rPr>
          <w:rFonts w:asciiTheme="majorHAnsi" w:hAnsiTheme="majorHAnsi"/>
          <w:color w:val="auto"/>
          <w:sz w:val="16"/>
          <w:szCs w:val="16"/>
        </w:rPr>
        <w:t>interpreted</w:t>
      </w:r>
      <w:r w:rsidRPr="00A51861">
        <w:rPr>
          <w:rFonts w:asciiTheme="majorHAnsi" w:hAnsiTheme="majorHAnsi"/>
          <w:color w:val="auto"/>
          <w:sz w:val="16"/>
          <w:szCs w:val="16"/>
        </w:rPr>
        <w:t xml:space="preserve"> </w:t>
      </w:r>
      <w:r w:rsidR="000010D0">
        <w:rPr>
          <w:rFonts w:asciiTheme="majorHAnsi" w:hAnsiTheme="majorHAnsi"/>
          <w:color w:val="auto"/>
          <w:sz w:val="16"/>
          <w:szCs w:val="16"/>
        </w:rPr>
        <w:t>that the right to peaceful and unarmed assembly shall not be</w:t>
      </w:r>
      <w:r w:rsidRPr="00A51861">
        <w:rPr>
          <w:rFonts w:asciiTheme="majorHAnsi" w:hAnsiTheme="majorHAnsi"/>
          <w:color w:val="auto"/>
          <w:sz w:val="16"/>
          <w:szCs w:val="16"/>
        </w:rPr>
        <w:t xml:space="preserve"> interpret</w:t>
      </w:r>
      <w:r w:rsidR="000010D0">
        <w:rPr>
          <w:rFonts w:asciiTheme="majorHAnsi" w:hAnsiTheme="majorHAnsi"/>
          <w:color w:val="auto"/>
          <w:sz w:val="16"/>
          <w:szCs w:val="16"/>
        </w:rPr>
        <w:t>ed</w:t>
      </w:r>
      <w:r w:rsidRPr="00A51861">
        <w:rPr>
          <w:rFonts w:asciiTheme="majorHAnsi" w:hAnsiTheme="majorHAnsi"/>
          <w:color w:val="auto"/>
          <w:sz w:val="16"/>
          <w:szCs w:val="16"/>
        </w:rPr>
        <w:t xml:space="preserve"> </w:t>
      </w:r>
      <w:r w:rsidR="000010D0">
        <w:rPr>
          <w:rFonts w:asciiTheme="majorHAnsi" w:hAnsiTheme="majorHAnsi"/>
          <w:color w:val="auto"/>
          <w:sz w:val="16"/>
          <w:szCs w:val="16"/>
        </w:rPr>
        <w:t>in a restrictive manner</w:t>
      </w:r>
      <w:r w:rsidRPr="00A51861">
        <w:rPr>
          <w:rFonts w:asciiTheme="majorHAnsi" w:hAnsiTheme="majorHAnsi"/>
          <w:color w:val="auto"/>
          <w:sz w:val="16"/>
          <w:szCs w:val="16"/>
        </w:rPr>
        <w:t xml:space="preserve">, </w:t>
      </w:r>
      <w:r w:rsidR="000010D0">
        <w:rPr>
          <w:rFonts w:asciiTheme="majorHAnsi" w:hAnsiTheme="majorHAnsi"/>
          <w:color w:val="auto"/>
          <w:sz w:val="16"/>
          <w:szCs w:val="16"/>
        </w:rPr>
        <w:t>since it</w:t>
      </w:r>
      <w:r w:rsidRPr="00A51861">
        <w:rPr>
          <w:rFonts w:asciiTheme="majorHAnsi" w:hAnsiTheme="majorHAnsi"/>
          <w:color w:val="auto"/>
          <w:sz w:val="16"/>
          <w:szCs w:val="16"/>
        </w:rPr>
        <w:t xml:space="preserve"> constitu</w:t>
      </w:r>
      <w:r w:rsidR="000010D0">
        <w:rPr>
          <w:rFonts w:asciiTheme="majorHAnsi" w:hAnsiTheme="majorHAnsi"/>
          <w:color w:val="auto"/>
          <w:sz w:val="16"/>
          <w:szCs w:val="16"/>
        </w:rPr>
        <w:t>t</w:t>
      </w:r>
      <w:r w:rsidRPr="00A51861">
        <w:rPr>
          <w:rFonts w:asciiTheme="majorHAnsi" w:hAnsiTheme="majorHAnsi"/>
          <w:color w:val="auto"/>
          <w:sz w:val="16"/>
          <w:szCs w:val="16"/>
        </w:rPr>
        <w:t>e</w:t>
      </w:r>
      <w:r w:rsidR="000010D0">
        <w:rPr>
          <w:rFonts w:asciiTheme="majorHAnsi" w:hAnsiTheme="majorHAnsi"/>
          <w:color w:val="auto"/>
          <w:sz w:val="16"/>
          <w:szCs w:val="16"/>
        </w:rPr>
        <w:t>s</w:t>
      </w:r>
      <w:r w:rsidRPr="00A51861">
        <w:rPr>
          <w:rFonts w:asciiTheme="majorHAnsi" w:hAnsiTheme="majorHAnsi"/>
          <w:color w:val="auto"/>
          <w:sz w:val="16"/>
          <w:szCs w:val="16"/>
        </w:rPr>
        <w:t xml:space="preserve"> </w:t>
      </w:r>
      <w:r w:rsidR="000010D0">
        <w:rPr>
          <w:rFonts w:asciiTheme="majorHAnsi" w:hAnsiTheme="majorHAnsi"/>
          <w:color w:val="auto"/>
          <w:sz w:val="16"/>
          <w:szCs w:val="16"/>
        </w:rPr>
        <w:t>a</w:t>
      </w:r>
      <w:r w:rsidRPr="00A51861">
        <w:rPr>
          <w:rFonts w:asciiTheme="majorHAnsi" w:hAnsiTheme="majorHAnsi"/>
          <w:color w:val="auto"/>
          <w:sz w:val="16"/>
          <w:szCs w:val="16"/>
        </w:rPr>
        <w:t xml:space="preserve"> </w:t>
      </w:r>
      <w:r w:rsidR="000010D0" w:rsidRPr="00A51861">
        <w:rPr>
          <w:rFonts w:asciiTheme="majorHAnsi" w:hAnsiTheme="majorHAnsi"/>
          <w:color w:val="auto"/>
          <w:sz w:val="16"/>
          <w:szCs w:val="16"/>
        </w:rPr>
        <w:t>fundamental</w:t>
      </w:r>
      <w:r w:rsidR="000010D0">
        <w:rPr>
          <w:rFonts w:asciiTheme="majorHAnsi" w:hAnsiTheme="majorHAnsi"/>
          <w:color w:val="auto"/>
          <w:sz w:val="16"/>
          <w:szCs w:val="16"/>
        </w:rPr>
        <w:t xml:space="preserve"> </w:t>
      </w:r>
      <w:r w:rsidR="009A1CB9">
        <w:rPr>
          <w:rFonts w:asciiTheme="majorHAnsi" w:hAnsiTheme="majorHAnsi"/>
          <w:color w:val="auto"/>
          <w:sz w:val="16"/>
          <w:szCs w:val="16"/>
        </w:rPr>
        <w:t>element</w:t>
      </w:r>
      <w:r w:rsidRPr="00A51861">
        <w:rPr>
          <w:rFonts w:asciiTheme="majorHAnsi" w:hAnsiTheme="majorHAnsi"/>
          <w:color w:val="auto"/>
          <w:sz w:val="16"/>
          <w:szCs w:val="16"/>
        </w:rPr>
        <w:t xml:space="preserve"> </w:t>
      </w:r>
      <w:r w:rsidR="00061928">
        <w:rPr>
          <w:rFonts w:asciiTheme="majorHAnsi" w:hAnsiTheme="majorHAnsi"/>
          <w:color w:val="auto"/>
          <w:sz w:val="16"/>
          <w:szCs w:val="16"/>
        </w:rPr>
        <w:t xml:space="preserve">of </w:t>
      </w:r>
      <w:r w:rsidR="000010D0" w:rsidRPr="00A51861">
        <w:rPr>
          <w:rFonts w:asciiTheme="majorHAnsi" w:hAnsiTheme="majorHAnsi"/>
          <w:color w:val="auto"/>
          <w:sz w:val="16"/>
          <w:szCs w:val="16"/>
        </w:rPr>
        <w:t>democracy</w:t>
      </w:r>
      <w:r w:rsidRPr="00A51861">
        <w:rPr>
          <w:rFonts w:asciiTheme="majorHAnsi" w:hAnsiTheme="majorHAnsi"/>
          <w:color w:val="auto"/>
          <w:sz w:val="16"/>
          <w:szCs w:val="16"/>
        </w:rPr>
        <w:t>”.</w:t>
      </w:r>
    </w:p>
  </w:footnote>
  <w:footnote w:id="169">
    <w:p w14:paraId="43BC9A6A" w14:textId="331F3559"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036743">
        <w:rPr>
          <w:rFonts w:asciiTheme="majorHAnsi" w:hAnsiTheme="majorHAnsi"/>
          <w:color w:val="auto"/>
          <w:sz w:val="16"/>
          <w:szCs w:val="16"/>
        </w:rPr>
        <w:t>IHR Court</w:t>
      </w:r>
      <w:r w:rsidRPr="00A51861">
        <w:rPr>
          <w:rFonts w:asciiTheme="majorHAnsi" w:hAnsiTheme="majorHAnsi"/>
          <w:color w:val="auto"/>
          <w:sz w:val="16"/>
          <w:szCs w:val="16"/>
        </w:rPr>
        <w:t xml:space="preserve">. </w:t>
      </w:r>
      <w:r w:rsidR="00B6596B">
        <w:rPr>
          <w:rFonts w:asciiTheme="majorHAnsi" w:hAnsiTheme="majorHAnsi"/>
          <w:color w:val="auto"/>
          <w:sz w:val="16"/>
          <w:szCs w:val="16"/>
        </w:rPr>
        <w:t xml:space="preserve">Case </w:t>
      </w:r>
      <w:r w:rsidR="00061928">
        <w:rPr>
          <w:rFonts w:asciiTheme="majorHAnsi" w:hAnsiTheme="majorHAnsi"/>
          <w:color w:val="auto"/>
          <w:sz w:val="16"/>
          <w:szCs w:val="16"/>
        </w:rPr>
        <w:t xml:space="preserve">of the </w:t>
      </w:r>
      <w:r w:rsidRPr="00A51861">
        <w:rPr>
          <w:rFonts w:asciiTheme="majorHAnsi" w:hAnsiTheme="majorHAnsi"/>
          <w:color w:val="auto"/>
          <w:sz w:val="16"/>
          <w:szCs w:val="16"/>
        </w:rPr>
        <w:t xml:space="preserve">Cruz Flores Vs. </w:t>
      </w:r>
      <w:r w:rsidR="00BD656D">
        <w:rPr>
          <w:rFonts w:asciiTheme="majorHAnsi" w:hAnsiTheme="majorHAnsi"/>
          <w:color w:val="auto"/>
          <w:sz w:val="16"/>
          <w:szCs w:val="16"/>
        </w:rPr>
        <w:t>Peru</w:t>
      </w:r>
      <w:r w:rsidRPr="00A51861">
        <w:rPr>
          <w:rFonts w:asciiTheme="majorHAnsi" w:hAnsiTheme="majorHAnsi"/>
          <w:color w:val="auto"/>
          <w:sz w:val="16"/>
          <w:szCs w:val="16"/>
        </w:rPr>
        <w:t xml:space="preserve">. </w:t>
      </w:r>
      <w:r w:rsidR="00B6596B">
        <w:rPr>
          <w:rFonts w:asciiTheme="majorHAnsi" w:hAnsiTheme="majorHAnsi"/>
          <w:color w:val="auto"/>
          <w:sz w:val="16"/>
          <w:szCs w:val="16"/>
        </w:rPr>
        <w:t>Merits</w:t>
      </w:r>
      <w:r w:rsidRPr="00A51861">
        <w:rPr>
          <w:rFonts w:asciiTheme="majorHAnsi" w:hAnsiTheme="majorHAnsi"/>
          <w:color w:val="auto"/>
          <w:sz w:val="16"/>
          <w:szCs w:val="16"/>
        </w:rPr>
        <w:t xml:space="preserve">, </w:t>
      </w:r>
      <w:r w:rsidR="00357129">
        <w:rPr>
          <w:rFonts w:asciiTheme="majorHAnsi" w:hAnsiTheme="majorHAnsi"/>
          <w:color w:val="auto"/>
          <w:sz w:val="16"/>
          <w:szCs w:val="16"/>
        </w:rPr>
        <w:t>Reparations and Costs</w:t>
      </w:r>
      <w:r w:rsidRPr="00A51861">
        <w:rPr>
          <w:rFonts w:asciiTheme="majorHAnsi" w:hAnsiTheme="majorHAnsi"/>
          <w:color w:val="auto"/>
          <w:sz w:val="16"/>
          <w:szCs w:val="16"/>
        </w:rPr>
        <w:t xml:space="preserve">. </w:t>
      </w:r>
      <w:r w:rsidR="004E56A9">
        <w:rPr>
          <w:rFonts w:asciiTheme="majorHAnsi" w:hAnsiTheme="majorHAnsi"/>
          <w:color w:val="auto"/>
          <w:sz w:val="16"/>
          <w:szCs w:val="16"/>
        </w:rPr>
        <w:t>Judgment</w:t>
      </w:r>
      <w:r w:rsidRPr="00A51861">
        <w:rPr>
          <w:rFonts w:asciiTheme="majorHAnsi" w:hAnsiTheme="majorHAnsi"/>
          <w:color w:val="auto"/>
          <w:sz w:val="16"/>
          <w:szCs w:val="16"/>
        </w:rPr>
        <w:t xml:space="preserve"> </w:t>
      </w:r>
      <w:r w:rsidR="000010D0">
        <w:rPr>
          <w:rFonts w:asciiTheme="majorHAnsi" w:hAnsiTheme="majorHAnsi"/>
          <w:color w:val="auto"/>
          <w:sz w:val="16"/>
          <w:szCs w:val="16"/>
        </w:rPr>
        <w:t>of November 18,</w:t>
      </w:r>
      <w:r w:rsidRPr="00A51861">
        <w:rPr>
          <w:rFonts w:asciiTheme="majorHAnsi" w:hAnsiTheme="majorHAnsi"/>
          <w:color w:val="auto"/>
          <w:sz w:val="16"/>
          <w:szCs w:val="16"/>
        </w:rPr>
        <w:t xml:space="preserve"> 2004. Serie C No. 115, </w:t>
      </w:r>
      <w:r w:rsidR="00B6596B">
        <w:rPr>
          <w:rFonts w:asciiTheme="majorHAnsi" w:hAnsiTheme="majorHAnsi"/>
          <w:color w:val="auto"/>
          <w:sz w:val="16"/>
          <w:szCs w:val="16"/>
        </w:rPr>
        <w:t>para.</w:t>
      </w:r>
      <w:r w:rsidRPr="00A51861">
        <w:rPr>
          <w:rFonts w:asciiTheme="majorHAnsi" w:hAnsiTheme="majorHAnsi"/>
          <w:color w:val="auto"/>
          <w:sz w:val="16"/>
          <w:szCs w:val="16"/>
        </w:rPr>
        <w:t xml:space="preserve"> 102.</w:t>
      </w:r>
    </w:p>
  </w:footnote>
  <w:footnote w:id="170">
    <w:p w14:paraId="357CA14F" w14:textId="76B3F732" w:rsidR="00F40E67" w:rsidRPr="00A51861" w:rsidRDefault="00F40E67" w:rsidP="0063693D">
      <w:pPr>
        <w:pStyle w:val="FootnoteText"/>
        <w:jc w:val="both"/>
        <w:rPr>
          <w:rFonts w:asciiTheme="majorHAnsi" w:hAnsiTheme="majorHAnsi" w:cs="Arial"/>
          <w:color w:val="auto"/>
          <w:sz w:val="16"/>
          <w:szCs w:val="16"/>
        </w:rPr>
      </w:pPr>
      <w:r w:rsidRPr="00A51861">
        <w:rPr>
          <w:rStyle w:val="FootnoteReference"/>
          <w:rFonts w:asciiTheme="majorHAnsi" w:hAnsiTheme="majorHAnsi" w:cs="Arial"/>
          <w:color w:val="auto"/>
          <w:sz w:val="16"/>
          <w:szCs w:val="16"/>
        </w:rPr>
        <w:footnoteRef/>
      </w:r>
      <w:r w:rsidRPr="00A51861">
        <w:rPr>
          <w:rFonts w:asciiTheme="majorHAnsi" w:hAnsiTheme="majorHAnsi" w:cs="Arial"/>
          <w:color w:val="auto"/>
          <w:sz w:val="16"/>
          <w:szCs w:val="16"/>
        </w:rPr>
        <w:t xml:space="preserve"> </w:t>
      </w:r>
      <w:r w:rsidR="00E22665">
        <w:rPr>
          <w:rFonts w:asciiTheme="majorHAnsi" w:hAnsiTheme="majorHAnsi" w:cs="Arial"/>
          <w:color w:val="auto"/>
          <w:sz w:val="16"/>
          <w:szCs w:val="16"/>
        </w:rPr>
        <w:t xml:space="preserve">Article </w:t>
      </w:r>
      <w:r w:rsidRPr="00A51861">
        <w:rPr>
          <w:rFonts w:asciiTheme="majorHAnsi" w:hAnsiTheme="majorHAnsi" w:cs="Arial"/>
          <w:color w:val="auto"/>
          <w:sz w:val="16"/>
          <w:szCs w:val="16"/>
        </w:rPr>
        <w:t>VIII establ</w:t>
      </w:r>
      <w:r w:rsidR="001559D8">
        <w:rPr>
          <w:rFonts w:asciiTheme="majorHAnsi" w:hAnsiTheme="majorHAnsi" w:cs="Arial"/>
          <w:color w:val="auto"/>
          <w:sz w:val="16"/>
          <w:szCs w:val="16"/>
        </w:rPr>
        <w:t>ishes</w:t>
      </w:r>
      <w:r w:rsidRPr="00A51861">
        <w:rPr>
          <w:rFonts w:asciiTheme="majorHAnsi" w:hAnsiTheme="majorHAnsi" w:cs="Arial"/>
          <w:color w:val="auto"/>
          <w:sz w:val="16"/>
          <w:szCs w:val="16"/>
        </w:rPr>
        <w:t>: “</w:t>
      </w:r>
      <w:r w:rsidR="001559D8" w:rsidRPr="001559D8">
        <w:rPr>
          <w:rFonts w:asciiTheme="majorHAnsi" w:hAnsiTheme="majorHAnsi" w:cs="Arial"/>
          <w:color w:val="auto"/>
          <w:sz w:val="16"/>
          <w:szCs w:val="16"/>
        </w:rPr>
        <w:t>Every person has the right to fix his residence within the territory of the state of which he is a national, to move about freely within such territory, and not to leave it except by his own will</w:t>
      </w:r>
      <w:r w:rsidRPr="00A51861">
        <w:rPr>
          <w:rFonts w:asciiTheme="majorHAnsi" w:hAnsiTheme="majorHAnsi" w:cs="Arial"/>
          <w:color w:val="auto"/>
          <w:sz w:val="16"/>
          <w:szCs w:val="16"/>
        </w:rPr>
        <w:t>”.</w:t>
      </w:r>
    </w:p>
  </w:footnote>
  <w:footnote w:id="171">
    <w:p w14:paraId="09453483" w14:textId="3DE09A48" w:rsidR="00F40E67" w:rsidRPr="00A51861" w:rsidRDefault="00F40E67" w:rsidP="0063693D">
      <w:pPr>
        <w:pStyle w:val="FootnoteText"/>
        <w:jc w:val="both"/>
        <w:rPr>
          <w:rFonts w:asciiTheme="majorHAnsi" w:hAnsiTheme="majorHAnsi" w:cs="Arial"/>
          <w:color w:val="auto"/>
          <w:sz w:val="16"/>
          <w:szCs w:val="16"/>
        </w:rPr>
      </w:pPr>
      <w:r w:rsidRPr="00A51861">
        <w:rPr>
          <w:rStyle w:val="FootnoteReference"/>
          <w:rFonts w:asciiTheme="majorHAnsi" w:hAnsiTheme="majorHAnsi" w:cs="Arial"/>
          <w:color w:val="auto"/>
          <w:sz w:val="16"/>
          <w:szCs w:val="16"/>
        </w:rPr>
        <w:footnoteRef/>
      </w:r>
      <w:r w:rsidRPr="00A51861">
        <w:rPr>
          <w:rFonts w:asciiTheme="majorHAnsi" w:hAnsiTheme="majorHAnsi" w:cs="Arial"/>
          <w:color w:val="auto"/>
          <w:sz w:val="16"/>
          <w:szCs w:val="16"/>
        </w:rPr>
        <w:t xml:space="preserve"> </w:t>
      </w:r>
      <w:r w:rsidR="00E22665">
        <w:rPr>
          <w:rFonts w:asciiTheme="majorHAnsi" w:hAnsiTheme="majorHAnsi" w:cs="Arial"/>
          <w:color w:val="auto"/>
          <w:sz w:val="16"/>
          <w:szCs w:val="16"/>
        </w:rPr>
        <w:t xml:space="preserve">Article </w:t>
      </w:r>
      <w:r w:rsidRPr="00A51861">
        <w:rPr>
          <w:rFonts w:asciiTheme="majorHAnsi" w:hAnsiTheme="majorHAnsi" w:cs="Arial"/>
          <w:color w:val="auto"/>
          <w:sz w:val="16"/>
          <w:szCs w:val="16"/>
        </w:rPr>
        <w:t xml:space="preserve">XVIII </w:t>
      </w:r>
      <w:r w:rsidR="001559D8" w:rsidRPr="00A51861">
        <w:rPr>
          <w:rFonts w:asciiTheme="majorHAnsi" w:hAnsiTheme="majorHAnsi" w:cs="Arial"/>
          <w:color w:val="auto"/>
          <w:sz w:val="16"/>
          <w:szCs w:val="16"/>
        </w:rPr>
        <w:t>establ</w:t>
      </w:r>
      <w:r w:rsidR="001559D8">
        <w:rPr>
          <w:rFonts w:asciiTheme="majorHAnsi" w:hAnsiTheme="majorHAnsi" w:cs="Arial"/>
          <w:color w:val="auto"/>
          <w:sz w:val="16"/>
          <w:szCs w:val="16"/>
        </w:rPr>
        <w:t>ishes</w:t>
      </w:r>
      <w:r w:rsidRPr="00A51861">
        <w:rPr>
          <w:rFonts w:asciiTheme="majorHAnsi" w:hAnsiTheme="majorHAnsi" w:cs="Arial"/>
          <w:color w:val="auto"/>
          <w:sz w:val="16"/>
          <w:szCs w:val="16"/>
        </w:rPr>
        <w:t>: “</w:t>
      </w:r>
      <w:r w:rsidR="001559D8" w:rsidRPr="001559D8">
        <w:rPr>
          <w:rFonts w:asciiTheme="majorHAnsi" w:hAnsiTheme="majorHAnsi" w:cs="Arial"/>
          <w:color w:val="auto"/>
          <w:sz w:val="16"/>
          <w:szCs w:val="16"/>
        </w:rPr>
        <w:t>Every person may resort to the courts to ensure respect for his legal rights.  There should likewise be available to him a simple, brief procedure whereby the courts will protect him from acts of authority that, to his prejudice, violate any fundamental constitutional rights</w:t>
      </w:r>
      <w:r w:rsidRPr="00A51861">
        <w:rPr>
          <w:rFonts w:asciiTheme="majorHAnsi" w:hAnsiTheme="majorHAnsi" w:cs="Arial"/>
          <w:color w:val="auto"/>
          <w:sz w:val="16"/>
          <w:szCs w:val="16"/>
        </w:rPr>
        <w:t>”.</w:t>
      </w:r>
    </w:p>
  </w:footnote>
  <w:footnote w:id="172">
    <w:p w14:paraId="3EFC2CC7" w14:textId="568F1D74" w:rsidR="00F40E67" w:rsidRPr="00A51861" w:rsidRDefault="00F40E67" w:rsidP="0063693D">
      <w:pPr>
        <w:pStyle w:val="FootnoteText"/>
        <w:jc w:val="both"/>
        <w:rPr>
          <w:rFonts w:asciiTheme="majorHAnsi" w:hAnsiTheme="majorHAnsi" w:cs="Arial"/>
          <w:color w:val="auto"/>
          <w:sz w:val="16"/>
          <w:szCs w:val="16"/>
        </w:rPr>
      </w:pPr>
      <w:r w:rsidRPr="00A51861">
        <w:rPr>
          <w:rStyle w:val="FootnoteReference"/>
          <w:rFonts w:asciiTheme="majorHAnsi" w:hAnsiTheme="majorHAnsi" w:cs="Arial"/>
          <w:color w:val="auto"/>
          <w:sz w:val="16"/>
          <w:szCs w:val="16"/>
        </w:rPr>
        <w:footnoteRef/>
      </w:r>
      <w:r w:rsidRPr="00A51861">
        <w:rPr>
          <w:rFonts w:asciiTheme="majorHAnsi" w:hAnsiTheme="majorHAnsi" w:cs="Arial"/>
          <w:color w:val="auto"/>
          <w:sz w:val="16"/>
          <w:szCs w:val="16"/>
        </w:rPr>
        <w:t xml:space="preserve"> </w:t>
      </w:r>
      <w:r w:rsidR="00E22665">
        <w:rPr>
          <w:rFonts w:asciiTheme="majorHAnsi" w:hAnsiTheme="majorHAnsi" w:cs="Arial"/>
          <w:color w:val="auto"/>
          <w:sz w:val="16"/>
          <w:szCs w:val="16"/>
        </w:rPr>
        <w:t xml:space="preserve">Article </w:t>
      </w:r>
      <w:r w:rsidRPr="00A51861">
        <w:rPr>
          <w:rFonts w:asciiTheme="majorHAnsi" w:hAnsiTheme="majorHAnsi" w:cs="Arial"/>
          <w:color w:val="auto"/>
          <w:sz w:val="16"/>
          <w:szCs w:val="16"/>
        </w:rPr>
        <w:t xml:space="preserve">XXVI </w:t>
      </w:r>
      <w:r w:rsidR="001559D8">
        <w:rPr>
          <w:rFonts w:asciiTheme="majorHAnsi" w:hAnsiTheme="majorHAnsi" w:cs="Arial"/>
          <w:color w:val="auto"/>
          <w:sz w:val="16"/>
          <w:szCs w:val="16"/>
        </w:rPr>
        <w:t>provides that</w:t>
      </w:r>
      <w:r w:rsidRPr="00A51861">
        <w:rPr>
          <w:rFonts w:asciiTheme="majorHAnsi" w:hAnsiTheme="majorHAnsi" w:cs="Arial"/>
          <w:color w:val="auto"/>
          <w:sz w:val="16"/>
          <w:szCs w:val="16"/>
        </w:rPr>
        <w:t>: “</w:t>
      </w:r>
      <w:r w:rsidR="001559D8" w:rsidRPr="001559D8">
        <w:rPr>
          <w:rFonts w:asciiTheme="majorHAnsi" w:hAnsiTheme="majorHAnsi" w:cs="Arial"/>
          <w:color w:val="auto"/>
          <w:sz w:val="16"/>
          <w:szCs w:val="16"/>
        </w:rPr>
        <w:t>Every accused person is presumed to be innocent until proved guilty.</w:t>
      </w:r>
      <w:r w:rsidR="001559D8">
        <w:rPr>
          <w:rFonts w:asciiTheme="majorHAnsi" w:hAnsiTheme="majorHAnsi" w:cs="Arial"/>
          <w:color w:val="auto"/>
          <w:sz w:val="16"/>
          <w:szCs w:val="16"/>
        </w:rPr>
        <w:t xml:space="preserve"> </w:t>
      </w:r>
      <w:r w:rsidR="001559D8" w:rsidRPr="001559D8">
        <w:rPr>
          <w:rFonts w:asciiTheme="majorHAnsi" w:hAnsiTheme="majorHAnsi" w:cs="Arial"/>
          <w:color w:val="auto"/>
          <w:sz w:val="16"/>
          <w:szCs w:val="16"/>
        </w:rPr>
        <w:t>Every person accused of an offense has the right to be given an impartial and public hearing, and to be tried by courts previously established in accordance with pre-existing laws, and not to receive cruel, infamous or unusual punishment</w:t>
      </w:r>
      <w:r w:rsidRPr="00A51861">
        <w:rPr>
          <w:rFonts w:asciiTheme="majorHAnsi" w:hAnsiTheme="majorHAnsi" w:cs="Arial"/>
          <w:color w:val="auto"/>
          <w:sz w:val="16"/>
          <w:szCs w:val="16"/>
        </w:rPr>
        <w:t>”.</w:t>
      </w:r>
    </w:p>
  </w:footnote>
  <w:footnote w:id="173">
    <w:p w14:paraId="6B4EA80E" w14:textId="7E7DF0AB" w:rsidR="00F40E67" w:rsidRPr="00A51861" w:rsidRDefault="00F40E67" w:rsidP="0063693D">
      <w:pPr>
        <w:pStyle w:val="FootnoteText"/>
        <w:jc w:val="both"/>
        <w:rPr>
          <w:rFonts w:asciiTheme="majorHAnsi" w:hAnsiTheme="majorHAnsi" w:cs="Arial"/>
          <w:color w:val="auto"/>
          <w:sz w:val="16"/>
          <w:szCs w:val="16"/>
        </w:rPr>
      </w:pPr>
      <w:r w:rsidRPr="00A51861">
        <w:rPr>
          <w:rStyle w:val="FootnoteReference"/>
          <w:rFonts w:asciiTheme="majorHAnsi" w:hAnsiTheme="majorHAnsi" w:cs="Arial"/>
          <w:color w:val="auto"/>
          <w:sz w:val="16"/>
          <w:szCs w:val="16"/>
        </w:rPr>
        <w:footnoteRef/>
      </w:r>
      <w:r w:rsidRPr="00A51861">
        <w:rPr>
          <w:rFonts w:asciiTheme="majorHAnsi" w:hAnsiTheme="majorHAnsi" w:cs="Arial"/>
          <w:color w:val="auto"/>
          <w:sz w:val="16"/>
          <w:szCs w:val="16"/>
        </w:rPr>
        <w:t xml:space="preserve"> Montevideo </w:t>
      </w:r>
      <w:r w:rsidR="001559D8">
        <w:rPr>
          <w:rFonts w:asciiTheme="majorHAnsi" w:hAnsiTheme="majorHAnsi" w:cs="Arial"/>
          <w:color w:val="auto"/>
          <w:sz w:val="16"/>
          <w:szCs w:val="16"/>
        </w:rPr>
        <w:t>Commitment on</w:t>
      </w:r>
      <w:r w:rsidRPr="00A51861">
        <w:rPr>
          <w:rFonts w:asciiTheme="majorHAnsi" w:hAnsiTheme="majorHAnsi" w:cs="Arial"/>
          <w:color w:val="auto"/>
          <w:sz w:val="16"/>
          <w:szCs w:val="16"/>
        </w:rPr>
        <w:t xml:space="preserve"> </w:t>
      </w:r>
      <w:r w:rsidR="001559D8" w:rsidRPr="00A51861">
        <w:rPr>
          <w:rFonts w:asciiTheme="majorHAnsi" w:hAnsiTheme="majorHAnsi" w:cs="Arial"/>
          <w:color w:val="auto"/>
          <w:sz w:val="16"/>
          <w:szCs w:val="16"/>
        </w:rPr>
        <w:t>Migrations</w:t>
      </w:r>
      <w:r w:rsidR="00B6596B">
        <w:rPr>
          <w:rFonts w:asciiTheme="majorHAnsi" w:hAnsiTheme="majorHAnsi" w:cs="Arial"/>
          <w:color w:val="auto"/>
          <w:sz w:val="16"/>
          <w:szCs w:val="16"/>
        </w:rPr>
        <w:t xml:space="preserve"> and </w:t>
      </w:r>
      <w:r w:rsidR="001559D8" w:rsidRPr="001559D8">
        <w:rPr>
          <w:rFonts w:asciiTheme="majorHAnsi" w:hAnsiTheme="majorHAnsi" w:cs="Arial"/>
          <w:color w:val="auto"/>
          <w:sz w:val="16"/>
          <w:szCs w:val="16"/>
        </w:rPr>
        <w:t>development by the Heads of State and Government of the Ibero-American community</w:t>
      </w:r>
      <w:r w:rsidRPr="00A51861">
        <w:rPr>
          <w:rFonts w:asciiTheme="majorHAnsi" w:hAnsiTheme="majorHAnsi" w:cs="Arial"/>
          <w:color w:val="auto"/>
          <w:sz w:val="16"/>
          <w:szCs w:val="16"/>
        </w:rPr>
        <w:t xml:space="preserve">, </w:t>
      </w:r>
      <w:r w:rsidR="001559D8">
        <w:rPr>
          <w:rFonts w:asciiTheme="majorHAnsi" w:hAnsiTheme="majorHAnsi" w:cs="Arial"/>
          <w:color w:val="auto"/>
          <w:sz w:val="16"/>
          <w:szCs w:val="16"/>
        </w:rPr>
        <w:t>adopted during the</w:t>
      </w:r>
      <w:r w:rsidR="00061928">
        <w:rPr>
          <w:rFonts w:asciiTheme="majorHAnsi" w:hAnsiTheme="majorHAnsi" w:cs="Arial"/>
          <w:color w:val="auto"/>
          <w:sz w:val="16"/>
          <w:szCs w:val="16"/>
        </w:rPr>
        <w:t xml:space="preserve"> </w:t>
      </w:r>
      <w:r w:rsidRPr="00A51861">
        <w:rPr>
          <w:rFonts w:asciiTheme="majorHAnsi" w:hAnsiTheme="majorHAnsi" w:cs="Arial"/>
          <w:color w:val="auto"/>
          <w:sz w:val="16"/>
          <w:szCs w:val="16"/>
        </w:rPr>
        <w:t xml:space="preserve">XVI </w:t>
      </w:r>
      <w:r w:rsidR="001559D8" w:rsidRPr="001559D8">
        <w:rPr>
          <w:rFonts w:asciiTheme="majorHAnsi" w:hAnsiTheme="majorHAnsi" w:cs="Arial"/>
          <w:color w:val="auto"/>
          <w:sz w:val="16"/>
          <w:szCs w:val="16"/>
        </w:rPr>
        <w:t xml:space="preserve">Ibero-American </w:t>
      </w:r>
      <w:r w:rsidR="001559D8">
        <w:rPr>
          <w:rFonts w:asciiTheme="majorHAnsi" w:hAnsiTheme="majorHAnsi" w:cs="Arial"/>
          <w:color w:val="auto"/>
          <w:sz w:val="16"/>
          <w:szCs w:val="16"/>
        </w:rPr>
        <w:t>Summit</w:t>
      </w:r>
      <w:r w:rsidRPr="00A51861">
        <w:rPr>
          <w:rFonts w:asciiTheme="majorHAnsi" w:hAnsiTheme="majorHAnsi" w:cs="Arial"/>
          <w:color w:val="auto"/>
          <w:sz w:val="16"/>
          <w:szCs w:val="16"/>
        </w:rPr>
        <w:t xml:space="preserve">, </w:t>
      </w:r>
      <w:r w:rsidR="001559D8">
        <w:rPr>
          <w:rFonts w:asciiTheme="majorHAnsi" w:hAnsiTheme="majorHAnsi" w:cs="Arial"/>
          <w:color w:val="auto"/>
          <w:sz w:val="16"/>
          <w:szCs w:val="16"/>
        </w:rPr>
        <w:t>held i</w:t>
      </w:r>
      <w:r w:rsidRPr="00A51861">
        <w:rPr>
          <w:rFonts w:asciiTheme="majorHAnsi" w:hAnsiTheme="majorHAnsi" w:cs="Arial"/>
          <w:color w:val="auto"/>
          <w:sz w:val="16"/>
          <w:szCs w:val="16"/>
        </w:rPr>
        <w:t xml:space="preserve">n Montevideo, Uruguay, </w:t>
      </w:r>
      <w:r w:rsidR="001559D8">
        <w:rPr>
          <w:rFonts w:asciiTheme="majorHAnsi" w:hAnsiTheme="majorHAnsi" w:cs="Arial"/>
          <w:color w:val="auto"/>
          <w:sz w:val="16"/>
          <w:szCs w:val="16"/>
        </w:rPr>
        <w:t>on 4 and 5 of November,</w:t>
      </w:r>
      <w:r w:rsidRPr="00A51861">
        <w:rPr>
          <w:rFonts w:asciiTheme="majorHAnsi" w:hAnsiTheme="majorHAnsi" w:cs="Arial"/>
          <w:color w:val="auto"/>
          <w:sz w:val="16"/>
          <w:szCs w:val="16"/>
        </w:rPr>
        <w:t xml:space="preserve"> 2006, </w:t>
      </w:r>
      <w:r w:rsidR="00B6596B">
        <w:rPr>
          <w:rFonts w:asciiTheme="majorHAnsi" w:hAnsiTheme="majorHAnsi" w:cs="Arial"/>
          <w:color w:val="auto"/>
          <w:sz w:val="16"/>
          <w:szCs w:val="16"/>
        </w:rPr>
        <w:t>para.</w:t>
      </w:r>
      <w:r w:rsidRPr="00A51861">
        <w:rPr>
          <w:rFonts w:asciiTheme="majorHAnsi" w:hAnsiTheme="majorHAnsi" w:cs="Arial"/>
          <w:color w:val="auto"/>
          <w:sz w:val="16"/>
          <w:szCs w:val="16"/>
        </w:rPr>
        <w:t xml:space="preserve"> 25.g)</w:t>
      </w:r>
    </w:p>
  </w:footnote>
  <w:footnote w:id="174">
    <w:p w14:paraId="43921227" w14:textId="7D217375" w:rsidR="00F40E67" w:rsidRPr="00A51861" w:rsidRDefault="00F40E67" w:rsidP="0063693D">
      <w:pPr>
        <w:pStyle w:val="FootnoteText"/>
        <w:jc w:val="both"/>
        <w:rPr>
          <w:rFonts w:asciiTheme="majorHAnsi" w:hAnsiTheme="majorHAnsi" w:cs="Arial"/>
          <w:color w:val="auto"/>
          <w:sz w:val="16"/>
          <w:szCs w:val="16"/>
        </w:rPr>
      </w:pPr>
      <w:r w:rsidRPr="00A51861">
        <w:rPr>
          <w:rStyle w:val="FootnoteReference"/>
          <w:rFonts w:asciiTheme="majorHAnsi" w:hAnsiTheme="majorHAnsi" w:cs="Arial"/>
          <w:color w:val="auto"/>
          <w:sz w:val="16"/>
          <w:szCs w:val="16"/>
        </w:rPr>
        <w:footnoteRef/>
      </w:r>
      <w:r w:rsidRPr="00A51861">
        <w:rPr>
          <w:rFonts w:asciiTheme="majorHAnsi" w:hAnsiTheme="majorHAnsi" w:cs="Arial"/>
          <w:color w:val="auto"/>
          <w:sz w:val="16"/>
          <w:szCs w:val="16"/>
        </w:rPr>
        <w:t xml:space="preserve"> </w:t>
      </w:r>
      <w:r w:rsidR="00036743">
        <w:rPr>
          <w:rFonts w:asciiTheme="majorHAnsi" w:hAnsiTheme="majorHAnsi" w:cs="Arial"/>
          <w:color w:val="auto"/>
          <w:sz w:val="16"/>
          <w:szCs w:val="16"/>
        </w:rPr>
        <w:t>IHR Court</w:t>
      </w:r>
      <w:r w:rsidRPr="00A51861">
        <w:rPr>
          <w:rFonts w:asciiTheme="majorHAnsi" w:hAnsiTheme="majorHAnsi" w:cs="Arial"/>
          <w:color w:val="auto"/>
          <w:sz w:val="16"/>
          <w:szCs w:val="16"/>
        </w:rPr>
        <w:t xml:space="preserve">. </w:t>
      </w:r>
      <w:r w:rsidR="006307D0">
        <w:rPr>
          <w:rFonts w:asciiTheme="majorHAnsi" w:hAnsiTheme="majorHAnsi" w:cs="Arial"/>
          <w:color w:val="auto"/>
          <w:sz w:val="16"/>
          <w:szCs w:val="16"/>
        </w:rPr>
        <w:t>Rights</w:t>
      </w:r>
      <w:r w:rsidR="00B6596B">
        <w:rPr>
          <w:rFonts w:asciiTheme="majorHAnsi" w:hAnsiTheme="majorHAnsi" w:cs="Arial"/>
          <w:color w:val="auto"/>
          <w:sz w:val="16"/>
          <w:szCs w:val="16"/>
        </w:rPr>
        <w:t xml:space="preserve"> and </w:t>
      </w:r>
      <w:r w:rsidR="00347146">
        <w:rPr>
          <w:rFonts w:asciiTheme="majorHAnsi" w:hAnsiTheme="majorHAnsi" w:cs="Arial"/>
          <w:color w:val="auto"/>
          <w:sz w:val="16"/>
          <w:szCs w:val="16"/>
        </w:rPr>
        <w:t>guarantees of children in the</w:t>
      </w:r>
      <w:r w:rsidRPr="00A51861">
        <w:rPr>
          <w:rFonts w:asciiTheme="majorHAnsi" w:hAnsiTheme="majorHAnsi" w:cs="Arial"/>
          <w:color w:val="auto"/>
          <w:sz w:val="16"/>
          <w:szCs w:val="16"/>
        </w:rPr>
        <w:t xml:space="preserve"> context</w:t>
      </w:r>
      <w:r w:rsidR="00061928">
        <w:rPr>
          <w:rFonts w:asciiTheme="majorHAnsi" w:hAnsiTheme="majorHAnsi" w:cs="Arial"/>
          <w:color w:val="auto"/>
          <w:sz w:val="16"/>
          <w:szCs w:val="16"/>
        </w:rPr>
        <w:t xml:space="preserve"> of </w:t>
      </w:r>
      <w:r w:rsidR="00347146" w:rsidRPr="00A51861">
        <w:rPr>
          <w:rFonts w:asciiTheme="majorHAnsi" w:hAnsiTheme="majorHAnsi" w:cs="Arial"/>
          <w:color w:val="auto"/>
          <w:sz w:val="16"/>
          <w:szCs w:val="16"/>
        </w:rPr>
        <w:t>migration</w:t>
      </w:r>
      <w:r w:rsidRPr="00A51861">
        <w:rPr>
          <w:rFonts w:asciiTheme="majorHAnsi" w:hAnsiTheme="majorHAnsi" w:cs="Arial"/>
          <w:color w:val="auto"/>
          <w:sz w:val="16"/>
          <w:szCs w:val="16"/>
        </w:rPr>
        <w:t xml:space="preserve"> </w:t>
      </w:r>
      <w:r w:rsidR="00347146" w:rsidRPr="00347146">
        <w:rPr>
          <w:rFonts w:asciiTheme="majorHAnsi" w:hAnsiTheme="majorHAnsi" w:cs="Arial"/>
          <w:color w:val="auto"/>
          <w:sz w:val="16"/>
          <w:szCs w:val="16"/>
        </w:rPr>
        <w:t xml:space="preserve">and/or </w:t>
      </w:r>
      <w:r w:rsidR="00347146">
        <w:rPr>
          <w:rFonts w:asciiTheme="majorHAnsi" w:hAnsiTheme="majorHAnsi" w:cs="Arial"/>
          <w:color w:val="auto"/>
          <w:sz w:val="16"/>
          <w:szCs w:val="16"/>
        </w:rPr>
        <w:t>in</w:t>
      </w:r>
      <w:r w:rsidRPr="00A51861">
        <w:rPr>
          <w:rFonts w:asciiTheme="majorHAnsi" w:hAnsiTheme="majorHAnsi" w:cs="Arial"/>
          <w:color w:val="auto"/>
          <w:sz w:val="16"/>
          <w:szCs w:val="16"/>
        </w:rPr>
        <w:t xml:space="preserve"> nece</w:t>
      </w:r>
      <w:r w:rsidR="00347146">
        <w:rPr>
          <w:rFonts w:asciiTheme="majorHAnsi" w:hAnsiTheme="majorHAnsi" w:cs="Arial"/>
          <w:color w:val="auto"/>
          <w:sz w:val="16"/>
          <w:szCs w:val="16"/>
        </w:rPr>
        <w:t>s</w:t>
      </w:r>
      <w:r w:rsidRPr="00A51861">
        <w:rPr>
          <w:rFonts w:asciiTheme="majorHAnsi" w:hAnsiTheme="majorHAnsi" w:cs="Arial"/>
          <w:color w:val="auto"/>
          <w:sz w:val="16"/>
          <w:szCs w:val="16"/>
        </w:rPr>
        <w:t>si</w:t>
      </w:r>
      <w:r w:rsidR="00FA2E7B">
        <w:rPr>
          <w:rFonts w:asciiTheme="majorHAnsi" w:hAnsiTheme="majorHAnsi" w:cs="Arial"/>
          <w:color w:val="auto"/>
          <w:sz w:val="16"/>
          <w:szCs w:val="16"/>
        </w:rPr>
        <w:t xml:space="preserve">ty </w:t>
      </w:r>
      <w:r w:rsidR="00347146">
        <w:rPr>
          <w:rFonts w:asciiTheme="majorHAnsi" w:hAnsiTheme="majorHAnsi" w:cs="Arial"/>
          <w:color w:val="auto"/>
          <w:sz w:val="16"/>
          <w:szCs w:val="16"/>
        </w:rPr>
        <w:t>of</w:t>
      </w:r>
      <w:r w:rsidRPr="00A51861">
        <w:rPr>
          <w:rFonts w:asciiTheme="majorHAnsi" w:hAnsiTheme="majorHAnsi" w:cs="Arial"/>
          <w:color w:val="auto"/>
          <w:sz w:val="16"/>
          <w:szCs w:val="16"/>
        </w:rPr>
        <w:t xml:space="preserve"> </w:t>
      </w:r>
      <w:r w:rsidR="00347146" w:rsidRPr="00A51861">
        <w:rPr>
          <w:rFonts w:asciiTheme="majorHAnsi" w:hAnsiTheme="majorHAnsi" w:cs="Arial"/>
          <w:color w:val="auto"/>
          <w:sz w:val="16"/>
          <w:szCs w:val="16"/>
        </w:rPr>
        <w:t>international protection</w:t>
      </w:r>
      <w:r w:rsidRPr="00A51861">
        <w:rPr>
          <w:rFonts w:asciiTheme="majorHAnsi" w:hAnsiTheme="majorHAnsi" w:cs="Arial"/>
          <w:color w:val="auto"/>
          <w:sz w:val="16"/>
          <w:szCs w:val="16"/>
        </w:rPr>
        <w:t xml:space="preserve">. </w:t>
      </w:r>
      <w:r w:rsidR="00357129">
        <w:rPr>
          <w:rFonts w:asciiTheme="majorHAnsi" w:hAnsiTheme="majorHAnsi" w:cs="Arial"/>
          <w:color w:val="auto"/>
          <w:sz w:val="16"/>
          <w:szCs w:val="16"/>
        </w:rPr>
        <w:t xml:space="preserve">Advisory Opinion </w:t>
      </w:r>
      <w:r w:rsidRPr="00A51861">
        <w:rPr>
          <w:rFonts w:asciiTheme="majorHAnsi" w:hAnsiTheme="majorHAnsi" w:cs="Arial"/>
          <w:color w:val="auto"/>
          <w:sz w:val="16"/>
          <w:szCs w:val="16"/>
        </w:rPr>
        <w:t xml:space="preserve">OC-21/14 </w:t>
      </w:r>
      <w:r w:rsidR="00347146">
        <w:rPr>
          <w:rFonts w:asciiTheme="majorHAnsi" w:hAnsiTheme="majorHAnsi" w:cs="Arial"/>
          <w:color w:val="auto"/>
          <w:sz w:val="16"/>
          <w:szCs w:val="16"/>
        </w:rPr>
        <w:t>of</w:t>
      </w:r>
      <w:r w:rsidRPr="00A51861">
        <w:rPr>
          <w:rFonts w:asciiTheme="majorHAnsi" w:hAnsiTheme="majorHAnsi" w:cs="Arial"/>
          <w:color w:val="auto"/>
          <w:sz w:val="16"/>
          <w:szCs w:val="16"/>
        </w:rPr>
        <w:t xml:space="preserve"> </w:t>
      </w:r>
      <w:r w:rsidR="00A51861">
        <w:rPr>
          <w:rFonts w:asciiTheme="majorHAnsi" w:hAnsiTheme="majorHAnsi" w:cs="Arial"/>
          <w:color w:val="auto"/>
          <w:sz w:val="16"/>
          <w:szCs w:val="16"/>
        </w:rPr>
        <w:t xml:space="preserve">August 19, </w:t>
      </w:r>
      <w:r w:rsidRPr="00A51861">
        <w:rPr>
          <w:rFonts w:asciiTheme="majorHAnsi" w:hAnsiTheme="majorHAnsi" w:cs="Arial"/>
          <w:color w:val="auto"/>
          <w:sz w:val="16"/>
          <w:szCs w:val="16"/>
        </w:rPr>
        <w:t>2014. Serie A No. 21.</w:t>
      </w:r>
    </w:p>
  </w:footnote>
  <w:footnote w:id="175">
    <w:p w14:paraId="55CF3FC1" w14:textId="58E45C4C"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0E67CA">
        <w:rPr>
          <w:rFonts w:asciiTheme="majorHAnsi" w:hAnsiTheme="majorHAnsi"/>
          <w:color w:val="auto"/>
          <w:sz w:val="16"/>
          <w:szCs w:val="16"/>
        </w:rPr>
        <w:t>IACHR</w:t>
      </w:r>
      <w:r w:rsidRPr="00A51861">
        <w:rPr>
          <w:rFonts w:asciiTheme="majorHAnsi" w:hAnsiTheme="majorHAnsi"/>
          <w:color w:val="auto"/>
          <w:sz w:val="16"/>
          <w:szCs w:val="16"/>
        </w:rPr>
        <w:t xml:space="preserve">. </w:t>
      </w:r>
      <w:r w:rsidR="00347146">
        <w:rPr>
          <w:rFonts w:asciiTheme="majorHAnsi" w:hAnsiTheme="majorHAnsi"/>
          <w:color w:val="auto"/>
          <w:sz w:val="16"/>
          <w:szCs w:val="16"/>
        </w:rPr>
        <w:t xml:space="preserve">Inter-American Principles on Human Rights of all </w:t>
      </w:r>
      <w:r w:rsidR="00347146" w:rsidRPr="00347146">
        <w:rPr>
          <w:rFonts w:asciiTheme="majorHAnsi" w:hAnsiTheme="majorHAnsi"/>
          <w:color w:val="auto"/>
          <w:sz w:val="16"/>
          <w:szCs w:val="16"/>
        </w:rPr>
        <w:t>Migrants, Refugees, Stateless Persons and Victims of human trafficking</w:t>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 xml:space="preserve">Resolution </w:t>
      </w:r>
      <w:r w:rsidRPr="00A51861">
        <w:rPr>
          <w:rFonts w:asciiTheme="majorHAnsi" w:hAnsiTheme="majorHAnsi"/>
          <w:color w:val="auto"/>
          <w:sz w:val="16"/>
          <w:szCs w:val="16"/>
        </w:rPr>
        <w:t xml:space="preserve">04/19. </w:t>
      </w:r>
      <w:r w:rsidR="00347146">
        <w:rPr>
          <w:rFonts w:asciiTheme="majorHAnsi" w:hAnsiTheme="majorHAnsi"/>
          <w:color w:val="auto"/>
          <w:sz w:val="16"/>
          <w:szCs w:val="16"/>
        </w:rPr>
        <w:t>December 7,</w:t>
      </w:r>
      <w:r w:rsidRPr="00A51861">
        <w:rPr>
          <w:rFonts w:asciiTheme="majorHAnsi" w:hAnsiTheme="majorHAnsi"/>
          <w:color w:val="auto"/>
          <w:sz w:val="16"/>
          <w:szCs w:val="16"/>
        </w:rPr>
        <w:t xml:space="preserve"> 2019.</w:t>
      </w:r>
    </w:p>
  </w:footnote>
  <w:footnote w:id="176">
    <w:p w14:paraId="0ACDA3F0" w14:textId="482532F3" w:rsidR="00F40E67" w:rsidRPr="00A51861" w:rsidRDefault="00F40E67" w:rsidP="0063693D">
      <w:pPr>
        <w:pStyle w:val="FootnoteText"/>
        <w:jc w:val="both"/>
        <w:rPr>
          <w:rFonts w:asciiTheme="majorHAnsi" w:hAnsiTheme="majorHAnsi" w:cs="Arial"/>
          <w:color w:val="auto"/>
          <w:sz w:val="16"/>
          <w:szCs w:val="16"/>
        </w:rPr>
      </w:pPr>
      <w:r w:rsidRPr="00A51861">
        <w:rPr>
          <w:rStyle w:val="FootnoteReference"/>
          <w:rFonts w:asciiTheme="majorHAnsi" w:hAnsiTheme="majorHAnsi" w:cs="Arial"/>
          <w:color w:val="auto"/>
          <w:sz w:val="16"/>
          <w:szCs w:val="16"/>
        </w:rPr>
        <w:footnoteRef/>
      </w:r>
      <w:r w:rsidRPr="00A51861">
        <w:rPr>
          <w:rFonts w:asciiTheme="majorHAnsi" w:hAnsiTheme="majorHAnsi" w:cs="Arial"/>
          <w:color w:val="auto"/>
          <w:sz w:val="16"/>
          <w:szCs w:val="16"/>
        </w:rPr>
        <w:t xml:space="preserve"> </w:t>
      </w:r>
      <w:r w:rsidR="00347146">
        <w:rPr>
          <w:rFonts w:asciiTheme="majorHAnsi" w:hAnsiTheme="majorHAnsi" w:cs="Arial"/>
          <w:color w:val="auto"/>
          <w:sz w:val="16"/>
          <w:szCs w:val="16"/>
        </w:rPr>
        <w:t>See</w:t>
      </w:r>
      <w:r w:rsidRPr="00A51861">
        <w:rPr>
          <w:rFonts w:asciiTheme="majorHAnsi" w:hAnsiTheme="majorHAnsi" w:cs="Arial"/>
          <w:color w:val="auto"/>
          <w:sz w:val="16"/>
          <w:szCs w:val="16"/>
        </w:rPr>
        <w:t xml:space="preserve">, </w:t>
      </w:r>
      <w:r w:rsidR="00347146">
        <w:rPr>
          <w:rFonts w:asciiTheme="majorHAnsi" w:hAnsiTheme="majorHAnsi" w:cs="Arial"/>
          <w:color w:val="auto"/>
          <w:sz w:val="16"/>
          <w:szCs w:val="16"/>
        </w:rPr>
        <w:t>i</w:t>
      </w:r>
      <w:r w:rsidRPr="00A51861">
        <w:rPr>
          <w:rFonts w:asciiTheme="majorHAnsi" w:hAnsiTheme="majorHAnsi" w:cs="Arial"/>
          <w:color w:val="auto"/>
          <w:sz w:val="16"/>
          <w:szCs w:val="16"/>
        </w:rPr>
        <w:t xml:space="preserve">n general, </w:t>
      </w:r>
      <w:r w:rsidR="000E67CA">
        <w:rPr>
          <w:rFonts w:asciiTheme="majorHAnsi" w:hAnsiTheme="majorHAnsi" w:cs="Arial"/>
          <w:color w:val="auto"/>
          <w:sz w:val="16"/>
          <w:szCs w:val="16"/>
        </w:rPr>
        <w:t>IACHR</w:t>
      </w:r>
      <w:r w:rsidRPr="00A51861">
        <w:rPr>
          <w:rFonts w:asciiTheme="majorHAnsi" w:hAnsiTheme="majorHAnsi" w:cs="Arial"/>
          <w:color w:val="auto"/>
          <w:sz w:val="16"/>
          <w:szCs w:val="16"/>
        </w:rPr>
        <w:t>,</w:t>
      </w:r>
      <w:r w:rsidR="000E67CA">
        <w:rPr>
          <w:rFonts w:asciiTheme="majorHAnsi" w:hAnsiTheme="majorHAnsi" w:cs="Arial"/>
          <w:color w:val="auto"/>
          <w:sz w:val="16"/>
          <w:szCs w:val="16"/>
        </w:rPr>
        <w:t xml:space="preserve"> Report </w:t>
      </w:r>
      <w:r w:rsidR="00347146">
        <w:rPr>
          <w:rFonts w:asciiTheme="majorHAnsi" w:hAnsiTheme="majorHAnsi" w:cs="Arial"/>
          <w:color w:val="auto"/>
          <w:sz w:val="16"/>
          <w:szCs w:val="16"/>
        </w:rPr>
        <w:t>on the situation on Human Rights of the petitioners of asylum in the System</w:t>
      </w:r>
      <w:r w:rsidRPr="00A51861">
        <w:rPr>
          <w:rFonts w:asciiTheme="majorHAnsi" w:hAnsiTheme="majorHAnsi" w:cs="Arial"/>
          <w:color w:val="auto"/>
          <w:sz w:val="16"/>
          <w:szCs w:val="16"/>
        </w:rPr>
        <w:t xml:space="preserve"> </w:t>
      </w:r>
      <w:r w:rsidR="00347146">
        <w:rPr>
          <w:rFonts w:asciiTheme="majorHAnsi" w:hAnsiTheme="majorHAnsi" w:cs="Arial"/>
          <w:color w:val="auto"/>
          <w:sz w:val="16"/>
          <w:szCs w:val="16"/>
        </w:rPr>
        <w:t>of</w:t>
      </w:r>
      <w:r w:rsidRPr="00A51861">
        <w:rPr>
          <w:rFonts w:asciiTheme="majorHAnsi" w:hAnsiTheme="majorHAnsi" w:cs="Arial"/>
          <w:color w:val="auto"/>
          <w:sz w:val="16"/>
          <w:szCs w:val="16"/>
        </w:rPr>
        <w:t xml:space="preserve"> </w:t>
      </w:r>
      <w:r w:rsidR="00347146" w:rsidRPr="00A51861">
        <w:rPr>
          <w:rFonts w:asciiTheme="majorHAnsi" w:hAnsiTheme="majorHAnsi" w:cs="Arial"/>
          <w:color w:val="auto"/>
          <w:sz w:val="16"/>
          <w:szCs w:val="16"/>
        </w:rPr>
        <w:t>Determination</w:t>
      </w:r>
      <w:r w:rsidR="00347146">
        <w:rPr>
          <w:rFonts w:asciiTheme="majorHAnsi" w:hAnsiTheme="majorHAnsi" w:cs="Arial"/>
          <w:color w:val="auto"/>
          <w:sz w:val="16"/>
          <w:szCs w:val="16"/>
        </w:rPr>
        <w:t xml:space="preserve"> of </w:t>
      </w:r>
      <w:r w:rsidR="00347146" w:rsidRPr="00A51861">
        <w:rPr>
          <w:rFonts w:asciiTheme="majorHAnsi" w:hAnsiTheme="majorHAnsi" w:cs="Arial"/>
          <w:color w:val="auto"/>
          <w:sz w:val="16"/>
          <w:szCs w:val="16"/>
        </w:rPr>
        <w:t>Canadi</w:t>
      </w:r>
      <w:r w:rsidR="00347146">
        <w:rPr>
          <w:rFonts w:asciiTheme="majorHAnsi" w:hAnsiTheme="majorHAnsi" w:cs="Arial"/>
          <w:color w:val="auto"/>
          <w:sz w:val="16"/>
          <w:szCs w:val="16"/>
        </w:rPr>
        <w:t xml:space="preserve">an </w:t>
      </w:r>
      <w:r w:rsidRPr="00A51861">
        <w:rPr>
          <w:rFonts w:asciiTheme="majorHAnsi" w:hAnsiTheme="majorHAnsi" w:cs="Arial"/>
          <w:color w:val="auto"/>
          <w:sz w:val="16"/>
          <w:szCs w:val="16"/>
        </w:rPr>
        <w:t>Refug</w:t>
      </w:r>
      <w:r w:rsidR="00347146">
        <w:rPr>
          <w:rFonts w:asciiTheme="majorHAnsi" w:hAnsiTheme="majorHAnsi" w:cs="Arial"/>
          <w:color w:val="auto"/>
          <w:sz w:val="16"/>
          <w:szCs w:val="16"/>
        </w:rPr>
        <w:t>ee</w:t>
      </w:r>
      <w:r w:rsidRPr="00A51861">
        <w:rPr>
          <w:rFonts w:asciiTheme="majorHAnsi" w:hAnsiTheme="majorHAnsi" w:cs="Arial"/>
          <w:color w:val="auto"/>
          <w:sz w:val="16"/>
          <w:szCs w:val="16"/>
        </w:rPr>
        <w:t xml:space="preserve">s, OEA/Ser. L/V/II.106 Doc. 40 rev., </w:t>
      </w:r>
      <w:r w:rsidR="00347146">
        <w:rPr>
          <w:rFonts w:asciiTheme="majorHAnsi" w:hAnsiTheme="majorHAnsi" w:cs="Arial"/>
          <w:color w:val="auto"/>
          <w:sz w:val="16"/>
          <w:szCs w:val="16"/>
        </w:rPr>
        <w:t>February 28,</w:t>
      </w:r>
      <w:r w:rsidRPr="00A51861">
        <w:rPr>
          <w:rFonts w:asciiTheme="majorHAnsi" w:hAnsiTheme="majorHAnsi" w:cs="Arial"/>
          <w:color w:val="auto"/>
          <w:sz w:val="16"/>
          <w:szCs w:val="16"/>
        </w:rPr>
        <w:t xml:space="preserve"> 2000,</w:t>
      </w:r>
      <w:r w:rsidR="00B6596B">
        <w:rPr>
          <w:rFonts w:asciiTheme="majorHAnsi" w:hAnsiTheme="majorHAnsi" w:cs="Arial"/>
          <w:color w:val="auto"/>
          <w:sz w:val="16"/>
          <w:szCs w:val="16"/>
        </w:rPr>
        <w:t xml:space="preserve"> and </w:t>
      </w:r>
      <w:r w:rsidR="000E67CA">
        <w:rPr>
          <w:rFonts w:asciiTheme="majorHAnsi" w:hAnsiTheme="majorHAnsi" w:cs="Arial"/>
          <w:color w:val="auto"/>
          <w:sz w:val="16"/>
          <w:szCs w:val="16"/>
        </w:rPr>
        <w:t>IACHR</w:t>
      </w:r>
      <w:r w:rsidRPr="00A51861">
        <w:rPr>
          <w:rFonts w:asciiTheme="majorHAnsi" w:hAnsiTheme="majorHAnsi" w:cs="Arial"/>
          <w:color w:val="auto"/>
          <w:sz w:val="16"/>
          <w:szCs w:val="16"/>
        </w:rPr>
        <w:t>.</w:t>
      </w:r>
      <w:r w:rsidR="000E67CA">
        <w:rPr>
          <w:rFonts w:asciiTheme="majorHAnsi" w:hAnsiTheme="majorHAnsi" w:cs="Arial"/>
          <w:color w:val="auto"/>
          <w:sz w:val="16"/>
          <w:szCs w:val="16"/>
        </w:rPr>
        <w:t xml:space="preserve"> Report </w:t>
      </w:r>
      <w:r w:rsidRPr="00A51861">
        <w:rPr>
          <w:rFonts w:asciiTheme="majorHAnsi" w:hAnsiTheme="majorHAnsi" w:cs="Arial"/>
          <w:color w:val="auto"/>
          <w:sz w:val="16"/>
          <w:szCs w:val="16"/>
        </w:rPr>
        <w:t xml:space="preserve">No. 63/08. </w:t>
      </w:r>
      <w:r w:rsidR="00B6596B">
        <w:rPr>
          <w:rFonts w:asciiTheme="majorHAnsi" w:hAnsiTheme="majorHAnsi" w:cs="Arial"/>
          <w:color w:val="auto"/>
          <w:sz w:val="16"/>
          <w:szCs w:val="16"/>
        </w:rPr>
        <w:t xml:space="preserve">Case </w:t>
      </w:r>
      <w:r w:rsidRPr="00A51861">
        <w:rPr>
          <w:rFonts w:asciiTheme="majorHAnsi" w:hAnsiTheme="majorHAnsi" w:cs="Arial"/>
          <w:color w:val="auto"/>
          <w:sz w:val="16"/>
          <w:szCs w:val="16"/>
        </w:rPr>
        <w:t xml:space="preserve">12.534. </w:t>
      </w:r>
      <w:r w:rsidR="00061928">
        <w:rPr>
          <w:rFonts w:asciiTheme="majorHAnsi" w:hAnsiTheme="majorHAnsi" w:cs="Arial"/>
          <w:color w:val="auto"/>
          <w:sz w:val="16"/>
          <w:szCs w:val="16"/>
        </w:rPr>
        <w:t>Admissibility</w:t>
      </w:r>
      <w:r w:rsidR="00B6596B">
        <w:rPr>
          <w:rFonts w:asciiTheme="majorHAnsi" w:hAnsiTheme="majorHAnsi" w:cs="Arial"/>
          <w:color w:val="auto"/>
          <w:sz w:val="16"/>
          <w:szCs w:val="16"/>
        </w:rPr>
        <w:t xml:space="preserve"> </w:t>
      </w:r>
      <w:r w:rsidR="002D6E83">
        <w:rPr>
          <w:rFonts w:asciiTheme="majorHAnsi" w:hAnsiTheme="majorHAnsi" w:cs="Arial"/>
          <w:color w:val="auto"/>
          <w:sz w:val="16"/>
          <w:szCs w:val="16"/>
        </w:rPr>
        <w:t>and Merits</w:t>
      </w:r>
      <w:r w:rsidRPr="00A51861">
        <w:rPr>
          <w:rFonts w:asciiTheme="majorHAnsi" w:hAnsiTheme="majorHAnsi" w:cs="Arial"/>
          <w:color w:val="auto"/>
          <w:sz w:val="16"/>
          <w:szCs w:val="16"/>
        </w:rPr>
        <w:t xml:space="preserve">. Andrea Mortlock. </w:t>
      </w:r>
      <w:r w:rsidR="00347146">
        <w:rPr>
          <w:rFonts w:asciiTheme="majorHAnsi" w:hAnsiTheme="majorHAnsi" w:cs="Arial"/>
          <w:color w:val="auto"/>
          <w:sz w:val="16"/>
          <w:szCs w:val="16"/>
        </w:rPr>
        <w:t>United States</w:t>
      </w:r>
      <w:r w:rsidRPr="00A51861">
        <w:rPr>
          <w:rFonts w:asciiTheme="majorHAnsi" w:hAnsiTheme="majorHAnsi" w:cs="Arial"/>
          <w:color w:val="auto"/>
          <w:sz w:val="16"/>
          <w:szCs w:val="16"/>
        </w:rPr>
        <w:t xml:space="preserve">. </w:t>
      </w:r>
      <w:r w:rsidR="00347146">
        <w:rPr>
          <w:rFonts w:asciiTheme="majorHAnsi" w:hAnsiTheme="majorHAnsi" w:cs="Arial"/>
          <w:color w:val="auto"/>
          <w:sz w:val="16"/>
          <w:szCs w:val="16"/>
        </w:rPr>
        <w:t>July 25,</w:t>
      </w:r>
      <w:r w:rsidRPr="00A51861">
        <w:rPr>
          <w:rFonts w:asciiTheme="majorHAnsi" w:hAnsiTheme="majorHAnsi" w:cs="Arial"/>
          <w:color w:val="auto"/>
          <w:sz w:val="16"/>
          <w:szCs w:val="16"/>
        </w:rPr>
        <w:t xml:space="preserve"> 2008. </w:t>
      </w:r>
      <w:r w:rsidR="00357129">
        <w:rPr>
          <w:rFonts w:asciiTheme="majorHAnsi" w:hAnsiTheme="majorHAnsi" w:cs="Arial"/>
          <w:color w:val="auto"/>
          <w:sz w:val="16"/>
          <w:szCs w:val="16"/>
        </w:rPr>
        <w:t xml:space="preserve">Para. </w:t>
      </w:r>
      <w:r w:rsidRPr="00A51861">
        <w:rPr>
          <w:rFonts w:asciiTheme="majorHAnsi" w:hAnsiTheme="majorHAnsi" w:cs="Arial"/>
          <w:color w:val="auto"/>
          <w:sz w:val="16"/>
          <w:szCs w:val="16"/>
        </w:rPr>
        <w:t>78.</w:t>
      </w:r>
    </w:p>
  </w:footnote>
  <w:footnote w:id="177">
    <w:p w14:paraId="0E16D2FB" w14:textId="1D5DA2E4" w:rsidR="00F40E67" w:rsidRPr="00A51861" w:rsidRDefault="00F40E67" w:rsidP="0063693D">
      <w:pPr>
        <w:pStyle w:val="FootnoteText"/>
        <w:jc w:val="both"/>
        <w:rPr>
          <w:rFonts w:asciiTheme="majorHAnsi" w:hAnsiTheme="majorHAnsi"/>
          <w:color w:val="auto"/>
          <w:sz w:val="16"/>
          <w:szCs w:val="16"/>
        </w:rPr>
      </w:pPr>
      <w:r w:rsidRPr="00273F34">
        <w:rPr>
          <w:rStyle w:val="FootnoteReference"/>
          <w:rFonts w:asciiTheme="majorHAnsi" w:hAnsiTheme="majorHAnsi"/>
          <w:color w:val="auto"/>
          <w:sz w:val="16"/>
          <w:szCs w:val="16"/>
        </w:rPr>
        <w:footnoteRef/>
      </w:r>
      <w:r w:rsidRPr="00273F34">
        <w:rPr>
          <w:rStyle w:val="FootnoteReference"/>
        </w:rPr>
        <w:t xml:space="preserve"> </w:t>
      </w:r>
      <w:r w:rsidR="000E67CA" w:rsidRPr="00273F34">
        <w:rPr>
          <w:rStyle w:val="FootnoteReference"/>
          <w:rFonts w:asciiTheme="majorHAnsi" w:hAnsiTheme="majorHAnsi" w:cs="Arial"/>
          <w:sz w:val="16"/>
          <w:szCs w:val="16"/>
          <w:vertAlign w:val="baseline"/>
        </w:rPr>
        <w:t>IACHR</w:t>
      </w:r>
      <w:r w:rsidRPr="00273F34">
        <w:rPr>
          <w:rStyle w:val="FootnoteReference"/>
          <w:rFonts w:asciiTheme="majorHAnsi" w:hAnsiTheme="majorHAnsi" w:cs="Arial"/>
          <w:sz w:val="16"/>
          <w:szCs w:val="16"/>
          <w:vertAlign w:val="baseline"/>
        </w:rPr>
        <w:t>.</w:t>
      </w:r>
      <w:r w:rsidR="000E67CA">
        <w:rPr>
          <w:rFonts w:asciiTheme="majorHAnsi" w:hAnsiTheme="majorHAnsi"/>
          <w:color w:val="auto"/>
          <w:sz w:val="16"/>
          <w:szCs w:val="16"/>
        </w:rPr>
        <w:t xml:space="preserve"> Report </w:t>
      </w:r>
      <w:r w:rsidRPr="00A51861">
        <w:rPr>
          <w:rFonts w:asciiTheme="majorHAnsi" w:hAnsiTheme="majorHAnsi"/>
          <w:color w:val="auto"/>
          <w:sz w:val="16"/>
          <w:szCs w:val="16"/>
        </w:rPr>
        <w:t>No. 81/10</w:t>
      </w:r>
      <w:r w:rsidRPr="00A51861">
        <w:rPr>
          <w:rFonts w:asciiTheme="majorHAnsi" w:hAnsiTheme="majorHAnsi"/>
          <w:b/>
          <w:color w:val="auto"/>
          <w:sz w:val="16"/>
          <w:szCs w:val="16"/>
        </w:rPr>
        <w:t xml:space="preserve">. </w:t>
      </w:r>
      <w:r w:rsidR="00B6596B">
        <w:rPr>
          <w:rFonts w:asciiTheme="majorHAnsi" w:hAnsiTheme="majorHAnsi"/>
          <w:color w:val="auto"/>
          <w:sz w:val="16"/>
          <w:szCs w:val="16"/>
        </w:rPr>
        <w:t xml:space="preserve">Case </w:t>
      </w:r>
      <w:r w:rsidR="00347146">
        <w:rPr>
          <w:rFonts w:asciiTheme="majorHAnsi" w:hAnsiTheme="majorHAnsi"/>
          <w:color w:val="auto"/>
          <w:sz w:val="16"/>
          <w:szCs w:val="16"/>
        </w:rPr>
        <w:t xml:space="preserve">of </w:t>
      </w:r>
      <w:r w:rsidRPr="00A51861">
        <w:rPr>
          <w:rFonts w:asciiTheme="majorHAnsi" w:hAnsiTheme="majorHAnsi"/>
          <w:color w:val="auto"/>
          <w:sz w:val="16"/>
          <w:szCs w:val="16"/>
        </w:rPr>
        <w:t xml:space="preserve">12.562. </w:t>
      </w:r>
      <w:r w:rsidR="00B6596B">
        <w:rPr>
          <w:rFonts w:asciiTheme="majorHAnsi" w:hAnsiTheme="majorHAnsi"/>
          <w:color w:val="auto"/>
          <w:sz w:val="16"/>
          <w:szCs w:val="16"/>
        </w:rPr>
        <w:t>Merits</w:t>
      </w:r>
      <w:r w:rsidRPr="00A51861">
        <w:rPr>
          <w:rFonts w:asciiTheme="majorHAnsi" w:hAnsiTheme="majorHAnsi"/>
          <w:color w:val="auto"/>
          <w:sz w:val="16"/>
          <w:szCs w:val="16"/>
        </w:rPr>
        <w:t xml:space="preserve">. Wayne Smith, Hugo Armendariz, </w:t>
      </w:r>
      <w:r w:rsidR="00061928">
        <w:rPr>
          <w:rFonts w:asciiTheme="majorHAnsi" w:hAnsiTheme="majorHAnsi"/>
          <w:color w:val="auto"/>
          <w:sz w:val="16"/>
          <w:szCs w:val="16"/>
        </w:rPr>
        <w:t xml:space="preserve">and others. </w:t>
      </w:r>
      <w:r w:rsidR="00347146">
        <w:rPr>
          <w:rFonts w:asciiTheme="majorHAnsi" w:hAnsiTheme="majorHAnsi"/>
          <w:color w:val="auto"/>
          <w:sz w:val="16"/>
          <w:szCs w:val="16"/>
        </w:rPr>
        <w:t>United States</w:t>
      </w:r>
      <w:r w:rsidRPr="00A51861">
        <w:rPr>
          <w:rFonts w:asciiTheme="majorHAnsi" w:hAnsiTheme="majorHAnsi"/>
          <w:color w:val="auto"/>
          <w:sz w:val="16"/>
          <w:szCs w:val="16"/>
        </w:rPr>
        <w:t xml:space="preserve">. </w:t>
      </w:r>
      <w:r w:rsidR="00347146">
        <w:rPr>
          <w:rFonts w:asciiTheme="majorHAnsi" w:hAnsiTheme="majorHAnsi"/>
          <w:color w:val="auto"/>
          <w:sz w:val="16"/>
          <w:szCs w:val="16"/>
        </w:rPr>
        <w:t>July 12,</w:t>
      </w:r>
      <w:r w:rsidRPr="00A51861">
        <w:rPr>
          <w:rFonts w:asciiTheme="majorHAnsi" w:hAnsiTheme="majorHAnsi"/>
          <w:color w:val="auto"/>
          <w:sz w:val="16"/>
          <w:szCs w:val="16"/>
        </w:rPr>
        <w:t xml:space="preserve"> 2010.</w:t>
      </w:r>
    </w:p>
  </w:footnote>
  <w:footnote w:id="178">
    <w:p w14:paraId="1CA8A1C8" w14:textId="78864904" w:rsidR="00F40E67" w:rsidRPr="00A51861" w:rsidRDefault="00F40E67" w:rsidP="0063693D">
      <w:pPr>
        <w:pStyle w:val="FootnoteText"/>
        <w:jc w:val="both"/>
        <w:rPr>
          <w:rStyle w:val="FootnoteReference"/>
          <w:rFonts w:asciiTheme="majorHAnsi" w:hAnsiTheme="majorHAnsi" w:cs="Arial"/>
          <w:color w:val="auto"/>
          <w:sz w:val="16"/>
          <w:szCs w:val="16"/>
          <w:vertAlign w:val="baseline"/>
        </w:rPr>
      </w:pPr>
      <w:r w:rsidRPr="00273F34">
        <w:rPr>
          <w:rStyle w:val="FootnoteReference"/>
          <w:rFonts w:asciiTheme="majorHAnsi" w:hAnsiTheme="majorHAnsi" w:cs="Arial"/>
          <w:color w:val="auto"/>
          <w:sz w:val="16"/>
          <w:szCs w:val="16"/>
        </w:rPr>
        <w:footnoteRef/>
      </w:r>
      <w:r w:rsidRPr="00A51861">
        <w:rPr>
          <w:rStyle w:val="FootnoteReference"/>
          <w:rFonts w:asciiTheme="majorHAnsi" w:hAnsiTheme="majorHAnsi" w:cs="Arial"/>
          <w:color w:val="auto"/>
          <w:sz w:val="16"/>
          <w:szCs w:val="16"/>
          <w:vertAlign w:val="baseline"/>
        </w:rPr>
        <w:t xml:space="preserve"> </w:t>
      </w:r>
      <w:r w:rsidR="000E67CA">
        <w:rPr>
          <w:rStyle w:val="FootnoteReference"/>
          <w:rFonts w:asciiTheme="majorHAnsi" w:hAnsiTheme="majorHAnsi" w:cs="Arial"/>
          <w:color w:val="auto"/>
          <w:sz w:val="16"/>
          <w:szCs w:val="16"/>
          <w:vertAlign w:val="baseline"/>
        </w:rPr>
        <w:t>IACHR</w:t>
      </w:r>
      <w:r w:rsidRPr="00A51861">
        <w:rPr>
          <w:rStyle w:val="FootnoteReference"/>
          <w:rFonts w:asciiTheme="majorHAnsi" w:hAnsiTheme="majorHAnsi" w:cs="Arial"/>
          <w:color w:val="auto"/>
          <w:sz w:val="16"/>
          <w:szCs w:val="16"/>
          <w:vertAlign w:val="baseline"/>
        </w:rPr>
        <w:t>.</w:t>
      </w:r>
      <w:r w:rsidR="000E67CA">
        <w:rPr>
          <w:rStyle w:val="FootnoteReference"/>
          <w:rFonts w:asciiTheme="majorHAnsi" w:hAnsiTheme="majorHAnsi" w:cs="Arial"/>
          <w:color w:val="auto"/>
          <w:sz w:val="16"/>
          <w:szCs w:val="16"/>
          <w:vertAlign w:val="baseline"/>
        </w:rPr>
        <w:t xml:space="preserve"> Report </w:t>
      </w:r>
      <w:r w:rsidRPr="00A51861">
        <w:rPr>
          <w:rStyle w:val="FootnoteReference"/>
          <w:rFonts w:asciiTheme="majorHAnsi" w:hAnsiTheme="majorHAnsi" w:cs="Arial"/>
          <w:color w:val="auto"/>
          <w:sz w:val="16"/>
          <w:szCs w:val="16"/>
          <w:vertAlign w:val="baseline"/>
        </w:rPr>
        <w:t xml:space="preserve">No. 51/01. </w:t>
      </w:r>
      <w:r w:rsidR="00B6596B">
        <w:rPr>
          <w:rStyle w:val="FootnoteReference"/>
          <w:rFonts w:asciiTheme="majorHAnsi" w:hAnsiTheme="majorHAnsi" w:cs="Arial"/>
          <w:color w:val="auto"/>
          <w:sz w:val="16"/>
          <w:szCs w:val="16"/>
          <w:vertAlign w:val="baseline"/>
        </w:rPr>
        <w:t xml:space="preserve">Case </w:t>
      </w:r>
      <w:r w:rsidR="00347146">
        <w:rPr>
          <w:rFonts w:asciiTheme="majorHAnsi" w:hAnsiTheme="majorHAnsi" w:cs="Arial"/>
          <w:color w:val="auto"/>
          <w:sz w:val="16"/>
          <w:szCs w:val="16"/>
        </w:rPr>
        <w:t xml:space="preserve">of </w:t>
      </w:r>
      <w:r w:rsidRPr="00A51861">
        <w:rPr>
          <w:rStyle w:val="FootnoteReference"/>
          <w:rFonts w:asciiTheme="majorHAnsi" w:hAnsiTheme="majorHAnsi" w:cs="Arial"/>
          <w:color w:val="auto"/>
          <w:sz w:val="16"/>
          <w:szCs w:val="16"/>
          <w:vertAlign w:val="baseline"/>
        </w:rPr>
        <w:t xml:space="preserve">9903. Rafael Ferrer-Mazorra, </w:t>
      </w:r>
      <w:r w:rsidR="00061928">
        <w:rPr>
          <w:rStyle w:val="FootnoteReference"/>
          <w:rFonts w:asciiTheme="majorHAnsi" w:hAnsiTheme="majorHAnsi" w:cs="Arial"/>
          <w:color w:val="auto"/>
          <w:sz w:val="16"/>
          <w:szCs w:val="16"/>
          <w:vertAlign w:val="baseline"/>
        </w:rPr>
        <w:t xml:space="preserve">and others. </w:t>
      </w:r>
      <w:r w:rsidR="00347146">
        <w:rPr>
          <w:rStyle w:val="FootnoteReference"/>
          <w:rFonts w:asciiTheme="majorHAnsi" w:hAnsiTheme="majorHAnsi" w:cs="Arial"/>
          <w:color w:val="auto"/>
          <w:sz w:val="16"/>
          <w:szCs w:val="16"/>
          <w:vertAlign w:val="baseline"/>
        </w:rPr>
        <w:t>United States</w:t>
      </w:r>
      <w:r w:rsidRPr="00A51861">
        <w:rPr>
          <w:rStyle w:val="FootnoteReference"/>
          <w:rFonts w:asciiTheme="majorHAnsi" w:hAnsiTheme="majorHAnsi" w:cs="Arial"/>
          <w:color w:val="auto"/>
          <w:sz w:val="16"/>
          <w:szCs w:val="16"/>
          <w:vertAlign w:val="baseline"/>
        </w:rPr>
        <w:t xml:space="preserve">. </w:t>
      </w:r>
      <w:r w:rsidR="00680DA3">
        <w:rPr>
          <w:rStyle w:val="FootnoteReference"/>
          <w:rFonts w:asciiTheme="majorHAnsi" w:hAnsiTheme="majorHAnsi" w:cs="Arial"/>
          <w:color w:val="auto"/>
          <w:sz w:val="16"/>
          <w:szCs w:val="16"/>
          <w:vertAlign w:val="baseline"/>
        </w:rPr>
        <w:t>A</w:t>
      </w:r>
      <w:r w:rsidR="00680DA3">
        <w:rPr>
          <w:rFonts w:asciiTheme="majorHAnsi" w:hAnsiTheme="majorHAnsi" w:cs="Arial"/>
          <w:color w:val="auto"/>
          <w:sz w:val="16"/>
          <w:szCs w:val="16"/>
        </w:rPr>
        <w:t>pril 4,</w:t>
      </w:r>
      <w:r w:rsidRPr="00A51861">
        <w:rPr>
          <w:rStyle w:val="FootnoteReference"/>
          <w:rFonts w:asciiTheme="majorHAnsi" w:hAnsiTheme="majorHAnsi" w:cs="Arial"/>
          <w:color w:val="auto"/>
          <w:sz w:val="16"/>
          <w:szCs w:val="16"/>
          <w:vertAlign w:val="baseline"/>
        </w:rPr>
        <w:t xml:space="preserve"> 2001. </w:t>
      </w:r>
      <w:r w:rsidR="00357129">
        <w:rPr>
          <w:rFonts w:asciiTheme="majorHAnsi" w:hAnsiTheme="majorHAnsi" w:cs="Arial"/>
          <w:color w:val="auto"/>
          <w:sz w:val="16"/>
          <w:szCs w:val="16"/>
        </w:rPr>
        <w:t xml:space="preserve">Para. </w:t>
      </w:r>
      <w:r w:rsidRPr="00A51861">
        <w:rPr>
          <w:rStyle w:val="FootnoteReference"/>
          <w:rFonts w:asciiTheme="majorHAnsi" w:hAnsiTheme="majorHAnsi" w:cs="Arial"/>
          <w:color w:val="auto"/>
          <w:sz w:val="16"/>
          <w:szCs w:val="16"/>
          <w:vertAlign w:val="baseline"/>
        </w:rPr>
        <w:t>243.</w:t>
      </w:r>
    </w:p>
  </w:footnote>
  <w:footnote w:id="179">
    <w:p w14:paraId="0C532AC9" w14:textId="3C9C34FE" w:rsidR="00F40E67" w:rsidRPr="00A51861" w:rsidRDefault="00F40E67" w:rsidP="0063693D">
      <w:pPr>
        <w:pStyle w:val="FootnoteText"/>
        <w:jc w:val="both"/>
        <w:rPr>
          <w:rStyle w:val="FootnoteReference"/>
          <w:rFonts w:asciiTheme="majorHAnsi" w:hAnsiTheme="majorHAnsi" w:cs="Arial"/>
          <w:color w:val="auto"/>
          <w:sz w:val="16"/>
          <w:szCs w:val="16"/>
          <w:vertAlign w:val="baseline"/>
        </w:rPr>
      </w:pPr>
      <w:r w:rsidRPr="00273F34">
        <w:rPr>
          <w:rStyle w:val="FootnoteReference"/>
          <w:rFonts w:asciiTheme="majorHAnsi" w:hAnsiTheme="majorHAnsi" w:cs="Arial"/>
          <w:color w:val="auto"/>
          <w:sz w:val="16"/>
          <w:szCs w:val="16"/>
        </w:rPr>
        <w:footnoteRef/>
      </w:r>
      <w:r w:rsidRPr="00A51861">
        <w:rPr>
          <w:rStyle w:val="FootnoteReference"/>
          <w:rFonts w:asciiTheme="majorHAnsi" w:hAnsiTheme="majorHAnsi" w:cs="Arial"/>
          <w:color w:val="auto"/>
          <w:sz w:val="16"/>
          <w:szCs w:val="16"/>
          <w:vertAlign w:val="baseline"/>
        </w:rPr>
        <w:t xml:space="preserve"> </w:t>
      </w:r>
      <w:r w:rsidR="00680DA3">
        <w:rPr>
          <w:rFonts w:asciiTheme="majorHAnsi" w:hAnsiTheme="majorHAnsi" w:cs="Arial"/>
          <w:color w:val="auto"/>
          <w:sz w:val="16"/>
          <w:szCs w:val="16"/>
        </w:rPr>
        <w:t>See</w:t>
      </w:r>
      <w:r w:rsidRPr="00A51861">
        <w:rPr>
          <w:rStyle w:val="FootnoteReference"/>
          <w:rFonts w:asciiTheme="majorHAnsi" w:hAnsiTheme="majorHAnsi" w:cs="Arial"/>
          <w:color w:val="auto"/>
          <w:sz w:val="16"/>
          <w:szCs w:val="16"/>
          <w:vertAlign w:val="baseline"/>
        </w:rPr>
        <w:t xml:space="preserve"> Id. </w:t>
      </w:r>
      <w:r w:rsidR="00680DA3">
        <w:rPr>
          <w:rStyle w:val="FootnoteReference"/>
          <w:rFonts w:asciiTheme="majorHAnsi" w:hAnsiTheme="majorHAnsi" w:cs="Arial"/>
          <w:color w:val="auto"/>
          <w:sz w:val="16"/>
          <w:szCs w:val="16"/>
          <w:vertAlign w:val="baseline"/>
        </w:rPr>
        <w:t>O</w:t>
      </w:r>
      <w:r w:rsidR="00680DA3">
        <w:rPr>
          <w:rFonts w:asciiTheme="majorHAnsi" w:hAnsiTheme="majorHAnsi" w:cs="Arial"/>
          <w:color w:val="auto"/>
          <w:sz w:val="16"/>
          <w:szCs w:val="16"/>
        </w:rPr>
        <w:t>n paragraph</w:t>
      </w:r>
      <w:r w:rsidRPr="00A51861">
        <w:rPr>
          <w:rStyle w:val="FootnoteReference"/>
          <w:rFonts w:asciiTheme="majorHAnsi" w:hAnsiTheme="majorHAnsi" w:cs="Arial"/>
          <w:color w:val="auto"/>
          <w:sz w:val="16"/>
          <w:szCs w:val="16"/>
          <w:vertAlign w:val="baseline"/>
        </w:rPr>
        <w:t xml:space="preserve"> 244; </w:t>
      </w:r>
      <w:r w:rsidR="00680DA3">
        <w:rPr>
          <w:rStyle w:val="FootnoteReference"/>
          <w:rFonts w:asciiTheme="majorHAnsi" w:hAnsiTheme="majorHAnsi" w:cs="Arial"/>
          <w:color w:val="auto"/>
          <w:sz w:val="16"/>
          <w:szCs w:val="16"/>
          <w:vertAlign w:val="baseline"/>
        </w:rPr>
        <w:t>S</w:t>
      </w:r>
      <w:r w:rsidR="00680DA3">
        <w:rPr>
          <w:rFonts w:asciiTheme="majorHAnsi" w:hAnsiTheme="majorHAnsi" w:cs="Arial"/>
          <w:color w:val="auto"/>
          <w:sz w:val="16"/>
          <w:szCs w:val="16"/>
        </w:rPr>
        <w:t>ee also</w:t>
      </w:r>
      <w:r w:rsidRPr="00A51861">
        <w:rPr>
          <w:rStyle w:val="FootnoteReference"/>
          <w:rFonts w:asciiTheme="majorHAnsi" w:hAnsiTheme="majorHAnsi" w:cs="Arial"/>
          <w:color w:val="auto"/>
          <w:sz w:val="16"/>
          <w:szCs w:val="16"/>
          <w:vertAlign w:val="baseline"/>
        </w:rPr>
        <w:t xml:space="preserve"> Maya </w:t>
      </w:r>
      <w:r w:rsidR="00680DA3" w:rsidRPr="00A51861">
        <w:rPr>
          <w:rStyle w:val="FootnoteReference"/>
          <w:rFonts w:asciiTheme="majorHAnsi" w:hAnsiTheme="majorHAnsi" w:cs="Arial"/>
          <w:color w:val="auto"/>
          <w:sz w:val="16"/>
          <w:szCs w:val="16"/>
          <w:vertAlign w:val="baseline"/>
        </w:rPr>
        <w:t>Ind</w:t>
      </w:r>
      <w:r w:rsidR="00680DA3">
        <w:rPr>
          <w:rFonts w:asciiTheme="majorHAnsi" w:hAnsiTheme="majorHAnsi" w:cs="Arial"/>
          <w:color w:val="auto"/>
          <w:sz w:val="16"/>
          <w:szCs w:val="16"/>
        </w:rPr>
        <w:t>i</w:t>
      </w:r>
      <w:r w:rsidR="00680DA3" w:rsidRPr="00A51861">
        <w:rPr>
          <w:rStyle w:val="FootnoteReference"/>
          <w:rFonts w:asciiTheme="majorHAnsi" w:hAnsiTheme="majorHAnsi" w:cs="Arial"/>
          <w:color w:val="auto"/>
          <w:sz w:val="16"/>
          <w:szCs w:val="16"/>
          <w:vertAlign w:val="baseline"/>
        </w:rPr>
        <w:t>gen</w:t>
      </w:r>
      <w:r w:rsidR="00680DA3">
        <w:rPr>
          <w:rStyle w:val="FootnoteReference"/>
          <w:rFonts w:asciiTheme="majorHAnsi" w:hAnsiTheme="majorHAnsi" w:cs="Arial"/>
          <w:color w:val="auto"/>
          <w:sz w:val="16"/>
          <w:szCs w:val="16"/>
          <w:vertAlign w:val="baseline"/>
        </w:rPr>
        <w:t>o</w:t>
      </w:r>
      <w:r w:rsidR="00680DA3">
        <w:rPr>
          <w:rFonts w:asciiTheme="majorHAnsi" w:hAnsiTheme="majorHAnsi" w:cs="Arial"/>
          <w:color w:val="auto"/>
          <w:sz w:val="16"/>
          <w:szCs w:val="16"/>
        </w:rPr>
        <w:t>u</w:t>
      </w:r>
      <w:r w:rsidR="00680DA3" w:rsidRPr="00A51861">
        <w:rPr>
          <w:rStyle w:val="FootnoteReference"/>
          <w:rFonts w:asciiTheme="majorHAnsi" w:hAnsiTheme="majorHAnsi" w:cs="Arial"/>
          <w:color w:val="auto"/>
          <w:sz w:val="16"/>
          <w:szCs w:val="16"/>
          <w:vertAlign w:val="baseline"/>
        </w:rPr>
        <w:t>s Com</w:t>
      </w:r>
      <w:r w:rsidR="00680DA3">
        <w:rPr>
          <w:rFonts w:asciiTheme="majorHAnsi" w:hAnsiTheme="majorHAnsi" w:cs="Arial"/>
          <w:color w:val="auto"/>
          <w:sz w:val="16"/>
          <w:szCs w:val="16"/>
        </w:rPr>
        <w:t>m</w:t>
      </w:r>
      <w:r w:rsidR="00680DA3" w:rsidRPr="00A51861">
        <w:rPr>
          <w:rStyle w:val="FootnoteReference"/>
          <w:rFonts w:asciiTheme="majorHAnsi" w:hAnsiTheme="majorHAnsi" w:cs="Arial"/>
          <w:color w:val="auto"/>
          <w:sz w:val="16"/>
          <w:szCs w:val="16"/>
          <w:vertAlign w:val="baseline"/>
        </w:rPr>
        <w:t>uni</w:t>
      </w:r>
      <w:r w:rsidR="00680DA3">
        <w:rPr>
          <w:rStyle w:val="FootnoteReference"/>
          <w:rFonts w:asciiTheme="majorHAnsi" w:hAnsiTheme="majorHAnsi" w:cs="Arial"/>
          <w:color w:val="auto"/>
          <w:sz w:val="16"/>
          <w:szCs w:val="16"/>
          <w:vertAlign w:val="baseline"/>
        </w:rPr>
        <w:t>t</w:t>
      </w:r>
      <w:r w:rsidR="00680DA3">
        <w:rPr>
          <w:rFonts w:asciiTheme="majorHAnsi" w:hAnsiTheme="majorHAnsi" w:cs="Arial"/>
          <w:color w:val="auto"/>
          <w:sz w:val="16"/>
          <w:szCs w:val="16"/>
        </w:rPr>
        <w:t>i</w:t>
      </w:r>
      <w:r w:rsidR="00680DA3" w:rsidRPr="00A51861">
        <w:rPr>
          <w:rStyle w:val="FootnoteReference"/>
          <w:rFonts w:asciiTheme="majorHAnsi" w:hAnsiTheme="majorHAnsi" w:cs="Arial"/>
          <w:color w:val="auto"/>
          <w:sz w:val="16"/>
          <w:szCs w:val="16"/>
          <w:vertAlign w:val="baseline"/>
        </w:rPr>
        <w:t xml:space="preserve">es </w:t>
      </w:r>
      <w:r w:rsidR="00680DA3">
        <w:rPr>
          <w:rStyle w:val="FootnoteReference"/>
          <w:rFonts w:asciiTheme="majorHAnsi" w:hAnsiTheme="majorHAnsi" w:cs="Arial"/>
          <w:color w:val="auto"/>
          <w:sz w:val="16"/>
          <w:szCs w:val="16"/>
          <w:vertAlign w:val="baseline"/>
        </w:rPr>
        <w:t>o</w:t>
      </w:r>
      <w:r w:rsidR="00680DA3">
        <w:rPr>
          <w:rFonts w:asciiTheme="majorHAnsi" w:hAnsiTheme="majorHAnsi" w:cs="Arial"/>
          <w:color w:val="auto"/>
          <w:sz w:val="16"/>
          <w:szCs w:val="16"/>
        </w:rPr>
        <w:t xml:space="preserve">f the </w:t>
      </w:r>
      <w:r w:rsidRPr="00A51861">
        <w:rPr>
          <w:rStyle w:val="FootnoteReference"/>
          <w:rFonts w:asciiTheme="majorHAnsi" w:hAnsiTheme="majorHAnsi" w:cs="Arial"/>
          <w:color w:val="auto"/>
          <w:sz w:val="16"/>
          <w:szCs w:val="16"/>
          <w:vertAlign w:val="baseline"/>
        </w:rPr>
        <w:t>Distri</w:t>
      </w:r>
      <w:r w:rsidR="00680DA3">
        <w:rPr>
          <w:rStyle w:val="FootnoteReference"/>
          <w:rFonts w:asciiTheme="majorHAnsi" w:hAnsiTheme="majorHAnsi" w:cs="Arial"/>
          <w:color w:val="auto"/>
          <w:sz w:val="16"/>
          <w:szCs w:val="16"/>
          <w:vertAlign w:val="baseline"/>
        </w:rPr>
        <w:t>c</w:t>
      </w:r>
      <w:r w:rsidRPr="00A51861">
        <w:rPr>
          <w:rStyle w:val="FootnoteReference"/>
          <w:rFonts w:asciiTheme="majorHAnsi" w:hAnsiTheme="majorHAnsi" w:cs="Arial"/>
          <w:color w:val="auto"/>
          <w:sz w:val="16"/>
          <w:szCs w:val="16"/>
          <w:vertAlign w:val="baseline"/>
        </w:rPr>
        <w:t xml:space="preserve">t </w:t>
      </w:r>
      <w:r w:rsidR="00680DA3">
        <w:rPr>
          <w:rStyle w:val="FootnoteReference"/>
          <w:rFonts w:asciiTheme="majorHAnsi" w:hAnsiTheme="majorHAnsi" w:cs="Arial"/>
          <w:color w:val="auto"/>
          <w:sz w:val="16"/>
          <w:szCs w:val="16"/>
          <w:vertAlign w:val="baseline"/>
        </w:rPr>
        <w:t>o</w:t>
      </w:r>
      <w:r w:rsidR="00680DA3">
        <w:rPr>
          <w:rFonts w:asciiTheme="majorHAnsi" w:hAnsiTheme="majorHAnsi" w:cs="Arial"/>
          <w:color w:val="auto"/>
          <w:sz w:val="16"/>
          <w:szCs w:val="16"/>
        </w:rPr>
        <w:t>f</w:t>
      </w:r>
      <w:r w:rsidRPr="00A51861">
        <w:rPr>
          <w:rStyle w:val="FootnoteReference"/>
          <w:rFonts w:asciiTheme="majorHAnsi" w:hAnsiTheme="majorHAnsi" w:cs="Arial"/>
          <w:color w:val="auto"/>
          <w:sz w:val="16"/>
          <w:szCs w:val="16"/>
          <w:vertAlign w:val="baseline"/>
        </w:rPr>
        <w:t xml:space="preserve"> Toledo Vs. </w:t>
      </w:r>
      <w:r w:rsidR="00680DA3" w:rsidRPr="00A51861">
        <w:rPr>
          <w:rStyle w:val="FootnoteReference"/>
          <w:rFonts w:asciiTheme="majorHAnsi" w:hAnsiTheme="majorHAnsi" w:cs="Arial"/>
          <w:color w:val="auto"/>
          <w:sz w:val="16"/>
          <w:szCs w:val="16"/>
          <w:vertAlign w:val="baseline"/>
        </w:rPr>
        <w:t>Belize</w:t>
      </w:r>
      <w:r w:rsidRPr="00A51861">
        <w:rPr>
          <w:rStyle w:val="FootnoteReference"/>
          <w:rFonts w:asciiTheme="majorHAnsi" w:hAnsiTheme="majorHAnsi" w:cs="Arial"/>
          <w:color w:val="auto"/>
          <w:sz w:val="16"/>
          <w:szCs w:val="16"/>
          <w:vertAlign w:val="baseline"/>
        </w:rPr>
        <w:t>,</w:t>
      </w:r>
      <w:r w:rsidR="000E67CA">
        <w:rPr>
          <w:rStyle w:val="FootnoteReference"/>
          <w:rFonts w:asciiTheme="majorHAnsi" w:hAnsiTheme="majorHAnsi" w:cs="Arial"/>
          <w:color w:val="auto"/>
          <w:sz w:val="16"/>
          <w:szCs w:val="16"/>
          <w:vertAlign w:val="baseline"/>
        </w:rPr>
        <w:t xml:space="preserve"> Report </w:t>
      </w:r>
      <w:r w:rsidRPr="00A51861">
        <w:rPr>
          <w:rStyle w:val="FootnoteReference"/>
          <w:rFonts w:asciiTheme="majorHAnsi" w:hAnsiTheme="majorHAnsi" w:cs="Arial"/>
          <w:color w:val="auto"/>
          <w:sz w:val="16"/>
          <w:szCs w:val="16"/>
          <w:vertAlign w:val="baseline"/>
        </w:rPr>
        <w:t>No. 40/04 (</w:t>
      </w:r>
      <w:r w:rsidR="00680DA3">
        <w:rPr>
          <w:rStyle w:val="FootnoteReference"/>
          <w:rFonts w:asciiTheme="majorHAnsi" w:hAnsiTheme="majorHAnsi" w:cs="Arial"/>
          <w:color w:val="auto"/>
          <w:sz w:val="16"/>
          <w:szCs w:val="16"/>
          <w:vertAlign w:val="baseline"/>
        </w:rPr>
        <w:t>R</w:t>
      </w:r>
      <w:r w:rsidR="00680DA3">
        <w:rPr>
          <w:rFonts w:asciiTheme="majorHAnsi" w:hAnsiTheme="majorHAnsi" w:cs="Arial"/>
          <w:color w:val="auto"/>
          <w:sz w:val="16"/>
          <w:szCs w:val="16"/>
        </w:rPr>
        <w:t>eport on Merits</w:t>
      </w:r>
      <w:r w:rsidRPr="00A51861">
        <w:rPr>
          <w:rStyle w:val="FootnoteReference"/>
          <w:rFonts w:asciiTheme="majorHAnsi" w:hAnsiTheme="majorHAnsi" w:cs="Arial"/>
          <w:color w:val="auto"/>
          <w:sz w:val="16"/>
          <w:szCs w:val="16"/>
          <w:vertAlign w:val="baseline"/>
        </w:rPr>
        <w:t xml:space="preserve">), </w:t>
      </w:r>
      <w:r w:rsidR="00B6596B">
        <w:rPr>
          <w:rStyle w:val="FootnoteReference"/>
          <w:rFonts w:asciiTheme="majorHAnsi" w:hAnsiTheme="majorHAnsi" w:cs="Arial"/>
          <w:color w:val="auto"/>
          <w:sz w:val="16"/>
          <w:szCs w:val="16"/>
          <w:vertAlign w:val="baseline"/>
        </w:rPr>
        <w:t xml:space="preserve">Case </w:t>
      </w:r>
      <w:r w:rsidRPr="00A51861">
        <w:rPr>
          <w:rStyle w:val="FootnoteReference"/>
          <w:rFonts w:asciiTheme="majorHAnsi" w:hAnsiTheme="majorHAnsi" w:cs="Arial"/>
          <w:color w:val="auto"/>
          <w:sz w:val="16"/>
          <w:szCs w:val="16"/>
          <w:vertAlign w:val="baseline"/>
        </w:rPr>
        <w:t xml:space="preserve">No. 12.053, </w:t>
      </w:r>
      <w:r w:rsidR="00680DA3">
        <w:rPr>
          <w:rStyle w:val="FootnoteReference"/>
          <w:rFonts w:asciiTheme="majorHAnsi" w:hAnsiTheme="majorHAnsi" w:cs="Arial"/>
          <w:color w:val="auto"/>
          <w:sz w:val="16"/>
          <w:szCs w:val="16"/>
          <w:vertAlign w:val="baseline"/>
        </w:rPr>
        <w:t>paragraph</w:t>
      </w:r>
      <w:r w:rsidRPr="00A51861">
        <w:rPr>
          <w:rStyle w:val="FootnoteReference"/>
          <w:rFonts w:asciiTheme="majorHAnsi" w:hAnsiTheme="majorHAnsi" w:cs="Arial"/>
          <w:color w:val="auto"/>
          <w:sz w:val="16"/>
          <w:szCs w:val="16"/>
          <w:vertAlign w:val="baseline"/>
        </w:rPr>
        <w:t xml:space="preserve"> 175 (</w:t>
      </w:r>
      <w:r w:rsidR="00680DA3">
        <w:rPr>
          <w:rStyle w:val="FootnoteReference"/>
          <w:rFonts w:asciiTheme="majorHAnsi" w:hAnsiTheme="majorHAnsi" w:cs="Arial"/>
          <w:color w:val="auto"/>
          <w:sz w:val="16"/>
          <w:szCs w:val="16"/>
          <w:vertAlign w:val="baseline"/>
        </w:rPr>
        <w:t>O</w:t>
      </w:r>
      <w:r w:rsidR="00680DA3">
        <w:rPr>
          <w:rFonts w:asciiTheme="majorHAnsi" w:hAnsiTheme="majorHAnsi" w:cs="Arial"/>
          <w:color w:val="auto"/>
          <w:sz w:val="16"/>
          <w:szCs w:val="16"/>
        </w:rPr>
        <w:t xml:space="preserve">ctober 12, </w:t>
      </w:r>
      <w:r w:rsidRPr="00A51861">
        <w:rPr>
          <w:rStyle w:val="FootnoteReference"/>
          <w:rFonts w:asciiTheme="majorHAnsi" w:hAnsiTheme="majorHAnsi" w:cs="Arial"/>
          <w:color w:val="auto"/>
          <w:sz w:val="16"/>
          <w:szCs w:val="16"/>
          <w:vertAlign w:val="baseline"/>
        </w:rPr>
        <w:t>2004) (</w:t>
      </w:r>
      <w:r w:rsidR="00680DA3">
        <w:rPr>
          <w:rStyle w:val="FootnoteReference"/>
          <w:rFonts w:asciiTheme="majorHAnsi" w:hAnsiTheme="majorHAnsi" w:cs="Arial"/>
          <w:color w:val="auto"/>
          <w:sz w:val="16"/>
          <w:szCs w:val="16"/>
          <w:vertAlign w:val="baseline"/>
        </w:rPr>
        <w:t>d</w:t>
      </w:r>
      <w:r w:rsidR="00680DA3">
        <w:rPr>
          <w:rFonts w:asciiTheme="majorHAnsi" w:hAnsiTheme="majorHAnsi" w:cs="Arial"/>
          <w:color w:val="auto"/>
          <w:sz w:val="16"/>
          <w:szCs w:val="16"/>
        </w:rPr>
        <w:t>eclaring that</w:t>
      </w:r>
      <w:r w:rsidRPr="00A51861">
        <w:rPr>
          <w:rStyle w:val="FootnoteReference"/>
          <w:rFonts w:asciiTheme="majorHAnsi" w:hAnsiTheme="majorHAnsi" w:cs="Arial"/>
          <w:color w:val="auto"/>
          <w:sz w:val="16"/>
          <w:szCs w:val="16"/>
          <w:vertAlign w:val="baseline"/>
        </w:rPr>
        <w:t xml:space="preserve"> “</w:t>
      </w:r>
      <w:r w:rsidR="00A51861" w:rsidRPr="00A51861">
        <w:rPr>
          <w:rStyle w:val="FootnoteReference"/>
          <w:rFonts w:asciiTheme="majorHAnsi" w:hAnsiTheme="majorHAnsi" w:cs="Arial"/>
          <w:color w:val="auto"/>
          <w:sz w:val="16"/>
          <w:szCs w:val="16"/>
          <w:vertAlign w:val="baseline"/>
        </w:rPr>
        <w:t xml:space="preserve">The </w:t>
      </w:r>
      <w:r w:rsidR="00FE1E27">
        <w:rPr>
          <w:rStyle w:val="FootnoteReference"/>
          <w:rFonts w:asciiTheme="majorHAnsi" w:hAnsiTheme="majorHAnsi" w:cs="Arial"/>
          <w:color w:val="auto"/>
          <w:sz w:val="16"/>
          <w:szCs w:val="16"/>
          <w:vertAlign w:val="baseline"/>
        </w:rPr>
        <w:t>Commission</w:t>
      </w:r>
      <w:r w:rsidRPr="00A51861">
        <w:rPr>
          <w:rStyle w:val="FootnoteReference"/>
          <w:rFonts w:asciiTheme="majorHAnsi" w:hAnsiTheme="majorHAnsi" w:cs="Arial"/>
          <w:color w:val="auto"/>
          <w:sz w:val="16"/>
          <w:szCs w:val="16"/>
          <w:vertAlign w:val="baseline"/>
        </w:rPr>
        <w:t xml:space="preserve"> ha</w:t>
      </w:r>
      <w:r w:rsidR="00680DA3">
        <w:rPr>
          <w:rFonts w:asciiTheme="majorHAnsi" w:hAnsiTheme="majorHAnsi" w:cs="Arial"/>
          <w:color w:val="auto"/>
          <w:sz w:val="16"/>
          <w:szCs w:val="16"/>
        </w:rPr>
        <w:t>s</w:t>
      </w:r>
      <w:r w:rsidRPr="00A51861">
        <w:rPr>
          <w:rStyle w:val="FootnoteReference"/>
          <w:rFonts w:asciiTheme="majorHAnsi" w:hAnsiTheme="majorHAnsi" w:cs="Arial"/>
          <w:color w:val="auto"/>
          <w:sz w:val="16"/>
          <w:szCs w:val="16"/>
          <w:vertAlign w:val="baseline"/>
        </w:rPr>
        <w:t xml:space="preserve"> conclu</w:t>
      </w:r>
      <w:r w:rsidR="00680DA3">
        <w:rPr>
          <w:rFonts w:asciiTheme="majorHAnsi" w:hAnsiTheme="majorHAnsi" w:cs="Arial"/>
          <w:color w:val="auto"/>
          <w:sz w:val="16"/>
          <w:szCs w:val="16"/>
        </w:rPr>
        <w:t xml:space="preserve">ded </w:t>
      </w:r>
      <w:r w:rsidR="00680DA3" w:rsidRPr="00A51861">
        <w:rPr>
          <w:rStyle w:val="FootnoteReference"/>
          <w:rFonts w:asciiTheme="majorHAnsi" w:hAnsiTheme="majorHAnsi" w:cs="Arial"/>
          <w:color w:val="auto"/>
          <w:sz w:val="16"/>
          <w:szCs w:val="16"/>
          <w:vertAlign w:val="baseline"/>
        </w:rPr>
        <w:t>analog</w:t>
      </w:r>
      <w:r w:rsidR="00680DA3">
        <w:rPr>
          <w:rFonts w:asciiTheme="majorHAnsi" w:hAnsiTheme="majorHAnsi" w:cs="Arial"/>
          <w:color w:val="auto"/>
          <w:sz w:val="16"/>
          <w:szCs w:val="16"/>
        </w:rPr>
        <w:t>ousl</w:t>
      </w:r>
      <w:r w:rsidR="00680DA3" w:rsidRPr="00A51861">
        <w:rPr>
          <w:rStyle w:val="FootnoteReference"/>
          <w:rFonts w:asciiTheme="majorHAnsi" w:hAnsiTheme="majorHAnsi" w:cs="Arial"/>
          <w:color w:val="auto"/>
          <w:sz w:val="16"/>
          <w:szCs w:val="16"/>
          <w:vertAlign w:val="baseline"/>
        </w:rPr>
        <w:t>y</w:t>
      </w:r>
      <w:r w:rsidR="00911263">
        <w:rPr>
          <w:rStyle w:val="FootnoteReference"/>
          <w:rFonts w:asciiTheme="majorHAnsi" w:hAnsiTheme="majorHAnsi" w:cs="Arial"/>
          <w:color w:val="auto"/>
          <w:sz w:val="16"/>
          <w:szCs w:val="16"/>
          <w:vertAlign w:val="baseline"/>
        </w:rPr>
        <w:t xml:space="preserve"> that the </w:t>
      </w:r>
      <w:r w:rsidR="00680DA3">
        <w:rPr>
          <w:rStyle w:val="FootnoteReference"/>
          <w:rFonts w:asciiTheme="majorHAnsi" w:hAnsiTheme="majorHAnsi" w:cs="Arial"/>
          <w:color w:val="auto"/>
          <w:sz w:val="16"/>
          <w:szCs w:val="16"/>
          <w:vertAlign w:val="baseline"/>
        </w:rPr>
        <w:t>l</w:t>
      </w:r>
      <w:r w:rsidR="00680DA3">
        <w:rPr>
          <w:rFonts w:asciiTheme="majorHAnsi" w:hAnsiTheme="majorHAnsi" w:cs="Arial"/>
          <w:color w:val="auto"/>
          <w:sz w:val="16"/>
          <w:szCs w:val="16"/>
        </w:rPr>
        <w:t>ack</w:t>
      </w:r>
      <w:r w:rsidRPr="00A51861">
        <w:rPr>
          <w:rStyle w:val="FootnoteReference"/>
          <w:rFonts w:asciiTheme="majorHAnsi" w:hAnsiTheme="majorHAnsi" w:cs="Arial"/>
          <w:color w:val="auto"/>
          <w:sz w:val="16"/>
          <w:szCs w:val="16"/>
          <w:vertAlign w:val="baseline"/>
        </w:rPr>
        <w:t xml:space="preserve"> </w:t>
      </w:r>
      <w:r w:rsidR="00680DA3">
        <w:rPr>
          <w:rFonts w:asciiTheme="majorHAnsi" w:hAnsiTheme="majorHAnsi" w:cs="Arial"/>
          <w:color w:val="auto"/>
          <w:sz w:val="16"/>
          <w:szCs w:val="16"/>
        </w:rPr>
        <w:t>of</w:t>
      </w:r>
      <w:r w:rsidRPr="00A51861">
        <w:rPr>
          <w:rStyle w:val="FootnoteReference"/>
          <w:rFonts w:asciiTheme="majorHAnsi" w:hAnsiTheme="majorHAnsi" w:cs="Arial"/>
          <w:color w:val="auto"/>
          <w:sz w:val="16"/>
          <w:szCs w:val="16"/>
          <w:vertAlign w:val="baseline"/>
        </w:rPr>
        <w:t xml:space="preserve"> </w:t>
      </w:r>
      <w:r w:rsidR="00680DA3" w:rsidRPr="00A51861">
        <w:rPr>
          <w:rStyle w:val="FootnoteReference"/>
          <w:rFonts w:asciiTheme="majorHAnsi" w:hAnsiTheme="majorHAnsi" w:cs="Arial"/>
          <w:color w:val="auto"/>
          <w:sz w:val="16"/>
          <w:szCs w:val="16"/>
          <w:vertAlign w:val="baseline"/>
        </w:rPr>
        <w:t xml:space="preserve">effective </w:t>
      </w:r>
      <w:r w:rsidRPr="00A51861">
        <w:rPr>
          <w:rStyle w:val="FootnoteReference"/>
          <w:rFonts w:asciiTheme="majorHAnsi" w:hAnsiTheme="majorHAnsi" w:cs="Arial"/>
          <w:color w:val="auto"/>
          <w:sz w:val="16"/>
          <w:szCs w:val="16"/>
          <w:vertAlign w:val="baseline"/>
        </w:rPr>
        <w:t xml:space="preserve">judicial </w:t>
      </w:r>
      <w:r w:rsidR="00680DA3" w:rsidRPr="00A51861">
        <w:rPr>
          <w:rStyle w:val="FootnoteReference"/>
          <w:rFonts w:asciiTheme="majorHAnsi" w:hAnsiTheme="majorHAnsi" w:cs="Arial"/>
          <w:color w:val="auto"/>
          <w:sz w:val="16"/>
          <w:szCs w:val="16"/>
          <w:vertAlign w:val="baseline"/>
        </w:rPr>
        <w:t xml:space="preserve">reparation </w:t>
      </w:r>
      <w:r w:rsidRPr="00A51861">
        <w:rPr>
          <w:rStyle w:val="FootnoteReference"/>
          <w:rFonts w:asciiTheme="majorHAnsi" w:hAnsiTheme="majorHAnsi" w:cs="Arial"/>
          <w:color w:val="auto"/>
          <w:sz w:val="16"/>
          <w:szCs w:val="16"/>
          <w:vertAlign w:val="baseline"/>
        </w:rPr>
        <w:t>impli</w:t>
      </w:r>
      <w:r w:rsidR="00680DA3">
        <w:rPr>
          <w:rStyle w:val="FootnoteReference"/>
          <w:rFonts w:asciiTheme="majorHAnsi" w:hAnsiTheme="majorHAnsi" w:cs="Arial"/>
          <w:color w:val="auto"/>
          <w:sz w:val="16"/>
          <w:szCs w:val="16"/>
          <w:vertAlign w:val="baseline"/>
        </w:rPr>
        <w:t>e</w:t>
      </w:r>
      <w:r w:rsidR="00680DA3">
        <w:rPr>
          <w:rFonts w:asciiTheme="majorHAnsi" w:hAnsiTheme="majorHAnsi" w:cs="Arial"/>
          <w:color w:val="auto"/>
          <w:sz w:val="16"/>
          <w:szCs w:val="16"/>
        </w:rPr>
        <w:t>s</w:t>
      </w:r>
      <w:r w:rsidRPr="00A51861">
        <w:rPr>
          <w:rStyle w:val="FootnoteReference"/>
          <w:rFonts w:asciiTheme="majorHAnsi" w:hAnsiTheme="majorHAnsi" w:cs="Arial"/>
          <w:color w:val="auto"/>
          <w:sz w:val="16"/>
          <w:szCs w:val="16"/>
          <w:vertAlign w:val="baseline"/>
        </w:rPr>
        <w:t xml:space="preserve">, </w:t>
      </w:r>
      <w:r w:rsidR="00680DA3">
        <w:rPr>
          <w:rStyle w:val="FootnoteReference"/>
          <w:rFonts w:asciiTheme="majorHAnsi" w:hAnsiTheme="majorHAnsi" w:cs="Arial"/>
          <w:color w:val="auto"/>
          <w:sz w:val="16"/>
          <w:szCs w:val="16"/>
          <w:vertAlign w:val="baseline"/>
        </w:rPr>
        <w:t>n</w:t>
      </w:r>
      <w:r w:rsidR="00680DA3">
        <w:rPr>
          <w:rFonts w:asciiTheme="majorHAnsi" w:hAnsiTheme="majorHAnsi" w:cs="Arial"/>
          <w:color w:val="auto"/>
          <w:sz w:val="16"/>
          <w:szCs w:val="16"/>
        </w:rPr>
        <w:t>ot only an</w:t>
      </w:r>
      <w:r w:rsidRPr="00A51861">
        <w:rPr>
          <w:rStyle w:val="FootnoteReference"/>
          <w:rFonts w:asciiTheme="majorHAnsi" w:hAnsiTheme="majorHAnsi" w:cs="Arial"/>
          <w:color w:val="auto"/>
          <w:sz w:val="16"/>
          <w:szCs w:val="16"/>
          <w:vertAlign w:val="baseline"/>
        </w:rPr>
        <w:t xml:space="preserve"> </w:t>
      </w:r>
      <w:r w:rsidR="00680DA3" w:rsidRPr="00A51861">
        <w:rPr>
          <w:rStyle w:val="FootnoteReference"/>
          <w:rFonts w:asciiTheme="majorHAnsi" w:hAnsiTheme="majorHAnsi" w:cs="Arial"/>
          <w:color w:val="auto"/>
          <w:sz w:val="16"/>
          <w:szCs w:val="16"/>
          <w:vertAlign w:val="baseline"/>
        </w:rPr>
        <w:t>exception</w:t>
      </w:r>
      <w:r w:rsidRPr="00A51861">
        <w:rPr>
          <w:rStyle w:val="FootnoteReference"/>
          <w:rFonts w:asciiTheme="majorHAnsi" w:hAnsiTheme="majorHAnsi" w:cs="Arial"/>
          <w:color w:val="auto"/>
          <w:sz w:val="16"/>
          <w:szCs w:val="16"/>
          <w:vertAlign w:val="baseline"/>
        </w:rPr>
        <w:t xml:space="preserve"> </w:t>
      </w:r>
      <w:r w:rsidR="00680DA3">
        <w:rPr>
          <w:rStyle w:val="FootnoteReference"/>
          <w:rFonts w:asciiTheme="majorHAnsi" w:hAnsiTheme="majorHAnsi" w:cs="Arial"/>
          <w:color w:val="auto"/>
          <w:sz w:val="16"/>
          <w:szCs w:val="16"/>
          <w:vertAlign w:val="baseline"/>
        </w:rPr>
        <w:t>t</w:t>
      </w:r>
      <w:r w:rsidR="00680DA3">
        <w:rPr>
          <w:rFonts w:asciiTheme="majorHAnsi" w:hAnsiTheme="majorHAnsi" w:cs="Arial"/>
          <w:color w:val="auto"/>
          <w:sz w:val="16"/>
          <w:szCs w:val="16"/>
        </w:rPr>
        <w:t>o the exhaustion of domestic remedies</w:t>
      </w:r>
      <w:r w:rsidRPr="00A51861">
        <w:rPr>
          <w:rStyle w:val="FootnoteReference"/>
          <w:rFonts w:asciiTheme="majorHAnsi" w:hAnsiTheme="majorHAnsi" w:cs="Arial"/>
          <w:color w:val="auto"/>
          <w:sz w:val="16"/>
          <w:szCs w:val="16"/>
          <w:vertAlign w:val="baseline"/>
        </w:rPr>
        <w:t xml:space="preserve">, </w:t>
      </w:r>
      <w:r w:rsidR="00680DA3">
        <w:rPr>
          <w:rStyle w:val="FootnoteReference"/>
          <w:rFonts w:asciiTheme="majorHAnsi" w:hAnsiTheme="majorHAnsi" w:cs="Arial"/>
          <w:color w:val="auto"/>
          <w:sz w:val="16"/>
          <w:szCs w:val="16"/>
          <w:vertAlign w:val="baseline"/>
        </w:rPr>
        <w:t>b</w:t>
      </w:r>
      <w:r w:rsidR="00680DA3">
        <w:rPr>
          <w:rFonts w:asciiTheme="majorHAnsi" w:hAnsiTheme="majorHAnsi" w:cs="Arial"/>
          <w:color w:val="auto"/>
          <w:sz w:val="16"/>
          <w:szCs w:val="16"/>
        </w:rPr>
        <w:t>ut also a</w:t>
      </w:r>
      <w:r w:rsidRPr="00A51861">
        <w:rPr>
          <w:rStyle w:val="FootnoteReference"/>
          <w:rFonts w:asciiTheme="majorHAnsi" w:hAnsiTheme="majorHAnsi" w:cs="Arial"/>
          <w:color w:val="auto"/>
          <w:sz w:val="16"/>
          <w:szCs w:val="16"/>
          <w:vertAlign w:val="baseline"/>
        </w:rPr>
        <w:t xml:space="preserve"> </w:t>
      </w:r>
      <w:r w:rsidR="00680DA3" w:rsidRPr="00A51861">
        <w:rPr>
          <w:rStyle w:val="FootnoteReference"/>
          <w:rFonts w:asciiTheme="majorHAnsi" w:hAnsiTheme="majorHAnsi" w:cs="Arial"/>
          <w:color w:val="auto"/>
          <w:sz w:val="16"/>
          <w:szCs w:val="16"/>
          <w:vertAlign w:val="baseline"/>
        </w:rPr>
        <w:t>violation</w:t>
      </w:r>
      <w:r w:rsidRPr="00A51861">
        <w:rPr>
          <w:rStyle w:val="FootnoteReference"/>
          <w:rFonts w:asciiTheme="majorHAnsi" w:hAnsiTheme="majorHAnsi" w:cs="Arial"/>
          <w:color w:val="auto"/>
          <w:sz w:val="16"/>
          <w:szCs w:val="16"/>
          <w:vertAlign w:val="baseline"/>
        </w:rPr>
        <w:t xml:space="preserve"> </w:t>
      </w:r>
      <w:r w:rsidR="00680DA3">
        <w:rPr>
          <w:rStyle w:val="FootnoteReference"/>
          <w:rFonts w:asciiTheme="majorHAnsi" w:hAnsiTheme="majorHAnsi" w:cs="Arial"/>
          <w:color w:val="auto"/>
          <w:sz w:val="16"/>
          <w:szCs w:val="16"/>
          <w:vertAlign w:val="baseline"/>
        </w:rPr>
        <w:t>o</w:t>
      </w:r>
      <w:r w:rsidR="00680DA3">
        <w:rPr>
          <w:rFonts w:asciiTheme="majorHAnsi" w:hAnsiTheme="majorHAnsi" w:cs="Arial"/>
          <w:color w:val="auto"/>
          <w:sz w:val="16"/>
          <w:szCs w:val="16"/>
        </w:rPr>
        <w:t>f a substantial right to</w:t>
      </w:r>
      <w:r w:rsidRPr="00A51861">
        <w:rPr>
          <w:rStyle w:val="FootnoteReference"/>
          <w:rFonts w:asciiTheme="majorHAnsi" w:hAnsiTheme="majorHAnsi" w:cs="Arial"/>
          <w:color w:val="auto"/>
          <w:sz w:val="16"/>
          <w:szCs w:val="16"/>
          <w:vertAlign w:val="baseline"/>
        </w:rPr>
        <w:t xml:space="preserve"> judicial </w:t>
      </w:r>
      <w:r w:rsidR="00680DA3" w:rsidRPr="00A51861">
        <w:rPr>
          <w:rStyle w:val="FootnoteReference"/>
          <w:rFonts w:asciiTheme="majorHAnsi" w:hAnsiTheme="majorHAnsi" w:cs="Arial"/>
          <w:color w:val="auto"/>
          <w:sz w:val="16"/>
          <w:szCs w:val="16"/>
          <w:vertAlign w:val="baseline"/>
        </w:rPr>
        <w:t>protection defended</w:t>
      </w:r>
      <w:r w:rsidRPr="00A51861">
        <w:rPr>
          <w:rStyle w:val="FootnoteReference"/>
          <w:rFonts w:asciiTheme="majorHAnsi" w:hAnsiTheme="majorHAnsi" w:cs="Arial"/>
          <w:color w:val="auto"/>
          <w:sz w:val="16"/>
          <w:szCs w:val="16"/>
          <w:vertAlign w:val="baseline"/>
        </w:rPr>
        <w:t xml:space="preserve"> </w:t>
      </w:r>
      <w:r w:rsidR="00680DA3">
        <w:rPr>
          <w:rStyle w:val="FootnoteReference"/>
          <w:rFonts w:asciiTheme="majorHAnsi" w:hAnsiTheme="majorHAnsi" w:cs="Arial"/>
          <w:color w:val="auto"/>
          <w:sz w:val="16"/>
          <w:szCs w:val="16"/>
          <w:vertAlign w:val="baseline"/>
        </w:rPr>
        <w:t>b</w:t>
      </w:r>
      <w:r w:rsidR="00680DA3">
        <w:rPr>
          <w:rFonts w:asciiTheme="majorHAnsi" w:hAnsiTheme="majorHAnsi" w:cs="Arial"/>
          <w:color w:val="auto"/>
          <w:sz w:val="16"/>
          <w:szCs w:val="16"/>
        </w:rPr>
        <w:t>y the Inter-American Human Rights system</w:t>
      </w:r>
      <w:r w:rsidRPr="00A51861">
        <w:rPr>
          <w:rStyle w:val="FootnoteReference"/>
          <w:rFonts w:asciiTheme="majorHAnsi" w:hAnsiTheme="majorHAnsi" w:cs="Arial"/>
          <w:color w:val="auto"/>
          <w:sz w:val="16"/>
          <w:szCs w:val="16"/>
          <w:vertAlign w:val="baseline"/>
        </w:rPr>
        <w:t>.”).</w:t>
      </w:r>
    </w:p>
  </w:footnote>
  <w:footnote w:id="180">
    <w:p w14:paraId="6D9D0C2D" w14:textId="1ED83905" w:rsidR="00F40E67" w:rsidRPr="00A51861" w:rsidRDefault="00F40E67" w:rsidP="0063693D">
      <w:pPr>
        <w:pStyle w:val="FootnoteText"/>
        <w:jc w:val="both"/>
        <w:rPr>
          <w:rStyle w:val="FootnoteReference"/>
          <w:rFonts w:asciiTheme="majorHAnsi" w:hAnsiTheme="majorHAnsi" w:cs="Arial"/>
          <w:color w:val="auto"/>
          <w:sz w:val="16"/>
          <w:szCs w:val="16"/>
          <w:vertAlign w:val="baseline"/>
        </w:rPr>
      </w:pPr>
      <w:r w:rsidRPr="00273F34">
        <w:rPr>
          <w:rStyle w:val="FootnoteReference"/>
          <w:rFonts w:asciiTheme="majorHAnsi" w:hAnsiTheme="majorHAnsi" w:cs="Arial"/>
          <w:color w:val="auto"/>
          <w:sz w:val="16"/>
          <w:szCs w:val="16"/>
        </w:rPr>
        <w:footnoteRef/>
      </w:r>
      <w:r w:rsidRPr="00A51861">
        <w:rPr>
          <w:rStyle w:val="FootnoteReference"/>
          <w:rFonts w:asciiTheme="majorHAnsi" w:hAnsiTheme="majorHAnsi" w:cs="Arial"/>
          <w:color w:val="auto"/>
          <w:sz w:val="16"/>
          <w:szCs w:val="16"/>
          <w:vertAlign w:val="baseline"/>
        </w:rPr>
        <w:t xml:space="preserve"> </w:t>
      </w:r>
      <w:r w:rsidR="000E67CA">
        <w:rPr>
          <w:rStyle w:val="FootnoteReference"/>
          <w:rFonts w:asciiTheme="majorHAnsi" w:hAnsiTheme="majorHAnsi" w:cs="Arial"/>
          <w:color w:val="auto"/>
          <w:sz w:val="16"/>
          <w:szCs w:val="16"/>
          <w:vertAlign w:val="baseline"/>
        </w:rPr>
        <w:t>IACHR</w:t>
      </w:r>
      <w:r w:rsidRPr="00A51861">
        <w:rPr>
          <w:rStyle w:val="FootnoteReference"/>
          <w:rFonts w:asciiTheme="majorHAnsi" w:hAnsiTheme="majorHAnsi" w:cs="Arial"/>
          <w:color w:val="auto"/>
          <w:sz w:val="16"/>
          <w:szCs w:val="16"/>
          <w:vertAlign w:val="baseline"/>
        </w:rPr>
        <w:t>.</w:t>
      </w:r>
      <w:r w:rsidR="000E67CA">
        <w:rPr>
          <w:rStyle w:val="FootnoteReference"/>
          <w:rFonts w:asciiTheme="majorHAnsi" w:hAnsiTheme="majorHAnsi" w:cs="Arial"/>
          <w:color w:val="auto"/>
          <w:sz w:val="16"/>
          <w:szCs w:val="16"/>
          <w:vertAlign w:val="baseline"/>
        </w:rPr>
        <w:t xml:space="preserve"> Report </w:t>
      </w:r>
      <w:r w:rsidRPr="00A51861">
        <w:rPr>
          <w:rStyle w:val="FootnoteReference"/>
          <w:rFonts w:asciiTheme="majorHAnsi" w:hAnsiTheme="majorHAnsi" w:cs="Arial"/>
          <w:color w:val="auto"/>
          <w:sz w:val="16"/>
          <w:szCs w:val="16"/>
          <w:vertAlign w:val="baseline"/>
        </w:rPr>
        <w:t xml:space="preserve">No. 63/08. </w:t>
      </w:r>
      <w:r w:rsidR="00B6596B">
        <w:rPr>
          <w:rStyle w:val="FootnoteReference"/>
          <w:rFonts w:asciiTheme="majorHAnsi" w:hAnsiTheme="majorHAnsi" w:cs="Arial"/>
          <w:color w:val="auto"/>
          <w:sz w:val="16"/>
          <w:szCs w:val="16"/>
          <w:vertAlign w:val="baseline"/>
        </w:rPr>
        <w:t xml:space="preserve">Case </w:t>
      </w:r>
      <w:r w:rsidRPr="00A51861">
        <w:rPr>
          <w:rStyle w:val="FootnoteReference"/>
          <w:rFonts w:asciiTheme="majorHAnsi" w:hAnsiTheme="majorHAnsi" w:cs="Arial"/>
          <w:color w:val="auto"/>
          <w:sz w:val="16"/>
          <w:szCs w:val="16"/>
          <w:vertAlign w:val="baseline"/>
        </w:rPr>
        <w:t xml:space="preserve">12.534. </w:t>
      </w:r>
      <w:r w:rsidR="00061928">
        <w:rPr>
          <w:rStyle w:val="FootnoteReference"/>
          <w:rFonts w:asciiTheme="majorHAnsi" w:hAnsiTheme="majorHAnsi" w:cs="Arial"/>
          <w:color w:val="auto"/>
          <w:sz w:val="16"/>
          <w:szCs w:val="16"/>
          <w:vertAlign w:val="baseline"/>
        </w:rPr>
        <w:t>Admissibility</w:t>
      </w:r>
      <w:r w:rsidR="00B6596B">
        <w:rPr>
          <w:rStyle w:val="FootnoteReference"/>
          <w:rFonts w:asciiTheme="majorHAnsi" w:hAnsiTheme="majorHAnsi" w:cs="Arial"/>
          <w:color w:val="auto"/>
          <w:sz w:val="16"/>
          <w:szCs w:val="16"/>
          <w:vertAlign w:val="baseline"/>
        </w:rPr>
        <w:t xml:space="preserve"> </w:t>
      </w:r>
      <w:r w:rsidR="002D6E83">
        <w:rPr>
          <w:rStyle w:val="FootnoteReference"/>
          <w:rFonts w:asciiTheme="majorHAnsi" w:hAnsiTheme="majorHAnsi" w:cs="Arial"/>
          <w:color w:val="auto"/>
          <w:sz w:val="16"/>
          <w:szCs w:val="16"/>
          <w:vertAlign w:val="baseline"/>
        </w:rPr>
        <w:t>and Merits</w:t>
      </w:r>
      <w:r w:rsidRPr="00A51861">
        <w:rPr>
          <w:rStyle w:val="FootnoteReference"/>
          <w:rFonts w:asciiTheme="majorHAnsi" w:hAnsiTheme="majorHAnsi" w:cs="Arial"/>
          <w:color w:val="auto"/>
          <w:sz w:val="16"/>
          <w:szCs w:val="16"/>
          <w:vertAlign w:val="baseline"/>
        </w:rPr>
        <w:t xml:space="preserve">. Andrea Mortlock. </w:t>
      </w:r>
      <w:r w:rsidR="00347146">
        <w:rPr>
          <w:rStyle w:val="FootnoteReference"/>
          <w:rFonts w:asciiTheme="majorHAnsi" w:hAnsiTheme="majorHAnsi" w:cs="Arial"/>
          <w:color w:val="auto"/>
          <w:sz w:val="16"/>
          <w:szCs w:val="16"/>
          <w:vertAlign w:val="baseline"/>
        </w:rPr>
        <w:t>United States</w:t>
      </w:r>
      <w:r w:rsidRPr="00A51861">
        <w:rPr>
          <w:rStyle w:val="FootnoteReference"/>
          <w:rFonts w:asciiTheme="majorHAnsi" w:hAnsiTheme="majorHAnsi" w:cs="Arial"/>
          <w:color w:val="auto"/>
          <w:sz w:val="16"/>
          <w:szCs w:val="16"/>
          <w:vertAlign w:val="baseline"/>
        </w:rPr>
        <w:t xml:space="preserve">. </w:t>
      </w:r>
      <w:r w:rsidR="00680DA3">
        <w:rPr>
          <w:rStyle w:val="FootnoteReference"/>
          <w:rFonts w:asciiTheme="majorHAnsi" w:hAnsiTheme="majorHAnsi" w:cs="Arial"/>
          <w:color w:val="auto"/>
          <w:sz w:val="16"/>
          <w:szCs w:val="16"/>
          <w:vertAlign w:val="baseline"/>
        </w:rPr>
        <w:t xml:space="preserve">July 25, </w:t>
      </w:r>
      <w:r w:rsidRPr="00A51861">
        <w:rPr>
          <w:rStyle w:val="FootnoteReference"/>
          <w:rFonts w:asciiTheme="majorHAnsi" w:hAnsiTheme="majorHAnsi" w:cs="Arial"/>
          <w:color w:val="auto"/>
          <w:sz w:val="16"/>
          <w:szCs w:val="16"/>
          <w:vertAlign w:val="baseline"/>
        </w:rPr>
        <w:t xml:space="preserve">2008. </w:t>
      </w:r>
      <w:r w:rsidR="00EC34EF">
        <w:rPr>
          <w:rStyle w:val="FootnoteReference"/>
          <w:rFonts w:asciiTheme="majorHAnsi" w:hAnsiTheme="majorHAnsi" w:cs="Arial"/>
          <w:color w:val="auto"/>
          <w:sz w:val="16"/>
          <w:szCs w:val="16"/>
          <w:vertAlign w:val="baseline"/>
        </w:rPr>
        <w:t xml:space="preserve">Para. </w:t>
      </w:r>
      <w:r w:rsidRPr="00A51861">
        <w:rPr>
          <w:rStyle w:val="FootnoteReference"/>
          <w:rFonts w:asciiTheme="majorHAnsi" w:hAnsiTheme="majorHAnsi" w:cs="Arial"/>
          <w:color w:val="auto"/>
          <w:sz w:val="16"/>
          <w:szCs w:val="16"/>
          <w:vertAlign w:val="baseline"/>
        </w:rPr>
        <w:t>82-86.</w:t>
      </w:r>
    </w:p>
  </w:footnote>
  <w:footnote w:id="181">
    <w:p w14:paraId="3CE90C2A" w14:textId="089594B1" w:rsidR="00F40E67" w:rsidRPr="00A51861" w:rsidRDefault="00F40E67" w:rsidP="0063693D">
      <w:pPr>
        <w:pStyle w:val="FootnoteText"/>
        <w:jc w:val="both"/>
        <w:rPr>
          <w:rStyle w:val="FootnoteReference"/>
          <w:rFonts w:asciiTheme="majorHAnsi" w:hAnsiTheme="majorHAnsi" w:cs="Arial"/>
          <w:color w:val="auto"/>
          <w:sz w:val="16"/>
          <w:szCs w:val="16"/>
          <w:vertAlign w:val="baseline"/>
        </w:rPr>
      </w:pPr>
      <w:r w:rsidRPr="00273F34">
        <w:rPr>
          <w:rStyle w:val="FootnoteReference"/>
          <w:rFonts w:asciiTheme="majorHAnsi" w:hAnsiTheme="majorHAnsi" w:cs="Arial"/>
          <w:color w:val="auto"/>
          <w:sz w:val="16"/>
          <w:szCs w:val="16"/>
        </w:rPr>
        <w:footnoteRef/>
      </w:r>
      <w:r w:rsidRPr="00A51861">
        <w:rPr>
          <w:rStyle w:val="FootnoteReference"/>
          <w:rFonts w:asciiTheme="majorHAnsi" w:hAnsiTheme="majorHAnsi" w:cs="Arial"/>
          <w:color w:val="auto"/>
          <w:sz w:val="16"/>
          <w:szCs w:val="16"/>
          <w:vertAlign w:val="baseline"/>
        </w:rPr>
        <w:t xml:space="preserve"> </w:t>
      </w:r>
      <w:r w:rsidR="000E67CA">
        <w:rPr>
          <w:rStyle w:val="FootnoteReference"/>
          <w:rFonts w:asciiTheme="majorHAnsi" w:hAnsiTheme="majorHAnsi" w:cs="Arial"/>
          <w:color w:val="auto"/>
          <w:sz w:val="16"/>
          <w:szCs w:val="16"/>
          <w:vertAlign w:val="baseline"/>
        </w:rPr>
        <w:t>IACHR</w:t>
      </w:r>
      <w:r w:rsidRPr="00A51861">
        <w:rPr>
          <w:rStyle w:val="FootnoteReference"/>
          <w:rFonts w:asciiTheme="majorHAnsi" w:hAnsiTheme="majorHAnsi" w:cs="Arial"/>
          <w:color w:val="auto"/>
          <w:sz w:val="16"/>
          <w:szCs w:val="16"/>
          <w:vertAlign w:val="baseline"/>
        </w:rPr>
        <w:t>.</w:t>
      </w:r>
      <w:r w:rsidR="000E67CA">
        <w:rPr>
          <w:rStyle w:val="FootnoteReference"/>
          <w:rFonts w:asciiTheme="majorHAnsi" w:hAnsiTheme="majorHAnsi" w:cs="Arial"/>
          <w:color w:val="auto"/>
          <w:sz w:val="16"/>
          <w:szCs w:val="16"/>
          <w:vertAlign w:val="baseline"/>
        </w:rPr>
        <w:t xml:space="preserve"> Report </w:t>
      </w:r>
      <w:r w:rsidRPr="00A51861">
        <w:rPr>
          <w:rStyle w:val="FootnoteReference"/>
          <w:rFonts w:asciiTheme="majorHAnsi" w:hAnsiTheme="majorHAnsi" w:cs="Arial"/>
          <w:color w:val="auto"/>
          <w:sz w:val="16"/>
          <w:szCs w:val="16"/>
          <w:vertAlign w:val="baseline"/>
        </w:rPr>
        <w:t xml:space="preserve">No. 63/08. </w:t>
      </w:r>
      <w:r w:rsidR="00B6596B">
        <w:rPr>
          <w:rStyle w:val="FootnoteReference"/>
          <w:rFonts w:asciiTheme="majorHAnsi" w:hAnsiTheme="majorHAnsi" w:cs="Arial"/>
          <w:color w:val="auto"/>
          <w:sz w:val="16"/>
          <w:szCs w:val="16"/>
          <w:vertAlign w:val="baseline"/>
        </w:rPr>
        <w:t xml:space="preserve">Case </w:t>
      </w:r>
      <w:r w:rsidRPr="00A51861">
        <w:rPr>
          <w:rStyle w:val="FootnoteReference"/>
          <w:rFonts w:asciiTheme="majorHAnsi" w:hAnsiTheme="majorHAnsi" w:cs="Arial"/>
          <w:color w:val="auto"/>
          <w:sz w:val="16"/>
          <w:szCs w:val="16"/>
          <w:vertAlign w:val="baseline"/>
        </w:rPr>
        <w:t xml:space="preserve">12.534. </w:t>
      </w:r>
      <w:r w:rsidR="00061928">
        <w:rPr>
          <w:rStyle w:val="FootnoteReference"/>
          <w:rFonts w:asciiTheme="majorHAnsi" w:hAnsiTheme="majorHAnsi" w:cs="Arial"/>
          <w:color w:val="auto"/>
          <w:sz w:val="16"/>
          <w:szCs w:val="16"/>
          <w:vertAlign w:val="baseline"/>
        </w:rPr>
        <w:t>Admissibility</w:t>
      </w:r>
      <w:r w:rsidR="00B6596B">
        <w:rPr>
          <w:rStyle w:val="FootnoteReference"/>
          <w:rFonts w:asciiTheme="majorHAnsi" w:hAnsiTheme="majorHAnsi" w:cs="Arial"/>
          <w:color w:val="auto"/>
          <w:sz w:val="16"/>
          <w:szCs w:val="16"/>
          <w:vertAlign w:val="baseline"/>
        </w:rPr>
        <w:t xml:space="preserve"> </w:t>
      </w:r>
      <w:r w:rsidR="002D6E83">
        <w:rPr>
          <w:rStyle w:val="FootnoteReference"/>
          <w:rFonts w:asciiTheme="majorHAnsi" w:hAnsiTheme="majorHAnsi" w:cs="Arial"/>
          <w:color w:val="auto"/>
          <w:sz w:val="16"/>
          <w:szCs w:val="16"/>
          <w:vertAlign w:val="baseline"/>
        </w:rPr>
        <w:t>and Merits</w:t>
      </w:r>
      <w:r w:rsidRPr="00A51861">
        <w:rPr>
          <w:rStyle w:val="FootnoteReference"/>
          <w:rFonts w:asciiTheme="majorHAnsi" w:hAnsiTheme="majorHAnsi" w:cs="Arial"/>
          <w:color w:val="auto"/>
          <w:sz w:val="16"/>
          <w:szCs w:val="16"/>
          <w:vertAlign w:val="baseline"/>
        </w:rPr>
        <w:t xml:space="preserve">. Andrea Mortlock. </w:t>
      </w:r>
      <w:r w:rsidR="00347146">
        <w:rPr>
          <w:rStyle w:val="FootnoteReference"/>
          <w:rFonts w:asciiTheme="majorHAnsi" w:hAnsiTheme="majorHAnsi" w:cs="Arial"/>
          <w:color w:val="auto"/>
          <w:sz w:val="16"/>
          <w:szCs w:val="16"/>
          <w:vertAlign w:val="baseline"/>
        </w:rPr>
        <w:t>United States</w:t>
      </w:r>
      <w:r w:rsidRPr="00A51861">
        <w:rPr>
          <w:rStyle w:val="FootnoteReference"/>
          <w:rFonts w:asciiTheme="majorHAnsi" w:hAnsiTheme="majorHAnsi" w:cs="Arial"/>
          <w:color w:val="auto"/>
          <w:sz w:val="16"/>
          <w:szCs w:val="16"/>
          <w:vertAlign w:val="baseline"/>
        </w:rPr>
        <w:t xml:space="preserve">. </w:t>
      </w:r>
      <w:r w:rsidR="00680DA3">
        <w:rPr>
          <w:rStyle w:val="FootnoteReference"/>
          <w:rFonts w:asciiTheme="majorHAnsi" w:hAnsiTheme="majorHAnsi" w:cs="Arial"/>
          <w:color w:val="auto"/>
          <w:sz w:val="16"/>
          <w:szCs w:val="16"/>
          <w:vertAlign w:val="baseline"/>
        </w:rPr>
        <w:t xml:space="preserve">July 25, </w:t>
      </w:r>
      <w:r w:rsidRPr="00A51861">
        <w:rPr>
          <w:rStyle w:val="FootnoteReference"/>
          <w:rFonts w:asciiTheme="majorHAnsi" w:hAnsiTheme="majorHAnsi" w:cs="Arial"/>
          <w:color w:val="auto"/>
          <w:sz w:val="16"/>
          <w:szCs w:val="16"/>
          <w:vertAlign w:val="baseline"/>
        </w:rPr>
        <w:t xml:space="preserve">2008. </w:t>
      </w:r>
      <w:r w:rsidR="00357129">
        <w:rPr>
          <w:rStyle w:val="FootnoteReference"/>
          <w:rFonts w:asciiTheme="majorHAnsi" w:hAnsiTheme="majorHAnsi" w:cs="Arial"/>
          <w:color w:val="auto"/>
          <w:sz w:val="16"/>
          <w:szCs w:val="16"/>
          <w:vertAlign w:val="baseline"/>
        </w:rPr>
        <w:t xml:space="preserve">Para. </w:t>
      </w:r>
      <w:r w:rsidRPr="00A51861">
        <w:rPr>
          <w:rStyle w:val="FootnoteReference"/>
          <w:rFonts w:asciiTheme="majorHAnsi" w:hAnsiTheme="majorHAnsi" w:cs="Arial"/>
          <w:color w:val="auto"/>
          <w:sz w:val="16"/>
          <w:szCs w:val="16"/>
          <w:vertAlign w:val="baseline"/>
        </w:rPr>
        <w:t>83.</w:t>
      </w:r>
    </w:p>
  </w:footnote>
  <w:footnote w:id="182">
    <w:p w14:paraId="53847DCD" w14:textId="6475975E" w:rsidR="00F40E67" w:rsidRPr="00A51861" w:rsidRDefault="00F40E67" w:rsidP="0063693D">
      <w:pPr>
        <w:pStyle w:val="FootnoteText"/>
        <w:jc w:val="both"/>
        <w:rPr>
          <w:rFonts w:asciiTheme="majorHAnsi" w:hAnsiTheme="majorHAnsi" w:cs="Arial"/>
          <w:color w:val="auto"/>
          <w:sz w:val="16"/>
          <w:szCs w:val="16"/>
        </w:rPr>
      </w:pPr>
      <w:r w:rsidRPr="00273F34">
        <w:rPr>
          <w:rStyle w:val="FootnoteReference"/>
          <w:rFonts w:asciiTheme="majorHAnsi" w:hAnsiTheme="majorHAnsi" w:cs="Arial"/>
          <w:color w:val="auto"/>
          <w:sz w:val="16"/>
          <w:szCs w:val="16"/>
        </w:rPr>
        <w:footnoteRef/>
      </w:r>
      <w:r w:rsidRPr="00A51861">
        <w:rPr>
          <w:rStyle w:val="FootnoteReference"/>
          <w:rFonts w:asciiTheme="majorHAnsi" w:hAnsiTheme="majorHAnsi" w:cs="Arial"/>
          <w:color w:val="auto"/>
          <w:sz w:val="16"/>
          <w:szCs w:val="16"/>
          <w:vertAlign w:val="baseline"/>
        </w:rPr>
        <w:t xml:space="preserve"> </w:t>
      </w:r>
      <w:r w:rsidR="000E67CA">
        <w:rPr>
          <w:rStyle w:val="FootnoteReference"/>
          <w:rFonts w:asciiTheme="majorHAnsi" w:hAnsiTheme="majorHAnsi" w:cs="Arial"/>
          <w:color w:val="auto"/>
          <w:sz w:val="16"/>
          <w:szCs w:val="16"/>
          <w:vertAlign w:val="baseline"/>
        </w:rPr>
        <w:t>IACHR</w:t>
      </w:r>
      <w:r w:rsidRPr="00A51861">
        <w:rPr>
          <w:rStyle w:val="FootnoteReference"/>
          <w:rFonts w:asciiTheme="majorHAnsi" w:hAnsiTheme="majorHAnsi" w:cs="Arial"/>
          <w:color w:val="auto"/>
          <w:sz w:val="16"/>
          <w:szCs w:val="16"/>
          <w:vertAlign w:val="baseline"/>
        </w:rPr>
        <w:t>.</w:t>
      </w:r>
      <w:r w:rsidR="000E67CA">
        <w:rPr>
          <w:rStyle w:val="FootnoteReference"/>
          <w:rFonts w:asciiTheme="majorHAnsi" w:hAnsiTheme="majorHAnsi" w:cs="Arial"/>
          <w:color w:val="auto"/>
          <w:sz w:val="16"/>
          <w:szCs w:val="16"/>
          <w:vertAlign w:val="baseline"/>
        </w:rPr>
        <w:t xml:space="preserve"> Report </w:t>
      </w:r>
      <w:r w:rsidRPr="00A51861">
        <w:rPr>
          <w:rStyle w:val="FootnoteReference"/>
          <w:rFonts w:asciiTheme="majorHAnsi" w:hAnsiTheme="majorHAnsi" w:cs="Arial"/>
          <w:color w:val="auto"/>
          <w:sz w:val="16"/>
          <w:szCs w:val="16"/>
          <w:vertAlign w:val="baseline"/>
        </w:rPr>
        <w:t xml:space="preserve">No. 63/08. </w:t>
      </w:r>
      <w:r w:rsidR="00B6596B">
        <w:rPr>
          <w:rStyle w:val="FootnoteReference"/>
          <w:rFonts w:asciiTheme="majorHAnsi" w:hAnsiTheme="majorHAnsi" w:cs="Arial"/>
          <w:color w:val="auto"/>
          <w:sz w:val="16"/>
          <w:szCs w:val="16"/>
          <w:vertAlign w:val="baseline"/>
        </w:rPr>
        <w:t xml:space="preserve">Case </w:t>
      </w:r>
      <w:r w:rsidRPr="00A51861">
        <w:rPr>
          <w:rStyle w:val="FootnoteReference"/>
          <w:rFonts w:asciiTheme="majorHAnsi" w:hAnsiTheme="majorHAnsi" w:cs="Arial"/>
          <w:color w:val="auto"/>
          <w:sz w:val="16"/>
          <w:szCs w:val="16"/>
          <w:vertAlign w:val="baseline"/>
        </w:rPr>
        <w:t xml:space="preserve">12.534. </w:t>
      </w:r>
      <w:r w:rsidR="00061928">
        <w:rPr>
          <w:rStyle w:val="FootnoteReference"/>
          <w:rFonts w:asciiTheme="majorHAnsi" w:hAnsiTheme="majorHAnsi" w:cs="Arial"/>
          <w:color w:val="auto"/>
          <w:sz w:val="16"/>
          <w:szCs w:val="16"/>
          <w:vertAlign w:val="baseline"/>
        </w:rPr>
        <w:t>Admissibility</w:t>
      </w:r>
      <w:r w:rsidR="00B6596B">
        <w:rPr>
          <w:rStyle w:val="FootnoteReference"/>
          <w:rFonts w:asciiTheme="majorHAnsi" w:hAnsiTheme="majorHAnsi" w:cs="Arial"/>
          <w:color w:val="auto"/>
          <w:sz w:val="16"/>
          <w:szCs w:val="16"/>
          <w:vertAlign w:val="baseline"/>
        </w:rPr>
        <w:t xml:space="preserve"> </w:t>
      </w:r>
      <w:r w:rsidR="002D6E83">
        <w:rPr>
          <w:rStyle w:val="FootnoteReference"/>
          <w:rFonts w:asciiTheme="majorHAnsi" w:hAnsiTheme="majorHAnsi" w:cs="Arial"/>
          <w:color w:val="auto"/>
          <w:sz w:val="16"/>
          <w:szCs w:val="16"/>
          <w:vertAlign w:val="baseline"/>
        </w:rPr>
        <w:t>and Merits</w:t>
      </w:r>
      <w:r w:rsidRPr="00A51861">
        <w:rPr>
          <w:rStyle w:val="FootnoteReference"/>
          <w:rFonts w:asciiTheme="majorHAnsi" w:hAnsiTheme="majorHAnsi" w:cs="Arial"/>
          <w:color w:val="auto"/>
          <w:sz w:val="16"/>
          <w:szCs w:val="16"/>
          <w:vertAlign w:val="baseline"/>
        </w:rPr>
        <w:t xml:space="preserve">. Andrea Mortlock. </w:t>
      </w:r>
      <w:r w:rsidR="00347146">
        <w:rPr>
          <w:rStyle w:val="FootnoteReference"/>
          <w:rFonts w:asciiTheme="majorHAnsi" w:hAnsiTheme="majorHAnsi" w:cs="Arial"/>
          <w:color w:val="auto"/>
          <w:sz w:val="16"/>
          <w:szCs w:val="16"/>
          <w:vertAlign w:val="baseline"/>
        </w:rPr>
        <w:t>United States</w:t>
      </w:r>
      <w:r w:rsidRPr="00A51861">
        <w:rPr>
          <w:rStyle w:val="FootnoteReference"/>
          <w:rFonts w:asciiTheme="majorHAnsi" w:hAnsiTheme="majorHAnsi" w:cs="Arial"/>
          <w:color w:val="auto"/>
          <w:sz w:val="16"/>
          <w:szCs w:val="16"/>
          <w:vertAlign w:val="baseline"/>
        </w:rPr>
        <w:t xml:space="preserve">. </w:t>
      </w:r>
      <w:r w:rsidR="00680DA3">
        <w:rPr>
          <w:rStyle w:val="FootnoteReference"/>
          <w:rFonts w:asciiTheme="majorHAnsi" w:hAnsiTheme="majorHAnsi" w:cs="Arial"/>
          <w:color w:val="auto"/>
          <w:sz w:val="16"/>
          <w:szCs w:val="16"/>
          <w:vertAlign w:val="baseline"/>
        </w:rPr>
        <w:t xml:space="preserve">July 25, </w:t>
      </w:r>
      <w:r w:rsidRPr="00A51861">
        <w:rPr>
          <w:rStyle w:val="FootnoteReference"/>
          <w:rFonts w:asciiTheme="majorHAnsi" w:hAnsiTheme="majorHAnsi" w:cs="Arial"/>
          <w:color w:val="auto"/>
          <w:sz w:val="16"/>
          <w:szCs w:val="16"/>
          <w:vertAlign w:val="baseline"/>
        </w:rPr>
        <w:t xml:space="preserve">2008. </w:t>
      </w:r>
      <w:r w:rsidR="00357129">
        <w:rPr>
          <w:rStyle w:val="FootnoteReference"/>
          <w:rFonts w:asciiTheme="majorHAnsi" w:hAnsiTheme="majorHAnsi" w:cs="Arial"/>
          <w:color w:val="auto"/>
          <w:sz w:val="16"/>
          <w:szCs w:val="16"/>
          <w:vertAlign w:val="baseline"/>
        </w:rPr>
        <w:t xml:space="preserve">Para. </w:t>
      </w:r>
      <w:r w:rsidRPr="00A51861">
        <w:rPr>
          <w:rStyle w:val="FootnoteReference"/>
          <w:rFonts w:asciiTheme="majorHAnsi" w:hAnsiTheme="majorHAnsi" w:cs="Arial"/>
          <w:color w:val="auto"/>
          <w:sz w:val="16"/>
          <w:szCs w:val="16"/>
          <w:vertAlign w:val="baseline"/>
        </w:rPr>
        <w:t>84.</w:t>
      </w:r>
    </w:p>
  </w:footnote>
  <w:footnote w:id="183">
    <w:p w14:paraId="1CDAF372" w14:textId="654AAEB1" w:rsidR="00F40E67" w:rsidRPr="00A51861" w:rsidRDefault="00F40E67" w:rsidP="0063693D">
      <w:pPr>
        <w:pStyle w:val="FootnoteText"/>
        <w:jc w:val="both"/>
        <w:rPr>
          <w:rFonts w:asciiTheme="majorHAnsi" w:hAnsiTheme="majorHAnsi" w:cs="Arial"/>
          <w:color w:val="auto"/>
          <w:sz w:val="16"/>
          <w:szCs w:val="16"/>
        </w:rPr>
      </w:pPr>
      <w:r w:rsidRPr="00A51861">
        <w:rPr>
          <w:rStyle w:val="FootnoteReference"/>
          <w:rFonts w:asciiTheme="majorHAnsi" w:hAnsiTheme="majorHAnsi" w:cs="Arial"/>
          <w:color w:val="auto"/>
          <w:sz w:val="16"/>
          <w:szCs w:val="16"/>
        </w:rPr>
        <w:footnoteRef/>
      </w:r>
      <w:r w:rsidRPr="00A51861">
        <w:rPr>
          <w:rFonts w:asciiTheme="majorHAnsi" w:hAnsiTheme="majorHAnsi" w:cs="Arial"/>
          <w:color w:val="auto"/>
          <w:sz w:val="16"/>
          <w:szCs w:val="16"/>
        </w:rPr>
        <w:t xml:space="preserve"> </w:t>
      </w:r>
      <w:r w:rsidR="00D7409A">
        <w:rPr>
          <w:rFonts w:asciiTheme="majorHAnsi" w:hAnsiTheme="majorHAnsi" w:cs="Arial"/>
          <w:color w:val="auto"/>
          <w:sz w:val="16"/>
          <w:szCs w:val="16"/>
        </w:rPr>
        <w:t>Human Rights Committee</w:t>
      </w:r>
      <w:r w:rsidRPr="00A51861">
        <w:rPr>
          <w:rFonts w:asciiTheme="majorHAnsi" w:hAnsiTheme="majorHAnsi" w:cs="Arial"/>
          <w:color w:val="auto"/>
          <w:sz w:val="16"/>
          <w:szCs w:val="16"/>
        </w:rPr>
        <w:t xml:space="preserve">. </w:t>
      </w:r>
      <w:r w:rsidR="00D7409A">
        <w:rPr>
          <w:rFonts w:asciiTheme="majorHAnsi" w:hAnsiTheme="majorHAnsi" w:cs="Arial"/>
          <w:color w:val="auto"/>
          <w:sz w:val="16"/>
          <w:szCs w:val="16"/>
        </w:rPr>
        <w:t>General Observation</w:t>
      </w:r>
      <w:r w:rsidRPr="00A51861">
        <w:rPr>
          <w:rFonts w:asciiTheme="majorHAnsi" w:hAnsiTheme="majorHAnsi" w:cs="Arial"/>
          <w:color w:val="auto"/>
          <w:sz w:val="16"/>
          <w:szCs w:val="16"/>
        </w:rPr>
        <w:t xml:space="preserve"> No. 15 </w:t>
      </w:r>
      <w:r w:rsidR="00D7409A">
        <w:rPr>
          <w:rFonts w:asciiTheme="majorHAnsi" w:hAnsiTheme="majorHAnsi" w:cs="Arial"/>
          <w:color w:val="auto"/>
          <w:sz w:val="16"/>
          <w:szCs w:val="16"/>
        </w:rPr>
        <w:t>concerning the</w:t>
      </w:r>
      <w:r w:rsidRPr="00A51861">
        <w:rPr>
          <w:rFonts w:asciiTheme="majorHAnsi" w:hAnsiTheme="majorHAnsi" w:cs="Arial"/>
          <w:color w:val="auto"/>
          <w:sz w:val="16"/>
          <w:szCs w:val="16"/>
        </w:rPr>
        <w:t xml:space="preserve"> </w:t>
      </w:r>
      <w:r w:rsidR="00E92985">
        <w:rPr>
          <w:rFonts w:asciiTheme="majorHAnsi" w:hAnsiTheme="majorHAnsi" w:cs="Arial"/>
          <w:color w:val="auto"/>
          <w:sz w:val="16"/>
          <w:szCs w:val="16"/>
        </w:rPr>
        <w:t>situation</w:t>
      </w:r>
      <w:r w:rsidRPr="00A51861">
        <w:rPr>
          <w:rFonts w:asciiTheme="majorHAnsi" w:hAnsiTheme="majorHAnsi" w:cs="Arial"/>
          <w:color w:val="auto"/>
          <w:sz w:val="16"/>
          <w:szCs w:val="16"/>
        </w:rPr>
        <w:t xml:space="preserve"> </w:t>
      </w:r>
      <w:r w:rsidR="00CB4E23">
        <w:rPr>
          <w:rFonts w:asciiTheme="majorHAnsi" w:hAnsiTheme="majorHAnsi" w:cs="Arial"/>
          <w:color w:val="auto"/>
          <w:sz w:val="16"/>
          <w:szCs w:val="16"/>
        </w:rPr>
        <w:t>of foreigners under the International Covenant on Civil and Political Rights</w:t>
      </w:r>
      <w:r w:rsidRPr="00A51861">
        <w:rPr>
          <w:rFonts w:asciiTheme="majorHAnsi" w:hAnsiTheme="majorHAnsi" w:cs="Arial"/>
          <w:color w:val="auto"/>
          <w:sz w:val="16"/>
          <w:szCs w:val="16"/>
        </w:rPr>
        <w:t xml:space="preserve">. </w:t>
      </w:r>
      <w:r w:rsidR="00154218">
        <w:rPr>
          <w:rFonts w:asciiTheme="majorHAnsi" w:hAnsiTheme="majorHAnsi" w:cs="Arial"/>
          <w:color w:val="auto"/>
          <w:sz w:val="16"/>
          <w:szCs w:val="16"/>
        </w:rPr>
        <w:t xml:space="preserve">Approved on </w:t>
      </w:r>
      <w:r w:rsidR="00154218" w:rsidRPr="00A51861">
        <w:rPr>
          <w:rFonts w:asciiTheme="majorHAnsi" w:hAnsiTheme="majorHAnsi" w:cs="Arial"/>
          <w:color w:val="auto"/>
          <w:sz w:val="16"/>
          <w:szCs w:val="16"/>
        </w:rPr>
        <w:t>period</w:t>
      </w:r>
      <w:r w:rsidRPr="00A51861">
        <w:rPr>
          <w:rFonts w:asciiTheme="majorHAnsi" w:hAnsiTheme="majorHAnsi" w:cs="Arial"/>
          <w:color w:val="auto"/>
          <w:sz w:val="16"/>
          <w:szCs w:val="16"/>
        </w:rPr>
        <w:t xml:space="preserve"> </w:t>
      </w:r>
      <w:r w:rsidR="00154218" w:rsidRPr="00A51861">
        <w:rPr>
          <w:rFonts w:asciiTheme="majorHAnsi" w:hAnsiTheme="majorHAnsi" w:cs="Arial"/>
          <w:color w:val="auto"/>
          <w:sz w:val="16"/>
          <w:szCs w:val="16"/>
        </w:rPr>
        <w:t xml:space="preserve">27 </w:t>
      </w:r>
      <w:r w:rsidR="00154218">
        <w:rPr>
          <w:rFonts w:asciiTheme="majorHAnsi" w:hAnsiTheme="majorHAnsi" w:cs="Arial"/>
          <w:color w:val="auto"/>
          <w:sz w:val="16"/>
          <w:szCs w:val="16"/>
        </w:rPr>
        <w:t>of sessions</w:t>
      </w:r>
      <w:r w:rsidRPr="00A51861">
        <w:rPr>
          <w:rFonts w:asciiTheme="majorHAnsi" w:hAnsiTheme="majorHAnsi" w:cs="Arial"/>
          <w:color w:val="auto"/>
          <w:sz w:val="16"/>
          <w:szCs w:val="16"/>
        </w:rPr>
        <w:t xml:space="preserve">, 1986, </w:t>
      </w:r>
      <w:r w:rsidR="00B6596B">
        <w:rPr>
          <w:rFonts w:asciiTheme="majorHAnsi" w:hAnsiTheme="majorHAnsi" w:cs="Arial"/>
          <w:color w:val="auto"/>
          <w:sz w:val="16"/>
          <w:szCs w:val="16"/>
        </w:rPr>
        <w:t>para.</w:t>
      </w:r>
      <w:r w:rsidRPr="00A51861">
        <w:rPr>
          <w:rFonts w:asciiTheme="majorHAnsi" w:hAnsiTheme="majorHAnsi" w:cs="Arial"/>
          <w:color w:val="auto"/>
          <w:sz w:val="16"/>
          <w:szCs w:val="16"/>
        </w:rPr>
        <w:t xml:space="preserve"> 9.</w:t>
      </w:r>
    </w:p>
  </w:footnote>
  <w:footnote w:id="184">
    <w:p w14:paraId="16BA2B51" w14:textId="239FC9E8"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036743">
        <w:rPr>
          <w:rFonts w:asciiTheme="majorHAnsi" w:hAnsiTheme="majorHAnsi"/>
          <w:color w:val="auto"/>
          <w:sz w:val="16"/>
          <w:szCs w:val="16"/>
        </w:rPr>
        <w:t>IHR Court</w:t>
      </w:r>
      <w:r w:rsidRPr="00A51861">
        <w:rPr>
          <w:rFonts w:asciiTheme="majorHAnsi" w:hAnsiTheme="majorHAnsi"/>
          <w:color w:val="auto"/>
          <w:sz w:val="16"/>
          <w:szCs w:val="16"/>
        </w:rPr>
        <w:t xml:space="preserve">. </w:t>
      </w:r>
      <w:r w:rsidR="00B6596B">
        <w:rPr>
          <w:rFonts w:asciiTheme="majorHAnsi" w:hAnsiTheme="majorHAnsi"/>
          <w:color w:val="auto"/>
          <w:sz w:val="16"/>
          <w:szCs w:val="16"/>
        </w:rPr>
        <w:t xml:space="preserve">Case </w:t>
      </w:r>
      <w:r w:rsidRPr="00A51861">
        <w:rPr>
          <w:rFonts w:asciiTheme="majorHAnsi" w:hAnsiTheme="majorHAnsi"/>
          <w:color w:val="auto"/>
          <w:sz w:val="16"/>
          <w:szCs w:val="16"/>
        </w:rPr>
        <w:t>Nadege Dorzema</w:t>
      </w:r>
      <w:r w:rsidR="00B6596B">
        <w:rPr>
          <w:rFonts w:asciiTheme="majorHAnsi" w:hAnsiTheme="majorHAnsi"/>
          <w:color w:val="auto"/>
          <w:sz w:val="16"/>
          <w:szCs w:val="16"/>
        </w:rPr>
        <w:t xml:space="preserve"> </w:t>
      </w:r>
      <w:r w:rsidR="00357129">
        <w:rPr>
          <w:rFonts w:asciiTheme="majorHAnsi" w:hAnsiTheme="majorHAnsi"/>
          <w:color w:val="auto"/>
          <w:sz w:val="16"/>
          <w:szCs w:val="16"/>
        </w:rPr>
        <w:t xml:space="preserve">and others </w:t>
      </w:r>
      <w:r w:rsidRPr="00A51861">
        <w:rPr>
          <w:rFonts w:asciiTheme="majorHAnsi" w:hAnsiTheme="majorHAnsi"/>
          <w:color w:val="auto"/>
          <w:sz w:val="16"/>
          <w:szCs w:val="16"/>
        </w:rPr>
        <w:t xml:space="preserve">vs. </w:t>
      </w:r>
      <w:r w:rsidR="00154218">
        <w:rPr>
          <w:rFonts w:asciiTheme="majorHAnsi" w:hAnsiTheme="majorHAnsi"/>
          <w:color w:val="auto"/>
          <w:sz w:val="16"/>
          <w:szCs w:val="16"/>
        </w:rPr>
        <w:t>Dominican Republic</w:t>
      </w:r>
      <w:r w:rsidRPr="00A51861">
        <w:rPr>
          <w:rFonts w:asciiTheme="majorHAnsi" w:hAnsiTheme="majorHAnsi"/>
          <w:color w:val="auto"/>
          <w:sz w:val="16"/>
          <w:szCs w:val="16"/>
        </w:rPr>
        <w:t xml:space="preserve">. </w:t>
      </w:r>
      <w:r w:rsidR="00B6596B">
        <w:rPr>
          <w:rFonts w:asciiTheme="majorHAnsi" w:hAnsiTheme="majorHAnsi"/>
          <w:color w:val="auto"/>
          <w:sz w:val="16"/>
          <w:szCs w:val="16"/>
        </w:rPr>
        <w:t>Merits</w:t>
      </w:r>
      <w:r w:rsidRPr="00A51861">
        <w:rPr>
          <w:rFonts w:asciiTheme="majorHAnsi" w:hAnsiTheme="majorHAnsi"/>
          <w:color w:val="auto"/>
          <w:sz w:val="16"/>
          <w:szCs w:val="16"/>
        </w:rPr>
        <w:t xml:space="preserve">, </w:t>
      </w:r>
      <w:r w:rsidR="00357129">
        <w:rPr>
          <w:rFonts w:asciiTheme="majorHAnsi" w:hAnsiTheme="majorHAnsi"/>
          <w:color w:val="auto"/>
          <w:sz w:val="16"/>
          <w:szCs w:val="16"/>
        </w:rPr>
        <w:t>Reparations and Costs</w:t>
      </w:r>
      <w:r w:rsidRPr="00A51861">
        <w:rPr>
          <w:rFonts w:asciiTheme="majorHAnsi" w:hAnsiTheme="majorHAnsi"/>
          <w:color w:val="auto"/>
          <w:sz w:val="16"/>
          <w:szCs w:val="16"/>
        </w:rPr>
        <w:t xml:space="preserve">. </w:t>
      </w:r>
      <w:r w:rsidR="004E56A9">
        <w:rPr>
          <w:rFonts w:asciiTheme="majorHAnsi" w:hAnsiTheme="majorHAnsi"/>
          <w:color w:val="auto"/>
          <w:sz w:val="16"/>
          <w:szCs w:val="16"/>
        </w:rPr>
        <w:t>Judgment</w:t>
      </w:r>
      <w:r w:rsidRPr="00A51861">
        <w:rPr>
          <w:rFonts w:asciiTheme="majorHAnsi" w:hAnsiTheme="majorHAnsi"/>
          <w:color w:val="auto"/>
          <w:sz w:val="16"/>
          <w:szCs w:val="16"/>
        </w:rPr>
        <w:t xml:space="preserve"> </w:t>
      </w:r>
      <w:r w:rsidR="00154218">
        <w:rPr>
          <w:rFonts w:asciiTheme="majorHAnsi" w:hAnsiTheme="majorHAnsi"/>
          <w:color w:val="auto"/>
          <w:sz w:val="16"/>
          <w:szCs w:val="16"/>
        </w:rPr>
        <w:t xml:space="preserve">of October 24, </w:t>
      </w:r>
      <w:r w:rsidRPr="00A51861">
        <w:rPr>
          <w:rFonts w:asciiTheme="majorHAnsi" w:hAnsiTheme="majorHAnsi"/>
          <w:color w:val="auto"/>
          <w:sz w:val="16"/>
          <w:szCs w:val="16"/>
        </w:rPr>
        <w:t>2012. Serie C No. 251.</w:t>
      </w:r>
    </w:p>
  </w:footnote>
  <w:footnote w:id="185">
    <w:p w14:paraId="7F1C802A" w14:textId="3D6C81B4" w:rsidR="00F40E67" w:rsidRPr="00A51861" w:rsidRDefault="00F40E67" w:rsidP="0063693D">
      <w:pPr>
        <w:pStyle w:val="FootnoteText"/>
        <w:jc w:val="both"/>
        <w:rPr>
          <w:rFonts w:asciiTheme="majorHAnsi" w:hAnsiTheme="majorHAnsi" w:cs="Arial"/>
          <w:color w:val="auto"/>
          <w:sz w:val="16"/>
          <w:szCs w:val="16"/>
        </w:rPr>
      </w:pPr>
      <w:r w:rsidRPr="00A51861">
        <w:rPr>
          <w:rStyle w:val="FootnoteReference"/>
          <w:rFonts w:asciiTheme="majorHAnsi" w:hAnsiTheme="majorHAnsi" w:cs="Arial"/>
          <w:color w:val="auto"/>
          <w:sz w:val="16"/>
          <w:szCs w:val="16"/>
        </w:rPr>
        <w:footnoteRef/>
      </w:r>
      <w:r w:rsidRPr="00A51861">
        <w:rPr>
          <w:rFonts w:asciiTheme="majorHAnsi" w:hAnsiTheme="majorHAnsi" w:cs="Arial"/>
          <w:color w:val="auto"/>
          <w:sz w:val="16"/>
          <w:szCs w:val="16"/>
        </w:rPr>
        <w:t xml:space="preserve"> African </w:t>
      </w:r>
      <w:r w:rsidR="00FE1E27">
        <w:rPr>
          <w:rFonts w:asciiTheme="majorHAnsi" w:hAnsiTheme="majorHAnsi" w:cs="Arial"/>
          <w:color w:val="auto"/>
          <w:sz w:val="16"/>
          <w:szCs w:val="16"/>
        </w:rPr>
        <w:t>Commission</w:t>
      </w:r>
      <w:r w:rsidRPr="00A51861">
        <w:rPr>
          <w:rFonts w:asciiTheme="majorHAnsi" w:hAnsiTheme="majorHAnsi" w:cs="Arial"/>
          <w:color w:val="auto"/>
          <w:sz w:val="16"/>
          <w:szCs w:val="16"/>
        </w:rPr>
        <w:t xml:space="preserve"> of Human and Peoples’ Rights, Communication No: 159/96, </w:t>
      </w:r>
      <w:r w:rsidR="00B6596B">
        <w:rPr>
          <w:rFonts w:asciiTheme="majorHAnsi" w:hAnsiTheme="majorHAnsi" w:cs="Arial"/>
          <w:color w:val="auto"/>
          <w:sz w:val="16"/>
          <w:szCs w:val="16"/>
        </w:rPr>
        <w:t>para.</w:t>
      </w:r>
      <w:r w:rsidRPr="00A51861">
        <w:rPr>
          <w:rFonts w:asciiTheme="majorHAnsi" w:hAnsiTheme="majorHAnsi" w:cs="Arial"/>
          <w:color w:val="auto"/>
          <w:sz w:val="16"/>
          <w:szCs w:val="16"/>
        </w:rPr>
        <w:t xml:space="preserve"> 20</w:t>
      </w:r>
    </w:p>
  </w:footnote>
  <w:footnote w:id="186">
    <w:p w14:paraId="036DBEE0" w14:textId="36769135" w:rsidR="00F40E67" w:rsidRPr="00A51861" w:rsidRDefault="00F40E67" w:rsidP="0063693D">
      <w:pPr>
        <w:pStyle w:val="FootnoteText"/>
        <w:jc w:val="both"/>
        <w:rPr>
          <w:rFonts w:asciiTheme="majorHAnsi" w:hAnsiTheme="majorHAnsi" w:cs="Arial"/>
          <w:color w:val="auto"/>
          <w:sz w:val="16"/>
          <w:szCs w:val="16"/>
        </w:rPr>
      </w:pPr>
      <w:r w:rsidRPr="00A51861">
        <w:rPr>
          <w:rStyle w:val="FootnoteReference"/>
          <w:rFonts w:asciiTheme="majorHAnsi" w:hAnsiTheme="majorHAnsi" w:cs="Arial"/>
          <w:color w:val="auto"/>
          <w:sz w:val="16"/>
          <w:szCs w:val="16"/>
        </w:rPr>
        <w:footnoteRef/>
      </w:r>
      <w:r w:rsidRPr="00A51861">
        <w:rPr>
          <w:rFonts w:asciiTheme="majorHAnsi" w:hAnsiTheme="majorHAnsi" w:cs="Arial"/>
          <w:color w:val="auto"/>
          <w:sz w:val="16"/>
          <w:szCs w:val="16"/>
        </w:rPr>
        <w:t xml:space="preserve"> </w:t>
      </w:r>
      <w:r w:rsidR="000E67CA">
        <w:rPr>
          <w:rFonts w:asciiTheme="majorHAnsi" w:hAnsiTheme="majorHAnsi" w:cs="Arial"/>
          <w:color w:val="auto"/>
          <w:sz w:val="16"/>
          <w:szCs w:val="16"/>
        </w:rPr>
        <w:t>IACHR</w:t>
      </w:r>
      <w:r w:rsidRPr="00A51861">
        <w:rPr>
          <w:rFonts w:asciiTheme="majorHAnsi" w:hAnsiTheme="majorHAnsi" w:cs="Arial"/>
          <w:color w:val="auto"/>
          <w:sz w:val="16"/>
          <w:szCs w:val="16"/>
        </w:rPr>
        <w:t>.</w:t>
      </w:r>
      <w:r w:rsidR="000E67CA">
        <w:rPr>
          <w:rFonts w:asciiTheme="majorHAnsi" w:hAnsiTheme="majorHAnsi" w:cs="Arial"/>
          <w:color w:val="auto"/>
          <w:sz w:val="16"/>
          <w:szCs w:val="16"/>
        </w:rPr>
        <w:t xml:space="preserve"> Report </w:t>
      </w:r>
      <w:r w:rsidRPr="00A51861">
        <w:rPr>
          <w:rFonts w:asciiTheme="majorHAnsi" w:hAnsiTheme="majorHAnsi" w:cs="Arial"/>
          <w:color w:val="auto"/>
          <w:sz w:val="16"/>
          <w:szCs w:val="16"/>
        </w:rPr>
        <w:t xml:space="preserve">No. 140/19. </w:t>
      </w:r>
      <w:r w:rsidR="00B6596B">
        <w:rPr>
          <w:rFonts w:asciiTheme="majorHAnsi" w:hAnsiTheme="majorHAnsi" w:cs="Arial"/>
          <w:color w:val="auto"/>
          <w:sz w:val="16"/>
          <w:szCs w:val="16"/>
        </w:rPr>
        <w:t xml:space="preserve">Case </w:t>
      </w:r>
      <w:r w:rsidRPr="00A51861">
        <w:rPr>
          <w:rFonts w:asciiTheme="majorHAnsi" w:hAnsiTheme="majorHAnsi" w:cs="Arial"/>
          <w:color w:val="auto"/>
          <w:sz w:val="16"/>
          <w:szCs w:val="16"/>
        </w:rPr>
        <w:t xml:space="preserve">11.691. </w:t>
      </w:r>
      <w:r w:rsidR="00B6596B">
        <w:rPr>
          <w:rFonts w:asciiTheme="majorHAnsi" w:hAnsiTheme="majorHAnsi" w:cs="Arial"/>
          <w:color w:val="auto"/>
          <w:sz w:val="16"/>
          <w:szCs w:val="16"/>
        </w:rPr>
        <w:t>Merits</w:t>
      </w:r>
      <w:r w:rsidRPr="00A51861">
        <w:rPr>
          <w:rFonts w:asciiTheme="majorHAnsi" w:hAnsiTheme="majorHAnsi" w:cs="Arial"/>
          <w:color w:val="auto"/>
          <w:sz w:val="16"/>
          <w:szCs w:val="16"/>
        </w:rPr>
        <w:t>.</w:t>
      </w:r>
      <w:r w:rsidRPr="00A51861">
        <w:rPr>
          <w:rFonts w:asciiTheme="majorHAnsi" w:eastAsia="Arial Unicode MS" w:hAnsiTheme="majorHAnsi" w:cs="Arial"/>
          <w:color w:val="auto"/>
          <w:sz w:val="16"/>
          <w:szCs w:val="16"/>
        </w:rPr>
        <w:t xml:space="preserve"> </w:t>
      </w:r>
      <w:r w:rsidRPr="00A51861">
        <w:rPr>
          <w:rFonts w:asciiTheme="majorHAnsi" w:hAnsiTheme="majorHAnsi" w:cs="Arial"/>
          <w:color w:val="auto"/>
          <w:sz w:val="16"/>
          <w:szCs w:val="16"/>
        </w:rPr>
        <w:t xml:space="preserve">Raghda Habbal </w:t>
      </w:r>
      <w:r w:rsidR="00154218">
        <w:rPr>
          <w:rFonts w:asciiTheme="majorHAnsi" w:hAnsiTheme="majorHAnsi" w:cs="Arial"/>
          <w:color w:val="auto"/>
          <w:sz w:val="16"/>
          <w:szCs w:val="16"/>
        </w:rPr>
        <w:t>and children</w:t>
      </w:r>
      <w:r w:rsidRPr="00A51861">
        <w:rPr>
          <w:rFonts w:asciiTheme="majorHAnsi" w:hAnsiTheme="majorHAnsi" w:cs="Arial"/>
          <w:color w:val="auto"/>
          <w:sz w:val="16"/>
          <w:szCs w:val="16"/>
        </w:rPr>
        <w:t xml:space="preserve">. Argentina. </w:t>
      </w:r>
      <w:r w:rsidR="00154218">
        <w:rPr>
          <w:rFonts w:asciiTheme="majorHAnsi" w:hAnsiTheme="majorHAnsi" w:cs="Arial"/>
          <w:color w:val="auto"/>
          <w:sz w:val="16"/>
          <w:szCs w:val="16"/>
        </w:rPr>
        <w:t>September 28,</w:t>
      </w:r>
      <w:r w:rsidRPr="00A51861">
        <w:rPr>
          <w:rFonts w:asciiTheme="majorHAnsi" w:hAnsiTheme="majorHAnsi" w:cs="Arial"/>
          <w:color w:val="auto"/>
          <w:sz w:val="16"/>
          <w:szCs w:val="16"/>
        </w:rPr>
        <w:t xml:space="preserve"> 2019. </w:t>
      </w:r>
      <w:r w:rsidR="00154218">
        <w:rPr>
          <w:rFonts w:asciiTheme="majorHAnsi" w:hAnsiTheme="majorHAnsi" w:cs="Arial"/>
          <w:color w:val="auto"/>
          <w:sz w:val="16"/>
          <w:szCs w:val="16"/>
        </w:rPr>
        <w:t>In the</w:t>
      </w:r>
      <w:r w:rsidR="000E67CA">
        <w:rPr>
          <w:rFonts w:asciiTheme="majorHAnsi" w:hAnsiTheme="majorHAnsi" w:cs="Arial"/>
          <w:color w:val="auto"/>
          <w:sz w:val="16"/>
          <w:szCs w:val="16"/>
        </w:rPr>
        <w:t xml:space="preserve"> </w:t>
      </w:r>
      <w:r w:rsidR="00154218" w:rsidRPr="00A51861">
        <w:rPr>
          <w:rFonts w:asciiTheme="majorHAnsi" w:hAnsiTheme="majorHAnsi" w:cs="Arial"/>
          <w:color w:val="auto"/>
          <w:sz w:val="16"/>
          <w:szCs w:val="16"/>
        </w:rPr>
        <w:t>Human</w:t>
      </w:r>
      <w:r w:rsidR="00154218">
        <w:rPr>
          <w:rFonts w:asciiTheme="majorHAnsi" w:hAnsiTheme="majorHAnsi" w:cs="Arial"/>
          <w:color w:val="auto"/>
          <w:sz w:val="16"/>
          <w:szCs w:val="16"/>
        </w:rPr>
        <w:t xml:space="preserve"> </w:t>
      </w:r>
      <w:r w:rsidR="00154218" w:rsidRPr="00A51861">
        <w:rPr>
          <w:rFonts w:asciiTheme="majorHAnsi" w:hAnsiTheme="majorHAnsi" w:cs="Arial"/>
          <w:color w:val="auto"/>
          <w:sz w:val="16"/>
          <w:szCs w:val="16"/>
        </w:rPr>
        <w:t>Mobili</w:t>
      </w:r>
      <w:r w:rsidR="00154218">
        <w:rPr>
          <w:rFonts w:asciiTheme="majorHAnsi" w:hAnsiTheme="majorHAnsi" w:cs="Arial"/>
          <w:color w:val="auto"/>
          <w:sz w:val="16"/>
          <w:szCs w:val="16"/>
        </w:rPr>
        <w:t xml:space="preserve">ty </w:t>
      </w:r>
      <w:r w:rsidR="000E67CA">
        <w:rPr>
          <w:rFonts w:asciiTheme="majorHAnsi" w:hAnsiTheme="majorHAnsi" w:cs="Arial"/>
          <w:color w:val="auto"/>
          <w:sz w:val="16"/>
          <w:szCs w:val="16"/>
        </w:rPr>
        <w:t>Report</w:t>
      </w:r>
      <w:r w:rsidRPr="00A51861">
        <w:rPr>
          <w:rFonts w:asciiTheme="majorHAnsi" w:hAnsiTheme="majorHAnsi" w:cs="Arial"/>
          <w:color w:val="auto"/>
          <w:sz w:val="16"/>
          <w:szCs w:val="16"/>
        </w:rPr>
        <w:t xml:space="preserve">, </w:t>
      </w:r>
      <w:r w:rsidR="00A51861" w:rsidRPr="00A51861">
        <w:rPr>
          <w:rFonts w:asciiTheme="majorHAnsi" w:hAnsiTheme="majorHAnsi" w:cs="Arial"/>
          <w:color w:val="auto"/>
          <w:sz w:val="16"/>
          <w:szCs w:val="16"/>
        </w:rPr>
        <w:t xml:space="preserve">the </w:t>
      </w:r>
      <w:r w:rsidR="00FE1E27">
        <w:rPr>
          <w:rFonts w:asciiTheme="majorHAnsi" w:hAnsiTheme="majorHAnsi" w:cs="Arial"/>
          <w:color w:val="auto"/>
          <w:sz w:val="16"/>
          <w:szCs w:val="16"/>
        </w:rPr>
        <w:t>Commission</w:t>
      </w:r>
      <w:r w:rsidRPr="00A51861">
        <w:rPr>
          <w:rFonts w:asciiTheme="majorHAnsi" w:hAnsiTheme="majorHAnsi" w:cs="Arial"/>
          <w:color w:val="auto"/>
          <w:sz w:val="16"/>
          <w:szCs w:val="16"/>
        </w:rPr>
        <w:t xml:space="preserve"> </w:t>
      </w:r>
      <w:r w:rsidR="00154218">
        <w:rPr>
          <w:rFonts w:asciiTheme="majorHAnsi" w:hAnsiTheme="majorHAnsi" w:cs="Arial"/>
          <w:color w:val="auto"/>
          <w:sz w:val="16"/>
          <w:szCs w:val="16"/>
        </w:rPr>
        <w:t>systematized</w:t>
      </w:r>
      <w:r w:rsidRPr="00A51861">
        <w:rPr>
          <w:rFonts w:asciiTheme="majorHAnsi" w:hAnsiTheme="majorHAnsi" w:cs="Arial"/>
          <w:color w:val="auto"/>
          <w:sz w:val="16"/>
          <w:szCs w:val="16"/>
        </w:rPr>
        <w:t xml:space="preserve"> </w:t>
      </w:r>
      <w:r w:rsidR="00154218">
        <w:rPr>
          <w:rFonts w:asciiTheme="majorHAnsi" w:hAnsiTheme="majorHAnsi" w:cs="Arial"/>
          <w:color w:val="auto"/>
          <w:sz w:val="16"/>
          <w:szCs w:val="16"/>
        </w:rPr>
        <w:t>the guarantees that migration procedures had to gather</w:t>
      </w:r>
      <w:r w:rsidRPr="00A51861">
        <w:rPr>
          <w:rFonts w:asciiTheme="majorHAnsi" w:hAnsiTheme="majorHAnsi" w:cs="Arial"/>
          <w:color w:val="auto"/>
          <w:sz w:val="16"/>
          <w:szCs w:val="16"/>
        </w:rPr>
        <w:t xml:space="preserve"> </w:t>
      </w:r>
      <w:r w:rsidR="00D56C57">
        <w:rPr>
          <w:rFonts w:asciiTheme="majorHAnsi" w:hAnsiTheme="majorHAnsi" w:cs="Arial"/>
          <w:color w:val="auto"/>
          <w:sz w:val="16"/>
          <w:szCs w:val="16"/>
        </w:rPr>
        <w:t>pursuant to</w:t>
      </w:r>
      <w:r w:rsidRPr="00A51861">
        <w:rPr>
          <w:rFonts w:asciiTheme="majorHAnsi" w:hAnsiTheme="majorHAnsi" w:cs="Arial"/>
          <w:color w:val="auto"/>
          <w:sz w:val="16"/>
          <w:szCs w:val="16"/>
        </w:rPr>
        <w:t xml:space="preserve"> </w:t>
      </w:r>
      <w:r w:rsidR="00D56C57">
        <w:rPr>
          <w:rFonts w:asciiTheme="majorHAnsi" w:hAnsiTheme="majorHAnsi" w:cs="Arial"/>
          <w:color w:val="auto"/>
          <w:sz w:val="16"/>
          <w:szCs w:val="16"/>
        </w:rPr>
        <w:t>Inter-American</w:t>
      </w:r>
      <w:r w:rsidR="00B6596B">
        <w:rPr>
          <w:rFonts w:asciiTheme="majorHAnsi" w:hAnsiTheme="majorHAnsi" w:cs="Arial"/>
          <w:color w:val="auto"/>
          <w:sz w:val="16"/>
          <w:szCs w:val="16"/>
        </w:rPr>
        <w:t xml:space="preserve"> </w:t>
      </w:r>
      <w:r w:rsidR="00D56C57">
        <w:rPr>
          <w:rFonts w:asciiTheme="majorHAnsi" w:hAnsiTheme="majorHAnsi" w:cs="Arial"/>
          <w:color w:val="auto"/>
          <w:sz w:val="16"/>
          <w:szCs w:val="16"/>
        </w:rPr>
        <w:t>jurisprudence</w:t>
      </w:r>
      <w:r w:rsidR="00D56C57" w:rsidRPr="00A51861">
        <w:rPr>
          <w:rFonts w:asciiTheme="majorHAnsi" w:hAnsiTheme="majorHAnsi" w:cs="Arial"/>
          <w:color w:val="auto"/>
          <w:sz w:val="16"/>
          <w:szCs w:val="16"/>
        </w:rPr>
        <w:t xml:space="preserve"> </w:t>
      </w:r>
      <w:r w:rsidR="00B6596B">
        <w:rPr>
          <w:rFonts w:asciiTheme="majorHAnsi" w:hAnsiTheme="majorHAnsi" w:cs="Arial"/>
          <w:color w:val="auto"/>
          <w:sz w:val="16"/>
          <w:szCs w:val="16"/>
        </w:rPr>
        <w:t xml:space="preserve">and </w:t>
      </w:r>
      <w:r w:rsidR="00D56C57">
        <w:rPr>
          <w:rFonts w:asciiTheme="majorHAnsi" w:hAnsiTheme="majorHAnsi" w:cs="Arial"/>
          <w:color w:val="auto"/>
          <w:sz w:val="16"/>
          <w:szCs w:val="16"/>
        </w:rPr>
        <w:t xml:space="preserve">previous reports of </w:t>
      </w:r>
      <w:r w:rsidR="00A51861" w:rsidRPr="00A51861">
        <w:rPr>
          <w:rFonts w:asciiTheme="majorHAnsi" w:hAnsiTheme="majorHAnsi" w:cs="Arial"/>
          <w:color w:val="auto"/>
          <w:sz w:val="16"/>
          <w:szCs w:val="16"/>
        </w:rPr>
        <w:t>the IACHR</w:t>
      </w:r>
      <w:r w:rsidRPr="00A51861">
        <w:rPr>
          <w:rFonts w:asciiTheme="majorHAnsi" w:hAnsiTheme="majorHAnsi" w:cs="Arial"/>
          <w:color w:val="auto"/>
          <w:sz w:val="16"/>
          <w:szCs w:val="16"/>
        </w:rPr>
        <w:t xml:space="preserve">, </w:t>
      </w:r>
      <w:r w:rsidR="00D56C57">
        <w:rPr>
          <w:rFonts w:asciiTheme="majorHAnsi" w:hAnsiTheme="majorHAnsi" w:cs="Arial"/>
          <w:color w:val="auto"/>
          <w:sz w:val="16"/>
          <w:szCs w:val="16"/>
        </w:rPr>
        <w:t>thus</w:t>
      </w:r>
      <w:r w:rsidRPr="00A51861">
        <w:rPr>
          <w:rFonts w:asciiTheme="majorHAnsi" w:hAnsiTheme="majorHAnsi" w:cs="Arial"/>
          <w:color w:val="auto"/>
          <w:sz w:val="16"/>
          <w:szCs w:val="16"/>
        </w:rPr>
        <w:t xml:space="preserve">: 1. </w:t>
      </w:r>
      <w:r w:rsidR="00D56C57">
        <w:rPr>
          <w:rFonts w:asciiTheme="majorHAnsi" w:hAnsiTheme="majorHAnsi" w:cs="Arial"/>
          <w:color w:val="auto"/>
          <w:sz w:val="16"/>
          <w:szCs w:val="16"/>
        </w:rPr>
        <w:t>Right to receive a previous and detailed communication of the</w:t>
      </w:r>
      <w:r w:rsidRPr="00A51861">
        <w:rPr>
          <w:rFonts w:asciiTheme="majorHAnsi" w:hAnsiTheme="majorHAnsi" w:cs="Arial"/>
          <w:color w:val="auto"/>
          <w:sz w:val="16"/>
          <w:szCs w:val="16"/>
        </w:rPr>
        <w:t xml:space="preserve"> </w:t>
      </w:r>
      <w:r w:rsidR="00D56C57">
        <w:rPr>
          <w:rFonts w:asciiTheme="majorHAnsi" w:hAnsiTheme="majorHAnsi" w:cs="Arial"/>
          <w:color w:val="auto"/>
          <w:sz w:val="16"/>
          <w:szCs w:val="16"/>
        </w:rPr>
        <w:t>proceedings for the</w:t>
      </w:r>
      <w:r w:rsidRPr="00A51861">
        <w:rPr>
          <w:rFonts w:asciiTheme="majorHAnsi" w:hAnsiTheme="majorHAnsi" w:cs="Arial"/>
          <w:color w:val="auto"/>
          <w:sz w:val="16"/>
          <w:szCs w:val="16"/>
        </w:rPr>
        <w:t xml:space="preserve"> </w:t>
      </w:r>
      <w:r w:rsidR="00D56C57" w:rsidRPr="00A51861">
        <w:rPr>
          <w:rFonts w:asciiTheme="majorHAnsi" w:hAnsiTheme="majorHAnsi" w:cs="Arial"/>
          <w:color w:val="auto"/>
          <w:sz w:val="16"/>
          <w:szCs w:val="16"/>
        </w:rPr>
        <w:t>determination</w:t>
      </w:r>
      <w:r w:rsidRPr="00A51861">
        <w:rPr>
          <w:rFonts w:asciiTheme="majorHAnsi" w:hAnsiTheme="majorHAnsi" w:cs="Arial"/>
          <w:color w:val="auto"/>
          <w:sz w:val="16"/>
          <w:szCs w:val="16"/>
        </w:rPr>
        <w:t xml:space="preserve"> </w:t>
      </w:r>
      <w:r w:rsidR="00D56C57">
        <w:rPr>
          <w:rFonts w:asciiTheme="majorHAnsi" w:hAnsiTheme="majorHAnsi" w:cs="Arial"/>
          <w:color w:val="auto"/>
          <w:sz w:val="16"/>
          <w:szCs w:val="16"/>
        </w:rPr>
        <w:t>of his or her</w:t>
      </w:r>
      <w:r w:rsidRPr="00A51861">
        <w:rPr>
          <w:rFonts w:asciiTheme="majorHAnsi" w:hAnsiTheme="majorHAnsi" w:cs="Arial"/>
          <w:color w:val="auto"/>
          <w:sz w:val="16"/>
          <w:szCs w:val="16"/>
        </w:rPr>
        <w:t xml:space="preserve"> </w:t>
      </w:r>
      <w:r w:rsidR="00D56C57" w:rsidRPr="00A51861">
        <w:rPr>
          <w:rFonts w:asciiTheme="majorHAnsi" w:hAnsiTheme="majorHAnsi" w:cs="Arial"/>
          <w:color w:val="auto"/>
          <w:sz w:val="16"/>
          <w:szCs w:val="16"/>
        </w:rPr>
        <w:t xml:space="preserve">juridical </w:t>
      </w:r>
      <w:r w:rsidR="00E92985">
        <w:rPr>
          <w:rFonts w:asciiTheme="majorHAnsi" w:hAnsiTheme="majorHAnsi" w:cs="Arial"/>
          <w:color w:val="auto"/>
          <w:sz w:val="16"/>
          <w:szCs w:val="16"/>
        </w:rPr>
        <w:t>situation</w:t>
      </w:r>
      <w:r w:rsidRPr="00A51861">
        <w:rPr>
          <w:rFonts w:asciiTheme="majorHAnsi" w:hAnsiTheme="majorHAnsi" w:cs="Arial"/>
          <w:color w:val="auto"/>
          <w:sz w:val="16"/>
          <w:szCs w:val="16"/>
        </w:rPr>
        <w:t xml:space="preserve"> </w:t>
      </w:r>
      <w:r w:rsidR="00D56C57">
        <w:rPr>
          <w:rFonts w:asciiTheme="majorHAnsi" w:hAnsiTheme="majorHAnsi" w:cs="Arial"/>
          <w:color w:val="auto"/>
          <w:sz w:val="16"/>
          <w:szCs w:val="16"/>
        </w:rPr>
        <w:t>and, should</w:t>
      </w:r>
      <w:r w:rsidR="00911263">
        <w:rPr>
          <w:rFonts w:asciiTheme="majorHAnsi" w:hAnsiTheme="majorHAnsi" w:cs="Arial"/>
          <w:color w:val="auto"/>
          <w:sz w:val="16"/>
          <w:szCs w:val="16"/>
        </w:rPr>
        <w:t xml:space="preserve"> the </w:t>
      </w:r>
      <w:r w:rsidR="00EC7A58">
        <w:rPr>
          <w:rFonts w:asciiTheme="majorHAnsi" w:hAnsiTheme="majorHAnsi" w:cs="Arial"/>
          <w:color w:val="auto"/>
          <w:sz w:val="16"/>
          <w:szCs w:val="16"/>
        </w:rPr>
        <w:t xml:space="preserve">person </w:t>
      </w:r>
      <w:r w:rsidR="00D56C57">
        <w:rPr>
          <w:rFonts w:asciiTheme="majorHAnsi" w:hAnsiTheme="majorHAnsi" w:cs="Arial"/>
          <w:color w:val="auto"/>
          <w:sz w:val="16"/>
          <w:szCs w:val="16"/>
        </w:rPr>
        <w:t>be detained or retained</w:t>
      </w:r>
      <w:r w:rsidRPr="00A51861">
        <w:rPr>
          <w:rFonts w:asciiTheme="majorHAnsi" w:hAnsiTheme="majorHAnsi" w:cs="Arial"/>
          <w:color w:val="auto"/>
          <w:sz w:val="16"/>
          <w:szCs w:val="16"/>
        </w:rPr>
        <w:t xml:space="preserve">, </w:t>
      </w:r>
      <w:r w:rsidR="00D56C57">
        <w:rPr>
          <w:rFonts w:asciiTheme="majorHAnsi" w:hAnsiTheme="majorHAnsi" w:cs="Arial"/>
          <w:color w:val="auto"/>
          <w:sz w:val="16"/>
          <w:szCs w:val="16"/>
        </w:rPr>
        <w:t>to be informed of the reasons for the detention</w:t>
      </w:r>
      <w:r w:rsidRPr="00A51861">
        <w:rPr>
          <w:rFonts w:asciiTheme="majorHAnsi" w:hAnsiTheme="majorHAnsi" w:cs="Arial"/>
          <w:color w:val="auto"/>
          <w:sz w:val="16"/>
          <w:szCs w:val="16"/>
        </w:rPr>
        <w:t xml:space="preserve"> </w:t>
      </w:r>
      <w:r w:rsidR="00B6596B">
        <w:rPr>
          <w:rFonts w:asciiTheme="majorHAnsi" w:hAnsiTheme="majorHAnsi" w:cs="Arial"/>
          <w:color w:val="auto"/>
          <w:sz w:val="16"/>
          <w:szCs w:val="16"/>
        </w:rPr>
        <w:t xml:space="preserve">and </w:t>
      </w:r>
      <w:r w:rsidR="00D56C57">
        <w:rPr>
          <w:rFonts w:asciiTheme="majorHAnsi" w:hAnsiTheme="majorHAnsi" w:cs="Arial"/>
          <w:color w:val="auto"/>
          <w:sz w:val="16"/>
          <w:szCs w:val="16"/>
        </w:rPr>
        <w:t>promptly notified of the charge or charges</w:t>
      </w:r>
      <w:r w:rsidRPr="00A51861">
        <w:rPr>
          <w:rFonts w:asciiTheme="majorHAnsi" w:hAnsiTheme="majorHAnsi" w:cs="Arial"/>
          <w:color w:val="auto"/>
          <w:sz w:val="16"/>
          <w:szCs w:val="16"/>
        </w:rPr>
        <w:t xml:space="preserve"> </w:t>
      </w:r>
      <w:r w:rsidR="00D56C57">
        <w:rPr>
          <w:rFonts w:asciiTheme="majorHAnsi" w:hAnsiTheme="majorHAnsi" w:cs="Arial"/>
          <w:color w:val="auto"/>
          <w:sz w:val="16"/>
          <w:szCs w:val="16"/>
        </w:rPr>
        <w:t>formulated against him or her</w:t>
      </w:r>
      <w:r w:rsidRPr="00A51861">
        <w:rPr>
          <w:rFonts w:asciiTheme="majorHAnsi" w:hAnsiTheme="majorHAnsi" w:cs="Arial"/>
          <w:color w:val="auto"/>
          <w:sz w:val="16"/>
          <w:szCs w:val="16"/>
        </w:rPr>
        <w:t xml:space="preserve">; 2. </w:t>
      </w:r>
      <w:r w:rsidR="00D56C57">
        <w:rPr>
          <w:rFonts w:asciiTheme="majorHAnsi" w:hAnsiTheme="majorHAnsi" w:cs="Arial"/>
          <w:color w:val="auto"/>
          <w:sz w:val="16"/>
          <w:szCs w:val="16"/>
        </w:rPr>
        <w:t>In case of being detained or retained</w:t>
      </w:r>
      <w:r w:rsidRPr="00A51861">
        <w:rPr>
          <w:rFonts w:asciiTheme="majorHAnsi" w:hAnsiTheme="majorHAnsi" w:cs="Arial"/>
          <w:color w:val="auto"/>
          <w:sz w:val="16"/>
          <w:szCs w:val="16"/>
        </w:rPr>
        <w:t xml:space="preserve">, </w:t>
      </w:r>
      <w:r w:rsidR="00D56C57">
        <w:rPr>
          <w:rFonts w:asciiTheme="majorHAnsi" w:hAnsiTheme="majorHAnsi" w:cs="Arial"/>
          <w:color w:val="auto"/>
          <w:sz w:val="16"/>
          <w:szCs w:val="16"/>
        </w:rPr>
        <w:t>right to being taken</w:t>
      </w:r>
      <w:r w:rsidRPr="00A51861">
        <w:rPr>
          <w:rFonts w:asciiTheme="majorHAnsi" w:hAnsiTheme="majorHAnsi" w:cs="Arial"/>
          <w:color w:val="auto"/>
          <w:sz w:val="16"/>
          <w:szCs w:val="16"/>
        </w:rPr>
        <w:t xml:space="preserve">, </w:t>
      </w:r>
      <w:r w:rsidR="00D56C57">
        <w:rPr>
          <w:rFonts w:asciiTheme="majorHAnsi" w:hAnsiTheme="majorHAnsi" w:cs="Arial"/>
          <w:color w:val="auto"/>
          <w:sz w:val="16"/>
          <w:szCs w:val="16"/>
        </w:rPr>
        <w:t>promptly</w:t>
      </w:r>
      <w:r w:rsidRPr="00A51861">
        <w:rPr>
          <w:rFonts w:asciiTheme="majorHAnsi" w:hAnsiTheme="majorHAnsi" w:cs="Arial"/>
          <w:color w:val="auto"/>
          <w:sz w:val="16"/>
          <w:szCs w:val="16"/>
        </w:rPr>
        <w:t xml:space="preserve">, </w:t>
      </w:r>
      <w:r w:rsidR="00D56C57">
        <w:rPr>
          <w:rFonts w:asciiTheme="majorHAnsi" w:hAnsiTheme="majorHAnsi" w:cs="Arial"/>
          <w:color w:val="auto"/>
          <w:sz w:val="16"/>
          <w:szCs w:val="16"/>
        </w:rPr>
        <w:t>before a judge or other official</w:t>
      </w:r>
      <w:r w:rsidRPr="00A51861">
        <w:rPr>
          <w:rFonts w:asciiTheme="majorHAnsi" w:hAnsiTheme="majorHAnsi" w:cs="Arial"/>
          <w:color w:val="auto"/>
          <w:sz w:val="16"/>
          <w:szCs w:val="16"/>
        </w:rPr>
        <w:t xml:space="preserve"> </w:t>
      </w:r>
      <w:r w:rsidR="00D56C57">
        <w:rPr>
          <w:rFonts w:asciiTheme="majorHAnsi" w:hAnsiTheme="majorHAnsi" w:cs="Arial"/>
          <w:color w:val="auto"/>
          <w:sz w:val="16"/>
          <w:szCs w:val="16"/>
        </w:rPr>
        <w:t xml:space="preserve">authorized by law to exert </w:t>
      </w:r>
      <w:r w:rsidRPr="00A51861">
        <w:rPr>
          <w:rFonts w:asciiTheme="majorHAnsi" w:hAnsiTheme="majorHAnsi" w:cs="Arial"/>
          <w:color w:val="auto"/>
          <w:sz w:val="16"/>
          <w:szCs w:val="16"/>
        </w:rPr>
        <w:t>judicial</w:t>
      </w:r>
      <w:r w:rsidR="00D56C57">
        <w:rPr>
          <w:rFonts w:asciiTheme="majorHAnsi" w:hAnsiTheme="majorHAnsi" w:cs="Arial"/>
          <w:color w:val="auto"/>
          <w:sz w:val="16"/>
          <w:szCs w:val="16"/>
        </w:rPr>
        <w:t xml:space="preserve"> function</w:t>
      </w:r>
      <w:r w:rsidRPr="00A51861">
        <w:rPr>
          <w:rFonts w:asciiTheme="majorHAnsi" w:hAnsiTheme="majorHAnsi" w:cs="Arial"/>
          <w:color w:val="auto"/>
          <w:sz w:val="16"/>
          <w:szCs w:val="16"/>
        </w:rPr>
        <w:t>s</w:t>
      </w:r>
      <w:r w:rsidR="00B6596B">
        <w:rPr>
          <w:rFonts w:asciiTheme="majorHAnsi" w:hAnsiTheme="majorHAnsi" w:cs="Arial"/>
          <w:color w:val="auto"/>
          <w:sz w:val="16"/>
          <w:szCs w:val="16"/>
        </w:rPr>
        <w:t xml:space="preserve"> and </w:t>
      </w:r>
      <w:r w:rsidR="00D56C57">
        <w:rPr>
          <w:rFonts w:asciiTheme="majorHAnsi" w:hAnsiTheme="majorHAnsi" w:cs="Arial"/>
          <w:color w:val="auto"/>
          <w:sz w:val="16"/>
          <w:szCs w:val="16"/>
        </w:rPr>
        <w:t>shall have the right to being judged</w:t>
      </w:r>
      <w:r w:rsidRPr="00A51861">
        <w:rPr>
          <w:rFonts w:asciiTheme="majorHAnsi" w:hAnsiTheme="majorHAnsi" w:cs="Arial"/>
          <w:color w:val="auto"/>
          <w:sz w:val="16"/>
          <w:szCs w:val="16"/>
        </w:rPr>
        <w:t xml:space="preserve"> </w:t>
      </w:r>
      <w:r w:rsidR="00D56C57">
        <w:rPr>
          <w:rFonts w:asciiTheme="majorHAnsi" w:hAnsiTheme="majorHAnsi" w:cs="Arial"/>
          <w:color w:val="auto"/>
          <w:sz w:val="16"/>
          <w:szCs w:val="16"/>
        </w:rPr>
        <w:t>within a reasonable time or set free</w:t>
      </w:r>
      <w:r w:rsidRPr="00A51861">
        <w:rPr>
          <w:rFonts w:asciiTheme="majorHAnsi" w:hAnsiTheme="majorHAnsi" w:cs="Arial"/>
          <w:color w:val="auto"/>
          <w:sz w:val="16"/>
          <w:szCs w:val="16"/>
        </w:rPr>
        <w:t xml:space="preserve">, </w:t>
      </w:r>
      <w:r w:rsidR="00D56C57">
        <w:rPr>
          <w:rFonts w:asciiTheme="majorHAnsi" w:hAnsiTheme="majorHAnsi" w:cs="Arial"/>
          <w:color w:val="auto"/>
          <w:sz w:val="16"/>
          <w:szCs w:val="16"/>
        </w:rPr>
        <w:t>although the proceedings may continue</w:t>
      </w:r>
      <w:r w:rsidRPr="00A51861">
        <w:rPr>
          <w:rFonts w:asciiTheme="majorHAnsi" w:hAnsiTheme="majorHAnsi" w:cs="Arial"/>
          <w:color w:val="auto"/>
          <w:sz w:val="16"/>
          <w:szCs w:val="16"/>
        </w:rPr>
        <w:t xml:space="preserve">. </w:t>
      </w:r>
      <w:r w:rsidR="00D56C57">
        <w:rPr>
          <w:rFonts w:asciiTheme="majorHAnsi" w:hAnsiTheme="majorHAnsi" w:cs="Arial"/>
          <w:color w:val="auto"/>
          <w:sz w:val="16"/>
          <w:szCs w:val="16"/>
        </w:rPr>
        <w:t>His or her freedom may be conditioned to guarantees</w:t>
      </w:r>
      <w:r w:rsidRPr="00A51861">
        <w:rPr>
          <w:rFonts w:asciiTheme="majorHAnsi" w:hAnsiTheme="majorHAnsi" w:cs="Arial"/>
          <w:color w:val="auto"/>
          <w:sz w:val="16"/>
          <w:szCs w:val="16"/>
        </w:rPr>
        <w:t xml:space="preserve"> </w:t>
      </w:r>
      <w:r w:rsidR="00D56C57">
        <w:rPr>
          <w:rFonts w:asciiTheme="majorHAnsi" w:hAnsiTheme="majorHAnsi" w:cs="Arial"/>
          <w:color w:val="auto"/>
          <w:sz w:val="16"/>
          <w:szCs w:val="16"/>
        </w:rPr>
        <w:t>which ensure</w:t>
      </w:r>
      <w:r w:rsidRPr="00A51861">
        <w:rPr>
          <w:rFonts w:asciiTheme="majorHAnsi" w:hAnsiTheme="majorHAnsi" w:cs="Arial"/>
          <w:color w:val="auto"/>
          <w:sz w:val="16"/>
          <w:szCs w:val="16"/>
        </w:rPr>
        <w:t xml:space="preserve"> </w:t>
      </w:r>
      <w:r w:rsidR="00D56C57">
        <w:rPr>
          <w:rFonts w:asciiTheme="majorHAnsi" w:hAnsiTheme="majorHAnsi" w:cs="Arial"/>
          <w:color w:val="auto"/>
          <w:sz w:val="16"/>
          <w:szCs w:val="16"/>
        </w:rPr>
        <w:t>attendance in court</w:t>
      </w:r>
      <w:r w:rsidRPr="00A51861">
        <w:rPr>
          <w:rFonts w:asciiTheme="majorHAnsi" w:hAnsiTheme="majorHAnsi" w:cs="Arial"/>
          <w:color w:val="auto"/>
          <w:sz w:val="16"/>
          <w:szCs w:val="16"/>
        </w:rPr>
        <w:t xml:space="preserve">; 3. </w:t>
      </w:r>
      <w:r w:rsidR="00D56C57">
        <w:rPr>
          <w:rFonts w:asciiTheme="majorHAnsi" w:hAnsiTheme="majorHAnsi" w:cs="Arial"/>
          <w:color w:val="auto"/>
          <w:sz w:val="16"/>
          <w:szCs w:val="16"/>
        </w:rPr>
        <w:t>Right to being heard without delay</w:t>
      </w:r>
      <w:r w:rsidRPr="00A51861">
        <w:rPr>
          <w:rFonts w:asciiTheme="majorHAnsi" w:hAnsiTheme="majorHAnsi" w:cs="Arial"/>
          <w:color w:val="auto"/>
          <w:sz w:val="16"/>
          <w:szCs w:val="16"/>
        </w:rPr>
        <w:t xml:space="preserve">, </w:t>
      </w:r>
      <w:r w:rsidR="00D56C57">
        <w:rPr>
          <w:rFonts w:asciiTheme="majorHAnsi" w:hAnsiTheme="majorHAnsi" w:cs="Arial"/>
          <w:color w:val="auto"/>
          <w:sz w:val="16"/>
          <w:szCs w:val="16"/>
        </w:rPr>
        <w:t>to have reasonable time</w:t>
      </w:r>
      <w:r w:rsidR="00B6596B">
        <w:rPr>
          <w:rFonts w:asciiTheme="majorHAnsi" w:hAnsiTheme="majorHAnsi" w:cs="Arial"/>
          <w:color w:val="auto"/>
          <w:sz w:val="16"/>
          <w:szCs w:val="16"/>
        </w:rPr>
        <w:t xml:space="preserve"> and </w:t>
      </w:r>
      <w:r w:rsidR="00D56C57">
        <w:rPr>
          <w:rFonts w:asciiTheme="majorHAnsi" w:hAnsiTheme="majorHAnsi" w:cs="Arial"/>
          <w:color w:val="auto"/>
          <w:sz w:val="16"/>
          <w:szCs w:val="16"/>
        </w:rPr>
        <w:t>suitable means for the</w:t>
      </w:r>
      <w:r w:rsidRPr="00A51861">
        <w:rPr>
          <w:rFonts w:asciiTheme="majorHAnsi" w:hAnsiTheme="majorHAnsi" w:cs="Arial"/>
          <w:color w:val="auto"/>
          <w:sz w:val="16"/>
          <w:szCs w:val="16"/>
        </w:rPr>
        <w:t xml:space="preserve"> </w:t>
      </w:r>
      <w:r w:rsidR="00D56C57" w:rsidRPr="00A51861">
        <w:rPr>
          <w:rFonts w:asciiTheme="majorHAnsi" w:hAnsiTheme="majorHAnsi" w:cs="Arial"/>
          <w:color w:val="auto"/>
          <w:sz w:val="16"/>
          <w:szCs w:val="16"/>
        </w:rPr>
        <w:t>preparation</w:t>
      </w:r>
      <w:r w:rsidRPr="00A51861">
        <w:rPr>
          <w:rFonts w:asciiTheme="majorHAnsi" w:hAnsiTheme="majorHAnsi" w:cs="Arial"/>
          <w:color w:val="auto"/>
          <w:sz w:val="16"/>
          <w:szCs w:val="16"/>
        </w:rPr>
        <w:t xml:space="preserve"> </w:t>
      </w:r>
      <w:r w:rsidR="00D56C57">
        <w:rPr>
          <w:rFonts w:asciiTheme="majorHAnsi" w:hAnsiTheme="majorHAnsi" w:cs="Arial"/>
          <w:color w:val="auto"/>
          <w:sz w:val="16"/>
          <w:szCs w:val="16"/>
        </w:rPr>
        <w:t xml:space="preserve">of defense </w:t>
      </w:r>
      <w:r w:rsidR="00B6596B">
        <w:rPr>
          <w:rFonts w:asciiTheme="majorHAnsi" w:hAnsiTheme="majorHAnsi" w:cs="Arial"/>
          <w:color w:val="auto"/>
          <w:sz w:val="16"/>
          <w:szCs w:val="16"/>
        </w:rPr>
        <w:t xml:space="preserve">and </w:t>
      </w:r>
      <w:r w:rsidR="00D56C57">
        <w:rPr>
          <w:rFonts w:asciiTheme="majorHAnsi" w:hAnsiTheme="majorHAnsi" w:cs="Arial"/>
          <w:color w:val="auto"/>
          <w:sz w:val="16"/>
          <w:szCs w:val="16"/>
        </w:rPr>
        <w:t>to meet freely and privately with his or her defense counsel</w:t>
      </w:r>
      <w:r w:rsidRPr="00A51861">
        <w:rPr>
          <w:rFonts w:asciiTheme="majorHAnsi" w:hAnsiTheme="majorHAnsi" w:cs="Arial"/>
          <w:color w:val="auto"/>
          <w:sz w:val="16"/>
          <w:szCs w:val="16"/>
        </w:rPr>
        <w:t xml:space="preserve">; 4. </w:t>
      </w:r>
      <w:r w:rsidR="00D56C57">
        <w:rPr>
          <w:rFonts w:asciiTheme="majorHAnsi" w:hAnsiTheme="majorHAnsi" w:cs="Arial"/>
          <w:color w:val="auto"/>
          <w:sz w:val="16"/>
          <w:szCs w:val="16"/>
        </w:rPr>
        <w:t>Right for migration proceedings to</w:t>
      </w:r>
      <w:r w:rsidRPr="00A51861">
        <w:rPr>
          <w:rFonts w:asciiTheme="majorHAnsi" w:hAnsiTheme="majorHAnsi" w:cs="Arial"/>
          <w:color w:val="auto"/>
          <w:sz w:val="16"/>
          <w:szCs w:val="16"/>
        </w:rPr>
        <w:t xml:space="preserve"> </w:t>
      </w:r>
      <w:r w:rsidR="00D56C57">
        <w:rPr>
          <w:rFonts w:asciiTheme="majorHAnsi" w:hAnsiTheme="majorHAnsi" w:cs="Arial"/>
          <w:color w:val="auto"/>
          <w:sz w:val="16"/>
          <w:szCs w:val="16"/>
        </w:rPr>
        <w:t>be conducted by a</w:t>
      </w:r>
      <w:r w:rsidRPr="00A51861">
        <w:rPr>
          <w:rFonts w:asciiTheme="majorHAnsi" w:hAnsiTheme="majorHAnsi" w:cs="Arial"/>
          <w:color w:val="auto"/>
          <w:sz w:val="16"/>
          <w:szCs w:val="16"/>
        </w:rPr>
        <w:t xml:space="preserve"> competent, </w:t>
      </w:r>
      <w:r w:rsidR="0022518C" w:rsidRPr="00A51861">
        <w:rPr>
          <w:rFonts w:asciiTheme="majorHAnsi" w:hAnsiTheme="majorHAnsi" w:cs="Arial"/>
          <w:color w:val="auto"/>
          <w:sz w:val="16"/>
          <w:szCs w:val="16"/>
        </w:rPr>
        <w:t>independent</w:t>
      </w:r>
      <w:r w:rsidRPr="00A51861">
        <w:rPr>
          <w:rFonts w:asciiTheme="majorHAnsi" w:hAnsiTheme="majorHAnsi" w:cs="Arial"/>
          <w:color w:val="auto"/>
          <w:sz w:val="16"/>
          <w:szCs w:val="16"/>
        </w:rPr>
        <w:t xml:space="preserve"> </w:t>
      </w:r>
      <w:r w:rsidR="0022518C">
        <w:rPr>
          <w:rFonts w:asciiTheme="majorHAnsi" w:hAnsiTheme="majorHAnsi" w:cs="Arial"/>
          <w:color w:val="auto"/>
          <w:sz w:val="16"/>
          <w:szCs w:val="16"/>
        </w:rPr>
        <w:t>and</w:t>
      </w:r>
      <w:r w:rsidRPr="00A51861">
        <w:rPr>
          <w:rFonts w:asciiTheme="majorHAnsi" w:hAnsiTheme="majorHAnsi" w:cs="Arial"/>
          <w:color w:val="auto"/>
          <w:sz w:val="16"/>
          <w:szCs w:val="16"/>
        </w:rPr>
        <w:t xml:space="preserve"> </w:t>
      </w:r>
      <w:r w:rsidR="0022518C" w:rsidRPr="00A51861">
        <w:rPr>
          <w:rFonts w:asciiTheme="majorHAnsi" w:hAnsiTheme="majorHAnsi" w:cs="Arial"/>
          <w:color w:val="auto"/>
          <w:sz w:val="16"/>
          <w:szCs w:val="16"/>
        </w:rPr>
        <w:t>impartial</w:t>
      </w:r>
      <w:r w:rsidR="0022518C" w:rsidRPr="0022518C">
        <w:rPr>
          <w:rFonts w:asciiTheme="majorHAnsi" w:hAnsiTheme="majorHAnsi" w:cs="Arial"/>
          <w:color w:val="auto"/>
          <w:sz w:val="16"/>
          <w:szCs w:val="16"/>
        </w:rPr>
        <w:t xml:space="preserve"> </w:t>
      </w:r>
      <w:r w:rsidR="0022518C">
        <w:rPr>
          <w:rFonts w:asciiTheme="majorHAnsi" w:hAnsiTheme="majorHAnsi" w:cs="Arial"/>
          <w:color w:val="auto"/>
          <w:sz w:val="16"/>
          <w:szCs w:val="16"/>
        </w:rPr>
        <w:t>awarder</w:t>
      </w:r>
      <w:r w:rsidRPr="00A51861">
        <w:rPr>
          <w:rFonts w:asciiTheme="majorHAnsi" w:hAnsiTheme="majorHAnsi" w:cs="Arial"/>
          <w:color w:val="auto"/>
          <w:sz w:val="16"/>
          <w:szCs w:val="16"/>
        </w:rPr>
        <w:t xml:space="preserve">; 5. </w:t>
      </w:r>
      <w:r w:rsidR="0022518C">
        <w:rPr>
          <w:rFonts w:asciiTheme="majorHAnsi" w:hAnsiTheme="majorHAnsi" w:cs="Arial"/>
          <w:color w:val="auto"/>
          <w:sz w:val="16"/>
          <w:szCs w:val="16"/>
        </w:rPr>
        <w:t>Right for a translator</w:t>
      </w:r>
      <w:r w:rsidR="00347146">
        <w:rPr>
          <w:rFonts w:asciiTheme="majorHAnsi" w:hAnsiTheme="majorHAnsi" w:cs="Arial"/>
          <w:color w:val="auto"/>
          <w:sz w:val="16"/>
          <w:szCs w:val="16"/>
        </w:rPr>
        <w:t xml:space="preserve"> and/or </w:t>
      </w:r>
      <w:r w:rsidR="0022518C" w:rsidRPr="00A51861">
        <w:rPr>
          <w:rFonts w:asciiTheme="majorHAnsi" w:hAnsiTheme="majorHAnsi" w:cs="Arial"/>
          <w:color w:val="auto"/>
          <w:sz w:val="16"/>
          <w:szCs w:val="16"/>
        </w:rPr>
        <w:t>interpreter</w:t>
      </w:r>
      <w:r w:rsidRPr="00A51861">
        <w:rPr>
          <w:rFonts w:asciiTheme="majorHAnsi" w:hAnsiTheme="majorHAnsi" w:cs="Arial"/>
          <w:color w:val="auto"/>
          <w:sz w:val="16"/>
          <w:szCs w:val="16"/>
        </w:rPr>
        <w:t xml:space="preserve"> </w:t>
      </w:r>
      <w:r w:rsidR="0022518C">
        <w:rPr>
          <w:rFonts w:asciiTheme="majorHAnsi" w:hAnsiTheme="majorHAnsi" w:cs="Arial"/>
          <w:color w:val="auto"/>
          <w:sz w:val="16"/>
          <w:szCs w:val="16"/>
        </w:rPr>
        <w:t>free of charge</w:t>
      </w:r>
      <w:r w:rsidRPr="00A51861">
        <w:rPr>
          <w:rFonts w:asciiTheme="majorHAnsi" w:hAnsiTheme="majorHAnsi" w:cs="Arial"/>
          <w:color w:val="auto"/>
          <w:sz w:val="16"/>
          <w:szCs w:val="16"/>
        </w:rPr>
        <w:t xml:space="preserve">; 6. </w:t>
      </w:r>
      <w:r w:rsidR="0022518C">
        <w:rPr>
          <w:rFonts w:asciiTheme="majorHAnsi" w:hAnsiTheme="majorHAnsi" w:cs="Arial"/>
          <w:color w:val="auto"/>
          <w:sz w:val="16"/>
          <w:szCs w:val="16"/>
        </w:rPr>
        <w:t>Right to legal representation</w:t>
      </w:r>
      <w:r w:rsidRPr="00A51861">
        <w:rPr>
          <w:rFonts w:asciiTheme="majorHAnsi" w:hAnsiTheme="majorHAnsi" w:cs="Arial"/>
          <w:color w:val="auto"/>
          <w:sz w:val="16"/>
          <w:szCs w:val="16"/>
        </w:rPr>
        <w:t xml:space="preserve">; 7. </w:t>
      </w:r>
      <w:r w:rsidR="0022518C">
        <w:rPr>
          <w:rFonts w:asciiTheme="majorHAnsi" w:hAnsiTheme="majorHAnsi" w:cs="Arial"/>
          <w:color w:val="auto"/>
          <w:sz w:val="16"/>
          <w:szCs w:val="16"/>
        </w:rPr>
        <w:t xml:space="preserve">Right to having a duly </w:t>
      </w:r>
      <w:r w:rsidR="00E668EE">
        <w:rPr>
          <w:rFonts w:asciiTheme="majorHAnsi" w:hAnsiTheme="majorHAnsi" w:cs="Arial"/>
          <w:color w:val="auto"/>
          <w:sz w:val="16"/>
          <w:szCs w:val="16"/>
        </w:rPr>
        <w:t>reasoned</w:t>
      </w:r>
      <w:r w:rsidR="00911263">
        <w:rPr>
          <w:rFonts w:asciiTheme="majorHAnsi" w:hAnsiTheme="majorHAnsi" w:cs="Arial"/>
          <w:color w:val="auto"/>
          <w:sz w:val="16"/>
          <w:szCs w:val="16"/>
        </w:rPr>
        <w:t xml:space="preserve"> </w:t>
      </w:r>
      <w:r w:rsidR="000E67CA">
        <w:rPr>
          <w:rFonts w:asciiTheme="majorHAnsi" w:hAnsiTheme="majorHAnsi" w:cs="Arial"/>
          <w:color w:val="auto"/>
          <w:sz w:val="16"/>
          <w:szCs w:val="16"/>
        </w:rPr>
        <w:t>decision</w:t>
      </w:r>
      <w:r w:rsidRPr="00A51861">
        <w:rPr>
          <w:rFonts w:asciiTheme="majorHAnsi" w:hAnsiTheme="majorHAnsi" w:cs="Arial"/>
          <w:color w:val="auto"/>
          <w:sz w:val="16"/>
          <w:szCs w:val="16"/>
        </w:rPr>
        <w:t xml:space="preserve"> </w:t>
      </w:r>
      <w:r w:rsidR="0022518C">
        <w:rPr>
          <w:rFonts w:asciiTheme="majorHAnsi" w:hAnsiTheme="majorHAnsi" w:cs="Arial"/>
          <w:color w:val="auto"/>
          <w:sz w:val="16"/>
          <w:szCs w:val="16"/>
        </w:rPr>
        <w:t>adopted</w:t>
      </w:r>
      <w:r w:rsidRPr="00A51861">
        <w:rPr>
          <w:rFonts w:asciiTheme="majorHAnsi" w:hAnsiTheme="majorHAnsi" w:cs="Arial"/>
          <w:color w:val="auto"/>
          <w:sz w:val="16"/>
          <w:szCs w:val="16"/>
        </w:rPr>
        <w:t xml:space="preserve">; 8. </w:t>
      </w:r>
      <w:r w:rsidR="0022518C">
        <w:rPr>
          <w:rFonts w:asciiTheme="majorHAnsi" w:hAnsiTheme="majorHAnsi" w:cs="Arial"/>
          <w:color w:val="auto"/>
          <w:sz w:val="16"/>
          <w:szCs w:val="16"/>
        </w:rPr>
        <w:t>Right to being notified of</w:t>
      </w:r>
      <w:r w:rsidR="00061928">
        <w:rPr>
          <w:rFonts w:asciiTheme="majorHAnsi" w:hAnsiTheme="majorHAnsi" w:cs="Arial"/>
          <w:color w:val="auto"/>
          <w:sz w:val="16"/>
          <w:szCs w:val="16"/>
        </w:rPr>
        <w:t xml:space="preserve"> the </w:t>
      </w:r>
      <w:r w:rsidR="000E67CA">
        <w:rPr>
          <w:rFonts w:asciiTheme="majorHAnsi" w:hAnsiTheme="majorHAnsi" w:cs="Arial"/>
          <w:color w:val="auto"/>
          <w:sz w:val="16"/>
          <w:szCs w:val="16"/>
        </w:rPr>
        <w:t>decision</w:t>
      </w:r>
      <w:r w:rsidRPr="00A51861">
        <w:rPr>
          <w:rFonts w:asciiTheme="majorHAnsi" w:hAnsiTheme="majorHAnsi" w:cs="Arial"/>
          <w:color w:val="auto"/>
          <w:sz w:val="16"/>
          <w:szCs w:val="16"/>
        </w:rPr>
        <w:t xml:space="preserve"> </w:t>
      </w:r>
      <w:r w:rsidR="0022518C">
        <w:rPr>
          <w:rFonts w:asciiTheme="majorHAnsi" w:hAnsiTheme="majorHAnsi" w:cs="Arial"/>
          <w:color w:val="auto"/>
          <w:sz w:val="16"/>
          <w:szCs w:val="16"/>
        </w:rPr>
        <w:t>adopted within the proceedings</w:t>
      </w:r>
      <w:r w:rsidRPr="00A51861">
        <w:rPr>
          <w:rFonts w:asciiTheme="majorHAnsi" w:hAnsiTheme="majorHAnsi" w:cs="Arial"/>
          <w:color w:val="auto"/>
          <w:sz w:val="16"/>
          <w:szCs w:val="16"/>
        </w:rPr>
        <w:t xml:space="preserve">; 9. </w:t>
      </w:r>
      <w:r w:rsidR="0022518C">
        <w:rPr>
          <w:rFonts w:asciiTheme="majorHAnsi" w:hAnsiTheme="majorHAnsi" w:cs="Arial"/>
          <w:color w:val="auto"/>
          <w:sz w:val="16"/>
          <w:szCs w:val="16"/>
        </w:rPr>
        <w:t>Right to contest</w:t>
      </w:r>
      <w:r w:rsidRPr="00A51861">
        <w:rPr>
          <w:rFonts w:asciiTheme="majorHAnsi" w:hAnsiTheme="majorHAnsi" w:cs="Arial"/>
          <w:color w:val="auto"/>
          <w:sz w:val="16"/>
          <w:szCs w:val="16"/>
        </w:rPr>
        <w:t xml:space="preserve"> </w:t>
      </w:r>
      <w:r w:rsidR="0022518C">
        <w:rPr>
          <w:rFonts w:asciiTheme="majorHAnsi" w:hAnsiTheme="majorHAnsi" w:cs="Arial"/>
          <w:color w:val="auto"/>
          <w:sz w:val="16"/>
          <w:szCs w:val="16"/>
        </w:rPr>
        <w:t>the</w:t>
      </w:r>
      <w:r w:rsidRPr="00A51861">
        <w:rPr>
          <w:rFonts w:asciiTheme="majorHAnsi" w:hAnsiTheme="majorHAnsi" w:cs="Arial"/>
          <w:color w:val="auto"/>
          <w:sz w:val="16"/>
          <w:szCs w:val="16"/>
        </w:rPr>
        <w:t xml:space="preserve"> </w:t>
      </w:r>
      <w:r w:rsidR="000E67CA">
        <w:rPr>
          <w:rFonts w:asciiTheme="majorHAnsi" w:hAnsiTheme="majorHAnsi" w:cs="Arial"/>
          <w:color w:val="auto"/>
          <w:sz w:val="16"/>
          <w:szCs w:val="16"/>
        </w:rPr>
        <w:t>decision</w:t>
      </w:r>
      <w:r w:rsidRPr="00A51861">
        <w:rPr>
          <w:rFonts w:asciiTheme="majorHAnsi" w:hAnsiTheme="majorHAnsi" w:cs="Arial"/>
          <w:color w:val="auto"/>
          <w:sz w:val="16"/>
          <w:szCs w:val="16"/>
        </w:rPr>
        <w:t xml:space="preserve"> </w:t>
      </w:r>
      <w:r w:rsidR="0022518C">
        <w:rPr>
          <w:rFonts w:asciiTheme="majorHAnsi" w:hAnsiTheme="majorHAnsi" w:cs="Arial"/>
          <w:color w:val="auto"/>
          <w:sz w:val="16"/>
          <w:szCs w:val="16"/>
        </w:rPr>
        <w:t>before a higher court or judge with suspensive effects</w:t>
      </w:r>
      <w:r w:rsidRPr="00A51861">
        <w:rPr>
          <w:rFonts w:asciiTheme="majorHAnsi" w:hAnsiTheme="majorHAnsi" w:cs="Arial"/>
          <w:color w:val="auto"/>
          <w:sz w:val="16"/>
          <w:szCs w:val="16"/>
        </w:rPr>
        <w:t xml:space="preserve">; 10. </w:t>
      </w:r>
      <w:r w:rsidR="0022518C">
        <w:rPr>
          <w:rFonts w:asciiTheme="majorHAnsi" w:hAnsiTheme="majorHAnsi" w:cs="Arial"/>
          <w:color w:val="auto"/>
          <w:sz w:val="16"/>
          <w:szCs w:val="16"/>
        </w:rPr>
        <w:t>Right to</w:t>
      </w:r>
      <w:r w:rsidRPr="00A51861">
        <w:rPr>
          <w:rFonts w:asciiTheme="majorHAnsi" w:hAnsiTheme="majorHAnsi" w:cs="Arial"/>
          <w:color w:val="auto"/>
          <w:sz w:val="16"/>
          <w:szCs w:val="16"/>
        </w:rPr>
        <w:t xml:space="preserve"> </w:t>
      </w:r>
      <w:r w:rsidR="00A51861" w:rsidRPr="00A51861">
        <w:rPr>
          <w:rFonts w:asciiTheme="majorHAnsi" w:hAnsiTheme="majorHAnsi" w:cs="Arial"/>
          <w:color w:val="auto"/>
          <w:sz w:val="16"/>
          <w:szCs w:val="16"/>
        </w:rPr>
        <w:t>information</w:t>
      </w:r>
      <w:r w:rsidR="00B6596B">
        <w:rPr>
          <w:rFonts w:asciiTheme="majorHAnsi" w:hAnsiTheme="majorHAnsi" w:cs="Arial"/>
          <w:color w:val="auto"/>
          <w:sz w:val="16"/>
          <w:szCs w:val="16"/>
        </w:rPr>
        <w:t xml:space="preserve"> and </w:t>
      </w:r>
      <w:r w:rsidR="0022518C">
        <w:rPr>
          <w:rFonts w:asciiTheme="majorHAnsi" w:hAnsiTheme="majorHAnsi" w:cs="Arial"/>
          <w:color w:val="auto"/>
          <w:sz w:val="16"/>
          <w:szCs w:val="16"/>
        </w:rPr>
        <w:t>effective access to</w:t>
      </w:r>
      <w:r w:rsidRPr="00A51861">
        <w:rPr>
          <w:rFonts w:asciiTheme="majorHAnsi" w:hAnsiTheme="majorHAnsi" w:cs="Arial"/>
          <w:color w:val="auto"/>
          <w:sz w:val="16"/>
          <w:szCs w:val="16"/>
        </w:rPr>
        <w:t xml:space="preserve"> consular</w:t>
      </w:r>
      <w:r w:rsidR="0022518C">
        <w:rPr>
          <w:rFonts w:asciiTheme="majorHAnsi" w:hAnsiTheme="majorHAnsi" w:cs="Arial"/>
          <w:color w:val="auto"/>
          <w:sz w:val="16"/>
          <w:szCs w:val="16"/>
        </w:rPr>
        <w:t xml:space="preserve"> assistance</w:t>
      </w:r>
      <w:r w:rsidRPr="00A51861">
        <w:rPr>
          <w:rFonts w:asciiTheme="majorHAnsi" w:hAnsiTheme="majorHAnsi" w:cs="Arial"/>
          <w:color w:val="auto"/>
          <w:sz w:val="16"/>
          <w:szCs w:val="16"/>
        </w:rPr>
        <w:t>.</w:t>
      </w:r>
    </w:p>
  </w:footnote>
  <w:footnote w:id="187">
    <w:p w14:paraId="24405558" w14:textId="28CE78F0" w:rsidR="00F40E67" w:rsidRPr="00A51861" w:rsidRDefault="00F40E67" w:rsidP="0063693D">
      <w:pPr>
        <w:pStyle w:val="FootnoteText"/>
        <w:tabs>
          <w:tab w:val="left" w:pos="0"/>
        </w:tabs>
        <w:jc w:val="both"/>
        <w:rPr>
          <w:rFonts w:asciiTheme="majorHAnsi" w:hAnsiTheme="majorHAnsi" w:cs="Arial"/>
          <w:color w:val="auto"/>
          <w:sz w:val="16"/>
          <w:szCs w:val="16"/>
        </w:rPr>
      </w:pPr>
      <w:r w:rsidRPr="00A51861">
        <w:rPr>
          <w:rStyle w:val="FootnoteReference"/>
          <w:rFonts w:asciiTheme="majorHAnsi" w:hAnsiTheme="majorHAnsi" w:cs="Arial"/>
          <w:color w:val="auto"/>
          <w:sz w:val="16"/>
          <w:szCs w:val="16"/>
        </w:rPr>
        <w:footnoteRef/>
      </w:r>
      <w:r w:rsidRPr="00A51861">
        <w:rPr>
          <w:rFonts w:asciiTheme="majorHAnsi" w:hAnsiTheme="majorHAnsi" w:cs="Arial"/>
          <w:color w:val="auto"/>
          <w:sz w:val="16"/>
          <w:szCs w:val="16"/>
        </w:rPr>
        <w:t xml:space="preserve"> </w:t>
      </w:r>
      <w:r w:rsidR="00B6596B">
        <w:rPr>
          <w:rFonts w:asciiTheme="majorHAnsi" w:hAnsiTheme="majorHAnsi" w:cs="Arial"/>
          <w:color w:val="auto"/>
          <w:sz w:val="16"/>
          <w:szCs w:val="16"/>
        </w:rPr>
        <w:t xml:space="preserve">Case </w:t>
      </w:r>
      <w:r w:rsidR="0022518C">
        <w:rPr>
          <w:rFonts w:asciiTheme="majorHAnsi" w:hAnsiTheme="majorHAnsi" w:cs="Arial"/>
          <w:color w:val="auto"/>
          <w:sz w:val="16"/>
          <w:szCs w:val="16"/>
        </w:rPr>
        <w:t>of</w:t>
      </w:r>
      <w:r w:rsidRPr="00A51861">
        <w:rPr>
          <w:rFonts w:asciiTheme="majorHAnsi" w:hAnsiTheme="majorHAnsi" w:cs="Arial"/>
          <w:color w:val="auto"/>
          <w:sz w:val="16"/>
          <w:szCs w:val="16"/>
        </w:rPr>
        <w:t xml:space="preserve"> </w:t>
      </w:r>
      <w:r w:rsidR="0022518C" w:rsidRPr="00A51861">
        <w:rPr>
          <w:rFonts w:asciiTheme="majorHAnsi" w:hAnsiTheme="majorHAnsi" w:cs="Arial"/>
          <w:color w:val="auto"/>
          <w:sz w:val="16"/>
          <w:szCs w:val="16"/>
        </w:rPr>
        <w:t>Dominican</w:t>
      </w:r>
      <w:r w:rsidR="0022518C">
        <w:rPr>
          <w:rFonts w:asciiTheme="majorHAnsi" w:hAnsiTheme="majorHAnsi" w:cs="Arial"/>
          <w:color w:val="auto"/>
          <w:sz w:val="16"/>
          <w:szCs w:val="16"/>
        </w:rPr>
        <w:t xml:space="preserve"> and </w:t>
      </w:r>
      <w:r w:rsidR="0022518C" w:rsidRPr="00A51861">
        <w:rPr>
          <w:rFonts w:asciiTheme="majorHAnsi" w:hAnsiTheme="majorHAnsi" w:cs="Arial"/>
          <w:color w:val="auto"/>
          <w:sz w:val="16"/>
          <w:szCs w:val="16"/>
        </w:rPr>
        <w:t xml:space="preserve">Haitian </w:t>
      </w:r>
      <w:r w:rsidR="00EC7A58">
        <w:rPr>
          <w:rFonts w:asciiTheme="majorHAnsi" w:hAnsiTheme="majorHAnsi" w:cs="Arial"/>
          <w:color w:val="auto"/>
          <w:sz w:val="16"/>
          <w:szCs w:val="16"/>
        </w:rPr>
        <w:t>Persons</w:t>
      </w:r>
      <w:r w:rsidRPr="00A51861">
        <w:rPr>
          <w:rFonts w:asciiTheme="majorHAnsi" w:hAnsiTheme="majorHAnsi" w:cs="Arial"/>
          <w:color w:val="auto"/>
          <w:sz w:val="16"/>
          <w:szCs w:val="16"/>
        </w:rPr>
        <w:t xml:space="preserve"> </w:t>
      </w:r>
      <w:r w:rsidR="0022518C">
        <w:rPr>
          <w:rFonts w:asciiTheme="majorHAnsi" w:hAnsiTheme="majorHAnsi" w:cs="Arial"/>
          <w:color w:val="auto"/>
          <w:sz w:val="16"/>
          <w:szCs w:val="16"/>
        </w:rPr>
        <w:t>expelled</w:t>
      </w:r>
      <w:r w:rsidRPr="00A51861">
        <w:rPr>
          <w:rFonts w:asciiTheme="majorHAnsi" w:hAnsiTheme="majorHAnsi" w:cs="Arial"/>
          <w:color w:val="auto"/>
          <w:sz w:val="16"/>
          <w:szCs w:val="16"/>
        </w:rPr>
        <w:t xml:space="preserve"> Vs. </w:t>
      </w:r>
      <w:r w:rsidR="00154218">
        <w:rPr>
          <w:rFonts w:asciiTheme="majorHAnsi" w:hAnsiTheme="majorHAnsi" w:cs="Arial"/>
          <w:color w:val="auto"/>
          <w:sz w:val="16"/>
          <w:szCs w:val="16"/>
        </w:rPr>
        <w:t>Dominican Republic</w:t>
      </w:r>
      <w:r w:rsidRPr="00A51861">
        <w:rPr>
          <w:rFonts w:asciiTheme="majorHAnsi" w:hAnsiTheme="majorHAnsi" w:cs="Arial"/>
          <w:color w:val="auto"/>
          <w:sz w:val="16"/>
          <w:szCs w:val="16"/>
        </w:rPr>
        <w:t xml:space="preserve">. </w:t>
      </w:r>
      <w:r w:rsidR="004E56A9">
        <w:rPr>
          <w:rFonts w:asciiTheme="majorHAnsi" w:hAnsiTheme="majorHAnsi" w:cs="Arial"/>
          <w:color w:val="auto"/>
          <w:sz w:val="16"/>
          <w:szCs w:val="16"/>
        </w:rPr>
        <w:t>Judgment</w:t>
      </w:r>
      <w:r w:rsidRPr="00A51861">
        <w:rPr>
          <w:rFonts w:asciiTheme="majorHAnsi" w:hAnsiTheme="majorHAnsi" w:cs="Arial"/>
          <w:color w:val="auto"/>
          <w:sz w:val="16"/>
          <w:szCs w:val="16"/>
        </w:rPr>
        <w:t xml:space="preserve"> </w:t>
      </w:r>
      <w:r w:rsidR="0022518C">
        <w:rPr>
          <w:rFonts w:asciiTheme="majorHAnsi" w:hAnsiTheme="majorHAnsi" w:cs="Arial"/>
          <w:color w:val="auto"/>
          <w:sz w:val="16"/>
          <w:szCs w:val="16"/>
        </w:rPr>
        <w:t>of August 28,</w:t>
      </w:r>
      <w:r w:rsidRPr="00A51861">
        <w:rPr>
          <w:rFonts w:asciiTheme="majorHAnsi" w:hAnsiTheme="majorHAnsi" w:cs="Arial"/>
          <w:color w:val="auto"/>
          <w:sz w:val="16"/>
          <w:szCs w:val="16"/>
        </w:rPr>
        <w:t xml:space="preserve"> 2014. Serie C No. 282, </w:t>
      </w:r>
      <w:r w:rsidR="00B6596B">
        <w:rPr>
          <w:rFonts w:asciiTheme="majorHAnsi" w:hAnsiTheme="majorHAnsi" w:cs="Arial"/>
          <w:color w:val="auto"/>
          <w:sz w:val="16"/>
          <w:szCs w:val="16"/>
        </w:rPr>
        <w:t>para.</w:t>
      </w:r>
      <w:r w:rsidRPr="00A51861">
        <w:rPr>
          <w:rFonts w:asciiTheme="majorHAnsi" w:hAnsiTheme="majorHAnsi" w:cs="Arial"/>
          <w:color w:val="auto"/>
          <w:sz w:val="16"/>
          <w:szCs w:val="16"/>
        </w:rPr>
        <w:t xml:space="preserve"> 389.</w:t>
      </w:r>
    </w:p>
  </w:footnote>
  <w:footnote w:id="188">
    <w:p w14:paraId="5316CCC3" w14:textId="345BBE08"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036743">
        <w:rPr>
          <w:rFonts w:asciiTheme="majorHAnsi" w:hAnsiTheme="majorHAnsi"/>
          <w:color w:val="auto"/>
          <w:sz w:val="16"/>
          <w:szCs w:val="16"/>
        </w:rPr>
        <w:t>IHR Court</w:t>
      </w:r>
      <w:r w:rsidRPr="00A51861">
        <w:rPr>
          <w:rFonts w:asciiTheme="majorHAnsi" w:hAnsiTheme="majorHAnsi"/>
          <w:color w:val="auto"/>
          <w:sz w:val="16"/>
          <w:szCs w:val="16"/>
        </w:rPr>
        <w:t xml:space="preserve">. </w:t>
      </w:r>
      <w:r w:rsidR="00B6596B">
        <w:rPr>
          <w:rFonts w:asciiTheme="majorHAnsi" w:hAnsiTheme="majorHAnsi"/>
          <w:color w:val="auto"/>
          <w:sz w:val="16"/>
          <w:szCs w:val="16"/>
        </w:rPr>
        <w:t xml:space="preserve">Case </w:t>
      </w:r>
      <w:r w:rsidR="00F406E1">
        <w:rPr>
          <w:rFonts w:asciiTheme="majorHAnsi" w:hAnsiTheme="majorHAnsi"/>
          <w:color w:val="auto"/>
          <w:sz w:val="16"/>
          <w:szCs w:val="16"/>
        </w:rPr>
        <w:t>Family</w:t>
      </w:r>
      <w:r w:rsidRPr="00A51861">
        <w:rPr>
          <w:rFonts w:asciiTheme="majorHAnsi" w:hAnsiTheme="majorHAnsi"/>
          <w:color w:val="auto"/>
          <w:sz w:val="16"/>
          <w:szCs w:val="16"/>
        </w:rPr>
        <w:t xml:space="preserve"> Pacheco Tineo vs. </w:t>
      </w:r>
      <w:r w:rsidR="0022518C" w:rsidRPr="00A51861">
        <w:rPr>
          <w:rFonts w:asciiTheme="majorHAnsi" w:hAnsiTheme="majorHAnsi"/>
          <w:color w:val="auto"/>
          <w:sz w:val="16"/>
          <w:szCs w:val="16"/>
        </w:rPr>
        <w:t>Plurinational</w:t>
      </w:r>
      <w:r w:rsidRPr="00A51861">
        <w:rPr>
          <w:rFonts w:asciiTheme="majorHAnsi" w:hAnsiTheme="majorHAnsi"/>
          <w:color w:val="auto"/>
          <w:sz w:val="16"/>
          <w:szCs w:val="16"/>
        </w:rPr>
        <w:t xml:space="preserve"> </w:t>
      </w:r>
      <w:r w:rsidR="0022518C">
        <w:rPr>
          <w:rFonts w:asciiTheme="majorHAnsi" w:hAnsiTheme="majorHAnsi"/>
          <w:color w:val="auto"/>
          <w:sz w:val="16"/>
          <w:szCs w:val="16"/>
        </w:rPr>
        <w:t>State of</w:t>
      </w:r>
      <w:r w:rsidRPr="00A51861">
        <w:rPr>
          <w:rFonts w:asciiTheme="majorHAnsi" w:hAnsiTheme="majorHAnsi"/>
          <w:color w:val="auto"/>
          <w:sz w:val="16"/>
          <w:szCs w:val="16"/>
        </w:rPr>
        <w:t xml:space="preserve"> Bolivia. </w:t>
      </w:r>
      <w:r w:rsidR="00357129">
        <w:rPr>
          <w:rFonts w:asciiTheme="majorHAnsi" w:hAnsiTheme="majorHAnsi"/>
          <w:color w:val="auto"/>
          <w:sz w:val="16"/>
          <w:szCs w:val="16"/>
        </w:rPr>
        <w:t>Exceptions, Preliminary Exceptions, Merits, Reparations and Costs</w:t>
      </w:r>
      <w:r w:rsidRPr="00A51861">
        <w:rPr>
          <w:rFonts w:asciiTheme="majorHAnsi" w:hAnsiTheme="majorHAnsi"/>
          <w:color w:val="auto"/>
          <w:sz w:val="16"/>
          <w:szCs w:val="16"/>
        </w:rPr>
        <w:t xml:space="preserve">. </w:t>
      </w:r>
      <w:r w:rsidR="004E56A9">
        <w:rPr>
          <w:rFonts w:asciiTheme="majorHAnsi" w:hAnsiTheme="majorHAnsi"/>
          <w:color w:val="auto"/>
          <w:sz w:val="16"/>
          <w:szCs w:val="16"/>
        </w:rPr>
        <w:t>Judgment</w:t>
      </w:r>
      <w:r w:rsidRPr="00A51861">
        <w:rPr>
          <w:rFonts w:asciiTheme="majorHAnsi" w:hAnsiTheme="majorHAnsi"/>
          <w:color w:val="auto"/>
          <w:sz w:val="16"/>
          <w:szCs w:val="16"/>
        </w:rPr>
        <w:t xml:space="preserve"> </w:t>
      </w:r>
      <w:r w:rsidR="0022518C">
        <w:rPr>
          <w:rFonts w:asciiTheme="majorHAnsi" w:hAnsiTheme="majorHAnsi"/>
          <w:color w:val="auto"/>
          <w:sz w:val="16"/>
          <w:szCs w:val="16"/>
        </w:rPr>
        <w:t>of November 25,</w:t>
      </w:r>
      <w:r w:rsidRPr="00A51861">
        <w:rPr>
          <w:rFonts w:asciiTheme="majorHAnsi" w:hAnsiTheme="majorHAnsi"/>
          <w:color w:val="auto"/>
          <w:sz w:val="16"/>
          <w:szCs w:val="16"/>
        </w:rPr>
        <w:t xml:space="preserve"> 2013. Serie C No. 272. </w:t>
      </w:r>
      <w:r w:rsidR="00357129">
        <w:rPr>
          <w:rFonts w:asciiTheme="majorHAnsi" w:hAnsiTheme="majorHAnsi"/>
          <w:color w:val="auto"/>
          <w:sz w:val="16"/>
          <w:szCs w:val="16"/>
        </w:rPr>
        <w:t xml:space="preserve">Para. </w:t>
      </w:r>
      <w:r w:rsidRPr="00A51861">
        <w:rPr>
          <w:rFonts w:asciiTheme="majorHAnsi" w:hAnsiTheme="majorHAnsi"/>
          <w:color w:val="auto"/>
          <w:sz w:val="16"/>
          <w:szCs w:val="16"/>
        </w:rPr>
        <w:t>145</w:t>
      </w:r>
      <w:r w:rsidR="00B6596B">
        <w:rPr>
          <w:rFonts w:asciiTheme="majorHAnsi" w:hAnsiTheme="majorHAnsi"/>
          <w:color w:val="auto"/>
          <w:sz w:val="16"/>
          <w:szCs w:val="16"/>
        </w:rPr>
        <w:t xml:space="preserve"> and </w:t>
      </w:r>
      <w:r w:rsidRPr="00A51861">
        <w:rPr>
          <w:rFonts w:asciiTheme="majorHAnsi" w:hAnsiTheme="majorHAnsi"/>
          <w:color w:val="auto"/>
          <w:sz w:val="16"/>
          <w:szCs w:val="16"/>
        </w:rPr>
        <w:t>147.</w:t>
      </w:r>
    </w:p>
  </w:footnote>
  <w:footnote w:id="189">
    <w:p w14:paraId="2CBA2CBB" w14:textId="062D6117"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22518C">
        <w:rPr>
          <w:rFonts w:asciiTheme="majorHAnsi" w:hAnsiTheme="majorHAnsi"/>
          <w:color w:val="auto"/>
          <w:sz w:val="16"/>
          <w:szCs w:val="16"/>
        </w:rPr>
        <w:t xml:space="preserve">High </w:t>
      </w:r>
      <w:r w:rsidR="00FE1E27">
        <w:rPr>
          <w:rFonts w:asciiTheme="majorHAnsi" w:hAnsiTheme="majorHAnsi"/>
          <w:color w:val="auto"/>
          <w:sz w:val="16"/>
          <w:szCs w:val="16"/>
        </w:rPr>
        <w:t>Commission</w:t>
      </w:r>
      <w:r w:rsidR="0022518C">
        <w:rPr>
          <w:rFonts w:asciiTheme="majorHAnsi" w:hAnsiTheme="majorHAnsi"/>
          <w:color w:val="auto"/>
          <w:sz w:val="16"/>
          <w:szCs w:val="16"/>
        </w:rPr>
        <w:t>er of</w:t>
      </w:r>
      <w:r w:rsidRPr="00A51861">
        <w:rPr>
          <w:rFonts w:asciiTheme="majorHAnsi" w:hAnsiTheme="majorHAnsi"/>
          <w:color w:val="auto"/>
          <w:sz w:val="16"/>
          <w:szCs w:val="16"/>
        </w:rPr>
        <w:t xml:space="preserve"> </w:t>
      </w:r>
      <w:r w:rsidR="00B6596B">
        <w:rPr>
          <w:rFonts w:asciiTheme="majorHAnsi" w:hAnsiTheme="majorHAnsi"/>
          <w:color w:val="auto"/>
          <w:sz w:val="16"/>
          <w:szCs w:val="16"/>
        </w:rPr>
        <w:t>United Nations</w:t>
      </w:r>
      <w:r w:rsidRPr="00A51861">
        <w:rPr>
          <w:rFonts w:asciiTheme="majorHAnsi" w:hAnsiTheme="majorHAnsi"/>
          <w:color w:val="auto"/>
          <w:sz w:val="16"/>
          <w:szCs w:val="16"/>
        </w:rPr>
        <w:t xml:space="preserve"> </w:t>
      </w:r>
      <w:r w:rsidR="0022518C">
        <w:rPr>
          <w:rFonts w:asciiTheme="majorHAnsi" w:hAnsiTheme="majorHAnsi"/>
          <w:color w:val="auto"/>
          <w:sz w:val="16"/>
          <w:szCs w:val="16"/>
        </w:rPr>
        <w:t xml:space="preserve">for </w:t>
      </w:r>
      <w:r w:rsidRPr="00A51861">
        <w:rPr>
          <w:rFonts w:asciiTheme="majorHAnsi" w:hAnsiTheme="majorHAnsi"/>
          <w:color w:val="auto"/>
          <w:sz w:val="16"/>
          <w:szCs w:val="16"/>
        </w:rPr>
        <w:t>Refug</w:t>
      </w:r>
      <w:r w:rsidR="0022518C">
        <w:rPr>
          <w:rFonts w:asciiTheme="majorHAnsi" w:hAnsiTheme="majorHAnsi"/>
          <w:color w:val="auto"/>
          <w:sz w:val="16"/>
          <w:szCs w:val="16"/>
        </w:rPr>
        <w:t>ee</w:t>
      </w:r>
      <w:r w:rsidRPr="00A51861">
        <w:rPr>
          <w:rFonts w:asciiTheme="majorHAnsi" w:hAnsiTheme="majorHAnsi"/>
          <w:color w:val="auto"/>
          <w:sz w:val="16"/>
          <w:szCs w:val="16"/>
        </w:rPr>
        <w:t>s. Manual</w:t>
      </w:r>
      <w:r w:rsidR="00B6596B">
        <w:rPr>
          <w:rFonts w:asciiTheme="majorHAnsi" w:hAnsiTheme="majorHAnsi"/>
          <w:color w:val="auto"/>
          <w:sz w:val="16"/>
          <w:szCs w:val="16"/>
        </w:rPr>
        <w:t xml:space="preserve"> and </w:t>
      </w:r>
      <w:r w:rsidR="0022518C">
        <w:rPr>
          <w:rFonts w:asciiTheme="majorHAnsi" w:hAnsiTheme="majorHAnsi"/>
          <w:color w:val="auto"/>
          <w:sz w:val="16"/>
          <w:szCs w:val="16"/>
        </w:rPr>
        <w:t>Guidelines</w:t>
      </w:r>
      <w:r w:rsidRPr="00A51861">
        <w:rPr>
          <w:rFonts w:asciiTheme="majorHAnsi" w:hAnsiTheme="majorHAnsi"/>
          <w:color w:val="auto"/>
          <w:sz w:val="16"/>
          <w:szCs w:val="16"/>
        </w:rPr>
        <w:t xml:space="preserve"> </w:t>
      </w:r>
      <w:r w:rsidR="0022518C">
        <w:rPr>
          <w:rFonts w:asciiTheme="majorHAnsi" w:hAnsiTheme="majorHAnsi"/>
          <w:color w:val="auto"/>
          <w:sz w:val="16"/>
          <w:szCs w:val="16"/>
        </w:rPr>
        <w:t>on</w:t>
      </w:r>
      <w:r w:rsidRPr="00A51861">
        <w:rPr>
          <w:rFonts w:asciiTheme="majorHAnsi" w:hAnsiTheme="majorHAnsi"/>
          <w:color w:val="auto"/>
          <w:sz w:val="16"/>
          <w:szCs w:val="16"/>
        </w:rPr>
        <w:t xml:space="preserve"> </w:t>
      </w:r>
      <w:r w:rsidR="0022518C">
        <w:rPr>
          <w:rFonts w:asciiTheme="majorHAnsi" w:hAnsiTheme="majorHAnsi"/>
          <w:color w:val="auto"/>
          <w:sz w:val="16"/>
          <w:szCs w:val="16"/>
        </w:rPr>
        <w:t>Proceedings</w:t>
      </w:r>
      <w:r w:rsidR="00B6596B">
        <w:rPr>
          <w:rFonts w:asciiTheme="majorHAnsi" w:hAnsiTheme="majorHAnsi"/>
          <w:color w:val="auto"/>
          <w:sz w:val="16"/>
          <w:szCs w:val="16"/>
        </w:rPr>
        <w:t xml:space="preserve"> and </w:t>
      </w:r>
      <w:r w:rsidRPr="00A51861">
        <w:rPr>
          <w:rFonts w:asciiTheme="majorHAnsi" w:hAnsiTheme="majorHAnsi"/>
          <w:color w:val="auto"/>
          <w:sz w:val="16"/>
          <w:szCs w:val="16"/>
        </w:rPr>
        <w:t>Criteri</w:t>
      </w:r>
      <w:r w:rsidR="0022518C">
        <w:rPr>
          <w:rFonts w:asciiTheme="majorHAnsi" w:hAnsiTheme="majorHAnsi"/>
          <w:color w:val="auto"/>
          <w:sz w:val="16"/>
          <w:szCs w:val="16"/>
        </w:rPr>
        <w:t>a</w:t>
      </w:r>
      <w:r w:rsidRPr="00A51861">
        <w:rPr>
          <w:rFonts w:asciiTheme="majorHAnsi" w:hAnsiTheme="majorHAnsi"/>
          <w:color w:val="auto"/>
          <w:sz w:val="16"/>
          <w:szCs w:val="16"/>
        </w:rPr>
        <w:t xml:space="preserve"> </w:t>
      </w:r>
      <w:r w:rsidR="0022518C">
        <w:rPr>
          <w:rFonts w:asciiTheme="majorHAnsi" w:hAnsiTheme="majorHAnsi"/>
          <w:color w:val="auto"/>
          <w:sz w:val="16"/>
          <w:szCs w:val="16"/>
        </w:rPr>
        <w:t>to</w:t>
      </w:r>
      <w:r w:rsidRPr="00A51861">
        <w:rPr>
          <w:rFonts w:asciiTheme="majorHAnsi" w:hAnsiTheme="majorHAnsi"/>
          <w:color w:val="auto"/>
          <w:sz w:val="16"/>
          <w:szCs w:val="16"/>
        </w:rPr>
        <w:t xml:space="preserve"> Determin</w:t>
      </w:r>
      <w:r w:rsidR="0022518C">
        <w:rPr>
          <w:rFonts w:asciiTheme="majorHAnsi" w:hAnsiTheme="majorHAnsi"/>
          <w:color w:val="auto"/>
          <w:sz w:val="16"/>
          <w:szCs w:val="16"/>
        </w:rPr>
        <w:t>e the</w:t>
      </w:r>
      <w:r w:rsidRPr="00A51861">
        <w:rPr>
          <w:rFonts w:asciiTheme="majorHAnsi" w:hAnsiTheme="majorHAnsi"/>
          <w:color w:val="auto"/>
          <w:sz w:val="16"/>
          <w:szCs w:val="16"/>
        </w:rPr>
        <w:t xml:space="preserve"> </w:t>
      </w:r>
      <w:r w:rsidR="0022518C" w:rsidRPr="00A51861">
        <w:rPr>
          <w:rFonts w:asciiTheme="majorHAnsi" w:hAnsiTheme="majorHAnsi"/>
          <w:color w:val="auto"/>
          <w:sz w:val="16"/>
          <w:szCs w:val="16"/>
        </w:rPr>
        <w:t>Condition</w:t>
      </w:r>
      <w:r w:rsidRPr="00A51861">
        <w:rPr>
          <w:rFonts w:asciiTheme="majorHAnsi" w:hAnsiTheme="majorHAnsi"/>
          <w:color w:val="auto"/>
          <w:sz w:val="16"/>
          <w:szCs w:val="16"/>
        </w:rPr>
        <w:t xml:space="preserve"> de </w:t>
      </w:r>
      <w:r w:rsidR="0022518C">
        <w:rPr>
          <w:rFonts w:asciiTheme="majorHAnsi" w:hAnsiTheme="majorHAnsi"/>
          <w:color w:val="auto"/>
          <w:sz w:val="16"/>
          <w:szCs w:val="16"/>
        </w:rPr>
        <w:t>Refugee</w:t>
      </w:r>
      <w:r w:rsidRPr="00A51861">
        <w:rPr>
          <w:rFonts w:asciiTheme="majorHAnsi" w:hAnsiTheme="majorHAnsi"/>
          <w:color w:val="auto"/>
          <w:sz w:val="16"/>
          <w:szCs w:val="16"/>
        </w:rPr>
        <w:t xml:space="preserve"> </w:t>
      </w:r>
      <w:r w:rsidR="0022518C">
        <w:rPr>
          <w:rFonts w:asciiTheme="majorHAnsi" w:hAnsiTheme="majorHAnsi"/>
          <w:color w:val="auto"/>
          <w:sz w:val="16"/>
          <w:szCs w:val="16"/>
        </w:rPr>
        <w:t>by virtue</w:t>
      </w:r>
      <w:r w:rsidR="00061928">
        <w:rPr>
          <w:rFonts w:asciiTheme="majorHAnsi" w:hAnsiTheme="majorHAnsi"/>
          <w:color w:val="auto"/>
          <w:sz w:val="16"/>
          <w:szCs w:val="16"/>
        </w:rPr>
        <w:t xml:space="preserve"> of the </w:t>
      </w:r>
      <w:r w:rsidR="00CB4E23">
        <w:rPr>
          <w:rFonts w:asciiTheme="majorHAnsi" w:hAnsiTheme="majorHAnsi"/>
          <w:color w:val="auto"/>
          <w:sz w:val="16"/>
          <w:szCs w:val="16"/>
        </w:rPr>
        <w:t>Convention</w:t>
      </w:r>
      <w:r w:rsidRPr="00A51861">
        <w:rPr>
          <w:rFonts w:asciiTheme="majorHAnsi" w:hAnsiTheme="majorHAnsi"/>
          <w:color w:val="auto"/>
          <w:sz w:val="16"/>
          <w:szCs w:val="16"/>
        </w:rPr>
        <w:t xml:space="preserve"> </w:t>
      </w:r>
      <w:r w:rsidR="0022518C">
        <w:rPr>
          <w:rFonts w:asciiTheme="majorHAnsi" w:hAnsiTheme="majorHAnsi"/>
          <w:color w:val="auto"/>
          <w:sz w:val="16"/>
          <w:szCs w:val="16"/>
        </w:rPr>
        <w:t>of the</w:t>
      </w:r>
      <w:r w:rsidRPr="00A51861">
        <w:rPr>
          <w:rFonts w:asciiTheme="majorHAnsi" w:hAnsiTheme="majorHAnsi"/>
          <w:color w:val="auto"/>
          <w:sz w:val="16"/>
          <w:szCs w:val="16"/>
        </w:rPr>
        <w:t xml:space="preserve"> 1951</w:t>
      </w:r>
      <w:r w:rsidR="00B6596B">
        <w:rPr>
          <w:rFonts w:asciiTheme="majorHAnsi" w:hAnsiTheme="majorHAnsi"/>
          <w:color w:val="auto"/>
          <w:sz w:val="16"/>
          <w:szCs w:val="16"/>
        </w:rPr>
        <w:t xml:space="preserve"> and </w:t>
      </w:r>
      <w:r w:rsidR="0022518C">
        <w:rPr>
          <w:rFonts w:asciiTheme="majorHAnsi" w:hAnsiTheme="majorHAnsi"/>
          <w:color w:val="auto"/>
          <w:sz w:val="16"/>
          <w:szCs w:val="16"/>
        </w:rPr>
        <w:t>the</w:t>
      </w:r>
      <w:r w:rsidRPr="00A51861">
        <w:rPr>
          <w:rFonts w:asciiTheme="majorHAnsi" w:hAnsiTheme="majorHAnsi"/>
          <w:color w:val="auto"/>
          <w:sz w:val="16"/>
          <w:szCs w:val="16"/>
        </w:rPr>
        <w:t xml:space="preserve"> Protocol</w:t>
      </w:r>
      <w:r w:rsidR="0022518C">
        <w:rPr>
          <w:rFonts w:asciiTheme="majorHAnsi" w:hAnsiTheme="majorHAnsi"/>
          <w:color w:val="auto"/>
          <w:sz w:val="16"/>
          <w:szCs w:val="16"/>
        </w:rPr>
        <w:t xml:space="preserve"> of</w:t>
      </w:r>
      <w:r w:rsidRPr="00A51861">
        <w:rPr>
          <w:rFonts w:asciiTheme="majorHAnsi" w:hAnsiTheme="majorHAnsi"/>
          <w:color w:val="auto"/>
          <w:sz w:val="16"/>
          <w:szCs w:val="16"/>
        </w:rPr>
        <w:t xml:space="preserve"> 1967 </w:t>
      </w:r>
      <w:r w:rsidR="0022518C">
        <w:rPr>
          <w:rFonts w:asciiTheme="majorHAnsi" w:hAnsiTheme="majorHAnsi"/>
          <w:color w:val="auto"/>
          <w:sz w:val="16"/>
          <w:szCs w:val="16"/>
        </w:rPr>
        <w:t>on the Status of R</w:t>
      </w:r>
      <w:r w:rsidRPr="00A51861">
        <w:rPr>
          <w:rFonts w:asciiTheme="majorHAnsi" w:hAnsiTheme="majorHAnsi"/>
          <w:color w:val="auto"/>
          <w:sz w:val="16"/>
          <w:szCs w:val="16"/>
        </w:rPr>
        <w:t>efug</w:t>
      </w:r>
      <w:r w:rsidR="0022518C">
        <w:rPr>
          <w:rFonts w:asciiTheme="majorHAnsi" w:hAnsiTheme="majorHAnsi"/>
          <w:color w:val="auto"/>
          <w:sz w:val="16"/>
          <w:szCs w:val="16"/>
        </w:rPr>
        <w:t>ee</w:t>
      </w:r>
      <w:r w:rsidRPr="00A51861">
        <w:rPr>
          <w:rFonts w:asciiTheme="majorHAnsi" w:hAnsiTheme="majorHAnsi"/>
          <w:color w:val="auto"/>
          <w:sz w:val="16"/>
          <w:szCs w:val="16"/>
        </w:rPr>
        <w:t xml:space="preserve">s. </w:t>
      </w:r>
      <w:r w:rsidR="0022518C">
        <w:rPr>
          <w:rFonts w:asciiTheme="majorHAnsi" w:hAnsiTheme="majorHAnsi"/>
          <w:color w:val="auto"/>
          <w:sz w:val="16"/>
          <w:szCs w:val="16"/>
        </w:rPr>
        <w:t>Geneva reedition</w:t>
      </w:r>
      <w:r w:rsidRPr="00A51861">
        <w:rPr>
          <w:rFonts w:asciiTheme="majorHAnsi" w:hAnsiTheme="majorHAnsi"/>
          <w:color w:val="auto"/>
          <w:sz w:val="16"/>
          <w:szCs w:val="16"/>
        </w:rPr>
        <w:t xml:space="preserve">, </w:t>
      </w:r>
      <w:r w:rsidR="0022518C">
        <w:rPr>
          <w:rFonts w:asciiTheme="majorHAnsi" w:hAnsiTheme="majorHAnsi"/>
          <w:color w:val="auto"/>
          <w:sz w:val="16"/>
          <w:szCs w:val="16"/>
        </w:rPr>
        <w:t>December,</w:t>
      </w:r>
      <w:r w:rsidRPr="00A51861">
        <w:rPr>
          <w:rFonts w:asciiTheme="majorHAnsi" w:hAnsiTheme="majorHAnsi"/>
          <w:color w:val="auto"/>
          <w:sz w:val="16"/>
          <w:szCs w:val="16"/>
        </w:rPr>
        <w:t xml:space="preserve"> 2011. HCR/1P/4/ENG/REV.3. </w:t>
      </w:r>
      <w:r w:rsidR="0022518C">
        <w:rPr>
          <w:rFonts w:asciiTheme="majorHAnsi" w:hAnsiTheme="majorHAnsi"/>
          <w:color w:val="auto"/>
          <w:sz w:val="16"/>
          <w:szCs w:val="16"/>
        </w:rPr>
        <w:t>Available at</w:t>
      </w:r>
      <w:r w:rsidRPr="00A51861">
        <w:rPr>
          <w:rFonts w:asciiTheme="majorHAnsi" w:hAnsiTheme="majorHAnsi"/>
          <w:color w:val="auto"/>
          <w:sz w:val="16"/>
          <w:szCs w:val="16"/>
        </w:rPr>
        <w:t xml:space="preserve">: http://www.unhcr.org/refworld/docid/4f33c8d92.html, </w:t>
      </w:r>
      <w:r w:rsidR="00B6596B">
        <w:rPr>
          <w:rFonts w:asciiTheme="majorHAnsi" w:hAnsiTheme="majorHAnsi"/>
          <w:color w:val="auto"/>
          <w:sz w:val="16"/>
          <w:szCs w:val="16"/>
        </w:rPr>
        <w:t>para.</w:t>
      </w:r>
      <w:r w:rsidRPr="00A51861">
        <w:rPr>
          <w:rFonts w:asciiTheme="majorHAnsi" w:hAnsiTheme="majorHAnsi"/>
          <w:color w:val="auto"/>
          <w:sz w:val="16"/>
          <w:szCs w:val="16"/>
        </w:rPr>
        <w:t xml:space="preserve"> 28.</w:t>
      </w:r>
      <w:r w:rsidRPr="00A51861">
        <w:rPr>
          <w:rFonts w:asciiTheme="majorHAnsi" w:eastAsia="Arial Unicode MS" w:hAnsiTheme="majorHAnsi" w:cs="Arial"/>
          <w:color w:val="auto"/>
          <w:sz w:val="16"/>
          <w:szCs w:val="16"/>
          <w:lang w:eastAsia="en-US"/>
        </w:rPr>
        <w:t xml:space="preserve"> </w:t>
      </w:r>
    </w:p>
  </w:footnote>
  <w:footnote w:id="190">
    <w:p w14:paraId="7D52DE3E" w14:textId="7E68DC7D"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1559D8">
        <w:rPr>
          <w:rFonts w:asciiTheme="majorHAnsi" w:hAnsiTheme="majorHAnsi"/>
          <w:color w:val="auto"/>
          <w:sz w:val="16"/>
          <w:szCs w:val="16"/>
        </w:rPr>
        <w:t>Nonetheless</w:t>
      </w:r>
      <w:r w:rsidRPr="00A51861">
        <w:rPr>
          <w:rFonts w:asciiTheme="majorHAnsi" w:hAnsiTheme="majorHAnsi"/>
          <w:color w:val="auto"/>
          <w:sz w:val="16"/>
          <w:szCs w:val="16"/>
        </w:rPr>
        <w:t>, “</w:t>
      </w:r>
      <w:r w:rsidR="003A2A80">
        <w:rPr>
          <w:rFonts w:asciiTheme="majorHAnsi" w:hAnsiTheme="majorHAnsi"/>
          <w:color w:val="auto"/>
          <w:sz w:val="16"/>
          <w:szCs w:val="16"/>
        </w:rPr>
        <w:t>in some cases</w:t>
      </w:r>
      <w:r w:rsidRPr="00A51861">
        <w:rPr>
          <w:rFonts w:asciiTheme="majorHAnsi" w:hAnsiTheme="majorHAnsi"/>
          <w:color w:val="auto"/>
          <w:sz w:val="16"/>
          <w:szCs w:val="16"/>
        </w:rPr>
        <w:t xml:space="preserve">, </w:t>
      </w:r>
      <w:r w:rsidR="003A2A80">
        <w:rPr>
          <w:rFonts w:asciiTheme="majorHAnsi" w:hAnsiTheme="majorHAnsi"/>
          <w:color w:val="auto"/>
          <w:sz w:val="16"/>
          <w:szCs w:val="16"/>
        </w:rPr>
        <w:t>in an exceptional fashion</w:t>
      </w:r>
      <w:r w:rsidRPr="00A51861">
        <w:rPr>
          <w:rFonts w:asciiTheme="majorHAnsi" w:hAnsiTheme="majorHAnsi"/>
          <w:color w:val="auto"/>
          <w:sz w:val="16"/>
          <w:szCs w:val="16"/>
        </w:rPr>
        <w:t xml:space="preserve">, </w:t>
      </w:r>
      <w:r w:rsidR="003A2A80">
        <w:rPr>
          <w:rFonts w:asciiTheme="majorHAnsi" w:hAnsiTheme="majorHAnsi"/>
          <w:color w:val="auto"/>
          <w:sz w:val="16"/>
          <w:szCs w:val="16"/>
        </w:rPr>
        <w:t>the</w:t>
      </w:r>
      <w:r w:rsidR="00934FDF">
        <w:rPr>
          <w:rFonts w:asciiTheme="majorHAnsi" w:hAnsiTheme="majorHAnsi"/>
          <w:color w:val="auto"/>
          <w:sz w:val="16"/>
          <w:szCs w:val="16"/>
        </w:rPr>
        <w:t xml:space="preserve"> HCUNR </w:t>
      </w:r>
      <w:r w:rsidR="003A2A80">
        <w:rPr>
          <w:rFonts w:asciiTheme="majorHAnsi" w:hAnsiTheme="majorHAnsi"/>
          <w:color w:val="auto"/>
          <w:sz w:val="16"/>
          <w:szCs w:val="16"/>
        </w:rPr>
        <w:t>may</w:t>
      </w:r>
      <w:r w:rsidRPr="00A51861">
        <w:rPr>
          <w:rFonts w:asciiTheme="majorHAnsi" w:hAnsiTheme="majorHAnsi"/>
          <w:color w:val="auto"/>
          <w:sz w:val="16"/>
          <w:szCs w:val="16"/>
        </w:rPr>
        <w:t xml:space="preserve"> determin</w:t>
      </w:r>
      <w:r w:rsidR="003A2A80">
        <w:rPr>
          <w:rFonts w:asciiTheme="majorHAnsi" w:hAnsiTheme="majorHAnsi"/>
          <w:color w:val="auto"/>
          <w:sz w:val="16"/>
          <w:szCs w:val="16"/>
        </w:rPr>
        <w:t>e</w:t>
      </w:r>
      <w:r w:rsidRPr="00A51861">
        <w:rPr>
          <w:rFonts w:asciiTheme="majorHAnsi" w:hAnsiTheme="majorHAnsi"/>
          <w:color w:val="auto"/>
          <w:sz w:val="16"/>
          <w:szCs w:val="16"/>
        </w:rPr>
        <w:t xml:space="preserve"> </w:t>
      </w:r>
      <w:r w:rsidR="00DE173A">
        <w:rPr>
          <w:rFonts w:asciiTheme="majorHAnsi" w:hAnsiTheme="majorHAnsi"/>
          <w:color w:val="auto"/>
          <w:sz w:val="16"/>
          <w:szCs w:val="16"/>
        </w:rPr>
        <w:t>that a</w:t>
      </w:r>
      <w:r w:rsidRPr="00A51861">
        <w:rPr>
          <w:rFonts w:asciiTheme="majorHAnsi" w:hAnsiTheme="majorHAnsi"/>
          <w:color w:val="auto"/>
          <w:sz w:val="16"/>
          <w:szCs w:val="16"/>
        </w:rPr>
        <w:t xml:space="preserve"> </w:t>
      </w:r>
      <w:r w:rsidR="00EC7A58">
        <w:rPr>
          <w:rFonts w:asciiTheme="majorHAnsi" w:hAnsiTheme="majorHAnsi"/>
          <w:color w:val="auto"/>
          <w:sz w:val="16"/>
          <w:szCs w:val="16"/>
        </w:rPr>
        <w:t xml:space="preserve">person </w:t>
      </w:r>
      <w:r w:rsidR="00DE173A">
        <w:rPr>
          <w:rFonts w:asciiTheme="majorHAnsi" w:hAnsiTheme="majorHAnsi"/>
          <w:color w:val="auto"/>
          <w:sz w:val="16"/>
          <w:szCs w:val="16"/>
        </w:rPr>
        <w:t>must have the status of refugee</w:t>
      </w:r>
      <w:r w:rsidRPr="00A51861">
        <w:rPr>
          <w:rFonts w:asciiTheme="majorHAnsi" w:hAnsiTheme="majorHAnsi"/>
          <w:color w:val="auto"/>
          <w:sz w:val="16"/>
          <w:szCs w:val="16"/>
        </w:rPr>
        <w:t xml:space="preserve">, </w:t>
      </w:r>
      <w:r w:rsidR="00DE173A">
        <w:rPr>
          <w:rFonts w:asciiTheme="majorHAnsi" w:hAnsiTheme="majorHAnsi"/>
          <w:color w:val="auto"/>
          <w:sz w:val="16"/>
          <w:szCs w:val="16"/>
        </w:rPr>
        <w:t>yet this is a practice which has been present only in</w:t>
      </w:r>
      <w:r w:rsidRPr="00A51861">
        <w:rPr>
          <w:rFonts w:asciiTheme="majorHAnsi" w:hAnsiTheme="majorHAnsi"/>
          <w:color w:val="auto"/>
          <w:sz w:val="16"/>
          <w:szCs w:val="16"/>
        </w:rPr>
        <w:t xml:space="preserve"> </w:t>
      </w:r>
      <w:r w:rsidR="00DE173A">
        <w:rPr>
          <w:rFonts w:asciiTheme="majorHAnsi" w:hAnsiTheme="majorHAnsi"/>
          <w:color w:val="auto"/>
          <w:sz w:val="16"/>
          <w:szCs w:val="16"/>
        </w:rPr>
        <w:t>those countries parties to no</w:t>
      </w:r>
      <w:r w:rsidRPr="00A51861">
        <w:rPr>
          <w:rFonts w:asciiTheme="majorHAnsi" w:hAnsiTheme="majorHAnsi"/>
          <w:color w:val="auto"/>
          <w:sz w:val="16"/>
          <w:szCs w:val="16"/>
        </w:rPr>
        <w:t xml:space="preserve"> </w:t>
      </w:r>
      <w:r w:rsidR="00DE173A" w:rsidRPr="00A51861">
        <w:rPr>
          <w:rFonts w:asciiTheme="majorHAnsi" w:hAnsiTheme="majorHAnsi"/>
          <w:color w:val="auto"/>
          <w:sz w:val="16"/>
          <w:szCs w:val="16"/>
        </w:rPr>
        <w:t xml:space="preserve">international </w:t>
      </w:r>
      <w:r w:rsidRPr="00A51861">
        <w:rPr>
          <w:rFonts w:asciiTheme="majorHAnsi" w:hAnsiTheme="majorHAnsi"/>
          <w:color w:val="auto"/>
          <w:sz w:val="16"/>
          <w:szCs w:val="16"/>
        </w:rPr>
        <w:t>instrument</w:t>
      </w:r>
      <w:r w:rsidR="00DE173A">
        <w:rPr>
          <w:rFonts w:asciiTheme="majorHAnsi" w:hAnsiTheme="majorHAnsi"/>
          <w:color w:val="auto"/>
          <w:sz w:val="16"/>
          <w:szCs w:val="16"/>
        </w:rPr>
        <w:t xml:space="preserve"> of refugees</w:t>
      </w:r>
      <w:r w:rsidRPr="00A51861">
        <w:rPr>
          <w:rFonts w:asciiTheme="majorHAnsi" w:hAnsiTheme="majorHAnsi"/>
          <w:color w:val="auto"/>
          <w:sz w:val="16"/>
          <w:szCs w:val="16"/>
        </w:rPr>
        <w:t xml:space="preserve">, </w:t>
      </w:r>
      <w:r w:rsidR="00DE173A">
        <w:rPr>
          <w:rFonts w:asciiTheme="majorHAnsi" w:hAnsiTheme="majorHAnsi"/>
          <w:color w:val="auto"/>
          <w:sz w:val="16"/>
          <w:szCs w:val="16"/>
        </w:rPr>
        <w:t xml:space="preserve">where </w:t>
      </w:r>
      <w:r w:rsidR="00DE173A" w:rsidRPr="00A51861">
        <w:rPr>
          <w:rFonts w:asciiTheme="majorHAnsi" w:hAnsiTheme="majorHAnsi"/>
          <w:color w:val="auto"/>
          <w:sz w:val="16"/>
          <w:szCs w:val="16"/>
        </w:rPr>
        <w:t xml:space="preserve">national </w:t>
      </w:r>
      <w:r w:rsidR="00DE173A">
        <w:rPr>
          <w:rFonts w:asciiTheme="majorHAnsi" w:hAnsiTheme="majorHAnsi"/>
          <w:color w:val="auto"/>
          <w:sz w:val="16"/>
          <w:szCs w:val="16"/>
        </w:rPr>
        <w:t>authorities</w:t>
      </w:r>
      <w:r w:rsidRPr="00A51861">
        <w:rPr>
          <w:rFonts w:asciiTheme="majorHAnsi" w:hAnsiTheme="majorHAnsi"/>
          <w:color w:val="auto"/>
          <w:sz w:val="16"/>
          <w:szCs w:val="16"/>
        </w:rPr>
        <w:t xml:space="preserve"> </w:t>
      </w:r>
      <w:r w:rsidR="00DE173A">
        <w:rPr>
          <w:rFonts w:asciiTheme="majorHAnsi" w:hAnsiTheme="majorHAnsi"/>
          <w:color w:val="auto"/>
          <w:sz w:val="16"/>
          <w:szCs w:val="16"/>
        </w:rPr>
        <w:t>have requested the</w:t>
      </w:r>
      <w:r w:rsidR="00934FDF">
        <w:rPr>
          <w:rFonts w:asciiTheme="majorHAnsi" w:hAnsiTheme="majorHAnsi"/>
          <w:color w:val="auto"/>
          <w:sz w:val="16"/>
          <w:szCs w:val="16"/>
        </w:rPr>
        <w:t xml:space="preserve"> HCUNR </w:t>
      </w:r>
      <w:r w:rsidR="00DE173A">
        <w:rPr>
          <w:rFonts w:asciiTheme="majorHAnsi" w:hAnsiTheme="majorHAnsi"/>
          <w:color w:val="auto"/>
          <w:sz w:val="16"/>
          <w:szCs w:val="16"/>
        </w:rPr>
        <w:t>to perform said role</w:t>
      </w:r>
      <w:r w:rsidRPr="00A51861">
        <w:rPr>
          <w:rFonts w:asciiTheme="majorHAnsi" w:hAnsiTheme="majorHAnsi"/>
          <w:color w:val="auto"/>
          <w:sz w:val="16"/>
          <w:szCs w:val="16"/>
        </w:rPr>
        <w:t xml:space="preserve">. </w:t>
      </w:r>
      <w:r w:rsidR="00DE173A">
        <w:rPr>
          <w:rFonts w:asciiTheme="majorHAnsi" w:hAnsiTheme="majorHAnsi"/>
          <w:color w:val="auto"/>
          <w:sz w:val="16"/>
          <w:szCs w:val="16"/>
        </w:rPr>
        <w:t>In the</w:t>
      </w:r>
      <w:r w:rsidRPr="00A51861">
        <w:rPr>
          <w:rFonts w:asciiTheme="majorHAnsi" w:hAnsiTheme="majorHAnsi"/>
          <w:color w:val="auto"/>
          <w:sz w:val="16"/>
          <w:szCs w:val="16"/>
        </w:rPr>
        <w:t xml:space="preserve"> </w:t>
      </w:r>
      <w:r w:rsidR="00DE173A" w:rsidRPr="00A51861">
        <w:rPr>
          <w:rFonts w:asciiTheme="majorHAnsi" w:hAnsiTheme="majorHAnsi"/>
          <w:color w:val="auto"/>
          <w:sz w:val="16"/>
          <w:szCs w:val="16"/>
        </w:rPr>
        <w:t>Latin-American</w:t>
      </w:r>
      <w:r w:rsidR="00DE173A">
        <w:rPr>
          <w:rFonts w:asciiTheme="majorHAnsi" w:hAnsiTheme="majorHAnsi"/>
          <w:color w:val="auto"/>
          <w:sz w:val="16"/>
          <w:szCs w:val="16"/>
        </w:rPr>
        <w:t xml:space="preserve"> case</w:t>
      </w:r>
      <w:r w:rsidRPr="00A51861">
        <w:rPr>
          <w:rFonts w:asciiTheme="majorHAnsi" w:hAnsiTheme="majorHAnsi"/>
          <w:color w:val="auto"/>
          <w:sz w:val="16"/>
          <w:szCs w:val="16"/>
        </w:rPr>
        <w:t xml:space="preserve">, </w:t>
      </w:r>
      <w:r w:rsidR="00DE173A">
        <w:rPr>
          <w:rFonts w:asciiTheme="majorHAnsi" w:hAnsiTheme="majorHAnsi"/>
          <w:color w:val="auto"/>
          <w:sz w:val="16"/>
          <w:szCs w:val="16"/>
        </w:rPr>
        <w:t>for example</w:t>
      </w:r>
      <w:r w:rsidRPr="00A51861">
        <w:rPr>
          <w:rFonts w:asciiTheme="majorHAnsi" w:hAnsiTheme="majorHAnsi"/>
          <w:color w:val="auto"/>
          <w:sz w:val="16"/>
          <w:szCs w:val="16"/>
        </w:rPr>
        <w:t xml:space="preserve">, </w:t>
      </w:r>
      <w:r w:rsidR="00DE173A">
        <w:rPr>
          <w:rFonts w:asciiTheme="majorHAnsi" w:hAnsiTheme="majorHAnsi"/>
          <w:color w:val="auto"/>
          <w:sz w:val="16"/>
          <w:szCs w:val="16"/>
        </w:rPr>
        <w:t>only</w:t>
      </w:r>
      <w:r w:rsidR="0029564F">
        <w:rPr>
          <w:rFonts w:asciiTheme="majorHAnsi" w:hAnsiTheme="majorHAnsi"/>
          <w:color w:val="auto"/>
          <w:sz w:val="16"/>
          <w:szCs w:val="16"/>
        </w:rPr>
        <w:t xml:space="preserve"> </w:t>
      </w:r>
      <w:r w:rsidR="00357129">
        <w:rPr>
          <w:rFonts w:asciiTheme="majorHAnsi" w:hAnsiTheme="majorHAnsi"/>
          <w:color w:val="auto"/>
          <w:sz w:val="16"/>
          <w:szCs w:val="16"/>
        </w:rPr>
        <w:t xml:space="preserve">in the case of </w:t>
      </w:r>
      <w:r w:rsidRPr="00A51861">
        <w:rPr>
          <w:rFonts w:asciiTheme="majorHAnsi" w:hAnsiTheme="majorHAnsi"/>
          <w:color w:val="auto"/>
          <w:sz w:val="16"/>
          <w:szCs w:val="16"/>
        </w:rPr>
        <w:t xml:space="preserve">Cuba </w:t>
      </w:r>
      <w:r w:rsidR="00DE173A">
        <w:rPr>
          <w:rFonts w:asciiTheme="majorHAnsi" w:hAnsiTheme="majorHAnsi"/>
          <w:color w:val="auto"/>
          <w:sz w:val="16"/>
          <w:szCs w:val="16"/>
        </w:rPr>
        <w:t>has the</w:t>
      </w:r>
      <w:r w:rsidR="00934FDF">
        <w:rPr>
          <w:rFonts w:asciiTheme="majorHAnsi" w:hAnsiTheme="majorHAnsi"/>
          <w:color w:val="auto"/>
          <w:sz w:val="16"/>
          <w:szCs w:val="16"/>
        </w:rPr>
        <w:t xml:space="preserve"> HCUNR </w:t>
      </w:r>
      <w:r w:rsidRPr="00A51861">
        <w:rPr>
          <w:rFonts w:asciiTheme="majorHAnsi" w:hAnsiTheme="majorHAnsi"/>
          <w:color w:val="auto"/>
          <w:sz w:val="16"/>
          <w:szCs w:val="16"/>
        </w:rPr>
        <w:t xml:space="preserve">ha </w:t>
      </w:r>
      <w:r w:rsidR="00DE173A">
        <w:rPr>
          <w:rFonts w:asciiTheme="majorHAnsi" w:hAnsiTheme="majorHAnsi"/>
          <w:color w:val="auto"/>
          <w:sz w:val="16"/>
          <w:szCs w:val="16"/>
        </w:rPr>
        <w:t>superseded the function of the State</w:t>
      </w:r>
      <w:r w:rsidRPr="00A51861">
        <w:rPr>
          <w:rFonts w:asciiTheme="majorHAnsi" w:hAnsiTheme="majorHAnsi"/>
          <w:color w:val="auto"/>
          <w:sz w:val="16"/>
          <w:szCs w:val="16"/>
        </w:rPr>
        <w:t xml:space="preserve"> </w:t>
      </w:r>
      <w:r w:rsidR="00DE173A">
        <w:rPr>
          <w:rFonts w:asciiTheme="majorHAnsi" w:hAnsiTheme="majorHAnsi"/>
          <w:color w:val="auto"/>
          <w:sz w:val="16"/>
          <w:szCs w:val="16"/>
        </w:rPr>
        <w:t>in the</w:t>
      </w:r>
      <w:r w:rsidRPr="00A51861">
        <w:rPr>
          <w:rFonts w:asciiTheme="majorHAnsi" w:hAnsiTheme="majorHAnsi"/>
          <w:color w:val="auto"/>
          <w:sz w:val="16"/>
          <w:szCs w:val="16"/>
        </w:rPr>
        <w:t xml:space="preserve"> </w:t>
      </w:r>
      <w:r w:rsidR="00DE173A" w:rsidRPr="00A51861">
        <w:rPr>
          <w:rFonts w:asciiTheme="majorHAnsi" w:hAnsiTheme="majorHAnsi"/>
          <w:color w:val="auto"/>
          <w:sz w:val="16"/>
          <w:szCs w:val="16"/>
        </w:rPr>
        <w:t>determination</w:t>
      </w:r>
      <w:r w:rsidR="00061928">
        <w:rPr>
          <w:rFonts w:asciiTheme="majorHAnsi" w:hAnsiTheme="majorHAnsi"/>
          <w:color w:val="auto"/>
          <w:sz w:val="16"/>
          <w:szCs w:val="16"/>
        </w:rPr>
        <w:t xml:space="preserve"> of the </w:t>
      </w:r>
      <w:r w:rsidR="00DE173A" w:rsidRPr="00A51861">
        <w:rPr>
          <w:rFonts w:asciiTheme="majorHAnsi" w:hAnsiTheme="majorHAnsi"/>
          <w:color w:val="auto"/>
          <w:sz w:val="16"/>
          <w:szCs w:val="16"/>
        </w:rPr>
        <w:t>condition</w:t>
      </w:r>
      <w:r w:rsidRPr="00A51861">
        <w:rPr>
          <w:rFonts w:asciiTheme="majorHAnsi" w:hAnsiTheme="majorHAnsi"/>
          <w:color w:val="auto"/>
          <w:sz w:val="16"/>
          <w:szCs w:val="16"/>
        </w:rPr>
        <w:t xml:space="preserve"> </w:t>
      </w:r>
      <w:r w:rsidR="00DE173A">
        <w:rPr>
          <w:rFonts w:asciiTheme="majorHAnsi" w:hAnsiTheme="majorHAnsi"/>
          <w:color w:val="auto"/>
          <w:sz w:val="16"/>
          <w:szCs w:val="16"/>
        </w:rPr>
        <w:t>of</w:t>
      </w:r>
      <w:r w:rsidRPr="00A51861">
        <w:rPr>
          <w:rFonts w:asciiTheme="majorHAnsi" w:hAnsiTheme="majorHAnsi"/>
          <w:color w:val="auto"/>
          <w:sz w:val="16"/>
          <w:szCs w:val="16"/>
        </w:rPr>
        <w:t xml:space="preserve"> </w:t>
      </w:r>
      <w:r w:rsidR="00DE173A">
        <w:rPr>
          <w:rFonts w:asciiTheme="majorHAnsi" w:hAnsiTheme="majorHAnsi"/>
          <w:color w:val="auto"/>
          <w:sz w:val="16"/>
          <w:szCs w:val="16"/>
        </w:rPr>
        <w:t>refugee</w:t>
      </w:r>
      <w:r w:rsidRPr="00A51861">
        <w:rPr>
          <w:rFonts w:asciiTheme="majorHAnsi" w:hAnsiTheme="majorHAnsi"/>
          <w:color w:val="auto"/>
          <w:sz w:val="16"/>
          <w:szCs w:val="16"/>
        </w:rPr>
        <w:t xml:space="preserve"> </w:t>
      </w:r>
      <w:r w:rsidR="00DE173A">
        <w:rPr>
          <w:rFonts w:asciiTheme="majorHAnsi" w:hAnsiTheme="majorHAnsi"/>
          <w:color w:val="auto"/>
          <w:sz w:val="16"/>
          <w:szCs w:val="16"/>
        </w:rPr>
        <w:t>of the</w:t>
      </w:r>
      <w:r w:rsidRPr="00A51861">
        <w:rPr>
          <w:rFonts w:asciiTheme="majorHAnsi" w:hAnsiTheme="majorHAnsi"/>
          <w:color w:val="auto"/>
          <w:sz w:val="16"/>
          <w:szCs w:val="16"/>
        </w:rPr>
        <w:t xml:space="preserve"> </w:t>
      </w:r>
      <w:r w:rsidR="00EC7A58">
        <w:rPr>
          <w:rFonts w:asciiTheme="majorHAnsi" w:hAnsiTheme="majorHAnsi"/>
          <w:color w:val="auto"/>
          <w:sz w:val="16"/>
          <w:szCs w:val="16"/>
        </w:rPr>
        <w:t>persons</w:t>
      </w:r>
      <w:r w:rsidRPr="00A51861">
        <w:rPr>
          <w:rFonts w:asciiTheme="majorHAnsi" w:hAnsiTheme="majorHAnsi"/>
          <w:color w:val="auto"/>
          <w:sz w:val="16"/>
          <w:szCs w:val="16"/>
        </w:rPr>
        <w:t xml:space="preserve"> </w:t>
      </w:r>
      <w:r w:rsidR="00DE173A">
        <w:rPr>
          <w:rFonts w:asciiTheme="majorHAnsi" w:hAnsiTheme="majorHAnsi"/>
          <w:color w:val="auto"/>
          <w:sz w:val="16"/>
          <w:szCs w:val="16"/>
        </w:rPr>
        <w:t>who so request it</w:t>
      </w:r>
      <w:r w:rsidRPr="00A51861">
        <w:rPr>
          <w:rFonts w:asciiTheme="majorHAnsi" w:hAnsiTheme="majorHAnsi"/>
          <w:color w:val="auto"/>
          <w:sz w:val="16"/>
          <w:szCs w:val="16"/>
        </w:rPr>
        <w:t xml:space="preserve">, </w:t>
      </w:r>
      <w:r w:rsidR="00DE173A">
        <w:rPr>
          <w:rFonts w:asciiTheme="majorHAnsi" w:hAnsiTheme="majorHAnsi"/>
          <w:color w:val="auto"/>
          <w:sz w:val="16"/>
          <w:szCs w:val="16"/>
        </w:rPr>
        <w:t xml:space="preserve">being the only State </w:t>
      </w:r>
      <w:r w:rsidR="00061928">
        <w:rPr>
          <w:rFonts w:asciiTheme="majorHAnsi" w:hAnsiTheme="majorHAnsi"/>
          <w:color w:val="auto"/>
          <w:sz w:val="16"/>
          <w:szCs w:val="16"/>
        </w:rPr>
        <w:t xml:space="preserve">of the </w:t>
      </w:r>
      <w:r w:rsidR="00DE173A" w:rsidRPr="00A51861">
        <w:rPr>
          <w:rFonts w:asciiTheme="majorHAnsi" w:hAnsiTheme="majorHAnsi"/>
          <w:color w:val="auto"/>
          <w:sz w:val="16"/>
          <w:szCs w:val="16"/>
        </w:rPr>
        <w:t>region</w:t>
      </w:r>
      <w:r w:rsidRPr="00A51861">
        <w:rPr>
          <w:rFonts w:asciiTheme="majorHAnsi" w:hAnsiTheme="majorHAnsi"/>
          <w:color w:val="auto"/>
          <w:sz w:val="16"/>
          <w:szCs w:val="16"/>
        </w:rPr>
        <w:t xml:space="preserve"> </w:t>
      </w:r>
      <w:r w:rsidR="00DE173A">
        <w:rPr>
          <w:rFonts w:asciiTheme="majorHAnsi" w:hAnsiTheme="majorHAnsi"/>
          <w:color w:val="auto"/>
          <w:sz w:val="16"/>
          <w:szCs w:val="16"/>
        </w:rPr>
        <w:t>who is party neither to the</w:t>
      </w:r>
      <w:r w:rsidR="00061928">
        <w:rPr>
          <w:rFonts w:asciiTheme="majorHAnsi" w:hAnsiTheme="majorHAnsi"/>
          <w:color w:val="auto"/>
          <w:sz w:val="16"/>
          <w:szCs w:val="16"/>
        </w:rPr>
        <w:t xml:space="preserve"> </w:t>
      </w:r>
      <w:r w:rsidR="00CB4E23">
        <w:rPr>
          <w:rFonts w:asciiTheme="majorHAnsi" w:hAnsiTheme="majorHAnsi"/>
          <w:color w:val="auto"/>
          <w:sz w:val="16"/>
          <w:szCs w:val="16"/>
        </w:rPr>
        <w:t>Convention</w:t>
      </w:r>
      <w:r w:rsidRPr="00A51861">
        <w:rPr>
          <w:rFonts w:asciiTheme="majorHAnsi" w:hAnsiTheme="majorHAnsi"/>
          <w:color w:val="auto"/>
          <w:sz w:val="16"/>
          <w:szCs w:val="16"/>
        </w:rPr>
        <w:t xml:space="preserve"> </w:t>
      </w:r>
      <w:r w:rsidR="00DE173A">
        <w:rPr>
          <w:rFonts w:asciiTheme="majorHAnsi" w:hAnsiTheme="majorHAnsi"/>
          <w:color w:val="auto"/>
          <w:sz w:val="16"/>
          <w:szCs w:val="16"/>
        </w:rPr>
        <w:t>of</w:t>
      </w:r>
      <w:r w:rsidRPr="00A51861">
        <w:rPr>
          <w:rFonts w:asciiTheme="majorHAnsi" w:hAnsiTheme="majorHAnsi"/>
          <w:color w:val="auto"/>
          <w:sz w:val="16"/>
          <w:szCs w:val="16"/>
        </w:rPr>
        <w:t xml:space="preserve"> 1951 </w:t>
      </w:r>
      <w:r w:rsidR="00DE173A">
        <w:rPr>
          <w:rFonts w:asciiTheme="majorHAnsi" w:hAnsiTheme="majorHAnsi"/>
          <w:color w:val="auto"/>
          <w:sz w:val="16"/>
          <w:szCs w:val="16"/>
        </w:rPr>
        <w:t>nor its</w:t>
      </w:r>
      <w:r w:rsidRPr="00A51861">
        <w:rPr>
          <w:rFonts w:asciiTheme="majorHAnsi" w:hAnsiTheme="majorHAnsi"/>
          <w:color w:val="auto"/>
          <w:sz w:val="16"/>
          <w:szCs w:val="16"/>
        </w:rPr>
        <w:t xml:space="preserve"> Protocol</w:t>
      </w:r>
      <w:r w:rsidR="00DE173A">
        <w:rPr>
          <w:rFonts w:asciiTheme="majorHAnsi" w:hAnsiTheme="majorHAnsi"/>
          <w:color w:val="auto"/>
          <w:sz w:val="16"/>
          <w:szCs w:val="16"/>
        </w:rPr>
        <w:t xml:space="preserve"> </w:t>
      </w:r>
      <w:r w:rsidRPr="00A51861">
        <w:rPr>
          <w:rFonts w:asciiTheme="majorHAnsi" w:hAnsiTheme="majorHAnsi"/>
          <w:color w:val="auto"/>
          <w:sz w:val="16"/>
          <w:szCs w:val="16"/>
        </w:rPr>
        <w:t>o</w:t>
      </w:r>
      <w:r w:rsidR="00DE173A">
        <w:rPr>
          <w:rFonts w:asciiTheme="majorHAnsi" w:hAnsiTheme="majorHAnsi"/>
          <w:color w:val="auto"/>
          <w:sz w:val="16"/>
          <w:szCs w:val="16"/>
        </w:rPr>
        <w:t>f</w:t>
      </w:r>
      <w:r w:rsidRPr="00A51861">
        <w:rPr>
          <w:rFonts w:asciiTheme="majorHAnsi" w:hAnsiTheme="majorHAnsi"/>
          <w:color w:val="auto"/>
          <w:sz w:val="16"/>
          <w:szCs w:val="16"/>
        </w:rPr>
        <w:t xml:space="preserve"> 1969”. Cfr. </w:t>
      </w:r>
      <w:r w:rsidR="00DE173A">
        <w:rPr>
          <w:rFonts w:asciiTheme="majorHAnsi" w:hAnsiTheme="majorHAnsi"/>
          <w:color w:val="auto"/>
          <w:sz w:val="16"/>
          <w:szCs w:val="16"/>
        </w:rPr>
        <w:t>Written part</w:t>
      </w:r>
      <w:r w:rsidR="00061928">
        <w:rPr>
          <w:rFonts w:asciiTheme="majorHAnsi" w:hAnsiTheme="majorHAnsi"/>
          <w:color w:val="auto"/>
          <w:sz w:val="16"/>
          <w:szCs w:val="16"/>
        </w:rPr>
        <w:t xml:space="preserve"> of the </w:t>
      </w:r>
      <w:r w:rsidR="00DE173A">
        <w:rPr>
          <w:rFonts w:asciiTheme="majorHAnsi" w:hAnsiTheme="majorHAnsi"/>
          <w:color w:val="auto"/>
          <w:sz w:val="16"/>
          <w:szCs w:val="16"/>
        </w:rPr>
        <w:t>expert review by</w:t>
      </w:r>
      <w:r w:rsidRPr="00A51861">
        <w:rPr>
          <w:rFonts w:asciiTheme="majorHAnsi" w:hAnsiTheme="majorHAnsi"/>
          <w:color w:val="auto"/>
          <w:sz w:val="16"/>
          <w:szCs w:val="16"/>
        </w:rPr>
        <w:t xml:space="preserve"> Juan Carlos Murillo </w:t>
      </w:r>
      <w:r w:rsidR="00DE173A">
        <w:rPr>
          <w:rFonts w:asciiTheme="majorHAnsi" w:hAnsiTheme="majorHAnsi"/>
          <w:color w:val="auto"/>
          <w:sz w:val="16"/>
          <w:szCs w:val="16"/>
        </w:rPr>
        <w:t>submitted on March 29,</w:t>
      </w:r>
      <w:r w:rsidRPr="00A51861">
        <w:rPr>
          <w:rFonts w:asciiTheme="majorHAnsi" w:hAnsiTheme="majorHAnsi"/>
          <w:color w:val="auto"/>
          <w:sz w:val="16"/>
          <w:szCs w:val="16"/>
        </w:rPr>
        <w:t xml:space="preserve"> 2013 (</w:t>
      </w:r>
      <w:r w:rsidR="00DE173A">
        <w:rPr>
          <w:rFonts w:asciiTheme="majorHAnsi" w:hAnsiTheme="majorHAnsi"/>
          <w:color w:val="auto"/>
          <w:sz w:val="16"/>
          <w:szCs w:val="16"/>
        </w:rPr>
        <w:t>casefile of proof</w:t>
      </w:r>
      <w:r w:rsidRPr="00A51861">
        <w:rPr>
          <w:rFonts w:asciiTheme="majorHAnsi" w:hAnsiTheme="majorHAnsi"/>
          <w:color w:val="auto"/>
          <w:sz w:val="16"/>
          <w:szCs w:val="16"/>
        </w:rPr>
        <w:t xml:space="preserve">, </w:t>
      </w:r>
      <w:r w:rsidR="00DE173A">
        <w:rPr>
          <w:rFonts w:asciiTheme="majorHAnsi" w:hAnsiTheme="majorHAnsi"/>
          <w:color w:val="auto"/>
          <w:sz w:val="16"/>
          <w:szCs w:val="16"/>
        </w:rPr>
        <w:t>sheet</w:t>
      </w:r>
      <w:r w:rsidRPr="00A51861">
        <w:rPr>
          <w:rFonts w:asciiTheme="majorHAnsi" w:hAnsiTheme="majorHAnsi"/>
          <w:color w:val="auto"/>
          <w:sz w:val="16"/>
          <w:szCs w:val="16"/>
        </w:rPr>
        <w:t xml:space="preserve"> 1368</w:t>
      </w:r>
      <w:r w:rsidR="00B6596B">
        <w:rPr>
          <w:rFonts w:asciiTheme="majorHAnsi" w:hAnsiTheme="majorHAnsi"/>
          <w:color w:val="auto"/>
          <w:sz w:val="16"/>
          <w:szCs w:val="16"/>
        </w:rPr>
        <w:t xml:space="preserve"> and </w:t>
      </w:r>
      <w:r w:rsidRPr="00A51861">
        <w:rPr>
          <w:rFonts w:asciiTheme="majorHAnsi" w:hAnsiTheme="majorHAnsi"/>
          <w:color w:val="auto"/>
          <w:sz w:val="16"/>
          <w:szCs w:val="16"/>
        </w:rPr>
        <w:t>1369).</w:t>
      </w:r>
    </w:p>
  </w:footnote>
  <w:footnote w:id="191">
    <w:p w14:paraId="6F24E855" w14:textId="1B9C9A9E" w:rsidR="00F40E67" w:rsidRPr="00A51861" w:rsidRDefault="00F40E67" w:rsidP="0063693D">
      <w:pPr>
        <w:pStyle w:val="FootnoteText"/>
        <w:jc w:val="both"/>
        <w:rPr>
          <w:rFonts w:asciiTheme="majorHAnsi" w:hAnsiTheme="majorHAnsi" w:cs="Arial"/>
          <w:color w:val="auto"/>
          <w:sz w:val="16"/>
          <w:szCs w:val="16"/>
        </w:rPr>
      </w:pPr>
      <w:r w:rsidRPr="00A51861">
        <w:rPr>
          <w:rStyle w:val="FootnoteReference"/>
          <w:rFonts w:asciiTheme="majorHAnsi" w:hAnsiTheme="majorHAnsi" w:cs="Arial"/>
          <w:color w:val="auto"/>
          <w:sz w:val="16"/>
          <w:szCs w:val="16"/>
        </w:rPr>
        <w:footnoteRef/>
      </w:r>
      <w:r w:rsidRPr="00A51861">
        <w:rPr>
          <w:rFonts w:asciiTheme="majorHAnsi" w:hAnsiTheme="majorHAnsi" w:cs="Arial"/>
          <w:color w:val="auto"/>
          <w:sz w:val="16"/>
          <w:szCs w:val="16"/>
        </w:rPr>
        <w:t xml:space="preserve"> </w:t>
      </w:r>
      <w:r w:rsidR="00036743">
        <w:rPr>
          <w:rFonts w:asciiTheme="majorHAnsi" w:hAnsiTheme="majorHAnsi" w:cs="Arial"/>
          <w:color w:val="auto"/>
          <w:sz w:val="16"/>
          <w:szCs w:val="16"/>
        </w:rPr>
        <w:t>IHR Court</w:t>
      </w:r>
      <w:r w:rsidRPr="00A51861">
        <w:rPr>
          <w:rFonts w:asciiTheme="majorHAnsi" w:hAnsiTheme="majorHAnsi" w:cs="Arial"/>
          <w:color w:val="auto"/>
          <w:sz w:val="16"/>
          <w:szCs w:val="16"/>
        </w:rPr>
        <w:t xml:space="preserve">. </w:t>
      </w:r>
      <w:r w:rsidR="00B6596B">
        <w:rPr>
          <w:rFonts w:asciiTheme="majorHAnsi" w:hAnsiTheme="majorHAnsi" w:cs="Arial"/>
          <w:color w:val="auto"/>
          <w:sz w:val="16"/>
          <w:szCs w:val="16"/>
        </w:rPr>
        <w:t xml:space="preserve">Case </w:t>
      </w:r>
      <w:r w:rsidR="00F406E1">
        <w:rPr>
          <w:rFonts w:asciiTheme="majorHAnsi" w:hAnsiTheme="majorHAnsi" w:cs="Arial"/>
          <w:color w:val="auto"/>
          <w:sz w:val="16"/>
          <w:szCs w:val="16"/>
        </w:rPr>
        <w:t>Family</w:t>
      </w:r>
      <w:r w:rsidRPr="00A51861">
        <w:rPr>
          <w:rFonts w:asciiTheme="majorHAnsi" w:hAnsiTheme="majorHAnsi" w:cs="Arial"/>
          <w:color w:val="auto"/>
          <w:sz w:val="16"/>
          <w:szCs w:val="16"/>
        </w:rPr>
        <w:t xml:space="preserve"> Pacheco Tineo vs. </w:t>
      </w:r>
      <w:r w:rsidR="00115808">
        <w:rPr>
          <w:rFonts w:asciiTheme="majorHAnsi" w:hAnsiTheme="majorHAnsi" w:cs="Arial"/>
          <w:color w:val="auto"/>
          <w:sz w:val="16"/>
          <w:szCs w:val="16"/>
        </w:rPr>
        <w:t>Plurinational State of</w:t>
      </w:r>
      <w:r w:rsidRPr="00A51861">
        <w:rPr>
          <w:rFonts w:asciiTheme="majorHAnsi" w:hAnsiTheme="majorHAnsi" w:cs="Arial"/>
          <w:color w:val="auto"/>
          <w:sz w:val="16"/>
          <w:szCs w:val="16"/>
        </w:rPr>
        <w:t xml:space="preserve"> Bolivia. </w:t>
      </w:r>
      <w:r w:rsidR="00357129">
        <w:rPr>
          <w:rFonts w:asciiTheme="majorHAnsi" w:hAnsiTheme="majorHAnsi" w:cs="Arial"/>
          <w:color w:val="auto"/>
          <w:sz w:val="16"/>
          <w:szCs w:val="16"/>
        </w:rPr>
        <w:t>Exceptions, Preliminary Exceptions, Merits, Reparations and Costs</w:t>
      </w:r>
      <w:r w:rsidRPr="00A51861">
        <w:rPr>
          <w:rFonts w:asciiTheme="majorHAnsi" w:hAnsiTheme="majorHAnsi" w:cs="Arial"/>
          <w:color w:val="auto"/>
          <w:sz w:val="16"/>
          <w:szCs w:val="16"/>
        </w:rPr>
        <w:t xml:space="preserve">. </w:t>
      </w:r>
      <w:r w:rsidR="004E56A9">
        <w:rPr>
          <w:rFonts w:asciiTheme="majorHAnsi" w:hAnsiTheme="majorHAnsi" w:cs="Arial"/>
          <w:color w:val="auto"/>
          <w:sz w:val="16"/>
          <w:szCs w:val="16"/>
        </w:rPr>
        <w:t>Judgment</w:t>
      </w:r>
      <w:r w:rsidRPr="00A51861">
        <w:rPr>
          <w:rFonts w:asciiTheme="majorHAnsi" w:hAnsiTheme="majorHAnsi" w:cs="Arial"/>
          <w:color w:val="auto"/>
          <w:sz w:val="16"/>
          <w:szCs w:val="16"/>
        </w:rPr>
        <w:t xml:space="preserve"> </w:t>
      </w:r>
      <w:r w:rsidR="00DE173A">
        <w:rPr>
          <w:rFonts w:asciiTheme="majorHAnsi" w:hAnsiTheme="majorHAnsi" w:cs="Arial"/>
          <w:color w:val="auto"/>
          <w:sz w:val="16"/>
          <w:szCs w:val="16"/>
        </w:rPr>
        <w:t xml:space="preserve">of November 25, </w:t>
      </w:r>
      <w:r w:rsidRPr="00A51861">
        <w:rPr>
          <w:rFonts w:asciiTheme="majorHAnsi" w:hAnsiTheme="majorHAnsi" w:cs="Arial"/>
          <w:color w:val="auto"/>
          <w:sz w:val="16"/>
          <w:szCs w:val="16"/>
        </w:rPr>
        <w:t xml:space="preserve">2013. Serie C No. 272. </w:t>
      </w:r>
      <w:r w:rsidR="00357129">
        <w:rPr>
          <w:rFonts w:asciiTheme="majorHAnsi" w:hAnsiTheme="majorHAnsi" w:cs="Arial"/>
          <w:color w:val="auto"/>
          <w:sz w:val="16"/>
          <w:szCs w:val="16"/>
        </w:rPr>
        <w:t xml:space="preserve">Para. </w:t>
      </w:r>
      <w:r w:rsidRPr="00A51861">
        <w:rPr>
          <w:rFonts w:asciiTheme="majorHAnsi" w:hAnsiTheme="majorHAnsi" w:cs="Arial"/>
          <w:color w:val="auto"/>
          <w:sz w:val="16"/>
          <w:szCs w:val="16"/>
        </w:rPr>
        <w:t>135.</w:t>
      </w:r>
    </w:p>
  </w:footnote>
  <w:footnote w:id="192">
    <w:p w14:paraId="75F1EFCC" w14:textId="10715FDC" w:rsidR="00F40E67" w:rsidRPr="00A51861" w:rsidRDefault="00F40E67" w:rsidP="0063693D">
      <w:pPr>
        <w:pStyle w:val="FootnoteText"/>
        <w:jc w:val="both"/>
        <w:rPr>
          <w:rFonts w:asciiTheme="majorHAnsi" w:hAnsiTheme="majorHAnsi" w:cs="Arial"/>
          <w:color w:val="auto"/>
          <w:sz w:val="16"/>
          <w:szCs w:val="16"/>
        </w:rPr>
      </w:pPr>
      <w:r w:rsidRPr="00A51861">
        <w:rPr>
          <w:rStyle w:val="FootnoteReference"/>
          <w:rFonts w:asciiTheme="majorHAnsi" w:hAnsiTheme="majorHAnsi" w:cs="Arial"/>
          <w:color w:val="auto"/>
          <w:sz w:val="16"/>
          <w:szCs w:val="16"/>
        </w:rPr>
        <w:footnoteRef/>
      </w:r>
      <w:r w:rsidRPr="00A51861">
        <w:rPr>
          <w:rFonts w:asciiTheme="majorHAnsi" w:hAnsiTheme="majorHAnsi" w:cs="Arial"/>
          <w:color w:val="auto"/>
          <w:sz w:val="16"/>
          <w:szCs w:val="16"/>
        </w:rPr>
        <w:t xml:space="preserve"> </w:t>
      </w:r>
      <w:r w:rsidR="00036743">
        <w:rPr>
          <w:rFonts w:asciiTheme="majorHAnsi" w:hAnsiTheme="majorHAnsi" w:cs="Arial"/>
          <w:color w:val="auto"/>
          <w:sz w:val="16"/>
          <w:szCs w:val="16"/>
        </w:rPr>
        <w:t>IHR Court</w:t>
      </w:r>
      <w:r w:rsidRPr="00A51861">
        <w:rPr>
          <w:rFonts w:asciiTheme="majorHAnsi" w:hAnsiTheme="majorHAnsi" w:cs="Arial"/>
          <w:color w:val="auto"/>
          <w:sz w:val="16"/>
          <w:szCs w:val="16"/>
        </w:rPr>
        <w:t xml:space="preserve">. </w:t>
      </w:r>
      <w:r w:rsidR="00B6596B">
        <w:rPr>
          <w:rFonts w:asciiTheme="majorHAnsi" w:hAnsiTheme="majorHAnsi" w:cs="Arial"/>
          <w:color w:val="auto"/>
          <w:sz w:val="16"/>
          <w:szCs w:val="16"/>
        </w:rPr>
        <w:t xml:space="preserve">Case </w:t>
      </w:r>
      <w:r w:rsidR="00F406E1">
        <w:rPr>
          <w:rFonts w:asciiTheme="majorHAnsi" w:hAnsiTheme="majorHAnsi" w:cs="Arial"/>
          <w:color w:val="auto"/>
          <w:sz w:val="16"/>
          <w:szCs w:val="16"/>
        </w:rPr>
        <w:t>Family</w:t>
      </w:r>
      <w:r w:rsidRPr="00A51861">
        <w:rPr>
          <w:rFonts w:asciiTheme="majorHAnsi" w:hAnsiTheme="majorHAnsi" w:cs="Arial"/>
          <w:color w:val="auto"/>
          <w:sz w:val="16"/>
          <w:szCs w:val="16"/>
        </w:rPr>
        <w:t xml:space="preserve"> Pacheco Tineo vs. </w:t>
      </w:r>
      <w:r w:rsidR="00115808">
        <w:rPr>
          <w:rFonts w:asciiTheme="majorHAnsi" w:hAnsiTheme="majorHAnsi" w:cs="Arial"/>
          <w:color w:val="auto"/>
          <w:sz w:val="16"/>
          <w:szCs w:val="16"/>
        </w:rPr>
        <w:t>Plurinational State of</w:t>
      </w:r>
      <w:r w:rsidRPr="00A51861">
        <w:rPr>
          <w:rFonts w:asciiTheme="majorHAnsi" w:hAnsiTheme="majorHAnsi" w:cs="Arial"/>
          <w:color w:val="auto"/>
          <w:sz w:val="16"/>
          <w:szCs w:val="16"/>
        </w:rPr>
        <w:t xml:space="preserve"> Bolivia. </w:t>
      </w:r>
      <w:r w:rsidR="00357129">
        <w:rPr>
          <w:rFonts w:asciiTheme="majorHAnsi" w:hAnsiTheme="majorHAnsi" w:cs="Arial"/>
          <w:color w:val="auto"/>
          <w:sz w:val="16"/>
          <w:szCs w:val="16"/>
        </w:rPr>
        <w:t>Exceptions, Preliminary Exceptions, Merits, Reparations and Costs</w:t>
      </w:r>
      <w:r w:rsidRPr="00A51861">
        <w:rPr>
          <w:rFonts w:asciiTheme="majorHAnsi" w:hAnsiTheme="majorHAnsi" w:cs="Arial"/>
          <w:color w:val="auto"/>
          <w:sz w:val="16"/>
          <w:szCs w:val="16"/>
        </w:rPr>
        <w:t xml:space="preserve">. </w:t>
      </w:r>
      <w:r w:rsidR="004E56A9">
        <w:rPr>
          <w:rFonts w:asciiTheme="majorHAnsi" w:hAnsiTheme="majorHAnsi" w:cs="Arial"/>
          <w:color w:val="auto"/>
          <w:sz w:val="16"/>
          <w:szCs w:val="16"/>
        </w:rPr>
        <w:t>Judgment</w:t>
      </w:r>
      <w:r w:rsidRPr="00A51861">
        <w:rPr>
          <w:rFonts w:asciiTheme="majorHAnsi" w:hAnsiTheme="majorHAnsi" w:cs="Arial"/>
          <w:color w:val="auto"/>
          <w:sz w:val="16"/>
          <w:szCs w:val="16"/>
        </w:rPr>
        <w:t xml:space="preserve"> </w:t>
      </w:r>
      <w:r w:rsidR="00DE173A">
        <w:rPr>
          <w:rFonts w:asciiTheme="majorHAnsi" w:hAnsiTheme="majorHAnsi" w:cs="Arial"/>
          <w:color w:val="auto"/>
          <w:sz w:val="16"/>
          <w:szCs w:val="16"/>
        </w:rPr>
        <w:t xml:space="preserve">of November 25, </w:t>
      </w:r>
      <w:r w:rsidRPr="00A51861">
        <w:rPr>
          <w:rFonts w:asciiTheme="majorHAnsi" w:hAnsiTheme="majorHAnsi" w:cs="Arial"/>
          <w:color w:val="auto"/>
          <w:sz w:val="16"/>
          <w:szCs w:val="16"/>
        </w:rPr>
        <w:t xml:space="preserve">2013. Serie C No. 272. </w:t>
      </w:r>
      <w:r w:rsidR="00357129">
        <w:rPr>
          <w:rFonts w:asciiTheme="majorHAnsi" w:hAnsiTheme="majorHAnsi" w:cs="Arial"/>
          <w:color w:val="auto"/>
          <w:sz w:val="16"/>
          <w:szCs w:val="16"/>
        </w:rPr>
        <w:t xml:space="preserve">Para. </w:t>
      </w:r>
      <w:r w:rsidRPr="00A51861">
        <w:rPr>
          <w:rFonts w:asciiTheme="majorHAnsi" w:hAnsiTheme="majorHAnsi" w:cs="Arial"/>
          <w:color w:val="auto"/>
          <w:sz w:val="16"/>
          <w:szCs w:val="16"/>
        </w:rPr>
        <w:t>136.</w:t>
      </w:r>
    </w:p>
  </w:footnote>
  <w:footnote w:id="193">
    <w:p w14:paraId="5D896D1A" w14:textId="70EEDFEC" w:rsidR="00F40E67" w:rsidRPr="00A51861" w:rsidRDefault="00F40E67" w:rsidP="0063693D">
      <w:pPr>
        <w:pStyle w:val="FootnoteText"/>
        <w:jc w:val="both"/>
        <w:rPr>
          <w:rFonts w:asciiTheme="majorHAnsi" w:hAnsiTheme="majorHAnsi" w:cs="Arial"/>
          <w:color w:val="auto"/>
          <w:sz w:val="16"/>
          <w:szCs w:val="16"/>
        </w:rPr>
      </w:pPr>
      <w:r w:rsidRPr="00A51861">
        <w:rPr>
          <w:rStyle w:val="FootnoteReference"/>
          <w:rFonts w:asciiTheme="majorHAnsi" w:hAnsiTheme="majorHAnsi" w:cs="Arial"/>
          <w:color w:val="auto"/>
          <w:sz w:val="16"/>
          <w:szCs w:val="16"/>
        </w:rPr>
        <w:footnoteRef/>
      </w:r>
      <w:r w:rsidRPr="00A51861">
        <w:rPr>
          <w:rFonts w:asciiTheme="majorHAnsi" w:hAnsiTheme="majorHAnsi" w:cs="Arial"/>
          <w:color w:val="auto"/>
          <w:sz w:val="16"/>
          <w:szCs w:val="16"/>
        </w:rPr>
        <w:t xml:space="preserve"> </w:t>
      </w:r>
      <w:r w:rsidR="000E67CA">
        <w:rPr>
          <w:rFonts w:asciiTheme="majorHAnsi" w:hAnsiTheme="majorHAnsi" w:cs="Arial"/>
          <w:color w:val="auto"/>
          <w:sz w:val="16"/>
          <w:szCs w:val="16"/>
        </w:rPr>
        <w:t>IACHR</w:t>
      </w:r>
      <w:r w:rsidRPr="00A51861">
        <w:rPr>
          <w:rFonts w:asciiTheme="majorHAnsi" w:hAnsiTheme="majorHAnsi" w:cs="Arial"/>
          <w:color w:val="auto"/>
          <w:sz w:val="16"/>
          <w:szCs w:val="16"/>
        </w:rPr>
        <w:t xml:space="preserve">, </w:t>
      </w:r>
      <w:r w:rsidR="009D0644">
        <w:rPr>
          <w:rFonts w:asciiTheme="majorHAnsi" w:hAnsiTheme="majorHAnsi" w:cs="Arial"/>
          <w:color w:val="auto"/>
          <w:sz w:val="16"/>
          <w:szCs w:val="16"/>
        </w:rPr>
        <w:t>Human Mobility</w:t>
      </w:r>
      <w:r w:rsidRPr="00A51861">
        <w:rPr>
          <w:rFonts w:asciiTheme="majorHAnsi" w:hAnsiTheme="majorHAnsi" w:cs="Arial"/>
          <w:color w:val="auto"/>
          <w:sz w:val="16"/>
          <w:szCs w:val="16"/>
        </w:rPr>
        <w:t xml:space="preserve">, </w:t>
      </w:r>
      <w:r w:rsidR="00456935">
        <w:rPr>
          <w:rFonts w:asciiTheme="majorHAnsi" w:hAnsiTheme="majorHAnsi" w:cs="Arial"/>
          <w:color w:val="auto"/>
          <w:sz w:val="16"/>
          <w:szCs w:val="16"/>
        </w:rPr>
        <w:t>American Standards</w:t>
      </w:r>
      <w:r w:rsidRPr="00A51861">
        <w:rPr>
          <w:rFonts w:asciiTheme="majorHAnsi" w:hAnsiTheme="majorHAnsi" w:cs="Arial"/>
          <w:color w:val="auto"/>
          <w:sz w:val="16"/>
          <w:szCs w:val="16"/>
        </w:rPr>
        <w:t>. 2015.</w:t>
      </w:r>
    </w:p>
  </w:footnote>
  <w:footnote w:id="194">
    <w:p w14:paraId="7C2B725B" w14:textId="32A67D06"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E22665">
        <w:rPr>
          <w:rFonts w:asciiTheme="majorHAnsi" w:hAnsiTheme="majorHAnsi"/>
          <w:color w:val="auto"/>
          <w:sz w:val="16"/>
          <w:szCs w:val="16"/>
        </w:rPr>
        <w:t xml:space="preserve">Article </w:t>
      </w:r>
      <w:r w:rsidRPr="00A51861">
        <w:rPr>
          <w:rFonts w:asciiTheme="majorHAnsi" w:hAnsiTheme="majorHAnsi"/>
          <w:color w:val="auto"/>
          <w:sz w:val="16"/>
          <w:szCs w:val="16"/>
        </w:rPr>
        <w:t xml:space="preserve">I </w:t>
      </w:r>
      <w:r w:rsidR="00BD656D">
        <w:rPr>
          <w:rFonts w:asciiTheme="majorHAnsi" w:hAnsiTheme="majorHAnsi"/>
          <w:color w:val="auto"/>
          <w:sz w:val="16"/>
          <w:szCs w:val="16"/>
        </w:rPr>
        <w:t>stipulates</w:t>
      </w:r>
      <w:r w:rsidRPr="00A51861">
        <w:rPr>
          <w:rFonts w:asciiTheme="majorHAnsi" w:hAnsiTheme="majorHAnsi"/>
          <w:color w:val="auto"/>
          <w:sz w:val="16"/>
          <w:szCs w:val="16"/>
        </w:rPr>
        <w:t>: “</w:t>
      </w:r>
      <w:r w:rsidR="00BD656D" w:rsidRPr="00BD656D">
        <w:rPr>
          <w:rFonts w:asciiTheme="majorHAnsi" w:hAnsiTheme="majorHAnsi"/>
          <w:color w:val="auto"/>
          <w:sz w:val="16"/>
          <w:szCs w:val="16"/>
        </w:rPr>
        <w:t>Every human being has the right to life, liberty and the security of his person</w:t>
      </w:r>
      <w:r w:rsidRPr="00A51861">
        <w:rPr>
          <w:rFonts w:asciiTheme="majorHAnsi" w:hAnsiTheme="majorHAnsi"/>
          <w:color w:val="auto"/>
          <w:sz w:val="16"/>
          <w:szCs w:val="16"/>
        </w:rPr>
        <w:t>”.</w:t>
      </w:r>
    </w:p>
  </w:footnote>
  <w:footnote w:id="195">
    <w:p w14:paraId="29CF0D30" w14:textId="7F6DB7F5"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0E67CA">
        <w:rPr>
          <w:rFonts w:asciiTheme="majorHAnsi" w:hAnsiTheme="majorHAnsi"/>
          <w:color w:val="auto"/>
          <w:sz w:val="16"/>
          <w:szCs w:val="16"/>
        </w:rPr>
        <w:t>IACHR</w:t>
      </w:r>
      <w:r w:rsidRPr="00A51861">
        <w:rPr>
          <w:rFonts w:asciiTheme="majorHAnsi" w:hAnsiTheme="majorHAnsi"/>
          <w:color w:val="auto"/>
          <w:sz w:val="16"/>
          <w:szCs w:val="16"/>
        </w:rPr>
        <w:t>.</w:t>
      </w:r>
      <w:r w:rsidR="000E67CA">
        <w:rPr>
          <w:rFonts w:asciiTheme="majorHAnsi" w:hAnsiTheme="majorHAnsi"/>
          <w:color w:val="auto"/>
          <w:sz w:val="16"/>
          <w:szCs w:val="16"/>
        </w:rPr>
        <w:t xml:space="preserve"> Report </w:t>
      </w:r>
      <w:r w:rsidRPr="00A51861">
        <w:rPr>
          <w:rFonts w:asciiTheme="majorHAnsi" w:hAnsiTheme="majorHAnsi"/>
          <w:color w:val="auto"/>
          <w:sz w:val="16"/>
          <w:szCs w:val="16"/>
        </w:rPr>
        <w:t xml:space="preserve">No. 29/20. </w:t>
      </w:r>
      <w:r w:rsidR="00B6596B">
        <w:rPr>
          <w:rFonts w:asciiTheme="majorHAnsi" w:hAnsiTheme="majorHAnsi"/>
          <w:color w:val="auto"/>
          <w:sz w:val="16"/>
          <w:szCs w:val="16"/>
        </w:rPr>
        <w:t xml:space="preserve">Case </w:t>
      </w:r>
      <w:r w:rsidRPr="00A51861">
        <w:rPr>
          <w:rFonts w:asciiTheme="majorHAnsi" w:hAnsiTheme="majorHAnsi"/>
          <w:color w:val="auto"/>
          <w:sz w:val="16"/>
          <w:szCs w:val="16"/>
        </w:rPr>
        <w:t xml:space="preserve">12.865. </w:t>
      </w:r>
      <w:r w:rsidR="00B6596B">
        <w:rPr>
          <w:rFonts w:asciiTheme="majorHAnsi" w:hAnsiTheme="majorHAnsi"/>
          <w:color w:val="auto"/>
          <w:sz w:val="16"/>
          <w:szCs w:val="16"/>
        </w:rPr>
        <w:t>Merits</w:t>
      </w:r>
      <w:r w:rsidRPr="00A51861">
        <w:rPr>
          <w:rFonts w:asciiTheme="majorHAnsi" w:hAnsiTheme="majorHAnsi"/>
          <w:color w:val="auto"/>
          <w:sz w:val="16"/>
          <w:szCs w:val="16"/>
        </w:rPr>
        <w:t xml:space="preserve">. Djamel Ameziane. </w:t>
      </w:r>
      <w:r w:rsidR="00347146">
        <w:rPr>
          <w:rFonts w:asciiTheme="majorHAnsi" w:hAnsiTheme="majorHAnsi"/>
          <w:color w:val="auto"/>
          <w:sz w:val="16"/>
          <w:szCs w:val="16"/>
        </w:rPr>
        <w:t>United States</w:t>
      </w:r>
      <w:r w:rsidRPr="00A51861">
        <w:rPr>
          <w:rFonts w:asciiTheme="majorHAnsi" w:hAnsiTheme="majorHAnsi"/>
          <w:color w:val="auto"/>
          <w:sz w:val="16"/>
          <w:szCs w:val="16"/>
        </w:rPr>
        <w:t xml:space="preserve">. </w:t>
      </w:r>
      <w:r w:rsidR="00BD656D">
        <w:rPr>
          <w:rFonts w:asciiTheme="majorHAnsi" w:hAnsiTheme="majorHAnsi"/>
          <w:color w:val="auto"/>
          <w:sz w:val="16"/>
          <w:szCs w:val="16"/>
        </w:rPr>
        <w:t xml:space="preserve">April 22, </w:t>
      </w:r>
      <w:r w:rsidRPr="00A51861">
        <w:rPr>
          <w:rFonts w:asciiTheme="majorHAnsi" w:hAnsiTheme="majorHAnsi"/>
          <w:color w:val="auto"/>
          <w:sz w:val="16"/>
          <w:szCs w:val="16"/>
        </w:rPr>
        <w:t xml:space="preserve">2020. </w:t>
      </w:r>
      <w:r w:rsidR="00357129">
        <w:rPr>
          <w:rFonts w:asciiTheme="majorHAnsi" w:hAnsiTheme="majorHAnsi"/>
          <w:color w:val="auto"/>
          <w:sz w:val="16"/>
          <w:szCs w:val="16"/>
        </w:rPr>
        <w:t xml:space="preserve">Para. </w:t>
      </w:r>
      <w:r w:rsidRPr="00A51861">
        <w:rPr>
          <w:rFonts w:asciiTheme="majorHAnsi" w:hAnsiTheme="majorHAnsi"/>
          <w:color w:val="auto"/>
          <w:sz w:val="16"/>
          <w:szCs w:val="16"/>
        </w:rPr>
        <w:t>138.</w:t>
      </w:r>
    </w:p>
  </w:footnote>
  <w:footnote w:id="196">
    <w:p w14:paraId="0739B54B" w14:textId="0C7FC4C7"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BD656D">
        <w:rPr>
          <w:rFonts w:asciiTheme="majorHAnsi" w:hAnsiTheme="majorHAnsi"/>
          <w:color w:val="auto"/>
          <w:sz w:val="16"/>
          <w:szCs w:val="16"/>
        </w:rPr>
        <w:t>In the case of</w:t>
      </w:r>
      <w:r w:rsidRPr="00A51861">
        <w:rPr>
          <w:rFonts w:asciiTheme="majorHAnsi" w:hAnsiTheme="majorHAnsi"/>
          <w:color w:val="auto"/>
          <w:sz w:val="16"/>
          <w:szCs w:val="16"/>
        </w:rPr>
        <w:t xml:space="preserve"> Cantoral Benavides vs. </w:t>
      </w:r>
      <w:r w:rsidR="00BD656D">
        <w:rPr>
          <w:rFonts w:asciiTheme="majorHAnsi" w:hAnsiTheme="majorHAnsi"/>
          <w:color w:val="auto"/>
          <w:sz w:val="16"/>
          <w:szCs w:val="16"/>
        </w:rPr>
        <w:t>Peru the Court underscored</w:t>
      </w:r>
      <w:r w:rsidRPr="00A51861">
        <w:rPr>
          <w:rFonts w:asciiTheme="majorHAnsi" w:hAnsiTheme="majorHAnsi"/>
          <w:color w:val="auto"/>
          <w:sz w:val="16"/>
          <w:szCs w:val="16"/>
        </w:rPr>
        <w:t xml:space="preserve"> </w:t>
      </w:r>
      <w:r w:rsidR="00BD656D">
        <w:rPr>
          <w:rFonts w:asciiTheme="majorHAnsi" w:hAnsiTheme="majorHAnsi"/>
          <w:color w:val="auto"/>
          <w:sz w:val="16"/>
          <w:szCs w:val="16"/>
        </w:rPr>
        <w:t>that among the constitutive</w:t>
      </w:r>
      <w:r w:rsidRPr="00A51861">
        <w:rPr>
          <w:rFonts w:asciiTheme="majorHAnsi" w:hAnsiTheme="majorHAnsi"/>
          <w:color w:val="auto"/>
          <w:sz w:val="16"/>
          <w:szCs w:val="16"/>
        </w:rPr>
        <w:t xml:space="preserve"> </w:t>
      </w:r>
      <w:r w:rsidR="009A1CB9">
        <w:rPr>
          <w:rFonts w:asciiTheme="majorHAnsi" w:hAnsiTheme="majorHAnsi"/>
          <w:color w:val="auto"/>
          <w:sz w:val="16"/>
          <w:szCs w:val="16"/>
        </w:rPr>
        <w:t>elements</w:t>
      </w:r>
      <w:r w:rsidR="00BD656D">
        <w:rPr>
          <w:rFonts w:asciiTheme="majorHAnsi" w:hAnsiTheme="majorHAnsi"/>
          <w:color w:val="auto"/>
          <w:sz w:val="16"/>
          <w:szCs w:val="16"/>
        </w:rPr>
        <w:t xml:space="preserve"> </w:t>
      </w:r>
      <w:r w:rsidR="00061928">
        <w:rPr>
          <w:rFonts w:asciiTheme="majorHAnsi" w:hAnsiTheme="majorHAnsi"/>
          <w:color w:val="auto"/>
          <w:sz w:val="16"/>
          <w:szCs w:val="16"/>
        </w:rPr>
        <w:t xml:space="preserve">of </w:t>
      </w:r>
      <w:r w:rsidR="006C46C5">
        <w:rPr>
          <w:rFonts w:asciiTheme="majorHAnsi" w:hAnsiTheme="majorHAnsi"/>
          <w:color w:val="auto"/>
          <w:sz w:val="16"/>
          <w:szCs w:val="16"/>
        </w:rPr>
        <w:t>torture is</w:t>
      </w:r>
      <w:r w:rsidRPr="00A51861">
        <w:rPr>
          <w:rFonts w:asciiTheme="majorHAnsi" w:hAnsiTheme="majorHAnsi"/>
          <w:color w:val="auto"/>
          <w:sz w:val="16"/>
          <w:szCs w:val="16"/>
        </w:rPr>
        <w:t xml:space="preserve"> “</w:t>
      </w:r>
      <w:r w:rsidR="006C46C5">
        <w:rPr>
          <w:rFonts w:asciiTheme="majorHAnsi" w:hAnsiTheme="majorHAnsi"/>
          <w:color w:val="auto"/>
          <w:sz w:val="16"/>
          <w:szCs w:val="16"/>
        </w:rPr>
        <w:t>the</w:t>
      </w:r>
      <w:r w:rsidRPr="00A51861">
        <w:rPr>
          <w:rFonts w:asciiTheme="majorHAnsi" w:hAnsiTheme="majorHAnsi"/>
          <w:color w:val="auto"/>
          <w:sz w:val="16"/>
          <w:szCs w:val="16"/>
        </w:rPr>
        <w:t xml:space="preserve"> </w:t>
      </w:r>
      <w:r w:rsidR="006C46C5">
        <w:rPr>
          <w:rFonts w:asciiTheme="majorHAnsi" w:hAnsiTheme="majorHAnsi"/>
          <w:color w:val="auto"/>
          <w:sz w:val="16"/>
          <w:szCs w:val="16"/>
        </w:rPr>
        <w:t>participation</w:t>
      </w:r>
      <w:r w:rsidRPr="00A51861">
        <w:rPr>
          <w:rFonts w:asciiTheme="majorHAnsi" w:hAnsiTheme="majorHAnsi"/>
          <w:color w:val="auto"/>
          <w:sz w:val="16"/>
          <w:szCs w:val="16"/>
        </w:rPr>
        <w:t xml:space="preserve"> </w:t>
      </w:r>
      <w:r w:rsidR="006C46C5">
        <w:rPr>
          <w:rFonts w:asciiTheme="majorHAnsi" w:hAnsiTheme="majorHAnsi"/>
          <w:color w:val="auto"/>
          <w:sz w:val="16"/>
          <w:szCs w:val="16"/>
        </w:rPr>
        <w:t>of a will</w:t>
      </w:r>
      <w:r w:rsidRPr="00A51861">
        <w:rPr>
          <w:rFonts w:asciiTheme="majorHAnsi" w:hAnsiTheme="majorHAnsi"/>
          <w:color w:val="auto"/>
          <w:sz w:val="16"/>
          <w:szCs w:val="16"/>
        </w:rPr>
        <w:t xml:space="preserve"> delibera</w:t>
      </w:r>
      <w:r w:rsidR="006C46C5">
        <w:rPr>
          <w:rFonts w:asciiTheme="majorHAnsi" w:hAnsiTheme="majorHAnsi"/>
          <w:color w:val="auto"/>
          <w:sz w:val="16"/>
          <w:szCs w:val="16"/>
        </w:rPr>
        <w:t>tel</w:t>
      </w:r>
      <w:r w:rsidR="0029564F">
        <w:rPr>
          <w:rFonts w:asciiTheme="majorHAnsi" w:hAnsiTheme="majorHAnsi"/>
          <w:color w:val="auto"/>
          <w:sz w:val="16"/>
          <w:szCs w:val="16"/>
        </w:rPr>
        <w:t xml:space="preserve">y </w:t>
      </w:r>
      <w:r w:rsidR="006C46C5">
        <w:rPr>
          <w:rFonts w:asciiTheme="majorHAnsi" w:hAnsiTheme="majorHAnsi"/>
          <w:color w:val="auto"/>
          <w:sz w:val="16"/>
          <w:szCs w:val="16"/>
        </w:rPr>
        <w:t>intended to obtain certain goals</w:t>
      </w:r>
      <w:r w:rsidRPr="00A51861">
        <w:rPr>
          <w:rFonts w:asciiTheme="majorHAnsi" w:hAnsiTheme="majorHAnsi"/>
          <w:color w:val="auto"/>
          <w:sz w:val="16"/>
          <w:szCs w:val="16"/>
        </w:rPr>
        <w:t xml:space="preserve">, </w:t>
      </w:r>
      <w:r w:rsidR="006C46C5">
        <w:rPr>
          <w:rFonts w:asciiTheme="majorHAnsi" w:hAnsiTheme="majorHAnsi"/>
          <w:color w:val="auto"/>
          <w:sz w:val="16"/>
          <w:szCs w:val="16"/>
        </w:rPr>
        <w:t>as extracting</w:t>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information</w:t>
      </w:r>
      <w:r w:rsidRPr="00A51861">
        <w:rPr>
          <w:rFonts w:asciiTheme="majorHAnsi" w:hAnsiTheme="majorHAnsi"/>
          <w:color w:val="auto"/>
          <w:sz w:val="16"/>
          <w:szCs w:val="16"/>
        </w:rPr>
        <w:t xml:space="preserve"> </w:t>
      </w:r>
      <w:r w:rsidR="006C46C5">
        <w:rPr>
          <w:rFonts w:asciiTheme="majorHAnsi" w:hAnsiTheme="majorHAnsi"/>
          <w:color w:val="auto"/>
          <w:sz w:val="16"/>
          <w:szCs w:val="16"/>
        </w:rPr>
        <w:t>from a</w:t>
      </w:r>
      <w:r w:rsidRPr="00A51861">
        <w:rPr>
          <w:rFonts w:asciiTheme="majorHAnsi" w:hAnsiTheme="majorHAnsi"/>
          <w:color w:val="auto"/>
          <w:sz w:val="16"/>
          <w:szCs w:val="16"/>
        </w:rPr>
        <w:t xml:space="preserve"> person, o</w:t>
      </w:r>
      <w:r w:rsidR="006C46C5">
        <w:rPr>
          <w:rFonts w:asciiTheme="majorHAnsi" w:hAnsiTheme="majorHAnsi"/>
          <w:color w:val="auto"/>
          <w:sz w:val="16"/>
          <w:szCs w:val="16"/>
        </w:rPr>
        <w:t>r</w:t>
      </w:r>
      <w:r w:rsidRPr="00A51861">
        <w:rPr>
          <w:rFonts w:asciiTheme="majorHAnsi" w:hAnsiTheme="majorHAnsi"/>
          <w:color w:val="auto"/>
          <w:sz w:val="16"/>
          <w:szCs w:val="16"/>
        </w:rPr>
        <w:t xml:space="preserve"> </w:t>
      </w:r>
      <w:r w:rsidR="006C46C5">
        <w:rPr>
          <w:rFonts w:asciiTheme="majorHAnsi" w:hAnsiTheme="majorHAnsi"/>
          <w:color w:val="auto"/>
          <w:sz w:val="16"/>
          <w:szCs w:val="16"/>
        </w:rPr>
        <w:t>intimidate or punish</w:t>
      </w:r>
      <w:r w:rsidRPr="00A51861">
        <w:rPr>
          <w:rFonts w:asciiTheme="majorHAnsi" w:hAnsiTheme="majorHAnsi"/>
          <w:color w:val="auto"/>
          <w:sz w:val="16"/>
          <w:szCs w:val="16"/>
        </w:rPr>
        <w:t xml:space="preserve">” (Cfr. </w:t>
      </w:r>
      <w:r w:rsidR="00036743">
        <w:rPr>
          <w:rFonts w:asciiTheme="majorHAnsi" w:hAnsiTheme="majorHAnsi"/>
          <w:color w:val="auto"/>
          <w:sz w:val="16"/>
          <w:szCs w:val="16"/>
        </w:rPr>
        <w:t>IHR Court</w:t>
      </w:r>
      <w:r w:rsidRPr="00A51861">
        <w:rPr>
          <w:rFonts w:asciiTheme="majorHAnsi" w:hAnsiTheme="majorHAnsi"/>
          <w:color w:val="auto"/>
          <w:sz w:val="16"/>
          <w:szCs w:val="16"/>
        </w:rPr>
        <w:t xml:space="preserve">. </w:t>
      </w:r>
      <w:r w:rsidR="00B6596B">
        <w:rPr>
          <w:rFonts w:asciiTheme="majorHAnsi" w:hAnsiTheme="majorHAnsi"/>
          <w:color w:val="auto"/>
          <w:sz w:val="16"/>
          <w:szCs w:val="16"/>
        </w:rPr>
        <w:t xml:space="preserve">Case </w:t>
      </w:r>
      <w:r w:rsidR="006C46C5">
        <w:rPr>
          <w:rFonts w:asciiTheme="majorHAnsi" w:hAnsiTheme="majorHAnsi"/>
          <w:color w:val="auto"/>
          <w:sz w:val="16"/>
          <w:szCs w:val="16"/>
        </w:rPr>
        <w:t xml:space="preserve">of </w:t>
      </w:r>
      <w:r w:rsidRPr="00A51861">
        <w:rPr>
          <w:rFonts w:asciiTheme="majorHAnsi" w:hAnsiTheme="majorHAnsi"/>
          <w:color w:val="auto"/>
          <w:sz w:val="16"/>
          <w:szCs w:val="16"/>
        </w:rPr>
        <w:t xml:space="preserve">Cantoral Benavides. </w:t>
      </w:r>
      <w:r w:rsidR="004E56A9">
        <w:rPr>
          <w:rFonts w:asciiTheme="majorHAnsi" w:hAnsiTheme="majorHAnsi"/>
          <w:color w:val="auto"/>
          <w:sz w:val="16"/>
          <w:szCs w:val="16"/>
        </w:rPr>
        <w:t>Judgment</w:t>
      </w:r>
      <w:r w:rsidRPr="00A51861">
        <w:rPr>
          <w:rFonts w:asciiTheme="majorHAnsi" w:hAnsiTheme="majorHAnsi"/>
          <w:color w:val="auto"/>
          <w:sz w:val="16"/>
          <w:szCs w:val="16"/>
        </w:rPr>
        <w:t xml:space="preserve"> </w:t>
      </w:r>
      <w:r w:rsidR="006C46C5">
        <w:rPr>
          <w:rFonts w:asciiTheme="majorHAnsi" w:hAnsiTheme="majorHAnsi"/>
          <w:color w:val="auto"/>
          <w:sz w:val="16"/>
          <w:szCs w:val="16"/>
        </w:rPr>
        <w:t>of August 18,</w:t>
      </w:r>
      <w:r w:rsidRPr="00A51861">
        <w:rPr>
          <w:rFonts w:asciiTheme="majorHAnsi" w:hAnsiTheme="majorHAnsi"/>
          <w:color w:val="auto"/>
          <w:sz w:val="16"/>
          <w:szCs w:val="16"/>
        </w:rPr>
        <w:t xml:space="preserve"> 2000. Serie C No. 69, </w:t>
      </w:r>
      <w:r w:rsidR="00B6596B">
        <w:rPr>
          <w:rFonts w:asciiTheme="majorHAnsi" w:hAnsiTheme="majorHAnsi"/>
          <w:color w:val="auto"/>
          <w:sz w:val="16"/>
          <w:szCs w:val="16"/>
        </w:rPr>
        <w:t>para.</w:t>
      </w:r>
      <w:r w:rsidRPr="00A51861">
        <w:rPr>
          <w:rFonts w:asciiTheme="majorHAnsi" w:hAnsiTheme="majorHAnsi"/>
          <w:color w:val="auto"/>
          <w:sz w:val="16"/>
          <w:szCs w:val="16"/>
        </w:rPr>
        <w:t xml:space="preserve"> 97). </w:t>
      </w:r>
      <w:r w:rsidR="006C46C5">
        <w:rPr>
          <w:rFonts w:asciiTheme="majorHAnsi" w:hAnsiTheme="majorHAnsi"/>
          <w:color w:val="auto"/>
          <w:sz w:val="16"/>
          <w:szCs w:val="16"/>
        </w:rPr>
        <w:t>Afterward</w:t>
      </w:r>
      <w:r w:rsidRPr="00A51861">
        <w:rPr>
          <w:rFonts w:asciiTheme="majorHAnsi" w:hAnsiTheme="majorHAnsi"/>
          <w:color w:val="auto"/>
          <w:sz w:val="16"/>
          <w:szCs w:val="16"/>
        </w:rPr>
        <w:t xml:space="preserve">, </w:t>
      </w:r>
      <w:r w:rsidR="006C46C5">
        <w:rPr>
          <w:rFonts w:asciiTheme="majorHAnsi" w:hAnsiTheme="majorHAnsi"/>
          <w:color w:val="auto"/>
          <w:sz w:val="16"/>
          <w:szCs w:val="16"/>
        </w:rPr>
        <w:t>in the case of</w:t>
      </w:r>
      <w:r w:rsidRPr="00A51861">
        <w:rPr>
          <w:rFonts w:asciiTheme="majorHAnsi" w:hAnsiTheme="majorHAnsi"/>
          <w:color w:val="auto"/>
          <w:sz w:val="16"/>
          <w:szCs w:val="16"/>
        </w:rPr>
        <w:t xml:space="preserve"> Bámaca Velásquez vs. Guatemala, </w:t>
      </w:r>
      <w:r w:rsidR="006C46C5">
        <w:rPr>
          <w:rFonts w:asciiTheme="majorHAnsi" w:hAnsiTheme="majorHAnsi"/>
          <w:color w:val="auto"/>
          <w:sz w:val="16"/>
          <w:szCs w:val="16"/>
        </w:rPr>
        <w:t>the same Court concluded that</w:t>
      </w:r>
      <w:r w:rsidRPr="00A51861">
        <w:rPr>
          <w:rFonts w:asciiTheme="majorHAnsi" w:hAnsiTheme="majorHAnsi"/>
          <w:color w:val="auto"/>
          <w:sz w:val="16"/>
          <w:szCs w:val="16"/>
        </w:rPr>
        <w:t xml:space="preserve"> “</w:t>
      </w:r>
      <w:r w:rsidR="006C46C5">
        <w:rPr>
          <w:rFonts w:asciiTheme="majorHAnsi" w:hAnsiTheme="majorHAnsi"/>
          <w:color w:val="auto"/>
          <w:sz w:val="16"/>
          <w:szCs w:val="16"/>
        </w:rPr>
        <w:t>the reported acts</w:t>
      </w:r>
      <w:r w:rsidRPr="00A51861">
        <w:rPr>
          <w:rFonts w:asciiTheme="majorHAnsi" w:hAnsiTheme="majorHAnsi"/>
          <w:color w:val="auto"/>
          <w:sz w:val="16"/>
          <w:szCs w:val="16"/>
        </w:rPr>
        <w:t xml:space="preserve"> […] </w:t>
      </w:r>
      <w:r w:rsidR="006C46C5">
        <w:rPr>
          <w:rFonts w:asciiTheme="majorHAnsi" w:hAnsiTheme="majorHAnsi"/>
          <w:color w:val="auto"/>
          <w:sz w:val="16"/>
          <w:szCs w:val="16"/>
        </w:rPr>
        <w:t>were</w:t>
      </w:r>
      <w:r w:rsidRPr="00A51861">
        <w:rPr>
          <w:rFonts w:asciiTheme="majorHAnsi" w:hAnsiTheme="majorHAnsi"/>
          <w:color w:val="auto"/>
          <w:sz w:val="16"/>
          <w:szCs w:val="16"/>
        </w:rPr>
        <w:t xml:space="preserve"> </w:t>
      </w:r>
      <w:r w:rsidR="006C46C5">
        <w:rPr>
          <w:rFonts w:asciiTheme="majorHAnsi" w:hAnsiTheme="majorHAnsi"/>
          <w:color w:val="auto"/>
          <w:sz w:val="16"/>
          <w:szCs w:val="16"/>
        </w:rPr>
        <w:t>prepared</w:t>
      </w:r>
      <w:r w:rsidRPr="00A51861">
        <w:rPr>
          <w:rFonts w:asciiTheme="majorHAnsi" w:hAnsiTheme="majorHAnsi"/>
          <w:color w:val="auto"/>
          <w:sz w:val="16"/>
          <w:szCs w:val="16"/>
        </w:rPr>
        <w:t xml:space="preserve"> </w:t>
      </w:r>
      <w:r w:rsidR="006C46C5">
        <w:rPr>
          <w:rFonts w:asciiTheme="majorHAnsi" w:hAnsiTheme="majorHAnsi"/>
          <w:color w:val="auto"/>
          <w:sz w:val="16"/>
          <w:szCs w:val="16"/>
        </w:rPr>
        <w:t>and deliberately inflicted</w:t>
      </w:r>
      <w:r w:rsidRPr="00A51861">
        <w:rPr>
          <w:rFonts w:asciiTheme="majorHAnsi" w:hAnsiTheme="majorHAnsi"/>
          <w:color w:val="auto"/>
          <w:sz w:val="16"/>
          <w:szCs w:val="16"/>
        </w:rPr>
        <w:t xml:space="preserve">, </w:t>
      </w:r>
      <w:r w:rsidR="006C46C5">
        <w:rPr>
          <w:rFonts w:asciiTheme="majorHAnsi" w:hAnsiTheme="majorHAnsi"/>
          <w:color w:val="auto"/>
          <w:sz w:val="16"/>
          <w:szCs w:val="16"/>
        </w:rPr>
        <w:t>in order to obtain from</w:t>
      </w:r>
      <w:r w:rsidRPr="00A51861">
        <w:rPr>
          <w:rFonts w:asciiTheme="majorHAnsi" w:hAnsiTheme="majorHAnsi"/>
          <w:color w:val="auto"/>
          <w:sz w:val="16"/>
          <w:szCs w:val="16"/>
        </w:rPr>
        <w:t xml:space="preserve"> Efraín Bámaca Velásquez </w:t>
      </w:r>
      <w:r w:rsidR="006C46C5" w:rsidRPr="00A51861">
        <w:rPr>
          <w:rFonts w:asciiTheme="majorHAnsi" w:hAnsiTheme="majorHAnsi"/>
          <w:color w:val="auto"/>
          <w:sz w:val="16"/>
          <w:szCs w:val="16"/>
        </w:rPr>
        <w:t xml:space="preserve">relevant </w:t>
      </w:r>
      <w:r w:rsidR="00A51861" w:rsidRPr="00A51861">
        <w:rPr>
          <w:rFonts w:asciiTheme="majorHAnsi" w:hAnsiTheme="majorHAnsi"/>
          <w:color w:val="auto"/>
          <w:sz w:val="16"/>
          <w:szCs w:val="16"/>
        </w:rPr>
        <w:t>information</w:t>
      </w:r>
      <w:r w:rsidRPr="00A51861">
        <w:rPr>
          <w:rFonts w:asciiTheme="majorHAnsi" w:hAnsiTheme="majorHAnsi"/>
          <w:color w:val="auto"/>
          <w:sz w:val="16"/>
          <w:szCs w:val="16"/>
        </w:rPr>
        <w:t xml:space="preserve"> </w:t>
      </w:r>
      <w:r w:rsidR="006C46C5">
        <w:rPr>
          <w:rFonts w:asciiTheme="majorHAnsi" w:hAnsiTheme="majorHAnsi"/>
          <w:color w:val="auto"/>
          <w:sz w:val="16"/>
          <w:szCs w:val="16"/>
        </w:rPr>
        <w:t>for the Army</w:t>
      </w:r>
      <w:r w:rsidRPr="00A51861">
        <w:rPr>
          <w:rFonts w:asciiTheme="majorHAnsi" w:hAnsiTheme="majorHAnsi"/>
          <w:color w:val="auto"/>
          <w:sz w:val="16"/>
          <w:szCs w:val="16"/>
        </w:rPr>
        <w:t xml:space="preserve">. </w:t>
      </w:r>
      <w:r w:rsidR="006C46C5">
        <w:rPr>
          <w:rFonts w:asciiTheme="majorHAnsi" w:hAnsiTheme="majorHAnsi"/>
          <w:color w:val="auto"/>
          <w:sz w:val="16"/>
          <w:szCs w:val="16"/>
        </w:rPr>
        <w:t>According to the</w:t>
      </w:r>
      <w:r w:rsidRPr="00A51861">
        <w:rPr>
          <w:rFonts w:asciiTheme="majorHAnsi" w:hAnsiTheme="majorHAnsi"/>
          <w:color w:val="auto"/>
          <w:sz w:val="16"/>
          <w:szCs w:val="16"/>
        </w:rPr>
        <w:t xml:space="preserve"> testimon</w:t>
      </w:r>
      <w:r w:rsidR="006C46C5">
        <w:rPr>
          <w:rFonts w:asciiTheme="majorHAnsi" w:hAnsiTheme="majorHAnsi"/>
          <w:color w:val="auto"/>
          <w:sz w:val="16"/>
          <w:szCs w:val="16"/>
        </w:rPr>
        <w:t>ie</w:t>
      </w:r>
      <w:r w:rsidRPr="00A51861">
        <w:rPr>
          <w:rFonts w:asciiTheme="majorHAnsi" w:hAnsiTheme="majorHAnsi"/>
          <w:color w:val="auto"/>
          <w:sz w:val="16"/>
          <w:szCs w:val="16"/>
        </w:rPr>
        <w:t xml:space="preserve">s </w:t>
      </w:r>
      <w:r w:rsidR="006C46C5">
        <w:rPr>
          <w:rFonts w:asciiTheme="majorHAnsi" w:hAnsiTheme="majorHAnsi"/>
          <w:color w:val="auto"/>
          <w:sz w:val="16"/>
          <w:szCs w:val="16"/>
        </w:rPr>
        <w:t>collected in the present proceedings</w:t>
      </w:r>
      <w:r w:rsidRPr="00A51861">
        <w:rPr>
          <w:rFonts w:asciiTheme="majorHAnsi" w:hAnsiTheme="majorHAnsi"/>
          <w:color w:val="auto"/>
          <w:sz w:val="16"/>
          <w:szCs w:val="16"/>
        </w:rPr>
        <w:t xml:space="preserve">, </w:t>
      </w:r>
      <w:r w:rsidR="006C46C5">
        <w:rPr>
          <w:rFonts w:asciiTheme="majorHAnsi" w:hAnsiTheme="majorHAnsi"/>
          <w:color w:val="auto"/>
          <w:sz w:val="16"/>
          <w:szCs w:val="16"/>
        </w:rPr>
        <w:t>the alleged</w:t>
      </w:r>
      <w:r w:rsidRPr="00A51861">
        <w:rPr>
          <w:rFonts w:asciiTheme="majorHAnsi" w:hAnsiTheme="majorHAnsi"/>
          <w:color w:val="auto"/>
          <w:sz w:val="16"/>
          <w:szCs w:val="16"/>
        </w:rPr>
        <w:t xml:space="preserve"> </w:t>
      </w:r>
      <w:r w:rsidR="006C46C5" w:rsidRPr="00A51861">
        <w:rPr>
          <w:rFonts w:asciiTheme="majorHAnsi" w:hAnsiTheme="majorHAnsi"/>
          <w:color w:val="auto"/>
          <w:sz w:val="16"/>
          <w:szCs w:val="16"/>
        </w:rPr>
        <w:t>victim</w:t>
      </w:r>
      <w:r w:rsidRPr="00A51861">
        <w:rPr>
          <w:rFonts w:asciiTheme="majorHAnsi" w:hAnsiTheme="majorHAnsi"/>
          <w:color w:val="auto"/>
          <w:sz w:val="16"/>
          <w:szCs w:val="16"/>
        </w:rPr>
        <w:t xml:space="preserve"> </w:t>
      </w:r>
      <w:r w:rsidR="006C46C5">
        <w:rPr>
          <w:rFonts w:asciiTheme="majorHAnsi" w:hAnsiTheme="majorHAnsi"/>
          <w:color w:val="auto"/>
          <w:sz w:val="16"/>
          <w:szCs w:val="16"/>
        </w:rPr>
        <w:t>was subjected to severe acts of</w:t>
      </w:r>
      <w:r w:rsidRPr="00A51861">
        <w:rPr>
          <w:rFonts w:asciiTheme="majorHAnsi" w:hAnsiTheme="majorHAnsi"/>
          <w:color w:val="auto"/>
          <w:sz w:val="16"/>
          <w:szCs w:val="16"/>
        </w:rPr>
        <w:t xml:space="preserve"> </w:t>
      </w:r>
      <w:r w:rsidR="009A1CB9">
        <w:rPr>
          <w:rFonts w:asciiTheme="majorHAnsi" w:hAnsiTheme="majorHAnsi"/>
          <w:color w:val="auto"/>
          <w:sz w:val="16"/>
          <w:szCs w:val="16"/>
        </w:rPr>
        <w:t>physical</w:t>
      </w:r>
      <w:r w:rsidR="00B6596B">
        <w:rPr>
          <w:rFonts w:asciiTheme="majorHAnsi" w:hAnsiTheme="majorHAnsi"/>
          <w:color w:val="auto"/>
          <w:sz w:val="16"/>
          <w:szCs w:val="16"/>
        </w:rPr>
        <w:t xml:space="preserve"> and </w:t>
      </w:r>
      <w:r w:rsidR="009A1CB9">
        <w:rPr>
          <w:rFonts w:asciiTheme="majorHAnsi" w:hAnsiTheme="majorHAnsi"/>
          <w:color w:val="auto"/>
          <w:sz w:val="16"/>
          <w:szCs w:val="16"/>
        </w:rPr>
        <w:t>psychic</w:t>
      </w:r>
      <w:r w:rsidRPr="00A51861">
        <w:rPr>
          <w:rFonts w:asciiTheme="majorHAnsi" w:hAnsiTheme="majorHAnsi"/>
          <w:color w:val="auto"/>
          <w:sz w:val="16"/>
          <w:szCs w:val="16"/>
        </w:rPr>
        <w:t xml:space="preserve"> </w:t>
      </w:r>
      <w:r w:rsidR="006C46C5" w:rsidRPr="00A51861">
        <w:rPr>
          <w:rFonts w:asciiTheme="majorHAnsi" w:hAnsiTheme="majorHAnsi"/>
          <w:color w:val="auto"/>
          <w:sz w:val="16"/>
          <w:szCs w:val="16"/>
        </w:rPr>
        <w:t>violenc</w:t>
      </w:r>
      <w:r w:rsidR="006C46C5">
        <w:rPr>
          <w:rFonts w:asciiTheme="majorHAnsi" w:hAnsiTheme="majorHAnsi"/>
          <w:color w:val="auto"/>
          <w:sz w:val="16"/>
          <w:szCs w:val="16"/>
        </w:rPr>
        <w:t>e</w:t>
      </w:r>
      <w:r w:rsidR="006C46C5" w:rsidRPr="00A51861">
        <w:rPr>
          <w:rFonts w:asciiTheme="majorHAnsi" w:hAnsiTheme="majorHAnsi"/>
          <w:color w:val="auto"/>
          <w:sz w:val="16"/>
          <w:szCs w:val="16"/>
        </w:rPr>
        <w:t xml:space="preserve"> </w:t>
      </w:r>
      <w:r w:rsidRPr="00A51861">
        <w:rPr>
          <w:rFonts w:asciiTheme="majorHAnsi" w:hAnsiTheme="majorHAnsi"/>
          <w:color w:val="auto"/>
          <w:sz w:val="16"/>
          <w:szCs w:val="16"/>
        </w:rPr>
        <w:t>du</w:t>
      </w:r>
      <w:r w:rsidR="006C46C5">
        <w:rPr>
          <w:rFonts w:asciiTheme="majorHAnsi" w:hAnsiTheme="majorHAnsi"/>
          <w:color w:val="auto"/>
          <w:sz w:val="16"/>
          <w:szCs w:val="16"/>
        </w:rPr>
        <w:t>ring an extensive period of time with the aforesaid intentions</w:t>
      </w:r>
      <w:r w:rsidRPr="00A51861">
        <w:rPr>
          <w:rFonts w:asciiTheme="majorHAnsi" w:hAnsiTheme="majorHAnsi"/>
          <w:color w:val="auto"/>
          <w:sz w:val="16"/>
          <w:szCs w:val="16"/>
        </w:rPr>
        <w:t xml:space="preserve"> </w:t>
      </w:r>
      <w:r w:rsidR="006C46C5">
        <w:rPr>
          <w:rFonts w:asciiTheme="majorHAnsi" w:hAnsiTheme="majorHAnsi"/>
          <w:color w:val="auto"/>
          <w:sz w:val="16"/>
          <w:szCs w:val="16"/>
        </w:rPr>
        <w:t>and</w:t>
      </w:r>
      <w:r w:rsidRPr="00A51861">
        <w:rPr>
          <w:rFonts w:asciiTheme="majorHAnsi" w:hAnsiTheme="majorHAnsi"/>
          <w:color w:val="auto"/>
          <w:sz w:val="16"/>
          <w:szCs w:val="16"/>
        </w:rPr>
        <w:t xml:space="preserve">, </w:t>
      </w:r>
      <w:r w:rsidR="006C46C5">
        <w:rPr>
          <w:rFonts w:asciiTheme="majorHAnsi" w:hAnsiTheme="majorHAnsi"/>
          <w:color w:val="auto"/>
          <w:sz w:val="16"/>
          <w:szCs w:val="16"/>
        </w:rPr>
        <w:t>thus</w:t>
      </w:r>
      <w:r w:rsidRPr="00A51861">
        <w:rPr>
          <w:rFonts w:asciiTheme="majorHAnsi" w:hAnsiTheme="majorHAnsi"/>
          <w:color w:val="auto"/>
          <w:sz w:val="16"/>
          <w:szCs w:val="16"/>
        </w:rPr>
        <w:t xml:space="preserve">, </w:t>
      </w:r>
      <w:r w:rsidR="005668B9" w:rsidRPr="00A51861">
        <w:rPr>
          <w:rFonts w:asciiTheme="majorHAnsi" w:hAnsiTheme="majorHAnsi"/>
          <w:color w:val="auto"/>
          <w:sz w:val="16"/>
          <w:szCs w:val="16"/>
        </w:rPr>
        <w:t>intentional</w:t>
      </w:r>
      <w:r w:rsidR="005668B9">
        <w:rPr>
          <w:rFonts w:asciiTheme="majorHAnsi" w:hAnsiTheme="majorHAnsi"/>
          <w:color w:val="auto"/>
          <w:sz w:val="16"/>
          <w:szCs w:val="16"/>
        </w:rPr>
        <w:t xml:space="preserve">ly </w:t>
      </w:r>
      <w:r w:rsidR="006C46C5">
        <w:rPr>
          <w:rFonts w:asciiTheme="majorHAnsi" w:hAnsiTheme="majorHAnsi"/>
          <w:color w:val="auto"/>
          <w:sz w:val="16"/>
          <w:szCs w:val="16"/>
        </w:rPr>
        <w:t>put in a</w:t>
      </w:r>
      <w:r w:rsidRPr="00A51861">
        <w:rPr>
          <w:rFonts w:asciiTheme="majorHAnsi" w:hAnsiTheme="majorHAnsi"/>
          <w:color w:val="auto"/>
          <w:sz w:val="16"/>
          <w:szCs w:val="16"/>
        </w:rPr>
        <w:t xml:space="preserve"> context</w:t>
      </w:r>
      <w:r w:rsidR="006C46C5">
        <w:rPr>
          <w:rFonts w:asciiTheme="majorHAnsi" w:hAnsiTheme="majorHAnsi"/>
          <w:color w:val="auto"/>
          <w:sz w:val="16"/>
          <w:szCs w:val="16"/>
        </w:rPr>
        <w:t xml:space="preserve"> </w:t>
      </w:r>
      <w:r w:rsidRPr="00A51861">
        <w:rPr>
          <w:rFonts w:asciiTheme="majorHAnsi" w:hAnsiTheme="majorHAnsi"/>
          <w:color w:val="auto"/>
          <w:sz w:val="16"/>
          <w:szCs w:val="16"/>
        </w:rPr>
        <w:t>o</w:t>
      </w:r>
      <w:r w:rsidR="006C46C5">
        <w:rPr>
          <w:rFonts w:asciiTheme="majorHAnsi" w:hAnsiTheme="majorHAnsi"/>
          <w:color w:val="auto"/>
          <w:sz w:val="16"/>
          <w:szCs w:val="16"/>
        </w:rPr>
        <w:t>f</w:t>
      </w:r>
      <w:r w:rsidRPr="00A51861">
        <w:rPr>
          <w:rFonts w:asciiTheme="majorHAnsi" w:hAnsiTheme="majorHAnsi"/>
          <w:color w:val="auto"/>
          <w:sz w:val="16"/>
          <w:szCs w:val="16"/>
        </w:rPr>
        <w:t xml:space="preserve"> angu</w:t>
      </w:r>
      <w:r w:rsidR="006C46C5">
        <w:rPr>
          <w:rFonts w:asciiTheme="majorHAnsi" w:hAnsiTheme="majorHAnsi"/>
          <w:color w:val="auto"/>
          <w:sz w:val="16"/>
          <w:szCs w:val="16"/>
        </w:rPr>
        <w:t>i</w:t>
      </w:r>
      <w:r w:rsidRPr="00A51861">
        <w:rPr>
          <w:rFonts w:asciiTheme="majorHAnsi" w:hAnsiTheme="majorHAnsi"/>
          <w:color w:val="auto"/>
          <w:sz w:val="16"/>
          <w:szCs w:val="16"/>
        </w:rPr>
        <w:t>s</w:t>
      </w:r>
      <w:r w:rsidR="006C46C5">
        <w:rPr>
          <w:rFonts w:asciiTheme="majorHAnsi" w:hAnsiTheme="majorHAnsi"/>
          <w:color w:val="auto"/>
          <w:sz w:val="16"/>
          <w:szCs w:val="16"/>
        </w:rPr>
        <w:t>h</w:t>
      </w:r>
      <w:r w:rsidR="00B6596B">
        <w:rPr>
          <w:rFonts w:asciiTheme="majorHAnsi" w:hAnsiTheme="majorHAnsi"/>
          <w:color w:val="auto"/>
          <w:sz w:val="16"/>
          <w:szCs w:val="16"/>
        </w:rPr>
        <w:t xml:space="preserve"> and </w:t>
      </w:r>
      <w:r w:rsidR="006C46C5">
        <w:rPr>
          <w:rFonts w:asciiTheme="majorHAnsi" w:hAnsiTheme="majorHAnsi"/>
          <w:color w:val="auto"/>
          <w:sz w:val="16"/>
          <w:szCs w:val="16"/>
        </w:rPr>
        <w:t>intense</w:t>
      </w:r>
      <w:r w:rsidRPr="00A51861">
        <w:rPr>
          <w:rFonts w:asciiTheme="majorHAnsi" w:hAnsiTheme="majorHAnsi"/>
          <w:color w:val="auto"/>
          <w:sz w:val="16"/>
          <w:szCs w:val="16"/>
        </w:rPr>
        <w:t xml:space="preserve"> </w:t>
      </w:r>
      <w:r w:rsidR="006C46C5">
        <w:rPr>
          <w:rFonts w:asciiTheme="majorHAnsi" w:hAnsiTheme="majorHAnsi"/>
          <w:color w:val="auto"/>
          <w:sz w:val="16"/>
          <w:szCs w:val="16"/>
        </w:rPr>
        <w:t>physical</w:t>
      </w:r>
      <w:r w:rsidR="006C46C5" w:rsidRPr="00A51861">
        <w:rPr>
          <w:rFonts w:asciiTheme="majorHAnsi" w:hAnsiTheme="majorHAnsi"/>
          <w:color w:val="auto"/>
          <w:sz w:val="16"/>
          <w:szCs w:val="16"/>
        </w:rPr>
        <w:t xml:space="preserve"> </w:t>
      </w:r>
      <w:r w:rsidR="006C46C5">
        <w:rPr>
          <w:rFonts w:asciiTheme="majorHAnsi" w:hAnsiTheme="majorHAnsi"/>
          <w:color w:val="auto"/>
          <w:sz w:val="16"/>
          <w:szCs w:val="16"/>
        </w:rPr>
        <w:t>suffering</w:t>
      </w:r>
      <w:r w:rsidRPr="00A51861">
        <w:rPr>
          <w:rFonts w:asciiTheme="majorHAnsi" w:hAnsiTheme="majorHAnsi"/>
          <w:color w:val="auto"/>
          <w:sz w:val="16"/>
          <w:szCs w:val="16"/>
        </w:rPr>
        <w:t xml:space="preserve">, </w:t>
      </w:r>
      <w:r w:rsidR="005668B9">
        <w:rPr>
          <w:rFonts w:asciiTheme="majorHAnsi" w:hAnsiTheme="majorHAnsi"/>
          <w:color w:val="auto"/>
          <w:sz w:val="16"/>
          <w:szCs w:val="16"/>
        </w:rPr>
        <w:t>which cannot be regarded as anything but</w:t>
      </w:r>
      <w:r w:rsidRPr="00A51861">
        <w:rPr>
          <w:rFonts w:asciiTheme="majorHAnsi" w:hAnsiTheme="majorHAnsi"/>
          <w:color w:val="auto"/>
          <w:sz w:val="16"/>
          <w:szCs w:val="16"/>
        </w:rPr>
        <w:t xml:space="preserve"> </w:t>
      </w:r>
      <w:r w:rsidR="005668B9">
        <w:rPr>
          <w:rFonts w:asciiTheme="majorHAnsi" w:hAnsiTheme="majorHAnsi"/>
          <w:color w:val="auto"/>
          <w:sz w:val="16"/>
          <w:szCs w:val="16"/>
        </w:rPr>
        <w:t>torture</w:t>
      </w:r>
      <w:r w:rsidRPr="00A51861">
        <w:rPr>
          <w:rFonts w:asciiTheme="majorHAnsi" w:hAnsiTheme="majorHAnsi"/>
          <w:color w:val="auto"/>
          <w:sz w:val="16"/>
          <w:szCs w:val="16"/>
        </w:rPr>
        <w:t xml:space="preserve">, </w:t>
      </w:r>
      <w:r w:rsidR="005668B9">
        <w:rPr>
          <w:rFonts w:asciiTheme="majorHAnsi" w:hAnsiTheme="majorHAnsi"/>
          <w:color w:val="auto"/>
          <w:sz w:val="16"/>
          <w:szCs w:val="16"/>
        </w:rPr>
        <w:t>both</w:t>
      </w:r>
      <w:r w:rsidRPr="00A51861">
        <w:rPr>
          <w:rFonts w:asciiTheme="majorHAnsi" w:hAnsiTheme="majorHAnsi"/>
          <w:color w:val="auto"/>
          <w:sz w:val="16"/>
          <w:szCs w:val="16"/>
        </w:rPr>
        <w:t xml:space="preserve"> </w:t>
      </w:r>
      <w:r w:rsidR="009A1CB9">
        <w:rPr>
          <w:rFonts w:asciiTheme="majorHAnsi" w:hAnsiTheme="majorHAnsi"/>
          <w:color w:val="auto"/>
          <w:sz w:val="16"/>
          <w:szCs w:val="16"/>
        </w:rPr>
        <w:t>physical</w:t>
      </w:r>
      <w:r w:rsidRPr="00A51861">
        <w:rPr>
          <w:rFonts w:asciiTheme="majorHAnsi" w:hAnsiTheme="majorHAnsi"/>
          <w:color w:val="auto"/>
          <w:sz w:val="16"/>
          <w:szCs w:val="16"/>
        </w:rPr>
        <w:t xml:space="preserve"> </w:t>
      </w:r>
      <w:r w:rsidR="005668B9">
        <w:rPr>
          <w:rFonts w:asciiTheme="majorHAnsi" w:hAnsiTheme="majorHAnsi"/>
          <w:color w:val="auto"/>
          <w:sz w:val="16"/>
          <w:szCs w:val="16"/>
        </w:rPr>
        <w:t>and</w:t>
      </w:r>
      <w:r w:rsidRPr="00A51861">
        <w:rPr>
          <w:rFonts w:asciiTheme="majorHAnsi" w:hAnsiTheme="majorHAnsi"/>
          <w:color w:val="auto"/>
          <w:sz w:val="16"/>
          <w:szCs w:val="16"/>
        </w:rPr>
        <w:t xml:space="preserve"> </w:t>
      </w:r>
      <w:r w:rsidR="005668B9" w:rsidRPr="00A51861">
        <w:rPr>
          <w:rFonts w:asciiTheme="majorHAnsi" w:hAnsiTheme="majorHAnsi"/>
          <w:color w:val="auto"/>
          <w:sz w:val="16"/>
          <w:szCs w:val="16"/>
        </w:rPr>
        <w:t>psychological</w:t>
      </w:r>
      <w:r w:rsidRPr="00A51861">
        <w:rPr>
          <w:rFonts w:asciiTheme="majorHAnsi" w:hAnsiTheme="majorHAnsi"/>
          <w:color w:val="auto"/>
          <w:sz w:val="16"/>
          <w:szCs w:val="16"/>
        </w:rPr>
        <w:t xml:space="preserve">” (Cfr. </w:t>
      </w:r>
      <w:r w:rsidR="00036743">
        <w:rPr>
          <w:rFonts w:asciiTheme="majorHAnsi" w:hAnsiTheme="majorHAnsi"/>
          <w:color w:val="auto"/>
          <w:sz w:val="16"/>
          <w:szCs w:val="16"/>
        </w:rPr>
        <w:t>IHR Court</w:t>
      </w:r>
      <w:r w:rsidRPr="00A51861">
        <w:rPr>
          <w:rFonts w:asciiTheme="majorHAnsi" w:hAnsiTheme="majorHAnsi"/>
          <w:color w:val="auto"/>
          <w:sz w:val="16"/>
          <w:szCs w:val="16"/>
        </w:rPr>
        <w:t xml:space="preserve">. </w:t>
      </w:r>
      <w:r w:rsidR="00B6596B">
        <w:rPr>
          <w:rFonts w:asciiTheme="majorHAnsi" w:hAnsiTheme="majorHAnsi"/>
          <w:color w:val="auto"/>
          <w:sz w:val="16"/>
          <w:szCs w:val="16"/>
        </w:rPr>
        <w:t xml:space="preserve">Case </w:t>
      </w:r>
      <w:r w:rsidRPr="00A51861">
        <w:rPr>
          <w:rFonts w:asciiTheme="majorHAnsi" w:hAnsiTheme="majorHAnsi"/>
          <w:color w:val="auto"/>
          <w:sz w:val="16"/>
          <w:szCs w:val="16"/>
        </w:rPr>
        <w:t xml:space="preserve">Bámaca Velásquez. </w:t>
      </w:r>
      <w:r w:rsidR="004E56A9">
        <w:rPr>
          <w:rFonts w:asciiTheme="majorHAnsi" w:hAnsiTheme="majorHAnsi"/>
          <w:color w:val="auto"/>
          <w:sz w:val="16"/>
          <w:szCs w:val="16"/>
        </w:rPr>
        <w:t>Judgment</w:t>
      </w:r>
      <w:r w:rsidRPr="00A51861">
        <w:rPr>
          <w:rFonts w:asciiTheme="majorHAnsi" w:hAnsiTheme="majorHAnsi"/>
          <w:color w:val="auto"/>
          <w:sz w:val="16"/>
          <w:szCs w:val="16"/>
        </w:rPr>
        <w:t xml:space="preserve"> </w:t>
      </w:r>
      <w:r w:rsidR="00DE173A">
        <w:rPr>
          <w:rFonts w:asciiTheme="majorHAnsi" w:hAnsiTheme="majorHAnsi"/>
          <w:color w:val="auto"/>
          <w:sz w:val="16"/>
          <w:szCs w:val="16"/>
        </w:rPr>
        <w:t xml:space="preserve">of November 25, </w:t>
      </w:r>
      <w:r w:rsidRPr="00A51861">
        <w:rPr>
          <w:rFonts w:asciiTheme="majorHAnsi" w:hAnsiTheme="majorHAnsi"/>
          <w:color w:val="auto"/>
          <w:sz w:val="16"/>
          <w:szCs w:val="16"/>
        </w:rPr>
        <w:t xml:space="preserve">2000. Serie C No. 70, </w:t>
      </w:r>
      <w:r w:rsidR="00B6596B">
        <w:rPr>
          <w:rFonts w:asciiTheme="majorHAnsi" w:hAnsiTheme="majorHAnsi"/>
          <w:color w:val="auto"/>
          <w:sz w:val="16"/>
          <w:szCs w:val="16"/>
        </w:rPr>
        <w:t>para.</w:t>
      </w:r>
      <w:r w:rsidRPr="00A51861">
        <w:rPr>
          <w:rFonts w:asciiTheme="majorHAnsi" w:hAnsiTheme="majorHAnsi"/>
          <w:color w:val="auto"/>
          <w:sz w:val="16"/>
          <w:szCs w:val="16"/>
        </w:rPr>
        <w:t xml:space="preserve"> 158). </w:t>
      </w:r>
      <w:r w:rsidR="005668B9">
        <w:rPr>
          <w:rFonts w:asciiTheme="majorHAnsi" w:hAnsiTheme="majorHAnsi"/>
          <w:color w:val="auto"/>
          <w:sz w:val="16"/>
          <w:szCs w:val="16"/>
        </w:rPr>
        <w:t>Cited in</w:t>
      </w:r>
      <w:r w:rsidRPr="00A51861">
        <w:rPr>
          <w:rFonts w:asciiTheme="majorHAnsi" w:hAnsiTheme="majorHAnsi"/>
          <w:color w:val="auto"/>
          <w:sz w:val="16"/>
          <w:szCs w:val="16"/>
        </w:rPr>
        <w:t xml:space="preserve"> </w:t>
      </w:r>
      <w:r w:rsidR="00036743">
        <w:rPr>
          <w:rFonts w:asciiTheme="majorHAnsi" w:hAnsiTheme="majorHAnsi"/>
          <w:color w:val="auto"/>
          <w:sz w:val="16"/>
          <w:szCs w:val="16"/>
        </w:rPr>
        <w:t>IHR Court</w:t>
      </w:r>
      <w:r w:rsidRPr="00A51861">
        <w:rPr>
          <w:rFonts w:asciiTheme="majorHAnsi" w:hAnsiTheme="majorHAnsi"/>
          <w:color w:val="auto"/>
          <w:sz w:val="16"/>
          <w:szCs w:val="16"/>
        </w:rPr>
        <w:t xml:space="preserve">. </w:t>
      </w:r>
      <w:r w:rsidR="00B6596B">
        <w:rPr>
          <w:rFonts w:asciiTheme="majorHAnsi" w:hAnsiTheme="majorHAnsi"/>
          <w:color w:val="auto"/>
          <w:sz w:val="16"/>
          <w:szCs w:val="16"/>
        </w:rPr>
        <w:t>Case</w:t>
      </w:r>
      <w:r w:rsidR="005668B9">
        <w:rPr>
          <w:rFonts w:asciiTheme="majorHAnsi" w:hAnsiTheme="majorHAnsi"/>
          <w:color w:val="auto"/>
          <w:sz w:val="16"/>
          <w:szCs w:val="16"/>
        </w:rPr>
        <w:t xml:space="preserve"> of</w:t>
      </w:r>
      <w:r w:rsidR="00B6596B">
        <w:rPr>
          <w:rFonts w:asciiTheme="majorHAnsi" w:hAnsiTheme="majorHAnsi"/>
          <w:color w:val="auto"/>
          <w:sz w:val="16"/>
          <w:szCs w:val="16"/>
        </w:rPr>
        <w:t xml:space="preserve"> </w:t>
      </w:r>
      <w:r w:rsidRPr="00A51861">
        <w:rPr>
          <w:rFonts w:asciiTheme="majorHAnsi" w:hAnsiTheme="majorHAnsi"/>
          <w:color w:val="auto"/>
          <w:sz w:val="16"/>
          <w:szCs w:val="16"/>
        </w:rPr>
        <w:t xml:space="preserve">Bueno Alves Vs. Argentina. </w:t>
      </w:r>
      <w:r w:rsidR="00B6596B">
        <w:rPr>
          <w:rFonts w:asciiTheme="majorHAnsi" w:hAnsiTheme="majorHAnsi"/>
          <w:color w:val="auto"/>
          <w:sz w:val="16"/>
          <w:szCs w:val="16"/>
        </w:rPr>
        <w:t>Merits</w:t>
      </w:r>
      <w:r w:rsidRPr="00A51861">
        <w:rPr>
          <w:rFonts w:asciiTheme="majorHAnsi" w:hAnsiTheme="majorHAnsi"/>
          <w:color w:val="auto"/>
          <w:sz w:val="16"/>
          <w:szCs w:val="16"/>
        </w:rPr>
        <w:t xml:space="preserve">, </w:t>
      </w:r>
      <w:r w:rsidR="00357129">
        <w:rPr>
          <w:rFonts w:asciiTheme="majorHAnsi" w:hAnsiTheme="majorHAnsi"/>
          <w:color w:val="auto"/>
          <w:sz w:val="16"/>
          <w:szCs w:val="16"/>
        </w:rPr>
        <w:t>Reparations and Costs</w:t>
      </w:r>
      <w:r w:rsidRPr="00A51861">
        <w:rPr>
          <w:rFonts w:asciiTheme="majorHAnsi" w:hAnsiTheme="majorHAnsi"/>
          <w:color w:val="auto"/>
          <w:sz w:val="16"/>
          <w:szCs w:val="16"/>
        </w:rPr>
        <w:t xml:space="preserve">. </w:t>
      </w:r>
      <w:r w:rsidR="00166E8A">
        <w:rPr>
          <w:rFonts w:asciiTheme="majorHAnsi" w:hAnsiTheme="majorHAnsi"/>
          <w:color w:val="auto"/>
          <w:sz w:val="16"/>
          <w:szCs w:val="16"/>
        </w:rPr>
        <w:t xml:space="preserve">May 11, </w:t>
      </w:r>
      <w:r w:rsidRPr="00A51861">
        <w:rPr>
          <w:rFonts w:asciiTheme="majorHAnsi" w:hAnsiTheme="majorHAnsi"/>
          <w:color w:val="auto"/>
          <w:sz w:val="16"/>
          <w:szCs w:val="16"/>
        </w:rPr>
        <w:t>2007. Serie C No. 164.</w:t>
      </w:r>
    </w:p>
  </w:footnote>
  <w:footnote w:id="197">
    <w:p w14:paraId="4BECC354" w14:textId="6D03448A"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0E67CA">
        <w:rPr>
          <w:rFonts w:asciiTheme="majorHAnsi" w:hAnsiTheme="majorHAnsi"/>
          <w:color w:val="auto"/>
          <w:sz w:val="16"/>
          <w:szCs w:val="16"/>
        </w:rPr>
        <w:t>IACHR</w:t>
      </w:r>
      <w:r w:rsidRPr="00A51861">
        <w:rPr>
          <w:rFonts w:asciiTheme="majorHAnsi" w:hAnsiTheme="majorHAnsi"/>
          <w:color w:val="auto"/>
          <w:sz w:val="16"/>
          <w:szCs w:val="16"/>
        </w:rPr>
        <w:t>.</w:t>
      </w:r>
      <w:r w:rsidR="000E67CA">
        <w:rPr>
          <w:rFonts w:asciiTheme="majorHAnsi" w:hAnsiTheme="majorHAnsi"/>
          <w:color w:val="auto"/>
          <w:sz w:val="16"/>
          <w:szCs w:val="16"/>
        </w:rPr>
        <w:t xml:space="preserve"> </w:t>
      </w:r>
      <w:r w:rsidR="00F406E1">
        <w:rPr>
          <w:rFonts w:asciiTheme="majorHAnsi" w:hAnsiTheme="majorHAnsi"/>
          <w:color w:val="auto"/>
          <w:sz w:val="16"/>
          <w:szCs w:val="16"/>
        </w:rPr>
        <w:t>Report on terrorism and human rights</w:t>
      </w:r>
      <w:r w:rsidRPr="00A51861">
        <w:rPr>
          <w:rFonts w:asciiTheme="majorHAnsi" w:hAnsiTheme="majorHAnsi"/>
          <w:color w:val="auto"/>
          <w:sz w:val="16"/>
          <w:szCs w:val="16"/>
        </w:rPr>
        <w:t xml:space="preserve"> (2002). </w:t>
      </w:r>
      <w:r w:rsidR="00680DA3">
        <w:rPr>
          <w:rFonts w:asciiTheme="majorHAnsi" w:hAnsiTheme="majorHAnsi"/>
          <w:color w:val="auto"/>
          <w:sz w:val="16"/>
          <w:szCs w:val="16"/>
        </w:rPr>
        <w:t>paragraph</w:t>
      </w:r>
      <w:r w:rsidRPr="00A51861">
        <w:rPr>
          <w:rFonts w:asciiTheme="majorHAnsi" w:hAnsiTheme="majorHAnsi"/>
          <w:color w:val="auto"/>
          <w:sz w:val="16"/>
          <w:szCs w:val="16"/>
        </w:rPr>
        <w:t xml:space="preserve"> 155 (</w:t>
      </w:r>
      <w:r w:rsidR="00F406E1">
        <w:rPr>
          <w:rFonts w:asciiTheme="majorHAnsi" w:hAnsiTheme="majorHAnsi"/>
          <w:color w:val="auto"/>
          <w:sz w:val="16"/>
          <w:szCs w:val="16"/>
        </w:rPr>
        <w:t>citing</w:t>
      </w:r>
      <w:r w:rsidRPr="00A51861">
        <w:rPr>
          <w:rFonts w:asciiTheme="majorHAnsi" w:hAnsiTheme="majorHAnsi"/>
          <w:color w:val="auto"/>
          <w:sz w:val="16"/>
          <w:szCs w:val="16"/>
        </w:rPr>
        <w:t xml:space="preserve"> </w:t>
      </w:r>
      <w:r w:rsidR="000E67CA">
        <w:rPr>
          <w:rFonts w:asciiTheme="majorHAnsi" w:hAnsiTheme="majorHAnsi"/>
          <w:color w:val="auto"/>
          <w:sz w:val="16"/>
          <w:szCs w:val="16"/>
        </w:rPr>
        <w:t>IACHR</w:t>
      </w:r>
      <w:r w:rsidRPr="00A51861">
        <w:rPr>
          <w:rFonts w:asciiTheme="majorHAnsi" w:hAnsiTheme="majorHAnsi"/>
          <w:color w:val="auto"/>
          <w:sz w:val="16"/>
          <w:szCs w:val="16"/>
        </w:rPr>
        <w:t>,</w:t>
      </w:r>
      <w:r w:rsidR="000E67CA">
        <w:rPr>
          <w:rFonts w:asciiTheme="majorHAnsi" w:hAnsiTheme="majorHAnsi"/>
          <w:color w:val="auto"/>
          <w:sz w:val="16"/>
          <w:szCs w:val="16"/>
        </w:rPr>
        <w:t xml:space="preserve"> Report </w:t>
      </w:r>
      <w:r w:rsidR="00F406E1">
        <w:rPr>
          <w:rFonts w:asciiTheme="majorHAnsi" w:hAnsiTheme="majorHAnsi"/>
          <w:color w:val="auto"/>
          <w:sz w:val="16"/>
          <w:szCs w:val="16"/>
        </w:rPr>
        <w:t>on Canada</w:t>
      </w:r>
      <w:r w:rsidRPr="00A51861">
        <w:rPr>
          <w:rFonts w:asciiTheme="majorHAnsi" w:hAnsiTheme="majorHAnsi"/>
          <w:color w:val="auto"/>
          <w:sz w:val="16"/>
          <w:szCs w:val="16"/>
        </w:rPr>
        <w:t xml:space="preserve"> (2000), </w:t>
      </w:r>
      <w:r w:rsidR="00680DA3">
        <w:rPr>
          <w:rFonts w:asciiTheme="majorHAnsi" w:hAnsiTheme="majorHAnsi"/>
          <w:color w:val="auto"/>
          <w:sz w:val="16"/>
          <w:szCs w:val="16"/>
        </w:rPr>
        <w:t>paragraph</w:t>
      </w:r>
      <w:r w:rsidRPr="00A51861">
        <w:rPr>
          <w:rFonts w:asciiTheme="majorHAnsi" w:hAnsiTheme="majorHAnsi"/>
          <w:color w:val="auto"/>
          <w:sz w:val="16"/>
          <w:szCs w:val="16"/>
        </w:rPr>
        <w:t xml:space="preserve"> 118).</w:t>
      </w:r>
    </w:p>
  </w:footnote>
  <w:footnote w:id="198">
    <w:p w14:paraId="550E597D" w14:textId="22085E7E"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0E67CA">
        <w:rPr>
          <w:rFonts w:asciiTheme="majorHAnsi" w:hAnsiTheme="majorHAnsi"/>
          <w:color w:val="auto"/>
          <w:sz w:val="16"/>
          <w:szCs w:val="16"/>
        </w:rPr>
        <w:t>IACHR</w:t>
      </w:r>
      <w:r w:rsidRPr="00A51861">
        <w:rPr>
          <w:rFonts w:asciiTheme="majorHAnsi" w:hAnsiTheme="majorHAnsi"/>
          <w:color w:val="auto"/>
          <w:sz w:val="16"/>
          <w:szCs w:val="16"/>
        </w:rPr>
        <w:t>,</w:t>
      </w:r>
      <w:r w:rsidR="000E67CA">
        <w:rPr>
          <w:rFonts w:asciiTheme="majorHAnsi" w:hAnsiTheme="majorHAnsi"/>
          <w:color w:val="auto"/>
          <w:sz w:val="16"/>
          <w:szCs w:val="16"/>
        </w:rPr>
        <w:t xml:space="preserve"> </w:t>
      </w:r>
      <w:r w:rsidR="00F406E1">
        <w:rPr>
          <w:rFonts w:asciiTheme="majorHAnsi" w:hAnsiTheme="majorHAnsi"/>
          <w:color w:val="auto"/>
          <w:sz w:val="16"/>
          <w:szCs w:val="16"/>
        </w:rPr>
        <w:t>Report on terrorism and human rights</w:t>
      </w:r>
      <w:r w:rsidRPr="00A51861">
        <w:rPr>
          <w:rFonts w:asciiTheme="majorHAnsi" w:hAnsiTheme="majorHAnsi"/>
          <w:color w:val="auto"/>
          <w:sz w:val="16"/>
          <w:szCs w:val="16"/>
        </w:rPr>
        <w:t xml:space="preserve"> (2002), </w:t>
      </w:r>
      <w:r w:rsidR="00680DA3">
        <w:rPr>
          <w:rFonts w:asciiTheme="majorHAnsi" w:hAnsiTheme="majorHAnsi"/>
          <w:color w:val="auto"/>
          <w:sz w:val="16"/>
          <w:szCs w:val="16"/>
        </w:rPr>
        <w:t>paragraph</w:t>
      </w:r>
      <w:r w:rsidRPr="00A51861">
        <w:rPr>
          <w:rFonts w:asciiTheme="majorHAnsi" w:hAnsiTheme="majorHAnsi"/>
          <w:color w:val="auto"/>
          <w:sz w:val="16"/>
          <w:szCs w:val="16"/>
        </w:rPr>
        <w:t xml:space="preserve"> 154 (</w:t>
      </w:r>
      <w:r w:rsidR="00F406E1">
        <w:rPr>
          <w:rFonts w:asciiTheme="majorHAnsi" w:hAnsiTheme="majorHAnsi"/>
          <w:color w:val="auto"/>
          <w:sz w:val="16"/>
          <w:szCs w:val="16"/>
        </w:rPr>
        <w:t>citing</w:t>
      </w:r>
      <w:r w:rsidRPr="00A51861">
        <w:rPr>
          <w:rFonts w:asciiTheme="majorHAnsi" w:hAnsiTheme="majorHAnsi"/>
          <w:color w:val="auto"/>
          <w:sz w:val="16"/>
          <w:szCs w:val="16"/>
        </w:rPr>
        <w:t xml:space="preserve"> </w:t>
      </w:r>
      <w:r w:rsidR="00F406E1">
        <w:rPr>
          <w:rFonts w:asciiTheme="majorHAnsi" w:hAnsiTheme="majorHAnsi"/>
          <w:color w:val="auto"/>
          <w:sz w:val="16"/>
          <w:szCs w:val="16"/>
        </w:rPr>
        <w:t>the case of</w:t>
      </w:r>
      <w:r w:rsidRPr="00A51861">
        <w:rPr>
          <w:rFonts w:asciiTheme="majorHAnsi" w:hAnsiTheme="majorHAnsi"/>
          <w:color w:val="auto"/>
          <w:sz w:val="16"/>
          <w:szCs w:val="16"/>
        </w:rPr>
        <w:t xml:space="preserve"> Martín de Mejía </w:t>
      </w:r>
      <w:r w:rsidR="005668B9">
        <w:rPr>
          <w:rFonts w:asciiTheme="majorHAnsi" w:hAnsiTheme="majorHAnsi"/>
          <w:color w:val="auto"/>
          <w:sz w:val="16"/>
          <w:szCs w:val="16"/>
        </w:rPr>
        <w:t>on page</w:t>
      </w:r>
      <w:r w:rsidRPr="00A51861">
        <w:rPr>
          <w:rFonts w:asciiTheme="majorHAnsi" w:hAnsiTheme="majorHAnsi"/>
          <w:color w:val="auto"/>
          <w:sz w:val="16"/>
          <w:szCs w:val="16"/>
        </w:rPr>
        <w:t xml:space="preserve"> 185); </w:t>
      </w:r>
      <w:r w:rsidR="005668B9">
        <w:rPr>
          <w:rFonts w:asciiTheme="majorHAnsi" w:hAnsiTheme="majorHAnsi"/>
          <w:color w:val="auto"/>
          <w:sz w:val="16"/>
          <w:szCs w:val="16"/>
        </w:rPr>
        <w:t>see also</w:t>
      </w:r>
      <w:r w:rsidRPr="00A51861">
        <w:rPr>
          <w:rFonts w:asciiTheme="majorHAnsi" w:hAnsiTheme="majorHAnsi"/>
          <w:color w:val="auto"/>
          <w:sz w:val="16"/>
          <w:szCs w:val="16"/>
        </w:rPr>
        <w:t xml:space="preserve"> </w:t>
      </w:r>
      <w:r w:rsidR="00F406E1">
        <w:rPr>
          <w:rFonts w:asciiTheme="majorHAnsi" w:hAnsiTheme="majorHAnsi"/>
          <w:color w:val="auto"/>
          <w:sz w:val="16"/>
          <w:szCs w:val="16"/>
        </w:rPr>
        <w:t>for example</w:t>
      </w:r>
      <w:r w:rsidRPr="00A51861">
        <w:rPr>
          <w:rFonts w:asciiTheme="majorHAnsi" w:hAnsiTheme="majorHAnsi"/>
          <w:color w:val="auto"/>
          <w:sz w:val="16"/>
          <w:szCs w:val="16"/>
        </w:rPr>
        <w:t xml:space="preserve"> </w:t>
      </w:r>
      <w:r w:rsidR="000E67CA">
        <w:rPr>
          <w:rFonts w:asciiTheme="majorHAnsi" w:hAnsiTheme="majorHAnsi"/>
          <w:color w:val="auto"/>
          <w:sz w:val="16"/>
          <w:szCs w:val="16"/>
        </w:rPr>
        <w:t>IACHR</w:t>
      </w:r>
      <w:r w:rsidRPr="00A51861">
        <w:rPr>
          <w:rFonts w:asciiTheme="majorHAnsi" w:hAnsiTheme="majorHAnsi"/>
          <w:color w:val="auto"/>
          <w:sz w:val="16"/>
          <w:szCs w:val="16"/>
        </w:rPr>
        <w:t>.</w:t>
      </w:r>
      <w:r w:rsidR="000E67CA">
        <w:rPr>
          <w:rFonts w:asciiTheme="majorHAnsi" w:hAnsiTheme="majorHAnsi"/>
          <w:color w:val="auto"/>
          <w:sz w:val="16"/>
          <w:szCs w:val="16"/>
        </w:rPr>
        <w:t xml:space="preserve"> Report </w:t>
      </w:r>
      <w:r w:rsidRPr="00A51861">
        <w:rPr>
          <w:rFonts w:asciiTheme="majorHAnsi" w:hAnsiTheme="majorHAnsi"/>
          <w:color w:val="auto"/>
          <w:sz w:val="16"/>
          <w:szCs w:val="16"/>
        </w:rPr>
        <w:t xml:space="preserve">No. 33/16. </w:t>
      </w:r>
      <w:r w:rsidR="00B6596B">
        <w:rPr>
          <w:rFonts w:asciiTheme="majorHAnsi" w:hAnsiTheme="majorHAnsi"/>
          <w:color w:val="auto"/>
          <w:sz w:val="16"/>
          <w:szCs w:val="16"/>
        </w:rPr>
        <w:t xml:space="preserve">Case </w:t>
      </w:r>
      <w:r w:rsidRPr="00A51861">
        <w:rPr>
          <w:rFonts w:asciiTheme="majorHAnsi" w:hAnsiTheme="majorHAnsi"/>
          <w:color w:val="auto"/>
          <w:sz w:val="16"/>
          <w:szCs w:val="16"/>
        </w:rPr>
        <w:t xml:space="preserve">12.797. </w:t>
      </w:r>
      <w:r w:rsidR="00B6596B">
        <w:rPr>
          <w:rFonts w:asciiTheme="majorHAnsi" w:hAnsiTheme="majorHAnsi"/>
          <w:color w:val="auto"/>
          <w:sz w:val="16"/>
          <w:szCs w:val="16"/>
        </w:rPr>
        <w:t>Merits</w:t>
      </w:r>
      <w:r w:rsidRPr="00A51861">
        <w:rPr>
          <w:rFonts w:asciiTheme="majorHAnsi" w:hAnsiTheme="majorHAnsi"/>
          <w:color w:val="auto"/>
          <w:sz w:val="16"/>
          <w:szCs w:val="16"/>
        </w:rPr>
        <w:t>. Linda Loayza Soto</w:t>
      </w:r>
      <w:r w:rsidR="00B6596B">
        <w:rPr>
          <w:rFonts w:asciiTheme="majorHAnsi" w:hAnsiTheme="majorHAnsi"/>
          <w:color w:val="auto"/>
          <w:sz w:val="16"/>
          <w:szCs w:val="16"/>
        </w:rPr>
        <w:t xml:space="preserve"> and </w:t>
      </w:r>
      <w:r w:rsidR="00F406E1">
        <w:rPr>
          <w:rFonts w:asciiTheme="majorHAnsi" w:hAnsiTheme="majorHAnsi"/>
          <w:color w:val="auto"/>
          <w:sz w:val="16"/>
          <w:szCs w:val="16"/>
        </w:rPr>
        <w:t>family</w:t>
      </w:r>
      <w:r w:rsidRPr="00A51861">
        <w:rPr>
          <w:rFonts w:asciiTheme="majorHAnsi" w:hAnsiTheme="majorHAnsi"/>
          <w:color w:val="auto"/>
          <w:sz w:val="16"/>
          <w:szCs w:val="16"/>
        </w:rPr>
        <w:t xml:space="preserve">. Venezuela. </w:t>
      </w:r>
      <w:r w:rsidR="00076366">
        <w:rPr>
          <w:rFonts w:asciiTheme="majorHAnsi" w:hAnsiTheme="majorHAnsi"/>
          <w:color w:val="auto"/>
          <w:sz w:val="16"/>
          <w:szCs w:val="16"/>
        </w:rPr>
        <w:t xml:space="preserve">July 29, </w:t>
      </w:r>
      <w:r w:rsidRPr="00A51861">
        <w:rPr>
          <w:rFonts w:asciiTheme="majorHAnsi" w:hAnsiTheme="majorHAnsi"/>
          <w:color w:val="auto"/>
          <w:sz w:val="16"/>
          <w:szCs w:val="16"/>
        </w:rPr>
        <w:t xml:space="preserve">2016, </w:t>
      </w:r>
      <w:r w:rsidR="00680DA3">
        <w:rPr>
          <w:rFonts w:asciiTheme="majorHAnsi" w:hAnsiTheme="majorHAnsi"/>
          <w:color w:val="auto"/>
          <w:sz w:val="16"/>
          <w:szCs w:val="16"/>
        </w:rPr>
        <w:t>paragraph</w:t>
      </w:r>
      <w:r w:rsidRPr="00A51861">
        <w:rPr>
          <w:rFonts w:asciiTheme="majorHAnsi" w:hAnsiTheme="majorHAnsi"/>
          <w:color w:val="auto"/>
          <w:sz w:val="16"/>
          <w:szCs w:val="16"/>
        </w:rPr>
        <w:t>s 225-226</w:t>
      </w:r>
      <w:r w:rsidR="00B6596B">
        <w:rPr>
          <w:rFonts w:asciiTheme="majorHAnsi" w:hAnsiTheme="majorHAnsi"/>
          <w:color w:val="auto"/>
          <w:sz w:val="16"/>
          <w:szCs w:val="16"/>
        </w:rPr>
        <w:t xml:space="preserve"> and </w:t>
      </w:r>
      <w:r w:rsidR="000E67CA">
        <w:rPr>
          <w:rFonts w:asciiTheme="majorHAnsi" w:hAnsiTheme="majorHAnsi"/>
          <w:color w:val="auto"/>
          <w:sz w:val="16"/>
          <w:szCs w:val="16"/>
        </w:rPr>
        <w:t>IACHR</w:t>
      </w:r>
      <w:r w:rsidRPr="00A51861">
        <w:rPr>
          <w:rFonts w:asciiTheme="majorHAnsi" w:hAnsiTheme="majorHAnsi"/>
          <w:color w:val="auto"/>
          <w:sz w:val="16"/>
          <w:szCs w:val="16"/>
        </w:rPr>
        <w:t>.</w:t>
      </w:r>
      <w:r w:rsidR="000E67CA">
        <w:rPr>
          <w:rFonts w:asciiTheme="majorHAnsi" w:hAnsiTheme="majorHAnsi"/>
          <w:color w:val="auto"/>
          <w:sz w:val="16"/>
          <w:szCs w:val="16"/>
        </w:rPr>
        <w:t xml:space="preserve"> Report </w:t>
      </w:r>
      <w:r w:rsidRPr="00A51861">
        <w:rPr>
          <w:rFonts w:asciiTheme="majorHAnsi" w:hAnsiTheme="majorHAnsi"/>
          <w:color w:val="auto"/>
          <w:sz w:val="16"/>
          <w:szCs w:val="16"/>
        </w:rPr>
        <w:t xml:space="preserve">No. 29/20. </w:t>
      </w:r>
      <w:r w:rsidR="00B6596B">
        <w:rPr>
          <w:rFonts w:asciiTheme="majorHAnsi" w:hAnsiTheme="majorHAnsi"/>
          <w:color w:val="auto"/>
          <w:sz w:val="16"/>
          <w:szCs w:val="16"/>
        </w:rPr>
        <w:t xml:space="preserve">Case </w:t>
      </w:r>
      <w:r w:rsidRPr="00A51861">
        <w:rPr>
          <w:rFonts w:asciiTheme="majorHAnsi" w:hAnsiTheme="majorHAnsi"/>
          <w:color w:val="auto"/>
          <w:sz w:val="16"/>
          <w:szCs w:val="16"/>
        </w:rPr>
        <w:t xml:space="preserve">12.865. </w:t>
      </w:r>
      <w:r w:rsidR="00B6596B">
        <w:rPr>
          <w:rFonts w:asciiTheme="majorHAnsi" w:hAnsiTheme="majorHAnsi"/>
          <w:color w:val="auto"/>
          <w:sz w:val="16"/>
          <w:szCs w:val="16"/>
        </w:rPr>
        <w:t>Merits</w:t>
      </w:r>
      <w:r w:rsidRPr="00A51861">
        <w:rPr>
          <w:rFonts w:asciiTheme="majorHAnsi" w:hAnsiTheme="majorHAnsi"/>
          <w:color w:val="auto"/>
          <w:sz w:val="16"/>
          <w:szCs w:val="16"/>
        </w:rPr>
        <w:t>.</w:t>
      </w:r>
      <w:r w:rsidRPr="00A51861">
        <w:rPr>
          <w:rFonts w:asciiTheme="majorHAnsi" w:eastAsia="Arial Unicode MS" w:hAnsiTheme="majorHAnsi" w:cs="Times New Roman"/>
          <w:color w:val="auto"/>
          <w:sz w:val="16"/>
          <w:szCs w:val="16"/>
          <w:lang w:eastAsia="en-US"/>
        </w:rPr>
        <w:t xml:space="preserve"> </w:t>
      </w:r>
      <w:r w:rsidRPr="00A51861">
        <w:rPr>
          <w:rFonts w:asciiTheme="majorHAnsi" w:hAnsiTheme="majorHAnsi"/>
          <w:color w:val="auto"/>
          <w:sz w:val="16"/>
          <w:szCs w:val="16"/>
        </w:rPr>
        <w:t xml:space="preserve">Djamel Ameziane. </w:t>
      </w:r>
      <w:r w:rsidR="00347146">
        <w:rPr>
          <w:rFonts w:asciiTheme="majorHAnsi" w:hAnsiTheme="majorHAnsi"/>
          <w:color w:val="auto"/>
          <w:sz w:val="16"/>
          <w:szCs w:val="16"/>
        </w:rPr>
        <w:t>United States</w:t>
      </w:r>
      <w:r w:rsidRPr="00A51861">
        <w:rPr>
          <w:rFonts w:asciiTheme="majorHAnsi" w:hAnsiTheme="majorHAnsi"/>
          <w:color w:val="auto"/>
          <w:sz w:val="16"/>
          <w:szCs w:val="16"/>
        </w:rPr>
        <w:t xml:space="preserve">. </w:t>
      </w:r>
      <w:r w:rsidR="00BD656D">
        <w:rPr>
          <w:rFonts w:asciiTheme="majorHAnsi" w:hAnsiTheme="majorHAnsi"/>
          <w:color w:val="auto"/>
          <w:sz w:val="16"/>
          <w:szCs w:val="16"/>
        </w:rPr>
        <w:t xml:space="preserve">April 22, </w:t>
      </w:r>
      <w:r w:rsidRPr="00A51861">
        <w:rPr>
          <w:rFonts w:asciiTheme="majorHAnsi" w:hAnsiTheme="majorHAnsi"/>
          <w:color w:val="auto"/>
          <w:sz w:val="16"/>
          <w:szCs w:val="16"/>
        </w:rPr>
        <w:t>2020.</w:t>
      </w:r>
    </w:p>
  </w:footnote>
  <w:footnote w:id="199">
    <w:p w14:paraId="228BE070" w14:textId="0C1D15B4"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0E67CA">
        <w:rPr>
          <w:rFonts w:asciiTheme="majorHAnsi" w:hAnsiTheme="majorHAnsi"/>
          <w:color w:val="auto"/>
          <w:sz w:val="16"/>
          <w:szCs w:val="16"/>
        </w:rPr>
        <w:t>IACHR</w:t>
      </w:r>
      <w:r w:rsidRPr="00A51861">
        <w:rPr>
          <w:rFonts w:asciiTheme="majorHAnsi" w:hAnsiTheme="majorHAnsi"/>
          <w:color w:val="auto"/>
          <w:sz w:val="16"/>
          <w:szCs w:val="16"/>
        </w:rPr>
        <w:t>.</w:t>
      </w:r>
      <w:r w:rsidR="000E67CA">
        <w:rPr>
          <w:rFonts w:asciiTheme="majorHAnsi" w:hAnsiTheme="majorHAnsi"/>
          <w:color w:val="auto"/>
          <w:sz w:val="16"/>
          <w:szCs w:val="16"/>
        </w:rPr>
        <w:t xml:space="preserve"> </w:t>
      </w:r>
      <w:r w:rsidR="00F406E1">
        <w:rPr>
          <w:rFonts w:asciiTheme="majorHAnsi" w:hAnsiTheme="majorHAnsi"/>
          <w:color w:val="auto"/>
          <w:sz w:val="16"/>
          <w:szCs w:val="16"/>
        </w:rPr>
        <w:t>Report on terrorism and human rights</w:t>
      </w:r>
      <w:r w:rsidRPr="00A51861">
        <w:rPr>
          <w:rFonts w:asciiTheme="majorHAnsi" w:hAnsiTheme="majorHAnsi"/>
          <w:color w:val="auto"/>
          <w:sz w:val="16"/>
          <w:szCs w:val="16"/>
        </w:rPr>
        <w:t xml:space="preserve"> (2002), </w:t>
      </w:r>
      <w:r w:rsidR="00680DA3">
        <w:rPr>
          <w:rFonts w:asciiTheme="majorHAnsi" w:hAnsiTheme="majorHAnsi"/>
          <w:color w:val="auto"/>
          <w:sz w:val="16"/>
          <w:szCs w:val="16"/>
        </w:rPr>
        <w:t>paragraph</w:t>
      </w:r>
      <w:r w:rsidRPr="00A51861">
        <w:rPr>
          <w:rFonts w:asciiTheme="majorHAnsi" w:hAnsiTheme="majorHAnsi"/>
          <w:color w:val="auto"/>
          <w:sz w:val="16"/>
          <w:szCs w:val="16"/>
        </w:rPr>
        <w:t xml:space="preserve"> 158 (</w:t>
      </w:r>
      <w:r w:rsidR="00F406E1">
        <w:rPr>
          <w:rFonts w:asciiTheme="majorHAnsi" w:hAnsiTheme="majorHAnsi"/>
          <w:color w:val="auto"/>
          <w:sz w:val="16"/>
          <w:szCs w:val="16"/>
        </w:rPr>
        <w:t>citing</w:t>
      </w:r>
      <w:r w:rsidRPr="00A51861">
        <w:rPr>
          <w:rFonts w:asciiTheme="majorHAnsi" w:hAnsiTheme="majorHAnsi"/>
          <w:color w:val="auto"/>
          <w:sz w:val="16"/>
          <w:szCs w:val="16"/>
        </w:rPr>
        <w:t xml:space="preserve"> inter alia </w:t>
      </w:r>
      <w:r w:rsidR="00B6596B">
        <w:rPr>
          <w:rFonts w:asciiTheme="majorHAnsi" w:hAnsiTheme="majorHAnsi"/>
          <w:color w:val="auto"/>
          <w:sz w:val="16"/>
          <w:szCs w:val="16"/>
        </w:rPr>
        <w:t xml:space="preserve">Case </w:t>
      </w:r>
      <w:r w:rsidRPr="00A51861">
        <w:rPr>
          <w:rFonts w:asciiTheme="majorHAnsi" w:hAnsiTheme="majorHAnsi"/>
          <w:color w:val="auto"/>
          <w:sz w:val="16"/>
          <w:szCs w:val="16"/>
        </w:rPr>
        <w:t>10.832.</w:t>
      </w:r>
      <w:r w:rsidR="000E67CA">
        <w:rPr>
          <w:rFonts w:asciiTheme="majorHAnsi" w:hAnsiTheme="majorHAnsi"/>
          <w:color w:val="auto"/>
          <w:sz w:val="16"/>
          <w:szCs w:val="16"/>
        </w:rPr>
        <w:t xml:space="preserve"> Report </w:t>
      </w:r>
      <w:r w:rsidRPr="00A51861">
        <w:rPr>
          <w:rFonts w:asciiTheme="majorHAnsi" w:hAnsiTheme="majorHAnsi"/>
          <w:color w:val="auto"/>
          <w:sz w:val="16"/>
          <w:szCs w:val="16"/>
        </w:rPr>
        <w:t>No. 35/96. Luis Lizardo Cabrera (</w:t>
      </w:r>
      <w:r w:rsidR="00154218">
        <w:rPr>
          <w:rFonts w:asciiTheme="majorHAnsi" w:hAnsiTheme="majorHAnsi"/>
          <w:color w:val="auto"/>
          <w:sz w:val="16"/>
          <w:szCs w:val="16"/>
        </w:rPr>
        <w:t>Dominican Republic</w:t>
      </w:r>
      <w:r w:rsidRPr="00A51861">
        <w:rPr>
          <w:rFonts w:asciiTheme="majorHAnsi" w:hAnsiTheme="majorHAnsi"/>
          <w:color w:val="auto"/>
          <w:sz w:val="16"/>
          <w:szCs w:val="16"/>
        </w:rPr>
        <w:t>)</w:t>
      </w:r>
      <w:r w:rsidR="00B6596B">
        <w:rPr>
          <w:rFonts w:asciiTheme="majorHAnsi" w:hAnsiTheme="majorHAnsi"/>
          <w:color w:val="auto"/>
          <w:sz w:val="16"/>
          <w:szCs w:val="16"/>
        </w:rPr>
        <w:t xml:space="preserve"> and </w:t>
      </w:r>
      <w:r w:rsidR="00D56C57">
        <w:rPr>
          <w:rFonts w:asciiTheme="majorHAnsi" w:hAnsiTheme="majorHAnsi"/>
          <w:color w:val="auto"/>
          <w:sz w:val="16"/>
          <w:szCs w:val="16"/>
        </w:rPr>
        <w:t>jurisprudence</w:t>
      </w:r>
      <w:r w:rsidR="00061928">
        <w:rPr>
          <w:rFonts w:asciiTheme="majorHAnsi" w:hAnsiTheme="majorHAnsi"/>
          <w:color w:val="auto"/>
          <w:sz w:val="16"/>
          <w:szCs w:val="16"/>
        </w:rPr>
        <w:t xml:space="preserve"> of the </w:t>
      </w:r>
      <w:r w:rsidR="005668B9">
        <w:rPr>
          <w:rFonts w:asciiTheme="majorHAnsi" w:hAnsiTheme="majorHAnsi"/>
          <w:color w:val="auto"/>
          <w:sz w:val="16"/>
          <w:szCs w:val="16"/>
        </w:rPr>
        <w:t xml:space="preserve">now defunct European </w:t>
      </w:r>
      <w:r w:rsidR="00FE1E27">
        <w:rPr>
          <w:rFonts w:asciiTheme="majorHAnsi" w:hAnsiTheme="majorHAnsi"/>
          <w:color w:val="auto"/>
          <w:sz w:val="16"/>
          <w:szCs w:val="16"/>
        </w:rPr>
        <w:t>Commission</w:t>
      </w:r>
      <w:r w:rsidR="005668B9">
        <w:rPr>
          <w:rFonts w:asciiTheme="majorHAnsi" w:hAnsiTheme="majorHAnsi"/>
          <w:color w:val="auto"/>
          <w:sz w:val="16"/>
          <w:szCs w:val="16"/>
        </w:rPr>
        <w:t xml:space="preserve"> on Human Rights</w:t>
      </w:r>
      <w:r w:rsidRPr="00A51861">
        <w:rPr>
          <w:rFonts w:asciiTheme="majorHAnsi" w:hAnsiTheme="majorHAnsi"/>
          <w:color w:val="auto"/>
          <w:sz w:val="16"/>
          <w:szCs w:val="16"/>
        </w:rPr>
        <w:t>).</w:t>
      </w:r>
    </w:p>
  </w:footnote>
  <w:footnote w:id="200">
    <w:p w14:paraId="6B2DDBDC" w14:textId="6BED03FF"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5668B9">
        <w:rPr>
          <w:rFonts w:asciiTheme="majorHAnsi" w:hAnsiTheme="majorHAnsi"/>
          <w:color w:val="auto"/>
          <w:sz w:val="16"/>
          <w:szCs w:val="16"/>
        </w:rPr>
        <w:t>C</w:t>
      </w:r>
      <w:r w:rsidR="005668B9" w:rsidRPr="005668B9">
        <w:rPr>
          <w:rFonts w:asciiTheme="majorHAnsi" w:hAnsiTheme="majorHAnsi"/>
          <w:color w:val="auto"/>
          <w:sz w:val="16"/>
          <w:szCs w:val="16"/>
        </w:rPr>
        <w:t>onvention against torture and other cruel inhuman or degrading treatment or punishment</w:t>
      </w:r>
      <w:r w:rsidRPr="00A51861">
        <w:rPr>
          <w:rFonts w:asciiTheme="majorHAnsi" w:hAnsiTheme="majorHAnsi"/>
          <w:color w:val="auto"/>
          <w:sz w:val="16"/>
          <w:szCs w:val="16"/>
        </w:rPr>
        <w:t>, Art.1</w:t>
      </w:r>
      <w:r w:rsidR="007E4AFF">
        <w:rPr>
          <w:rFonts w:asciiTheme="majorHAnsi" w:hAnsiTheme="majorHAnsi"/>
          <w:color w:val="auto"/>
          <w:sz w:val="16"/>
          <w:szCs w:val="16"/>
        </w:rPr>
        <w:t>.</w:t>
      </w:r>
    </w:p>
  </w:footnote>
  <w:footnote w:id="201">
    <w:p w14:paraId="59588972" w14:textId="400AF103"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0E67CA">
        <w:rPr>
          <w:rFonts w:asciiTheme="majorHAnsi" w:hAnsiTheme="majorHAnsi"/>
          <w:color w:val="auto"/>
          <w:sz w:val="16"/>
          <w:szCs w:val="16"/>
        </w:rPr>
        <w:t>IACHR</w:t>
      </w:r>
      <w:r w:rsidRPr="00A51861">
        <w:rPr>
          <w:rFonts w:asciiTheme="majorHAnsi" w:hAnsiTheme="majorHAnsi"/>
          <w:color w:val="auto"/>
          <w:sz w:val="16"/>
          <w:szCs w:val="16"/>
        </w:rPr>
        <w:t>.</w:t>
      </w:r>
      <w:r w:rsidR="000E67CA">
        <w:rPr>
          <w:rFonts w:asciiTheme="majorHAnsi" w:hAnsiTheme="majorHAnsi"/>
          <w:color w:val="auto"/>
          <w:sz w:val="16"/>
          <w:szCs w:val="16"/>
        </w:rPr>
        <w:t xml:space="preserve"> Report </w:t>
      </w:r>
      <w:r w:rsidRPr="00A51861">
        <w:rPr>
          <w:rFonts w:asciiTheme="majorHAnsi" w:hAnsiTheme="majorHAnsi"/>
          <w:color w:val="auto"/>
          <w:sz w:val="16"/>
          <w:szCs w:val="16"/>
        </w:rPr>
        <w:t xml:space="preserve">No. 35/96. Luis Lizardo Cabrera. </w:t>
      </w:r>
      <w:r w:rsidR="00154218">
        <w:rPr>
          <w:rFonts w:asciiTheme="majorHAnsi" w:hAnsiTheme="majorHAnsi"/>
          <w:color w:val="auto"/>
          <w:sz w:val="16"/>
          <w:szCs w:val="16"/>
        </w:rPr>
        <w:t>Dominican Republic</w:t>
      </w:r>
      <w:r w:rsidRPr="00A51861">
        <w:rPr>
          <w:rFonts w:asciiTheme="majorHAnsi" w:hAnsiTheme="majorHAnsi"/>
          <w:color w:val="auto"/>
          <w:sz w:val="16"/>
          <w:szCs w:val="16"/>
        </w:rPr>
        <w:t>. 1</w:t>
      </w:r>
      <w:r w:rsidR="00356384">
        <w:rPr>
          <w:rFonts w:asciiTheme="majorHAnsi" w:hAnsiTheme="majorHAnsi"/>
          <w:color w:val="auto"/>
          <w:sz w:val="16"/>
          <w:szCs w:val="16"/>
        </w:rPr>
        <w:t xml:space="preserve">February 9, </w:t>
      </w:r>
      <w:r w:rsidRPr="00A51861">
        <w:rPr>
          <w:rFonts w:asciiTheme="majorHAnsi" w:hAnsiTheme="majorHAnsi"/>
          <w:color w:val="auto"/>
          <w:sz w:val="16"/>
          <w:szCs w:val="16"/>
        </w:rPr>
        <w:t xml:space="preserve">1998. </w:t>
      </w:r>
      <w:r w:rsidR="00680DA3">
        <w:rPr>
          <w:rFonts w:asciiTheme="majorHAnsi" w:hAnsiTheme="majorHAnsi"/>
          <w:color w:val="auto"/>
          <w:sz w:val="16"/>
          <w:szCs w:val="16"/>
        </w:rPr>
        <w:t>Paragraph</w:t>
      </w:r>
      <w:r w:rsidRPr="00A51861">
        <w:rPr>
          <w:rFonts w:asciiTheme="majorHAnsi" w:hAnsiTheme="majorHAnsi"/>
          <w:color w:val="auto"/>
          <w:sz w:val="16"/>
          <w:szCs w:val="16"/>
        </w:rPr>
        <w:t xml:space="preserve"> 77 (</w:t>
      </w:r>
      <w:r w:rsidR="00F406E1">
        <w:rPr>
          <w:rFonts w:asciiTheme="majorHAnsi" w:hAnsiTheme="majorHAnsi"/>
          <w:color w:val="auto"/>
          <w:sz w:val="16"/>
          <w:szCs w:val="16"/>
        </w:rPr>
        <w:t>citing</w:t>
      </w:r>
      <w:r w:rsidR="00FE1E27">
        <w:rPr>
          <w:rFonts w:asciiTheme="majorHAnsi" w:hAnsiTheme="majorHAnsi"/>
          <w:color w:val="auto"/>
          <w:sz w:val="16"/>
          <w:szCs w:val="16"/>
        </w:rPr>
        <w:t xml:space="preserve"> </w:t>
      </w:r>
      <w:r w:rsidR="00A51861" w:rsidRPr="00A51861">
        <w:rPr>
          <w:rFonts w:asciiTheme="majorHAnsi" w:hAnsiTheme="majorHAnsi"/>
          <w:color w:val="auto"/>
          <w:sz w:val="16"/>
          <w:szCs w:val="16"/>
        </w:rPr>
        <w:t xml:space="preserve">the </w:t>
      </w:r>
      <w:r w:rsidR="00FE1E27">
        <w:rPr>
          <w:rFonts w:asciiTheme="majorHAnsi" w:hAnsiTheme="majorHAnsi"/>
          <w:color w:val="auto"/>
          <w:sz w:val="16"/>
          <w:szCs w:val="16"/>
        </w:rPr>
        <w:t>European Commission on Human Rights</w:t>
      </w:r>
      <w:r w:rsidRPr="00A51861">
        <w:rPr>
          <w:rFonts w:asciiTheme="majorHAnsi" w:hAnsiTheme="majorHAnsi"/>
          <w:color w:val="auto"/>
          <w:sz w:val="16"/>
          <w:szCs w:val="16"/>
        </w:rPr>
        <w:t xml:space="preserve">, </w:t>
      </w:r>
      <w:r w:rsidR="00FE1E27">
        <w:rPr>
          <w:rFonts w:asciiTheme="majorHAnsi" w:hAnsiTheme="majorHAnsi"/>
          <w:color w:val="auto"/>
          <w:sz w:val="16"/>
          <w:szCs w:val="16"/>
        </w:rPr>
        <w:t>the Greek case</w:t>
      </w:r>
      <w:r w:rsidRPr="00A51861">
        <w:rPr>
          <w:rFonts w:asciiTheme="majorHAnsi" w:hAnsiTheme="majorHAnsi"/>
          <w:color w:val="auto"/>
          <w:sz w:val="16"/>
          <w:szCs w:val="16"/>
        </w:rPr>
        <w:t>, 1969, 12 An</w:t>
      </w:r>
      <w:r w:rsidR="00FE1E27">
        <w:rPr>
          <w:rFonts w:asciiTheme="majorHAnsi" w:hAnsiTheme="majorHAnsi"/>
          <w:color w:val="auto"/>
          <w:sz w:val="16"/>
          <w:szCs w:val="16"/>
        </w:rPr>
        <w:t>n</w:t>
      </w:r>
      <w:r w:rsidRPr="00A51861">
        <w:rPr>
          <w:rFonts w:asciiTheme="majorHAnsi" w:hAnsiTheme="majorHAnsi"/>
          <w:color w:val="auto"/>
          <w:sz w:val="16"/>
          <w:szCs w:val="16"/>
        </w:rPr>
        <w:t>uar</w:t>
      </w:r>
      <w:r w:rsidR="00FE1E27">
        <w:rPr>
          <w:rFonts w:asciiTheme="majorHAnsi" w:hAnsiTheme="majorHAnsi"/>
          <w:color w:val="auto"/>
          <w:sz w:val="16"/>
          <w:szCs w:val="16"/>
        </w:rPr>
        <w:t>y</w:t>
      </w:r>
      <w:r w:rsidR="00061928">
        <w:rPr>
          <w:rFonts w:asciiTheme="majorHAnsi" w:hAnsiTheme="majorHAnsi"/>
          <w:color w:val="auto"/>
          <w:sz w:val="16"/>
          <w:szCs w:val="16"/>
        </w:rPr>
        <w:t xml:space="preserve"> of the </w:t>
      </w:r>
      <w:r w:rsidR="00FE1E27" w:rsidRPr="00A51861">
        <w:rPr>
          <w:rFonts w:asciiTheme="majorHAnsi" w:hAnsiTheme="majorHAnsi"/>
          <w:color w:val="auto"/>
          <w:sz w:val="16"/>
          <w:szCs w:val="16"/>
        </w:rPr>
        <w:t>Europea</w:t>
      </w:r>
      <w:r w:rsidR="00FE1E27">
        <w:rPr>
          <w:rFonts w:asciiTheme="majorHAnsi" w:hAnsiTheme="majorHAnsi"/>
          <w:color w:val="auto"/>
          <w:sz w:val="16"/>
          <w:szCs w:val="16"/>
        </w:rPr>
        <w:t>n</w:t>
      </w:r>
      <w:r w:rsidR="00FE1E27" w:rsidRPr="00A51861">
        <w:rPr>
          <w:rFonts w:asciiTheme="majorHAnsi" w:hAnsiTheme="majorHAnsi"/>
          <w:color w:val="auto"/>
          <w:sz w:val="16"/>
          <w:szCs w:val="16"/>
        </w:rPr>
        <w:t xml:space="preserve"> </w:t>
      </w:r>
      <w:r w:rsidR="00CB4E23">
        <w:rPr>
          <w:rFonts w:asciiTheme="majorHAnsi" w:hAnsiTheme="majorHAnsi"/>
          <w:color w:val="auto"/>
          <w:sz w:val="16"/>
          <w:szCs w:val="16"/>
        </w:rPr>
        <w:t>Convention</w:t>
      </w:r>
      <w:r w:rsidRPr="00A51861">
        <w:rPr>
          <w:rFonts w:asciiTheme="majorHAnsi" w:hAnsiTheme="majorHAnsi"/>
          <w:color w:val="auto"/>
          <w:sz w:val="16"/>
          <w:szCs w:val="16"/>
        </w:rPr>
        <w:t xml:space="preserve"> </w:t>
      </w:r>
      <w:r w:rsidR="00FE1E27">
        <w:rPr>
          <w:rFonts w:asciiTheme="majorHAnsi" w:hAnsiTheme="majorHAnsi"/>
          <w:color w:val="auto"/>
          <w:sz w:val="16"/>
          <w:szCs w:val="16"/>
        </w:rPr>
        <w:t>on</w:t>
      </w:r>
      <w:r w:rsidRPr="00A51861">
        <w:rPr>
          <w:rFonts w:asciiTheme="majorHAnsi" w:hAnsiTheme="majorHAnsi"/>
          <w:color w:val="auto"/>
          <w:sz w:val="16"/>
          <w:szCs w:val="16"/>
        </w:rPr>
        <w:t xml:space="preserve"> </w:t>
      </w:r>
      <w:r w:rsidR="00FE1E27">
        <w:rPr>
          <w:rFonts w:asciiTheme="majorHAnsi" w:hAnsiTheme="majorHAnsi"/>
          <w:color w:val="auto"/>
          <w:sz w:val="16"/>
          <w:szCs w:val="16"/>
        </w:rPr>
        <w:t>Human Rights</w:t>
      </w:r>
      <w:r w:rsidRPr="00A51861">
        <w:rPr>
          <w:rFonts w:asciiTheme="majorHAnsi" w:hAnsiTheme="majorHAnsi"/>
          <w:color w:val="auto"/>
          <w:sz w:val="16"/>
          <w:szCs w:val="16"/>
        </w:rPr>
        <w:t xml:space="preserve"> 12).</w:t>
      </w:r>
    </w:p>
  </w:footnote>
  <w:footnote w:id="202">
    <w:p w14:paraId="349DC470" w14:textId="15CD9C3B"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0E67CA">
        <w:rPr>
          <w:rFonts w:asciiTheme="majorHAnsi" w:hAnsiTheme="majorHAnsi"/>
          <w:color w:val="auto"/>
          <w:sz w:val="16"/>
          <w:szCs w:val="16"/>
        </w:rPr>
        <w:t>IACHR</w:t>
      </w:r>
      <w:r w:rsidRPr="00A51861">
        <w:rPr>
          <w:rFonts w:asciiTheme="majorHAnsi" w:hAnsiTheme="majorHAnsi"/>
          <w:color w:val="auto"/>
          <w:sz w:val="16"/>
          <w:szCs w:val="16"/>
        </w:rPr>
        <w:t>.</w:t>
      </w:r>
      <w:r w:rsidR="000E67CA">
        <w:rPr>
          <w:rFonts w:asciiTheme="majorHAnsi" w:hAnsiTheme="majorHAnsi"/>
          <w:color w:val="auto"/>
          <w:sz w:val="16"/>
          <w:szCs w:val="16"/>
        </w:rPr>
        <w:t xml:space="preserve"> Report </w:t>
      </w:r>
      <w:r w:rsidRPr="00A51861">
        <w:rPr>
          <w:rFonts w:asciiTheme="majorHAnsi" w:hAnsiTheme="majorHAnsi"/>
          <w:color w:val="auto"/>
          <w:sz w:val="16"/>
          <w:szCs w:val="16"/>
        </w:rPr>
        <w:t xml:space="preserve">No. 64/12. </w:t>
      </w:r>
      <w:r w:rsidR="00B6596B">
        <w:rPr>
          <w:rFonts w:asciiTheme="majorHAnsi" w:hAnsiTheme="majorHAnsi"/>
          <w:color w:val="auto"/>
          <w:sz w:val="16"/>
          <w:szCs w:val="16"/>
        </w:rPr>
        <w:t xml:space="preserve">Case </w:t>
      </w:r>
      <w:r w:rsidRPr="00A51861">
        <w:rPr>
          <w:rFonts w:asciiTheme="majorHAnsi" w:hAnsiTheme="majorHAnsi"/>
          <w:color w:val="auto"/>
          <w:sz w:val="16"/>
          <w:szCs w:val="16"/>
        </w:rPr>
        <w:t xml:space="preserve">12.271. </w:t>
      </w:r>
      <w:r w:rsidR="00B6596B">
        <w:rPr>
          <w:rFonts w:asciiTheme="majorHAnsi" w:hAnsiTheme="majorHAnsi"/>
          <w:color w:val="auto"/>
          <w:sz w:val="16"/>
          <w:szCs w:val="16"/>
        </w:rPr>
        <w:t>Merits</w:t>
      </w:r>
      <w:r w:rsidRPr="00A51861">
        <w:rPr>
          <w:rFonts w:asciiTheme="majorHAnsi" w:hAnsiTheme="majorHAnsi"/>
          <w:color w:val="auto"/>
          <w:sz w:val="16"/>
          <w:szCs w:val="16"/>
        </w:rPr>
        <w:t xml:space="preserve">. Benito Tide Méndez </w:t>
      </w:r>
      <w:r w:rsidR="00061928">
        <w:rPr>
          <w:rFonts w:asciiTheme="majorHAnsi" w:hAnsiTheme="majorHAnsi"/>
          <w:color w:val="auto"/>
          <w:sz w:val="16"/>
          <w:szCs w:val="16"/>
        </w:rPr>
        <w:t xml:space="preserve">and others. </w:t>
      </w:r>
      <w:r w:rsidR="00154218">
        <w:rPr>
          <w:rFonts w:asciiTheme="majorHAnsi" w:hAnsiTheme="majorHAnsi"/>
          <w:color w:val="auto"/>
          <w:sz w:val="16"/>
          <w:szCs w:val="16"/>
        </w:rPr>
        <w:t>Dominican Republic</w:t>
      </w:r>
      <w:r w:rsidRPr="00A51861">
        <w:rPr>
          <w:rFonts w:asciiTheme="majorHAnsi" w:hAnsiTheme="majorHAnsi"/>
          <w:color w:val="auto"/>
          <w:sz w:val="16"/>
          <w:szCs w:val="16"/>
        </w:rPr>
        <w:t xml:space="preserve">. </w:t>
      </w:r>
      <w:r w:rsidR="009D4847">
        <w:rPr>
          <w:rFonts w:asciiTheme="majorHAnsi" w:hAnsiTheme="majorHAnsi"/>
          <w:color w:val="auto"/>
          <w:sz w:val="16"/>
          <w:szCs w:val="16"/>
        </w:rPr>
        <w:t xml:space="preserve">March 29, </w:t>
      </w:r>
      <w:r w:rsidRPr="00A51861">
        <w:rPr>
          <w:rFonts w:asciiTheme="majorHAnsi" w:hAnsiTheme="majorHAnsi"/>
          <w:color w:val="auto"/>
          <w:sz w:val="16"/>
          <w:szCs w:val="16"/>
        </w:rPr>
        <w:t xml:space="preserve">2012, </w:t>
      </w:r>
      <w:r w:rsidR="00680DA3">
        <w:rPr>
          <w:rFonts w:asciiTheme="majorHAnsi" w:hAnsiTheme="majorHAnsi"/>
          <w:color w:val="auto"/>
          <w:sz w:val="16"/>
          <w:szCs w:val="16"/>
        </w:rPr>
        <w:t>paragraph</w:t>
      </w:r>
      <w:r w:rsidRPr="00A51861">
        <w:rPr>
          <w:rFonts w:asciiTheme="majorHAnsi" w:hAnsiTheme="majorHAnsi"/>
          <w:color w:val="auto"/>
          <w:sz w:val="16"/>
          <w:szCs w:val="16"/>
        </w:rPr>
        <w:t xml:space="preserve"> 194; </w:t>
      </w:r>
      <w:r w:rsidR="009D4847">
        <w:rPr>
          <w:rFonts w:asciiTheme="majorHAnsi" w:hAnsiTheme="majorHAnsi"/>
          <w:color w:val="auto"/>
          <w:sz w:val="16"/>
          <w:szCs w:val="16"/>
        </w:rPr>
        <w:t xml:space="preserve">see also </w:t>
      </w:r>
      <w:r w:rsidR="000E67CA">
        <w:rPr>
          <w:rFonts w:asciiTheme="majorHAnsi" w:hAnsiTheme="majorHAnsi"/>
          <w:color w:val="auto"/>
          <w:sz w:val="16"/>
          <w:szCs w:val="16"/>
        </w:rPr>
        <w:t>IACHR</w:t>
      </w:r>
      <w:r w:rsidRPr="00A51861">
        <w:rPr>
          <w:rFonts w:asciiTheme="majorHAnsi" w:hAnsiTheme="majorHAnsi"/>
          <w:color w:val="auto"/>
          <w:sz w:val="16"/>
          <w:szCs w:val="16"/>
        </w:rPr>
        <w:t>.</w:t>
      </w:r>
      <w:r w:rsidR="000E67CA">
        <w:rPr>
          <w:rFonts w:asciiTheme="majorHAnsi" w:hAnsiTheme="majorHAnsi"/>
          <w:color w:val="auto"/>
          <w:sz w:val="16"/>
          <w:szCs w:val="16"/>
        </w:rPr>
        <w:t xml:space="preserve"> </w:t>
      </w:r>
      <w:r w:rsidR="00F406E1">
        <w:rPr>
          <w:rFonts w:asciiTheme="majorHAnsi" w:hAnsiTheme="majorHAnsi"/>
          <w:color w:val="auto"/>
          <w:sz w:val="16"/>
          <w:szCs w:val="16"/>
        </w:rPr>
        <w:t>Report on terrorism and human rights</w:t>
      </w:r>
      <w:r w:rsidRPr="00A51861">
        <w:rPr>
          <w:rFonts w:asciiTheme="majorHAnsi" w:hAnsiTheme="majorHAnsi"/>
          <w:color w:val="auto"/>
          <w:sz w:val="16"/>
          <w:szCs w:val="16"/>
        </w:rPr>
        <w:t xml:space="preserve"> (2002), </w:t>
      </w:r>
      <w:r w:rsidR="00680DA3">
        <w:rPr>
          <w:rFonts w:asciiTheme="majorHAnsi" w:hAnsiTheme="majorHAnsi"/>
          <w:color w:val="auto"/>
          <w:sz w:val="16"/>
          <w:szCs w:val="16"/>
        </w:rPr>
        <w:t>paragraph</w:t>
      </w:r>
      <w:r w:rsidRPr="00A51861">
        <w:rPr>
          <w:rFonts w:asciiTheme="majorHAnsi" w:hAnsiTheme="majorHAnsi"/>
          <w:color w:val="auto"/>
          <w:sz w:val="16"/>
          <w:szCs w:val="16"/>
        </w:rPr>
        <w:t xml:space="preserve"> 159 (</w:t>
      </w:r>
      <w:r w:rsidR="00F406E1">
        <w:rPr>
          <w:rFonts w:asciiTheme="majorHAnsi" w:hAnsiTheme="majorHAnsi"/>
          <w:color w:val="auto"/>
          <w:sz w:val="16"/>
          <w:szCs w:val="16"/>
        </w:rPr>
        <w:t>citing</w:t>
      </w:r>
      <w:r w:rsidRPr="00A51861">
        <w:rPr>
          <w:rFonts w:asciiTheme="majorHAnsi" w:hAnsiTheme="majorHAnsi"/>
          <w:color w:val="auto"/>
          <w:sz w:val="16"/>
          <w:szCs w:val="16"/>
        </w:rPr>
        <w:t xml:space="preserve"> Loayza Tamayo vs. </w:t>
      </w:r>
      <w:r w:rsidR="00BD656D">
        <w:rPr>
          <w:rFonts w:asciiTheme="majorHAnsi" w:hAnsiTheme="majorHAnsi"/>
          <w:color w:val="auto"/>
          <w:sz w:val="16"/>
          <w:szCs w:val="16"/>
        </w:rPr>
        <w:t>Peru</w:t>
      </w:r>
      <w:r w:rsidRPr="00A51861">
        <w:rPr>
          <w:rFonts w:asciiTheme="majorHAnsi" w:hAnsiTheme="majorHAnsi"/>
          <w:color w:val="auto"/>
          <w:sz w:val="16"/>
          <w:szCs w:val="16"/>
        </w:rPr>
        <w:t xml:space="preserve">, </w:t>
      </w:r>
      <w:r w:rsidR="009D4847">
        <w:rPr>
          <w:rFonts w:asciiTheme="majorHAnsi" w:hAnsiTheme="majorHAnsi"/>
          <w:color w:val="auto"/>
          <w:sz w:val="16"/>
          <w:szCs w:val="16"/>
        </w:rPr>
        <w:t>September 19,</w:t>
      </w:r>
      <w:r w:rsidRPr="00A51861">
        <w:rPr>
          <w:rFonts w:asciiTheme="majorHAnsi" w:hAnsiTheme="majorHAnsi"/>
          <w:color w:val="auto"/>
          <w:sz w:val="16"/>
          <w:szCs w:val="16"/>
        </w:rPr>
        <w:t xml:space="preserve"> 1997, </w:t>
      </w:r>
      <w:r w:rsidR="00680DA3">
        <w:rPr>
          <w:rFonts w:asciiTheme="majorHAnsi" w:hAnsiTheme="majorHAnsi"/>
          <w:color w:val="auto"/>
          <w:sz w:val="16"/>
          <w:szCs w:val="16"/>
        </w:rPr>
        <w:t>paragraph</w:t>
      </w:r>
      <w:r w:rsidRPr="00A51861">
        <w:rPr>
          <w:rFonts w:asciiTheme="majorHAnsi" w:hAnsiTheme="majorHAnsi"/>
          <w:color w:val="auto"/>
          <w:sz w:val="16"/>
          <w:szCs w:val="16"/>
        </w:rPr>
        <w:t xml:space="preserve">s 57; </w:t>
      </w:r>
      <w:r w:rsidR="009D4847">
        <w:rPr>
          <w:rFonts w:asciiTheme="majorHAnsi" w:hAnsiTheme="majorHAnsi"/>
          <w:color w:val="auto"/>
          <w:sz w:val="16"/>
          <w:szCs w:val="16"/>
        </w:rPr>
        <w:t>European Court on Human Rights</w:t>
      </w:r>
      <w:r w:rsidRPr="00A51861">
        <w:rPr>
          <w:rFonts w:asciiTheme="majorHAnsi" w:hAnsiTheme="majorHAnsi"/>
          <w:color w:val="auto"/>
          <w:sz w:val="16"/>
          <w:szCs w:val="16"/>
        </w:rPr>
        <w:t xml:space="preserve">, Ribitsch vs. Austria, </w:t>
      </w:r>
      <w:r w:rsidR="004E56A9">
        <w:rPr>
          <w:rFonts w:asciiTheme="majorHAnsi" w:hAnsiTheme="majorHAnsi"/>
          <w:color w:val="auto"/>
          <w:sz w:val="16"/>
          <w:szCs w:val="16"/>
        </w:rPr>
        <w:t>Judgment</w:t>
      </w:r>
      <w:r w:rsidRPr="00A51861">
        <w:rPr>
          <w:rFonts w:asciiTheme="majorHAnsi" w:hAnsiTheme="majorHAnsi"/>
          <w:color w:val="auto"/>
          <w:sz w:val="16"/>
          <w:szCs w:val="16"/>
        </w:rPr>
        <w:t xml:space="preserve"> </w:t>
      </w:r>
      <w:r w:rsidR="009D4847">
        <w:rPr>
          <w:rFonts w:asciiTheme="majorHAnsi" w:hAnsiTheme="majorHAnsi"/>
          <w:color w:val="auto"/>
          <w:sz w:val="16"/>
          <w:szCs w:val="16"/>
        </w:rPr>
        <w:t xml:space="preserve">of December 4, </w:t>
      </w:r>
      <w:r w:rsidRPr="00A51861">
        <w:rPr>
          <w:rFonts w:asciiTheme="majorHAnsi" w:hAnsiTheme="majorHAnsi"/>
          <w:color w:val="auto"/>
          <w:sz w:val="16"/>
          <w:szCs w:val="16"/>
        </w:rPr>
        <w:t xml:space="preserve">1995, Series A Nº 336, </w:t>
      </w:r>
      <w:r w:rsidR="00680DA3">
        <w:rPr>
          <w:rFonts w:asciiTheme="majorHAnsi" w:hAnsiTheme="majorHAnsi"/>
          <w:color w:val="auto"/>
          <w:sz w:val="16"/>
          <w:szCs w:val="16"/>
        </w:rPr>
        <w:t>paragraph</w:t>
      </w:r>
      <w:r w:rsidRPr="00A51861">
        <w:rPr>
          <w:rFonts w:asciiTheme="majorHAnsi" w:hAnsiTheme="majorHAnsi"/>
          <w:color w:val="auto"/>
          <w:sz w:val="16"/>
          <w:szCs w:val="16"/>
        </w:rPr>
        <w:t xml:space="preserve"> 36; </w:t>
      </w:r>
      <w:r w:rsidR="00036743">
        <w:rPr>
          <w:rFonts w:asciiTheme="majorHAnsi" w:hAnsiTheme="majorHAnsi"/>
          <w:color w:val="auto"/>
          <w:sz w:val="16"/>
          <w:szCs w:val="16"/>
        </w:rPr>
        <w:t>IHR Court</w:t>
      </w:r>
      <w:r w:rsidRPr="00A51861">
        <w:rPr>
          <w:rFonts w:asciiTheme="majorHAnsi" w:hAnsiTheme="majorHAnsi"/>
          <w:color w:val="auto"/>
          <w:sz w:val="16"/>
          <w:szCs w:val="16"/>
        </w:rPr>
        <w:t xml:space="preserve">, Cantoral Benavides v. </w:t>
      </w:r>
      <w:r w:rsidR="00BD656D">
        <w:rPr>
          <w:rFonts w:asciiTheme="majorHAnsi" w:hAnsiTheme="majorHAnsi"/>
          <w:color w:val="auto"/>
          <w:sz w:val="16"/>
          <w:szCs w:val="16"/>
        </w:rPr>
        <w:t>Peru</w:t>
      </w:r>
      <w:r w:rsidRPr="00A51861">
        <w:rPr>
          <w:rFonts w:asciiTheme="majorHAnsi" w:hAnsiTheme="majorHAnsi"/>
          <w:color w:val="auto"/>
          <w:sz w:val="16"/>
          <w:szCs w:val="16"/>
        </w:rPr>
        <w:t xml:space="preserve">. Méritos. </w:t>
      </w:r>
      <w:r w:rsidR="004E56A9">
        <w:rPr>
          <w:rFonts w:asciiTheme="majorHAnsi" w:hAnsiTheme="majorHAnsi"/>
          <w:color w:val="auto"/>
          <w:sz w:val="16"/>
          <w:szCs w:val="16"/>
        </w:rPr>
        <w:t>Judgment</w:t>
      </w:r>
      <w:r w:rsidRPr="00A51861">
        <w:rPr>
          <w:rFonts w:asciiTheme="majorHAnsi" w:hAnsiTheme="majorHAnsi"/>
          <w:color w:val="auto"/>
          <w:sz w:val="16"/>
          <w:szCs w:val="16"/>
        </w:rPr>
        <w:t xml:space="preserve"> </w:t>
      </w:r>
      <w:r w:rsidR="009D4847">
        <w:rPr>
          <w:rFonts w:asciiTheme="majorHAnsi" w:hAnsiTheme="majorHAnsi"/>
          <w:color w:val="auto"/>
          <w:sz w:val="16"/>
          <w:szCs w:val="16"/>
        </w:rPr>
        <w:t xml:space="preserve">of August 18, </w:t>
      </w:r>
      <w:r w:rsidRPr="00A51861">
        <w:rPr>
          <w:rFonts w:asciiTheme="majorHAnsi" w:hAnsiTheme="majorHAnsi"/>
          <w:color w:val="auto"/>
          <w:sz w:val="16"/>
          <w:szCs w:val="16"/>
        </w:rPr>
        <w:t xml:space="preserve">2000, </w:t>
      </w:r>
      <w:r w:rsidR="00680DA3">
        <w:rPr>
          <w:rFonts w:asciiTheme="majorHAnsi" w:hAnsiTheme="majorHAnsi"/>
          <w:color w:val="auto"/>
          <w:sz w:val="16"/>
          <w:szCs w:val="16"/>
        </w:rPr>
        <w:t>paragraph</w:t>
      </w:r>
      <w:r w:rsidRPr="00A51861">
        <w:rPr>
          <w:rFonts w:asciiTheme="majorHAnsi" w:hAnsiTheme="majorHAnsi"/>
          <w:color w:val="auto"/>
          <w:sz w:val="16"/>
          <w:szCs w:val="16"/>
        </w:rPr>
        <w:t xml:space="preserve"> 100).</w:t>
      </w:r>
    </w:p>
  </w:footnote>
  <w:footnote w:id="203">
    <w:p w14:paraId="2385D75A" w14:textId="00512481"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0E67CA">
        <w:rPr>
          <w:rFonts w:asciiTheme="majorHAnsi" w:hAnsiTheme="majorHAnsi"/>
          <w:color w:val="auto"/>
          <w:sz w:val="16"/>
          <w:szCs w:val="16"/>
        </w:rPr>
        <w:t>IACHR</w:t>
      </w:r>
      <w:r w:rsidRPr="00A51861">
        <w:rPr>
          <w:rFonts w:asciiTheme="majorHAnsi" w:hAnsiTheme="majorHAnsi"/>
          <w:color w:val="auto"/>
          <w:sz w:val="16"/>
          <w:szCs w:val="16"/>
        </w:rPr>
        <w:t>.</w:t>
      </w:r>
      <w:r w:rsidR="000E67CA">
        <w:rPr>
          <w:rFonts w:asciiTheme="majorHAnsi" w:hAnsiTheme="majorHAnsi"/>
          <w:color w:val="auto"/>
          <w:sz w:val="16"/>
          <w:szCs w:val="16"/>
        </w:rPr>
        <w:t xml:space="preserve"> </w:t>
      </w:r>
      <w:r w:rsidR="00F406E1">
        <w:rPr>
          <w:rFonts w:asciiTheme="majorHAnsi" w:hAnsiTheme="majorHAnsi"/>
          <w:color w:val="auto"/>
          <w:sz w:val="16"/>
          <w:szCs w:val="16"/>
        </w:rPr>
        <w:t>Report on terrorism and human rights</w:t>
      </w:r>
      <w:r w:rsidRPr="00A51861">
        <w:rPr>
          <w:rFonts w:asciiTheme="majorHAnsi" w:hAnsiTheme="majorHAnsi"/>
          <w:color w:val="auto"/>
          <w:sz w:val="16"/>
          <w:szCs w:val="16"/>
        </w:rPr>
        <w:t xml:space="preserve"> (2002), </w:t>
      </w:r>
      <w:r w:rsidR="00680DA3">
        <w:rPr>
          <w:rFonts w:asciiTheme="majorHAnsi" w:hAnsiTheme="majorHAnsi"/>
          <w:color w:val="auto"/>
          <w:sz w:val="16"/>
          <w:szCs w:val="16"/>
        </w:rPr>
        <w:t>paragraph</w:t>
      </w:r>
      <w:r w:rsidRPr="00A51861">
        <w:rPr>
          <w:rFonts w:asciiTheme="majorHAnsi" w:hAnsiTheme="majorHAnsi"/>
          <w:color w:val="auto"/>
          <w:sz w:val="16"/>
          <w:szCs w:val="16"/>
        </w:rPr>
        <w:t xml:space="preserve"> 157 (</w:t>
      </w:r>
      <w:r w:rsidR="00F406E1">
        <w:rPr>
          <w:rFonts w:asciiTheme="majorHAnsi" w:hAnsiTheme="majorHAnsi"/>
          <w:color w:val="auto"/>
          <w:sz w:val="16"/>
          <w:szCs w:val="16"/>
        </w:rPr>
        <w:t>citing</w:t>
      </w:r>
      <w:r w:rsidRPr="00A51861">
        <w:rPr>
          <w:rFonts w:asciiTheme="majorHAnsi" w:hAnsiTheme="majorHAnsi"/>
          <w:color w:val="auto"/>
          <w:sz w:val="16"/>
          <w:szCs w:val="16"/>
        </w:rPr>
        <w:t xml:space="preserve"> </w:t>
      </w:r>
      <w:r w:rsidR="000E67CA">
        <w:rPr>
          <w:rFonts w:asciiTheme="majorHAnsi" w:hAnsiTheme="majorHAnsi"/>
          <w:color w:val="auto"/>
          <w:sz w:val="16"/>
          <w:szCs w:val="16"/>
        </w:rPr>
        <w:t>IACHR</w:t>
      </w:r>
      <w:r w:rsidRPr="00A51861">
        <w:rPr>
          <w:rFonts w:asciiTheme="majorHAnsi" w:hAnsiTheme="majorHAnsi"/>
          <w:color w:val="auto"/>
          <w:sz w:val="16"/>
          <w:szCs w:val="16"/>
        </w:rPr>
        <w:t>,</w:t>
      </w:r>
      <w:r w:rsidR="000E67CA">
        <w:rPr>
          <w:rFonts w:asciiTheme="majorHAnsi" w:hAnsiTheme="majorHAnsi"/>
          <w:color w:val="auto"/>
          <w:sz w:val="16"/>
          <w:szCs w:val="16"/>
        </w:rPr>
        <w:t xml:space="preserve"> Report </w:t>
      </w:r>
      <w:r w:rsidRPr="00A51861">
        <w:rPr>
          <w:rFonts w:asciiTheme="majorHAnsi" w:hAnsiTheme="majorHAnsi"/>
          <w:color w:val="auto"/>
          <w:sz w:val="16"/>
          <w:szCs w:val="16"/>
        </w:rPr>
        <w:t xml:space="preserve">No. 35/96. Luis Lizardo Cabrera, </w:t>
      </w:r>
      <w:r w:rsidR="00154218">
        <w:rPr>
          <w:rFonts w:asciiTheme="majorHAnsi" w:hAnsiTheme="majorHAnsi"/>
          <w:color w:val="auto"/>
          <w:sz w:val="16"/>
          <w:szCs w:val="16"/>
        </w:rPr>
        <w:t>Dominican Republic</w:t>
      </w:r>
      <w:r w:rsidRPr="00A51861">
        <w:rPr>
          <w:rFonts w:asciiTheme="majorHAnsi" w:hAnsiTheme="majorHAnsi"/>
          <w:color w:val="auto"/>
          <w:sz w:val="16"/>
          <w:szCs w:val="16"/>
        </w:rPr>
        <w:t>, 1</w:t>
      </w:r>
      <w:r w:rsidR="009D4847">
        <w:rPr>
          <w:rFonts w:asciiTheme="majorHAnsi" w:hAnsiTheme="majorHAnsi"/>
          <w:color w:val="auto"/>
          <w:sz w:val="16"/>
          <w:szCs w:val="16"/>
        </w:rPr>
        <w:t xml:space="preserve"> </w:t>
      </w:r>
      <w:r w:rsidR="00356384">
        <w:rPr>
          <w:rFonts w:asciiTheme="majorHAnsi" w:hAnsiTheme="majorHAnsi"/>
          <w:color w:val="auto"/>
          <w:sz w:val="16"/>
          <w:szCs w:val="16"/>
        </w:rPr>
        <w:t xml:space="preserve">February 9, </w:t>
      </w:r>
      <w:r w:rsidRPr="00A51861">
        <w:rPr>
          <w:rFonts w:asciiTheme="majorHAnsi" w:hAnsiTheme="majorHAnsi"/>
          <w:color w:val="auto"/>
          <w:sz w:val="16"/>
          <w:szCs w:val="16"/>
        </w:rPr>
        <w:t xml:space="preserve">1998, </w:t>
      </w:r>
      <w:r w:rsidR="00680DA3">
        <w:rPr>
          <w:rFonts w:asciiTheme="majorHAnsi" w:hAnsiTheme="majorHAnsi"/>
          <w:color w:val="auto"/>
          <w:sz w:val="16"/>
          <w:szCs w:val="16"/>
        </w:rPr>
        <w:t>paragraph</w:t>
      </w:r>
      <w:r w:rsidRPr="00A51861">
        <w:rPr>
          <w:rFonts w:asciiTheme="majorHAnsi" w:hAnsiTheme="majorHAnsi"/>
          <w:color w:val="auto"/>
          <w:sz w:val="16"/>
          <w:szCs w:val="16"/>
        </w:rPr>
        <w:t xml:space="preserve"> 78 </w:t>
      </w:r>
      <w:r w:rsidR="00F406E1">
        <w:rPr>
          <w:rFonts w:asciiTheme="majorHAnsi" w:hAnsiTheme="majorHAnsi"/>
          <w:color w:val="auto"/>
          <w:sz w:val="16"/>
          <w:szCs w:val="16"/>
        </w:rPr>
        <w:t>citing</w:t>
      </w:r>
      <w:r w:rsidRPr="00A51861">
        <w:rPr>
          <w:rFonts w:asciiTheme="majorHAnsi" w:hAnsiTheme="majorHAnsi"/>
          <w:color w:val="auto"/>
          <w:sz w:val="16"/>
          <w:szCs w:val="16"/>
        </w:rPr>
        <w:t xml:space="preserve"> Irlanda vs. Reino Unido, </w:t>
      </w:r>
      <w:r w:rsidR="00680DA3">
        <w:rPr>
          <w:rFonts w:asciiTheme="majorHAnsi" w:hAnsiTheme="majorHAnsi"/>
          <w:color w:val="auto"/>
          <w:sz w:val="16"/>
          <w:szCs w:val="16"/>
        </w:rPr>
        <w:t>paragraph</w:t>
      </w:r>
      <w:r w:rsidRPr="00A51861">
        <w:rPr>
          <w:rFonts w:asciiTheme="majorHAnsi" w:hAnsiTheme="majorHAnsi"/>
          <w:color w:val="auto"/>
          <w:sz w:val="16"/>
          <w:szCs w:val="16"/>
        </w:rPr>
        <w:t>s 162-163).</w:t>
      </w:r>
    </w:p>
  </w:footnote>
  <w:footnote w:id="204">
    <w:p w14:paraId="60A3694A" w14:textId="211387E2"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0E67CA">
        <w:rPr>
          <w:rFonts w:asciiTheme="majorHAnsi" w:hAnsiTheme="majorHAnsi"/>
          <w:color w:val="auto"/>
          <w:sz w:val="16"/>
          <w:szCs w:val="16"/>
        </w:rPr>
        <w:t>IACHR</w:t>
      </w:r>
      <w:r w:rsidRPr="00A51861">
        <w:rPr>
          <w:rFonts w:asciiTheme="majorHAnsi" w:hAnsiTheme="majorHAnsi"/>
          <w:color w:val="auto"/>
          <w:sz w:val="16"/>
          <w:szCs w:val="16"/>
        </w:rPr>
        <w:t>.</w:t>
      </w:r>
      <w:r w:rsidR="000E67CA">
        <w:rPr>
          <w:rFonts w:asciiTheme="majorHAnsi" w:hAnsiTheme="majorHAnsi"/>
          <w:color w:val="auto"/>
          <w:sz w:val="16"/>
          <w:szCs w:val="16"/>
        </w:rPr>
        <w:t xml:space="preserve"> Report </w:t>
      </w:r>
      <w:r w:rsidRPr="00A51861">
        <w:rPr>
          <w:rFonts w:asciiTheme="majorHAnsi" w:hAnsiTheme="majorHAnsi"/>
          <w:color w:val="auto"/>
          <w:sz w:val="16"/>
          <w:szCs w:val="16"/>
        </w:rPr>
        <w:t xml:space="preserve">No. 64/12. </w:t>
      </w:r>
      <w:r w:rsidR="00B6596B">
        <w:rPr>
          <w:rFonts w:asciiTheme="majorHAnsi" w:hAnsiTheme="majorHAnsi"/>
          <w:color w:val="auto"/>
          <w:sz w:val="16"/>
          <w:szCs w:val="16"/>
        </w:rPr>
        <w:t xml:space="preserve">Case </w:t>
      </w:r>
      <w:r w:rsidRPr="00A51861">
        <w:rPr>
          <w:rFonts w:asciiTheme="majorHAnsi" w:hAnsiTheme="majorHAnsi"/>
          <w:color w:val="auto"/>
          <w:sz w:val="16"/>
          <w:szCs w:val="16"/>
        </w:rPr>
        <w:t xml:space="preserve">12.271. </w:t>
      </w:r>
      <w:r w:rsidR="00B6596B">
        <w:rPr>
          <w:rFonts w:asciiTheme="majorHAnsi" w:hAnsiTheme="majorHAnsi"/>
          <w:color w:val="auto"/>
          <w:sz w:val="16"/>
          <w:szCs w:val="16"/>
        </w:rPr>
        <w:t>Merits</w:t>
      </w:r>
      <w:r w:rsidRPr="00A51861">
        <w:rPr>
          <w:rFonts w:asciiTheme="majorHAnsi" w:hAnsiTheme="majorHAnsi"/>
          <w:color w:val="auto"/>
          <w:sz w:val="16"/>
          <w:szCs w:val="16"/>
        </w:rPr>
        <w:t xml:space="preserve">. Benito Tide Méndez </w:t>
      </w:r>
      <w:r w:rsidR="00061928">
        <w:rPr>
          <w:rFonts w:asciiTheme="majorHAnsi" w:hAnsiTheme="majorHAnsi"/>
          <w:color w:val="auto"/>
          <w:sz w:val="16"/>
          <w:szCs w:val="16"/>
        </w:rPr>
        <w:t xml:space="preserve">and others. </w:t>
      </w:r>
      <w:r w:rsidR="00154218">
        <w:rPr>
          <w:rFonts w:asciiTheme="majorHAnsi" w:hAnsiTheme="majorHAnsi"/>
          <w:color w:val="auto"/>
          <w:sz w:val="16"/>
          <w:szCs w:val="16"/>
        </w:rPr>
        <w:t>Dominican Republic</w:t>
      </w:r>
      <w:r w:rsidRPr="00A51861">
        <w:rPr>
          <w:rFonts w:asciiTheme="majorHAnsi" w:hAnsiTheme="majorHAnsi"/>
          <w:color w:val="auto"/>
          <w:sz w:val="16"/>
          <w:szCs w:val="16"/>
        </w:rPr>
        <w:t xml:space="preserve">. </w:t>
      </w:r>
      <w:r w:rsidR="009D4847">
        <w:rPr>
          <w:rFonts w:asciiTheme="majorHAnsi" w:hAnsiTheme="majorHAnsi"/>
          <w:color w:val="auto"/>
          <w:sz w:val="16"/>
          <w:szCs w:val="16"/>
        </w:rPr>
        <w:t xml:space="preserve">March 29, </w:t>
      </w:r>
      <w:r w:rsidRPr="00A51861">
        <w:rPr>
          <w:rFonts w:asciiTheme="majorHAnsi" w:hAnsiTheme="majorHAnsi"/>
          <w:color w:val="auto"/>
          <w:sz w:val="16"/>
          <w:szCs w:val="16"/>
        </w:rPr>
        <w:t xml:space="preserve">2012, </w:t>
      </w:r>
      <w:r w:rsidR="00680DA3">
        <w:rPr>
          <w:rFonts w:asciiTheme="majorHAnsi" w:hAnsiTheme="majorHAnsi"/>
          <w:color w:val="auto"/>
          <w:sz w:val="16"/>
          <w:szCs w:val="16"/>
        </w:rPr>
        <w:t>paragraph</w:t>
      </w:r>
      <w:r w:rsidRPr="00A51861">
        <w:rPr>
          <w:rFonts w:asciiTheme="majorHAnsi" w:hAnsiTheme="majorHAnsi"/>
          <w:color w:val="auto"/>
          <w:sz w:val="16"/>
          <w:szCs w:val="16"/>
        </w:rPr>
        <w:t xml:space="preserve"> 194</w:t>
      </w:r>
      <w:r w:rsidR="00B6596B">
        <w:rPr>
          <w:rFonts w:asciiTheme="majorHAnsi" w:hAnsiTheme="majorHAnsi"/>
          <w:color w:val="auto"/>
          <w:sz w:val="16"/>
          <w:szCs w:val="16"/>
        </w:rPr>
        <w:t xml:space="preserve"> and </w:t>
      </w:r>
      <w:r w:rsidR="000E67CA">
        <w:rPr>
          <w:rFonts w:asciiTheme="majorHAnsi" w:hAnsiTheme="majorHAnsi"/>
          <w:color w:val="auto"/>
          <w:sz w:val="16"/>
          <w:szCs w:val="16"/>
        </w:rPr>
        <w:t>IACHR</w:t>
      </w:r>
      <w:r w:rsidRPr="00A51861">
        <w:rPr>
          <w:rFonts w:asciiTheme="majorHAnsi" w:hAnsiTheme="majorHAnsi"/>
          <w:color w:val="auto"/>
          <w:sz w:val="16"/>
          <w:szCs w:val="16"/>
        </w:rPr>
        <w:t>.</w:t>
      </w:r>
      <w:r w:rsidR="000E67CA">
        <w:rPr>
          <w:rFonts w:asciiTheme="majorHAnsi" w:hAnsiTheme="majorHAnsi"/>
          <w:color w:val="auto"/>
          <w:sz w:val="16"/>
          <w:szCs w:val="16"/>
        </w:rPr>
        <w:t xml:space="preserve"> Report </w:t>
      </w:r>
      <w:r w:rsidRPr="00A51861">
        <w:rPr>
          <w:rFonts w:asciiTheme="majorHAnsi" w:hAnsiTheme="majorHAnsi"/>
          <w:color w:val="auto"/>
          <w:sz w:val="16"/>
          <w:szCs w:val="16"/>
        </w:rPr>
        <w:t xml:space="preserve">No. 29/20. </w:t>
      </w:r>
      <w:r w:rsidR="00B6596B">
        <w:rPr>
          <w:rFonts w:asciiTheme="majorHAnsi" w:hAnsiTheme="majorHAnsi"/>
          <w:color w:val="auto"/>
          <w:sz w:val="16"/>
          <w:szCs w:val="16"/>
        </w:rPr>
        <w:t xml:space="preserve">Case </w:t>
      </w:r>
      <w:r w:rsidRPr="00A51861">
        <w:rPr>
          <w:rFonts w:asciiTheme="majorHAnsi" w:hAnsiTheme="majorHAnsi"/>
          <w:color w:val="auto"/>
          <w:sz w:val="16"/>
          <w:szCs w:val="16"/>
        </w:rPr>
        <w:t xml:space="preserve">12.865. </w:t>
      </w:r>
      <w:r w:rsidR="00B6596B">
        <w:rPr>
          <w:rFonts w:asciiTheme="majorHAnsi" w:hAnsiTheme="majorHAnsi"/>
          <w:color w:val="auto"/>
          <w:sz w:val="16"/>
          <w:szCs w:val="16"/>
        </w:rPr>
        <w:t>Merits</w:t>
      </w:r>
      <w:r w:rsidRPr="00A51861">
        <w:rPr>
          <w:rFonts w:asciiTheme="majorHAnsi" w:hAnsiTheme="majorHAnsi"/>
          <w:color w:val="auto"/>
          <w:sz w:val="16"/>
          <w:szCs w:val="16"/>
        </w:rPr>
        <w:t xml:space="preserve">. Djamel Ameziane. </w:t>
      </w:r>
      <w:r w:rsidR="00347146">
        <w:rPr>
          <w:rFonts w:asciiTheme="majorHAnsi" w:hAnsiTheme="majorHAnsi"/>
          <w:color w:val="auto"/>
          <w:sz w:val="16"/>
          <w:szCs w:val="16"/>
        </w:rPr>
        <w:t>United States</w:t>
      </w:r>
      <w:r w:rsidRPr="00A51861">
        <w:rPr>
          <w:rFonts w:asciiTheme="majorHAnsi" w:hAnsiTheme="majorHAnsi"/>
          <w:color w:val="auto"/>
          <w:sz w:val="16"/>
          <w:szCs w:val="16"/>
        </w:rPr>
        <w:t xml:space="preserve">. </w:t>
      </w:r>
      <w:r w:rsidR="00BD656D">
        <w:rPr>
          <w:rFonts w:asciiTheme="majorHAnsi" w:hAnsiTheme="majorHAnsi"/>
          <w:color w:val="auto"/>
          <w:sz w:val="16"/>
          <w:szCs w:val="16"/>
        </w:rPr>
        <w:t xml:space="preserve">April 22, </w:t>
      </w:r>
      <w:r w:rsidRPr="00A51861">
        <w:rPr>
          <w:rFonts w:asciiTheme="majorHAnsi" w:hAnsiTheme="majorHAnsi"/>
          <w:color w:val="auto"/>
          <w:sz w:val="16"/>
          <w:szCs w:val="16"/>
        </w:rPr>
        <w:t>2020.</w:t>
      </w:r>
    </w:p>
  </w:footnote>
  <w:footnote w:id="205">
    <w:p w14:paraId="780B34AA" w14:textId="5D74FBCE"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0E67CA">
        <w:rPr>
          <w:rFonts w:asciiTheme="majorHAnsi" w:hAnsiTheme="majorHAnsi"/>
          <w:color w:val="auto"/>
          <w:sz w:val="16"/>
          <w:szCs w:val="16"/>
        </w:rPr>
        <w:t>IACHR</w:t>
      </w:r>
      <w:r w:rsidRPr="00A51861">
        <w:rPr>
          <w:rFonts w:asciiTheme="majorHAnsi" w:hAnsiTheme="majorHAnsi"/>
          <w:color w:val="auto"/>
          <w:sz w:val="16"/>
          <w:szCs w:val="16"/>
        </w:rPr>
        <w:t>,</w:t>
      </w:r>
      <w:r w:rsidR="000E67CA">
        <w:rPr>
          <w:rFonts w:asciiTheme="majorHAnsi" w:hAnsiTheme="majorHAnsi"/>
          <w:color w:val="auto"/>
          <w:sz w:val="16"/>
          <w:szCs w:val="16"/>
        </w:rPr>
        <w:t xml:space="preserve"> </w:t>
      </w:r>
      <w:r w:rsidR="00F406E1">
        <w:rPr>
          <w:rFonts w:asciiTheme="majorHAnsi" w:hAnsiTheme="majorHAnsi"/>
          <w:color w:val="auto"/>
          <w:sz w:val="16"/>
          <w:szCs w:val="16"/>
        </w:rPr>
        <w:t>Report on terrorism and human rights</w:t>
      </w:r>
      <w:r w:rsidRPr="00A51861">
        <w:rPr>
          <w:rFonts w:asciiTheme="majorHAnsi" w:hAnsiTheme="majorHAnsi"/>
          <w:color w:val="auto"/>
          <w:sz w:val="16"/>
          <w:szCs w:val="16"/>
        </w:rPr>
        <w:t xml:space="preserve"> (2002), </w:t>
      </w:r>
      <w:r w:rsidR="00680DA3">
        <w:rPr>
          <w:rFonts w:asciiTheme="majorHAnsi" w:hAnsiTheme="majorHAnsi"/>
          <w:color w:val="auto"/>
          <w:sz w:val="16"/>
          <w:szCs w:val="16"/>
        </w:rPr>
        <w:t>paragraph</w:t>
      </w:r>
      <w:r w:rsidRPr="00A51861">
        <w:rPr>
          <w:rFonts w:asciiTheme="majorHAnsi" w:hAnsiTheme="majorHAnsi"/>
          <w:color w:val="auto"/>
          <w:sz w:val="16"/>
          <w:szCs w:val="16"/>
        </w:rPr>
        <w:t xml:space="preserve"> 161 (</w:t>
      </w:r>
      <w:r w:rsidR="009D4847">
        <w:rPr>
          <w:rFonts w:asciiTheme="majorHAnsi" w:hAnsiTheme="majorHAnsi"/>
          <w:color w:val="auto"/>
          <w:sz w:val="16"/>
          <w:szCs w:val="16"/>
        </w:rPr>
        <w:t>omitted quote</w:t>
      </w:r>
      <w:r w:rsidRPr="00A51861">
        <w:rPr>
          <w:rFonts w:asciiTheme="majorHAnsi" w:hAnsiTheme="majorHAnsi"/>
          <w:color w:val="auto"/>
          <w:sz w:val="16"/>
          <w:szCs w:val="16"/>
        </w:rPr>
        <w:t xml:space="preserve">); </w:t>
      </w:r>
      <w:r w:rsidR="009D4847">
        <w:rPr>
          <w:rFonts w:asciiTheme="majorHAnsi" w:hAnsiTheme="majorHAnsi"/>
          <w:color w:val="auto"/>
          <w:sz w:val="16"/>
          <w:szCs w:val="16"/>
        </w:rPr>
        <w:t>the</w:t>
      </w:r>
      <w:r w:rsidR="000E67CA">
        <w:rPr>
          <w:rFonts w:asciiTheme="majorHAnsi" w:hAnsiTheme="majorHAnsi"/>
          <w:color w:val="auto"/>
          <w:sz w:val="16"/>
          <w:szCs w:val="16"/>
        </w:rPr>
        <w:t xml:space="preserve"> Report </w:t>
      </w:r>
      <w:r w:rsidRPr="00A51861">
        <w:rPr>
          <w:rFonts w:asciiTheme="majorHAnsi" w:hAnsiTheme="majorHAnsi"/>
          <w:color w:val="auto"/>
          <w:sz w:val="16"/>
          <w:szCs w:val="16"/>
        </w:rPr>
        <w:t>cit</w:t>
      </w:r>
      <w:r w:rsidR="009D4847">
        <w:rPr>
          <w:rFonts w:asciiTheme="majorHAnsi" w:hAnsiTheme="majorHAnsi"/>
          <w:color w:val="auto"/>
          <w:sz w:val="16"/>
          <w:szCs w:val="16"/>
        </w:rPr>
        <w:t>es</w:t>
      </w:r>
      <w:r w:rsidRPr="00A51861">
        <w:rPr>
          <w:rFonts w:asciiTheme="majorHAnsi" w:hAnsiTheme="majorHAnsi"/>
          <w:color w:val="auto"/>
          <w:sz w:val="16"/>
          <w:szCs w:val="16"/>
        </w:rPr>
        <w:t xml:space="preserve"> </w:t>
      </w:r>
      <w:r w:rsidR="009D4847">
        <w:rPr>
          <w:rFonts w:asciiTheme="majorHAnsi" w:hAnsiTheme="majorHAnsi"/>
          <w:color w:val="auto"/>
          <w:sz w:val="16"/>
          <w:szCs w:val="16"/>
        </w:rPr>
        <w:t>the</w:t>
      </w:r>
      <w:r w:rsidRPr="00A51861">
        <w:rPr>
          <w:rFonts w:asciiTheme="majorHAnsi" w:hAnsiTheme="majorHAnsi"/>
          <w:color w:val="auto"/>
          <w:sz w:val="16"/>
          <w:szCs w:val="16"/>
        </w:rPr>
        <w:t xml:space="preserve"> </w:t>
      </w:r>
      <w:r w:rsidR="009D4847" w:rsidRPr="009D4847">
        <w:rPr>
          <w:rFonts w:asciiTheme="majorHAnsi" w:hAnsiTheme="majorHAnsi"/>
          <w:color w:val="auto"/>
          <w:sz w:val="16"/>
          <w:szCs w:val="16"/>
        </w:rPr>
        <w:t xml:space="preserve">UN Special Rapporteur on Torture </w:t>
      </w:r>
      <w:r w:rsidRPr="00A51861">
        <w:rPr>
          <w:rFonts w:asciiTheme="majorHAnsi" w:hAnsiTheme="majorHAnsi"/>
          <w:color w:val="auto"/>
          <w:sz w:val="16"/>
          <w:szCs w:val="16"/>
        </w:rPr>
        <w:t xml:space="preserve">(1986) </w:t>
      </w:r>
      <w:r w:rsidR="009D4847">
        <w:rPr>
          <w:rFonts w:asciiTheme="majorHAnsi" w:hAnsiTheme="majorHAnsi"/>
          <w:color w:val="auto"/>
          <w:sz w:val="16"/>
          <w:szCs w:val="16"/>
        </w:rPr>
        <w:t>on</w:t>
      </w:r>
      <w:r w:rsidRPr="00A51861">
        <w:rPr>
          <w:rFonts w:asciiTheme="majorHAnsi" w:hAnsiTheme="majorHAnsi"/>
          <w:color w:val="auto"/>
          <w:sz w:val="16"/>
          <w:szCs w:val="16"/>
        </w:rPr>
        <w:t xml:space="preserve"> acts </w:t>
      </w:r>
      <w:r w:rsidR="009D4847">
        <w:rPr>
          <w:rFonts w:asciiTheme="majorHAnsi" w:hAnsiTheme="majorHAnsi"/>
          <w:color w:val="auto"/>
          <w:sz w:val="16"/>
          <w:szCs w:val="16"/>
        </w:rPr>
        <w:t>which imply inflicting</w:t>
      </w:r>
      <w:r w:rsidRPr="00A51861">
        <w:rPr>
          <w:rFonts w:asciiTheme="majorHAnsi" w:hAnsiTheme="majorHAnsi"/>
          <w:color w:val="auto"/>
          <w:sz w:val="16"/>
          <w:szCs w:val="16"/>
        </w:rPr>
        <w:t xml:space="preserve"> </w:t>
      </w:r>
      <w:r w:rsidR="009D4847" w:rsidRPr="00A51861">
        <w:rPr>
          <w:rFonts w:asciiTheme="majorHAnsi" w:hAnsiTheme="majorHAnsi"/>
          <w:color w:val="auto"/>
          <w:sz w:val="16"/>
          <w:szCs w:val="16"/>
        </w:rPr>
        <w:t>sever</w:t>
      </w:r>
      <w:r w:rsidR="009D4847">
        <w:rPr>
          <w:rFonts w:asciiTheme="majorHAnsi" w:hAnsiTheme="majorHAnsi"/>
          <w:color w:val="auto"/>
          <w:sz w:val="16"/>
          <w:szCs w:val="16"/>
        </w:rPr>
        <w:t>e</w:t>
      </w:r>
      <w:r w:rsidR="009D4847" w:rsidRPr="00A51861">
        <w:rPr>
          <w:rFonts w:asciiTheme="majorHAnsi" w:hAnsiTheme="majorHAnsi"/>
          <w:color w:val="auto"/>
          <w:sz w:val="16"/>
          <w:szCs w:val="16"/>
        </w:rPr>
        <w:t xml:space="preserve"> </w:t>
      </w:r>
      <w:r w:rsidR="006C46C5">
        <w:rPr>
          <w:rFonts w:asciiTheme="majorHAnsi" w:hAnsiTheme="majorHAnsi"/>
          <w:color w:val="auto"/>
          <w:sz w:val="16"/>
          <w:szCs w:val="16"/>
        </w:rPr>
        <w:t>suffering</w:t>
      </w:r>
      <w:r w:rsidRPr="00A51861">
        <w:rPr>
          <w:rFonts w:asciiTheme="majorHAnsi" w:hAnsiTheme="majorHAnsi"/>
          <w:color w:val="auto"/>
          <w:sz w:val="16"/>
          <w:szCs w:val="16"/>
        </w:rPr>
        <w:t xml:space="preserve"> </w:t>
      </w:r>
      <w:r w:rsidR="009D4847">
        <w:rPr>
          <w:rFonts w:asciiTheme="majorHAnsi" w:hAnsiTheme="majorHAnsi"/>
          <w:color w:val="auto"/>
          <w:sz w:val="16"/>
          <w:szCs w:val="16"/>
        </w:rPr>
        <w:t>enough as to constitute</w:t>
      </w:r>
      <w:r w:rsidRPr="00A51861">
        <w:rPr>
          <w:rFonts w:asciiTheme="majorHAnsi" w:hAnsiTheme="majorHAnsi"/>
          <w:color w:val="auto"/>
          <w:sz w:val="16"/>
          <w:szCs w:val="16"/>
        </w:rPr>
        <w:t xml:space="preserve"> </w:t>
      </w:r>
      <w:r w:rsidR="005668B9">
        <w:rPr>
          <w:rFonts w:asciiTheme="majorHAnsi" w:hAnsiTheme="majorHAnsi"/>
          <w:color w:val="auto"/>
          <w:sz w:val="16"/>
          <w:szCs w:val="16"/>
        </w:rPr>
        <w:t>torture</w:t>
      </w:r>
      <w:r w:rsidRPr="00A51861">
        <w:rPr>
          <w:rFonts w:asciiTheme="majorHAnsi" w:hAnsiTheme="majorHAnsi"/>
          <w:color w:val="auto"/>
          <w:sz w:val="16"/>
          <w:szCs w:val="16"/>
        </w:rPr>
        <w:t>, inclu</w:t>
      </w:r>
      <w:r w:rsidR="009D4847">
        <w:rPr>
          <w:rFonts w:asciiTheme="majorHAnsi" w:hAnsiTheme="majorHAnsi"/>
          <w:color w:val="auto"/>
          <w:sz w:val="16"/>
          <w:szCs w:val="16"/>
        </w:rPr>
        <w:t>ding</w:t>
      </w:r>
      <w:r w:rsidRPr="00A51861">
        <w:rPr>
          <w:rFonts w:asciiTheme="majorHAnsi" w:hAnsiTheme="majorHAnsi"/>
          <w:color w:val="auto"/>
          <w:sz w:val="16"/>
          <w:szCs w:val="16"/>
        </w:rPr>
        <w:t xml:space="preserve"> “prolong</w:t>
      </w:r>
      <w:r w:rsidR="009D4847">
        <w:rPr>
          <w:rFonts w:asciiTheme="majorHAnsi" w:hAnsiTheme="majorHAnsi"/>
          <w:color w:val="auto"/>
          <w:sz w:val="16"/>
          <w:szCs w:val="16"/>
        </w:rPr>
        <w:t>ed</w:t>
      </w:r>
      <w:r w:rsidRPr="00A51861">
        <w:rPr>
          <w:rFonts w:asciiTheme="majorHAnsi" w:hAnsiTheme="majorHAnsi"/>
          <w:color w:val="auto"/>
          <w:sz w:val="16"/>
          <w:szCs w:val="16"/>
        </w:rPr>
        <w:t xml:space="preserve"> </w:t>
      </w:r>
      <w:r w:rsidR="009D4847">
        <w:rPr>
          <w:rFonts w:asciiTheme="majorHAnsi" w:hAnsiTheme="majorHAnsi"/>
          <w:color w:val="auto"/>
          <w:sz w:val="16"/>
          <w:szCs w:val="16"/>
        </w:rPr>
        <w:t>deprivation of rest or sleep</w:t>
      </w:r>
      <w:r w:rsidRPr="00A51861">
        <w:rPr>
          <w:rFonts w:asciiTheme="majorHAnsi" w:hAnsiTheme="majorHAnsi"/>
          <w:color w:val="auto"/>
          <w:sz w:val="16"/>
          <w:szCs w:val="16"/>
        </w:rPr>
        <w:t xml:space="preserve">, </w:t>
      </w:r>
      <w:r w:rsidR="009D4847">
        <w:rPr>
          <w:rFonts w:asciiTheme="majorHAnsi" w:hAnsiTheme="majorHAnsi"/>
          <w:color w:val="auto"/>
          <w:sz w:val="16"/>
          <w:szCs w:val="16"/>
        </w:rPr>
        <w:t>of food</w:t>
      </w:r>
      <w:r w:rsidRPr="00A51861">
        <w:rPr>
          <w:rFonts w:asciiTheme="majorHAnsi" w:hAnsiTheme="majorHAnsi"/>
          <w:color w:val="auto"/>
          <w:sz w:val="16"/>
          <w:szCs w:val="16"/>
        </w:rPr>
        <w:t xml:space="preserve">, </w:t>
      </w:r>
      <w:r w:rsidR="009D4847">
        <w:rPr>
          <w:rFonts w:asciiTheme="majorHAnsi" w:hAnsiTheme="majorHAnsi"/>
          <w:color w:val="auto"/>
          <w:sz w:val="16"/>
          <w:szCs w:val="16"/>
        </w:rPr>
        <w:t>enough hygiene</w:t>
      </w:r>
      <w:r w:rsidRPr="00A51861">
        <w:rPr>
          <w:rFonts w:asciiTheme="majorHAnsi" w:hAnsiTheme="majorHAnsi"/>
          <w:color w:val="auto"/>
          <w:sz w:val="16"/>
          <w:szCs w:val="16"/>
        </w:rPr>
        <w:t xml:space="preserve"> o</w:t>
      </w:r>
      <w:r w:rsidR="009D4847">
        <w:rPr>
          <w:rFonts w:asciiTheme="majorHAnsi" w:hAnsiTheme="majorHAnsi"/>
          <w:color w:val="auto"/>
          <w:sz w:val="16"/>
          <w:szCs w:val="16"/>
        </w:rPr>
        <w:t>r</w:t>
      </w:r>
      <w:r w:rsidRPr="00A51861">
        <w:rPr>
          <w:rFonts w:asciiTheme="majorHAnsi" w:hAnsiTheme="majorHAnsi"/>
          <w:color w:val="auto"/>
          <w:sz w:val="16"/>
          <w:szCs w:val="16"/>
        </w:rPr>
        <w:t xml:space="preserve"> </w:t>
      </w:r>
      <w:r w:rsidR="009D4847">
        <w:rPr>
          <w:rFonts w:asciiTheme="majorHAnsi" w:hAnsiTheme="majorHAnsi"/>
          <w:color w:val="auto"/>
          <w:sz w:val="16"/>
          <w:szCs w:val="16"/>
        </w:rPr>
        <w:t>medical assistance</w:t>
      </w:r>
      <w:r w:rsidRPr="00A51861">
        <w:rPr>
          <w:rFonts w:asciiTheme="majorHAnsi" w:hAnsiTheme="majorHAnsi"/>
          <w:color w:val="auto"/>
          <w:sz w:val="16"/>
          <w:szCs w:val="16"/>
        </w:rPr>
        <w:t xml:space="preserve">, </w:t>
      </w:r>
      <w:r w:rsidR="009D4847">
        <w:rPr>
          <w:rFonts w:asciiTheme="majorHAnsi" w:hAnsiTheme="majorHAnsi"/>
          <w:color w:val="auto"/>
          <w:sz w:val="16"/>
          <w:szCs w:val="16"/>
        </w:rPr>
        <w:t>isolation</w:t>
      </w:r>
      <w:r w:rsidR="00B6596B">
        <w:rPr>
          <w:rFonts w:asciiTheme="majorHAnsi" w:hAnsiTheme="majorHAnsi"/>
          <w:color w:val="auto"/>
          <w:sz w:val="16"/>
          <w:szCs w:val="16"/>
        </w:rPr>
        <w:t xml:space="preserve"> and </w:t>
      </w:r>
      <w:r w:rsidR="009D4847" w:rsidRPr="00A51861">
        <w:rPr>
          <w:rFonts w:asciiTheme="majorHAnsi" w:hAnsiTheme="majorHAnsi"/>
          <w:color w:val="auto"/>
          <w:sz w:val="16"/>
          <w:szCs w:val="16"/>
        </w:rPr>
        <w:t xml:space="preserve">total </w:t>
      </w:r>
      <w:r w:rsidRPr="00A51861">
        <w:rPr>
          <w:rFonts w:asciiTheme="majorHAnsi" w:hAnsiTheme="majorHAnsi"/>
          <w:color w:val="auto"/>
          <w:sz w:val="16"/>
          <w:szCs w:val="16"/>
        </w:rPr>
        <w:t>sensorial</w:t>
      </w:r>
      <w:r w:rsidR="009D4847" w:rsidRPr="009D4847">
        <w:rPr>
          <w:rFonts w:asciiTheme="majorHAnsi" w:hAnsiTheme="majorHAnsi"/>
          <w:color w:val="auto"/>
          <w:sz w:val="16"/>
          <w:szCs w:val="16"/>
        </w:rPr>
        <w:t xml:space="preserve"> </w:t>
      </w:r>
      <w:r w:rsidR="009D4847">
        <w:rPr>
          <w:rFonts w:asciiTheme="majorHAnsi" w:hAnsiTheme="majorHAnsi"/>
          <w:color w:val="auto"/>
          <w:sz w:val="16"/>
          <w:szCs w:val="16"/>
        </w:rPr>
        <w:t>de</w:t>
      </w:r>
      <w:r w:rsidR="009D4847" w:rsidRPr="00A51861">
        <w:rPr>
          <w:rFonts w:asciiTheme="majorHAnsi" w:hAnsiTheme="majorHAnsi"/>
          <w:color w:val="auto"/>
          <w:sz w:val="16"/>
          <w:szCs w:val="16"/>
        </w:rPr>
        <w:t>privation</w:t>
      </w:r>
      <w:r w:rsidRPr="00A51861">
        <w:rPr>
          <w:rFonts w:asciiTheme="majorHAnsi" w:hAnsiTheme="majorHAnsi"/>
          <w:color w:val="auto"/>
          <w:sz w:val="16"/>
          <w:szCs w:val="16"/>
        </w:rPr>
        <w:t xml:space="preserve">, </w:t>
      </w:r>
      <w:r w:rsidR="009D4847" w:rsidRPr="00A51861">
        <w:rPr>
          <w:rFonts w:asciiTheme="majorHAnsi" w:hAnsiTheme="majorHAnsi"/>
          <w:color w:val="auto"/>
          <w:sz w:val="16"/>
          <w:szCs w:val="16"/>
        </w:rPr>
        <w:t>detention</w:t>
      </w:r>
      <w:r w:rsidRPr="00A51861">
        <w:rPr>
          <w:rFonts w:asciiTheme="majorHAnsi" w:hAnsiTheme="majorHAnsi"/>
          <w:color w:val="auto"/>
          <w:sz w:val="16"/>
          <w:szCs w:val="16"/>
        </w:rPr>
        <w:t xml:space="preserve"> </w:t>
      </w:r>
      <w:r w:rsidR="009D4847">
        <w:rPr>
          <w:rFonts w:asciiTheme="majorHAnsi" w:hAnsiTheme="majorHAnsi"/>
          <w:color w:val="auto"/>
          <w:sz w:val="16"/>
          <w:szCs w:val="16"/>
        </w:rPr>
        <w:t>i</w:t>
      </w:r>
      <w:r w:rsidRPr="00A51861">
        <w:rPr>
          <w:rFonts w:asciiTheme="majorHAnsi" w:hAnsiTheme="majorHAnsi"/>
          <w:color w:val="auto"/>
          <w:sz w:val="16"/>
          <w:szCs w:val="16"/>
        </w:rPr>
        <w:t xml:space="preserve">n constant </w:t>
      </w:r>
      <w:r w:rsidR="009D4847">
        <w:rPr>
          <w:rFonts w:asciiTheme="majorHAnsi" w:hAnsiTheme="majorHAnsi"/>
          <w:color w:val="auto"/>
          <w:sz w:val="16"/>
          <w:szCs w:val="16"/>
        </w:rPr>
        <w:t>uncertainty</w:t>
      </w:r>
      <w:r w:rsidRPr="00A51861">
        <w:rPr>
          <w:rFonts w:asciiTheme="majorHAnsi" w:hAnsiTheme="majorHAnsi"/>
          <w:color w:val="auto"/>
          <w:sz w:val="16"/>
          <w:szCs w:val="16"/>
        </w:rPr>
        <w:t xml:space="preserve"> </w:t>
      </w:r>
      <w:r w:rsidR="009D4847">
        <w:rPr>
          <w:rFonts w:asciiTheme="majorHAnsi" w:hAnsiTheme="majorHAnsi"/>
          <w:color w:val="auto"/>
          <w:sz w:val="16"/>
          <w:szCs w:val="16"/>
        </w:rPr>
        <w:t>i</w:t>
      </w:r>
      <w:r w:rsidRPr="00A51861">
        <w:rPr>
          <w:rFonts w:asciiTheme="majorHAnsi" w:hAnsiTheme="majorHAnsi"/>
          <w:color w:val="auto"/>
          <w:sz w:val="16"/>
          <w:szCs w:val="16"/>
        </w:rPr>
        <w:t xml:space="preserve">n </w:t>
      </w:r>
      <w:r w:rsidR="009D4847">
        <w:rPr>
          <w:rFonts w:asciiTheme="majorHAnsi" w:hAnsiTheme="majorHAnsi"/>
          <w:color w:val="auto"/>
          <w:sz w:val="16"/>
          <w:szCs w:val="16"/>
        </w:rPr>
        <w:t>terms</w:t>
      </w:r>
      <w:r w:rsidRPr="00A51861">
        <w:rPr>
          <w:rFonts w:asciiTheme="majorHAnsi" w:hAnsiTheme="majorHAnsi"/>
          <w:color w:val="auto"/>
          <w:sz w:val="16"/>
          <w:szCs w:val="16"/>
        </w:rPr>
        <w:t xml:space="preserve"> </w:t>
      </w:r>
      <w:r w:rsidR="009D4847">
        <w:rPr>
          <w:rFonts w:asciiTheme="majorHAnsi" w:hAnsiTheme="majorHAnsi"/>
          <w:color w:val="auto"/>
          <w:sz w:val="16"/>
          <w:szCs w:val="16"/>
        </w:rPr>
        <w:t>of space and time</w:t>
      </w:r>
      <w:r w:rsidRPr="00A51861">
        <w:rPr>
          <w:rFonts w:asciiTheme="majorHAnsi" w:hAnsiTheme="majorHAnsi"/>
          <w:color w:val="auto"/>
          <w:sz w:val="16"/>
          <w:szCs w:val="16"/>
        </w:rPr>
        <w:t xml:space="preserve">, </w:t>
      </w:r>
      <w:r w:rsidR="009D4847">
        <w:rPr>
          <w:rFonts w:asciiTheme="majorHAnsi" w:hAnsiTheme="majorHAnsi"/>
          <w:color w:val="auto"/>
          <w:sz w:val="16"/>
          <w:szCs w:val="16"/>
        </w:rPr>
        <w:t>threats of</w:t>
      </w:r>
      <w:r w:rsidRPr="00A51861">
        <w:rPr>
          <w:rFonts w:asciiTheme="majorHAnsi" w:hAnsiTheme="majorHAnsi"/>
          <w:color w:val="auto"/>
          <w:sz w:val="16"/>
          <w:szCs w:val="16"/>
        </w:rPr>
        <w:t xml:space="preserve"> </w:t>
      </w:r>
      <w:r w:rsidR="005668B9">
        <w:rPr>
          <w:rFonts w:asciiTheme="majorHAnsi" w:hAnsiTheme="majorHAnsi"/>
          <w:color w:val="auto"/>
          <w:sz w:val="16"/>
          <w:szCs w:val="16"/>
        </w:rPr>
        <w:t>torture</w:t>
      </w:r>
      <w:r w:rsidRPr="00A51861">
        <w:rPr>
          <w:rFonts w:asciiTheme="majorHAnsi" w:hAnsiTheme="majorHAnsi"/>
          <w:color w:val="auto"/>
          <w:sz w:val="16"/>
          <w:szCs w:val="16"/>
        </w:rPr>
        <w:t xml:space="preserve"> </w:t>
      </w:r>
      <w:r w:rsidR="009D4847">
        <w:rPr>
          <w:rFonts w:asciiTheme="majorHAnsi" w:hAnsiTheme="majorHAnsi"/>
          <w:color w:val="auto"/>
          <w:sz w:val="16"/>
          <w:szCs w:val="16"/>
        </w:rPr>
        <w:t>death of a relative</w:t>
      </w:r>
      <w:r w:rsidR="00B6596B">
        <w:rPr>
          <w:rFonts w:asciiTheme="majorHAnsi" w:hAnsiTheme="majorHAnsi"/>
          <w:color w:val="auto"/>
          <w:sz w:val="16"/>
          <w:szCs w:val="16"/>
        </w:rPr>
        <w:t xml:space="preserve"> and </w:t>
      </w:r>
      <w:r w:rsidRPr="00A51861">
        <w:rPr>
          <w:rFonts w:asciiTheme="majorHAnsi" w:hAnsiTheme="majorHAnsi"/>
          <w:color w:val="auto"/>
          <w:sz w:val="16"/>
          <w:szCs w:val="16"/>
        </w:rPr>
        <w:t>simula</w:t>
      </w:r>
      <w:r w:rsidR="009D4847">
        <w:rPr>
          <w:rFonts w:asciiTheme="majorHAnsi" w:hAnsiTheme="majorHAnsi"/>
          <w:color w:val="auto"/>
          <w:sz w:val="16"/>
          <w:szCs w:val="16"/>
        </w:rPr>
        <w:t>ted</w:t>
      </w:r>
      <w:r w:rsidR="009D4847" w:rsidRPr="009D4847">
        <w:rPr>
          <w:rFonts w:asciiTheme="majorHAnsi" w:hAnsiTheme="majorHAnsi"/>
          <w:color w:val="auto"/>
          <w:sz w:val="16"/>
          <w:szCs w:val="16"/>
        </w:rPr>
        <w:t xml:space="preserve"> </w:t>
      </w:r>
      <w:r w:rsidR="009D4847" w:rsidRPr="00A51861">
        <w:rPr>
          <w:rFonts w:asciiTheme="majorHAnsi" w:hAnsiTheme="majorHAnsi"/>
          <w:color w:val="auto"/>
          <w:sz w:val="16"/>
          <w:szCs w:val="16"/>
        </w:rPr>
        <w:t>e</w:t>
      </w:r>
      <w:r w:rsidR="009D4847">
        <w:rPr>
          <w:rFonts w:asciiTheme="majorHAnsi" w:hAnsiTheme="majorHAnsi"/>
          <w:color w:val="auto"/>
          <w:sz w:val="16"/>
          <w:szCs w:val="16"/>
        </w:rPr>
        <w:t>x</w:t>
      </w:r>
      <w:r w:rsidR="009D4847" w:rsidRPr="00A51861">
        <w:rPr>
          <w:rFonts w:asciiTheme="majorHAnsi" w:hAnsiTheme="majorHAnsi"/>
          <w:color w:val="auto"/>
          <w:sz w:val="16"/>
          <w:szCs w:val="16"/>
        </w:rPr>
        <w:t>ecutions</w:t>
      </w:r>
      <w:r w:rsidRPr="00A51861">
        <w:rPr>
          <w:rFonts w:asciiTheme="majorHAnsi" w:hAnsiTheme="majorHAnsi"/>
          <w:color w:val="auto"/>
          <w:sz w:val="16"/>
          <w:szCs w:val="16"/>
        </w:rPr>
        <w:t>”</w:t>
      </w:r>
      <w:r w:rsidR="00B6596B">
        <w:rPr>
          <w:rFonts w:asciiTheme="majorHAnsi" w:hAnsiTheme="majorHAnsi"/>
          <w:color w:val="auto"/>
          <w:sz w:val="16"/>
          <w:szCs w:val="16"/>
        </w:rPr>
        <w:t xml:space="preserve"> and </w:t>
      </w:r>
      <w:r w:rsidR="00E92985">
        <w:rPr>
          <w:rFonts w:asciiTheme="majorHAnsi" w:hAnsiTheme="majorHAnsi"/>
          <w:color w:val="auto"/>
          <w:sz w:val="16"/>
          <w:szCs w:val="16"/>
        </w:rPr>
        <w:t>decisions</w:t>
      </w:r>
      <w:r w:rsidRPr="00A51861">
        <w:rPr>
          <w:rFonts w:asciiTheme="majorHAnsi" w:hAnsiTheme="majorHAnsi"/>
          <w:color w:val="auto"/>
          <w:sz w:val="16"/>
          <w:szCs w:val="16"/>
        </w:rPr>
        <w:t xml:space="preserve"> </w:t>
      </w:r>
      <w:r w:rsidR="009D4847">
        <w:rPr>
          <w:rFonts w:asciiTheme="majorHAnsi" w:hAnsiTheme="majorHAnsi"/>
          <w:color w:val="auto"/>
          <w:sz w:val="16"/>
          <w:szCs w:val="16"/>
        </w:rPr>
        <w:t>of the</w:t>
      </w:r>
      <w:r w:rsidR="006307D0">
        <w:rPr>
          <w:rFonts w:asciiTheme="majorHAnsi" w:hAnsiTheme="majorHAnsi"/>
          <w:color w:val="auto"/>
          <w:sz w:val="16"/>
          <w:szCs w:val="16"/>
        </w:rPr>
        <w:t xml:space="preserve"> Human Rights Committee of the UNO</w:t>
      </w:r>
      <w:r w:rsidRPr="00A51861">
        <w:rPr>
          <w:rFonts w:asciiTheme="majorHAnsi" w:hAnsiTheme="majorHAnsi"/>
          <w:color w:val="auto"/>
          <w:sz w:val="16"/>
          <w:szCs w:val="16"/>
        </w:rPr>
        <w:t xml:space="preserve"> </w:t>
      </w:r>
      <w:r w:rsidR="009D4847">
        <w:rPr>
          <w:rFonts w:asciiTheme="majorHAnsi" w:hAnsiTheme="majorHAnsi"/>
          <w:color w:val="auto"/>
          <w:sz w:val="16"/>
          <w:szCs w:val="16"/>
        </w:rPr>
        <w:t>which understands that conducts which include</w:t>
      </w:r>
      <w:r w:rsidRPr="00A51861">
        <w:rPr>
          <w:rFonts w:asciiTheme="majorHAnsi" w:hAnsiTheme="majorHAnsi"/>
          <w:color w:val="auto"/>
          <w:sz w:val="16"/>
          <w:szCs w:val="16"/>
        </w:rPr>
        <w:t xml:space="preserve"> “</w:t>
      </w:r>
      <w:r w:rsidR="009D4847">
        <w:rPr>
          <w:rFonts w:asciiTheme="majorHAnsi" w:hAnsiTheme="majorHAnsi"/>
          <w:color w:val="auto"/>
          <w:sz w:val="16"/>
          <w:szCs w:val="16"/>
        </w:rPr>
        <w:t>beatings</w:t>
      </w:r>
      <w:r w:rsidRPr="00A51861">
        <w:rPr>
          <w:rFonts w:asciiTheme="majorHAnsi" w:hAnsiTheme="majorHAnsi"/>
          <w:color w:val="auto"/>
          <w:sz w:val="16"/>
          <w:szCs w:val="16"/>
        </w:rPr>
        <w:t xml:space="preserve">, </w:t>
      </w:r>
      <w:r w:rsidR="009D4847">
        <w:rPr>
          <w:rFonts w:asciiTheme="majorHAnsi" w:hAnsiTheme="majorHAnsi"/>
          <w:color w:val="auto"/>
          <w:sz w:val="16"/>
          <w:szCs w:val="16"/>
        </w:rPr>
        <w:t>electric shocks and simulated executions</w:t>
      </w:r>
      <w:r w:rsidRPr="00A51861">
        <w:rPr>
          <w:rFonts w:asciiTheme="majorHAnsi" w:hAnsiTheme="majorHAnsi"/>
          <w:color w:val="auto"/>
          <w:sz w:val="16"/>
          <w:szCs w:val="16"/>
        </w:rPr>
        <w:t xml:space="preserve">, </w:t>
      </w:r>
      <w:r w:rsidR="009D4847">
        <w:rPr>
          <w:rFonts w:asciiTheme="majorHAnsi" w:hAnsiTheme="majorHAnsi"/>
          <w:color w:val="auto"/>
          <w:sz w:val="16"/>
          <w:szCs w:val="16"/>
        </w:rPr>
        <w:t>forcing the</w:t>
      </w:r>
      <w:r w:rsidRPr="00A51861">
        <w:rPr>
          <w:rFonts w:asciiTheme="majorHAnsi" w:hAnsiTheme="majorHAnsi"/>
          <w:color w:val="auto"/>
          <w:sz w:val="16"/>
          <w:szCs w:val="16"/>
        </w:rPr>
        <w:t xml:space="preserve"> det</w:t>
      </w:r>
      <w:r w:rsidR="009D4847">
        <w:rPr>
          <w:rFonts w:asciiTheme="majorHAnsi" w:hAnsiTheme="majorHAnsi"/>
          <w:color w:val="auto"/>
          <w:sz w:val="16"/>
          <w:szCs w:val="16"/>
        </w:rPr>
        <w:t>ai</w:t>
      </w:r>
      <w:r w:rsidRPr="00A51861">
        <w:rPr>
          <w:rFonts w:asciiTheme="majorHAnsi" w:hAnsiTheme="majorHAnsi"/>
          <w:color w:val="auto"/>
          <w:sz w:val="16"/>
          <w:szCs w:val="16"/>
        </w:rPr>
        <w:t>n</w:t>
      </w:r>
      <w:r w:rsidR="009D4847">
        <w:rPr>
          <w:rFonts w:asciiTheme="majorHAnsi" w:hAnsiTheme="majorHAnsi"/>
          <w:color w:val="auto"/>
          <w:sz w:val="16"/>
          <w:szCs w:val="16"/>
        </w:rPr>
        <w:t>e</w:t>
      </w:r>
      <w:r w:rsidRPr="00A51861">
        <w:rPr>
          <w:rFonts w:asciiTheme="majorHAnsi" w:hAnsiTheme="majorHAnsi"/>
          <w:color w:val="auto"/>
          <w:sz w:val="16"/>
          <w:szCs w:val="16"/>
        </w:rPr>
        <w:t xml:space="preserve">d </w:t>
      </w:r>
      <w:r w:rsidR="009D4847">
        <w:rPr>
          <w:rFonts w:asciiTheme="majorHAnsi" w:hAnsiTheme="majorHAnsi"/>
          <w:color w:val="auto"/>
          <w:sz w:val="16"/>
          <w:szCs w:val="16"/>
        </w:rPr>
        <w:t>to remain standing</w:t>
      </w:r>
      <w:r w:rsidRPr="00A51861">
        <w:rPr>
          <w:rFonts w:asciiTheme="majorHAnsi" w:hAnsiTheme="majorHAnsi"/>
          <w:color w:val="auto"/>
          <w:sz w:val="16"/>
          <w:szCs w:val="16"/>
        </w:rPr>
        <w:t xml:space="preserve"> </w:t>
      </w:r>
      <w:r w:rsidR="009D4847">
        <w:rPr>
          <w:rFonts w:asciiTheme="majorHAnsi" w:hAnsiTheme="majorHAnsi"/>
          <w:color w:val="auto"/>
          <w:sz w:val="16"/>
          <w:szCs w:val="16"/>
        </w:rPr>
        <w:t>for extremely long periods</w:t>
      </w:r>
      <w:r w:rsidRPr="00A51861">
        <w:rPr>
          <w:rFonts w:asciiTheme="majorHAnsi" w:hAnsiTheme="majorHAnsi"/>
          <w:color w:val="auto"/>
          <w:sz w:val="16"/>
          <w:szCs w:val="16"/>
        </w:rPr>
        <w:t>,</w:t>
      </w:r>
      <w:r w:rsidR="00B6596B">
        <w:rPr>
          <w:rFonts w:asciiTheme="majorHAnsi" w:hAnsiTheme="majorHAnsi"/>
          <w:color w:val="auto"/>
          <w:sz w:val="16"/>
          <w:szCs w:val="16"/>
        </w:rPr>
        <w:t xml:space="preserve"> and </w:t>
      </w:r>
      <w:r w:rsidR="009D4847">
        <w:rPr>
          <w:rFonts w:asciiTheme="majorHAnsi" w:hAnsiTheme="majorHAnsi"/>
          <w:color w:val="auto"/>
          <w:sz w:val="16"/>
          <w:szCs w:val="16"/>
        </w:rPr>
        <w:t>keeping them</w:t>
      </w:r>
      <w:r w:rsidRPr="00A51861">
        <w:rPr>
          <w:rFonts w:asciiTheme="majorHAnsi" w:hAnsiTheme="majorHAnsi"/>
          <w:color w:val="auto"/>
          <w:sz w:val="16"/>
          <w:szCs w:val="16"/>
        </w:rPr>
        <w:t xml:space="preserve"> </w:t>
      </w:r>
      <w:r w:rsidR="009D4847" w:rsidRPr="00A51861">
        <w:rPr>
          <w:rFonts w:asciiTheme="majorHAnsi" w:hAnsiTheme="majorHAnsi"/>
          <w:color w:val="auto"/>
          <w:sz w:val="16"/>
          <w:szCs w:val="16"/>
        </w:rPr>
        <w:t>incommunicado</w:t>
      </w:r>
      <w:r w:rsidRPr="00A51861">
        <w:rPr>
          <w:rFonts w:asciiTheme="majorHAnsi" w:hAnsiTheme="majorHAnsi"/>
          <w:color w:val="auto"/>
          <w:sz w:val="16"/>
          <w:szCs w:val="16"/>
        </w:rPr>
        <w:t xml:space="preserve"> </w:t>
      </w:r>
      <w:r w:rsidR="009D4847">
        <w:rPr>
          <w:rFonts w:asciiTheme="majorHAnsi" w:hAnsiTheme="majorHAnsi"/>
          <w:color w:val="auto"/>
          <w:sz w:val="16"/>
          <w:szCs w:val="16"/>
        </w:rPr>
        <w:t>for more than three months</w:t>
      </w:r>
      <w:r w:rsidRPr="00A51861">
        <w:rPr>
          <w:rFonts w:asciiTheme="majorHAnsi" w:hAnsiTheme="majorHAnsi"/>
          <w:color w:val="auto"/>
          <w:sz w:val="16"/>
          <w:szCs w:val="16"/>
        </w:rPr>
        <w:t>,</w:t>
      </w:r>
      <w:r w:rsidR="002B762A">
        <w:rPr>
          <w:rFonts w:asciiTheme="majorHAnsi" w:hAnsiTheme="majorHAnsi"/>
          <w:color w:val="auto"/>
          <w:sz w:val="16"/>
          <w:szCs w:val="16"/>
        </w:rPr>
        <w:t xml:space="preserve"> </w:t>
      </w:r>
      <w:r w:rsidR="009D4847">
        <w:rPr>
          <w:rFonts w:asciiTheme="majorHAnsi" w:hAnsiTheme="majorHAnsi"/>
          <w:color w:val="auto"/>
          <w:sz w:val="16"/>
          <w:szCs w:val="16"/>
        </w:rPr>
        <w:t>blindfolded</w:t>
      </w:r>
      <w:r w:rsidR="00B6596B">
        <w:rPr>
          <w:rFonts w:asciiTheme="majorHAnsi" w:hAnsiTheme="majorHAnsi"/>
          <w:color w:val="auto"/>
          <w:sz w:val="16"/>
          <w:szCs w:val="16"/>
        </w:rPr>
        <w:t xml:space="preserve"> and </w:t>
      </w:r>
      <w:r w:rsidR="009D4847">
        <w:rPr>
          <w:rFonts w:asciiTheme="majorHAnsi" w:hAnsiTheme="majorHAnsi"/>
          <w:color w:val="auto"/>
          <w:sz w:val="16"/>
          <w:szCs w:val="16"/>
        </w:rPr>
        <w:t>hands tied</w:t>
      </w:r>
      <w:r w:rsidRPr="00A51861">
        <w:rPr>
          <w:rFonts w:asciiTheme="majorHAnsi" w:hAnsiTheme="majorHAnsi"/>
          <w:color w:val="auto"/>
          <w:sz w:val="16"/>
          <w:szCs w:val="16"/>
        </w:rPr>
        <w:t xml:space="preserve"> […] constitu</w:t>
      </w:r>
      <w:r w:rsidR="009D4847">
        <w:rPr>
          <w:rFonts w:asciiTheme="majorHAnsi" w:hAnsiTheme="majorHAnsi"/>
          <w:color w:val="auto"/>
          <w:sz w:val="16"/>
          <w:szCs w:val="16"/>
        </w:rPr>
        <w:t>t</w:t>
      </w:r>
      <w:r w:rsidRPr="00A51861">
        <w:rPr>
          <w:rFonts w:asciiTheme="majorHAnsi" w:hAnsiTheme="majorHAnsi"/>
          <w:color w:val="auto"/>
          <w:sz w:val="16"/>
          <w:szCs w:val="16"/>
        </w:rPr>
        <w:t xml:space="preserve">e </w:t>
      </w:r>
      <w:r w:rsidR="005668B9">
        <w:rPr>
          <w:rFonts w:asciiTheme="majorHAnsi" w:hAnsiTheme="majorHAnsi"/>
          <w:color w:val="auto"/>
          <w:sz w:val="16"/>
          <w:szCs w:val="16"/>
        </w:rPr>
        <w:t>torture</w:t>
      </w:r>
      <w:r w:rsidR="00B6596B">
        <w:rPr>
          <w:rFonts w:asciiTheme="majorHAnsi" w:hAnsiTheme="majorHAnsi"/>
          <w:color w:val="auto"/>
          <w:sz w:val="16"/>
          <w:szCs w:val="16"/>
        </w:rPr>
        <w:t xml:space="preserve"> </w:t>
      </w:r>
      <w:r w:rsidR="00357129">
        <w:rPr>
          <w:rFonts w:asciiTheme="majorHAnsi" w:hAnsiTheme="majorHAnsi"/>
          <w:color w:val="auto"/>
          <w:sz w:val="16"/>
          <w:szCs w:val="16"/>
        </w:rPr>
        <w:t xml:space="preserve">and other </w:t>
      </w:r>
      <w:r w:rsidR="00E63C53" w:rsidRPr="00A51861">
        <w:rPr>
          <w:rFonts w:asciiTheme="majorHAnsi" w:hAnsiTheme="majorHAnsi"/>
          <w:color w:val="auto"/>
          <w:sz w:val="16"/>
          <w:szCs w:val="16"/>
        </w:rPr>
        <w:t>inhuman</w:t>
      </w:r>
      <w:r w:rsidR="00E63C53">
        <w:rPr>
          <w:rFonts w:asciiTheme="majorHAnsi" w:hAnsiTheme="majorHAnsi"/>
          <w:color w:val="auto"/>
          <w:sz w:val="16"/>
          <w:szCs w:val="16"/>
        </w:rPr>
        <w:t>e</w:t>
      </w:r>
      <w:r w:rsidR="00E63C53" w:rsidRPr="00A51861">
        <w:rPr>
          <w:rFonts w:asciiTheme="majorHAnsi" w:hAnsiTheme="majorHAnsi"/>
          <w:color w:val="auto"/>
          <w:sz w:val="16"/>
          <w:szCs w:val="16"/>
        </w:rPr>
        <w:t xml:space="preserve"> </w:t>
      </w:r>
      <w:r w:rsidR="00E63C53">
        <w:rPr>
          <w:rFonts w:asciiTheme="majorHAnsi" w:hAnsiTheme="majorHAnsi"/>
          <w:color w:val="auto"/>
          <w:sz w:val="16"/>
          <w:szCs w:val="16"/>
        </w:rPr>
        <w:t>treatment</w:t>
      </w:r>
      <w:r w:rsidRPr="00A51861">
        <w:rPr>
          <w:rFonts w:asciiTheme="majorHAnsi" w:hAnsiTheme="majorHAnsi"/>
          <w:color w:val="auto"/>
          <w:sz w:val="16"/>
          <w:szCs w:val="16"/>
        </w:rPr>
        <w:t xml:space="preserve">. Id </w:t>
      </w:r>
      <w:r w:rsidR="00680DA3">
        <w:rPr>
          <w:rFonts w:asciiTheme="majorHAnsi" w:hAnsiTheme="majorHAnsi"/>
          <w:color w:val="auto"/>
          <w:sz w:val="16"/>
          <w:szCs w:val="16"/>
        </w:rPr>
        <w:t>paragraph</w:t>
      </w:r>
      <w:r w:rsidRPr="00A51861">
        <w:rPr>
          <w:rFonts w:asciiTheme="majorHAnsi" w:hAnsiTheme="majorHAnsi"/>
          <w:color w:val="auto"/>
          <w:sz w:val="16"/>
          <w:szCs w:val="16"/>
        </w:rPr>
        <w:t xml:space="preserve"> 162</w:t>
      </w:r>
      <w:r w:rsidR="007E4AFF">
        <w:rPr>
          <w:rFonts w:asciiTheme="majorHAnsi" w:hAnsiTheme="majorHAnsi"/>
          <w:color w:val="auto"/>
          <w:sz w:val="16"/>
          <w:szCs w:val="16"/>
        </w:rPr>
        <w:t>.</w:t>
      </w:r>
    </w:p>
  </w:footnote>
  <w:footnote w:id="206">
    <w:p w14:paraId="60F05677" w14:textId="11F2E0D8" w:rsidR="00F40E67" w:rsidRPr="00A51861" w:rsidRDefault="00F40E67" w:rsidP="0063693D">
      <w:pPr>
        <w:pStyle w:val="FootnoteText"/>
        <w:jc w:val="both"/>
        <w:rPr>
          <w:rFonts w:asciiTheme="majorHAnsi" w:hAnsiTheme="majorHAnsi"/>
          <w:sz w:val="16"/>
          <w:szCs w:val="16"/>
        </w:rPr>
      </w:pPr>
      <w:r w:rsidRPr="00A51861">
        <w:rPr>
          <w:rStyle w:val="FootnoteReference"/>
          <w:rFonts w:asciiTheme="majorHAnsi" w:hAnsiTheme="majorHAnsi"/>
          <w:sz w:val="16"/>
          <w:szCs w:val="16"/>
        </w:rPr>
        <w:footnoteRef/>
      </w:r>
      <w:r w:rsidRPr="00A51861">
        <w:rPr>
          <w:rFonts w:asciiTheme="majorHAnsi" w:hAnsiTheme="majorHAnsi"/>
          <w:sz w:val="16"/>
          <w:szCs w:val="16"/>
        </w:rPr>
        <w:t xml:space="preserve"> </w:t>
      </w:r>
      <w:r w:rsidR="00A51861" w:rsidRPr="00A51861">
        <w:rPr>
          <w:rFonts w:asciiTheme="majorHAnsi" w:hAnsiTheme="majorHAnsi"/>
          <w:sz w:val="16"/>
          <w:szCs w:val="16"/>
        </w:rPr>
        <w:t>Annex</w:t>
      </w:r>
      <w:r w:rsidRPr="00A51861">
        <w:rPr>
          <w:rFonts w:asciiTheme="majorHAnsi" w:hAnsiTheme="majorHAnsi"/>
          <w:sz w:val="16"/>
          <w:szCs w:val="16"/>
        </w:rPr>
        <w:t xml:space="preserve"> </w:t>
      </w:r>
      <w:r w:rsidR="00F842EE">
        <w:rPr>
          <w:rFonts w:asciiTheme="majorHAnsi" w:hAnsiTheme="majorHAnsi"/>
          <w:sz w:val="16"/>
          <w:szCs w:val="16"/>
        </w:rPr>
        <w:t>70</w:t>
      </w:r>
      <w:r w:rsidRPr="00A51861">
        <w:rPr>
          <w:rFonts w:asciiTheme="majorHAnsi" w:hAnsiTheme="majorHAnsi"/>
          <w:sz w:val="16"/>
          <w:szCs w:val="16"/>
        </w:rPr>
        <w:t xml:space="preserve">. </w:t>
      </w:r>
      <w:r w:rsidR="00A9213F">
        <w:rPr>
          <w:rFonts w:asciiTheme="majorHAnsi" w:hAnsiTheme="majorHAnsi"/>
          <w:sz w:val="16"/>
          <w:szCs w:val="16"/>
        </w:rPr>
        <w:t xml:space="preserve">Initial petition of </w:t>
      </w:r>
      <w:r w:rsidRPr="00A51861">
        <w:rPr>
          <w:rFonts w:asciiTheme="majorHAnsi" w:hAnsiTheme="majorHAnsi"/>
          <w:sz w:val="16"/>
          <w:szCs w:val="16"/>
        </w:rPr>
        <w:t xml:space="preserve">Nicasio Washington Romero Ubal </w:t>
      </w:r>
      <w:r w:rsidR="00EC7A58">
        <w:rPr>
          <w:rFonts w:asciiTheme="majorHAnsi" w:hAnsiTheme="majorHAnsi"/>
          <w:sz w:val="16"/>
          <w:szCs w:val="16"/>
        </w:rPr>
        <w:t xml:space="preserve">of May 11, </w:t>
      </w:r>
      <w:r w:rsidRPr="00A51861">
        <w:rPr>
          <w:rFonts w:asciiTheme="majorHAnsi" w:hAnsiTheme="majorHAnsi"/>
          <w:sz w:val="16"/>
          <w:szCs w:val="16"/>
        </w:rPr>
        <w:t>2007.</w:t>
      </w:r>
    </w:p>
  </w:footnote>
  <w:footnote w:id="207">
    <w:p w14:paraId="7F32050B" w14:textId="2E534D94"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036743">
        <w:rPr>
          <w:rFonts w:asciiTheme="majorHAnsi" w:hAnsiTheme="majorHAnsi"/>
          <w:color w:val="auto"/>
          <w:sz w:val="16"/>
          <w:szCs w:val="16"/>
        </w:rPr>
        <w:t>IHR Court</w:t>
      </w:r>
      <w:r w:rsidRPr="00A51861">
        <w:rPr>
          <w:rFonts w:asciiTheme="majorHAnsi" w:hAnsiTheme="majorHAnsi"/>
          <w:color w:val="auto"/>
          <w:sz w:val="16"/>
          <w:szCs w:val="16"/>
        </w:rPr>
        <w:t xml:space="preserve">. </w:t>
      </w:r>
      <w:r w:rsidR="00B6596B">
        <w:rPr>
          <w:rFonts w:asciiTheme="majorHAnsi" w:hAnsiTheme="majorHAnsi"/>
          <w:color w:val="auto"/>
          <w:sz w:val="16"/>
          <w:szCs w:val="16"/>
        </w:rPr>
        <w:t xml:space="preserve">Case </w:t>
      </w:r>
      <w:r w:rsidRPr="00A51861">
        <w:rPr>
          <w:rFonts w:asciiTheme="majorHAnsi" w:hAnsiTheme="majorHAnsi"/>
          <w:color w:val="auto"/>
          <w:sz w:val="16"/>
          <w:szCs w:val="16"/>
        </w:rPr>
        <w:t>Goiburú</w:t>
      </w:r>
      <w:r w:rsidR="00B6596B">
        <w:rPr>
          <w:rFonts w:asciiTheme="majorHAnsi" w:hAnsiTheme="majorHAnsi"/>
          <w:color w:val="auto"/>
          <w:sz w:val="16"/>
          <w:szCs w:val="16"/>
        </w:rPr>
        <w:t xml:space="preserve"> </w:t>
      </w:r>
      <w:r w:rsidR="00357129">
        <w:rPr>
          <w:rFonts w:asciiTheme="majorHAnsi" w:hAnsiTheme="majorHAnsi"/>
          <w:color w:val="auto"/>
          <w:sz w:val="16"/>
          <w:szCs w:val="16"/>
        </w:rPr>
        <w:t xml:space="preserve">and others </w:t>
      </w:r>
      <w:r w:rsidRPr="00A51861">
        <w:rPr>
          <w:rFonts w:asciiTheme="majorHAnsi" w:hAnsiTheme="majorHAnsi"/>
          <w:color w:val="auto"/>
          <w:sz w:val="16"/>
          <w:szCs w:val="16"/>
        </w:rPr>
        <w:t xml:space="preserve">Vs. Paraguay. </w:t>
      </w:r>
      <w:r w:rsidR="00B6596B">
        <w:rPr>
          <w:rFonts w:asciiTheme="majorHAnsi" w:hAnsiTheme="majorHAnsi"/>
          <w:color w:val="auto"/>
          <w:sz w:val="16"/>
          <w:szCs w:val="16"/>
        </w:rPr>
        <w:t>Merits</w:t>
      </w:r>
      <w:r w:rsidRPr="00A51861">
        <w:rPr>
          <w:rFonts w:asciiTheme="majorHAnsi" w:hAnsiTheme="majorHAnsi"/>
          <w:color w:val="auto"/>
          <w:sz w:val="16"/>
          <w:szCs w:val="16"/>
        </w:rPr>
        <w:t xml:space="preserve">, </w:t>
      </w:r>
      <w:r w:rsidR="00357129">
        <w:rPr>
          <w:rFonts w:asciiTheme="majorHAnsi" w:hAnsiTheme="majorHAnsi"/>
          <w:color w:val="auto"/>
          <w:sz w:val="16"/>
          <w:szCs w:val="16"/>
        </w:rPr>
        <w:t>Reparations and Costs</w:t>
      </w:r>
      <w:r w:rsidRPr="00A51861">
        <w:rPr>
          <w:rFonts w:asciiTheme="majorHAnsi" w:hAnsiTheme="majorHAnsi"/>
          <w:color w:val="auto"/>
          <w:sz w:val="16"/>
          <w:szCs w:val="16"/>
        </w:rPr>
        <w:t xml:space="preserve">. </w:t>
      </w:r>
      <w:r w:rsidR="004E56A9">
        <w:rPr>
          <w:rFonts w:asciiTheme="majorHAnsi" w:hAnsiTheme="majorHAnsi"/>
          <w:color w:val="auto"/>
          <w:sz w:val="16"/>
          <w:szCs w:val="16"/>
        </w:rPr>
        <w:t>Judgment</w:t>
      </w:r>
      <w:r w:rsidRPr="00A51861">
        <w:rPr>
          <w:rFonts w:asciiTheme="majorHAnsi" w:hAnsiTheme="majorHAnsi"/>
          <w:color w:val="auto"/>
          <w:sz w:val="16"/>
          <w:szCs w:val="16"/>
        </w:rPr>
        <w:t xml:space="preserve"> </w:t>
      </w:r>
      <w:r w:rsidR="005F09B6">
        <w:rPr>
          <w:rFonts w:asciiTheme="majorHAnsi" w:hAnsiTheme="majorHAnsi"/>
          <w:color w:val="auto"/>
          <w:sz w:val="16"/>
          <w:szCs w:val="16"/>
        </w:rPr>
        <w:t xml:space="preserve">of September 22, </w:t>
      </w:r>
      <w:r w:rsidRPr="00A51861">
        <w:rPr>
          <w:rFonts w:asciiTheme="majorHAnsi" w:hAnsiTheme="majorHAnsi"/>
          <w:color w:val="auto"/>
          <w:sz w:val="16"/>
          <w:szCs w:val="16"/>
        </w:rPr>
        <w:t xml:space="preserve">2006. Serie C No. 153, </w:t>
      </w:r>
      <w:r w:rsidR="00EC34EF">
        <w:rPr>
          <w:rFonts w:asciiTheme="majorHAnsi" w:hAnsiTheme="majorHAnsi"/>
          <w:color w:val="auto"/>
          <w:sz w:val="16"/>
          <w:szCs w:val="16"/>
        </w:rPr>
        <w:t xml:space="preserve">para. </w:t>
      </w:r>
      <w:r w:rsidRPr="00A51861">
        <w:rPr>
          <w:rFonts w:asciiTheme="majorHAnsi" w:hAnsiTheme="majorHAnsi"/>
          <w:color w:val="auto"/>
          <w:sz w:val="16"/>
          <w:szCs w:val="16"/>
        </w:rPr>
        <w:t xml:space="preserve">61.5 </w:t>
      </w:r>
      <w:r w:rsidR="00EC34EF">
        <w:rPr>
          <w:rFonts w:asciiTheme="majorHAnsi" w:hAnsiTheme="majorHAnsi"/>
          <w:color w:val="auto"/>
          <w:sz w:val="16"/>
          <w:szCs w:val="16"/>
        </w:rPr>
        <w:t>to</w:t>
      </w:r>
      <w:r w:rsidRPr="00A51861">
        <w:rPr>
          <w:rFonts w:asciiTheme="majorHAnsi" w:hAnsiTheme="majorHAnsi"/>
          <w:color w:val="auto"/>
          <w:sz w:val="16"/>
          <w:szCs w:val="16"/>
        </w:rPr>
        <w:t xml:space="preserve"> 61.8.</w:t>
      </w:r>
    </w:p>
  </w:footnote>
  <w:footnote w:id="208">
    <w:p w14:paraId="3CF873D4" w14:textId="2D73DFFD"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EC34EF">
        <w:rPr>
          <w:rFonts w:asciiTheme="majorHAnsi" w:hAnsiTheme="majorHAnsi"/>
          <w:color w:val="auto"/>
          <w:sz w:val="16"/>
          <w:szCs w:val="16"/>
        </w:rPr>
        <w:t xml:space="preserve">As of </w:t>
      </w:r>
      <w:r w:rsidRPr="00A51861">
        <w:rPr>
          <w:rFonts w:asciiTheme="majorHAnsi" w:hAnsiTheme="majorHAnsi"/>
          <w:color w:val="auto"/>
          <w:sz w:val="16"/>
          <w:szCs w:val="16"/>
        </w:rPr>
        <w:t>1976,</w:t>
      </w:r>
      <w:r w:rsidR="00B6596B">
        <w:rPr>
          <w:rFonts w:asciiTheme="majorHAnsi" w:hAnsiTheme="majorHAnsi"/>
          <w:color w:val="auto"/>
          <w:sz w:val="16"/>
          <w:szCs w:val="16"/>
        </w:rPr>
        <w:t xml:space="preserve"> and </w:t>
      </w:r>
      <w:r w:rsidRPr="00A51861">
        <w:rPr>
          <w:rFonts w:asciiTheme="majorHAnsi" w:hAnsiTheme="majorHAnsi"/>
          <w:color w:val="auto"/>
          <w:sz w:val="16"/>
          <w:szCs w:val="16"/>
        </w:rPr>
        <w:t>particular</w:t>
      </w:r>
      <w:r w:rsidR="0029564F">
        <w:rPr>
          <w:rFonts w:asciiTheme="majorHAnsi" w:hAnsiTheme="majorHAnsi"/>
          <w:color w:val="auto"/>
          <w:sz w:val="16"/>
          <w:szCs w:val="16"/>
        </w:rPr>
        <w:t xml:space="preserve">ly </w:t>
      </w:r>
      <w:r w:rsidR="00EC34EF">
        <w:rPr>
          <w:rFonts w:asciiTheme="majorHAnsi" w:hAnsiTheme="majorHAnsi"/>
          <w:color w:val="auto"/>
          <w:sz w:val="16"/>
          <w:szCs w:val="16"/>
        </w:rPr>
        <w:t>after the military coup</w:t>
      </w:r>
      <w:r w:rsidR="00DE173A">
        <w:rPr>
          <w:rFonts w:asciiTheme="majorHAnsi" w:hAnsiTheme="majorHAnsi"/>
          <w:color w:val="auto"/>
          <w:sz w:val="16"/>
          <w:szCs w:val="16"/>
        </w:rPr>
        <w:t xml:space="preserve"> </w:t>
      </w:r>
      <w:r w:rsidR="00EC34EF">
        <w:rPr>
          <w:rFonts w:asciiTheme="majorHAnsi" w:hAnsiTheme="majorHAnsi"/>
          <w:color w:val="auto"/>
          <w:sz w:val="16"/>
          <w:szCs w:val="16"/>
        </w:rPr>
        <w:t>in</w:t>
      </w:r>
      <w:r w:rsidRPr="00A51861">
        <w:rPr>
          <w:rFonts w:asciiTheme="majorHAnsi" w:hAnsiTheme="majorHAnsi"/>
          <w:color w:val="auto"/>
          <w:sz w:val="16"/>
          <w:szCs w:val="16"/>
        </w:rPr>
        <w:t xml:space="preserve"> Argentina, </w:t>
      </w:r>
      <w:r w:rsidR="00EC34EF">
        <w:rPr>
          <w:rFonts w:asciiTheme="majorHAnsi" w:hAnsiTheme="majorHAnsi"/>
          <w:color w:val="auto"/>
          <w:sz w:val="16"/>
          <w:szCs w:val="16"/>
        </w:rPr>
        <w:t>the number of disappearances and</w:t>
      </w:r>
      <w:r w:rsidRPr="00A51861">
        <w:rPr>
          <w:rFonts w:asciiTheme="majorHAnsi" w:hAnsiTheme="majorHAnsi"/>
          <w:color w:val="auto"/>
          <w:sz w:val="16"/>
          <w:szCs w:val="16"/>
        </w:rPr>
        <w:t xml:space="preserve"> </w:t>
      </w:r>
      <w:r w:rsidR="00EC34EF">
        <w:rPr>
          <w:rFonts w:asciiTheme="majorHAnsi" w:hAnsiTheme="majorHAnsi"/>
          <w:color w:val="auto"/>
          <w:sz w:val="16"/>
          <w:szCs w:val="16"/>
        </w:rPr>
        <w:t>extrajudicial executions of exiled</w:t>
      </w:r>
      <w:r w:rsidR="00B6596B">
        <w:rPr>
          <w:rFonts w:asciiTheme="majorHAnsi" w:hAnsiTheme="majorHAnsi"/>
          <w:color w:val="auto"/>
          <w:sz w:val="16"/>
          <w:szCs w:val="16"/>
        </w:rPr>
        <w:t xml:space="preserve"> and </w:t>
      </w:r>
      <w:r w:rsidR="00DE173A">
        <w:rPr>
          <w:rFonts w:asciiTheme="majorHAnsi" w:hAnsiTheme="majorHAnsi"/>
          <w:color w:val="auto"/>
          <w:sz w:val="16"/>
          <w:szCs w:val="16"/>
        </w:rPr>
        <w:t>refugee</w:t>
      </w:r>
      <w:r w:rsidRPr="00A51861">
        <w:rPr>
          <w:rFonts w:asciiTheme="majorHAnsi" w:hAnsiTheme="majorHAnsi"/>
          <w:color w:val="auto"/>
          <w:sz w:val="16"/>
          <w:szCs w:val="16"/>
        </w:rPr>
        <w:t xml:space="preserve">s </w:t>
      </w:r>
      <w:r w:rsidR="00EC34EF">
        <w:rPr>
          <w:rFonts w:asciiTheme="majorHAnsi" w:hAnsiTheme="majorHAnsi"/>
          <w:color w:val="auto"/>
          <w:sz w:val="16"/>
          <w:szCs w:val="16"/>
        </w:rPr>
        <w:t>increased importantly in said country</w:t>
      </w:r>
      <w:r w:rsidRPr="00A51861">
        <w:rPr>
          <w:rFonts w:asciiTheme="majorHAnsi" w:hAnsiTheme="majorHAnsi"/>
          <w:color w:val="auto"/>
          <w:sz w:val="16"/>
          <w:szCs w:val="16"/>
        </w:rPr>
        <w:t xml:space="preserve">. </w:t>
      </w:r>
      <w:r w:rsidR="00EC34EF">
        <w:rPr>
          <w:rFonts w:asciiTheme="majorHAnsi" w:hAnsiTheme="majorHAnsi"/>
          <w:color w:val="auto"/>
          <w:sz w:val="16"/>
          <w:szCs w:val="16"/>
        </w:rPr>
        <w:t>In some cases</w:t>
      </w:r>
      <w:r w:rsidRPr="00A51861">
        <w:rPr>
          <w:rFonts w:asciiTheme="majorHAnsi" w:hAnsiTheme="majorHAnsi"/>
          <w:color w:val="auto"/>
          <w:sz w:val="16"/>
          <w:szCs w:val="16"/>
        </w:rPr>
        <w:t xml:space="preserve">, </w:t>
      </w:r>
      <w:r w:rsidR="00DE173A">
        <w:rPr>
          <w:rFonts w:asciiTheme="majorHAnsi" w:hAnsiTheme="majorHAnsi"/>
          <w:color w:val="auto"/>
          <w:sz w:val="16"/>
          <w:szCs w:val="16"/>
        </w:rPr>
        <w:t>refugee</w:t>
      </w:r>
      <w:r w:rsidRPr="00A51861">
        <w:rPr>
          <w:rFonts w:asciiTheme="majorHAnsi" w:hAnsiTheme="majorHAnsi"/>
          <w:color w:val="auto"/>
          <w:sz w:val="16"/>
          <w:szCs w:val="16"/>
        </w:rPr>
        <w:t xml:space="preserve">s </w:t>
      </w:r>
      <w:r w:rsidR="00EC34EF">
        <w:rPr>
          <w:rFonts w:asciiTheme="majorHAnsi" w:hAnsiTheme="majorHAnsi"/>
          <w:color w:val="auto"/>
          <w:sz w:val="16"/>
          <w:szCs w:val="16"/>
        </w:rPr>
        <w:t xml:space="preserve">were intended to be shown as </w:t>
      </w:r>
      <w:r w:rsidR="00EC34EF" w:rsidRPr="00A51861">
        <w:rPr>
          <w:rFonts w:asciiTheme="majorHAnsi" w:hAnsiTheme="majorHAnsi"/>
          <w:color w:val="auto"/>
          <w:sz w:val="16"/>
          <w:szCs w:val="16"/>
        </w:rPr>
        <w:t xml:space="preserve">terrorist </w:t>
      </w:r>
      <w:r w:rsidRPr="00A51861">
        <w:rPr>
          <w:rFonts w:asciiTheme="majorHAnsi" w:hAnsiTheme="majorHAnsi"/>
          <w:color w:val="auto"/>
          <w:sz w:val="16"/>
          <w:szCs w:val="16"/>
        </w:rPr>
        <w:t>inva</w:t>
      </w:r>
      <w:r w:rsidR="00EC34EF">
        <w:rPr>
          <w:rFonts w:asciiTheme="majorHAnsi" w:hAnsiTheme="majorHAnsi"/>
          <w:color w:val="auto"/>
          <w:sz w:val="16"/>
          <w:szCs w:val="16"/>
        </w:rPr>
        <w:t>der</w:t>
      </w:r>
      <w:r w:rsidRPr="00A51861">
        <w:rPr>
          <w:rFonts w:asciiTheme="majorHAnsi" w:hAnsiTheme="majorHAnsi"/>
          <w:color w:val="auto"/>
          <w:sz w:val="16"/>
          <w:szCs w:val="16"/>
        </w:rPr>
        <w:t>s,</w:t>
      </w:r>
      <w:r w:rsidR="00B6596B">
        <w:rPr>
          <w:rFonts w:asciiTheme="majorHAnsi" w:hAnsiTheme="majorHAnsi"/>
          <w:color w:val="auto"/>
          <w:sz w:val="16"/>
          <w:szCs w:val="16"/>
        </w:rPr>
        <w:t xml:space="preserve"> </w:t>
      </w:r>
      <w:r w:rsidR="00EC34EF">
        <w:rPr>
          <w:rFonts w:asciiTheme="majorHAnsi" w:hAnsiTheme="majorHAnsi"/>
          <w:color w:val="auto"/>
          <w:sz w:val="16"/>
          <w:szCs w:val="16"/>
        </w:rPr>
        <w:t>and so</w:t>
      </w:r>
      <w:r w:rsidRPr="00A51861">
        <w:rPr>
          <w:rFonts w:asciiTheme="majorHAnsi" w:hAnsiTheme="majorHAnsi"/>
          <w:color w:val="auto"/>
          <w:sz w:val="16"/>
          <w:szCs w:val="16"/>
        </w:rPr>
        <w:t xml:space="preserve">, </w:t>
      </w:r>
      <w:r w:rsidR="00F406E1">
        <w:rPr>
          <w:rFonts w:asciiTheme="majorHAnsi" w:hAnsiTheme="majorHAnsi"/>
          <w:color w:val="auto"/>
          <w:sz w:val="16"/>
          <w:szCs w:val="16"/>
        </w:rPr>
        <w:t>for example</w:t>
      </w:r>
      <w:r w:rsidRPr="00A51861">
        <w:rPr>
          <w:rFonts w:asciiTheme="majorHAnsi" w:hAnsiTheme="majorHAnsi"/>
          <w:color w:val="auto"/>
          <w:sz w:val="16"/>
          <w:szCs w:val="16"/>
        </w:rPr>
        <w:t xml:space="preserve">, </w:t>
      </w:r>
      <w:r w:rsidR="00EC34EF">
        <w:rPr>
          <w:rFonts w:asciiTheme="majorHAnsi" w:hAnsiTheme="majorHAnsi"/>
          <w:color w:val="auto"/>
          <w:sz w:val="16"/>
          <w:szCs w:val="16"/>
        </w:rPr>
        <w:t>between July and October</w:t>
      </w:r>
      <w:r w:rsidRPr="00A51861">
        <w:rPr>
          <w:rFonts w:asciiTheme="majorHAnsi" w:hAnsiTheme="majorHAnsi"/>
          <w:color w:val="auto"/>
          <w:sz w:val="16"/>
          <w:szCs w:val="16"/>
        </w:rPr>
        <w:t xml:space="preserve"> </w:t>
      </w:r>
      <w:r w:rsidR="00EC34EF">
        <w:rPr>
          <w:rFonts w:asciiTheme="majorHAnsi" w:hAnsiTheme="majorHAnsi"/>
          <w:color w:val="auto"/>
          <w:sz w:val="16"/>
          <w:szCs w:val="16"/>
        </w:rPr>
        <w:t>that year</w:t>
      </w:r>
      <w:r w:rsidRPr="00A51861">
        <w:rPr>
          <w:rFonts w:asciiTheme="majorHAnsi" w:hAnsiTheme="majorHAnsi"/>
          <w:color w:val="auto"/>
          <w:sz w:val="16"/>
          <w:szCs w:val="16"/>
        </w:rPr>
        <w:t xml:space="preserve"> </w:t>
      </w:r>
      <w:r w:rsidR="00EC34EF">
        <w:rPr>
          <w:rFonts w:asciiTheme="majorHAnsi" w:hAnsiTheme="majorHAnsi"/>
          <w:color w:val="auto"/>
          <w:sz w:val="16"/>
          <w:szCs w:val="16"/>
        </w:rPr>
        <w:t>there were joint operations of</w:t>
      </w:r>
      <w:r w:rsidRPr="00A51861">
        <w:rPr>
          <w:rFonts w:asciiTheme="majorHAnsi" w:hAnsiTheme="majorHAnsi"/>
          <w:color w:val="auto"/>
          <w:sz w:val="16"/>
          <w:szCs w:val="16"/>
        </w:rPr>
        <w:t xml:space="preserve"> </w:t>
      </w:r>
      <w:r w:rsidR="00EC34EF" w:rsidRPr="00A51861">
        <w:rPr>
          <w:rFonts w:asciiTheme="majorHAnsi" w:hAnsiTheme="majorHAnsi"/>
          <w:color w:val="auto"/>
          <w:sz w:val="16"/>
          <w:szCs w:val="16"/>
        </w:rPr>
        <w:t>Argentine</w:t>
      </w:r>
      <w:r w:rsidR="00EC34EF">
        <w:rPr>
          <w:rFonts w:asciiTheme="majorHAnsi" w:hAnsiTheme="majorHAnsi"/>
          <w:color w:val="auto"/>
          <w:sz w:val="16"/>
          <w:szCs w:val="16"/>
        </w:rPr>
        <w:t xml:space="preserve"> and </w:t>
      </w:r>
      <w:r w:rsidR="00EC34EF" w:rsidRPr="00A51861">
        <w:rPr>
          <w:rFonts w:asciiTheme="majorHAnsi" w:hAnsiTheme="majorHAnsi"/>
          <w:color w:val="auto"/>
          <w:sz w:val="16"/>
          <w:szCs w:val="16"/>
        </w:rPr>
        <w:t xml:space="preserve">Uruguayan </w:t>
      </w:r>
      <w:r w:rsidR="00EC34EF">
        <w:rPr>
          <w:rFonts w:asciiTheme="majorHAnsi" w:hAnsiTheme="majorHAnsi"/>
          <w:color w:val="auto"/>
          <w:sz w:val="16"/>
          <w:szCs w:val="16"/>
        </w:rPr>
        <w:t>military corps</w:t>
      </w:r>
      <w:r w:rsidRPr="00A51861">
        <w:rPr>
          <w:rFonts w:asciiTheme="majorHAnsi" w:hAnsiTheme="majorHAnsi"/>
          <w:color w:val="auto"/>
          <w:sz w:val="16"/>
          <w:szCs w:val="16"/>
        </w:rPr>
        <w:t xml:space="preserve"> </w:t>
      </w:r>
      <w:r w:rsidR="00EC34EF">
        <w:rPr>
          <w:rFonts w:asciiTheme="majorHAnsi" w:hAnsiTheme="majorHAnsi"/>
          <w:color w:val="auto"/>
          <w:sz w:val="16"/>
          <w:szCs w:val="16"/>
        </w:rPr>
        <w:t>in which over</w:t>
      </w:r>
      <w:r w:rsidRPr="00A51861">
        <w:rPr>
          <w:rFonts w:asciiTheme="majorHAnsi" w:hAnsiTheme="majorHAnsi"/>
          <w:color w:val="auto"/>
          <w:sz w:val="16"/>
          <w:szCs w:val="16"/>
        </w:rPr>
        <w:t xml:space="preserve"> 60 </w:t>
      </w:r>
      <w:r w:rsidR="00EC34EF" w:rsidRPr="00A51861">
        <w:rPr>
          <w:rFonts w:asciiTheme="majorHAnsi" w:hAnsiTheme="majorHAnsi"/>
          <w:color w:val="auto"/>
          <w:sz w:val="16"/>
          <w:szCs w:val="16"/>
        </w:rPr>
        <w:t>Uruguayans</w:t>
      </w:r>
      <w:r w:rsidR="00EC34EF">
        <w:rPr>
          <w:rFonts w:asciiTheme="majorHAnsi" w:hAnsiTheme="majorHAnsi"/>
          <w:color w:val="auto"/>
          <w:sz w:val="16"/>
          <w:szCs w:val="16"/>
        </w:rPr>
        <w:t xml:space="preserve"> were abducted i</w:t>
      </w:r>
      <w:r w:rsidRPr="00A51861">
        <w:rPr>
          <w:rFonts w:asciiTheme="majorHAnsi" w:hAnsiTheme="majorHAnsi"/>
          <w:color w:val="auto"/>
          <w:sz w:val="16"/>
          <w:szCs w:val="16"/>
        </w:rPr>
        <w:t xml:space="preserve">n Buenos Aires”. Cfr. </w:t>
      </w:r>
      <w:r w:rsidR="00036743">
        <w:rPr>
          <w:rFonts w:asciiTheme="majorHAnsi" w:hAnsiTheme="majorHAnsi"/>
          <w:color w:val="auto"/>
          <w:sz w:val="16"/>
          <w:szCs w:val="16"/>
        </w:rPr>
        <w:t>IHR Court</w:t>
      </w:r>
      <w:r w:rsidRPr="00A51861">
        <w:rPr>
          <w:rFonts w:asciiTheme="majorHAnsi" w:hAnsiTheme="majorHAnsi"/>
          <w:color w:val="auto"/>
          <w:sz w:val="16"/>
          <w:szCs w:val="16"/>
        </w:rPr>
        <w:t xml:space="preserve">. </w:t>
      </w:r>
      <w:r w:rsidR="00B6596B">
        <w:rPr>
          <w:rFonts w:asciiTheme="majorHAnsi" w:hAnsiTheme="majorHAnsi"/>
          <w:color w:val="auto"/>
          <w:sz w:val="16"/>
          <w:szCs w:val="16"/>
        </w:rPr>
        <w:t xml:space="preserve">Case </w:t>
      </w:r>
      <w:r w:rsidRPr="00A51861">
        <w:rPr>
          <w:rFonts w:asciiTheme="majorHAnsi" w:hAnsiTheme="majorHAnsi"/>
          <w:color w:val="auto"/>
          <w:sz w:val="16"/>
          <w:szCs w:val="16"/>
        </w:rPr>
        <w:t xml:space="preserve">Gelman Vs. Uruguay. </w:t>
      </w:r>
      <w:r w:rsidR="00B6596B">
        <w:rPr>
          <w:rFonts w:asciiTheme="majorHAnsi" w:hAnsiTheme="majorHAnsi"/>
          <w:color w:val="auto"/>
          <w:sz w:val="16"/>
          <w:szCs w:val="16"/>
        </w:rPr>
        <w:t xml:space="preserve">Merits and </w:t>
      </w:r>
      <w:r w:rsidR="00EC34EF" w:rsidRPr="00A51861">
        <w:rPr>
          <w:rFonts w:asciiTheme="majorHAnsi" w:hAnsiTheme="majorHAnsi"/>
          <w:color w:val="auto"/>
          <w:sz w:val="16"/>
          <w:szCs w:val="16"/>
        </w:rPr>
        <w:t>Reparations</w:t>
      </w:r>
      <w:r w:rsidRPr="00A51861">
        <w:rPr>
          <w:rFonts w:asciiTheme="majorHAnsi" w:hAnsiTheme="majorHAnsi"/>
          <w:color w:val="auto"/>
          <w:sz w:val="16"/>
          <w:szCs w:val="16"/>
        </w:rPr>
        <w:t xml:space="preserve">. </w:t>
      </w:r>
      <w:r w:rsidR="004E56A9">
        <w:rPr>
          <w:rFonts w:asciiTheme="majorHAnsi" w:hAnsiTheme="majorHAnsi"/>
          <w:color w:val="auto"/>
          <w:sz w:val="16"/>
          <w:szCs w:val="16"/>
        </w:rPr>
        <w:t>Judgment</w:t>
      </w:r>
      <w:r w:rsidRPr="00A51861">
        <w:rPr>
          <w:rFonts w:asciiTheme="majorHAnsi" w:hAnsiTheme="majorHAnsi"/>
          <w:color w:val="auto"/>
          <w:sz w:val="16"/>
          <w:szCs w:val="16"/>
        </w:rPr>
        <w:t xml:space="preserve"> </w:t>
      </w:r>
      <w:r w:rsidR="00EC34EF">
        <w:rPr>
          <w:rFonts w:asciiTheme="majorHAnsi" w:hAnsiTheme="majorHAnsi"/>
          <w:color w:val="auto"/>
          <w:sz w:val="16"/>
          <w:szCs w:val="16"/>
        </w:rPr>
        <w:t>of February 24,</w:t>
      </w:r>
      <w:r w:rsidRPr="00A51861">
        <w:rPr>
          <w:rFonts w:asciiTheme="majorHAnsi" w:hAnsiTheme="majorHAnsi"/>
          <w:color w:val="auto"/>
          <w:sz w:val="16"/>
          <w:szCs w:val="16"/>
        </w:rPr>
        <w:t xml:space="preserve"> 2011. Serie C. No. 221, </w:t>
      </w:r>
      <w:r w:rsidR="00B6596B">
        <w:rPr>
          <w:rFonts w:asciiTheme="majorHAnsi" w:hAnsiTheme="majorHAnsi"/>
          <w:color w:val="auto"/>
          <w:sz w:val="16"/>
          <w:szCs w:val="16"/>
        </w:rPr>
        <w:t>para.</w:t>
      </w:r>
      <w:r w:rsidRPr="00A51861">
        <w:rPr>
          <w:rFonts w:asciiTheme="majorHAnsi" w:hAnsiTheme="majorHAnsi"/>
          <w:color w:val="auto"/>
          <w:sz w:val="16"/>
          <w:szCs w:val="16"/>
        </w:rPr>
        <w:t xml:space="preserve"> 56, </w:t>
      </w:r>
      <w:r w:rsidR="00EC34EF">
        <w:rPr>
          <w:rFonts w:asciiTheme="majorHAnsi" w:hAnsiTheme="majorHAnsi"/>
          <w:color w:val="auto"/>
          <w:sz w:val="16"/>
          <w:szCs w:val="16"/>
        </w:rPr>
        <w:t>Never again</w:t>
      </w:r>
      <w:r w:rsidRPr="00A51861">
        <w:rPr>
          <w:rFonts w:asciiTheme="majorHAnsi" w:hAnsiTheme="majorHAnsi"/>
          <w:color w:val="auto"/>
          <w:sz w:val="16"/>
          <w:szCs w:val="16"/>
        </w:rPr>
        <w:t>.</w:t>
      </w:r>
      <w:r w:rsidR="000E67CA">
        <w:rPr>
          <w:rFonts w:asciiTheme="majorHAnsi" w:hAnsiTheme="majorHAnsi"/>
          <w:color w:val="auto"/>
          <w:sz w:val="16"/>
          <w:szCs w:val="16"/>
        </w:rPr>
        <w:t xml:space="preserve"> </w:t>
      </w:r>
      <w:r w:rsidRPr="00A51861">
        <w:rPr>
          <w:rFonts w:asciiTheme="majorHAnsi" w:hAnsiTheme="majorHAnsi"/>
          <w:color w:val="auto"/>
          <w:sz w:val="16"/>
          <w:szCs w:val="16"/>
        </w:rPr>
        <w:t xml:space="preserve">Final </w:t>
      </w:r>
      <w:r w:rsidR="00EC34EF">
        <w:rPr>
          <w:rFonts w:asciiTheme="majorHAnsi" w:hAnsiTheme="majorHAnsi"/>
          <w:color w:val="auto"/>
          <w:sz w:val="16"/>
          <w:szCs w:val="16"/>
        </w:rPr>
        <w:t>Report of</w:t>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 xml:space="preserve">the </w:t>
      </w:r>
      <w:r w:rsidR="00EC34EF">
        <w:rPr>
          <w:rFonts w:asciiTheme="majorHAnsi" w:hAnsiTheme="majorHAnsi"/>
          <w:color w:val="auto"/>
          <w:sz w:val="16"/>
          <w:szCs w:val="16"/>
        </w:rPr>
        <w:t>National Commission on Disappearance of Persons</w:t>
      </w:r>
      <w:r w:rsidRPr="00A51861">
        <w:rPr>
          <w:rFonts w:asciiTheme="majorHAnsi" w:hAnsiTheme="majorHAnsi"/>
          <w:color w:val="auto"/>
          <w:sz w:val="16"/>
          <w:szCs w:val="16"/>
        </w:rPr>
        <w:t xml:space="preserve">, Buenos Aires, Eudeba, 1984, </w:t>
      </w:r>
      <w:r w:rsidR="00EC34EF">
        <w:rPr>
          <w:rFonts w:asciiTheme="majorHAnsi" w:hAnsiTheme="majorHAnsi"/>
          <w:color w:val="auto"/>
          <w:sz w:val="16"/>
          <w:szCs w:val="16"/>
        </w:rPr>
        <w:t>chapter</w:t>
      </w:r>
      <w:r w:rsidRPr="00A51861">
        <w:rPr>
          <w:rFonts w:asciiTheme="majorHAnsi" w:hAnsiTheme="majorHAnsi"/>
          <w:color w:val="auto"/>
          <w:sz w:val="16"/>
          <w:szCs w:val="16"/>
        </w:rPr>
        <w:t xml:space="preserve"> 1.D: </w:t>
      </w:r>
      <w:r w:rsidR="00EC34EF">
        <w:rPr>
          <w:rFonts w:asciiTheme="majorHAnsi" w:hAnsiTheme="majorHAnsi"/>
          <w:color w:val="auto"/>
          <w:sz w:val="16"/>
          <w:szCs w:val="16"/>
        </w:rPr>
        <w:t>Clandestine Detention Centers</w:t>
      </w:r>
      <w:r w:rsidRPr="00A51861">
        <w:rPr>
          <w:rFonts w:asciiTheme="majorHAnsi" w:hAnsiTheme="majorHAnsi"/>
          <w:color w:val="auto"/>
          <w:sz w:val="16"/>
          <w:szCs w:val="16"/>
        </w:rPr>
        <w:t xml:space="preserve"> (C. C.D)</w:t>
      </w:r>
      <w:r w:rsidRPr="00A51861">
        <w:rPr>
          <w:rFonts w:asciiTheme="majorHAnsi" w:eastAsia="Arial Unicode MS" w:hAnsiTheme="majorHAnsi" w:cs="Times New Roman"/>
          <w:color w:val="auto"/>
          <w:sz w:val="16"/>
          <w:szCs w:val="16"/>
          <w:lang w:eastAsia="en-US"/>
        </w:rPr>
        <w:t xml:space="preserve"> </w:t>
      </w:r>
      <w:r w:rsidR="00EC34EF">
        <w:rPr>
          <w:rFonts w:asciiTheme="majorHAnsi" w:eastAsia="Arial Unicode MS" w:hAnsiTheme="majorHAnsi" w:cs="Times New Roman"/>
          <w:color w:val="auto"/>
          <w:sz w:val="16"/>
          <w:szCs w:val="16"/>
          <w:lang w:eastAsia="en-US"/>
        </w:rPr>
        <w:t>Available at</w:t>
      </w:r>
      <w:r w:rsidRPr="00A51861">
        <w:rPr>
          <w:rFonts w:asciiTheme="majorHAnsi" w:hAnsiTheme="majorHAnsi"/>
          <w:color w:val="auto"/>
          <w:sz w:val="16"/>
          <w:szCs w:val="16"/>
        </w:rPr>
        <w:t xml:space="preserve">: </w:t>
      </w:r>
      <w:hyperlink r:id="rId3" w:history="1">
        <w:r w:rsidRPr="00A51861">
          <w:rPr>
            <w:rStyle w:val="Hyperlink"/>
            <w:rFonts w:asciiTheme="majorHAnsi" w:hAnsiTheme="majorHAnsi"/>
            <w:color w:val="auto"/>
            <w:sz w:val="16"/>
            <w:szCs w:val="16"/>
          </w:rPr>
          <w:t>http://www.desaparecidos.org/arg/conadep/nuncamas/</w:t>
        </w:r>
      </w:hyperlink>
      <w:r w:rsidRPr="00A51861">
        <w:rPr>
          <w:rFonts w:asciiTheme="majorHAnsi" w:hAnsiTheme="majorHAnsi"/>
          <w:color w:val="auto"/>
          <w:sz w:val="16"/>
          <w:szCs w:val="16"/>
        </w:rPr>
        <w:t xml:space="preserve"> (Cit</w:t>
      </w:r>
      <w:r w:rsidR="00EC34EF">
        <w:rPr>
          <w:rFonts w:asciiTheme="majorHAnsi" w:hAnsiTheme="majorHAnsi"/>
          <w:color w:val="auto"/>
          <w:sz w:val="16"/>
          <w:szCs w:val="16"/>
        </w:rPr>
        <w:t>ed i</w:t>
      </w:r>
      <w:r w:rsidRPr="00A51861">
        <w:rPr>
          <w:rFonts w:asciiTheme="majorHAnsi" w:hAnsiTheme="majorHAnsi"/>
          <w:color w:val="auto"/>
          <w:sz w:val="16"/>
          <w:szCs w:val="16"/>
        </w:rPr>
        <w:t xml:space="preserve">n </w:t>
      </w:r>
      <w:r w:rsidR="00B6596B">
        <w:rPr>
          <w:rFonts w:asciiTheme="majorHAnsi" w:hAnsiTheme="majorHAnsi"/>
          <w:color w:val="auto"/>
          <w:sz w:val="16"/>
          <w:szCs w:val="16"/>
        </w:rPr>
        <w:t xml:space="preserve">Case </w:t>
      </w:r>
      <w:r w:rsidRPr="00A51861">
        <w:rPr>
          <w:rFonts w:asciiTheme="majorHAnsi" w:hAnsiTheme="majorHAnsi"/>
          <w:color w:val="auto"/>
          <w:sz w:val="16"/>
          <w:szCs w:val="16"/>
        </w:rPr>
        <w:t xml:space="preserve">Gelman Vs. Uruguay. </w:t>
      </w:r>
      <w:r w:rsidR="004E56A9">
        <w:rPr>
          <w:rFonts w:asciiTheme="majorHAnsi" w:hAnsiTheme="majorHAnsi"/>
          <w:color w:val="auto"/>
          <w:sz w:val="16"/>
          <w:szCs w:val="16"/>
        </w:rPr>
        <w:t>Judgment</w:t>
      </w:r>
      <w:r w:rsidRPr="00A51861">
        <w:rPr>
          <w:rFonts w:asciiTheme="majorHAnsi" w:hAnsiTheme="majorHAnsi"/>
          <w:color w:val="auto"/>
          <w:sz w:val="16"/>
          <w:szCs w:val="16"/>
        </w:rPr>
        <w:t xml:space="preserve"> </w:t>
      </w:r>
      <w:r w:rsidR="00EC34EF">
        <w:rPr>
          <w:rFonts w:asciiTheme="majorHAnsi" w:hAnsiTheme="majorHAnsi"/>
          <w:color w:val="auto"/>
          <w:sz w:val="16"/>
          <w:szCs w:val="16"/>
        </w:rPr>
        <w:t>of February 24,</w:t>
      </w:r>
      <w:r w:rsidRPr="00A51861">
        <w:rPr>
          <w:rFonts w:asciiTheme="majorHAnsi" w:hAnsiTheme="majorHAnsi"/>
          <w:color w:val="auto"/>
          <w:sz w:val="16"/>
          <w:szCs w:val="16"/>
        </w:rPr>
        <w:t xml:space="preserve"> 2011).</w:t>
      </w:r>
    </w:p>
  </w:footnote>
  <w:footnote w:id="209">
    <w:p w14:paraId="2280572C" w14:textId="085B9E6B" w:rsidR="00F40E67" w:rsidRPr="00A51861" w:rsidRDefault="00F40E67" w:rsidP="0063693D">
      <w:pPr>
        <w:pStyle w:val="FootnoteText"/>
        <w:jc w:val="both"/>
        <w:rPr>
          <w:rFonts w:asciiTheme="majorHAnsi" w:hAnsiTheme="majorHAnsi" w:cs="Arial"/>
          <w:color w:val="auto"/>
          <w:sz w:val="16"/>
          <w:szCs w:val="16"/>
        </w:rPr>
      </w:pPr>
      <w:r w:rsidRPr="00A51861">
        <w:rPr>
          <w:rStyle w:val="FootnoteReference"/>
          <w:rFonts w:asciiTheme="majorHAnsi" w:hAnsiTheme="majorHAnsi" w:cs="Arial"/>
          <w:color w:val="auto"/>
          <w:sz w:val="16"/>
          <w:szCs w:val="16"/>
        </w:rPr>
        <w:footnoteRef/>
      </w:r>
      <w:r w:rsidRPr="00A51861">
        <w:rPr>
          <w:rFonts w:asciiTheme="majorHAnsi" w:hAnsiTheme="majorHAnsi" w:cs="Arial"/>
          <w:color w:val="auto"/>
          <w:sz w:val="16"/>
          <w:szCs w:val="16"/>
        </w:rPr>
        <w:t xml:space="preserve"> </w:t>
      </w:r>
      <w:r w:rsidR="00E22665">
        <w:rPr>
          <w:rFonts w:asciiTheme="majorHAnsi" w:hAnsiTheme="majorHAnsi" w:cs="Arial"/>
          <w:color w:val="auto"/>
          <w:sz w:val="16"/>
          <w:szCs w:val="16"/>
        </w:rPr>
        <w:t xml:space="preserve">Article </w:t>
      </w:r>
      <w:r w:rsidRPr="00A51861">
        <w:rPr>
          <w:rFonts w:asciiTheme="majorHAnsi" w:hAnsiTheme="majorHAnsi" w:cs="Arial"/>
          <w:color w:val="auto"/>
          <w:sz w:val="16"/>
          <w:szCs w:val="16"/>
        </w:rPr>
        <w:t xml:space="preserve">8.1 </w:t>
      </w:r>
      <w:r w:rsidR="00EC34EF">
        <w:rPr>
          <w:rFonts w:asciiTheme="majorHAnsi" w:hAnsiTheme="majorHAnsi" w:cs="Arial"/>
          <w:color w:val="auto"/>
          <w:sz w:val="16"/>
          <w:szCs w:val="16"/>
        </w:rPr>
        <w:t>establishes</w:t>
      </w:r>
      <w:r w:rsidRPr="00A51861">
        <w:rPr>
          <w:rFonts w:asciiTheme="majorHAnsi" w:hAnsiTheme="majorHAnsi" w:cs="Arial"/>
          <w:color w:val="auto"/>
          <w:sz w:val="16"/>
          <w:szCs w:val="16"/>
        </w:rPr>
        <w:t>: “</w:t>
      </w:r>
      <w:r w:rsidR="00B905DA" w:rsidRPr="00B905DA">
        <w:rPr>
          <w:rFonts w:asciiTheme="majorHAnsi" w:hAnsiTheme="majorHAnsi" w:cs="Arial"/>
          <w:color w:val="auto"/>
          <w:sz w:val="16"/>
          <w:szCs w:val="16"/>
        </w:rPr>
        <w:t>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r w:rsidRPr="00A51861">
        <w:rPr>
          <w:rFonts w:asciiTheme="majorHAnsi" w:hAnsiTheme="majorHAnsi" w:cs="Arial"/>
          <w:color w:val="auto"/>
          <w:sz w:val="16"/>
          <w:szCs w:val="16"/>
        </w:rPr>
        <w:t>”.</w:t>
      </w:r>
    </w:p>
  </w:footnote>
  <w:footnote w:id="210">
    <w:p w14:paraId="309CED94" w14:textId="3FC62E9B" w:rsidR="00F40E67" w:rsidRPr="00A51861" w:rsidRDefault="00F40E67" w:rsidP="0063693D">
      <w:pPr>
        <w:pStyle w:val="FootnoteText"/>
        <w:jc w:val="both"/>
        <w:rPr>
          <w:rFonts w:asciiTheme="majorHAnsi" w:hAnsiTheme="majorHAnsi" w:cs="Arial"/>
          <w:color w:val="auto"/>
          <w:sz w:val="16"/>
          <w:szCs w:val="16"/>
        </w:rPr>
      </w:pPr>
      <w:r w:rsidRPr="00A51861">
        <w:rPr>
          <w:rStyle w:val="FootnoteReference"/>
          <w:rFonts w:asciiTheme="majorHAnsi" w:hAnsiTheme="majorHAnsi" w:cs="Arial"/>
          <w:color w:val="auto"/>
          <w:sz w:val="16"/>
          <w:szCs w:val="16"/>
        </w:rPr>
        <w:footnoteRef/>
      </w:r>
      <w:r w:rsidRPr="00A51861">
        <w:rPr>
          <w:rFonts w:asciiTheme="majorHAnsi" w:hAnsiTheme="majorHAnsi" w:cs="Arial"/>
          <w:color w:val="auto"/>
          <w:sz w:val="16"/>
          <w:szCs w:val="16"/>
        </w:rPr>
        <w:t xml:space="preserve"> </w:t>
      </w:r>
      <w:r w:rsidR="00E22665">
        <w:rPr>
          <w:rFonts w:asciiTheme="majorHAnsi" w:hAnsiTheme="majorHAnsi" w:cs="Arial"/>
          <w:color w:val="auto"/>
          <w:sz w:val="16"/>
          <w:szCs w:val="16"/>
        </w:rPr>
        <w:t xml:space="preserve">Article </w:t>
      </w:r>
      <w:r w:rsidRPr="00A51861">
        <w:rPr>
          <w:rFonts w:asciiTheme="majorHAnsi" w:hAnsiTheme="majorHAnsi" w:cs="Arial"/>
          <w:color w:val="auto"/>
          <w:sz w:val="16"/>
          <w:szCs w:val="16"/>
        </w:rPr>
        <w:t xml:space="preserve">25.1 </w:t>
      </w:r>
      <w:r w:rsidR="00B905DA">
        <w:rPr>
          <w:rFonts w:asciiTheme="majorHAnsi" w:hAnsiTheme="majorHAnsi" w:cs="Arial"/>
          <w:color w:val="auto"/>
          <w:sz w:val="16"/>
          <w:szCs w:val="16"/>
        </w:rPr>
        <w:t>stipulates</w:t>
      </w:r>
      <w:r w:rsidRPr="00A51861">
        <w:rPr>
          <w:rFonts w:asciiTheme="majorHAnsi" w:hAnsiTheme="majorHAnsi" w:cs="Arial"/>
          <w:color w:val="auto"/>
          <w:sz w:val="16"/>
          <w:szCs w:val="16"/>
        </w:rPr>
        <w:t>: “</w:t>
      </w:r>
      <w:r w:rsidR="00B905DA" w:rsidRPr="00B905DA">
        <w:rPr>
          <w:rFonts w:asciiTheme="majorHAnsi" w:hAnsiTheme="majorHAnsi" w:cs="Arial"/>
          <w:color w:val="auto"/>
          <w:sz w:val="16"/>
          <w:szCs w:val="16"/>
        </w:rPr>
        <w:t>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r w:rsidRPr="00A51861">
        <w:rPr>
          <w:rFonts w:asciiTheme="majorHAnsi" w:hAnsiTheme="majorHAnsi" w:cs="Arial"/>
          <w:color w:val="auto"/>
          <w:sz w:val="16"/>
          <w:szCs w:val="16"/>
        </w:rPr>
        <w:t>”.</w:t>
      </w:r>
    </w:p>
  </w:footnote>
  <w:footnote w:id="211">
    <w:p w14:paraId="0F532242" w14:textId="28538069" w:rsidR="00F40E67" w:rsidRPr="00A51861" w:rsidRDefault="00F40E67" w:rsidP="0063693D">
      <w:pPr>
        <w:pStyle w:val="FootnoteText"/>
        <w:jc w:val="both"/>
        <w:rPr>
          <w:rFonts w:asciiTheme="majorHAnsi" w:hAnsiTheme="majorHAnsi" w:cs="Arial"/>
          <w:color w:val="auto"/>
          <w:sz w:val="16"/>
          <w:szCs w:val="16"/>
        </w:rPr>
      </w:pPr>
      <w:r w:rsidRPr="00A51861">
        <w:rPr>
          <w:rStyle w:val="FootnoteReference"/>
          <w:rFonts w:asciiTheme="majorHAnsi" w:hAnsiTheme="majorHAnsi" w:cs="Arial"/>
          <w:color w:val="auto"/>
          <w:sz w:val="16"/>
          <w:szCs w:val="16"/>
        </w:rPr>
        <w:footnoteRef/>
      </w:r>
      <w:r w:rsidRPr="00A51861">
        <w:rPr>
          <w:rFonts w:asciiTheme="majorHAnsi" w:hAnsiTheme="majorHAnsi" w:cs="Arial"/>
          <w:color w:val="auto"/>
          <w:sz w:val="16"/>
          <w:szCs w:val="16"/>
        </w:rPr>
        <w:t xml:space="preserve"> </w:t>
      </w:r>
      <w:r w:rsidR="00E22665">
        <w:rPr>
          <w:rFonts w:asciiTheme="majorHAnsi" w:hAnsiTheme="majorHAnsi" w:cs="Arial"/>
          <w:color w:val="auto"/>
          <w:sz w:val="16"/>
          <w:szCs w:val="16"/>
        </w:rPr>
        <w:t xml:space="preserve">Article </w:t>
      </w:r>
      <w:r w:rsidRPr="00A51861">
        <w:rPr>
          <w:rFonts w:asciiTheme="majorHAnsi" w:hAnsiTheme="majorHAnsi" w:cs="Arial"/>
          <w:color w:val="auto"/>
          <w:sz w:val="16"/>
          <w:szCs w:val="16"/>
        </w:rPr>
        <w:t xml:space="preserve">24 </w:t>
      </w:r>
      <w:r w:rsidR="00B905DA">
        <w:rPr>
          <w:rFonts w:asciiTheme="majorHAnsi" w:hAnsiTheme="majorHAnsi" w:cs="Arial"/>
          <w:color w:val="auto"/>
          <w:sz w:val="16"/>
          <w:szCs w:val="16"/>
        </w:rPr>
        <w:t>sets forth</w:t>
      </w:r>
      <w:r w:rsidRPr="00A51861">
        <w:rPr>
          <w:rFonts w:asciiTheme="majorHAnsi" w:hAnsiTheme="majorHAnsi" w:cs="Arial"/>
          <w:color w:val="auto"/>
          <w:sz w:val="16"/>
          <w:szCs w:val="16"/>
        </w:rPr>
        <w:t>: “</w:t>
      </w:r>
      <w:r w:rsidR="00B905DA" w:rsidRPr="00B905DA">
        <w:rPr>
          <w:rFonts w:asciiTheme="majorHAnsi" w:hAnsiTheme="majorHAnsi" w:cs="Arial"/>
          <w:color w:val="auto"/>
          <w:sz w:val="16"/>
          <w:szCs w:val="16"/>
        </w:rPr>
        <w:t>All persons are equal before the law. Consequently, they are entitled, without discrimination, to equal protection of the law</w:t>
      </w:r>
      <w:r w:rsidRPr="00A51861">
        <w:rPr>
          <w:rFonts w:asciiTheme="majorHAnsi" w:hAnsiTheme="majorHAnsi" w:cs="Arial"/>
          <w:color w:val="auto"/>
          <w:sz w:val="16"/>
          <w:szCs w:val="16"/>
        </w:rPr>
        <w:t>”.</w:t>
      </w:r>
    </w:p>
  </w:footnote>
  <w:footnote w:id="212">
    <w:p w14:paraId="0355E924" w14:textId="51FFA43A" w:rsidR="00F40E67" w:rsidRPr="00A51861" w:rsidRDefault="00F40E67" w:rsidP="0063693D">
      <w:pPr>
        <w:pStyle w:val="FootnoteText"/>
        <w:jc w:val="both"/>
        <w:rPr>
          <w:rFonts w:asciiTheme="majorHAnsi" w:hAnsiTheme="majorHAnsi" w:cs="Arial"/>
          <w:color w:val="auto"/>
          <w:sz w:val="16"/>
          <w:szCs w:val="16"/>
        </w:rPr>
      </w:pPr>
      <w:r w:rsidRPr="00A51861">
        <w:rPr>
          <w:rStyle w:val="FootnoteReference"/>
          <w:rFonts w:asciiTheme="majorHAnsi" w:hAnsiTheme="majorHAnsi" w:cs="Arial"/>
          <w:color w:val="auto"/>
          <w:sz w:val="16"/>
          <w:szCs w:val="16"/>
        </w:rPr>
        <w:footnoteRef/>
      </w:r>
      <w:r w:rsidRPr="00A51861">
        <w:rPr>
          <w:rFonts w:asciiTheme="majorHAnsi" w:hAnsiTheme="majorHAnsi" w:cs="Arial"/>
          <w:color w:val="auto"/>
          <w:sz w:val="16"/>
          <w:szCs w:val="16"/>
        </w:rPr>
        <w:t xml:space="preserve"> </w:t>
      </w:r>
      <w:r w:rsidR="00E22665">
        <w:rPr>
          <w:rFonts w:asciiTheme="majorHAnsi" w:hAnsiTheme="majorHAnsi" w:cs="Arial"/>
          <w:color w:val="auto"/>
          <w:sz w:val="16"/>
          <w:szCs w:val="16"/>
        </w:rPr>
        <w:t xml:space="preserve">Article </w:t>
      </w:r>
      <w:r w:rsidRPr="00A51861">
        <w:rPr>
          <w:rFonts w:asciiTheme="majorHAnsi" w:hAnsiTheme="majorHAnsi" w:cs="Arial"/>
          <w:color w:val="auto"/>
          <w:sz w:val="16"/>
          <w:szCs w:val="16"/>
        </w:rPr>
        <w:t xml:space="preserve">1.1 </w:t>
      </w:r>
      <w:r w:rsidR="00B905DA">
        <w:rPr>
          <w:rFonts w:asciiTheme="majorHAnsi" w:hAnsiTheme="majorHAnsi" w:cs="Arial"/>
          <w:color w:val="auto"/>
          <w:sz w:val="16"/>
          <w:szCs w:val="16"/>
        </w:rPr>
        <w:t>establishes</w:t>
      </w:r>
      <w:r w:rsidRPr="00A51861">
        <w:rPr>
          <w:rFonts w:asciiTheme="majorHAnsi" w:hAnsiTheme="majorHAnsi" w:cs="Arial"/>
          <w:color w:val="auto"/>
          <w:sz w:val="16"/>
          <w:szCs w:val="16"/>
        </w:rPr>
        <w:t>: “</w:t>
      </w:r>
      <w:r w:rsidR="00B905DA" w:rsidRPr="00B905DA">
        <w:rPr>
          <w:rFonts w:asciiTheme="majorHAnsi" w:hAnsiTheme="majorHAnsi" w:cs="Arial"/>
          <w:color w:val="auto"/>
          <w:sz w:val="16"/>
          <w:szCs w:val="16"/>
        </w:rPr>
        <w:t>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w:t>
      </w:r>
      <w:r w:rsidRPr="00A51861">
        <w:rPr>
          <w:rFonts w:asciiTheme="majorHAnsi" w:hAnsiTheme="majorHAnsi" w:cs="Arial"/>
          <w:color w:val="auto"/>
          <w:sz w:val="16"/>
          <w:szCs w:val="16"/>
        </w:rPr>
        <w:t>”.</w:t>
      </w:r>
    </w:p>
  </w:footnote>
  <w:footnote w:id="213">
    <w:p w14:paraId="11DDAF2C" w14:textId="2D6DD349"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036743">
        <w:rPr>
          <w:rFonts w:asciiTheme="majorHAnsi" w:hAnsiTheme="majorHAnsi" w:cs="Arial"/>
          <w:color w:val="auto"/>
          <w:sz w:val="16"/>
          <w:szCs w:val="16"/>
        </w:rPr>
        <w:t>IHR Court</w:t>
      </w:r>
      <w:r w:rsidRPr="00A51861">
        <w:rPr>
          <w:rFonts w:asciiTheme="majorHAnsi" w:hAnsiTheme="majorHAnsi" w:cs="Arial"/>
          <w:color w:val="auto"/>
          <w:sz w:val="16"/>
          <w:szCs w:val="16"/>
        </w:rPr>
        <w:t xml:space="preserve">. </w:t>
      </w:r>
      <w:r w:rsidR="00B6596B">
        <w:rPr>
          <w:rFonts w:asciiTheme="majorHAnsi" w:hAnsiTheme="majorHAnsi" w:cs="Arial"/>
          <w:color w:val="auto"/>
          <w:sz w:val="16"/>
          <w:szCs w:val="16"/>
        </w:rPr>
        <w:t xml:space="preserve">Case </w:t>
      </w:r>
      <w:r w:rsidRPr="00A51861">
        <w:rPr>
          <w:rFonts w:asciiTheme="majorHAnsi" w:hAnsiTheme="majorHAnsi" w:cs="Arial"/>
          <w:color w:val="auto"/>
          <w:sz w:val="16"/>
          <w:szCs w:val="16"/>
        </w:rPr>
        <w:t xml:space="preserve">Almeida Vs. Argentina. </w:t>
      </w:r>
      <w:r w:rsidR="00B6596B">
        <w:rPr>
          <w:rFonts w:asciiTheme="majorHAnsi" w:hAnsiTheme="majorHAnsi" w:cs="Arial"/>
          <w:color w:val="auto"/>
          <w:sz w:val="16"/>
          <w:szCs w:val="16"/>
        </w:rPr>
        <w:t>Merits</w:t>
      </w:r>
      <w:r w:rsidRPr="00A51861">
        <w:rPr>
          <w:rFonts w:asciiTheme="majorHAnsi" w:hAnsiTheme="majorHAnsi" w:cs="Arial"/>
          <w:color w:val="auto"/>
          <w:sz w:val="16"/>
          <w:szCs w:val="16"/>
        </w:rPr>
        <w:t xml:space="preserve">, </w:t>
      </w:r>
      <w:r w:rsidR="00357129">
        <w:rPr>
          <w:rFonts w:asciiTheme="majorHAnsi" w:hAnsiTheme="majorHAnsi" w:cs="Arial"/>
          <w:color w:val="auto"/>
          <w:sz w:val="16"/>
          <w:szCs w:val="16"/>
        </w:rPr>
        <w:t>Reparations and Costs</w:t>
      </w:r>
      <w:r w:rsidRPr="00A51861">
        <w:rPr>
          <w:rFonts w:asciiTheme="majorHAnsi" w:hAnsiTheme="majorHAnsi" w:cs="Arial"/>
          <w:color w:val="auto"/>
          <w:sz w:val="16"/>
          <w:szCs w:val="16"/>
        </w:rPr>
        <w:t xml:space="preserve">. </w:t>
      </w:r>
      <w:r w:rsidR="004E56A9">
        <w:rPr>
          <w:rFonts w:asciiTheme="majorHAnsi" w:hAnsiTheme="majorHAnsi" w:cs="Arial"/>
          <w:color w:val="auto"/>
          <w:sz w:val="16"/>
          <w:szCs w:val="16"/>
        </w:rPr>
        <w:t>Judgment</w:t>
      </w:r>
      <w:r w:rsidRPr="00A51861">
        <w:rPr>
          <w:rFonts w:asciiTheme="majorHAnsi" w:hAnsiTheme="majorHAnsi" w:cs="Arial"/>
          <w:color w:val="auto"/>
          <w:sz w:val="16"/>
          <w:szCs w:val="16"/>
        </w:rPr>
        <w:t xml:space="preserve"> </w:t>
      </w:r>
      <w:r w:rsidR="00E46E31">
        <w:rPr>
          <w:rFonts w:asciiTheme="majorHAnsi" w:hAnsiTheme="majorHAnsi" w:cs="Arial"/>
          <w:color w:val="auto"/>
          <w:sz w:val="16"/>
          <w:szCs w:val="16"/>
        </w:rPr>
        <w:t xml:space="preserve">of November 17, </w:t>
      </w:r>
      <w:r w:rsidRPr="00A51861">
        <w:rPr>
          <w:rFonts w:asciiTheme="majorHAnsi" w:hAnsiTheme="majorHAnsi" w:cs="Arial"/>
          <w:color w:val="auto"/>
          <w:sz w:val="16"/>
          <w:szCs w:val="16"/>
        </w:rPr>
        <w:t xml:space="preserve">2020. </w:t>
      </w:r>
      <w:r w:rsidRPr="00874534">
        <w:rPr>
          <w:rFonts w:asciiTheme="majorHAnsi" w:hAnsiTheme="majorHAnsi" w:cs="Arial"/>
          <w:color w:val="auto"/>
          <w:sz w:val="16"/>
          <w:szCs w:val="16"/>
        </w:rPr>
        <w:t xml:space="preserve">Serie C No. 416, </w:t>
      </w:r>
      <w:r w:rsidR="00B6596B" w:rsidRPr="00874534">
        <w:rPr>
          <w:rFonts w:asciiTheme="majorHAnsi" w:hAnsiTheme="majorHAnsi" w:cs="Arial"/>
          <w:color w:val="auto"/>
          <w:sz w:val="16"/>
          <w:szCs w:val="16"/>
        </w:rPr>
        <w:t xml:space="preserve">Case </w:t>
      </w:r>
      <w:r w:rsidRPr="00874534">
        <w:rPr>
          <w:rFonts w:asciiTheme="majorHAnsi" w:hAnsiTheme="majorHAnsi" w:cs="Arial"/>
          <w:color w:val="auto"/>
          <w:sz w:val="16"/>
          <w:szCs w:val="16"/>
        </w:rPr>
        <w:t>Gomes Lund</w:t>
      </w:r>
      <w:r w:rsidR="00B6596B" w:rsidRPr="00874534">
        <w:rPr>
          <w:rFonts w:asciiTheme="majorHAnsi" w:hAnsiTheme="majorHAnsi" w:cs="Arial"/>
          <w:color w:val="auto"/>
          <w:sz w:val="16"/>
          <w:szCs w:val="16"/>
        </w:rPr>
        <w:t xml:space="preserve"> </w:t>
      </w:r>
      <w:r w:rsidR="00357129" w:rsidRPr="00874534">
        <w:rPr>
          <w:rFonts w:asciiTheme="majorHAnsi" w:hAnsiTheme="majorHAnsi" w:cs="Arial"/>
          <w:color w:val="auto"/>
          <w:sz w:val="16"/>
          <w:szCs w:val="16"/>
        </w:rPr>
        <w:t xml:space="preserve">and others </w:t>
      </w:r>
      <w:r w:rsidRPr="00874534">
        <w:rPr>
          <w:rFonts w:asciiTheme="majorHAnsi" w:hAnsiTheme="majorHAnsi" w:cs="Arial"/>
          <w:color w:val="auto"/>
          <w:sz w:val="16"/>
          <w:szCs w:val="16"/>
        </w:rPr>
        <w:t xml:space="preserve">("Guerrilha do Araguaia") Vs. </w:t>
      </w:r>
      <w:r w:rsidR="00E46E31">
        <w:rPr>
          <w:rFonts w:asciiTheme="majorHAnsi" w:hAnsiTheme="majorHAnsi" w:cs="Arial"/>
          <w:color w:val="auto"/>
          <w:sz w:val="16"/>
          <w:szCs w:val="16"/>
        </w:rPr>
        <w:t>Brazil</w:t>
      </w:r>
      <w:r w:rsidRPr="00A51861">
        <w:rPr>
          <w:rFonts w:asciiTheme="majorHAnsi" w:hAnsiTheme="majorHAnsi" w:cs="Arial"/>
          <w:color w:val="auto"/>
          <w:sz w:val="16"/>
          <w:szCs w:val="16"/>
        </w:rPr>
        <w:t xml:space="preserve">. </w:t>
      </w:r>
      <w:r w:rsidR="00357129">
        <w:rPr>
          <w:rFonts w:asciiTheme="majorHAnsi" w:hAnsiTheme="majorHAnsi" w:cs="Arial"/>
          <w:color w:val="auto"/>
          <w:sz w:val="16"/>
          <w:szCs w:val="16"/>
        </w:rPr>
        <w:t>Exceptions, Preliminary Exceptions, Merits, Reparations and Costs</w:t>
      </w:r>
      <w:r w:rsidRPr="00A51861">
        <w:rPr>
          <w:rFonts w:asciiTheme="majorHAnsi" w:hAnsiTheme="majorHAnsi" w:cs="Arial"/>
          <w:color w:val="auto"/>
          <w:sz w:val="16"/>
          <w:szCs w:val="16"/>
        </w:rPr>
        <w:t xml:space="preserve">. </w:t>
      </w:r>
      <w:r w:rsidR="004E56A9">
        <w:rPr>
          <w:rFonts w:asciiTheme="majorHAnsi" w:hAnsiTheme="majorHAnsi" w:cs="Arial"/>
          <w:color w:val="auto"/>
          <w:sz w:val="16"/>
          <w:szCs w:val="16"/>
        </w:rPr>
        <w:t>Judgment</w:t>
      </w:r>
      <w:r w:rsidRPr="00A51861">
        <w:rPr>
          <w:rFonts w:asciiTheme="majorHAnsi" w:hAnsiTheme="majorHAnsi" w:cs="Arial"/>
          <w:color w:val="auto"/>
          <w:sz w:val="16"/>
          <w:szCs w:val="16"/>
        </w:rPr>
        <w:t xml:space="preserve"> </w:t>
      </w:r>
      <w:r w:rsidR="00E46E31">
        <w:rPr>
          <w:rFonts w:asciiTheme="majorHAnsi" w:hAnsiTheme="majorHAnsi" w:cs="Arial"/>
          <w:color w:val="auto"/>
          <w:sz w:val="16"/>
          <w:szCs w:val="16"/>
        </w:rPr>
        <w:t xml:space="preserve">of November 24, </w:t>
      </w:r>
      <w:r w:rsidRPr="00A51861">
        <w:rPr>
          <w:rFonts w:asciiTheme="majorHAnsi" w:hAnsiTheme="majorHAnsi" w:cs="Arial"/>
          <w:color w:val="auto"/>
          <w:sz w:val="16"/>
          <w:szCs w:val="16"/>
        </w:rPr>
        <w:t xml:space="preserve">2010. Serie C No. 219, </w:t>
      </w:r>
      <w:r w:rsidR="00B6596B">
        <w:rPr>
          <w:rFonts w:asciiTheme="majorHAnsi" w:hAnsiTheme="majorHAnsi" w:cs="Arial"/>
          <w:color w:val="auto"/>
          <w:sz w:val="16"/>
          <w:szCs w:val="16"/>
        </w:rPr>
        <w:t>para.</w:t>
      </w:r>
      <w:r w:rsidRPr="00A51861">
        <w:rPr>
          <w:rFonts w:asciiTheme="majorHAnsi" w:hAnsiTheme="majorHAnsi" w:cs="Arial"/>
          <w:color w:val="auto"/>
          <w:sz w:val="16"/>
          <w:szCs w:val="16"/>
        </w:rPr>
        <w:t xml:space="preserve"> 303,</w:t>
      </w:r>
      <w:r w:rsidR="00B6596B">
        <w:rPr>
          <w:rFonts w:asciiTheme="majorHAnsi" w:hAnsiTheme="majorHAnsi" w:cs="Arial"/>
          <w:color w:val="auto"/>
          <w:sz w:val="16"/>
          <w:szCs w:val="16"/>
        </w:rPr>
        <w:t xml:space="preserve"> and Case </w:t>
      </w:r>
      <w:r w:rsidRPr="00A51861">
        <w:rPr>
          <w:rFonts w:asciiTheme="majorHAnsi" w:hAnsiTheme="majorHAnsi" w:cs="Arial"/>
          <w:color w:val="auto"/>
          <w:sz w:val="16"/>
          <w:szCs w:val="16"/>
        </w:rPr>
        <w:t>Perrone</w:t>
      </w:r>
      <w:r w:rsidR="00B6596B">
        <w:rPr>
          <w:rFonts w:asciiTheme="majorHAnsi" w:hAnsiTheme="majorHAnsi" w:cs="Arial"/>
          <w:color w:val="auto"/>
          <w:sz w:val="16"/>
          <w:szCs w:val="16"/>
        </w:rPr>
        <w:t xml:space="preserve"> and </w:t>
      </w:r>
      <w:r w:rsidRPr="00A51861">
        <w:rPr>
          <w:rFonts w:asciiTheme="majorHAnsi" w:hAnsiTheme="majorHAnsi" w:cs="Arial"/>
          <w:color w:val="auto"/>
          <w:sz w:val="16"/>
          <w:szCs w:val="16"/>
        </w:rPr>
        <w:t xml:space="preserve">Preckel Vs. Argentina. </w:t>
      </w:r>
      <w:r w:rsidR="00357129">
        <w:rPr>
          <w:rFonts w:asciiTheme="majorHAnsi" w:hAnsiTheme="majorHAnsi" w:cs="Arial"/>
          <w:color w:val="auto"/>
          <w:sz w:val="16"/>
          <w:szCs w:val="16"/>
        </w:rPr>
        <w:t>Exceptions, Preliminary Exceptions, Merits, Reparations and Costs</w:t>
      </w:r>
      <w:r w:rsidRPr="00A51861">
        <w:rPr>
          <w:rFonts w:asciiTheme="majorHAnsi" w:hAnsiTheme="majorHAnsi" w:cs="Arial"/>
          <w:color w:val="auto"/>
          <w:sz w:val="16"/>
          <w:szCs w:val="16"/>
        </w:rPr>
        <w:t xml:space="preserve">. </w:t>
      </w:r>
      <w:r w:rsidR="004E56A9">
        <w:rPr>
          <w:rFonts w:asciiTheme="majorHAnsi" w:hAnsiTheme="majorHAnsi" w:cs="Arial"/>
          <w:color w:val="auto"/>
          <w:sz w:val="16"/>
          <w:szCs w:val="16"/>
        </w:rPr>
        <w:t>Judgment</w:t>
      </w:r>
      <w:r w:rsidRPr="00A51861">
        <w:rPr>
          <w:rFonts w:asciiTheme="majorHAnsi" w:hAnsiTheme="majorHAnsi" w:cs="Arial"/>
          <w:color w:val="auto"/>
          <w:sz w:val="16"/>
          <w:szCs w:val="16"/>
        </w:rPr>
        <w:t xml:space="preserve"> </w:t>
      </w:r>
      <w:r w:rsidR="00E46E31">
        <w:rPr>
          <w:rFonts w:asciiTheme="majorHAnsi" w:hAnsiTheme="majorHAnsi" w:cs="Arial"/>
          <w:color w:val="auto"/>
          <w:sz w:val="16"/>
          <w:szCs w:val="16"/>
        </w:rPr>
        <w:t xml:space="preserve">of October 8, </w:t>
      </w:r>
      <w:r w:rsidRPr="00A51861">
        <w:rPr>
          <w:rFonts w:asciiTheme="majorHAnsi" w:hAnsiTheme="majorHAnsi" w:cs="Arial"/>
          <w:color w:val="auto"/>
          <w:sz w:val="16"/>
          <w:szCs w:val="16"/>
        </w:rPr>
        <w:t xml:space="preserve">2019. Serie C No. 384, </w:t>
      </w:r>
      <w:r w:rsidR="00B6596B">
        <w:rPr>
          <w:rFonts w:asciiTheme="majorHAnsi" w:hAnsiTheme="majorHAnsi" w:cs="Arial"/>
          <w:color w:val="auto"/>
          <w:sz w:val="16"/>
          <w:szCs w:val="16"/>
        </w:rPr>
        <w:t>para.</w:t>
      </w:r>
      <w:r w:rsidRPr="00A51861">
        <w:rPr>
          <w:rFonts w:asciiTheme="majorHAnsi" w:hAnsiTheme="majorHAnsi" w:cs="Arial"/>
          <w:color w:val="auto"/>
          <w:sz w:val="16"/>
          <w:szCs w:val="16"/>
        </w:rPr>
        <w:t xml:space="preserve"> 116.</w:t>
      </w:r>
    </w:p>
  </w:footnote>
  <w:footnote w:id="214">
    <w:p w14:paraId="0095DB18" w14:textId="654BB1DE" w:rsidR="00F40E67" w:rsidRPr="00A51861" w:rsidRDefault="00F40E67" w:rsidP="0063693D">
      <w:pPr>
        <w:pStyle w:val="FootnoteText"/>
        <w:jc w:val="both"/>
        <w:rPr>
          <w:rFonts w:asciiTheme="majorHAnsi" w:hAnsiTheme="majorHAnsi" w:cs="Arial"/>
          <w:color w:val="auto"/>
          <w:sz w:val="16"/>
          <w:szCs w:val="16"/>
        </w:rPr>
      </w:pPr>
      <w:r w:rsidRPr="00A51861">
        <w:rPr>
          <w:rStyle w:val="FootnoteReference"/>
          <w:rFonts w:asciiTheme="majorHAnsi" w:hAnsiTheme="majorHAnsi" w:cs="Arial"/>
          <w:color w:val="auto"/>
          <w:sz w:val="16"/>
          <w:szCs w:val="16"/>
        </w:rPr>
        <w:footnoteRef/>
      </w:r>
      <w:r w:rsidRPr="00A51861">
        <w:rPr>
          <w:rFonts w:asciiTheme="majorHAnsi" w:hAnsiTheme="majorHAnsi" w:cs="Arial"/>
          <w:color w:val="auto"/>
          <w:sz w:val="16"/>
          <w:szCs w:val="16"/>
        </w:rPr>
        <w:t xml:space="preserve"> Adopt</w:t>
      </w:r>
      <w:r w:rsidR="00152A25">
        <w:rPr>
          <w:rFonts w:asciiTheme="majorHAnsi" w:hAnsiTheme="majorHAnsi" w:cs="Arial"/>
          <w:color w:val="auto"/>
          <w:sz w:val="16"/>
          <w:szCs w:val="16"/>
        </w:rPr>
        <w:t>ed</w:t>
      </w:r>
      <w:r w:rsidRPr="00A51861">
        <w:rPr>
          <w:rFonts w:asciiTheme="majorHAnsi" w:hAnsiTheme="majorHAnsi" w:cs="Arial"/>
          <w:color w:val="auto"/>
          <w:sz w:val="16"/>
          <w:szCs w:val="16"/>
        </w:rPr>
        <w:t xml:space="preserve"> </w:t>
      </w:r>
      <w:r w:rsidR="00152A25">
        <w:rPr>
          <w:rFonts w:asciiTheme="majorHAnsi" w:hAnsiTheme="majorHAnsi" w:cs="Arial"/>
          <w:color w:val="auto"/>
          <w:sz w:val="16"/>
          <w:szCs w:val="16"/>
        </w:rPr>
        <w:t>by the</w:t>
      </w:r>
      <w:r w:rsidRPr="00A51861">
        <w:rPr>
          <w:rFonts w:asciiTheme="majorHAnsi" w:hAnsiTheme="majorHAnsi" w:cs="Arial"/>
          <w:color w:val="auto"/>
          <w:sz w:val="16"/>
          <w:szCs w:val="16"/>
        </w:rPr>
        <w:t xml:space="preserve"> General</w:t>
      </w:r>
      <w:r w:rsidR="00061928">
        <w:rPr>
          <w:rFonts w:asciiTheme="majorHAnsi" w:hAnsiTheme="majorHAnsi" w:cs="Arial"/>
          <w:color w:val="auto"/>
          <w:sz w:val="16"/>
          <w:szCs w:val="16"/>
        </w:rPr>
        <w:t xml:space="preserve"> </w:t>
      </w:r>
      <w:r w:rsidR="00152A25">
        <w:rPr>
          <w:rFonts w:asciiTheme="majorHAnsi" w:hAnsiTheme="majorHAnsi" w:cs="Arial"/>
          <w:color w:val="auto"/>
          <w:sz w:val="16"/>
          <w:szCs w:val="16"/>
        </w:rPr>
        <w:t>Assembly</w:t>
      </w:r>
      <w:r w:rsidR="00152A25" w:rsidRPr="00A51861">
        <w:rPr>
          <w:rFonts w:asciiTheme="majorHAnsi" w:hAnsiTheme="majorHAnsi" w:cs="Arial"/>
          <w:color w:val="auto"/>
          <w:sz w:val="16"/>
          <w:szCs w:val="16"/>
        </w:rPr>
        <w:t xml:space="preserve"> </w:t>
      </w:r>
      <w:r w:rsidR="00061928">
        <w:rPr>
          <w:rFonts w:asciiTheme="majorHAnsi" w:hAnsiTheme="majorHAnsi" w:cs="Arial"/>
          <w:color w:val="auto"/>
          <w:sz w:val="16"/>
          <w:szCs w:val="16"/>
        </w:rPr>
        <w:t xml:space="preserve">of the </w:t>
      </w:r>
      <w:r w:rsidR="00B6596B">
        <w:rPr>
          <w:rFonts w:asciiTheme="majorHAnsi" w:hAnsiTheme="majorHAnsi" w:cs="Arial"/>
          <w:color w:val="auto"/>
          <w:sz w:val="16"/>
          <w:szCs w:val="16"/>
        </w:rPr>
        <w:t>United Nations</w:t>
      </w:r>
      <w:r w:rsidRPr="00A51861">
        <w:rPr>
          <w:rFonts w:asciiTheme="majorHAnsi" w:hAnsiTheme="majorHAnsi" w:cs="Arial"/>
          <w:color w:val="auto"/>
          <w:sz w:val="16"/>
          <w:szCs w:val="16"/>
        </w:rPr>
        <w:t xml:space="preserve"> </w:t>
      </w:r>
      <w:r w:rsidR="00152A25" w:rsidRPr="00A51861">
        <w:rPr>
          <w:rFonts w:asciiTheme="majorHAnsi" w:hAnsiTheme="majorHAnsi" w:cs="Arial"/>
          <w:color w:val="auto"/>
          <w:sz w:val="16"/>
          <w:szCs w:val="16"/>
        </w:rPr>
        <w:t xml:space="preserve">Organization </w:t>
      </w:r>
      <w:r w:rsidR="00152A25">
        <w:rPr>
          <w:rFonts w:asciiTheme="majorHAnsi" w:hAnsiTheme="majorHAnsi" w:cs="Arial"/>
          <w:color w:val="auto"/>
          <w:sz w:val="16"/>
          <w:szCs w:val="16"/>
        </w:rPr>
        <w:t xml:space="preserve">on November 29, </w:t>
      </w:r>
      <w:r w:rsidRPr="00A51861">
        <w:rPr>
          <w:rFonts w:asciiTheme="majorHAnsi" w:hAnsiTheme="majorHAnsi" w:cs="Arial"/>
          <w:color w:val="auto"/>
          <w:sz w:val="16"/>
          <w:szCs w:val="16"/>
        </w:rPr>
        <w:t xml:space="preserve">1985, </w:t>
      </w:r>
      <w:r w:rsidR="00152A25">
        <w:rPr>
          <w:rFonts w:asciiTheme="majorHAnsi" w:hAnsiTheme="majorHAnsi" w:cs="Arial"/>
          <w:color w:val="auto"/>
          <w:sz w:val="16"/>
          <w:szCs w:val="16"/>
        </w:rPr>
        <w:t>via</w:t>
      </w:r>
      <w:r w:rsidRPr="00A51861">
        <w:rPr>
          <w:rFonts w:asciiTheme="majorHAnsi" w:hAnsiTheme="majorHAnsi" w:cs="Arial"/>
          <w:color w:val="auto"/>
          <w:sz w:val="16"/>
          <w:szCs w:val="16"/>
        </w:rPr>
        <w:t xml:space="preserve"> </w:t>
      </w:r>
      <w:r w:rsidR="00A51861" w:rsidRPr="00A51861">
        <w:rPr>
          <w:rFonts w:asciiTheme="majorHAnsi" w:hAnsiTheme="majorHAnsi" w:cs="Arial"/>
          <w:color w:val="auto"/>
          <w:sz w:val="16"/>
          <w:szCs w:val="16"/>
        </w:rPr>
        <w:t xml:space="preserve">Resolution </w:t>
      </w:r>
      <w:r w:rsidRPr="00A51861">
        <w:rPr>
          <w:rFonts w:asciiTheme="majorHAnsi" w:hAnsiTheme="majorHAnsi" w:cs="Arial"/>
          <w:color w:val="auto"/>
          <w:sz w:val="16"/>
          <w:szCs w:val="16"/>
        </w:rPr>
        <w:t xml:space="preserve">40/34. </w:t>
      </w:r>
      <w:r w:rsidR="00152A25">
        <w:rPr>
          <w:rFonts w:asciiTheme="majorHAnsi" w:hAnsiTheme="majorHAnsi" w:cs="Arial"/>
          <w:color w:val="auto"/>
          <w:sz w:val="16"/>
          <w:szCs w:val="16"/>
        </w:rPr>
        <w:t>On its principle</w:t>
      </w:r>
      <w:r w:rsidRPr="00A51861">
        <w:rPr>
          <w:rFonts w:asciiTheme="majorHAnsi" w:hAnsiTheme="majorHAnsi" w:cs="Arial"/>
          <w:color w:val="auto"/>
          <w:sz w:val="16"/>
          <w:szCs w:val="16"/>
        </w:rPr>
        <w:t xml:space="preserve"> 4 </w:t>
      </w:r>
      <w:r w:rsidR="00152A25">
        <w:rPr>
          <w:rFonts w:asciiTheme="majorHAnsi" w:hAnsiTheme="majorHAnsi" w:cs="Arial"/>
          <w:color w:val="auto"/>
          <w:sz w:val="16"/>
          <w:szCs w:val="16"/>
        </w:rPr>
        <w:t>it holds that</w:t>
      </w:r>
      <w:r w:rsidRPr="00A51861">
        <w:rPr>
          <w:rFonts w:asciiTheme="majorHAnsi" w:hAnsiTheme="majorHAnsi" w:cs="Arial"/>
          <w:color w:val="auto"/>
          <w:sz w:val="16"/>
          <w:szCs w:val="16"/>
        </w:rPr>
        <w:t xml:space="preserve"> “</w:t>
      </w:r>
      <w:r w:rsidR="00152A25">
        <w:rPr>
          <w:rFonts w:asciiTheme="majorHAnsi" w:hAnsiTheme="majorHAnsi" w:cs="Arial"/>
          <w:color w:val="auto"/>
          <w:sz w:val="16"/>
          <w:szCs w:val="16"/>
        </w:rPr>
        <w:t xml:space="preserve">the </w:t>
      </w:r>
      <w:r w:rsidR="00152A25" w:rsidRPr="00A51861">
        <w:rPr>
          <w:rFonts w:asciiTheme="majorHAnsi" w:hAnsiTheme="majorHAnsi" w:cs="Arial"/>
          <w:color w:val="auto"/>
          <w:sz w:val="16"/>
          <w:szCs w:val="16"/>
        </w:rPr>
        <w:t>victims</w:t>
      </w:r>
      <w:r w:rsidRPr="00A51861">
        <w:rPr>
          <w:rFonts w:asciiTheme="majorHAnsi" w:hAnsiTheme="majorHAnsi" w:cs="Arial"/>
          <w:color w:val="auto"/>
          <w:sz w:val="16"/>
          <w:szCs w:val="16"/>
        </w:rPr>
        <w:t xml:space="preserve"> </w:t>
      </w:r>
      <w:r w:rsidR="00152A25">
        <w:rPr>
          <w:rFonts w:asciiTheme="majorHAnsi" w:hAnsiTheme="majorHAnsi" w:cs="Arial"/>
          <w:color w:val="auto"/>
          <w:sz w:val="16"/>
          <w:szCs w:val="16"/>
        </w:rPr>
        <w:t>shall be treated</w:t>
      </w:r>
      <w:r w:rsidR="002B762A">
        <w:rPr>
          <w:rFonts w:asciiTheme="majorHAnsi" w:hAnsiTheme="majorHAnsi" w:cs="Arial"/>
          <w:color w:val="auto"/>
          <w:sz w:val="16"/>
          <w:szCs w:val="16"/>
        </w:rPr>
        <w:t xml:space="preserve"> with </w:t>
      </w:r>
      <w:r w:rsidR="00152A25" w:rsidRPr="00A51861">
        <w:rPr>
          <w:rFonts w:asciiTheme="majorHAnsi" w:hAnsiTheme="majorHAnsi" w:cs="Arial"/>
          <w:color w:val="auto"/>
          <w:sz w:val="16"/>
          <w:szCs w:val="16"/>
        </w:rPr>
        <w:t>compassion</w:t>
      </w:r>
      <w:r w:rsidR="00B6596B">
        <w:rPr>
          <w:rFonts w:asciiTheme="majorHAnsi" w:hAnsiTheme="majorHAnsi" w:cs="Arial"/>
          <w:color w:val="auto"/>
          <w:sz w:val="16"/>
          <w:szCs w:val="16"/>
        </w:rPr>
        <w:t xml:space="preserve"> and </w:t>
      </w:r>
      <w:r w:rsidR="00152A25" w:rsidRPr="00A51861">
        <w:rPr>
          <w:rFonts w:asciiTheme="majorHAnsi" w:hAnsiTheme="majorHAnsi" w:cs="Arial"/>
          <w:color w:val="auto"/>
          <w:sz w:val="16"/>
          <w:szCs w:val="16"/>
        </w:rPr>
        <w:t>respect</w:t>
      </w:r>
      <w:r w:rsidRPr="00A51861">
        <w:rPr>
          <w:rFonts w:asciiTheme="majorHAnsi" w:hAnsiTheme="majorHAnsi" w:cs="Arial"/>
          <w:color w:val="auto"/>
          <w:sz w:val="16"/>
          <w:szCs w:val="16"/>
        </w:rPr>
        <w:t xml:space="preserve"> </w:t>
      </w:r>
      <w:r w:rsidR="00152A25">
        <w:rPr>
          <w:rFonts w:asciiTheme="majorHAnsi" w:hAnsiTheme="majorHAnsi" w:cs="Arial"/>
          <w:color w:val="auto"/>
          <w:sz w:val="16"/>
          <w:szCs w:val="16"/>
        </w:rPr>
        <w:t xml:space="preserve">of their </w:t>
      </w:r>
      <w:r w:rsidRPr="00A51861">
        <w:rPr>
          <w:rFonts w:asciiTheme="majorHAnsi" w:hAnsiTheme="majorHAnsi" w:cs="Arial"/>
          <w:color w:val="auto"/>
          <w:sz w:val="16"/>
          <w:szCs w:val="16"/>
        </w:rPr>
        <w:t>digni</w:t>
      </w:r>
      <w:r w:rsidR="00152A25">
        <w:rPr>
          <w:rFonts w:asciiTheme="majorHAnsi" w:hAnsiTheme="majorHAnsi" w:cs="Arial"/>
          <w:color w:val="auto"/>
          <w:sz w:val="16"/>
          <w:szCs w:val="16"/>
        </w:rPr>
        <w:t>ty</w:t>
      </w:r>
      <w:r w:rsidRPr="00A51861">
        <w:rPr>
          <w:rFonts w:asciiTheme="majorHAnsi" w:hAnsiTheme="majorHAnsi" w:cs="Arial"/>
          <w:color w:val="auto"/>
          <w:sz w:val="16"/>
          <w:szCs w:val="16"/>
        </w:rPr>
        <w:t xml:space="preserve">. </w:t>
      </w:r>
      <w:r w:rsidR="00152A25">
        <w:rPr>
          <w:rFonts w:asciiTheme="majorHAnsi" w:hAnsiTheme="majorHAnsi" w:cs="Arial"/>
          <w:color w:val="auto"/>
          <w:sz w:val="16"/>
          <w:szCs w:val="16"/>
        </w:rPr>
        <w:t>They shall have access to</w:t>
      </w:r>
      <w:r w:rsidRPr="00A51861">
        <w:rPr>
          <w:rFonts w:asciiTheme="majorHAnsi" w:hAnsiTheme="majorHAnsi" w:cs="Arial"/>
          <w:color w:val="auto"/>
          <w:sz w:val="16"/>
          <w:szCs w:val="16"/>
        </w:rPr>
        <w:t xml:space="preserve"> </w:t>
      </w:r>
      <w:r w:rsidR="00152A25" w:rsidRPr="00A51861">
        <w:rPr>
          <w:rFonts w:asciiTheme="majorHAnsi" w:hAnsiTheme="majorHAnsi" w:cs="Arial"/>
          <w:color w:val="auto"/>
          <w:sz w:val="16"/>
          <w:szCs w:val="16"/>
        </w:rPr>
        <w:t>mechanisms</w:t>
      </w:r>
      <w:r w:rsidR="00061928">
        <w:rPr>
          <w:rFonts w:asciiTheme="majorHAnsi" w:hAnsiTheme="majorHAnsi" w:cs="Arial"/>
          <w:color w:val="auto"/>
          <w:sz w:val="16"/>
          <w:szCs w:val="16"/>
        </w:rPr>
        <w:t xml:space="preserve"> of </w:t>
      </w:r>
      <w:r w:rsidR="00152A25">
        <w:rPr>
          <w:rFonts w:asciiTheme="majorHAnsi" w:hAnsiTheme="majorHAnsi" w:cs="Arial"/>
          <w:color w:val="auto"/>
          <w:sz w:val="16"/>
          <w:szCs w:val="16"/>
        </w:rPr>
        <w:t>justice</w:t>
      </w:r>
      <w:r w:rsidR="00B6596B">
        <w:rPr>
          <w:rFonts w:asciiTheme="majorHAnsi" w:hAnsiTheme="majorHAnsi" w:cs="Arial"/>
          <w:color w:val="auto"/>
          <w:sz w:val="16"/>
          <w:szCs w:val="16"/>
        </w:rPr>
        <w:t xml:space="preserve"> and </w:t>
      </w:r>
      <w:r w:rsidR="00152A25">
        <w:rPr>
          <w:rFonts w:asciiTheme="majorHAnsi" w:hAnsiTheme="majorHAnsi" w:cs="Arial"/>
          <w:color w:val="auto"/>
          <w:sz w:val="16"/>
          <w:szCs w:val="16"/>
        </w:rPr>
        <w:t xml:space="preserve">to a prompt </w:t>
      </w:r>
      <w:r w:rsidR="00152A25" w:rsidRPr="00A51861">
        <w:rPr>
          <w:rFonts w:asciiTheme="majorHAnsi" w:hAnsiTheme="majorHAnsi" w:cs="Arial"/>
          <w:color w:val="auto"/>
          <w:sz w:val="16"/>
          <w:szCs w:val="16"/>
        </w:rPr>
        <w:t>reparation</w:t>
      </w:r>
      <w:r w:rsidRPr="00A51861">
        <w:rPr>
          <w:rFonts w:asciiTheme="majorHAnsi" w:hAnsiTheme="majorHAnsi" w:cs="Arial"/>
          <w:color w:val="auto"/>
          <w:sz w:val="16"/>
          <w:szCs w:val="16"/>
        </w:rPr>
        <w:t xml:space="preserve"> </w:t>
      </w:r>
      <w:r w:rsidR="00152A25">
        <w:rPr>
          <w:rFonts w:asciiTheme="majorHAnsi" w:hAnsiTheme="majorHAnsi" w:cs="Arial"/>
          <w:color w:val="auto"/>
          <w:sz w:val="16"/>
          <w:szCs w:val="16"/>
        </w:rPr>
        <w:t>for the damages suffered</w:t>
      </w:r>
      <w:r w:rsidRPr="00A51861">
        <w:rPr>
          <w:rFonts w:asciiTheme="majorHAnsi" w:hAnsiTheme="majorHAnsi" w:cs="Arial"/>
          <w:color w:val="auto"/>
          <w:sz w:val="16"/>
          <w:szCs w:val="16"/>
        </w:rPr>
        <w:t xml:space="preserve">, </w:t>
      </w:r>
      <w:r w:rsidR="00152A25">
        <w:rPr>
          <w:rFonts w:asciiTheme="majorHAnsi" w:hAnsiTheme="majorHAnsi" w:cs="Arial"/>
          <w:color w:val="auto"/>
          <w:sz w:val="16"/>
          <w:szCs w:val="16"/>
        </w:rPr>
        <w:t>as set forth by domestic legislation</w:t>
      </w:r>
      <w:r w:rsidRPr="00A51861">
        <w:rPr>
          <w:rFonts w:asciiTheme="majorHAnsi" w:hAnsiTheme="majorHAnsi" w:cs="Arial"/>
          <w:color w:val="auto"/>
          <w:sz w:val="16"/>
          <w:szCs w:val="16"/>
        </w:rPr>
        <w:t>”.</w:t>
      </w:r>
    </w:p>
  </w:footnote>
  <w:footnote w:id="215">
    <w:p w14:paraId="1002CC5D" w14:textId="1A1B9C6B" w:rsidR="00F40E67" w:rsidRPr="00A51861" w:rsidRDefault="00F40E67" w:rsidP="0063693D">
      <w:pPr>
        <w:pStyle w:val="FootnoteText"/>
        <w:jc w:val="both"/>
        <w:rPr>
          <w:rFonts w:asciiTheme="majorHAnsi" w:hAnsiTheme="majorHAnsi" w:cs="Arial"/>
          <w:color w:val="auto"/>
          <w:sz w:val="16"/>
          <w:szCs w:val="16"/>
        </w:rPr>
      </w:pPr>
      <w:r w:rsidRPr="00A51861">
        <w:rPr>
          <w:rStyle w:val="FootnoteReference"/>
          <w:rFonts w:asciiTheme="majorHAnsi" w:hAnsiTheme="majorHAnsi" w:cs="Arial"/>
          <w:color w:val="auto"/>
          <w:sz w:val="16"/>
          <w:szCs w:val="16"/>
        </w:rPr>
        <w:footnoteRef/>
      </w:r>
      <w:r w:rsidRPr="00A51861">
        <w:rPr>
          <w:rFonts w:asciiTheme="majorHAnsi" w:hAnsiTheme="majorHAnsi" w:cs="Arial"/>
          <w:color w:val="auto"/>
          <w:sz w:val="16"/>
          <w:szCs w:val="16"/>
        </w:rPr>
        <w:t xml:space="preserve"> Adopt</w:t>
      </w:r>
      <w:r w:rsidR="00152A25">
        <w:rPr>
          <w:rFonts w:asciiTheme="majorHAnsi" w:hAnsiTheme="majorHAnsi" w:cs="Arial"/>
          <w:color w:val="auto"/>
          <w:sz w:val="16"/>
          <w:szCs w:val="16"/>
        </w:rPr>
        <w:t>ed by</w:t>
      </w:r>
      <w:r w:rsidRPr="00A51861">
        <w:rPr>
          <w:rFonts w:asciiTheme="majorHAnsi" w:hAnsiTheme="majorHAnsi" w:cs="Arial"/>
          <w:color w:val="auto"/>
          <w:sz w:val="16"/>
          <w:szCs w:val="16"/>
        </w:rPr>
        <w:t xml:space="preserve"> </w:t>
      </w:r>
      <w:r w:rsidR="00A51861" w:rsidRPr="00A51861">
        <w:rPr>
          <w:rFonts w:asciiTheme="majorHAnsi" w:hAnsiTheme="majorHAnsi" w:cs="Arial"/>
          <w:color w:val="auto"/>
          <w:sz w:val="16"/>
          <w:szCs w:val="16"/>
        </w:rPr>
        <w:t xml:space="preserve">the </w:t>
      </w:r>
      <w:r w:rsidR="00FE1E27">
        <w:rPr>
          <w:rFonts w:asciiTheme="majorHAnsi" w:hAnsiTheme="majorHAnsi" w:cs="Arial"/>
          <w:color w:val="auto"/>
          <w:sz w:val="16"/>
          <w:szCs w:val="16"/>
        </w:rPr>
        <w:t>Commission</w:t>
      </w:r>
      <w:r w:rsidR="00EB7848">
        <w:rPr>
          <w:rFonts w:asciiTheme="majorHAnsi" w:hAnsiTheme="majorHAnsi" w:cs="Arial"/>
          <w:color w:val="auto"/>
          <w:sz w:val="16"/>
          <w:szCs w:val="16"/>
        </w:rPr>
        <w:t xml:space="preserve"> on Human Rights</w:t>
      </w:r>
      <w:r w:rsidR="00061928">
        <w:rPr>
          <w:rFonts w:asciiTheme="majorHAnsi" w:hAnsiTheme="majorHAnsi" w:cs="Arial"/>
          <w:color w:val="auto"/>
          <w:sz w:val="16"/>
          <w:szCs w:val="16"/>
        </w:rPr>
        <w:t xml:space="preserve"> of the </w:t>
      </w:r>
      <w:r w:rsidR="00B6596B">
        <w:rPr>
          <w:rFonts w:asciiTheme="majorHAnsi" w:hAnsiTheme="majorHAnsi" w:cs="Arial"/>
          <w:color w:val="auto"/>
          <w:sz w:val="16"/>
          <w:szCs w:val="16"/>
        </w:rPr>
        <w:t>United Nations</w:t>
      </w:r>
      <w:r w:rsidR="00152A25" w:rsidRPr="00152A25">
        <w:rPr>
          <w:rFonts w:asciiTheme="majorHAnsi" w:hAnsiTheme="majorHAnsi" w:cs="Arial"/>
          <w:color w:val="auto"/>
          <w:sz w:val="16"/>
          <w:szCs w:val="16"/>
        </w:rPr>
        <w:t xml:space="preserve"> </w:t>
      </w:r>
      <w:r w:rsidR="00152A25" w:rsidRPr="00A51861">
        <w:rPr>
          <w:rFonts w:asciiTheme="majorHAnsi" w:hAnsiTheme="majorHAnsi" w:cs="Arial"/>
          <w:color w:val="auto"/>
          <w:sz w:val="16"/>
          <w:szCs w:val="16"/>
        </w:rPr>
        <w:t>Organization</w:t>
      </w:r>
      <w:r w:rsidRPr="00A51861">
        <w:rPr>
          <w:rFonts w:asciiTheme="majorHAnsi" w:hAnsiTheme="majorHAnsi" w:cs="Arial"/>
          <w:color w:val="auto"/>
          <w:sz w:val="16"/>
          <w:szCs w:val="16"/>
        </w:rPr>
        <w:t xml:space="preserve">, </w:t>
      </w:r>
      <w:r w:rsidR="00152A25">
        <w:rPr>
          <w:rFonts w:asciiTheme="majorHAnsi" w:hAnsiTheme="majorHAnsi" w:cs="Arial"/>
          <w:color w:val="auto"/>
          <w:sz w:val="16"/>
          <w:szCs w:val="16"/>
        </w:rPr>
        <w:t xml:space="preserve">on February 8, </w:t>
      </w:r>
      <w:r w:rsidRPr="00A51861">
        <w:rPr>
          <w:rFonts w:asciiTheme="majorHAnsi" w:hAnsiTheme="majorHAnsi" w:cs="Arial"/>
          <w:color w:val="auto"/>
          <w:sz w:val="16"/>
          <w:szCs w:val="16"/>
        </w:rPr>
        <w:t>2005. Princip</w:t>
      </w:r>
      <w:r w:rsidR="00152A25">
        <w:rPr>
          <w:rFonts w:asciiTheme="majorHAnsi" w:hAnsiTheme="majorHAnsi" w:cs="Arial"/>
          <w:color w:val="auto"/>
          <w:sz w:val="16"/>
          <w:szCs w:val="16"/>
        </w:rPr>
        <w:t xml:space="preserve">le </w:t>
      </w:r>
      <w:r w:rsidRPr="00A51861">
        <w:rPr>
          <w:rFonts w:asciiTheme="majorHAnsi" w:hAnsiTheme="majorHAnsi" w:cs="Arial"/>
          <w:color w:val="auto"/>
          <w:sz w:val="16"/>
          <w:szCs w:val="16"/>
        </w:rPr>
        <w:t xml:space="preserve">31 </w:t>
      </w:r>
      <w:r w:rsidR="00152A25">
        <w:rPr>
          <w:rFonts w:asciiTheme="majorHAnsi" w:hAnsiTheme="majorHAnsi" w:cs="Arial"/>
          <w:color w:val="auto"/>
          <w:sz w:val="16"/>
          <w:szCs w:val="16"/>
        </w:rPr>
        <w:t>states</w:t>
      </w:r>
      <w:r w:rsidRPr="00A51861">
        <w:rPr>
          <w:rFonts w:asciiTheme="majorHAnsi" w:hAnsiTheme="majorHAnsi" w:cs="Arial"/>
          <w:color w:val="auto"/>
          <w:sz w:val="16"/>
          <w:szCs w:val="16"/>
        </w:rPr>
        <w:t>: “</w:t>
      </w:r>
      <w:r w:rsidR="00152A25">
        <w:rPr>
          <w:rFonts w:asciiTheme="majorHAnsi" w:hAnsiTheme="majorHAnsi" w:cs="Arial"/>
          <w:color w:val="auto"/>
          <w:sz w:val="16"/>
          <w:szCs w:val="16"/>
        </w:rPr>
        <w:t>Every</w:t>
      </w:r>
      <w:r w:rsidRPr="00A51861">
        <w:rPr>
          <w:rFonts w:asciiTheme="majorHAnsi" w:hAnsiTheme="majorHAnsi" w:cs="Arial"/>
          <w:color w:val="auto"/>
          <w:sz w:val="16"/>
          <w:szCs w:val="16"/>
        </w:rPr>
        <w:t xml:space="preserve"> </w:t>
      </w:r>
      <w:r w:rsidR="00152A25" w:rsidRPr="00A51861">
        <w:rPr>
          <w:rFonts w:asciiTheme="majorHAnsi" w:hAnsiTheme="majorHAnsi" w:cs="Arial"/>
          <w:color w:val="auto"/>
          <w:sz w:val="16"/>
          <w:szCs w:val="16"/>
        </w:rPr>
        <w:t>violation</w:t>
      </w:r>
      <w:r w:rsidRPr="00A51861">
        <w:rPr>
          <w:rFonts w:asciiTheme="majorHAnsi" w:hAnsiTheme="majorHAnsi" w:cs="Arial"/>
          <w:color w:val="auto"/>
          <w:sz w:val="16"/>
          <w:szCs w:val="16"/>
        </w:rPr>
        <w:t xml:space="preserve"> </w:t>
      </w:r>
      <w:r w:rsidR="00152A25">
        <w:rPr>
          <w:rFonts w:asciiTheme="majorHAnsi" w:hAnsiTheme="majorHAnsi" w:cs="Arial"/>
          <w:color w:val="auto"/>
          <w:sz w:val="16"/>
          <w:szCs w:val="16"/>
        </w:rPr>
        <w:t>of a human rights provides a right of the vi</w:t>
      </w:r>
      <w:r w:rsidRPr="00A51861">
        <w:rPr>
          <w:rFonts w:asciiTheme="majorHAnsi" w:hAnsiTheme="majorHAnsi" w:cs="Arial"/>
          <w:color w:val="auto"/>
          <w:sz w:val="16"/>
          <w:szCs w:val="16"/>
        </w:rPr>
        <w:t>ctim o</w:t>
      </w:r>
      <w:r w:rsidR="00152A25">
        <w:rPr>
          <w:rFonts w:asciiTheme="majorHAnsi" w:hAnsiTheme="majorHAnsi" w:cs="Arial"/>
          <w:color w:val="auto"/>
          <w:sz w:val="16"/>
          <w:szCs w:val="16"/>
        </w:rPr>
        <w:t>r</w:t>
      </w:r>
      <w:r w:rsidRPr="00A51861">
        <w:rPr>
          <w:rFonts w:asciiTheme="majorHAnsi" w:hAnsiTheme="majorHAnsi" w:cs="Arial"/>
          <w:color w:val="auto"/>
          <w:sz w:val="16"/>
          <w:szCs w:val="16"/>
        </w:rPr>
        <w:t xml:space="preserve"> </w:t>
      </w:r>
      <w:r w:rsidR="00152A25">
        <w:rPr>
          <w:rFonts w:asciiTheme="majorHAnsi" w:hAnsiTheme="majorHAnsi" w:cs="Arial"/>
          <w:color w:val="auto"/>
          <w:sz w:val="16"/>
          <w:szCs w:val="16"/>
        </w:rPr>
        <w:t>his or her successors</w:t>
      </w:r>
      <w:r w:rsidRPr="00A51861">
        <w:rPr>
          <w:rFonts w:asciiTheme="majorHAnsi" w:hAnsiTheme="majorHAnsi" w:cs="Arial"/>
          <w:color w:val="auto"/>
          <w:sz w:val="16"/>
          <w:szCs w:val="16"/>
        </w:rPr>
        <w:t xml:space="preserve"> </w:t>
      </w:r>
      <w:r w:rsidR="00152A25">
        <w:rPr>
          <w:rFonts w:asciiTheme="majorHAnsi" w:hAnsiTheme="majorHAnsi" w:cs="Arial"/>
          <w:color w:val="auto"/>
          <w:sz w:val="16"/>
          <w:szCs w:val="16"/>
        </w:rPr>
        <w:t>to obtain</w:t>
      </w:r>
      <w:r w:rsidRPr="00A51861">
        <w:rPr>
          <w:rFonts w:asciiTheme="majorHAnsi" w:hAnsiTheme="majorHAnsi" w:cs="Arial"/>
          <w:color w:val="auto"/>
          <w:sz w:val="16"/>
          <w:szCs w:val="16"/>
        </w:rPr>
        <w:t xml:space="preserve"> </w:t>
      </w:r>
      <w:r w:rsidR="00152A25" w:rsidRPr="00A51861">
        <w:rPr>
          <w:rFonts w:asciiTheme="majorHAnsi" w:hAnsiTheme="majorHAnsi" w:cs="Arial"/>
          <w:color w:val="auto"/>
          <w:sz w:val="16"/>
          <w:szCs w:val="16"/>
        </w:rPr>
        <w:t>reparation</w:t>
      </w:r>
      <w:r w:rsidRPr="00A51861">
        <w:rPr>
          <w:rFonts w:asciiTheme="majorHAnsi" w:hAnsiTheme="majorHAnsi" w:cs="Arial"/>
          <w:color w:val="auto"/>
          <w:sz w:val="16"/>
          <w:szCs w:val="16"/>
        </w:rPr>
        <w:t xml:space="preserve">, </w:t>
      </w:r>
      <w:r w:rsidR="00152A25">
        <w:rPr>
          <w:rFonts w:asciiTheme="majorHAnsi" w:hAnsiTheme="majorHAnsi" w:cs="Arial"/>
          <w:color w:val="auto"/>
          <w:sz w:val="16"/>
          <w:szCs w:val="16"/>
        </w:rPr>
        <w:t>which implies the duty of the</w:t>
      </w:r>
      <w:r w:rsidR="00DE173A">
        <w:rPr>
          <w:rFonts w:asciiTheme="majorHAnsi" w:hAnsiTheme="majorHAnsi" w:cs="Arial"/>
          <w:color w:val="auto"/>
          <w:sz w:val="16"/>
          <w:szCs w:val="16"/>
        </w:rPr>
        <w:t xml:space="preserve"> State </w:t>
      </w:r>
      <w:r w:rsidR="00152A25">
        <w:rPr>
          <w:rFonts w:asciiTheme="majorHAnsi" w:hAnsiTheme="majorHAnsi" w:cs="Arial"/>
          <w:color w:val="auto"/>
          <w:sz w:val="16"/>
          <w:szCs w:val="16"/>
        </w:rPr>
        <w:t>to repair</w:t>
      </w:r>
      <w:r w:rsidR="00B6596B">
        <w:rPr>
          <w:rFonts w:asciiTheme="majorHAnsi" w:hAnsiTheme="majorHAnsi" w:cs="Arial"/>
          <w:color w:val="auto"/>
          <w:sz w:val="16"/>
          <w:szCs w:val="16"/>
        </w:rPr>
        <w:t xml:space="preserve"> and </w:t>
      </w:r>
      <w:r w:rsidR="00152A25">
        <w:rPr>
          <w:rFonts w:asciiTheme="majorHAnsi" w:hAnsiTheme="majorHAnsi" w:cs="Arial"/>
          <w:color w:val="auto"/>
          <w:sz w:val="16"/>
          <w:szCs w:val="16"/>
        </w:rPr>
        <w:t>the right to prosecute the</w:t>
      </w:r>
      <w:r w:rsidRPr="00A51861">
        <w:rPr>
          <w:rFonts w:asciiTheme="majorHAnsi" w:hAnsiTheme="majorHAnsi" w:cs="Arial"/>
          <w:color w:val="auto"/>
          <w:sz w:val="16"/>
          <w:szCs w:val="16"/>
        </w:rPr>
        <w:t xml:space="preserve"> aut</w:t>
      </w:r>
      <w:r w:rsidR="00152A25">
        <w:rPr>
          <w:rFonts w:asciiTheme="majorHAnsi" w:hAnsiTheme="majorHAnsi" w:cs="Arial"/>
          <w:color w:val="auto"/>
          <w:sz w:val="16"/>
          <w:szCs w:val="16"/>
        </w:rPr>
        <w:t>h</w:t>
      </w:r>
      <w:r w:rsidRPr="00A51861">
        <w:rPr>
          <w:rFonts w:asciiTheme="majorHAnsi" w:hAnsiTheme="majorHAnsi" w:cs="Arial"/>
          <w:color w:val="auto"/>
          <w:sz w:val="16"/>
          <w:szCs w:val="16"/>
        </w:rPr>
        <w:t>or”.</w:t>
      </w:r>
    </w:p>
  </w:footnote>
  <w:footnote w:id="216">
    <w:p w14:paraId="5666B871" w14:textId="2E90BFF0" w:rsidR="00F40E67" w:rsidRPr="00A51861" w:rsidRDefault="00F40E67" w:rsidP="0063693D">
      <w:pPr>
        <w:pStyle w:val="FootnoteText"/>
        <w:jc w:val="both"/>
        <w:rPr>
          <w:rFonts w:asciiTheme="majorHAnsi" w:hAnsiTheme="majorHAnsi" w:cs="Arial"/>
          <w:color w:val="auto"/>
          <w:sz w:val="16"/>
          <w:szCs w:val="16"/>
        </w:rPr>
      </w:pPr>
      <w:r w:rsidRPr="00A51861">
        <w:rPr>
          <w:rStyle w:val="FootnoteReference"/>
          <w:rFonts w:asciiTheme="majorHAnsi" w:hAnsiTheme="majorHAnsi" w:cs="Arial"/>
          <w:color w:val="auto"/>
          <w:sz w:val="16"/>
          <w:szCs w:val="16"/>
        </w:rPr>
        <w:footnoteRef/>
      </w:r>
      <w:r w:rsidRPr="00A51861">
        <w:rPr>
          <w:rFonts w:asciiTheme="majorHAnsi" w:hAnsiTheme="majorHAnsi" w:cs="Arial"/>
          <w:color w:val="auto"/>
          <w:sz w:val="16"/>
          <w:szCs w:val="16"/>
        </w:rPr>
        <w:t xml:space="preserve"> Adopt</w:t>
      </w:r>
      <w:r w:rsidR="00BF5EB0">
        <w:rPr>
          <w:rFonts w:asciiTheme="majorHAnsi" w:hAnsiTheme="majorHAnsi" w:cs="Arial"/>
          <w:color w:val="auto"/>
          <w:sz w:val="16"/>
          <w:szCs w:val="16"/>
        </w:rPr>
        <w:t>ed</w:t>
      </w:r>
      <w:r w:rsidRPr="00A51861">
        <w:rPr>
          <w:rFonts w:asciiTheme="majorHAnsi" w:hAnsiTheme="majorHAnsi" w:cs="Arial"/>
          <w:color w:val="auto"/>
          <w:sz w:val="16"/>
          <w:szCs w:val="16"/>
        </w:rPr>
        <w:t xml:space="preserve"> </w:t>
      </w:r>
      <w:r w:rsidR="00BF5EB0">
        <w:rPr>
          <w:rFonts w:asciiTheme="majorHAnsi" w:hAnsiTheme="majorHAnsi" w:cs="Arial"/>
          <w:color w:val="auto"/>
          <w:sz w:val="16"/>
          <w:szCs w:val="16"/>
        </w:rPr>
        <w:t xml:space="preserve">by the General Assembly of the United Nations Organization on December 16, </w:t>
      </w:r>
      <w:r w:rsidRPr="00A51861">
        <w:rPr>
          <w:rFonts w:asciiTheme="majorHAnsi" w:hAnsiTheme="majorHAnsi" w:cs="Arial"/>
          <w:color w:val="auto"/>
          <w:sz w:val="16"/>
          <w:szCs w:val="16"/>
        </w:rPr>
        <w:t xml:space="preserve">2005, </w:t>
      </w:r>
      <w:r w:rsidR="00BF5EB0">
        <w:rPr>
          <w:rFonts w:asciiTheme="majorHAnsi" w:hAnsiTheme="majorHAnsi" w:cs="Arial"/>
          <w:color w:val="auto"/>
          <w:sz w:val="16"/>
          <w:szCs w:val="16"/>
        </w:rPr>
        <w:t>via</w:t>
      </w:r>
      <w:r w:rsidRPr="00A51861">
        <w:rPr>
          <w:rFonts w:asciiTheme="majorHAnsi" w:hAnsiTheme="majorHAnsi" w:cs="Arial"/>
          <w:color w:val="auto"/>
          <w:sz w:val="16"/>
          <w:szCs w:val="16"/>
        </w:rPr>
        <w:t xml:space="preserve"> </w:t>
      </w:r>
      <w:r w:rsidR="00A51861" w:rsidRPr="00A51861">
        <w:rPr>
          <w:rFonts w:asciiTheme="majorHAnsi" w:hAnsiTheme="majorHAnsi" w:cs="Arial"/>
          <w:color w:val="auto"/>
          <w:sz w:val="16"/>
          <w:szCs w:val="16"/>
        </w:rPr>
        <w:t xml:space="preserve">Resolution </w:t>
      </w:r>
      <w:r w:rsidRPr="00A51861">
        <w:rPr>
          <w:rFonts w:asciiTheme="majorHAnsi" w:hAnsiTheme="majorHAnsi" w:cs="Arial"/>
          <w:color w:val="auto"/>
          <w:sz w:val="16"/>
          <w:szCs w:val="16"/>
        </w:rPr>
        <w:t xml:space="preserve">60/147. </w:t>
      </w:r>
      <w:r w:rsidR="00BF5EB0">
        <w:rPr>
          <w:rFonts w:asciiTheme="majorHAnsi" w:hAnsiTheme="majorHAnsi" w:cs="Arial"/>
          <w:color w:val="auto"/>
          <w:sz w:val="16"/>
          <w:szCs w:val="16"/>
        </w:rPr>
        <w:t>Principles</w:t>
      </w:r>
      <w:r w:rsidRPr="00A51861">
        <w:rPr>
          <w:rFonts w:asciiTheme="majorHAnsi" w:hAnsiTheme="majorHAnsi" w:cs="Arial"/>
          <w:color w:val="auto"/>
          <w:sz w:val="16"/>
          <w:szCs w:val="16"/>
        </w:rPr>
        <w:t xml:space="preserve"> 12, 13</w:t>
      </w:r>
      <w:r w:rsidR="00B6596B">
        <w:rPr>
          <w:rFonts w:asciiTheme="majorHAnsi" w:hAnsiTheme="majorHAnsi" w:cs="Arial"/>
          <w:color w:val="auto"/>
          <w:sz w:val="16"/>
          <w:szCs w:val="16"/>
        </w:rPr>
        <w:t xml:space="preserve"> and </w:t>
      </w:r>
      <w:r w:rsidRPr="00A51861">
        <w:rPr>
          <w:rFonts w:asciiTheme="majorHAnsi" w:hAnsiTheme="majorHAnsi" w:cs="Arial"/>
          <w:color w:val="auto"/>
          <w:sz w:val="16"/>
          <w:szCs w:val="16"/>
        </w:rPr>
        <w:t xml:space="preserve">14 </w:t>
      </w:r>
      <w:r w:rsidR="00BF5EB0">
        <w:rPr>
          <w:rFonts w:asciiTheme="majorHAnsi" w:hAnsiTheme="majorHAnsi" w:cs="Arial"/>
          <w:color w:val="auto"/>
          <w:sz w:val="16"/>
          <w:szCs w:val="16"/>
        </w:rPr>
        <w:t xml:space="preserve">set forth the right to access a </w:t>
      </w:r>
      <w:r w:rsidRPr="00A51861">
        <w:rPr>
          <w:rFonts w:asciiTheme="majorHAnsi" w:hAnsiTheme="majorHAnsi" w:cs="Arial"/>
          <w:color w:val="auto"/>
          <w:sz w:val="16"/>
          <w:szCs w:val="16"/>
        </w:rPr>
        <w:t xml:space="preserve">judicial </w:t>
      </w:r>
      <w:r w:rsidR="00BF5EB0">
        <w:rPr>
          <w:rFonts w:asciiTheme="majorHAnsi" w:hAnsiTheme="majorHAnsi" w:cs="Arial"/>
          <w:color w:val="auto"/>
          <w:sz w:val="16"/>
          <w:szCs w:val="16"/>
        </w:rPr>
        <w:t>remedy for the</w:t>
      </w:r>
      <w:r w:rsidR="00E92985">
        <w:rPr>
          <w:rFonts w:asciiTheme="majorHAnsi" w:hAnsiTheme="majorHAnsi" w:cs="Arial"/>
          <w:color w:val="auto"/>
          <w:sz w:val="16"/>
          <w:szCs w:val="16"/>
        </w:rPr>
        <w:t xml:space="preserve"> alleged victims</w:t>
      </w:r>
      <w:r w:rsidRPr="00A51861">
        <w:rPr>
          <w:rFonts w:asciiTheme="majorHAnsi" w:hAnsiTheme="majorHAnsi" w:cs="Arial"/>
          <w:color w:val="auto"/>
          <w:sz w:val="16"/>
          <w:szCs w:val="16"/>
        </w:rPr>
        <w:t xml:space="preserve">. </w:t>
      </w:r>
      <w:r w:rsidR="00BF5EB0">
        <w:rPr>
          <w:rFonts w:asciiTheme="majorHAnsi" w:hAnsiTheme="majorHAnsi" w:cs="Arial"/>
          <w:color w:val="auto"/>
          <w:sz w:val="16"/>
          <w:szCs w:val="16"/>
        </w:rPr>
        <w:t>Principle</w:t>
      </w:r>
      <w:r w:rsidRPr="00A51861">
        <w:rPr>
          <w:rFonts w:asciiTheme="majorHAnsi" w:hAnsiTheme="majorHAnsi" w:cs="Arial"/>
          <w:color w:val="auto"/>
          <w:sz w:val="16"/>
          <w:szCs w:val="16"/>
        </w:rPr>
        <w:t xml:space="preserve"> 18 </w:t>
      </w:r>
      <w:r w:rsidR="00BF5EB0">
        <w:rPr>
          <w:rFonts w:asciiTheme="majorHAnsi" w:hAnsiTheme="majorHAnsi" w:cs="Arial"/>
          <w:color w:val="auto"/>
          <w:sz w:val="16"/>
          <w:szCs w:val="16"/>
        </w:rPr>
        <w:t>of this</w:t>
      </w:r>
      <w:r w:rsidRPr="00A51861">
        <w:rPr>
          <w:rFonts w:asciiTheme="majorHAnsi" w:hAnsiTheme="majorHAnsi" w:cs="Arial"/>
          <w:color w:val="auto"/>
          <w:sz w:val="16"/>
          <w:szCs w:val="16"/>
        </w:rPr>
        <w:t xml:space="preserve"> document </w:t>
      </w:r>
      <w:r w:rsidR="00BF5EB0">
        <w:rPr>
          <w:rFonts w:asciiTheme="majorHAnsi" w:hAnsiTheme="majorHAnsi" w:cs="Arial"/>
          <w:color w:val="auto"/>
          <w:sz w:val="16"/>
          <w:szCs w:val="16"/>
        </w:rPr>
        <w:t>holds that the right of the</w:t>
      </w:r>
      <w:r w:rsidRPr="00A51861">
        <w:rPr>
          <w:rFonts w:asciiTheme="majorHAnsi" w:hAnsiTheme="majorHAnsi" w:cs="Arial"/>
          <w:color w:val="auto"/>
          <w:sz w:val="16"/>
          <w:szCs w:val="16"/>
        </w:rPr>
        <w:t xml:space="preserve"> </w:t>
      </w:r>
      <w:r w:rsidR="00BF5EB0">
        <w:rPr>
          <w:rFonts w:asciiTheme="majorHAnsi" w:hAnsiTheme="majorHAnsi" w:cs="Arial"/>
          <w:color w:val="auto"/>
          <w:sz w:val="16"/>
          <w:szCs w:val="16"/>
        </w:rPr>
        <w:t>victim</w:t>
      </w:r>
      <w:r w:rsidRPr="00A51861">
        <w:rPr>
          <w:rFonts w:asciiTheme="majorHAnsi" w:hAnsiTheme="majorHAnsi" w:cs="Arial"/>
          <w:color w:val="auto"/>
          <w:sz w:val="16"/>
          <w:szCs w:val="16"/>
        </w:rPr>
        <w:t xml:space="preserve">s </w:t>
      </w:r>
      <w:r w:rsidR="00BF5EB0">
        <w:rPr>
          <w:rFonts w:asciiTheme="majorHAnsi" w:hAnsiTheme="majorHAnsi" w:cs="Arial"/>
          <w:color w:val="auto"/>
          <w:sz w:val="16"/>
          <w:szCs w:val="16"/>
        </w:rPr>
        <w:t>to a</w:t>
      </w:r>
      <w:r w:rsidRPr="00A51861">
        <w:rPr>
          <w:rFonts w:asciiTheme="majorHAnsi" w:hAnsiTheme="majorHAnsi" w:cs="Arial"/>
          <w:color w:val="auto"/>
          <w:sz w:val="16"/>
          <w:szCs w:val="16"/>
        </w:rPr>
        <w:t xml:space="preserve"> “</w:t>
      </w:r>
      <w:r w:rsidR="00BF5EB0">
        <w:rPr>
          <w:rFonts w:asciiTheme="majorHAnsi" w:hAnsiTheme="majorHAnsi" w:cs="Arial"/>
          <w:color w:val="auto"/>
          <w:sz w:val="16"/>
          <w:szCs w:val="16"/>
        </w:rPr>
        <w:t>full</w:t>
      </w:r>
      <w:r w:rsidR="00B6596B">
        <w:rPr>
          <w:rFonts w:asciiTheme="majorHAnsi" w:hAnsiTheme="majorHAnsi" w:cs="Arial"/>
          <w:color w:val="auto"/>
          <w:sz w:val="16"/>
          <w:szCs w:val="16"/>
        </w:rPr>
        <w:t xml:space="preserve"> and </w:t>
      </w:r>
      <w:r w:rsidR="00BF5EB0" w:rsidRPr="00A51861">
        <w:rPr>
          <w:rFonts w:asciiTheme="majorHAnsi" w:hAnsiTheme="majorHAnsi" w:cs="Arial"/>
          <w:color w:val="auto"/>
          <w:sz w:val="16"/>
          <w:szCs w:val="16"/>
        </w:rPr>
        <w:t>effective</w:t>
      </w:r>
      <w:r w:rsidR="00BF5EB0" w:rsidRPr="00BF5EB0">
        <w:rPr>
          <w:rFonts w:asciiTheme="majorHAnsi" w:hAnsiTheme="majorHAnsi" w:cs="Arial"/>
          <w:color w:val="auto"/>
          <w:sz w:val="16"/>
          <w:szCs w:val="16"/>
        </w:rPr>
        <w:t xml:space="preserve"> </w:t>
      </w:r>
      <w:r w:rsidR="00BF5EB0" w:rsidRPr="00A51861">
        <w:rPr>
          <w:rFonts w:asciiTheme="majorHAnsi" w:hAnsiTheme="majorHAnsi" w:cs="Arial"/>
          <w:color w:val="auto"/>
          <w:sz w:val="16"/>
          <w:szCs w:val="16"/>
        </w:rPr>
        <w:t>reparation</w:t>
      </w:r>
      <w:r w:rsidRPr="00A51861">
        <w:rPr>
          <w:rFonts w:asciiTheme="majorHAnsi" w:hAnsiTheme="majorHAnsi" w:cs="Arial"/>
          <w:color w:val="auto"/>
          <w:sz w:val="16"/>
          <w:szCs w:val="16"/>
        </w:rPr>
        <w:t>”. Cfr. https://www.ohchr.org/en/professionalinterest/pages/remedyandreparation.aspx</w:t>
      </w:r>
    </w:p>
  </w:footnote>
  <w:footnote w:id="217">
    <w:p w14:paraId="3DBEB648" w14:textId="4513DD8F" w:rsidR="00F40E67" w:rsidRPr="00A51861" w:rsidRDefault="00F40E67" w:rsidP="0063693D">
      <w:pPr>
        <w:pStyle w:val="FootnoteText"/>
        <w:jc w:val="both"/>
        <w:rPr>
          <w:rFonts w:asciiTheme="majorHAnsi" w:hAnsiTheme="majorHAnsi" w:cs="Arial"/>
          <w:color w:val="auto"/>
          <w:sz w:val="16"/>
          <w:szCs w:val="16"/>
        </w:rPr>
      </w:pPr>
      <w:r w:rsidRPr="00A51861">
        <w:rPr>
          <w:rStyle w:val="FootnoteReference"/>
          <w:rFonts w:asciiTheme="majorHAnsi" w:hAnsiTheme="majorHAnsi" w:cs="Arial"/>
          <w:color w:val="auto"/>
          <w:sz w:val="16"/>
          <w:szCs w:val="16"/>
        </w:rPr>
        <w:footnoteRef/>
      </w:r>
      <w:r w:rsidRPr="00A51861">
        <w:rPr>
          <w:rFonts w:asciiTheme="majorHAnsi" w:hAnsiTheme="majorHAnsi" w:cs="Arial"/>
          <w:color w:val="auto"/>
          <w:sz w:val="16"/>
          <w:szCs w:val="16"/>
        </w:rPr>
        <w:t xml:space="preserve"> TEDH, </w:t>
      </w:r>
      <w:r w:rsidR="00B6596B">
        <w:rPr>
          <w:rFonts w:asciiTheme="majorHAnsi" w:hAnsiTheme="majorHAnsi" w:cs="Arial"/>
          <w:color w:val="auto"/>
          <w:sz w:val="16"/>
          <w:szCs w:val="16"/>
        </w:rPr>
        <w:t xml:space="preserve">Case </w:t>
      </w:r>
      <w:r w:rsidRPr="00A51861">
        <w:rPr>
          <w:rFonts w:asciiTheme="majorHAnsi" w:hAnsiTheme="majorHAnsi" w:cs="Arial"/>
          <w:color w:val="auto"/>
          <w:sz w:val="16"/>
          <w:szCs w:val="16"/>
        </w:rPr>
        <w:t xml:space="preserve">Broniowski Vs. </w:t>
      </w:r>
      <w:r w:rsidR="00BF5EB0">
        <w:rPr>
          <w:rFonts w:asciiTheme="majorHAnsi" w:hAnsiTheme="majorHAnsi" w:cs="Arial"/>
          <w:color w:val="auto"/>
          <w:sz w:val="16"/>
          <w:szCs w:val="16"/>
        </w:rPr>
        <w:t>Poland</w:t>
      </w:r>
      <w:r w:rsidRPr="00A51861">
        <w:rPr>
          <w:rFonts w:asciiTheme="majorHAnsi" w:hAnsiTheme="majorHAnsi" w:cs="Arial"/>
          <w:color w:val="auto"/>
          <w:sz w:val="16"/>
          <w:szCs w:val="16"/>
        </w:rPr>
        <w:t xml:space="preserve">, No. 31443/96. </w:t>
      </w:r>
      <w:r w:rsidR="004E56A9">
        <w:rPr>
          <w:rFonts w:asciiTheme="majorHAnsi" w:hAnsiTheme="majorHAnsi" w:cs="Arial"/>
          <w:color w:val="auto"/>
          <w:sz w:val="16"/>
          <w:szCs w:val="16"/>
        </w:rPr>
        <w:t>Judgment</w:t>
      </w:r>
      <w:r w:rsidRPr="00A51861">
        <w:rPr>
          <w:rFonts w:asciiTheme="majorHAnsi" w:hAnsiTheme="majorHAnsi" w:cs="Arial"/>
          <w:color w:val="auto"/>
          <w:sz w:val="16"/>
          <w:szCs w:val="16"/>
        </w:rPr>
        <w:t xml:space="preserve"> </w:t>
      </w:r>
      <w:r w:rsidR="00BF5EB0">
        <w:rPr>
          <w:rFonts w:asciiTheme="majorHAnsi" w:hAnsiTheme="majorHAnsi" w:cs="Arial"/>
          <w:color w:val="auto"/>
          <w:sz w:val="16"/>
          <w:szCs w:val="16"/>
        </w:rPr>
        <w:t xml:space="preserve">of July 22, </w:t>
      </w:r>
      <w:r w:rsidRPr="00A51861">
        <w:rPr>
          <w:rFonts w:asciiTheme="majorHAnsi" w:hAnsiTheme="majorHAnsi" w:cs="Arial"/>
          <w:color w:val="auto"/>
          <w:sz w:val="16"/>
          <w:szCs w:val="16"/>
        </w:rPr>
        <w:t xml:space="preserve">2004, </w:t>
      </w:r>
      <w:r w:rsidR="00B6596B">
        <w:rPr>
          <w:rFonts w:asciiTheme="majorHAnsi" w:hAnsiTheme="majorHAnsi" w:cs="Arial"/>
          <w:color w:val="auto"/>
          <w:sz w:val="16"/>
          <w:szCs w:val="16"/>
        </w:rPr>
        <w:t>para.</w:t>
      </w:r>
      <w:r w:rsidRPr="00A51861">
        <w:rPr>
          <w:rFonts w:asciiTheme="majorHAnsi" w:hAnsiTheme="majorHAnsi" w:cs="Arial"/>
          <w:color w:val="auto"/>
          <w:sz w:val="16"/>
          <w:szCs w:val="16"/>
        </w:rPr>
        <w:t xml:space="preserve"> 36.</w:t>
      </w:r>
    </w:p>
  </w:footnote>
  <w:footnote w:id="218">
    <w:p w14:paraId="5863C79D" w14:textId="1F19D41F" w:rsidR="00F40E67" w:rsidRPr="00061015" w:rsidRDefault="00F40E67" w:rsidP="0063693D">
      <w:pPr>
        <w:pStyle w:val="FootnoteText"/>
        <w:jc w:val="both"/>
        <w:rPr>
          <w:rFonts w:asciiTheme="majorHAnsi" w:hAnsiTheme="majorHAnsi" w:cs="Arial"/>
          <w:color w:val="auto"/>
          <w:sz w:val="16"/>
          <w:szCs w:val="16"/>
          <w:lang w:val="es-US"/>
        </w:rPr>
      </w:pPr>
      <w:r w:rsidRPr="00A51861">
        <w:rPr>
          <w:rStyle w:val="FootnoteReference"/>
          <w:rFonts w:asciiTheme="majorHAnsi" w:hAnsiTheme="majorHAnsi" w:cs="Arial"/>
          <w:color w:val="auto"/>
          <w:sz w:val="16"/>
          <w:szCs w:val="16"/>
        </w:rPr>
        <w:footnoteRef/>
      </w:r>
      <w:r w:rsidRPr="00A51861">
        <w:rPr>
          <w:rFonts w:asciiTheme="majorHAnsi" w:hAnsiTheme="majorHAnsi" w:cs="Arial"/>
          <w:color w:val="auto"/>
          <w:sz w:val="16"/>
          <w:szCs w:val="16"/>
        </w:rPr>
        <w:t xml:space="preserve"> </w:t>
      </w:r>
      <w:r w:rsidR="00036743">
        <w:rPr>
          <w:rFonts w:asciiTheme="majorHAnsi" w:hAnsiTheme="majorHAnsi" w:cs="Arial"/>
          <w:color w:val="auto"/>
          <w:sz w:val="16"/>
          <w:szCs w:val="16"/>
        </w:rPr>
        <w:t>IHR Court</w:t>
      </w:r>
      <w:r w:rsidRPr="00A51861">
        <w:rPr>
          <w:rFonts w:asciiTheme="majorHAnsi" w:hAnsiTheme="majorHAnsi" w:cs="Arial"/>
          <w:color w:val="auto"/>
          <w:sz w:val="16"/>
          <w:szCs w:val="16"/>
        </w:rPr>
        <w:t xml:space="preserve">. </w:t>
      </w:r>
      <w:r w:rsidR="00B6596B">
        <w:rPr>
          <w:rFonts w:asciiTheme="majorHAnsi" w:hAnsiTheme="majorHAnsi" w:cs="Arial"/>
          <w:color w:val="auto"/>
          <w:sz w:val="16"/>
          <w:szCs w:val="16"/>
        </w:rPr>
        <w:t xml:space="preserve">Case </w:t>
      </w:r>
      <w:r w:rsidRPr="00A51861">
        <w:rPr>
          <w:rFonts w:asciiTheme="majorHAnsi" w:hAnsiTheme="majorHAnsi" w:cs="Arial"/>
          <w:color w:val="auto"/>
          <w:sz w:val="16"/>
          <w:szCs w:val="16"/>
        </w:rPr>
        <w:t xml:space="preserve">Almeida Vs. Argentina. </w:t>
      </w:r>
      <w:r w:rsidR="00B6596B">
        <w:rPr>
          <w:rFonts w:asciiTheme="majorHAnsi" w:hAnsiTheme="majorHAnsi" w:cs="Arial"/>
          <w:color w:val="auto"/>
          <w:sz w:val="16"/>
          <w:szCs w:val="16"/>
        </w:rPr>
        <w:t>Merits</w:t>
      </w:r>
      <w:r w:rsidRPr="00A51861">
        <w:rPr>
          <w:rFonts w:asciiTheme="majorHAnsi" w:hAnsiTheme="majorHAnsi" w:cs="Arial"/>
          <w:color w:val="auto"/>
          <w:sz w:val="16"/>
          <w:szCs w:val="16"/>
        </w:rPr>
        <w:t xml:space="preserve">, </w:t>
      </w:r>
      <w:r w:rsidR="00357129">
        <w:rPr>
          <w:rFonts w:asciiTheme="majorHAnsi" w:hAnsiTheme="majorHAnsi" w:cs="Arial"/>
          <w:color w:val="auto"/>
          <w:sz w:val="16"/>
          <w:szCs w:val="16"/>
        </w:rPr>
        <w:t>Reparations and Costs</w:t>
      </w:r>
      <w:r w:rsidRPr="00A51861">
        <w:rPr>
          <w:rFonts w:asciiTheme="majorHAnsi" w:hAnsiTheme="majorHAnsi" w:cs="Arial"/>
          <w:color w:val="auto"/>
          <w:sz w:val="16"/>
          <w:szCs w:val="16"/>
        </w:rPr>
        <w:t xml:space="preserve">. </w:t>
      </w:r>
      <w:r w:rsidR="004E56A9">
        <w:rPr>
          <w:rFonts w:asciiTheme="majorHAnsi" w:hAnsiTheme="majorHAnsi" w:cs="Arial"/>
          <w:color w:val="auto"/>
          <w:sz w:val="16"/>
          <w:szCs w:val="16"/>
        </w:rPr>
        <w:t>Judgment</w:t>
      </w:r>
      <w:r w:rsidRPr="00A51861">
        <w:rPr>
          <w:rFonts w:asciiTheme="majorHAnsi" w:hAnsiTheme="majorHAnsi" w:cs="Arial"/>
          <w:color w:val="auto"/>
          <w:sz w:val="16"/>
          <w:szCs w:val="16"/>
        </w:rPr>
        <w:t xml:space="preserve"> </w:t>
      </w:r>
      <w:r w:rsidR="00E46E31">
        <w:rPr>
          <w:rFonts w:asciiTheme="majorHAnsi" w:hAnsiTheme="majorHAnsi" w:cs="Arial"/>
          <w:color w:val="auto"/>
          <w:sz w:val="16"/>
          <w:szCs w:val="16"/>
        </w:rPr>
        <w:t xml:space="preserve">of November 17, </w:t>
      </w:r>
      <w:r w:rsidRPr="00A51861">
        <w:rPr>
          <w:rFonts w:asciiTheme="majorHAnsi" w:hAnsiTheme="majorHAnsi" w:cs="Arial"/>
          <w:color w:val="auto"/>
          <w:sz w:val="16"/>
          <w:szCs w:val="16"/>
        </w:rPr>
        <w:t xml:space="preserve">2020. Serie C No. 416, </w:t>
      </w:r>
      <w:r w:rsidR="00B6596B">
        <w:rPr>
          <w:rFonts w:asciiTheme="majorHAnsi" w:hAnsiTheme="majorHAnsi" w:cs="Arial"/>
          <w:color w:val="auto"/>
          <w:sz w:val="16"/>
          <w:szCs w:val="16"/>
        </w:rPr>
        <w:t xml:space="preserve">Case </w:t>
      </w:r>
      <w:r w:rsidRPr="00A51861">
        <w:rPr>
          <w:rFonts w:asciiTheme="majorHAnsi" w:hAnsiTheme="majorHAnsi" w:cs="Arial"/>
          <w:color w:val="auto"/>
          <w:sz w:val="16"/>
          <w:szCs w:val="16"/>
        </w:rPr>
        <w:t xml:space="preserve">Manuel Cepeda Vargas Vs. Colombia. </w:t>
      </w:r>
      <w:r w:rsidR="00357129">
        <w:rPr>
          <w:rFonts w:asciiTheme="majorHAnsi" w:hAnsiTheme="majorHAnsi" w:cs="Arial"/>
          <w:color w:val="auto"/>
          <w:sz w:val="16"/>
          <w:szCs w:val="16"/>
        </w:rPr>
        <w:t>Exceptions, Preliminary Exceptions, Merits, Reparations and Costs</w:t>
      </w:r>
      <w:r w:rsidRPr="00A51861">
        <w:rPr>
          <w:rFonts w:asciiTheme="majorHAnsi" w:hAnsiTheme="majorHAnsi" w:cs="Arial"/>
          <w:color w:val="auto"/>
          <w:sz w:val="16"/>
          <w:szCs w:val="16"/>
        </w:rPr>
        <w:t xml:space="preserve">. </w:t>
      </w:r>
      <w:r w:rsidR="004E56A9">
        <w:rPr>
          <w:rFonts w:asciiTheme="majorHAnsi" w:hAnsiTheme="majorHAnsi" w:cs="Arial"/>
          <w:color w:val="auto"/>
          <w:sz w:val="16"/>
          <w:szCs w:val="16"/>
        </w:rPr>
        <w:t>Judgment</w:t>
      </w:r>
      <w:r w:rsidRPr="00A51861">
        <w:rPr>
          <w:rFonts w:asciiTheme="majorHAnsi" w:hAnsiTheme="majorHAnsi" w:cs="Arial"/>
          <w:color w:val="auto"/>
          <w:sz w:val="16"/>
          <w:szCs w:val="16"/>
        </w:rPr>
        <w:t xml:space="preserve"> de 26 de mayo de 2010. Serie C No. 213, </w:t>
      </w:r>
      <w:r w:rsidR="00B6596B">
        <w:rPr>
          <w:rFonts w:asciiTheme="majorHAnsi" w:hAnsiTheme="majorHAnsi" w:cs="Arial"/>
          <w:color w:val="auto"/>
          <w:sz w:val="16"/>
          <w:szCs w:val="16"/>
        </w:rPr>
        <w:t>para.</w:t>
      </w:r>
      <w:r w:rsidRPr="00A51861">
        <w:rPr>
          <w:rFonts w:asciiTheme="majorHAnsi" w:hAnsiTheme="majorHAnsi" w:cs="Arial"/>
          <w:color w:val="auto"/>
          <w:sz w:val="16"/>
          <w:szCs w:val="16"/>
        </w:rPr>
        <w:t xml:space="preserve"> 246,</w:t>
      </w:r>
      <w:r w:rsidR="00B6596B">
        <w:rPr>
          <w:rFonts w:asciiTheme="majorHAnsi" w:hAnsiTheme="majorHAnsi" w:cs="Arial"/>
          <w:color w:val="auto"/>
          <w:sz w:val="16"/>
          <w:szCs w:val="16"/>
        </w:rPr>
        <w:t xml:space="preserve"> and Case </w:t>
      </w:r>
      <w:r w:rsidRPr="00A51861">
        <w:rPr>
          <w:rFonts w:asciiTheme="majorHAnsi" w:hAnsiTheme="majorHAnsi" w:cs="Arial"/>
          <w:color w:val="auto"/>
          <w:sz w:val="16"/>
          <w:szCs w:val="16"/>
        </w:rPr>
        <w:t xml:space="preserve">Hernández Vs. Argentina. </w:t>
      </w:r>
      <w:r w:rsidR="000010D0">
        <w:rPr>
          <w:rFonts w:asciiTheme="majorHAnsi" w:hAnsiTheme="majorHAnsi" w:cs="Arial"/>
          <w:color w:val="auto"/>
          <w:sz w:val="16"/>
          <w:szCs w:val="16"/>
        </w:rPr>
        <w:t>Preliminary Exception</w:t>
      </w:r>
      <w:r w:rsidRPr="00A51861">
        <w:rPr>
          <w:rFonts w:asciiTheme="majorHAnsi" w:hAnsiTheme="majorHAnsi" w:cs="Arial"/>
          <w:color w:val="auto"/>
          <w:sz w:val="16"/>
          <w:szCs w:val="16"/>
        </w:rPr>
        <w:t xml:space="preserve">, </w:t>
      </w:r>
      <w:r w:rsidR="00B6596B">
        <w:rPr>
          <w:rFonts w:asciiTheme="majorHAnsi" w:hAnsiTheme="majorHAnsi" w:cs="Arial"/>
          <w:color w:val="auto"/>
          <w:sz w:val="16"/>
          <w:szCs w:val="16"/>
        </w:rPr>
        <w:t>Merits</w:t>
      </w:r>
      <w:r w:rsidRPr="00A51861">
        <w:rPr>
          <w:rFonts w:asciiTheme="majorHAnsi" w:hAnsiTheme="majorHAnsi" w:cs="Arial"/>
          <w:color w:val="auto"/>
          <w:sz w:val="16"/>
          <w:szCs w:val="16"/>
        </w:rPr>
        <w:t xml:space="preserve">, </w:t>
      </w:r>
      <w:r w:rsidR="00357129">
        <w:rPr>
          <w:rFonts w:asciiTheme="majorHAnsi" w:hAnsiTheme="majorHAnsi" w:cs="Arial"/>
          <w:color w:val="auto"/>
          <w:sz w:val="16"/>
          <w:szCs w:val="16"/>
        </w:rPr>
        <w:t>Reparations and Costs</w:t>
      </w:r>
      <w:r w:rsidRPr="00A51861">
        <w:rPr>
          <w:rFonts w:asciiTheme="majorHAnsi" w:hAnsiTheme="majorHAnsi" w:cs="Arial"/>
          <w:color w:val="auto"/>
          <w:sz w:val="16"/>
          <w:szCs w:val="16"/>
        </w:rPr>
        <w:t xml:space="preserve">. </w:t>
      </w:r>
      <w:r w:rsidR="004E56A9">
        <w:rPr>
          <w:rFonts w:asciiTheme="majorHAnsi" w:hAnsiTheme="majorHAnsi" w:cs="Arial"/>
          <w:color w:val="auto"/>
          <w:sz w:val="16"/>
          <w:szCs w:val="16"/>
        </w:rPr>
        <w:t>Judgment</w:t>
      </w:r>
      <w:r w:rsidRPr="00A51861">
        <w:rPr>
          <w:rFonts w:asciiTheme="majorHAnsi" w:hAnsiTheme="majorHAnsi" w:cs="Arial"/>
          <w:color w:val="auto"/>
          <w:sz w:val="16"/>
          <w:szCs w:val="16"/>
        </w:rPr>
        <w:t xml:space="preserve"> </w:t>
      </w:r>
      <w:r w:rsidR="00BF5EB0">
        <w:rPr>
          <w:rFonts w:asciiTheme="majorHAnsi" w:hAnsiTheme="majorHAnsi" w:cs="Arial"/>
          <w:color w:val="auto"/>
          <w:sz w:val="16"/>
          <w:szCs w:val="16"/>
        </w:rPr>
        <w:t xml:space="preserve">of November 22, </w:t>
      </w:r>
      <w:r w:rsidRPr="00A51861">
        <w:rPr>
          <w:rFonts w:asciiTheme="majorHAnsi" w:hAnsiTheme="majorHAnsi" w:cs="Arial"/>
          <w:color w:val="auto"/>
          <w:sz w:val="16"/>
          <w:szCs w:val="16"/>
        </w:rPr>
        <w:t xml:space="preserve">de 2019. </w:t>
      </w:r>
      <w:r w:rsidRPr="00061015">
        <w:rPr>
          <w:rFonts w:asciiTheme="majorHAnsi" w:hAnsiTheme="majorHAnsi" w:cs="Arial"/>
          <w:color w:val="auto"/>
          <w:sz w:val="16"/>
          <w:szCs w:val="16"/>
          <w:lang w:val="es-US"/>
        </w:rPr>
        <w:t xml:space="preserve">Serie C No. 395, </w:t>
      </w:r>
      <w:r w:rsidR="00B6596B" w:rsidRPr="00061015">
        <w:rPr>
          <w:rFonts w:asciiTheme="majorHAnsi" w:hAnsiTheme="majorHAnsi" w:cs="Arial"/>
          <w:color w:val="auto"/>
          <w:sz w:val="16"/>
          <w:szCs w:val="16"/>
          <w:lang w:val="es-US"/>
        </w:rPr>
        <w:t>para.</w:t>
      </w:r>
      <w:r w:rsidRPr="00061015">
        <w:rPr>
          <w:rFonts w:asciiTheme="majorHAnsi" w:hAnsiTheme="majorHAnsi" w:cs="Arial"/>
          <w:color w:val="auto"/>
          <w:sz w:val="16"/>
          <w:szCs w:val="16"/>
          <w:lang w:val="es-US"/>
        </w:rPr>
        <w:t xml:space="preserve"> 18.</w:t>
      </w:r>
    </w:p>
  </w:footnote>
  <w:footnote w:id="219">
    <w:p w14:paraId="06EDBB9D" w14:textId="77B72D0C" w:rsidR="00F40E67" w:rsidRPr="00A51861" w:rsidRDefault="00F40E67" w:rsidP="0063693D">
      <w:pPr>
        <w:pStyle w:val="FootnoteText"/>
        <w:jc w:val="both"/>
        <w:rPr>
          <w:rFonts w:asciiTheme="majorHAnsi" w:hAnsiTheme="majorHAnsi" w:cs="Arial"/>
          <w:color w:val="auto"/>
          <w:sz w:val="16"/>
          <w:szCs w:val="16"/>
        </w:rPr>
      </w:pPr>
      <w:r w:rsidRPr="00A51861">
        <w:rPr>
          <w:rStyle w:val="FootnoteReference"/>
          <w:rFonts w:asciiTheme="majorHAnsi" w:hAnsiTheme="majorHAnsi" w:cs="Arial"/>
          <w:color w:val="auto"/>
          <w:sz w:val="16"/>
          <w:szCs w:val="16"/>
        </w:rPr>
        <w:footnoteRef/>
      </w:r>
      <w:r w:rsidRPr="00061015">
        <w:rPr>
          <w:rFonts w:asciiTheme="majorHAnsi" w:hAnsiTheme="majorHAnsi" w:cs="Arial"/>
          <w:color w:val="auto"/>
          <w:sz w:val="16"/>
          <w:szCs w:val="16"/>
          <w:lang w:val="es-US"/>
        </w:rPr>
        <w:t xml:space="preserve"> </w:t>
      </w:r>
      <w:r w:rsidR="00036743" w:rsidRPr="00061015">
        <w:rPr>
          <w:rFonts w:asciiTheme="majorHAnsi" w:hAnsiTheme="majorHAnsi" w:cs="Arial"/>
          <w:color w:val="auto"/>
          <w:sz w:val="16"/>
          <w:szCs w:val="16"/>
          <w:lang w:val="es-US"/>
        </w:rPr>
        <w:t>IHR Court</w:t>
      </w:r>
      <w:r w:rsidRPr="00061015">
        <w:rPr>
          <w:rFonts w:asciiTheme="majorHAnsi" w:hAnsiTheme="majorHAnsi" w:cs="Arial"/>
          <w:color w:val="auto"/>
          <w:sz w:val="16"/>
          <w:szCs w:val="16"/>
          <w:lang w:val="es-US"/>
        </w:rPr>
        <w:t xml:space="preserve">. </w:t>
      </w:r>
      <w:r w:rsidR="00B6596B" w:rsidRPr="00061015">
        <w:rPr>
          <w:rFonts w:asciiTheme="majorHAnsi" w:hAnsiTheme="majorHAnsi" w:cs="Arial"/>
          <w:color w:val="auto"/>
          <w:sz w:val="16"/>
          <w:szCs w:val="16"/>
          <w:lang w:val="es-US"/>
        </w:rPr>
        <w:t xml:space="preserve">Case </w:t>
      </w:r>
      <w:r w:rsidRPr="00061015">
        <w:rPr>
          <w:rFonts w:asciiTheme="majorHAnsi" w:hAnsiTheme="majorHAnsi" w:cs="Arial"/>
          <w:color w:val="auto"/>
          <w:sz w:val="16"/>
          <w:szCs w:val="16"/>
          <w:lang w:val="es-US"/>
        </w:rPr>
        <w:t>Chaparro Álvarez</w:t>
      </w:r>
      <w:r w:rsidR="00B6596B" w:rsidRPr="00061015">
        <w:rPr>
          <w:rFonts w:asciiTheme="majorHAnsi" w:hAnsiTheme="majorHAnsi" w:cs="Arial"/>
          <w:color w:val="auto"/>
          <w:sz w:val="16"/>
          <w:szCs w:val="16"/>
          <w:lang w:val="es-US"/>
        </w:rPr>
        <w:t xml:space="preserve"> and </w:t>
      </w:r>
      <w:r w:rsidRPr="00061015">
        <w:rPr>
          <w:rFonts w:asciiTheme="majorHAnsi" w:hAnsiTheme="majorHAnsi" w:cs="Arial"/>
          <w:color w:val="auto"/>
          <w:sz w:val="16"/>
          <w:szCs w:val="16"/>
          <w:lang w:val="es-US"/>
        </w:rPr>
        <w:t xml:space="preserve">Lapo Íñiguez Vs. Ecuador. </w:t>
      </w:r>
      <w:r w:rsidR="00357129">
        <w:rPr>
          <w:rFonts w:asciiTheme="majorHAnsi" w:hAnsiTheme="majorHAnsi" w:cs="Arial"/>
          <w:color w:val="auto"/>
          <w:sz w:val="16"/>
          <w:szCs w:val="16"/>
        </w:rPr>
        <w:t>Exceptions, Preliminary Exceptions, Merits, Reparations and Costs</w:t>
      </w:r>
      <w:r w:rsidRPr="00A51861">
        <w:rPr>
          <w:rFonts w:asciiTheme="majorHAnsi" w:hAnsiTheme="majorHAnsi" w:cs="Arial"/>
          <w:color w:val="auto"/>
          <w:sz w:val="16"/>
          <w:szCs w:val="16"/>
        </w:rPr>
        <w:t xml:space="preserve">. </w:t>
      </w:r>
      <w:r w:rsidR="004E56A9">
        <w:rPr>
          <w:rFonts w:asciiTheme="majorHAnsi" w:hAnsiTheme="majorHAnsi" w:cs="Arial"/>
          <w:color w:val="auto"/>
          <w:sz w:val="16"/>
          <w:szCs w:val="16"/>
        </w:rPr>
        <w:t>Judgment</w:t>
      </w:r>
      <w:r w:rsidRPr="00A51861">
        <w:rPr>
          <w:rFonts w:asciiTheme="majorHAnsi" w:hAnsiTheme="majorHAnsi" w:cs="Arial"/>
          <w:color w:val="auto"/>
          <w:sz w:val="16"/>
          <w:szCs w:val="16"/>
        </w:rPr>
        <w:t xml:space="preserve"> </w:t>
      </w:r>
      <w:r w:rsidR="00357129">
        <w:rPr>
          <w:rFonts w:asciiTheme="majorHAnsi" w:hAnsiTheme="majorHAnsi" w:cs="Arial"/>
          <w:color w:val="auto"/>
          <w:sz w:val="16"/>
          <w:szCs w:val="16"/>
        </w:rPr>
        <w:t xml:space="preserve">of November 21, </w:t>
      </w:r>
      <w:r w:rsidRPr="00A51861">
        <w:rPr>
          <w:rFonts w:asciiTheme="majorHAnsi" w:hAnsiTheme="majorHAnsi" w:cs="Arial"/>
          <w:color w:val="auto"/>
          <w:sz w:val="16"/>
          <w:szCs w:val="16"/>
        </w:rPr>
        <w:t xml:space="preserve">2007. Serie C No. 170, </w:t>
      </w:r>
      <w:r w:rsidR="00B6596B">
        <w:rPr>
          <w:rFonts w:asciiTheme="majorHAnsi" w:hAnsiTheme="majorHAnsi" w:cs="Arial"/>
          <w:color w:val="auto"/>
          <w:sz w:val="16"/>
          <w:szCs w:val="16"/>
        </w:rPr>
        <w:t>para.</w:t>
      </w:r>
      <w:r w:rsidRPr="00A51861">
        <w:rPr>
          <w:rFonts w:asciiTheme="majorHAnsi" w:hAnsiTheme="majorHAnsi" w:cs="Arial"/>
          <w:color w:val="auto"/>
          <w:sz w:val="16"/>
          <w:szCs w:val="16"/>
        </w:rPr>
        <w:t xml:space="preserve"> 107.</w:t>
      </w:r>
    </w:p>
  </w:footnote>
  <w:footnote w:id="220">
    <w:p w14:paraId="694326E3" w14:textId="5FC16DA6" w:rsidR="00F40E67" w:rsidRPr="00874534" w:rsidRDefault="00F40E67" w:rsidP="0063693D">
      <w:pPr>
        <w:pStyle w:val="FootnoteText"/>
        <w:jc w:val="both"/>
        <w:rPr>
          <w:rFonts w:asciiTheme="majorHAnsi" w:hAnsiTheme="majorHAnsi" w:cs="Arial"/>
          <w:color w:val="auto"/>
          <w:sz w:val="16"/>
          <w:szCs w:val="16"/>
          <w:lang w:val="es-US"/>
        </w:rPr>
      </w:pPr>
      <w:r w:rsidRPr="00A51861">
        <w:rPr>
          <w:rStyle w:val="FootnoteReference"/>
          <w:rFonts w:asciiTheme="majorHAnsi" w:hAnsiTheme="majorHAnsi" w:cs="Arial"/>
          <w:color w:val="auto"/>
          <w:sz w:val="16"/>
          <w:szCs w:val="16"/>
        </w:rPr>
        <w:footnoteRef/>
      </w:r>
      <w:r w:rsidRPr="00A51861">
        <w:rPr>
          <w:rFonts w:asciiTheme="majorHAnsi" w:hAnsiTheme="majorHAnsi" w:cs="Arial"/>
          <w:color w:val="auto"/>
          <w:sz w:val="16"/>
          <w:szCs w:val="16"/>
        </w:rPr>
        <w:t xml:space="preserve"> </w:t>
      </w:r>
      <w:r w:rsidR="00036743">
        <w:rPr>
          <w:rFonts w:asciiTheme="majorHAnsi" w:hAnsiTheme="majorHAnsi" w:cs="Arial"/>
          <w:color w:val="auto"/>
          <w:sz w:val="16"/>
          <w:szCs w:val="16"/>
        </w:rPr>
        <w:t>IHR Court</w:t>
      </w:r>
      <w:r w:rsidRPr="00A51861">
        <w:rPr>
          <w:rFonts w:asciiTheme="majorHAnsi" w:hAnsiTheme="majorHAnsi" w:cs="Arial"/>
          <w:color w:val="auto"/>
          <w:sz w:val="16"/>
          <w:szCs w:val="16"/>
        </w:rPr>
        <w:t xml:space="preserve">. </w:t>
      </w:r>
      <w:r w:rsidR="00B6596B">
        <w:rPr>
          <w:rFonts w:asciiTheme="majorHAnsi" w:hAnsiTheme="majorHAnsi" w:cs="Arial"/>
          <w:color w:val="auto"/>
          <w:sz w:val="16"/>
          <w:szCs w:val="16"/>
        </w:rPr>
        <w:t xml:space="preserve">Case </w:t>
      </w:r>
      <w:r w:rsidRPr="00A51861">
        <w:rPr>
          <w:rFonts w:asciiTheme="majorHAnsi" w:hAnsiTheme="majorHAnsi" w:cs="Arial"/>
          <w:color w:val="auto"/>
          <w:sz w:val="16"/>
          <w:szCs w:val="16"/>
        </w:rPr>
        <w:t>Apitz Barbera</w:t>
      </w:r>
      <w:r w:rsidR="00B6596B">
        <w:rPr>
          <w:rFonts w:asciiTheme="majorHAnsi" w:hAnsiTheme="majorHAnsi" w:cs="Arial"/>
          <w:color w:val="auto"/>
          <w:sz w:val="16"/>
          <w:szCs w:val="16"/>
        </w:rPr>
        <w:t xml:space="preserve"> </w:t>
      </w:r>
      <w:r w:rsidR="00357129">
        <w:rPr>
          <w:rFonts w:asciiTheme="majorHAnsi" w:hAnsiTheme="majorHAnsi" w:cs="Arial"/>
          <w:color w:val="auto"/>
          <w:sz w:val="16"/>
          <w:szCs w:val="16"/>
        </w:rPr>
        <w:t xml:space="preserve">and others </w:t>
      </w:r>
      <w:r w:rsidRPr="00A51861">
        <w:rPr>
          <w:rFonts w:asciiTheme="majorHAnsi" w:hAnsiTheme="majorHAnsi" w:cs="Arial"/>
          <w:color w:val="auto"/>
          <w:sz w:val="16"/>
          <w:szCs w:val="16"/>
        </w:rPr>
        <w:t>(“</w:t>
      </w:r>
      <w:r w:rsidR="00307D49">
        <w:rPr>
          <w:rFonts w:asciiTheme="majorHAnsi" w:hAnsiTheme="majorHAnsi" w:cs="Arial"/>
          <w:color w:val="auto"/>
          <w:sz w:val="16"/>
          <w:szCs w:val="16"/>
        </w:rPr>
        <w:t>First Contentious Administrative Court</w:t>
      </w:r>
      <w:r w:rsidRPr="00A51861">
        <w:rPr>
          <w:rFonts w:asciiTheme="majorHAnsi" w:hAnsiTheme="majorHAnsi" w:cs="Arial"/>
          <w:color w:val="auto"/>
          <w:sz w:val="16"/>
          <w:szCs w:val="16"/>
        </w:rPr>
        <w:t xml:space="preserve">”) Vs. Venezuela. </w:t>
      </w:r>
      <w:r w:rsidR="000010D0">
        <w:rPr>
          <w:rFonts w:asciiTheme="majorHAnsi" w:hAnsiTheme="majorHAnsi" w:cs="Arial"/>
          <w:color w:val="auto"/>
          <w:sz w:val="16"/>
          <w:szCs w:val="16"/>
        </w:rPr>
        <w:t>Preliminary Exception</w:t>
      </w:r>
      <w:r w:rsidRPr="00A51861">
        <w:rPr>
          <w:rFonts w:asciiTheme="majorHAnsi" w:hAnsiTheme="majorHAnsi" w:cs="Arial"/>
          <w:color w:val="auto"/>
          <w:sz w:val="16"/>
          <w:szCs w:val="16"/>
        </w:rPr>
        <w:t xml:space="preserve">, </w:t>
      </w:r>
      <w:r w:rsidR="00B6596B">
        <w:rPr>
          <w:rFonts w:asciiTheme="majorHAnsi" w:hAnsiTheme="majorHAnsi" w:cs="Arial"/>
          <w:color w:val="auto"/>
          <w:sz w:val="16"/>
          <w:szCs w:val="16"/>
        </w:rPr>
        <w:t>Merits</w:t>
      </w:r>
      <w:r w:rsidRPr="00A51861">
        <w:rPr>
          <w:rFonts w:asciiTheme="majorHAnsi" w:hAnsiTheme="majorHAnsi" w:cs="Arial"/>
          <w:color w:val="auto"/>
          <w:sz w:val="16"/>
          <w:szCs w:val="16"/>
        </w:rPr>
        <w:t xml:space="preserve">, </w:t>
      </w:r>
      <w:r w:rsidR="00357129">
        <w:rPr>
          <w:rFonts w:asciiTheme="majorHAnsi" w:hAnsiTheme="majorHAnsi" w:cs="Arial"/>
          <w:color w:val="auto"/>
          <w:sz w:val="16"/>
          <w:szCs w:val="16"/>
        </w:rPr>
        <w:t>Reparations and Costs</w:t>
      </w:r>
      <w:r w:rsidRPr="00A51861">
        <w:rPr>
          <w:rFonts w:asciiTheme="majorHAnsi" w:hAnsiTheme="majorHAnsi" w:cs="Arial"/>
          <w:color w:val="auto"/>
          <w:sz w:val="16"/>
          <w:szCs w:val="16"/>
        </w:rPr>
        <w:t xml:space="preserve">. </w:t>
      </w:r>
      <w:r w:rsidR="004E56A9">
        <w:rPr>
          <w:rFonts w:asciiTheme="majorHAnsi" w:hAnsiTheme="majorHAnsi" w:cs="Arial"/>
          <w:color w:val="auto"/>
          <w:sz w:val="16"/>
          <w:szCs w:val="16"/>
        </w:rPr>
        <w:t>Judgment</w:t>
      </w:r>
      <w:r w:rsidRPr="00A51861">
        <w:rPr>
          <w:rFonts w:asciiTheme="majorHAnsi" w:hAnsiTheme="majorHAnsi" w:cs="Arial"/>
          <w:color w:val="auto"/>
          <w:sz w:val="16"/>
          <w:szCs w:val="16"/>
        </w:rPr>
        <w:t xml:space="preserve"> </w:t>
      </w:r>
      <w:r w:rsidR="00BF5EB0">
        <w:rPr>
          <w:rFonts w:asciiTheme="majorHAnsi" w:hAnsiTheme="majorHAnsi" w:cs="Arial"/>
          <w:color w:val="auto"/>
          <w:sz w:val="16"/>
          <w:szCs w:val="16"/>
        </w:rPr>
        <w:t xml:space="preserve">of August 5, </w:t>
      </w:r>
      <w:r w:rsidRPr="00A51861">
        <w:rPr>
          <w:rFonts w:asciiTheme="majorHAnsi" w:hAnsiTheme="majorHAnsi" w:cs="Arial"/>
          <w:color w:val="auto"/>
          <w:sz w:val="16"/>
          <w:szCs w:val="16"/>
        </w:rPr>
        <w:t xml:space="preserve">2008. </w:t>
      </w:r>
      <w:r w:rsidRPr="00874534">
        <w:rPr>
          <w:rFonts w:asciiTheme="majorHAnsi" w:hAnsiTheme="majorHAnsi" w:cs="Arial"/>
          <w:color w:val="auto"/>
          <w:sz w:val="16"/>
          <w:szCs w:val="16"/>
          <w:lang w:val="es-US"/>
        </w:rPr>
        <w:t xml:space="preserve">Serie C No. 182, </w:t>
      </w:r>
      <w:r w:rsidR="00B6596B" w:rsidRPr="00874534">
        <w:rPr>
          <w:rFonts w:asciiTheme="majorHAnsi" w:hAnsiTheme="majorHAnsi" w:cs="Arial"/>
          <w:color w:val="auto"/>
          <w:sz w:val="16"/>
          <w:szCs w:val="16"/>
          <w:lang w:val="es-US"/>
        </w:rPr>
        <w:t>para.</w:t>
      </w:r>
      <w:r w:rsidRPr="00874534">
        <w:rPr>
          <w:rFonts w:asciiTheme="majorHAnsi" w:hAnsiTheme="majorHAnsi" w:cs="Arial"/>
          <w:color w:val="auto"/>
          <w:sz w:val="16"/>
          <w:szCs w:val="16"/>
          <w:lang w:val="es-US"/>
        </w:rPr>
        <w:t xml:space="preserve"> 77.</w:t>
      </w:r>
    </w:p>
  </w:footnote>
  <w:footnote w:id="221">
    <w:p w14:paraId="5037BCCA" w14:textId="251962D0" w:rsidR="00F40E67" w:rsidRPr="00061015" w:rsidRDefault="00F40E67" w:rsidP="0063693D">
      <w:pPr>
        <w:pStyle w:val="FootnoteText"/>
        <w:jc w:val="both"/>
        <w:rPr>
          <w:rFonts w:asciiTheme="majorHAnsi" w:hAnsiTheme="majorHAnsi" w:cs="Arial"/>
          <w:color w:val="auto"/>
          <w:sz w:val="16"/>
          <w:szCs w:val="16"/>
          <w:lang w:val="es-US"/>
        </w:rPr>
      </w:pPr>
      <w:r w:rsidRPr="00A51861">
        <w:rPr>
          <w:rStyle w:val="FootnoteReference"/>
          <w:rFonts w:asciiTheme="majorHAnsi" w:hAnsiTheme="majorHAnsi" w:cs="Arial"/>
          <w:color w:val="auto"/>
          <w:sz w:val="16"/>
          <w:szCs w:val="16"/>
        </w:rPr>
        <w:footnoteRef/>
      </w:r>
      <w:r w:rsidRPr="00874534">
        <w:rPr>
          <w:rFonts w:asciiTheme="majorHAnsi" w:hAnsiTheme="majorHAnsi" w:cs="Arial"/>
          <w:color w:val="auto"/>
          <w:sz w:val="16"/>
          <w:szCs w:val="16"/>
          <w:lang w:val="es-US"/>
        </w:rPr>
        <w:t xml:space="preserve"> </w:t>
      </w:r>
      <w:r w:rsidR="00036743" w:rsidRPr="00874534">
        <w:rPr>
          <w:rFonts w:asciiTheme="majorHAnsi" w:hAnsiTheme="majorHAnsi" w:cs="Arial"/>
          <w:color w:val="auto"/>
          <w:sz w:val="16"/>
          <w:szCs w:val="16"/>
          <w:lang w:val="es-US"/>
        </w:rPr>
        <w:t>IHR Court</w:t>
      </w:r>
      <w:r w:rsidRPr="00874534">
        <w:rPr>
          <w:rFonts w:asciiTheme="majorHAnsi" w:hAnsiTheme="majorHAnsi" w:cs="Arial"/>
          <w:color w:val="auto"/>
          <w:sz w:val="16"/>
          <w:szCs w:val="16"/>
          <w:lang w:val="es-US"/>
        </w:rPr>
        <w:t xml:space="preserve">. </w:t>
      </w:r>
      <w:r w:rsidR="00B6596B" w:rsidRPr="00874534">
        <w:rPr>
          <w:rFonts w:asciiTheme="majorHAnsi" w:hAnsiTheme="majorHAnsi" w:cs="Arial"/>
          <w:color w:val="auto"/>
          <w:sz w:val="16"/>
          <w:szCs w:val="16"/>
          <w:lang w:val="es-US"/>
        </w:rPr>
        <w:t xml:space="preserve">Case </w:t>
      </w:r>
      <w:r w:rsidRPr="00874534">
        <w:rPr>
          <w:rFonts w:asciiTheme="majorHAnsi" w:hAnsiTheme="majorHAnsi" w:cs="Arial"/>
          <w:color w:val="auto"/>
          <w:sz w:val="16"/>
          <w:szCs w:val="16"/>
          <w:lang w:val="es-US"/>
        </w:rPr>
        <w:t>Chaparro Álvarez</w:t>
      </w:r>
      <w:r w:rsidR="00B6596B" w:rsidRPr="00874534">
        <w:rPr>
          <w:rFonts w:asciiTheme="majorHAnsi" w:hAnsiTheme="majorHAnsi" w:cs="Arial"/>
          <w:color w:val="auto"/>
          <w:sz w:val="16"/>
          <w:szCs w:val="16"/>
          <w:lang w:val="es-US"/>
        </w:rPr>
        <w:t xml:space="preserve"> and </w:t>
      </w:r>
      <w:r w:rsidRPr="00874534">
        <w:rPr>
          <w:rFonts w:asciiTheme="majorHAnsi" w:hAnsiTheme="majorHAnsi" w:cs="Arial"/>
          <w:color w:val="auto"/>
          <w:sz w:val="16"/>
          <w:szCs w:val="16"/>
          <w:lang w:val="es-US"/>
        </w:rPr>
        <w:t xml:space="preserve">Lapo Íñiguez Vs. Ecuador. </w:t>
      </w:r>
      <w:r w:rsidR="00357129">
        <w:rPr>
          <w:rFonts w:asciiTheme="majorHAnsi" w:hAnsiTheme="majorHAnsi" w:cs="Arial"/>
          <w:color w:val="auto"/>
          <w:sz w:val="16"/>
          <w:szCs w:val="16"/>
        </w:rPr>
        <w:t>Exceptions, Preliminary Exceptions, Merits, Reparations and Costs</w:t>
      </w:r>
      <w:r w:rsidRPr="00A51861">
        <w:rPr>
          <w:rFonts w:asciiTheme="majorHAnsi" w:hAnsiTheme="majorHAnsi" w:cs="Arial"/>
          <w:color w:val="auto"/>
          <w:sz w:val="16"/>
          <w:szCs w:val="16"/>
        </w:rPr>
        <w:t xml:space="preserve">. </w:t>
      </w:r>
      <w:r w:rsidR="004E56A9">
        <w:rPr>
          <w:rFonts w:asciiTheme="majorHAnsi" w:hAnsiTheme="majorHAnsi" w:cs="Arial"/>
          <w:color w:val="auto"/>
          <w:sz w:val="16"/>
          <w:szCs w:val="16"/>
        </w:rPr>
        <w:t>Judgment</w:t>
      </w:r>
      <w:r w:rsidRPr="00A51861">
        <w:rPr>
          <w:rFonts w:asciiTheme="majorHAnsi" w:hAnsiTheme="majorHAnsi" w:cs="Arial"/>
          <w:color w:val="auto"/>
          <w:sz w:val="16"/>
          <w:szCs w:val="16"/>
        </w:rPr>
        <w:t xml:space="preserve"> </w:t>
      </w:r>
      <w:r w:rsidR="00357129">
        <w:rPr>
          <w:rFonts w:asciiTheme="majorHAnsi" w:hAnsiTheme="majorHAnsi" w:cs="Arial"/>
          <w:color w:val="auto"/>
          <w:sz w:val="16"/>
          <w:szCs w:val="16"/>
        </w:rPr>
        <w:t xml:space="preserve">of November 21, </w:t>
      </w:r>
      <w:r w:rsidRPr="00A51861">
        <w:rPr>
          <w:rFonts w:asciiTheme="majorHAnsi" w:hAnsiTheme="majorHAnsi" w:cs="Arial"/>
          <w:color w:val="auto"/>
          <w:sz w:val="16"/>
          <w:szCs w:val="16"/>
        </w:rPr>
        <w:t xml:space="preserve">2007. </w:t>
      </w:r>
      <w:r w:rsidRPr="00061015">
        <w:rPr>
          <w:rFonts w:asciiTheme="majorHAnsi" w:hAnsiTheme="majorHAnsi" w:cs="Arial"/>
          <w:color w:val="auto"/>
          <w:sz w:val="16"/>
          <w:szCs w:val="16"/>
          <w:lang w:val="es-US"/>
        </w:rPr>
        <w:t xml:space="preserve">Serie C No. 170, </w:t>
      </w:r>
      <w:r w:rsidR="00B6596B" w:rsidRPr="00061015">
        <w:rPr>
          <w:rFonts w:asciiTheme="majorHAnsi" w:hAnsiTheme="majorHAnsi" w:cs="Arial"/>
          <w:color w:val="auto"/>
          <w:sz w:val="16"/>
          <w:szCs w:val="16"/>
          <w:lang w:val="es-US"/>
        </w:rPr>
        <w:t>para.</w:t>
      </w:r>
      <w:r w:rsidRPr="00061015">
        <w:rPr>
          <w:rFonts w:asciiTheme="majorHAnsi" w:hAnsiTheme="majorHAnsi" w:cs="Arial"/>
          <w:color w:val="auto"/>
          <w:sz w:val="16"/>
          <w:szCs w:val="16"/>
          <w:lang w:val="es-US"/>
        </w:rPr>
        <w:t xml:space="preserve"> 107.</w:t>
      </w:r>
    </w:p>
  </w:footnote>
  <w:footnote w:id="222">
    <w:p w14:paraId="0552618F" w14:textId="28026179" w:rsidR="00F40E67" w:rsidRPr="00A51861" w:rsidRDefault="00F40E67" w:rsidP="0063693D">
      <w:pPr>
        <w:pStyle w:val="FootnoteText"/>
        <w:jc w:val="both"/>
        <w:rPr>
          <w:rFonts w:asciiTheme="majorHAnsi" w:hAnsiTheme="majorHAnsi" w:cs="Arial"/>
          <w:color w:val="auto"/>
          <w:sz w:val="16"/>
          <w:szCs w:val="16"/>
        </w:rPr>
      </w:pPr>
      <w:r w:rsidRPr="00A51861">
        <w:rPr>
          <w:rStyle w:val="FootnoteReference"/>
          <w:rFonts w:asciiTheme="majorHAnsi" w:hAnsiTheme="majorHAnsi" w:cs="Arial"/>
          <w:color w:val="auto"/>
          <w:sz w:val="16"/>
          <w:szCs w:val="16"/>
        </w:rPr>
        <w:footnoteRef/>
      </w:r>
      <w:r w:rsidRPr="00061015">
        <w:rPr>
          <w:rFonts w:asciiTheme="majorHAnsi" w:hAnsiTheme="majorHAnsi" w:cs="Arial"/>
          <w:color w:val="auto"/>
          <w:sz w:val="16"/>
          <w:szCs w:val="16"/>
          <w:lang w:val="es-US"/>
        </w:rPr>
        <w:t xml:space="preserve"> </w:t>
      </w:r>
      <w:r w:rsidR="00036743" w:rsidRPr="00061015">
        <w:rPr>
          <w:rFonts w:asciiTheme="majorHAnsi" w:hAnsiTheme="majorHAnsi" w:cs="Arial"/>
          <w:color w:val="auto"/>
          <w:sz w:val="16"/>
          <w:szCs w:val="16"/>
          <w:lang w:val="es-US"/>
        </w:rPr>
        <w:t>IHR Court</w:t>
      </w:r>
      <w:r w:rsidRPr="00061015">
        <w:rPr>
          <w:rFonts w:asciiTheme="majorHAnsi" w:hAnsiTheme="majorHAnsi" w:cs="Arial"/>
          <w:color w:val="auto"/>
          <w:sz w:val="16"/>
          <w:szCs w:val="16"/>
          <w:lang w:val="es-US"/>
        </w:rPr>
        <w:t xml:space="preserve">. </w:t>
      </w:r>
      <w:r w:rsidR="00B6596B" w:rsidRPr="00061015">
        <w:rPr>
          <w:rFonts w:asciiTheme="majorHAnsi" w:hAnsiTheme="majorHAnsi" w:cs="Arial"/>
          <w:color w:val="auto"/>
          <w:sz w:val="16"/>
          <w:szCs w:val="16"/>
          <w:lang w:val="es-US"/>
        </w:rPr>
        <w:t xml:space="preserve">Case </w:t>
      </w:r>
      <w:r w:rsidRPr="00061015">
        <w:rPr>
          <w:rFonts w:asciiTheme="majorHAnsi" w:hAnsiTheme="majorHAnsi" w:cs="Arial"/>
          <w:color w:val="auto"/>
          <w:sz w:val="16"/>
          <w:szCs w:val="16"/>
          <w:lang w:val="es-US"/>
        </w:rPr>
        <w:t xml:space="preserve">Chocrón Chocrón Vs. Venezuela. </w:t>
      </w:r>
      <w:r w:rsidR="000010D0">
        <w:rPr>
          <w:rFonts w:asciiTheme="majorHAnsi" w:hAnsiTheme="majorHAnsi" w:cs="Arial"/>
          <w:color w:val="auto"/>
          <w:sz w:val="16"/>
          <w:szCs w:val="16"/>
        </w:rPr>
        <w:t>Preliminary Exception</w:t>
      </w:r>
      <w:r w:rsidRPr="00A51861">
        <w:rPr>
          <w:rFonts w:asciiTheme="majorHAnsi" w:hAnsiTheme="majorHAnsi" w:cs="Arial"/>
          <w:color w:val="auto"/>
          <w:sz w:val="16"/>
          <w:szCs w:val="16"/>
        </w:rPr>
        <w:t xml:space="preserve">, </w:t>
      </w:r>
      <w:r w:rsidR="00B6596B">
        <w:rPr>
          <w:rFonts w:asciiTheme="majorHAnsi" w:hAnsiTheme="majorHAnsi" w:cs="Arial"/>
          <w:color w:val="auto"/>
          <w:sz w:val="16"/>
          <w:szCs w:val="16"/>
        </w:rPr>
        <w:t>Merits</w:t>
      </w:r>
      <w:r w:rsidRPr="00A51861">
        <w:rPr>
          <w:rFonts w:asciiTheme="majorHAnsi" w:hAnsiTheme="majorHAnsi" w:cs="Arial"/>
          <w:color w:val="auto"/>
          <w:sz w:val="16"/>
          <w:szCs w:val="16"/>
        </w:rPr>
        <w:t xml:space="preserve">, </w:t>
      </w:r>
      <w:r w:rsidR="00357129">
        <w:rPr>
          <w:rFonts w:asciiTheme="majorHAnsi" w:hAnsiTheme="majorHAnsi" w:cs="Arial"/>
          <w:color w:val="auto"/>
          <w:sz w:val="16"/>
          <w:szCs w:val="16"/>
        </w:rPr>
        <w:t>Reparations and Costs</w:t>
      </w:r>
      <w:r w:rsidRPr="00A51861">
        <w:rPr>
          <w:rFonts w:asciiTheme="majorHAnsi" w:hAnsiTheme="majorHAnsi" w:cs="Arial"/>
          <w:color w:val="auto"/>
          <w:sz w:val="16"/>
          <w:szCs w:val="16"/>
        </w:rPr>
        <w:t xml:space="preserve">. </w:t>
      </w:r>
      <w:r w:rsidR="004E56A9">
        <w:rPr>
          <w:rFonts w:asciiTheme="majorHAnsi" w:hAnsiTheme="majorHAnsi" w:cs="Arial"/>
          <w:color w:val="auto"/>
          <w:sz w:val="16"/>
          <w:szCs w:val="16"/>
        </w:rPr>
        <w:t>Judgment</w:t>
      </w:r>
      <w:r w:rsidRPr="00A51861">
        <w:rPr>
          <w:rFonts w:asciiTheme="majorHAnsi" w:hAnsiTheme="majorHAnsi" w:cs="Arial"/>
          <w:color w:val="auto"/>
          <w:sz w:val="16"/>
          <w:szCs w:val="16"/>
        </w:rPr>
        <w:t xml:space="preserve"> </w:t>
      </w:r>
      <w:r w:rsidR="00BF5EB0">
        <w:rPr>
          <w:rFonts w:asciiTheme="majorHAnsi" w:hAnsiTheme="majorHAnsi" w:cs="Arial"/>
          <w:color w:val="auto"/>
          <w:sz w:val="16"/>
          <w:szCs w:val="16"/>
        </w:rPr>
        <w:t xml:space="preserve">of June 1, </w:t>
      </w:r>
      <w:r w:rsidRPr="00A51861">
        <w:rPr>
          <w:rFonts w:asciiTheme="majorHAnsi" w:hAnsiTheme="majorHAnsi" w:cs="Arial"/>
          <w:color w:val="auto"/>
          <w:sz w:val="16"/>
          <w:szCs w:val="16"/>
        </w:rPr>
        <w:t xml:space="preserve">2011. Serie C No. 227. </w:t>
      </w:r>
      <w:r w:rsidR="00357129">
        <w:rPr>
          <w:rFonts w:asciiTheme="majorHAnsi" w:hAnsiTheme="majorHAnsi" w:cs="Arial"/>
          <w:color w:val="auto"/>
          <w:sz w:val="16"/>
          <w:szCs w:val="16"/>
        </w:rPr>
        <w:t xml:space="preserve">Para. </w:t>
      </w:r>
      <w:r w:rsidRPr="00A51861">
        <w:rPr>
          <w:rFonts w:asciiTheme="majorHAnsi" w:hAnsiTheme="majorHAnsi" w:cs="Arial"/>
          <w:color w:val="auto"/>
          <w:sz w:val="16"/>
          <w:szCs w:val="16"/>
        </w:rPr>
        <w:t>117.</w:t>
      </w:r>
    </w:p>
  </w:footnote>
  <w:footnote w:id="223">
    <w:p w14:paraId="44756C10" w14:textId="27D5F55C" w:rsidR="00F40E67" w:rsidRPr="00A51861" w:rsidRDefault="00F40E67" w:rsidP="0063693D">
      <w:pPr>
        <w:pStyle w:val="FootnoteText"/>
        <w:jc w:val="both"/>
        <w:rPr>
          <w:rFonts w:asciiTheme="majorHAnsi" w:hAnsiTheme="majorHAnsi" w:cs="Arial"/>
          <w:color w:val="auto"/>
          <w:sz w:val="16"/>
          <w:szCs w:val="16"/>
        </w:rPr>
      </w:pPr>
      <w:r w:rsidRPr="00A51861">
        <w:rPr>
          <w:rStyle w:val="FootnoteReference"/>
          <w:rFonts w:asciiTheme="majorHAnsi" w:hAnsiTheme="majorHAnsi" w:cs="Arial"/>
          <w:color w:val="auto"/>
          <w:sz w:val="16"/>
          <w:szCs w:val="16"/>
        </w:rPr>
        <w:footnoteRef/>
      </w:r>
      <w:r w:rsidRPr="00A51861">
        <w:rPr>
          <w:rFonts w:asciiTheme="majorHAnsi" w:hAnsiTheme="majorHAnsi" w:cs="Arial"/>
          <w:color w:val="auto"/>
          <w:sz w:val="16"/>
          <w:szCs w:val="16"/>
        </w:rPr>
        <w:t xml:space="preserve"> </w:t>
      </w:r>
      <w:r w:rsidR="00036743">
        <w:rPr>
          <w:rFonts w:asciiTheme="majorHAnsi" w:hAnsiTheme="majorHAnsi" w:cs="Arial"/>
          <w:color w:val="auto"/>
          <w:sz w:val="16"/>
          <w:szCs w:val="16"/>
        </w:rPr>
        <w:t>IHR Court</w:t>
      </w:r>
      <w:r w:rsidRPr="00A51861">
        <w:rPr>
          <w:rFonts w:asciiTheme="majorHAnsi" w:hAnsiTheme="majorHAnsi" w:cs="Arial"/>
          <w:color w:val="auto"/>
          <w:sz w:val="16"/>
          <w:szCs w:val="16"/>
        </w:rPr>
        <w:t xml:space="preserve">. </w:t>
      </w:r>
      <w:r w:rsidR="00B6596B">
        <w:rPr>
          <w:rFonts w:asciiTheme="majorHAnsi" w:hAnsiTheme="majorHAnsi" w:cs="Arial"/>
          <w:color w:val="auto"/>
          <w:sz w:val="16"/>
          <w:szCs w:val="16"/>
        </w:rPr>
        <w:t xml:space="preserve">Case </w:t>
      </w:r>
      <w:r w:rsidRPr="00A51861">
        <w:rPr>
          <w:rFonts w:asciiTheme="majorHAnsi" w:hAnsiTheme="majorHAnsi" w:cs="Arial"/>
          <w:color w:val="auto"/>
          <w:sz w:val="16"/>
          <w:szCs w:val="16"/>
        </w:rPr>
        <w:t xml:space="preserve">Flor Freire Vs. Ecuador. </w:t>
      </w:r>
      <w:r w:rsidR="000010D0">
        <w:rPr>
          <w:rFonts w:asciiTheme="majorHAnsi" w:hAnsiTheme="majorHAnsi" w:cs="Arial"/>
          <w:color w:val="auto"/>
          <w:sz w:val="16"/>
          <w:szCs w:val="16"/>
        </w:rPr>
        <w:t>Preliminary Exception</w:t>
      </w:r>
      <w:r w:rsidRPr="00A51861">
        <w:rPr>
          <w:rFonts w:asciiTheme="majorHAnsi" w:hAnsiTheme="majorHAnsi" w:cs="Arial"/>
          <w:color w:val="auto"/>
          <w:sz w:val="16"/>
          <w:szCs w:val="16"/>
        </w:rPr>
        <w:t xml:space="preserve">, </w:t>
      </w:r>
      <w:r w:rsidR="00B6596B">
        <w:rPr>
          <w:rFonts w:asciiTheme="majorHAnsi" w:hAnsiTheme="majorHAnsi" w:cs="Arial"/>
          <w:color w:val="auto"/>
          <w:sz w:val="16"/>
          <w:szCs w:val="16"/>
        </w:rPr>
        <w:t>Merits</w:t>
      </w:r>
      <w:r w:rsidRPr="00A51861">
        <w:rPr>
          <w:rFonts w:asciiTheme="majorHAnsi" w:hAnsiTheme="majorHAnsi" w:cs="Arial"/>
          <w:color w:val="auto"/>
          <w:sz w:val="16"/>
          <w:szCs w:val="16"/>
        </w:rPr>
        <w:t xml:space="preserve">, </w:t>
      </w:r>
      <w:r w:rsidR="00357129">
        <w:rPr>
          <w:rFonts w:asciiTheme="majorHAnsi" w:hAnsiTheme="majorHAnsi" w:cs="Arial"/>
          <w:color w:val="auto"/>
          <w:sz w:val="16"/>
          <w:szCs w:val="16"/>
        </w:rPr>
        <w:t>Reparations and Costs</w:t>
      </w:r>
      <w:r w:rsidRPr="00A51861">
        <w:rPr>
          <w:rFonts w:asciiTheme="majorHAnsi" w:hAnsiTheme="majorHAnsi" w:cs="Arial"/>
          <w:color w:val="auto"/>
          <w:sz w:val="16"/>
          <w:szCs w:val="16"/>
        </w:rPr>
        <w:t xml:space="preserve">. </w:t>
      </w:r>
      <w:r w:rsidR="004E56A9">
        <w:rPr>
          <w:rFonts w:asciiTheme="majorHAnsi" w:hAnsiTheme="majorHAnsi" w:cs="Arial"/>
          <w:color w:val="auto"/>
          <w:sz w:val="16"/>
          <w:szCs w:val="16"/>
        </w:rPr>
        <w:t>Judgment</w:t>
      </w:r>
      <w:r w:rsidRPr="00A51861">
        <w:rPr>
          <w:rFonts w:asciiTheme="majorHAnsi" w:hAnsiTheme="majorHAnsi" w:cs="Arial"/>
          <w:color w:val="auto"/>
          <w:sz w:val="16"/>
          <w:szCs w:val="16"/>
        </w:rPr>
        <w:t xml:space="preserve"> </w:t>
      </w:r>
      <w:r w:rsidR="00357129">
        <w:rPr>
          <w:rFonts w:asciiTheme="majorHAnsi" w:hAnsiTheme="majorHAnsi" w:cs="Arial"/>
          <w:color w:val="auto"/>
          <w:sz w:val="16"/>
          <w:szCs w:val="16"/>
        </w:rPr>
        <w:t xml:space="preserve">of August 31, </w:t>
      </w:r>
      <w:r w:rsidRPr="00A51861">
        <w:rPr>
          <w:rFonts w:asciiTheme="majorHAnsi" w:hAnsiTheme="majorHAnsi" w:cs="Arial"/>
          <w:color w:val="auto"/>
          <w:sz w:val="16"/>
          <w:szCs w:val="16"/>
        </w:rPr>
        <w:t>2016. Serie C No. 315.</w:t>
      </w:r>
    </w:p>
  </w:footnote>
  <w:footnote w:id="224">
    <w:p w14:paraId="67BF75BB" w14:textId="0C73FF96" w:rsidR="00F40E67" w:rsidRPr="00A51861" w:rsidRDefault="00F40E67" w:rsidP="0063693D">
      <w:pPr>
        <w:pStyle w:val="FootnoteText"/>
        <w:jc w:val="both"/>
        <w:rPr>
          <w:rFonts w:asciiTheme="majorHAnsi" w:hAnsiTheme="majorHAnsi" w:cs="Arial"/>
          <w:color w:val="auto"/>
          <w:sz w:val="16"/>
          <w:szCs w:val="16"/>
        </w:rPr>
      </w:pPr>
      <w:r w:rsidRPr="00A51861">
        <w:rPr>
          <w:rStyle w:val="FootnoteReference"/>
          <w:rFonts w:asciiTheme="majorHAnsi" w:hAnsiTheme="majorHAnsi" w:cs="Arial"/>
          <w:color w:val="auto"/>
          <w:sz w:val="16"/>
          <w:szCs w:val="16"/>
        </w:rPr>
        <w:footnoteRef/>
      </w:r>
      <w:r w:rsidRPr="00A51861">
        <w:rPr>
          <w:rFonts w:asciiTheme="majorHAnsi" w:hAnsiTheme="majorHAnsi" w:cs="Arial"/>
          <w:color w:val="auto"/>
          <w:sz w:val="16"/>
          <w:szCs w:val="16"/>
        </w:rPr>
        <w:t xml:space="preserve"> </w:t>
      </w:r>
      <w:r w:rsidR="00036743">
        <w:rPr>
          <w:rFonts w:asciiTheme="majorHAnsi" w:hAnsiTheme="majorHAnsi" w:cs="Arial"/>
          <w:color w:val="auto"/>
          <w:sz w:val="16"/>
          <w:szCs w:val="16"/>
        </w:rPr>
        <w:t>IHR Court</w:t>
      </w:r>
      <w:r w:rsidRPr="00A51861">
        <w:rPr>
          <w:rFonts w:asciiTheme="majorHAnsi" w:hAnsiTheme="majorHAnsi" w:cs="Arial"/>
          <w:color w:val="auto"/>
          <w:sz w:val="16"/>
          <w:szCs w:val="16"/>
        </w:rPr>
        <w:t xml:space="preserve">. </w:t>
      </w:r>
      <w:r w:rsidR="00775F21">
        <w:rPr>
          <w:rFonts w:asciiTheme="majorHAnsi" w:hAnsiTheme="majorHAnsi" w:cs="Arial"/>
          <w:color w:val="auto"/>
          <w:sz w:val="16"/>
          <w:szCs w:val="16"/>
        </w:rPr>
        <w:t xml:space="preserve">Case of Maldonado </w:t>
      </w:r>
      <w:r w:rsidRPr="00A51861">
        <w:rPr>
          <w:rFonts w:asciiTheme="majorHAnsi" w:hAnsiTheme="majorHAnsi" w:cs="Arial"/>
          <w:color w:val="auto"/>
          <w:sz w:val="16"/>
          <w:szCs w:val="16"/>
        </w:rPr>
        <w:t xml:space="preserve">Ordóñez Vs. Guatemala. </w:t>
      </w:r>
      <w:r w:rsidR="000010D0">
        <w:rPr>
          <w:rFonts w:asciiTheme="majorHAnsi" w:hAnsiTheme="majorHAnsi" w:cs="Arial"/>
          <w:color w:val="auto"/>
          <w:sz w:val="16"/>
          <w:szCs w:val="16"/>
        </w:rPr>
        <w:t>Preliminary Exception</w:t>
      </w:r>
      <w:r w:rsidRPr="00A51861">
        <w:rPr>
          <w:rFonts w:asciiTheme="majorHAnsi" w:hAnsiTheme="majorHAnsi" w:cs="Arial"/>
          <w:color w:val="auto"/>
          <w:sz w:val="16"/>
          <w:szCs w:val="16"/>
        </w:rPr>
        <w:t xml:space="preserve">, </w:t>
      </w:r>
      <w:r w:rsidR="00B6596B">
        <w:rPr>
          <w:rFonts w:asciiTheme="majorHAnsi" w:hAnsiTheme="majorHAnsi" w:cs="Arial"/>
          <w:color w:val="auto"/>
          <w:sz w:val="16"/>
          <w:szCs w:val="16"/>
        </w:rPr>
        <w:t>Merits</w:t>
      </w:r>
      <w:r w:rsidRPr="00A51861">
        <w:rPr>
          <w:rFonts w:asciiTheme="majorHAnsi" w:hAnsiTheme="majorHAnsi" w:cs="Arial"/>
          <w:color w:val="auto"/>
          <w:sz w:val="16"/>
          <w:szCs w:val="16"/>
        </w:rPr>
        <w:t xml:space="preserve">, </w:t>
      </w:r>
      <w:r w:rsidR="00357129">
        <w:rPr>
          <w:rFonts w:asciiTheme="majorHAnsi" w:hAnsiTheme="majorHAnsi" w:cs="Arial"/>
          <w:color w:val="auto"/>
          <w:sz w:val="16"/>
          <w:szCs w:val="16"/>
        </w:rPr>
        <w:t>Reparations and Costs</w:t>
      </w:r>
      <w:r w:rsidRPr="00A51861">
        <w:rPr>
          <w:rFonts w:asciiTheme="majorHAnsi" w:hAnsiTheme="majorHAnsi" w:cs="Arial"/>
          <w:color w:val="auto"/>
          <w:sz w:val="16"/>
          <w:szCs w:val="16"/>
        </w:rPr>
        <w:t xml:space="preserve">. </w:t>
      </w:r>
      <w:r w:rsidR="004E56A9">
        <w:rPr>
          <w:rFonts w:asciiTheme="majorHAnsi" w:hAnsiTheme="majorHAnsi" w:cs="Arial"/>
          <w:color w:val="auto"/>
          <w:sz w:val="16"/>
          <w:szCs w:val="16"/>
        </w:rPr>
        <w:t>Judgment</w:t>
      </w:r>
      <w:r w:rsidRPr="00A51861">
        <w:rPr>
          <w:rFonts w:asciiTheme="majorHAnsi" w:hAnsiTheme="majorHAnsi" w:cs="Arial"/>
          <w:color w:val="auto"/>
          <w:sz w:val="16"/>
          <w:szCs w:val="16"/>
        </w:rPr>
        <w:t xml:space="preserve"> </w:t>
      </w:r>
      <w:r w:rsidR="00BF5EB0">
        <w:rPr>
          <w:rFonts w:asciiTheme="majorHAnsi" w:hAnsiTheme="majorHAnsi" w:cs="Arial"/>
          <w:color w:val="auto"/>
          <w:sz w:val="16"/>
          <w:szCs w:val="16"/>
        </w:rPr>
        <w:t xml:space="preserve">May 3, </w:t>
      </w:r>
      <w:r w:rsidRPr="00A51861">
        <w:rPr>
          <w:rFonts w:asciiTheme="majorHAnsi" w:hAnsiTheme="majorHAnsi" w:cs="Arial"/>
          <w:color w:val="auto"/>
          <w:sz w:val="16"/>
          <w:szCs w:val="16"/>
        </w:rPr>
        <w:t xml:space="preserve">2016. Serie C No. 311. </w:t>
      </w:r>
      <w:r w:rsidR="00357129">
        <w:rPr>
          <w:rFonts w:asciiTheme="majorHAnsi" w:hAnsiTheme="majorHAnsi" w:cs="Arial"/>
          <w:color w:val="auto"/>
          <w:sz w:val="16"/>
          <w:szCs w:val="16"/>
        </w:rPr>
        <w:t xml:space="preserve">Para. </w:t>
      </w:r>
      <w:r w:rsidRPr="00A51861">
        <w:rPr>
          <w:rFonts w:asciiTheme="majorHAnsi" w:hAnsiTheme="majorHAnsi" w:cs="Arial"/>
          <w:color w:val="auto"/>
          <w:sz w:val="16"/>
          <w:szCs w:val="16"/>
        </w:rPr>
        <w:t>108.</w:t>
      </w:r>
    </w:p>
  </w:footnote>
  <w:footnote w:id="225">
    <w:p w14:paraId="3714718F" w14:textId="3A5554F0" w:rsidR="00F40E67" w:rsidRPr="00A51861" w:rsidRDefault="00F40E67" w:rsidP="0063693D">
      <w:pPr>
        <w:pStyle w:val="FootnoteText"/>
        <w:jc w:val="both"/>
        <w:rPr>
          <w:rFonts w:asciiTheme="majorHAnsi" w:hAnsiTheme="majorHAnsi" w:cs="Arial"/>
          <w:color w:val="auto"/>
          <w:sz w:val="16"/>
          <w:szCs w:val="16"/>
        </w:rPr>
      </w:pPr>
      <w:r w:rsidRPr="00A51861">
        <w:rPr>
          <w:rStyle w:val="FootnoteReference"/>
          <w:rFonts w:asciiTheme="majorHAnsi" w:hAnsiTheme="majorHAnsi" w:cs="Arial"/>
          <w:color w:val="auto"/>
          <w:sz w:val="16"/>
          <w:szCs w:val="16"/>
        </w:rPr>
        <w:footnoteRef/>
      </w:r>
      <w:r w:rsidRPr="00A51861">
        <w:rPr>
          <w:rFonts w:asciiTheme="majorHAnsi" w:hAnsiTheme="majorHAnsi" w:cs="Arial"/>
          <w:color w:val="auto"/>
          <w:sz w:val="16"/>
          <w:szCs w:val="16"/>
        </w:rPr>
        <w:t xml:space="preserve"> </w:t>
      </w:r>
      <w:r w:rsidR="00036743">
        <w:rPr>
          <w:rFonts w:asciiTheme="majorHAnsi" w:hAnsiTheme="majorHAnsi" w:cs="Arial"/>
          <w:color w:val="auto"/>
          <w:sz w:val="16"/>
          <w:szCs w:val="16"/>
        </w:rPr>
        <w:t>IHR Court</w:t>
      </w:r>
      <w:r w:rsidRPr="00A51861">
        <w:rPr>
          <w:rFonts w:asciiTheme="majorHAnsi" w:hAnsiTheme="majorHAnsi" w:cs="Arial"/>
          <w:color w:val="auto"/>
          <w:sz w:val="16"/>
          <w:szCs w:val="16"/>
        </w:rPr>
        <w:t xml:space="preserve">. </w:t>
      </w:r>
      <w:r w:rsidR="00B6596B">
        <w:rPr>
          <w:rFonts w:asciiTheme="majorHAnsi" w:hAnsiTheme="majorHAnsi" w:cs="Arial"/>
          <w:color w:val="auto"/>
          <w:sz w:val="16"/>
          <w:szCs w:val="16"/>
        </w:rPr>
        <w:t xml:space="preserve">Case </w:t>
      </w:r>
      <w:r w:rsidR="00775F21">
        <w:rPr>
          <w:rFonts w:asciiTheme="majorHAnsi" w:hAnsiTheme="majorHAnsi" w:cs="Arial"/>
          <w:color w:val="auto"/>
          <w:sz w:val="16"/>
          <w:szCs w:val="16"/>
        </w:rPr>
        <w:t xml:space="preserve">of </w:t>
      </w:r>
      <w:r w:rsidRPr="00A51861">
        <w:rPr>
          <w:rFonts w:asciiTheme="majorHAnsi" w:hAnsiTheme="majorHAnsi" w:cs="Arial"/>
          <w:color w:val="auto"/>
          <w:sz w:val="16"/>
          <w:szCs w:val="16"/>
        </w:rPr>
        <w:t xml:space="preserve">Usón Ramírez Vs. Venezuela. </w:t>
      </w:r>
      <w:r w:rsidR="000010D0">
        <w:rPr>
          <w:rFonts w:asciiTheme="majorHAnsi" w:hAnsiTheme="majorHAnsi" w:cs="Arial"/>
          <w:color w:val="auto"/>
          <w:sz w:val="16"/>
          <w:szCs w:val="16"/>
        </w:rPr>
        <w:t>Preliminary Exception</w:t>
      </w:r>
      <w:r w:rsidRPr="00A51861">
        <w:rPr>
          <w:rFonts w:asciiTheme="majorHAnsi" w:hAnsiTheme="majorHAnsi" w:cs="Arial"/>
          <w:color w:val="auto"/>
          <w:sz w:val="16"/>
          <w:szCs w:val="16"/>
        </w:rPr>
        <w:t xml:space="preserve">, </w:t>
      </w:r>
      <w:r w:rsidR="00B6596B">
        <w:rPr>
          <w:rFonts w:asciiTheme="majorHAnsi" w:hAnsiTheme="majorHAnsi" w:cs="Arial"/>
          <w:color w:val="auto"/>
          <w:sz w:val="16"/>
          <w:szCs w:val="16"/>
        </w:rPr>
        <w:t>Merits</w:t>
      </w:r>
      <w:r w:rsidRPr="00A51861">
        <w:rPr>
          <w:rFonts w:asciiTheme="majorHAnsi" w:hAnsiTheme="majorHAnsi" w:cs="Arial"/>
          <w:color w:val="auto"/>
          <w:sz w:val="16"/>
          <w:szCs w:val="16"/>
        </w:rPr>
        <w:t xml:space="preserve">, </w:t>
      </w:r>
      <w:r w:rsidR="00357129">
        <w:rPr>
          <w:rFonts w:asciiTheme="majorHAnsi" w:hAnsiTheme="majorHAnsi" w:cs="Arial"/>
          <w:color w:val="auto"/>
          <w:sz w:val="16"/>
          <w:szCs w:val="16"/>
        </w:rPr>
        <w:t>Reparations and Costs</w:t>
      </w:r>
      <w:r w:rsidRPr="00A51861">
        <w:rPr>
          <w:rFonts w:asciiTheme="majorHAnsi" w:hAnsiTheme="majorHAnsi" w:cs="Arial"/>
          <w:color w:val="auto"/>
          <w:sz w:val="16"/>
          <w:szCs w:val="16"/>
        </w:rPr>
        <w:t xml:space="preserve">. </w:t>
      </w:r>
      <w:r w:rsidR="004E56A9">
        <w:rPr>
          <w:rFonts w:asciiTheme="majorHAnsi" w:hAnsiTheme="majorHAnsi" w:cs="Arial"/>
          <w:color w:val="auto"/>
          <w:sz w:val="16"/>
          <w:szCs w:val="16"/>
        </w:rPr>
        <w:t>Judgment</w:t>
      </w:r>
      <w:r w:rsidRPr="00A51861">
        <w:rPr>
          <w:rFonts w:asciiTheme="majorHAnsi" w:hAnsiTheme="majorHAnsi" w:cs="Arial"/>
          <w:color w:val="auto"/>
          <w:sz w:val="16"/>
          <w:szCs w:val="16"/>
        </w:rPr>
        <w:t xml:space="preserve"> </w:t>
      </w:r>
      <w:r w:rsidR="00541904">
        <w:rPr>
          <w:rFonts w:asciiTheme="majorHAnsi" w:hAnsiTheme="majorHAnsi" w:cs="Arial"/>
          <w:color w:val="auto"/>
          <w:sz w:val="16"/>
          <w:szCs w:val="16"/>
        </w:rPr>
        <w:t xml:space="preserve">of November 20, </w:t>
      </w:r>
      <w:r w:rsidRPr="00A51861">
        <w:rPr>
          <w:rFonts w:asciiTheme="majorHAnsi" w:hAnsiTheme="majorHAnsi" w:cs="Arial"/>
          <w:color w:val="auto"/>
          <w:sz w:val="16"/>
          <w:szCs w:val="16"/>
        </w:rPr>
        <w:t xml:space="preserve">2009. Serie C No. 207, parr. 129; </w:t>
      </w:r>
      <w:r w:rsidR="00B6596B">
        <w:rPr>
          <w:rFonts w:asciiTheme="majorHAnsi" w:hAnsiTheme="majorHAnsi" w:cs="Arial"/>
          <w:color w:val="auto"/>
          <w:sz w:val="16"/>
          <w:szCs w:val="16"/>
        </w:rPr>
        <w:t xml:space="preserve">Case </w:t>
      </w:r>
      <w:r w:rsidRPr="00A51861">
        <w:rPr>
          <w:rFonts w:asciiTheme="majorHAnsi" w:hAnsiTheme="majorHAnsi" w:cs="Arial"/>
          <w:color w:val="auto"/>
          <w:sz w:val="16"/>
          <w:szCs w:val="16"/>
        </w:rPr>
        <w:t>Claude Reyes</w:t>
      </w:r>
      <w:r w:rsidR="00B6596B">
        <w:rPr>
          <w:rFonts w:asciiTheme="majorHAnsi" w:hAnsiTheme="majorHAnsi" w:cs="Arial"/>
          <w:color w:val="auto"/>
          <w:sz w:val="16"/>
          <w:szCs w:val="16"/>
        </w:rPr>
        <w:t xml:space="preserve"> </w:t>
      </w:r>
      <w:r w:rsidR="00357129">
        <w:rPr>
          <w:rFonts w:asciiTheme="majorHAnsi" w:hAnsiTheme="majorHAnsi" w:cs="Arial"/>
          <w:color w:val="auto"/>
          <w:sz w:val="16"/>
          <w:szCs w:val="16"/>
        </w:rPr>
        <w:t xml:space="preserve">and others </w:t>
      </w:r>
      <w:r w:rsidRPr="00A51861">
        <w:rPr>
          <w:rFonts w:asciiTheme="majorHAnsi" w:hAnsiTheme="majorHAnsi" w:cs="Arial"/>
          <w:color w:val="auto"/>
          <w:sz w:val="16"/>
          <w:szCs w:val="16"/>
        </w:rPr>
        <w:t xml:space="preserve">Vs. Chile. </w:t>
      </w:r>
      <w:r w:rsidR="00B6596B">
        <w:rPr>
          <w:rFonts w:asciiTheme="majorHAnsi" w:hAnsiTheme="majorHAnsi" w:cs="Arial"/>
          <w:color w:val="auto"/>
          <w:sz w:val="16"/>
          <w:szCs w:val="16"/>
        </w:rPr>
        <w:t>Merits</w:t>
      </w:r>
      <w:r w:rsidRPr="00A51861">
        <w:rPr>
          <w:rFonts w:asciiTheme="majorHAnsi" w:hAnsiTheme="majorHAnsi" w:cs="Arial"/>
          <w:color w:val="auto"/>
          <w:sz w:val="16"/>
          <w:szCs w:val="16"/>
        </w:rPr>
        <w:t xml:space="preserve">, </w:t>
      </w:r>
      <w:r w:rsidR="00357129">
        <w:rPr>
          <w:rFonts w:asciiTheme="majorHAnsi" w:hAnsiTheme="majorHAnsi" w:cs="Arial"/>
          <w:color w:val="auto"/>
          <w:sz w:val="16"/>
          <w:szCs w:val="16"/>
        </w:rPr>
        <w:t>Reparations and Costs</w:t>
      </w:r>
      <w:r w:rsidRPr="00A51861">
        <w:rPr>
          <w:rFonts w:asciiTheme="majorHAnsi" w:hAnsiTheme="majorHAnsi" w:cs="Arial"/>
          <w:color w:val="auto"/>
          <w:sz w:val="16"/>
          <w:szCs w:val="16"/>
        </w:rPr>
        <w:t xml:space="preserve">. </w:t>
      </w:r>
      <w:r w:rsidR="004E56A9">
        <w:rPr>
          <w:rFonts w:asciiTheme="majorHAnsi" w:hAnsiTheme="majorHAnsi" w:cs="Arial"/>
          <w:color w:val="auto"/>
          <w:sz w:val="16"/>
          <w:szCs w:val="16"/>
        </w:rPr>
        <w:t>Judgment</w:t>
      </w:r>
      <w:r w:rsidRPr="00A51861">
        <w:rPr>
          <w:rFonts w:asciiTheme="majorHAnsi" w:hAnsiTheme="majorHAnsi" w:cs="Arial"/>
          <w:color w:val="auto"/>
          <w:sz w:val="16"/>
          <w:szCs w:val="16"/>
        </w:rPr>
        <w:t xml:space="preserve"> de </w:t>
      </w:r>
      <w:r w:rsidR="00541904">
        <w:rPr>
          <w:rFonts w:asciiTheme="majorHAnsi" w:hAnsiTheme="majorHAnsi" w:cs="Arial"/>
          <w:color w:val="auto"/>
          <w:sz w:val="16"/>
          <w:szCs w:val="16"/>
        </w:rPr>
        <w:t xml:space="preserve">of September 19, </w:t>
      </w:r>
      <w:r w:rsidRPr="00A51861">
        <w:rPr>
          <w:rFonts w:asciiTheme="majorHAnsi" w:hAnsiTheme="majorHAnsi" w:cs="Arial"/>
          <w:color w:val="auto"/>
          <w:sz w:val="16"/>
          <w:szCs w:val="16"/>
        </w:rPr>
        <w:t xml:space="preserve">2006. Serie C No. 151, </w:t>
      </w:r>
      <w:r w:rsidR="00B6596B">
        <w:rPr>
          <w:rFonts w:asciiTheme="majorHAnsi" w:hAnsiTheme="majorHAnsi" w:cs="Arial"/>
          <w:color w:val="auto"/>
          <w:sz w:val="16"/>
          <w:szCs w:val="16"/>
        </w:rPr>
        <w:t>para.</w:t>
      </w:r>
      <w:r w:rsidRPr="00A51861">
        <w:rPr>
          <w:rFonts w:asciiTheme="majorHAnsi" w:hAnsiTheme="majorHAnsi" w:cs="Arial"/>
          <w:color w:val="auto"/>
          <w:sz w:val="16"/>
          <w:szCs w:val="16"/>
        </w:rPr>
        <w:t xml:space="preserve"> 131.</w:t>
      </w:r>
    </w:p>
  </w:footnote>
  <w:footnote w:id="226">
    <w:p w14:paraId="265540A2" w14:textId="0DEB3076" w:rsidR="00F40E67" w:rsidRPr="00A51861" w:rsidRDefault="00F40E67" w:rsidP="0063693D">
      <w:pPr>
        <w:pStyle w:val="FootnoteText"/>
        <w:jc w:val="both"/>
        <w:rPr>
          <w:rFonts w:asciiTheme="majorHAnsi" w:hAnsiTheme="majorHAnsi" w:cs="Arial"/>
          <w:color w:val="auto"/>
          <w:sz w:val="16"/>
          <w:szCs w:val="16"/>
        </w:rPr>
      </w:pPr>
      <w:r w:rsidRPr="00A51861">
        <w:rPr>
          <w:rStyle w:val="FootnoteReference"/>
          <w:rFonts w:asciiTheme="majorHAnsi" w:hAnsiTheme="majorHAnsi" w:cs="Arial"/>
          <w:color w:val="auto"/>
          <w:sz w:val="16"/>
          <w:szCs w:val="16"/>
        </w:rPr>
        <w:footnoteRef/>
      </w:r>
      <w:r w:rsidRPr="00A51861">
        <w:rPr>
          <w:rFonts w:asciiTheme="majorHAnsi" w:hAnsiTheme="majorHAnsi" w:cs="Arial"/>
          <w:color w:val="auto"/>
          <w:sz w:val="16"/>
          <w:szCs w:val="16"/>
        </w:rPr>
        <w:t xml:space="preserve"> </w:t>
      </w:r>
      <w:r w:rsidR="00036743">
        <w:rPr>
          <w:rFonts w:asciiTheme="majorHAnsi" w:hAnsiTheme="majorHAnsi" w:cs="Arial"/>
          <w:color w:val="auto"/>
          <w:sz w:val="16"/>
          <w:szCs w:val="16"/>
        </w:rPr>
        <w:t>IHR Court</w:t>
      </w:r>
      <w:r w:rsidRPr="00A51861">
        <w:rPr>
          <w:rFonts w:asciiTheme="majorHAnsi" w:hAnsiTheme="majorHAnsi" w:cs="Arial"/>
          <w:color w:val="auto"/>
          <w:sz w:val="16"/>
          <w:szCs w:val="16"/>
        </w:rPr>
        <w:t xml:space="preserve">. </w:t>
      </w:r>
      <w:r w:rsidR="00B6596B">
        <w:rPr>
          <w:rFonts w:asciiTheme="majorHAnsi" w:hAnsiTheme="majorHAnsi" w:cs="Arial"/>
          <w:color w:val="auto"/>
          <w:sz w:val="16"/>
          <w:szCs w:val="16"/>
        </w:rPr>
        <w:t xml:space="preserve">Case </w:t>
      </w:r>
      <w:r w:rsidRPr="00A51861">
        <w:rPr>
          <w:rFonts w:asciiTheme="majorHAnsi" w:hAnsiTheme="majorHAnsi" w:cs="Arial"/>
          <w:color w:val="auto"/>
          <w:sz w:val="16"/>
          <w:szCs w:val="16"/>
        </w:rPr>
        <w:t xml:space="preserve">Lagos del Campo Vs. </w:t>
      </w:r>
      <w:r w:rsidR="00BD656D">
        <w:rPr>
          <w:rFonts w:asciiTheme="majorHAnsi" w:hAnsiTheme="majorHAnsi" w:cs="Arial"/>
          <w:color w:val="auto"/>
          <w:sz w:val="16"/>
          <w:szCs w:val="16"/>
        </w:rPr>
        <w:t>Peru</w:t>
      </w:r>
      <w:r w:rsidRPr="00A51861">
        <w:rPr>
          <w:rFonts w:asciiTheme="majorHAnsi" w:hAnsiTheme="majorHAnsi" w:cs="Arial"/>
          <w:color w:val="auto"/>
          <w:sz w:val="16"/>
          <w:szCs w:val="16"/>
        </w:rPr>
        <w:t xml:space="preserve">. </w:t>
      </w:r>
      <w:r w:rsidR="00357129">
        <w:rPr>
          <w:rFonts w:asciiTheme="majorHAnsi" w:hAnsiTheme="majorHAnsi" w:cs="Arial"/>
          <w:color w:val="auto"/>
          <w:sz w:val="16"/>
          <w:szCs w:val="16"/>
        </w:rPr>
        <w:t>Exceptions, Preliminary Exceptions, Merits, Reparations and Costs</w:t>
      </w:r>
      <w:r w:rsidRPr="00A51861">
        <w:rPr>
          <w:rFonts w:asciiTheme="majorHAnsi" w:hAnsiTheme="majorHAnsi" w:cs="Arial"/>
          <w:color w:val="auto"/>
          <w:sz w:val="16"/>
          <w:szCs w:val="16"/>
        </w:rPr>
        <w:t xml:space="preserve">. </w:t>
      </w:r>
      <w:r w:rsidR="004E56A9">
        <w:rPr>
          <w:rFonts w:asciiTheme="majorHAnsi" w:hAnsiTheme="majorHAnsi" w:cs="Arial"/>
          <w:color w:val="auto"/>
          <w:sz w:val="16"/>
          <w:szCs w:val="16"/>
        </w:rPr>
        <w:t>Judgment</w:t>
      </w:r>
      <w:r w:rsidRPr="00A51861">
        <w:rPr>
          <w:rFonts w:asciiTheme="majorHAnsi" w:hAnsiTheme="majorHAnsi" w:cs="Arial"/>
          <w:color w:val="auto"/>
          <w:sz w:val="16"/>
          <w:szCs w:val="16"/>
        </w:rPr>
        <w:t xml:space="preserve"> </w:t>
      </w:r>
      <w:r w:rsidR="00357129">
        <w:rPr>
          <w:rFonts w:asciiTheme="majorHAnsi" w:hAnsiTheme="majorHAnsi" w:cs="Arial"/>
          <w:color w:val="auto"/>
          <w:sz w:val="16"/>
          <w:szCs w:val="16"/>
        </w:rPr>
        <w:t xml:space="preserve">of August 31, </w:t>
      </w:r>
      <w:r w:rsidRPr="00A51861">
        <w:rPr>
          <w:rFonts w:asciiTheme="majorHAnsi" w:hAnsiTheme="majorHAnsi" w:cs="Arial"/>
          <w:color w:val="auto"/>
          <w:sz w:val="16"/>
          <w:szCs w:val="16"/>
        </w:rPr>
        <w:t xml:space="preserve">2017. Serie C No. 340, </w:t>
      </w:r>
      <w:r w:rsidR="00B6596B">
        <w:rPr>
          <w:rFonts w:asciiTheme="majorHAnsi" w:hAnsiTheme="majorHAnsi" w:cs="Arial"/>
          <w:color w:val="auto"/>
          <w:sz w:val="16"/>
          <w:szCs w:val="16"/>
        </w:rPr>
        <w:t>para.</w:t>
      </w:r>
      <w:r w:rsidRPr="00A51861">
        <w:rPr>
          <w:rFonts w:asciiTheme="majorHAnsi" w:hAnsiTheme="majorHAnsi" w:cs="Arial"/>
          <w:color w:val="auto"/>
          <w:sz w:val="16"/>
          <w:szCs w:val="16"/>
        </w:rPr>
        <w:t xml:space="preserve"> 176.</w:t>
      </w:r>
    </w:p>
  </w:footnote>
  <w:footnote w:id="227">
    <w:p w14:paraId="2F9D5DD8" w14:textId="6269029F" w:rsidR="00F40E67" w:rsidRPr="00A51861" w:rsidRDefault="00F40E67" w:rsidP="0063693D">
      <w:pPr>
        <w:pStyle w:val="FootnoteText"/>
        <w:jc w:val="both"/>
        <w:rPr>
          <w:rFonts w:asciiTheme="majorHAnsi" w:hAnsiTheme="majorHAnsi" w:cs="Arial"/>
          <w:color w:val="auto"/>
          <w:sz w:val="16"/>
          <w:szCs w:val="16"/>
        </w:rPr>
      </w:pPr>
      <w:r w:rsidRPr="00A51861">
        <w:rPr>
          <w:rStyle w:val="FootnoteReference"/>
          <w:rFonts w:asciiTheme="majorHAnsi" w:hAnsiTheme="majorHAnsi" w:cs="Arial"/>
          <w:color w:val="auto"/>
          <w:sz w:val="16"/>
          <w:szCs w:val="16"/>
        </w:rPr>
        <w:footnoteRef/>
      </w:r>
      <w:r w:rsidRPr="00A51861">
        <w:rPr>
          <w:rFonts w:asciiTheme="majorHAnsi" w:hAnsiTheme="majorHAnsi" w:cs="Arial"/>
          <w:color w:val="auto"/>
          <w:sz w:val="16"/>
          <w:szCs w:val="16"/>
        </w:rPr>
        <w:t xml:space="preserve"> </w:t>
      </w:r>
      <w:r w:rsidR="00036743">
        <w:rPr>
          <w:rFonts w:asciiTheme="majorHAnsi" w:hAnsiTheme="majorHAnsi" w:cs="Arial"/>
          <w:color w:val="auto"/>
          <w:sz w:val="16"/>
          <w:szCs w:val="16"/>
        </w:rPr>
        <w:t>IHR Court</w:t>
      </w:r>
      <w:r w:rsidRPr="00A51861">
        <w:rPr>
          <w:rFonts w:asciiTheme="majorHAnsi" w:hAnsiTheme="majorHAnsi" w:cs="Arial"/>
          <w:color w:val="auto"/>
          <w:sz w:val="16"/>
          <w:szCs w:val="16"/>
        </w:rPr>
        <w:t xml:space="preserve">. </w:t>
      </w:r>
      <w:r w:rsidR="00B6596B">
        <w:rPr>
          <w:rFonts w:asciiTheme="majorHAnsi" w:hAnsiTheme="majorHAnsi" w:cs="Arial"/>
          <w:color w:val="auto"/>
          <w:sz w:val="16"/>
          <w:szCs w:val="16"/>
        </w:rPr>
        <w:t xml:space="preserve">Case </w:t>
      </w:r>
      <w:r w:rsidRPr="00A51861">
        <w:rPr>
          <w:rFonts w:asciiTheme="majorHAnsi" w:hAnsiTheme="majorHAnsi" w:cs="Arial"/>
          <w:color w:val="auto"/>
          <w:sz w:val="16"/>
          <w:szCs w:val="16"/>
        </w:rPr>
        <w:t xml:space="preserve">Lagos del Campo Vs. </w:t>
      </w:r>
      <w:r w:rsidR="00BD656D">
        <w:rPr>
          <w:rFonts w:asciiTheme="majorHAnsi" w:hAnsiTheme="majorHAnsi" w:cs="Arial"/>
          <w:color w:val="auto"/>
          <w:sz w:val="16"/>
          <w:szCs w:val="16"/>
        </w:rPr>
        <w:t>Peru</w:t>
      </w:r>
      <w:r w:rsidRPr="00A51861">
        <w:rPr>
          <w:rFonts w:asciiTheme="majorHAnsi" w:hAnsiTheme="majorHAnsi" w:cs="Arial"/>
          <w:color w:val="auto"/>
          <w:sz w:val="16"/>
          <w:szCs w:val="16"/>
        </w:rPr>
        <w:t xml:space="preserve">. </w:t>
      </w:r>
      <w:r w:rsidR="00357129">
        <w:rPr>
          <w:rFonts w:asciiTheme="majorHAnsi" w:hAnsiTheme="majorHAnsi" w:cs="Arial"/>
          <w:color w:val="auto"/>
          <w:sz w:val="16"/>
          <w:szCs w:val="16"/>
        </w:rPr>
        <w:t>Exceptions, Preliminary Exceptions, Merits, Reparations and Costs</w:t>
      </w:r>
      <w:r w:rsidRPr="00A51861">
        <w:rPr>
          <w:rFonts w:asciiTheme="majorHAnsi" w:hAnsiTheme="majorHAnsi" w:cs="Arial"/>
          <w:color w:val="auto"/>
          <w:sz w:val="16"/>
          <w:szCs w:val="16"/>
        </w:rPr>
        <w:t xml:space="preserve">. </w:t>
      </w:r>
      <w:r w:rsidR="004E56A9">
        <w:rPr>
          <w:rFonts w:asciiTheme="majorHAnsi" w:hAnsiTheme="majorHAnsi" w:cs="Arial"/>
          <w:color w:val="auto"/>
          <w:sz w:val="16"/>
          <w:szCs w:val="16"/>
        </w:rPr>
        <w:t>Judgment</w:t>
      </w:r>
      <w:r w:rsidRPr="00A51861">
        <w:rPr>
          <w:rFonts w:asciiTheme="majorHAnsi" w:hAnsiTheme="majorHAnsi" w:cs="Arial"/>
          <w:color w:val="auto"/>
          <w:sz w:val="16"/>
          <w:szCs w:val="16"/>
        </w:rPr>
        <w:t xml:space="preserve"> </w:t>
      </w:r>
      <w:r w:rsidR="00357129">
        <w:rPr>
          <w:rFonts w:asciiTheme="majorHAnsi" w:hAnsiTheme="majorHAnsi" w:cs="Arial"/>
          <w:color w:val="auto"/>
          <w:sz w:val="16"/>
          <w:szCs w:val="16"/>
        </w:rPr>
        <w:t xml:space="preserve">of August 31, </w:t>
      </w:r>
      <w:r w:rsidRPr="00A51861">
        <w:rPr>
          <w:rFonts w:asciiTheme="majorHAnsi" w:hAnsiTheme="majorHAnsi" w:cs="Arial"/>
          <w:color w:val="auto"/>
          <w:sz w:val="16"/>
          <w:szCs w:val="16"/>
        </w:rPr>
        <w:t xml:space="preserve">2017. Serie C No. 340, </w:t>
      </w:r>
      <w:r w:rsidR="00B6596B">
        <w:rPr>
          <w:rFonts w:asciiTheme="majorHAnsi" w:hAnsiTheme="majorHAnsi" w:cs="Arial"/>
          <w:color w:val="auto"/>
          <w:sz w:val="16"/>
          <w:szCs w:val="16"/>
        </w:rPr>
        <w:t>para.</w:t>
      </w:r>
      <w:r w:rsidRPr="00A51861">
        <w:rPr>
          <w:rFonts w:asciiTheme="majorHAnsi" w:hAnsiTheme="majorHAnsi" w:cs="Arial"/>
          <w:color w:val="auto"/>
          <w:sz w:val="16"/>
          <w:szCs w:val="16"/>
        </w:rPr>
        <w:t xml:space="preserve"> 188</w:t>
      </w:r>
      <w:r w:rsidR="00B6596B">
        <w:rPr>
          <w:rFonts w:asciiTheme="majorHAnsi" w:hAnsiTheme="majorHAnsi" w:cs="Arial"/>
          <w:color w:val="auto"/>
          <w:sz w:val="16"/>
          <w:szCs w:val="16"/>
        </w:rPr>
        <w:t xml:space="preserve"> and Case </w:t>
      </w:r>
      <w:r w:rsidRPr="00A51861">
        <w:rPr>
          <w:rFonts w:asciiTheme="majorHAnsi" w:hAnsiTheme="majorHAnsi" w:cs="Arial"/>
          <w:color w:val="auto"/>
          <w:sz w:val="16"/>
          <w:szCs w:val="16"/>
        </w:rPr>
        <w:t xml:space="preserve">Favela Nova </w:t>
      </w:r>
      <w:r w:rsidR="00E46E31">
        <w:rPr>
          <w:rFonts w:asciiTheme="majorHAnsi" w:hAnsiTheme="majorHAnsi" w:cs="Arial"/>
          <w:color w:val="auto"/>
          <w:sz w:val="16"/>
          <w:szCs w:val="16"/>
        </w:rPr>
        <w:t>Brazil</w:t>
      </w:r>
      <w:r w:rsidRPr="00A51861">
        <w:rPr>
          <w:rFonts w:asciiTheme="majorHAnsi" w:hAnsiTheme="majorHAnsi" w:cs="Arial"/>
          <w:color w:val="auto"/>
          <w:sz w:val="16"/>
          <w:szCs w:val="16"/>
        </w:rPr>
        <w:t xml:space="preserve">ia Vs. </w:t>
      </w:r>
      <w:r w:rsidR="00E46E31">
        <w:rPr>
          <w:rFonts w:asciiTheme="majorHAnsi" w:hAnsiTheme="majorHAnsi" w:cs="Arial"/>
          <w:color w:val="auto"/>
          <w:sz w:val="16"/>
          <w:szCs w:val="16"/>
        </w:rPr>
        <w:t>Brazil</w:t>
      </w:r>
      <w:r w:rsidRPr="00A51861">
        <w:rPr>
          <w:rFonts w:asciiTheme="majorHAnsi" w:hAnsiTheme="majorHAnsi" w:cs="Arial"/>
          <w:color w:val="auto"/>
          <w:sz w:val="16"/>
          <w:szCs w:val="16"/>
        </w:rPr>
        <w:t xml:space="preserve">. </w:t>
      </w:r>
      <w:r w:rsidR="00357129">
        <w:rPr>
          <w:rFonts w:asciiTheme="majorHAnsi" w:hAnsiTheme="majorHAnsi" w:cs="Arial"/>
          <w:color w:val="auto"/>
          <w:sz w:val="16"/>
          <w:szCs w:val="16"/>
        </w:rPr>
        <w:t>Exceptions, Preliminary Exceptions, Merits, Reparations and Costs</w:t>
      </w:r>
      <w:r w:rsidRPr="00A51861">
        <w:rPr>
          <w:rFonts w:asciiTheme="majorHAnsi" w:hAnsiTheme="majorHAnsi" w:cs="Arial"/>
          <w:color w:val="auto"/>
          <w:sz w:val="16"/>
          <w:szCs w:val="16"/>
        </w:rPr>
        <w:t xml:space="preserve">. </w:t>
      </w:r>
      <w:r w:rsidR="004E56A9">
        <w:rPr>
          <w:rFonts w:asciiTheme="majorHAnsi" w:hAnsiTheme="majorHAnsi" w:cs="Arial"/>
          <w:color w:val="auto"/>
          <w:sz w:val="16"/>
          <w:szCs w:val="16"/>
        </w:rPr>
        <w:t>Judgment</w:t>
      </w:r>
      <w:r w:rsidRPr="00A51861">
        <w:rPr>
          <w:rFonts w:asciiTheme="majorHAnsi" w:hAnsiTheme="majorHAnsi" w:cs="Arial"/>
          <w:color w:val="auto"/>
          <w:sz w:val="16"/>
          <w:szCs w:val="16"/>
        </w:rPr>
        <w:t xml:space="preserve"> </w:t>
      </w:r>
      <w:r w:rsidR="00541904">
        <w:rPr>
          <w:rFonts w:asciiTheme="majorHAnsi" w:hAnsiTheme="majorHAnsi" w:cs="Arial"/>
          <w:color w:val="auto"/>
          <w:sz w:val="16"/>
          <w:szCs w:val="16"/>
        </w:rPr>
        <w:t xml:space="preserve">of February 15, </w:t>
      </w:r>
      <w:r w:rsidRPr="00A51861">
        <w:rPr>
          <w:rFonts w:asciiTheme="majorHAnsi" w:hAnsiTheme="majorHAnsi" w:cs="Arial"/>
          <w:color w:val="auto"/>
          <w:sz w:val="16"/>
          <w:szCs w:val="16"/>
        </w:rPr>
        <w:t xml:space="preserve">2017. Serie C No. 333, </w:t>
      </w:r>
      <w:r w:rsidR="00B6596B">
        <w:rPr>
          <w:rFonts w:asciiTheme="majorHAnsi" w:hAnsiTheme="majorHAnsi" w:cs="Arial"/>
          <w:color w:val="auto"/>
          <w:sz w:val="16"/>
          <w:szCs w:val="16"/>
        </w:rPr>
        <w:t>para.</w:t>
      </w:r>
      <w:r w:rsidRPr="00A51861">
        <w:rPr>
          <w:rFonts w:asciiTheme="majorHAnsi" w:hAnsiTheme="majorHAnsi" w:cs="Arial"/>
          <w:color w:val="auto"/>
          <w:sz w:val="16"/>
          <w:szCs w:val="16"/>
        </w:rPr>
        <w:t xml:space="preserve"> 233.</w:t>
      </w:r>
    </w:p>
  </w:footnote>
  <w:footnote w:id="228">
    <w:p w14:paraId="4325FCE3" w14:textId="356F926D" w:rsidR="00F40E67" w:rsidRPr="00A51861" w:rsidRDefault="00F40E67" w:rsidP="0063693D">
      <w:pPr>
        <w:pStyle w:val="FootnoteText"/>
        <w:jc w:val="both"/>
        <w:rPr>
          <w:rFonts w:asciiTheme="majorHAnsi" w:hAnsiTheme="majorHAnsi" w:cs="Arial"/>
          <w:color w:val="auto"/>
          <w:sz w:val="16"/>
          <w:szCs w:val="16"/>
        </w:rPr>
      </w:pPr>
      <w:r w:rsidRPr="00A51861">
        <w:rPr>
          <w:rStyle w:val="FootnoteReference"/>
          <w:rFonts w:asciiTheme="majorHAnsi" w:hAnsiTheme="majorHAnsi" w:cs="Arial"/>
          <w:color w:val="auto"/>
          <w:sz w:val="16"/>
          <w:szCs w:val="16"/>
        </w:rPr>
        <w:footnoteRef/>
      </w:r>
      <w:r w:rsidRPr="00A51861">
        <w:rPr>
          <w:rFonts w:asciiTheme="majorHAnsi" w:hAnsiTheme="majorHAnsi" w:cs="Arial"/>
          <w:color w:val="auto"/>
          <w:sz w:val="16"/>
          <w:szCs w:val="16"/>
        </w:rPr>
        <w:t xml:space="preserve"> </w:t>
      </w:r>
      <w:r w:rsidR="00036743">
        <w:rPr>
          <w:rFonts w:asciiTheme="majorHAnsi" w:hAnsiTheme="majorHAnsi" w:cs="Arial"/>
          <w:color w:val="auto"/>
          <w:sz w:val="16"/>
          <w:szCs w:val="16"/>
        </w:rPr>
        <w:t>IHR Court</w:t>
      </w:r>
      <w:r w:rsidRPr="00A51861">
        <w:rPr>
          <w:rFonts w:asciiTheme="majorHAnsi" w:hAnsiTheme="majorHAnsi" w:cs="Arial"/>
          <w:color w:val="auto"/>
          <w:sz w:val="16"/>
          <w:szCs w:val="16"/>
        </w:rPr>
        <w:t xml:space="preserve">. </w:t>
      </w:r>
      <w:r w:rsidR="00775F21">
        <w:rPr>
          <w:rFonts w:asciiTheme="majorHAnsi" w:hAnsiTheme="majorHAnsi" w:cs="Arial"/>
          <w:color w:val="auto"/>
          <w:sz w:val="16"/>
          <w:szCs w:val="16"/>
        </w:rPr>
        <w:t xml:space="preserve">Case of Maldonado </w:t>
      </w:r>
      <w:r w:rsidRPr="00A51861">
        <w:rPr>
          <w:rFonts w:asciiTheme="majorHAnsi" w:hAnsiTheme="majorHAnsi" w:cs="Arial"/>
          <w:color w:val="auto"/>
          <w:sz w:val="16"/>
          <w:szCs w:val="16"/>
        </w:rPr>
        <w:t xml:space="preserve">Ordóñez Vs. Guatemala. </w:t>
      </w:r>
      <w:r w:rsidR="000010D0">
        <w:rPr>
          <w:rFonts w:asciiTheme="majorHAnsi" w:hAnsiTheme="majorHAnsi" w:cs="Arial"/>
          <w:color w:val="auto"/>
          <w:sz w:val="16"/>
          <w:szCs w:val="16"/>
        </w:rPr>
        <w:t>Preliminary Exception</w:t>
      </w:r>
      <w:r w:rsidRPr="00A51861">
        <w:rPr>
          <w:rFonts w:asciiTheme="majorHAnsi" w:hAnsiTheme="majorHAnsi" w:cs="Arial"/>
          <w:color w:val="auto"/>
          <w:sz w:val="16"/>
          <w:szCs w:val="16"/>
        </w:rPr>
        <w:t xml:space="preserve">, </w:t>
      </w:r>
      <w:r w:rsidR="00B6596B">
        <w:rPr>
          <w:rFonts w:asciiTheme="majorHAnsi" w:hAnsiTheme="majorHAnsi" w:cs="Arial"/>
          <w:color w:val="auto"/>
          <w:sz w:val="16"/>
          <w:szCs w:val="16"/>
        </w:rPr>
        <w:t>Merits</w:t>
      </w:r>
      <w:r w:rsidRPr="00A51861">
        <w:rPr>
          <w:rFonts w:asciiTheme="majorHAnsi" w:hAnsiTheme="majorHAnsi" w:cs="Arial"/>
          <w:color w:val="auto"/>
          <w:sz w:val="16"/>
          <w:szCs w:val="16"/>
        </w:rPr>
        <w:t xml:space="preserve">, </w:t>
      </w:r>
      <w:r w:rsidR="00357129">
        <w:rPr>
          <w:rFonts w:asciiTheme="majorHAnsi" w:hAnsiTheme="majorHAnsi" w:cs="Arial"/>
          <w:color w:val="auto"/>
          <w:sz w:val="16"/>
          <w:szCs w:val="16"/>
        </w:rPr>
        <w:t>Reparations and Costs</w:t>
      </w:r>
      <w:r w:rsidRPr="00A51861">
        <w:rPr>
          <w:rFonts w:asciiTheme="majorHAnsi" w:hAnsiTheme="majorHAnsi" w:cs="Arial"/>
          <w:color w:val="auto"/>
          <w:sz w:val="16"/>
          <w:szCs w:val="16"/>
        </w:rPr>
        <w:t xml:space="preserve">. </w:t>
      </w:r>
      <w:r w:rsidR="004E56A9">
        <w:rPr>
          <w:rFonts w:asciiTheme="majorHAnsi" w:hAnsiTheme="majorHAnsi" w:cs="Arial"/>
          <w:color w:val="auto"/>
          <w:sz w:val="16"/>
          <w:szCs w:val="16"/>
        </w:rPr>
        <w:t>Judgment</w:t>
      </w:r>
      <w:r w:rsidRPr="00A51861">
        <w:rPr>
          <w:rFonts w:asciiTheme="majorHAnsi" w:hAnsiTheme="majorHAnsi" w:cs="Arial"/>
          <w:color w:val="auto"/>
          <w:sz w:val="16"/>
          <w:szCs w:val="16"/>
        </w:rPr>
        <w:t xml:space="preserve"> </w:t>
      </w:r>
      <w:r w:rsidR="00BF5EB0">
        <w:rPr>
          <w:rFonts w:asciiTheme="majorHAnsi" w:hAnsiTheme="majorHAnsi" w:cs="Arial"/>
          <w:color w:val="auto"/>
          <w:sz w:val="16"/>
          <w:szCs w:val="16"/>
        </w:rPr>
        <w:t xml:space="preserve">May 3, </w:t>
      </w:r>
      <w:r w:rsidRPr="00A51861">
        <w:rPr>
          <w:rFonts w:asciiTheme="majorHAnsi" w:hAnsiTheme="majorHAnsi" w:cs="Arial"/>
          <w:color w:val="auto"/>
          <w:sz w:val="16"/>
          <w:szCs w:val="16"/>
        </w:rPr>
        <w:t xml:space="preserve">2016. Serie C No. 311. </w:t>
      </w:r>
      <w:r w:rsidR="00357129">
        <w:rPr>
          <w:rFonts w:asciiTheme="majorHAnsi" w:hAnsiTheme="majorHAnsi" w:cs="Arial"/>
          <w:color w:val="auto"/>
          <w:sz w:val="16"/>
          <w:szCs w:val="16"/>
        </w:rPr>
        <w:t xml:space="preserve">Para. </w:t>
      </w:r>
      <w:r w:rsidRPr="00A51861">
        <w:rPr>
          <w:rFonts w:asciiTheme="majorHAnsi" w:hAnsiTheme="majorHAnsi" w:cs="Arial"/>
          <w:color w:val="auto"/>
          <w:sz w:val="16"/>
          <w:szCs w:val="16"/>
        </w:rPr>
        <w:t>109</w:t>
      </w:r>
      <w:r w:rsidR="00B6596B">
        <w:rPr>
          <w:rFonts w:asciiTheme="majorHAnsi" w:hAnsiTheme="majorHAnsi" w:cs="Arial"/>
          <w:color w:val="auto"/>
          <w:sz w:val="16"/>
          <w:szCs w:val="16"/>
        </w:rPr>
        <w:t xml:space="preserve"> and </w:t>
      </w:r>
      <w:r w:rsidR="000E67CA">
        <w:rPr>
          <w:rFonts w:asciiTheme="majorHAnsi" w:hAnsiTheme="majorHAnsi" w:cs="Arial"/>
          <w:color w:val="auto"/>
          <w:sz w:val="16"/>
          <w:szCs w:val="16"/>
        </w:rPr>
        <w:t>IACHR</w:t>
      </w:r>
      <w:r w:rsidRPr="00A51861">
        <w:rPr>
          <w:rFonts w:asciiTheme="majorHAnsi" w:hAnsiTheme="majorHAnsi" w:cs="Arial"/>
          <w:color w:val="auto"/>
          <w:sz w:val="16"/>
          <w:szCs w:val="16"/>
        </w:rPr>
        <w:t xml:space="preserve">. </w:t>
      </w:r>
      <w:r w:rsidR="000E67CA">
        <w:rPr>
          <w:rFonts w:asciiTheme="majorHAnsi" w:hAnsiTheme="majorHAnsi" w:cs="Arial"/>
          <w:color w:val="auto"/>
          <w:sz w:val="16"/>
          <w:szCs w:val="16"/>
        </w:rPr>
        <w:t>IACHR</w:t>
      </w:r>
      <w:r w:rsidRPr="00A51861">
        <w:rPr>
          <w:rFonts w:asciiTheme="majorHAnsi" w:hAnsiTheme="majorHAnsi" w:cs="Arial"/>
          <w:color w:val="auto"/>
          <w:sz w:val="16"/>
          <w:szCs w:val="16"/>
        </w:rPr>
        <w:t>.</w:t>
      </w:r>
      <w:r w:rsidR="000E67CA">
        <w:rPr>
          <w:rFonts w:asciiTheme="majorHAnsi" w:hAnsiTheme="majorHAnsi" w:cs="Arial"/>
          <w:color w:val="auto"/>
          <w:sz w:val="16"/>
          <w:szCs w:val="16"/>
        </w:rPr>
        <w:t xml:space="preserve"> Report </w:t>
      </w:r>
      <w:r w:rsidRPr="00A51861">
        <w:rPr>
          <w:rFonts w:asciiTheme="majorHAnsi" w:hAnsiTheme="majorHAnsi" w:cs="Arial"/>
          <w:color w:val="auto"/>
          <w:sz w:val="16"/>
          <w:szCs w:val="16"/>
        </w:rPr>
        <w:t xml:space="preserve">No. 147/18. </w:t>
      </w:r>
      <w:r w:rsidR="00B6596B">
        <w:rPr>
          <w:rFonts w:asciiTheme="majorHAnsi" w:hAnsiTheme="majorHAnsi" w:cs="Arial"/>
          <w:color w:val="auto"/>
          <w:sz w:val="16"/>
          <w:szCs w:val="16"/>
        </w:rPr>
        <w:t xml:space="preserve">Case </w:t>
      </w:r>
      <w:r w:rsidRPr="00A51861">
        <w:rPr>
          <w:rFonts w:asciiTheme="majorHAnsi" w:hAnsiTheme="majorHAnsi" w:cs="Arial"/>
          <w:color w:val="auto"/>
          <w:sz w:val="16"/>
          <w:szCs w:val="16"/>
        </w:rPr>
        <w:t xml:space="preserve">12.950. </w:t>
      </w:r>
      <w:r w:rsidR="00B6596B">
        <w:rPr>
          <w:rFonts w:asciiTheme="majorHAnsi" w:hAnsiTheme="majorHAnsi" w:cs="Arial"/>
          <w:color w:val="auto"/>
          <w:sz w:val="16"/>
          <w:szCs w:val="16"/>
        </w:rPr>
        <w:t>Merits</w:t>
      </w:r>
      <w:r w:rsidRPr="00A51861">
        <w:rPr>
          <w:rFonts w:asciiTheme="majorHAnsi" w:hAnsiTheme="majorHAnsi" w:cs="Arial"/>
          <w:color w:val="auto"/>
          <w:sz w:val="16"/>
          <w:szCs w:val="16"/>
        </w:rPr>
        <w:t xml:space="preserve">. Rufino Jorge Almeida. Argentina. </w:t>
      </w:r>
      <w:r w:rsidR="00541904">
        <w:rPr>
          <w:rFonts w:asciiTheme="majorHAnsi" w:hAnsiTheme="majorHAnsi" w:cs="Arial"/>
          <w:color w:val="auto"/>
          <w:sz w:val="16"/>
          <w:szCs w:val="16"/>
        </w:rPr>
        <w:t xml:space="preserve">of December 7, </w:t>
      </w:r>
      <w:r w:rsidRPr="00A51861">
        <w:rPr>
          <w:rFonts w:asciiTheme="majorHAnsi" w:hAnsiTheme="majorHAnsi" w:cs="Arial"/>
          <w:color w:val="auto"/>
          <w:sz w:val="16"/>
          <w:szCs w:val="16"/>
        </w:rPr>
        <w:t xml:space="preserve">2018. </w:t>
      </w:r>
      <w:r w:rsidR="00357129">
        <w:rPr>
          <w:rFonts w:asciiTheme="majorHAnsi" w:hAnsiTheme="majorHAnsi" w:cs="Arial"/>
          <w:color w:val="auto"/>
          <w:sz w:val="16"/>
          <w:szCs w:val="16"/>
        </w:rPr>
        <w:t xml:space="preserve">Para. </w:t>
      </w:r>
      <w:r w:rsidRPr="00A51861">
        <w:rPr>
          <w:rFonts w:asciiTheme="majorHAnsi" w:hAnsiTheme="majorHAnsi" w:cs="Arial"/>
          <w:color w:val="auto"/>
          <w:sz w:val="16"/>
          <w:szCs w:val="16"/>
        </w:rPr>
        <w:t>50.</w:t>
      </w:r>
    </w:p>
  </w:footnote>
  <w:footnote w:id="229">
    <w:p w14:paraId="23636D01" w14:textId="7A8DAE89" w:rsidR="00F40E67" w:rsidRPr="00A51861" w:rsidRDefault="00F40E67" w:rsidP="0063693D">
      <w:pPr>
        <w:pStyle w:val="FootnoteText"/>
        <w:jc w:val="both"/>
        <w:rPr>
          <w:rFonts w:asciiTheme="majorHAnsi" w:hAnsiTheme="majorHAnsi" w:cs="Arial"/>
          <w:color w:val="auto"/>
          <w:sz w:val="16"/>
          <w:szCs w:val="16"/>
        </w:rPr>
      </w:pPr>
      <w:r w:rsidRPr="00A51861">
        <w:rPr>
          <w:rStyle w:val="FootnoteReference"/>
          <w:rFonts w:asciiTheme="majorHAnsi" w:hAnsiTheme="majorHAnsi" w:cs="Arial"/>
          <w:color w:val="auto"/>
          <w:sz w:val="16"/>
          <w:szCs w:val="16"/>
        </w:rPr>
        <w:footnoteRef/>
      </w:r>
      <w:r w:rsidRPr="00A51861">
        <w:rPr>
          <w:rFonts w:asciiTheme="majorHAnsi" w:hAnsiTheme="majorHAnsi" w:cs="Arial"/>
          <w:color w:val="auto"/>
          <w:sz w:val="16"/>
          <w:szCs w:val="16"/>
        </w:rPr>
        <w:t xml:space="preserve"> </w:t>
      </w:r>
      <w:r w:rsidR="00036743">
        <w:rPr>
          <w:rFonts w:asciiTheme="majorHAnsi" w:hAnsiTheme="majorHAnsi" w:cs="Arial"/>
          <w:color w:val="auto"/>
          <w:sz w:val="16"/>
          <w:szCs w:val="16"/>
        </w:rPr>
        <w:t>IHR Court</w:t>
      </w:r>
      <w:r w:rsidRPr="00A51861">
        <w:rPr>
          <w:rFonts w:asciiTheme="majorHAnsi" w:hAnsiTheme="majorHAnsi" w:cs="Arial"/>
          <w:color w:val="auto"/>
          <w:sz w:val="16"/>
          <w:szCs w:val="16"/>
        </w:rPr>
        <w:t xml:space="preserve">. </w:t>
      </w:r>
      <w:r w:rsidR="00B6596B">
        <w:rPr>
          <w:rFonts w:asciiTheme="majorHAnsi" w:hAnsiTheme="majorHAnsi" w:cs="Arial"/>
          <w:color w:val="auto"/>
          <w:sz w:val="16"/>
          <w:szCs w:val="16"/>
        </w:rPr>
        <w:t xml:space="preserve">Case </w:t>
      </w:r>
      <w:r w:rsidR="00775F21">
        <w:rPr>
          <w:rFonts w:asciiTheme="majorHAnsi" w:hAnsiTheme="majorHAnsi" w:cs="Arial"/>
          <w:color w:val="auto"/>
          <w:sz w:val="16"/>
          <w:szCs w:val="16"/>
        </w:rPr>
        <w:t xml:space="preserve">of </w:t>
      </w:r>
      <w:r w:rsidRPr="00A51861">
        <w:rPr>
          <w:rFonts w:asciiTheme="majorHAnsi" w:hAnsiTheme="majorHAnsi" w:cs="Arial"/>
          <w:color w:val="auto"/>
          <w:sz w:val="16"/>
          <w:szCs w:val="16"/>
        </w:rPr>
        <w:t xml:space="preserve">Maldonado Ordóñez Vs. Guatemala. </w:t>
      </w:r>
      <w:r w:rsidR="000010D0">
        <w:rPr>
          <w:rFonts w:asciiTheme="majorHAnsi" w:hAnsiTheme="majorHAnsi" w:cs="Arial"/>
          <w:color w:val="auto"/>
          <w:sz w:val="16"/>
          <w:szCs w:val="16"/>
        </w:rPr>
        <w:t>Preliminary Exception</w:t>
      </w:r>
      <w:r w:rsidRPr="00A51861">
        <w:rPr>
          <w:rFonts w:asciiTheme="majorHAnsi" w:hAnsiTheme="majorHAnsi" w:cs="Arial"/>
          <w:color w:val="auto"/>
          <w:sz w:val="16"/>
          <w:szCs w:val="16"/>
        </w:rPr>
        <w:t xml:space="preserve">, </w:t>
      </w:r>
      <w:r w:rsidR="00B6596B">
        <w:rPr>
          <w:rFonts w:asciiTheme="majorHAnsi" w:hAnsiTheme="majorHAnsi" w:cs="Arial"/>
          <w:color w:val="auto"/>
          <w:sz w:val="16"/>
          <w:szCs w:val="16"/>
        </w:rPr>
        <w:t>Merits</w:t>
      </w:r>
      <w:r w:rsidRPr="00A51861">
        <w:rPr>
          <w:rFonts w:asciiTheme="majorHAnsi" w:hAnsiTheme="majorHAnsi" w:cs="Arial"/>
          <w:color w:val="auto"/>
          <w:sz w:val="16"/>
          <w:szCs w:val="16"/>
        </w:rPr>
        <w:t xml:space="preserve">, </w:t>
      </w:r>
      <w:r w:rsidR="00357129">
        <w:rPr>
          <w:rFonts w:asciiTheme="majorHAnsi" w:hAnsiTheme="majorHAnsi" w:cs="Arial"/>
          <w:color w:val="auto"/>
          <w:sz w:val="16"/>
          <w:szCs w:val="16"/>
        </w:rPr>
        <w:t>Reparations and Costs</w:t>
      </w:r>
      <w:r w:rsidRPr="00A51861">
        <w:rPr>
          <w:rFonts w:asciiTheme="majorHAnsi" w:hAnsiTheme="majorHAnsi" w:cs="Arial"/>
          <w:color w:val="auto"/>
          <w:sz w:val="16"/>
          <w:szCs w:val="16"/>
        </w:rPr>
        <w:t xml:space="preserve">. </w:t>
      </w:r>
      <w:r w:rsidR="004E56A9">
        <w:rPr>
          <w:rFonts w:asciiTheme="majorHAnsi" w:hAnsiTheme="majorHAnsi" w:cs="Arial"/>
          <w:color w:val="auto"/>
          <w:sz w:val="16"/>
          <w:szCs w:val="16"/>
        </w:rPr>
        <w:t>Judgment</w:t>
      </w:r>
      <w:r w:rsidRPr="00A51861">
        <w:rPr>
          <w:rFonts w:asciiTheme="majorHAnsi" w:hAnsiTheme="majorHAnsi" w:cs="Arial"/>
          <w:color w:val="auto"/>
          <w:sz w:val="16"/>
          <w:szCs w:val="16"/>
        </w:rPr>
        <w:t xml:space="preserve"> </w:t>
      </w:r>
      <w:r w:rsidR="00BF5EB0">
        <w:rPr>
          <w:rFonts w:asciiTheme="majorHAnsi" w:hAnsiTheme="majorHAnsi" w:cs="Arial"/>
          <w:color w:val="auto"/>
          <w:sz w:val="16"/>
          <w:szCs w:val="16"/>
        </w:rPr>
        <w:t xml:space="preserve">May 3, </w:t>
      </w:r>
      <w:r w:rsidRPr="00A51861">
        <w:rPr>
          <w:rFonts w:asciiTheme="majorHAnsi" w:hAnsiTheme="majorHAnsi" w:cs="Arial"/>
          <w:color w:val="auto"/>
          <w:sz w:val="16"/>
          <w:szCs w:val="16"/>
        </w:rPr>
        <w:t xml:space="preserve">2016. Serie C No. 311. </w:t>
      </w:r>
      <w:r w:rsidR="00357129">
        <w:rPr>
          <w:rFonts w:asciiTheme="majorHAnsi" w:hAnsiTheme="majorHAnsi" w:cs="Arial"/>
          <w:color w:val="auto"/>
          <w:sz w:val="16"/>
          <w:szCs w:val="16"/>
        </w:rPr>
        <w:t xml:space="preserve">Para. </w:t>
      </w:r>
      <w:r w:rsidRPr="00A51861">
        <w:rPr>
          <w:rFonts w:asciiTheme="majorHAnsi" w:hAnsiTheme="majorHAnsi" w:cs="Arial"/>
          <w:color w:val="auto"/>
          <w:sz w:val="16"/>
          <w:szCs w:val="16"/>
        </w:rPr>
        <w:t>110.</w:t>
      </w:r>
    </w:p>
  </w:footnote>
  <w:footnote w:id="230">
    <w:p w14:paraId="38597F5A" w14:textId="3EACB3C5" w:rsidR="00F40E67" w:rsidRPr="00A51861" w:rsidRDefault="00F40E67" w:rsidP="0063693D">
      <w:pPr>
        <w:pStyle w:val="FootnoteText"/>
        <w:jc w:val="both"/>
        <w:rPr>
          <w:rFonts w:asciiTheme="majorHAnsi" w:hAnsiTheme="majorHAnsi" w:cs="Arial"/>
          <w:color w:val="auto"/>
          <w:sz w:val="16"/>
          <w:szCs w:val="16"/>
        </w:rPr>
      </w:pPr>
      <w:r w:rsidRPr="00A51861">
        <w:rPr>
          <w:rStyle w:val="FootnoteReference"/>
          <w:rFonts w:asciiTheme="majorHAnsi" w:hAnsiTheme="majorHAnsi" w:cs="Arial"/>
          <w:color w:val="auto"/>
          <w:sz w:val="16"/>
          <w:szCs w:val="16"/>
        </w:rPr>
        <w:footnoteRef/>
      </w:r>
      <w:r w:rsidRPr="00A51861">
        <w:rPr>
          <w:rFonts w:asciiTheme="majorHAnsi" w:hAnsiTheme="majorHAnsi" w:cs="Arial"/>
          <w:color w:val="auto"/>
          <w:sz w:val="16"/>
          <w:szCs w:val="16"/>
        </w:rPr>
        <w:t xml:space="preserve"> </w:t>
      </w:r>
      <w:r w:rsidR="00036743">
        <w:rPr>
          <w:rFonts w:asciiTheme="majorHAnsi" w:hAnsiTheme="majorHAnsi" w:cs="Arial"/>
          <w:color w:val="auto"/>
          <w:sz w:val="16"/>
          <w:szCs w:val="16"/>
        </w:rPr>
        <w:t>IHR Court</w:t>
      </w:r>
      <w:r w:rsidRPr="00A51861">
        <w:rPr>
          <w:rFonts w:asciiTheme="majorHAnsi" w:hAnsiTheme="majorHAnsi" w:cs="Arial"/>
          <w:color w:val="auto"/>
          <w:sz w:val="16"/>
          <w:szCs w:val="16"/>
        </w:rPr>
        <w:t xml:space="preserve">. </w:t>
      </w:r>
      <w:r w:rsidR="00B6596B">
        <w:rPr>
          <w:rFonts w:asciiTheme="majorHAnsi" w:hAnsiTheme="majorHAnsi" w:cs="Arial"/>
          <w:color w:val="auto"/>
          <w:sz w:val="16"/>
          <w:szCs w:val="16"/>
        </w:rPr>
        <w:t xml:space="preserve">Case </w:t>
      </w:r>
      <w:r w:rsidR="00775F21">
        <w:rPr>
          <w:rFonts w:asciiTheme="majorHAnsi" w:hAnsiTheme="majorHAnsi" w:cs="Arial"/>
          <w:color w:val="auto"/>
          <w:sz w:val="16"/>
          <w:szCs w:val="16"/>
        </w:rPr>
        <w:t xml:space="preserve">of </w:t>
      </w:r>
      <w:r w:rsidRPr="00A51861">
        <w:rPr>
          <w:rFonts w:asciiTheme="majorHAnsi" w:hAnsiTheme="majorHAnsi" w:cs="Arial"/>
          <w:color w:val="auto"/>
          <w:sz w:val="16"/>
          <w:szCs w:val="16"/>
        </w:rPr>
        <w:t xml:space="preserve">Flor Freire Vs. Ecuador. </w:t>
      </w:r>
      <w:r w:rsidR="000010D0">
        <w:rPr>
          <w:rFonts w:asciiTheme="majorHAnsi" w:hAnsiTheme="majorHAnsi" w:cs="Arial"/>
          <w:color w:val="auto"/>
          <w:sz w:val="16"/>
          <w:szCs w:val="16"/>
        </w:rPr>
        <w:t>Preliminary Exception</w:t>
      </w:r>
      <w:r w:rsidRPr="00A51861">
        <w:rPr>
          <w:rFonts w:asciiTheme="majorHAnsi" w:hAnsiTheme="majorHAnsi" w:cs="Arial"/>
          <w:color w:val="auto"/>
          <w:sz w:val="16"/>
          <w:szCs w:val="16"/>
        </w:rPr>
        <w:t xml:space="preserve">, </w:t>
      </w:r>
      <w:r w:rsidR="00B6596B">
        <w:rPr>
          <w:rFonts w:asciiTheme="majorHAnsi" w:hAnsiTheme="majorHAnsi" w:cs="Arial"/>
          <w:color w:val="auto"/>
          <w:sz w:val="16"/>
          <w:szCs w:val="16"/>
        </w:rPr>
        <w:t>Merits</w:t>
      </w:r>
      <w:r w:rsidRPr="00A51861">
        <w:rPr>
          <w:rFonts w:asciiTheme="majorHAnsi" w:hAnsiTheme="majorHAnsi" w:cs="Arial"/>
          <w:color w:val="auto"/>
          <w:sz w:val="16"/>
          <w:szCs w:val="16"/>
        </w:rPr>
        <w:t xml:space="preserve">, </w:t>
      </w:r>
      <w:r w:rsidR="00357129">
        <w:rPr>
          <w:rFonts w:asciiTheme="majorHAnsi" w:hAnsiTheme="majorHAnsi" w:cs="Arial"/>
          <w:color w:val="auto"/>
          <w:sz w:val="16"/>
          <w:szCs w:val="16"/>
        </w:rPr>
        <w:t>Reparations and Costs</w:t>
      </w:r>
      <w:r w:rsidRPr="00A51861">
        <w:rPr>
          <w:rFonts w:asciiTheme="majorHAnsi" w:hAnsiTheme="majorHAnsi" w:cs="Arial"/>
          <w:color w:val="auto"/>
          <w:sz w:val="16"/>
          <w:szCs w:val="16"/>
        </w:rPr>
        <w:t xml:space="preserve">. </w:t>
      </w:r>
      <w:r w:rsidR="004E56A9">
        <w:rPr>
          <w:rFonts w:asciiTheme="majorHAnsi" w:hAnsiTheme="majorHAnsi" w:cs="Arial"/>
          <w:color w:val="auto"/>
          <w:sz w:val="16"/>
          <w:szCs w:val="16"/>
        </w:rPr>
        <w:t>Judgment</w:t>
      </w:r>
      <w:r w:rsidRPr="00A51861">
        <w:rPr>
          <w:rFonts w:asciiTheme="majorHAnsi" w:hAnsiTheme="majorHAnsi" w:cs="Arial"/>
          <w:color w:val="auto"/>
          <w:sz w:val="16"/>
          <w:szCs w:val="16"/>
        </w:rPr>
        <w:t xml:space="preserve"> </w:t>
      </w:r>
      <w:r w:rsidR="00357129">
        <w:rPr>
          <w:rFonts w:asciiTheme="majorHAnsi" w:hAnsiTheme="majorHAnsi" w:cs="Arial"/>
          <w:color w:val="auto"/>
          <w:sz w:val="16"/>
          <w:szCs w:val="16"/>
        </w:rPr>
        <w:t xml:space="preserve">of August 31, </w:t>
      </w:r>
      <w:r w:rsidRPr="00A51861">
        <w:rPr>
          <w:rFonts w:asciiTheme="majorHAnsi" w:hAnsiTheme="majorHAnsi" w:cs="Arial"/>
          <w:color w:val="auto"/>
          <w:sz w:val="16"/>
          <w:szCs w:val="16"/>
        </w:rPr>
        <w:t xml:space="preserve">2016. Serie C No. 315. </w:t>
      </w:r>
      <w:r w:rsidR="00357129">
        <w:rPr>
          <w:rFonts w:asciiTheme="majorHAnsi" w:hAnsiTheme="majorHAnsi" w:cs="Arial"/>
          <w:color w:val="auto"/>
          <w:sz w:val="16"/>
          <w:szCs w:val="16"/>
        </w:rPr>
        <w:t xml:space="preserve">Para. </w:t>
      </w:r>
      <w:r w:rsidRPr="00A51861">
        <w:rPr>
          <w:rFonts w:asciiTheme="majorHAnsi" w:hAnsiTheme="majorHAnsi" w:cs="Arial"/>
          <w:color w:val="auto"/>
          <w:sz w:val="16"/>
          <w:szCs w:val="16"/>
        </w:rPr>
        <w:t>109.</w:t>
      </w:r>
    </w:p>
  </w:footnote>
  <w:footnote w:id="231">
    <w:p w14:paraId="5C777E2E" w14:textId="2EEFBDE6" w:rsidR="00F40E67" w:rsidRPr="00A51861" w:rsidRDefault="00F40E67" w:rsidP="0063693D">
      <w:pPr>
        <w:pStyle w:val="FootnoteText"/>
        <w:jc w:val="both"/>
        <w:rPr>
          <w:rFonts w:asciiTheme="majorHAnsi" w:hAnsiTheme="majorHAnsi" w:cs="Arial"/>
          <w:color w:val="auto"/>
          <w:sz w:val="16"/>
          <w:szCs w:val="16"/>
        </w:rPr>
      </w:pPr>
      <w:r w:rsidRPr="00A51861">
        <w:rPr>
          <w:rStyle w:val="FootnoteReference"/>
          <w:rFonts w:asciiTheme="majorHAnsi" w:hAnsiTheme="majorHAnsi" w:cs="Arial"/>
          <w:color w:val="auto"/>
          <w:sz w:val="16"/>
          <w:szCs w:val="16"/>
        </w:rPr>
        <w:footnoteRef/>
      </w:r>
      <w:r w:rsidRPr="00A51861">
        <w:rPr>
          <w:rFonts w:asciiTheme="majorHAnsi" w:hAnsiTheme="majorHAnsi" w:cs="Arial"/>
          <w:color w:val="auto"/>
          <w:sz w:val="16"/>
          <w:szCs w:val="16"/>
        </w:rPr>
        <w:t xml:space="preserve"> </w:t>
      </w:r>
      <w:r w:rsidR="00036743">
        <w:rPr>
          <w:rFonts w:asciiTheme="majorHAnsi" w:hAnsiTheme="majorHAnsi" w:cs="Arial"/>
          <w:color w:val="auto"/>
          <w:sz w:val="16"/>
          <w:szCs w:val="16"/>
        </w:rPr>
        <w:t>IHR Court</w:t>
      </w:r>
      <w:r w:rsidRPr="00A51861">
        <w:rPr>
          <w:rFonts w:asciiTheme="majorHAnsi" w:hAnsiTheme="majorHAnsi" w:cs="Arial"/>
          <w:color w:val="auto"/>
          <w:sz w:val="16"/>
          <w:szCs w:val="16"/>
        </w:rPr>
        <w:t xml:space="preserve">. </w:t>
      </w:r>
      <w:r w:rsidR="00B6596B">
        <w:rPr>
          <w:rFonts w:asciiTheme="majorHAnsi" w:hAnsiTheme="majorHAnsi" w:cs="Arial"/>
          <w:color w:val="auto"/>
          <w:sz w:val="16"/>
          <w:szCs w:val="16"/>
        </w:rPr>
        <w:t xml:space="preserve">Case </w:t>
      </w:r>
      <w:r w:rsidR="00775F21">
        <w:rPr>
          <w:rFonts w:asciiTheme="majorHAnsi" w:hAnsiTheme="majorHAnsi" w:cs="Arial"/>
          <w:color w:val="auto"/>
          <w:sz w:val="16"/>
          <w:szCs w:val="16"/>
        </w:rPr>
        <w:t xml:space="preserve">of </w:t>
      </w:r>
      <w:r w:rsidRPr="00A51861">
        <w:rPr>
          <w:rFonts w:asciiTheme="majorHAnsi" w:hAnsiTheme="majorHAnsi" w:cs="Arial"/>
          <w:color w:val="auto"/>
          <w:sz w:val="16"/>
          <w:szCs w:val="16"/>
        </w:rPr>
        <w:t>Furlan</w:t>
      </w:r>
      <w:r w:rsidR="00B6596B">
        <w:rPr>
          <w:rFonts w:asciiTheme="majorHAnsi" w:hAnsiTheme="majorHAnsi" w:cs="Arial"/>
          <w:color w:val="auto"/>
          <w:sz w:val="16"/>
          <w:szCs w:val="16"/>
        </w:rPr>
        <w:t xml:space="preserve"> and </w:t>
      </w:r>
      <w:r w:rsidR="00F406E1">
        <w:rPr>
          <w:rFonts w:asciiTheme="majorHAnsi" w:hAnsiTheme="majorHAnsi" w:cs="Arial"/>
          <w:color w:val="auto"/>
          <w:sz w:val="16"/>
          <w:szCs w:val="16"/>
        </w:rPr>
        <w:t>family</w:t>
      </w:r>
      <w:r w:rsidRPr="00A51861">
        <w:rPr>
          <w:rFonts w:asciiTheme="majorHAnsi" w:hAnsiTheme="majorHAnsi" w:cs="Arial"/>
          <w:color w:val="auto"/>
          <w:sz w:val="16"/>
          <w:szCs w:val="16"/>
        </w:rPr>
        <w:t xml:space="preserve"> Vs. Argentina. </w:t>
      </w:r>
      <w:r w:rsidR="00357129">
        <w:rPr>
          <w:rFonts w:asciiTheme="majorHAnsi" w:hAnsiTheme="majorHAnsi" w:cs="Arial"/>
          <w:color w:val="auto"/>
          <w:sz w:val="16"/>
          <w:szCs w:val="16"/>
        </w:rPr>
        <w:t>Exceptions, Preliminary Exceptions, Merits, Reparations and Costs</w:t>
      </w:r>
      <w:r w:rsidRPr="00A51861">
        <w:rPr>
          <w:rFonts w:asciiTheme="majorHAnsi" w:hAnsiTheme="majorHAnsi" w:cs="Arial"/>
          <w:color w:val="auto"/>
          <w:sz w:val="16"/>
          <w:szCs w:val="16"/>
        </w:rPr>
        <w:t xml:space="preserve">. </w:t>
      </w:r>
      <w:r w:rsidR="004E56A9">
        <w:rPr>
          <w:rFonts w:asciiTheme="majorHAnsi" w:hAnsiTheme="majorHAnsi" w:cs="Arial"/>
          <w:color w:val="auto"/>
          <w:sz w:val="16"/>
          <w:szCs w:val="16"/>
        </w:rPr>
        <w:t>Judgment</w:t>
      </w:r>
      <w:r w:rsidRPr="00A51861">
        <w:rPr>
          <w:rFonts w:asciiTheme="majorHAnsi" w:hAnsiTheme="majorHAnsi" w:cs="Arial"/>
          <w:color w:val="auto"/>
          <w:sz w:val="16"/>
          <w:szCs w:val="16"/>
        </w:rPr>
        <w:t xml:space="preserve"> </w:t>
      </w:r>
      <w:r w:rsidR="00357129">
        <w:rPr>
          <w:rFonts w:asciiTheme="majorHAnsi" w:hAnsiTheme="majorHAnsi" w:cs="Arial"/>
          <w:color w:val="auto"/>
          <w:sz w:val="16"/>
          <w:szCs w:val="16"/>
        </w:rPr>
        <w:t xml:space="preserve">of August 31, </w:t>
      </w:r>
      <w:r w:rsidRPr="00A51861">
        <w:rPr>
          <w:rFonts w:asciiTheme="majorHAnsi" w:hAnsiTheme="majorHAnsi" w:cs="Arial"/>
          <w:color w:val="auto"/>
          <w:sz w:val="16"/>
          <w:szCs w:val="16"/>
        </w:rPr>
        <w:t xml:space="preserve">2012. Serie C No. 246. </w:t>
      </w:r>
      <w:r w:rsidR="00357129">
        <w:rPr>
          <w:rFonts w:asciiTheme="majorHAnsi" w:hAnsiTheme="majorHAnsi" w:cs="Arial"/>
          <w:color w:val="auto"/>
          <w:sz w:val="16"/>
          <w:szCs w:val="16"/>
        </w:rPr>
        <w:t xml:space="preserve">Para. </w:t>
      </w:r>
      <w:r w:rsidRPr="00A51861">
        <w:rPr>
          <w:rFonts w:asciiTheme="majorHAnsi" w:hAnsiTheme="majorHAnsi" w:cs="Arial"/>
          <w:color w:val="auto"/>
          <w:sz w:val="16"/>
          <w:szCs w:val="16"/>
        </w:rPr>
        <w:t>267.</w:t>
      </w:r>
    </w:p>
  </w:footnote>
  <w:footnote w:id="232">
    <w:p w14:paraId="6F30866C" w14:textId="6D2CC1B1" w:rsidR="00F40E67" w:rsidRPr="00A51861" w:rsidRDefault="00F40E67" w:rsidP="0063693D">
      <w:pPr>
        <w:pStyle w:val="FootnoteText"/>
        <w:jc w:val="both"/>
        <w:rPr>
          <w:rFonts w:asciiTheme="majorHAnsi" w:hAnsiTheme="majorHAnsi" w:cs="Arial"/>
          <w:color w:val="auto"/>
          <w:sz w:val="16"/>
          <w:szCs w:val="16"/>
        </w:rPr>
      </w:pPr>
      <w:r w:rsidRPr="00A51861">
        <w:rPr>
          <w:rStyle w:val="FootnoteReference"/>
          <w:rFonts w:asciiTheme="majorHAnsi" w:hAnsiTheme="majorHAnsi" w:cs="Arial"/>
          <w:color w:val="auto"/>
          <w:sz w:val="16"/>
          <w:szCs w:val="16"/>
        </w:rPr>
        <w:footnoteRef/>
      </w:r>
      <w:r w:rsidRPr="00A51861">
        <w:rPr>
          <w:rFonts w:asciiTheme="majorHAnsi" w:hAnsiTheme="majorHAnsi" w:cs="Arial"/>
          <w:color w:val="auto"/>
          <w:sz w:val="16"/>
          <w:szCs w:val="16"/>
        </w:rPr>
        <w:t xml:space="preserve"> </w:t>
      </w:r>
      <w:r w:rsidR="00036743">
        <w:rPr>
          <w:rFonts w:asciiTheme="majorHAnsi" w:hAnsiTheme="majorHAnsi" w:cs="Arial"/>
          <w:color w:val="auto"/>
          <w:sz w:val="16"/>
          <w:szCs w:val="16"/>
        </w:rPr>
        <w:t>IHR Court</w:t>
      </w:r>
      <w:r w:rsidRPr="00A51861">
        <w:rPr>
          <w:rFonts w:asciiTheme="majorHAnsi" w:hAnsiTheme="majorHAnsi" w:cs="Arial"/>
          <w:color w:val="auto"/>
          <w:sz w:val="16"/>
          <w:szCs w:val="16"/>
        </w:rPr>
        <w:t xml:space="preserve">. </w:t>
      </w:r>
      <w:r w:rsidR="00310943">
        <w:rPr>
          <w:rFonts w:asciiTheme="majorHAnsi" w:hAnsiTheme="majorHAnsi" w:cs="Arial"/>
          <w:color w:val="auto"/>
          <w:sz w:val="16"/>
          <w:szCs w:val="16"/>
        </w:rPr>
        <w:t>Proposal of modification to the Political Constitution of Costa Rica concerning naturalization</w:t>
      </w:r>
      <w:r w:rsidRPr="00A51861">
        <w:rPr>
          <w:rFonts w:asciiTheme="majorHAnsi" w:hAnsiTheme="majorHAnsi" w:cs="Arial"/>
          <w:color w:val="auto"/>
          <w:sz w:val="16"/>
          <w:szCs w:val="16"/>
        </w:rPr>
        <w:t xml:space="preserve">. </w:t>
      </w:r>
      <w:r w:rsidR="00357129">
        <w:rPr>
          <w:rFonts w:asciiTheme="majorHAnsi" w:hAnsiTheme="majorHAnsi" w:cs="Arial"/>
          <w:color w:val="auto"/>
          <w:sz w:val="16"/>
          <w:szCs w:val="16"/>
        </w:rPr>
        <w:t xml:space="preserve">Advisory Opinion </w:t>
      </w:r>
      <w:r w:rsidRPr="00A51861">
        <w:rPr>
          <w:rFonts w:asciiTheme="majorHAnsi" w:hAnsiTheme="majorHAnsi" w:cs="Arial"/>
          <w:color w:val="auto"/>
          <w:sz w:val="16"/>
          <w:szCs w:val="16"/>
        </w:rPr>
        <w:t xml:space="preserve">OC4/84 </w:t>
      </w:r>
      <w:r w:rsidR="00310943">
        <w:rPr>
          <w:rFonts w:asciiTheme="majorHAnsi" w:hAnsiTheme="majorHAnsi" w:cs="Arial"/>
          <w:color w:val="auto"/>
          <w:sz w:val="16"/>
          <w:szCs w:val="16"/>
        </w:rPr>
        <w:t xml:space="preserve">of January 19, </w:t>
      </w:r>
      <w:r w:rsidRPr="00A51861">
        <w:rPr>
          <w:rFonts w:asciiTheme="majorHAnsi" w:hAnsiTheme="majorHAnsi" w:cs="Arial"/>
          <w:color w:val="auto"/>
          <w:sz w:val="16"/>
          <w:szCs w:val="16"/>
        </w:rPr>
        <w:t xml:space="preserve">1984. Serie A No. 4. </w:t>
      </w:r>
      <w:r w:rsidR="00EC34EF">
        <w:rPr>
          <w:rFonts w:asciiTheme="majorHAnsi" w:hAnsiTheme="majorHAnsi" w:cs="Arial"/>
          <w:color w:val="auto"/>
          <w:sz w:val="16"/>
          <w:szCs w:val="16"/>
        </w:rPr>
        <w:t xml:space="preserve">Para. </w:t>
      </w:r>
      <w:r w:rsidRPr="00A51861">
        <w:rPr>
          <w:rFonts w:asciiTheme="majorHAnsi" w:hAnsiTheme="majorHAnsi" w:cs="Arial"/>
          <w:color w:val="auto"/>
          <w:sz w:val="16"/>
          <w:szCs w:val="16"/>
        </w:rPr>
        <w:t>55</w:t>
      </w:r>
      <w:r w:rsidR="00B6596B">
        <w:rPr>
          <w:rFonts w:asciiTheme="majorHAnsi" w:hAnsiTheme="majorHAnsi" w:cs="Arial"/>
          <w:color w:val="auto"/>
          <w:sz w:val="16"/>
          <w:szCs w:val="16"/>
        </w:rPr>
        <w:t xml:space="preserve"> and </w:t>
      </w:r>
      <w:r w:rsidRPr="00A51861">
        <w:rPr>
          <w:rFonts w:asciiTheme="majorHAnsi" w:hAnsiTheme="majorHAnsi" w:cs="Arial"/>
          <w:color w:val="auto"/>
          <w:sz w:val="16"/>
          <w:szCs w:val="16"/>
        </w:rPr>
        <w:t xml:space="preserve">56. </w:t>
      </w:r>
      <w:r w:rsidR="00310943">
        <w:rPr>
          <w:rFonts w:asciiTheme="majorHAnsi" w:hAnsiTheme="majorHAnsi" w:cs="Arial"/>
          <w:color w:val="auto"/>
          <w:sz w:val="16"/>
          <w:szCs w:val="16"/>
        </w:rPr>
        <w:t>O</w:t>
      </w:r>
      <w:r w:rsidRPr="00A51861">
        <w:rPr>
          <w:rFonts w:asciiTheme="majorHAnsi" w:hAnsiTheme="majorHAnsi" w:cs="Arial"/>
          <w:color w:val="auto"/>
          <w:sz w:val="16"/>
          <w:szCs w:val="16"/>
        </w:rPr>
        <w:t xml:space="preserve">n </w:t>
      </w:r>
      <w:r w:rsidR="00B6596B">
        <w:rPr>
          <w:rFonts w:asciiTheme="majorHAnsi" w:hAnsiTheme="majorHAnsi" w:cs="Arial"/>
          <w:color w:val="auto"/>
          <w:sz w:val="16"/>
          <w:szCs w:val="16"/>
        </w:rPr>
        <w:t>para.</w:t>
      </w:r>
      <w:r w:rsidRPr="00A51861">
        <w:rPr>
          <w:rFonts w:asciiTheme="majorHAnsi" w:hAnsiTheme="majorHAnsi" w:cs="Arial"/>
          <w:color w:val="auto"/>
          <w:sz w:val="16"/>
          <w:szCs w:val="16"/>
        </w:rPr>
        <w:t xml:space="preserve"> 56 </w:t>
      </w:r>
      <w:r w:rsidR="00310943">
        <w:rPr>
          <w:rFonts w:asciiTheme="majorHAnsi" w:hAnsiTheme="majorHAnsi" w:cs="Arial"/>
          <w:color w:val="auto"/>
          <w:sz w:val="16"/>
          <w:szCs w:val="16"/>
        </w:rPr>
        <w:t>referring to</w:t>
      </w:r>
      <w:r w:rsidRPr="00A51861">
        <w:rPr>
          <w:rFonts w:asciiTheme="majorHAnsi" w:hAnsiTheme="majorHAnsi" w:cs="Arial"/>
          <w:color w:val="auto"/>
          <w:sz w:val="16"/>
          <w:szCs w:val="16"/>
        </w:rPr>
        <w:t xml:space="preserve"> Eur. Ct. H.R., Case "Relating to certain aspects of the laws on the use of languages in education in Belgium" (Merits), Judgment of </w:t>
      </w:r>
      <w:r w:rsidR="00310943">
        <w:rPr>
          <w:rFonts w:asciiTheme="majorHAnsi" w:hAnsiTheme="majorHAnsi" w:cs="Arial"/>
          <w:color w:val="auto"/>
          <w:sz w:val="16"/>
          <w:szCs w:val="16"/>
        </w:rPr>
        <w:t>July 23,</w:t>
      </w:r>
      <w:r w:rsidRPr="00A51861">
        <w:rPr>
          <w:rFonts w:asciiTheme="majorHAnsi" w:hAnsiTheme="majorHAnsi" w:cs="Arial"/>
          <w:color w:val="auto"/>
          <w:sz w:val="16"/>
          <w:szCs w:val="16"/>
        </w:rPr>
        <w:t xml:space="preserve"> 1968, </w:t>
      </w:r>
      <w:r w:rsidR="00310943">
        <w:rPr>
          <w:rFonts w:asciiTheme="majorHAnsi" w:hAnsiTheme="majorHAnsi" w:cs="Arial"/>
          <w:color w:val="auto"/>
          <w:sz w:val="16"/>
          <w:szCs w:val="16"/>
        </w:rPr>
        <w:t>page</w:t>
      </w:r>
      <w:r w:rsidRPr="00A51861">
        <w:rPr>
          <w:rFonts w:asciiTheme="majorHAnsi" w:hAnsiTheme="majorHAnsi" w:cs="Arial"/>
          <w:color w:val="auto"/>
          <w:sz w:val="16"/>
          <w:szCs w:val="16"/>
        </w:rPr>
        <w:t xml:space="preserve"> 34</w:t>
      </w:r>
    </w:p>
  </w:footnote>
  <w:footnote w:id="233">
    <w:p w14:paraId="33A1C3AA" w14:textId="477B34B5" w:rsidR="00F40E67" w:rsidRPr="00A51861" w:rsidRDefault="00F40E67" w:rsidP="0063693D">
      <w:pPr>
        <w:pStyle w:val="FootnoteText"/>
        <w:jc w:val="both"/>
        <w:rPr>
          <w:rFonts w:asciiTheme="majorHAnsi" w:hAnsiTheme="majorHAnsi" w:cs="Arial"/>
          <w:color w:val="auto"/>
          <w:sz w:val="16"/>
          <w:szCs w:val="16"/>
        </w:rPr>
      </w:pPr>
      <w:r w:rsidRPr="00A51861">
        <w:rPr>
          <w:rStyle w:val="FootnoteReference"/>
          <w:rFonts w:asciiTheme="majorHAnsi" w:hAnsiTheme="majorHAnsi" w:cs="Arial"/>
          <w:color w:val="auto"/>
          <w:sz w:val="16"/>
          <w:szCs w:val="16"/>
        </w:rPr>
        <w:footnoteRef/>
      </w:r>
      <w:r w:rsidRPr="00A51861">
        <w:rPr>
          <w:rFonts w:asciiTheme="majorHAnsi" w:hAnsiTheme="majorHAnsi" w:cs="Arial"/>
          <w:color w:val="auto"/>
          <w:sz w:val="16"/>
          <w:szCs w:val="16"/>
        </w:rPr>
        <w:t xml:space="preserve"> </w:t>
      </w:r>
      <w:r w:rsidR="00036743">
        <w:rPr>
          <w:rFonts w:asciiTheme="majorHAnsi" w:hAnsiTheme="majorHAnsi" w:cs="Arial"/>
          <w:color w:val="auto"/>
          <w:sz w:val="16"/>
          <w:szCs w:val="16"/>
        </w:rPr>
        <w:t>IHR Court</w:t>
      </w:r>
      <w:r w:rsidRPr="00A51861">
        <w:rPr>
          <w:rFonts w:asciiTheme="majorHAnsi" w:hAnsiTheme="majorHAnsi" w:cs="Arial"/>
          <w:color w:val="auto"/>
          <w:sz w:val="16"/>
          <w:szCs w:val="16"/>
        </w:rPr>
        <w:t xml:space="preserve">. </w:t>
      </w:r>
      <w:r w:rsidR="00B6596B">
        <w:rPr>
          <w:rFonts w:asciiTheme="majorHAnsi" w:hAnsiTheme="majorHAnsi" w:cs="Arial"/>
          <w:color w:val="auto"/>
          <w:sz w:val="16"/>
          <w:szCs w:val="16"/>
        </w:rPr>
        <w:t xml:space="preserve">Case </w:t>
      </w:r>
      <w:r w:rsidRPr="00A51861">
        <w:rPr>
          <w:rFonts w:asciiTheme="majorHAnsi" w:hAnsiTheme="majorHAnsi" w:cs="Arial"/>
          <w:color w:val="auto"/>
          <w:sz w:val="16"/>
          <w:szCs w:val="16"/>
        </w:rPr>
        <w:t xml:space="preserve">Almeida Vs. Argentina. </w:t>
      </w:r>
      <w:r w:rsidR="00B6596B">
        <w:rPr>
          <w:rFonts w:asciiTheme="majorHAnsi" w:hAnsiTheme="majorHAnsi" w:cs="Arial"/>
          <w:color w:val="auto"/>
          <w:sz w:val="16"/>
          <w:szCs w:val="16"/>
        </w:rPr>
        <w:t>Merits</w:t>
      </w:r>
      <w:r w:rsidRPr="00A51861">
        <w:rPr>
          <w:rFonts w:asciiTheme="majorHAnsi" w:hAnsiTheme="majorHAnsi" w:cs="Arial"/>
          <w:color w:val="auto"/>
          <w:sz w:val="16"/>
          <w:szCs w:val="16"/>
        </w:rPr>
        <w:t xml:space="preserve">, </w:t>
      </w:r>
      <w:r w:rsidR="00357129">
        <w:rPr>
          <w:rFonts w:asciiTheme="majorHAnsi" w:hAnsiTheme="majorHAnsi" w:cs="Arial"/>
          <w:color w:val="auto"/>
          <w:sz w:val="16"/>
          <w:szCs w:val="16"/>
        </w:rPr>
        <w:t>Reparations and Costs</w:t>
      </w:r>
      <w:r w:rsidRPr="00A51861">
        <w:rPr>
          <w:rFonts w:asciiTheme="majorHAnsi" w:hAnsiTheme="majorHAnsi" w:cs="Arial"/>
          <w:color w:val="auto"/>
          <w:sz w:val="16"/>
          <w:szCs w:val="16"/>
        </w:rPr>
        <w:t xml:space="preserve">. </w:t>
      </w:r>
      <w:r w:rsidR="004E56A9">
        <w:rPr>
          <w:rFonts w:asciiTheme="majorHAnsi" w:hAnsiTheme="majorHAnsi" w:cs="Arial"/>
          <w:color w:val="auto"/>
          <w:sz w:val="16"/>
          <w:szCs w:val="16"/>
        </w:rPr>
        <w:t>Judgment</w:t>
      </w:r>
      <w:r w:rsidRPr="00A51861">
        <w:rPr>
          <w:rFonts w:asciiTheme="majorHAnsi" w:hAnsiTheme="majorHAnsi" w:cs="Arial"/>
          <w:color w:val="auto"/>
          <w:sz w:val="16"/>
          <w:szCs w:val="16"/>
        </w:rPr>
        <w:t xml:space="preserve"> </w:t>
      </w:r>
      <w:r w:rsidR="00E46E31">
        <w:rPr>
          <w:rFonts w:asciiTheme="majorHAnsi" w:hAnsiTheme="majorHAnsi" w:cs="Arial"/>
          <w:color w:val="auto"/>
          <w:sz w:val="16"/>
          <w:szCs w:val="16"/>
        </w:rPr>
        <w:t xml:space="preserve">of November 17, </w:t>
      </w:r>
      <w:r w:rsidRPr="00A51861">
        <w:rPr>
          <w:rFonts w:asciiTheme="majorHAnsi" w:hAnsiTheme="majorHAnsi" w:cs="Arial"/>
          <w:color w:val="auto"/>
          <w:sz w:val="16"/>
          <w:szCs w:val="16"/>
        </w:rPr>
        <w:t>2020. Serie C No. 416.</w:t>
      </w:r>
    </w:p>
  </w:footnote>
  <w:footnote w:id="234">
    <w:p w14:paraId="5FDC0FEC" w14:textId="1D7BFDDF" w:rsidR="00F40E67" w:rsidRPr="00A51861" w:rsidRDefault="00F40E67" w:rsidP="0063693D">
      <w:pPr>
        <w:pStyle w:val="FootnoteText"/>
        <w:jc w:val="both"/>
        <w:rPr>
          <w:rFonts w:asciiTheme="majorHAnsi" w:hAnsiTheme="majorHAnsi" w:cs="Arial"/>
          <w:color w:val="auto"/>
          <w:sz w:val="16"/>
          <w:szCs w:val="16"/>
        </w:rPr>
      </w:pPr>
      <w:r w:rsidRPr="00A51861">
        <w:rPr>
          <w:rStyle w:val="FootnoteReference"/>
          <w:rFonts w:asciiTheme="majorHAnsi" w:hAnsiTheme="majorHAnsi" w:cs="Arial"/>
          <w:color w:val="auto"/>
          <w:sz w:val="16"/>
          <w:szCs w:val="16"/>
        </w:rPr>
        <w:footnoteRef/>
      </w:r>
      <w:r w:rsidRPr="00A51861">
        <w:rPr>
          <w:rFonts w:asciiTheme="majorHAnsi" w:hAnsiTheme="majorHAnsi" w:cs="Arial"/>
          <w:color w:val="auto"/>
          <w:sz w:val="16"/>
          <w:szCs w:val="16"/>
        </w:rPr>
        <w:t xml:space="preserve"> </w:t>
      </w:r>
      <w:r w:rsidR="000E67CA">
        <w:rPr>
          <w:rFonts w:asciiTheme="majorHAnsi" w:hAnsiTheme="majorHAnsi" w:cs="Arial"/>
          <w:color w:val="auto"/>
          <w:sz w:val="16"/>
          <w:szCs w:val="16"/>
        </w:rPr>
        <w:t>IACHR</w:t>
      </w:r>
      <w:r w:rsidRPr="00A51861">
        <w:rPr>
          <w:rFonts w:asciiTheme="majorHAnsi" w:hAnsiTheme="majorHAnsi" w:cs="Arial"/>
          <w:color w:val="auto"/>
          <w:sz w:val="16"/>
          <w:szCs w:val="16"/>
        </w:rPr>
        <w:t>.</w:t>
      </w:r>
      <w:r w:rsidR="000E67CA">
        <w:rPr>
          <w:rFonts w:asciiTheme="majorHAnsi" w:hAnsiTheme="majorHAnsi" w:cs="Arial"/>
          <w:color w:val="auto"/>
          <w:sz w:val="16"/>
          <w:szCs w:val="16"/>
        </w:rPr>
        <w:t xml:space="preserve"> Report </w:t>
      </w:r>
      <w:r w:rsidRPr="00A51861">
        <w:rPr>
          <w:rFonts w:asciiTheme="majorHAnsi" w:hAnsiTheme="majorHAnsi" w:cs="Arial"/>
          <w:color w:val="auto"/>
          <w:sz w:val="16"/>
          <w:szCs w:val="16"/>
        </w:rPr>
        <w:t xml:space="preserve">No. 73/00. </w:t>
      </w:r>
      <w:r w:rsidR="00B6596B">
        <w:rPr>
          <w:rFonts w:asciiTheme="majorHAnsi" w:hAnsiTheme="majorHAnsi" w:cs="Arial"/>
          <w:color w:val="auto"/>
          <w:sz w:val="16"/>
          <w:szCs w:val="16"/>
        </w:rPr>
        <w:t xml:space="preserve">Case </w:t>
      </w:r>
      <w:r w:rsidRPr="00A51861">
        <w:rPr>
          <w:rFonts w:asciiTheme="majorHAnsi" w:hAnsiTheme="majorHAnsi" w:cs="Arial"/>
          <w:color w:val="auto"/>
          <w:sz w:val="16"/>
          <w:szCs w:val="16"/>
        </w:rPr>
        <w:t xml:space="preserve">11.784. Marcelino Hanríquez </w:t>
      </w:r>
      <w:r w:rsidR="00061928">
        <w:rPr>
          <w:rFonts w:asciiTheme="majorHAnsi" w:hAnsiTheme="majorHAnsi" w:cs="Arial"/>
          <w:color w:val="auto"/>
          <w:sz w:val="16"/>
          <w:szCs w:val="16"/>
        </w:rPr>
        <w:t xml:space="preserve">and others. </w:t>
      </w:r>
      <w:r w:rsidRPr="00A51861">
        <w:rPr>
          <w:rFonts w:asciiTheme="majorHAnsi" w:hAnsiTheme="majorHAnsi" w:cs="Arial"/>
          <w:color w:val="auto"/>
          <w:sz w:val="16"/>
          <w:szCs w:val="16"/>
        </w:rPr>
        <w:t xml:space="preserve">Argentina. </w:t>
      </w:r>
      <w:r w:rsidR="00575F2F">
        <w:rPr>
          <w:rFonts w:asciiTheme="majorHAnsi" w:hAnsiTheme="majorHAnsi" w:cs="Arial"/>
          <w:color w:val="auto"/>
          <w:sz w:val="16"/>
          <w:szCs w:val="16"/>
        </w:rPr>
        <w:t xml:space="preserve">October 3, </w:t>
      </w:r>
      <w:r w:rsidRPr="00A51861">
        <w:rPr>
          <w:rFonts w:asciiTheme="majorHAnsi" w:hAnsiTheme="majorHAnsi" w:cs="Arial"/>
          <w:color w:val="auto"/>
          <w:sz w:val="16"/>
          <w:szCs w:val="16"/>
        </w:rPr>
        <w:t xml:space="preserve">2000, </w:t>
      </w:r>
      <w:r w:rsidR="00EC34EF">
        <w:rPr>
          <w:rFonts w:asciiTheme="majorHAnsi" w:hAnsiTheme="majorHAnsi" w:cs="Arial"/>
          <w:color w:val="auto"/>
          <w:sz w:val="16"/>
          <w:szCs w:val="16"/>
        </w:rPr>
        <w:t xml:space="preserve">para. </w:t>
      </w:r>
      <w:r w:rsidRPr="00A51861">
        <w:rPr>
          <w:rFonts w:asciiTheme="majorHAnsi" w:hAnsiTheme="majorHAnsi" w:cs="Arial"/>
          <w:color w:val="auto"/>
          <w:sz w:val="16"/>
          <w:szCs w:val="16"/>
        </w:rPr>
        <w:t>47-48.</w:t>
      </w:r>
    </w:p>
  </w:footnote>
  <w:footnote w:id="235">
    <w:p w14:paraId="185BAF4C" w14:textId="4B0063D6" w:rsidR="00F40E67" w:rsidRPr="00A51861" w:rsidRDefault="00F40E67" w:rsidP="0063693D">
      <w:pPr>
        <w:pStyle w:val="FootnoteText"/>
        <w:jc w:val="both"/>
        <w:rPr>
          <w:rFonts w:asciiTheme="majorHAnsi" w:hAnsiTheme="majorHAnsi" w:cs="Arial"/>
          <w:color w:val="auto"/>
          <w:sz w:val="16"/>
          <w:szCs w:val="16"/>
        </w:rPr>
      </w:pPr>
      <w:r w:rsidRPr="00A51861">
        <w:rPr>
          <w:rStyle w:val="FootnoteReference"/>
          <w:rFonts w:asciiTheme="majorHAnsi" w:hAnsiTheme="majorHAnsi" w:cs="Arial"/>
          <w:color w:val="auto"/>
          <w:sz w:val="16"/>
          <w:szCs w:val="16"/>
        </w:rPr>
        <w:footnoteRef/>
      </w:r>
      <w:r w:rsidRPr="00A51861">
        <w:rPr>
          <w:rFonts w:asciiTheme="majorHAnsi" w:hAnsiTheme="majorHAnsi" w:cs="Arial"/>
          <w:color w:val="auto"/>
          <w:sz w:val="16"/>
          <w:szCs w:val="16"/>
        </w:rPr>
        <w:t xml:space="preserve"> </w:t>
      </w:r>
      <w:r w:rsidR="000E67CA">
        <w:rPr>
          <w:rFonts w:asciiTheme="majorHAnsi" w:hAnsiTheme="majorHAnsi" w:cs="Arial"/>
          <w:color w:val="auto"/>
          <w:sz w:val="16"/>
          <w:szCs w:val="16"/>
        </w:rPr>
        <w:t>IACHR</w:t>
      </w:r>
      <w:r w:rsidRPr="00A51861">
        <w:rPr>
          <w:rFonts w:asciiTheme="majorHAnsi" w:hAnsiTheme="majorHAnsi" w:cs="Arial"/>
          <w:color w:val="auto"/>
          <w:sz w:val="16"/>
          <w:szCs w:val="16"/>
        </w:rPr>
        <w:t>.</w:t>
      </w:r>
      <w:r w:rsidR="000E67CA">
        <w:rPr>
          <w:rFonts w:asciiTheme="majorHAnsi" w:hAnsiTheme="majorHAnsi" w:cs="Arial"/>
          <w:color w:val="auto"/>
          <w:sz w:val="16"/>
          <w:szCs w:val="16"/>
        </w:rPr>
        <w:t xml:space="preserve"> Report </w:t>
      </w:r>
      <w:r w:rsidRPr="00A51861">
        <w:rPr>
          <w:rFonts w:asciiTheme="majorHAnsi" w:hAnsiTheme="majorHAnsi" w:cs="Arial"/>
          <w:color w:val="auto"/>
          <w:sz w:val="16"/>
          <w:szCs w:val="16"/>
        </w:rPr>
        <w:t xml:space="preserve">No. 73/00. </w:t>
      </w:r>
      <w:r w:rsidR="00B6596B">
        <w:rPr>
          <w:rFonts w:asciiTheme="majorHAnsi" w:hAnsiTheme="majorHAnsi" w:cs="Arial"/>
          <w:color w:val="auto"/>
          <w:sz w:val="16"/>
          <w:szCs w:val="16"/>
        </w:rPr>
        <w:t xml:space="preserve">Case </w:t>
      </w:r>
      <w:r w:rsidRPr="00A51861">
        <w:rPr>
          <w:rFonts w:asciiTheme="majorHAnsi" w:hAnsiTheme="majorHAnsi" w:cs="Arial"/>
          <w:color w:val="auto"/>
          <w:sz w:val="16"/>
          <w:szCs w:val="16"/>
        </w:rPr>
        <w:t xml:space="preserve">11.784. Marcelino Hanríquez </w:t>
      </w:r>
      <w:r w:rsidR="00061928">
        <w:rPr>
          <w:rFonts w:asciiTheme="majorHAnsi" w:hAnsiTheme="majorHAnsi" w:cs="Arial"/>
          <w:color w:val="auto"/>
          <w:sz w:val="16"/>
          <w:szCs w:val="16"/>
        </w:rPr>
        <w:t xml:space="preserve">and others. </w:t>
      </w:r>
      <w:r w:rsidRPr="00A51861">
        <w:rPr>
          <w:rFonts w:asciiTheme="majorHAnsi" w:hAnsiTheme="majorHAnsi" w:cs="Arial"/>
          <w:color w:val="auto"/>
          <w:sz w:val="16"/>
          <w:szCs w:val="16"/>
        </w:rPr>
        <w:t xml:space="preserve">Argentina. </w:t>
      </w:r>
      <w:r w:rsidR="00575F2F">
        <w:rPr>
          <w:rFonts w:asciiTheme="majorHAnsi" w:hAnsiTheme="majorHAnsi" w:cs="Arial"/>
          <w:color w:val="auto"/>
          <w:sz w:val="16"/>
          <w:szCs w:val="16"/>
        </w:rPr>
        <w:t xml:space="preserve">October 3, </w:t>
      </w:r>
      <w:r w:rsidRPr="00A51861">
        <w:rPr>
          <w:rFonts w:asciiTheme="majorHAnsi" w:hAnsiTheme="majorHAnsi" w:cs="Arial"/>
          <w:color w:val="auto"/>
          <w:sz w:val="16"/>
          <w:szCs w:val="16"/>
        </w:rPr>
        <w:t xml:space="preserve">2000, </w:t>
      </w:r>
      <w:r w:rsidR="00B6596B">
        <w:rPr>
          <w:rFonts w:asciiTheme="majorHAnsi" w:hAnsiTheme="majorHAnsi" w:cs="Arial"/>
          <w:color w:val="auto"/>
          <w:sz w:val="16"/>
          <w:szCs w:val="16"/>
        </w:rPr>
        <w:t>para.</w:t>
      </w:r>
      <w:r w:rsidRPr="00A51861">
        <w:rPr>
          <w:rFonts w:asciiTheme="majorHAnsi" w:hAnsiTheme="majorHAnsi" w:cs="Arial"/>
          <w:color w:val="auto"/>
          <w:sz w:val="16"/>
          <w:szCs w:val="16"/>
        </w:rPr>
        <w:t xml:space="preserve"> 48</w:t>
      </w:r>
    </w:p>
  </w:footnote>
  <w:footnote w:id="236">
    <w:p w14:paraId="1060B2EE" w14:textId="2C5F9AF6" w:rsidR="00F40E67" w:rsidRPr="00A51861" w:rsidRDefault="00F40E67" w:rsidP="0063693D">
      <w:pPr>
        <w:pStyle w:val="FootnoteText"/>
        <w:jc w:val="both"/>
        <w:rPr>
          <w:rFonts w:asciiTheme="majorHAnsi" w:hAnsiTheme="majorHAnsi" w:cs="Arial"/>
          <w:color w:val="auto"/>
          <w:sz w:val="16"/>
          <w:szCs w:val="16"/>
        </w:rPr>
      </w:pPr>
      <w:r w:rsidRPr="00A51861">
        <w:rPr>
          <w:rStyle w:val="FootnoteReference"/>
          <w:rFonts w:asciiTheme="majorHAnsi" w:hAnsiTheme="majorHAnsi" w:cs="Arial"/>
          <w:color w:val="auto"/>
          <w:sz w:val="16"/>
          <w:szCs w:val="16"/>
        </w:rPr>
        <w:footnoteRef/>
      </w:r>
      <w:r w:rsidRPr="00A51861">
        <w:rPr>
          <w:rFonts w:asciiTheme="majorHAnsi" w:hAnsiTheme="majorHAnsi" w:cs="Arial"/>
          <w:color w:val="auto"/>
          <w:sz w:val="16"/>
          <w:szCs w:val="16"/>
        </w:rPr>
        <w:t xml:space="preserve"> 9 </w:t>
      </w:r>
      <w:r w:rsidR="000E67CA">
        <w:rPr>
          <w:rFonts w:asciiTheme="majorHAnsi" w:hAnsiTheme="majorHAnsi" w:cs="Arial"/>
          <w:color w:val="auto"/>
          <w:sz w:val="16"/>
          <w:szCs w:val="16"/>
        </w:rPr>
        <w:t>IACHR</w:t>
      </w:r>
      <w:r w:rsidRPr="00A51861">
        <w:rPr>
          <w:rFonts w:asciiTheme="majorHAnsi" w:hAnsiTheme="majorHAnsi" w:cs="Arial"/>
          <w:color w:val="auto"/>
          <w:sz w:val="16"/>
          <w:szCs w:val="16"/>
        </w:rPr>
        <w:t>.</w:t>
      </w:r>
      <w:r w:rsidR="000E67CA">
        <w:rPr>
          <w:rFonts w:asciiTheme="majorHAnsi" w:hAnsiTheme="majorHAnsi" w:cs="Arial"/>
          <w:color w:val="auto"/>
          <w:sz w:val="16"/>
          <w:szCs w:val="16"/>
        </w:rPr>
        <w:t xml:space="preserve"> Report </w:t>
      </w:r>
      <w:r w:rsidRPr="00A51861">
        <w:rPr>
          <w:rFonts w:asciiTheme="majorHAnsi" w:hAnsiTheme="majorHAnsi" w:cs="Arial"/>
          <w:color w:val="auto"/>
          <w:sz w:val="16"/>
          <w:szCs w:val="16"/>
        </w:rPr>
        <w:t xml:space="preserve">No. 73/00. </w:t>
      </w:r>
      <w:r w:rsidR="00B6596B">
        <w:rPr>
          <w:rFonts w:asciiTheme="majorHAnsi" w:hAnsiTheme="majorHAnsi" w:cs="Arial"/>
          <w:color w:val="auto"/>
          <w:sz w:val="16"/>
          <w:szCs w:val="16"/>
        </w:rPr>
        <w:t xml:space="preserve">Case </w:t>
      </w:r>
      <w:r w:rsidRPr="00A51861">
        <w:rPr>
          <w:rFonts w:asciiTheme="majorHAnsi" w:hAnsiTheme="majorHAnsi" w:cs="Arial"/>
          <w:color w:val="auto"/>
          <w:sz w:val="16"/>
          <w:szCs w:val="16"/>
        </w:rPr>
        <w:t xml:space="preserve">11.784. Marcelino Hanríquez </w:t>
      </w:r>
      <w:r w:rsidR="00061928">
        <w:rPr>
          <w:rFonts w:asciiTheme="majorHAnsi" w:hAnsiTheme="majorHAnsi" w:cs="Arial"/>
          <w:color w:val="auto"/>
          <w:sz w:val="16"/>
          <w:szCs w:val="16"/>
        </w:rPr>
        <w:t xml:space="preserve">and others. </w:t>
      </w:r>
      <w:r w:rsidRPr="00A51861">
        <w:rPr>
          <w:rFonts w:asciiTheme="majorHAnsi" w:hAnsiTheme="majorHAnsi" w:cs="Arial"/>
          <w:color w:val="auto"/>
          <w:sz w:val="16"/>
          <w:szCs w:val="16"/>
        </w:rPr>
        <w:t xml:space="preserve">Argentina. </w:t>
      </w:r>
      <w:r w:rsidR="00575F2F">
        <w:rPr>
          <w:rFonts w:asciiTheme="majorHAnsi" w:hAnsiTheme="majorHAnsi" w:cs="Arial"/>
          <w:color w:val="auto"/>
          <w:sz w:val="16"/>
          <w:szCs w:val="16"/>
        </w:rPr>
        <w:t xml:space="preserve">October 3, </w:t>
      </w:r>
      <w:r w:rsidRPr="00A51861">
        <w:rPr>
          <w:rFonts w:asciiTheme="majorHAnsi" w:hAnsiTheme="majorHAnsi" w:cs="Arial"/>
          <w:color w:val="auto"/>
          <w:sz w:val="16"/>
          <w:szCs w:val="16"/>
        </w:rPr>
        <w:t xml:space="preserve">2000, </w:t>
      </w:r>
      <w:r w:rsidR="00B6596B">
        <w:rPr>
          <w:rFonts w:asciiTheme="majorHAnsi" w:hAnsiTheme="majorHAnsi" w:cs="Arial"/>
          <w:color w:val="auto"/>
          <w:sz w:val="16"/>
          <w:szCs w:val="16"/>
        </w:rPr>
        <w:t>para.</w:t>
      </w:r>
      <w:r w:rsidRPr="00A51861">
        <w:rPr>
          <w:rFonts w:asciiTheme="majorHAnsi" w:hAnsiTheme="majorHAnsi" w:cs="Arial"/>
          <w:color w:val="auto"/>
          <w:sz w:val="16"/>
          <w:szCs w:val="16"/>
        </w:rPr>
        <w:t xml:space="preserve"> 49.</w:t>
      </w:r>
    </w:p>
  </w:footnote>
  <w:footnote w:id="237">
    <w:p w14:paraId="68BD1067" w14:textId="2C7545EE" w:rsidR="00F40E67" w:rsidRPr="00A51861" w:rsidRDefault="00F40E67" w:rsidP="0063693D">
      <w:pPr>
        <w:pStyle w:val="FootnoteText"/>
        <w:jc w:val="both"/>
        <w:rPr>
          <w:rFonts w:asciiTheme="majorHAnsi" w:hAnsiTheme="majorHAnsi" w:cs="Arial"/>
          <w:color w:val="auto"/>
          <w:sz w:val="16"/>
          <w:szCs w:val="16"/>
        </w:rPr>
      </w:pPr>
      <w:r w:rsidRPr="00A51861">
        <w:rPr>
          <w:rStyle w:val="FootnoteReference"/>
          <w:rFonts w:asciiTheme="majorHAnsi" w:hAnsiTheme="majorHAnsi" w:cs="Arial"/>
          <w:color w:val="auto"/>
          <w:sz w:val="16"/>
          <w:szCs w:val="16"/>
        </w:rPr>
        <w:footnoteRef/>
      </w:r>
      <w:r w:rsidRPr="00A51861">
        <w:rPr>
          <w:rFonts w:asciiTheme="majorHAnsi" w:hAnsiTheme="majorHAnsi" w:cs="Arial"/>
          <w:color w:val="auto"/>
          <w:sz w:val="16"/>
          <w:szCs w:val="16"/>
        </w:rPr>
        <w:t xml:space="preserve"> </w:t>
      </w:r>
      <w:r w:rsidR="000E67CA">
        <w:rPr>
          <w:rFonts w:asciiTheme="majorHAnsi" w:hAnsiTheme="majorHAnsi" w:cs="Arial"/>
          <w:color w:val="auto"/>
          <w:sz w:val="16"/>
          <w:szCs w:val="16"/>
        </w:rPr>
        <w:t>IACHR</w:t>
      </w:r>
      <w:r w:rsidRPr="00A51861">
        <w:rPr>
          <w:rFonts w:asciiTheme="majorHAnsi" w:hAnsiTheme="majorHAnsi" w:cs="Arial"/>
          <w:color w:val="auto"/>
          <w:sz w:val="16"/>
          <w:szCs w:val="16"/>
        </w:rPr>
        <w:t>.</w:t>
      </w:r>
      <w:r w:rsidR="000E67CA">
        <w:rPr>
          <w:rFonts w:asciiTheme="majorHAnsi" w:hAnsiTheme="majorHAnsi" w:cs="Arial"/>
          <w:color w:val="auto"/>
          <w:sz w:val="16"/>
          <w:szCs w:val="16"/>
        </w:rPr>
        <w:t xml:space="preserve"> Report </w:t>
      </w:r>
      <w:r w:rsidRPr="00A51861">
        <w:rPr>
          <w:rFonts w:asciiTheme="majorHAnsi" w:hAnsiTheme="majorHAnsi" w:cs="Arial"/>
          <w:color w:val="auto"/>
          <w:sz w:val="16"/>
          <w:szCs w:val="16"/>
        </w:rPr>
        <w:t xml:space="preserve">No. 73/00. </w:t>
      </w:r>
      <w:r w:rsidR="00B6596B">
        <w:rPr>
          <w:rFonts w:asciiTheme="majorHAnsi" w:hAnsiTheme="majorHAnsi" w:cs="Arial"/>
          <w:color w:val="auto"/>
          <w:sz w:val="16"/>
          <w:szCs w:val="16"/>
        </w:rPr>
        <w:t xml:space="preserve">Case </w:t>
      </w:r>
      <w:r w:rsidRPr="00A51861">
        <w:rPr>
          <w:rFonts w:asciiTheme="majorHAnsi" w:hAnsiTheme="majorHAnsi" w:cs="Arial"/>
          <w:color w:val="auto"/>
          <w:sz w:val="16"/>
          <w:szCs w:val="16"/>
        </w:rPr>
        <w:t xml:space="preserve">11.784. Marcelino Hanríquez </w:t>
      </w:r>
      <w:r w:rsidR="00061928">
        <w:rPr>
          <w:rFonts w:asciiTheme="majorHAnsi" w:hAnsiTheme="majorHAnsi" w:cs="Arial"/>
          <w:color w:val="auto"/>
          <w:sz w:val="16"/>
          <w:szCs w:val="16"/>
        </w:rPr>
        <w:t xml:space="preserve">and others. </w:t>
      </w:r>
      <w:r w:rsidRPr="00A51861">
        <w:rPr>
          <w:rFonts w:asciiTheme="majorHAnsi" w:hAnsiTheme="majorHAnsi" w:cs="Arial"/>
          <w:color w:val="auto"/>
          <w:sz w:val="16"/>
          <w:szCs w:val="16"/>
        </w:rPr>
        <w:t xml:space="preserve">Argentina. </w:t>
      </w:r>
      <w:r w:rsidR="00575F2F">
        <w:rPr>
          <w:rFonts w:asciiTheme="majorHAnsi" w:hAnsiTheme="majorHAnsi" w:cs="Arial"/>
          <w:color w:val="auto"/>
          <w:sz w:val="16"/>
          <w:szCs w:val="16"/>
        </w:rPr>
        <w:t xml:space="preserve">October 3, </w:t>
      </w:r>
      <w:r w:rsidRPr="00A51861">
        <w:rPr>
          <w:rFonts w:asciiTheme="majorHAnsi" w:hAnsiTheme="majorHAnsi" w:cs="Arial"/>
          <w:color w:val="auto"/>
          <w:sz w:val="16"/>
          <w:szCs w:val="16"/>
        </w:rPr>
        <w:t xml:space="preserve">2000, </w:t>
      </w:r>
      <w:r w:rsidR="00B6596B">
        <w:rPr>
          <w:rFonts w:asciiTheme="majorHAnsi" w:hAnsiTheme="majorHAnsi" w:cs="Arial"/>
          <w:color w:val="auto"/>
          <w:sz w:val="16"/>
          <w:szCs w:val="16"/>
        </w:rPr>
        <w:t>para.</w:t>
      </w:r>
      <w:r w:rsidRPr="00A51861">
        <w:rPr>
          <w:rFonts w:asciiTheme="majorHAnsi" w:hAnsiTheme="majorHAnsi" w:cs="Arial"/>
          <w:color w:val="auto"/>
          <w:sz w:val="16"/>
          <w:szCs w:val="16"/>
        </w:rPr>
        <w:t xml:space="preserve"> 48.</w:t>
      </w:r>
    </w:p>
  </w:footnote>
  <w:footnote w:id="238">
    <w:p w14:paraId="382B253F" w14:textId="25D60256" w:rsidR="00F40E67" w:rsidRPr="00A51861" w:rsidRDefault="00F40E67" w:rsidP="0063693D">
      <w:pPr>
        <w:pStyle w:val="FootnoteText"/>
        <w:jc w:val="both"/>
        <w:rPr>
          <w:rFonts w:asciiTheme="majorHAnsi" w:hAnsiTheme="majorHAnsi" w:cs="Arial"/>
          <w:color w:val="auto"/>
          <w:sz w:val="16"/>
          <w:szCs w:val="16"/>
        </w:rPr>
      </w:pPr>
      <w:r w:rsidRPr="00A51861">
        <w:rPr>
          <w:rStyle w:val="FootnoteReference"/>
          <w:rFonts w:asciiTheme="majorHAnsi" w:hAnsiTheme="majorHAnsi" w:cs="Arial"/>
          <w:color w:val="auto"/>
          <w:sz w:val="16"/>
          <w:szCs w:val="16"/>
        </w:rPr>
        <w:footnoteRef/>
      </w:r>
      <w:r w:rsidRPr="00A51861">
        <w:rPr>
          <w:rFonts w:asciiTheme="majorHAnsi" w:hAnsiTheme="majorHAnsi" w:cs="Arial"/>
          <w:color w:val="auto"/>
          <w:sz w:val="16"/>
          <w:szCs w:val="16"/>
        </w:rPr>
        <w:t xml:space="preserve"> </w:t>
      </w:r>
      <w:r w:rsidR="000E67CA">
        <w:rPr>
          <w:rFonts w:asciiTheme="majorHAnsi" w:hAnsiTheme="majorHAnsi" w:cs="Arial"/>
          <w:color w:val="auto"/>
          <w:sz w:val="16"/>
          <w:szCs w:val="16"/>
        </w:rPr>
        <w:t>IACHR</w:t>
      </w:r>
      <w:r w:rsidRPr="00A51861">
        <w:rPr>
          <w:rFonts w:asciiTheme="majorHAnsi" w:hAnsiTheme="majorHAnsi" w:cs="Arial"/>
          <w:color w:val="auto"/>
          <w:sz w:val="16"/>
          <w:szCs w:val="16"/>
        </w:rPr>
        <w:t>.</w:t>
      </w:r>
      <w:r w:rsidR="000E67CA">
        <w:rPr>
          <w:rFonts w:asciiTheme="majorHAnsi" w:hAnsiTheme="majorHAnsi" w:cs="Arial"/>
          <w:color w:val="auto"/>
          <w:sz w:val="16"/>
          <w:szCs w:val="16"/>
        </w:rPr>
        <w:t xml:space="preserve"> Report </w:t>
      </w:r>
      <w:r w:rsidRPr="00A51861">
        <w:rPr>
          <w:rFonts w:asciiTheme="majorHAnsi" w:hAnsiTheme="majorHAnsi" w:cs="Arial"/>
          <w:color w:val="auto"/>
          <w:sz w:val="16"/>
          <w:szCs w:val="16"/>
        </w:rPr>
        <w:t xml:space="preserve">No. 73/00. </w:t>
      </w:r>
      <w:r w:rsidR="00B6596B">
        <w:rPr>
          <w:rFonts w:asciiTheme="majorHAnsi" w:hAnsiTheme="majorHAnsi" w:cs="Arial"/>
          <w:color w:val="auto"/>
          <w:sz w:val="16"/>
          <w:szCs w:val="16"/>
        </w:rPr>
        <w:t xml:space="preserve">Case </w:t>
      </w:r>
      <w:r w:rsidRPr="00A51861">
        <w:rPr>
          <w:rFonts w:asciiTheme="majorHAnsi" w:hAnsiTheme="majorHAnsi" w:cs="Arial"/>
          <w:color w:val="auto"/>
          <w:sz w:val="16"/>
          <w:szCs w:val="16"/>
        </w:rPr>
        <w:t xml:space="preserve">11.784. Marcelino Hanríquez </w:t>
      </w:r>
      <w:r w:rsidR="00061928">
        <w:rPr>
          <w:rFonts w:asciiTheme="majorHAnsi" w:hAnsiTheme="majorHAnsi" w:cs="Arial"/>
          <w:color w:val="auto"/>
          <w:sz w:val="16"/>
          <w:szCs w:val="16"/>
        </w:rPr>
        <w:t xml:space="preserve">and others. </w:t>
      </w:r>
      <w:r w:rsidRPr="00A51861">
        <w:rPr>
          <w:rFonts w:asciiTheme="majorHAnsi" w:hAnsiTheme="majorHAnsi" w:cs="Arial"/>
          <w:color w:val="auto"/>
          <w:sz w:val="16"/>
          <w:szCs w:val="16"/>
        </w:rPr>
        <w:t xml:space="preserve">Argentina. </w:t>
      </w:r>
      <w:r w:rsidR="00575F2F">
        <w:rPr>
          <w:rFonts w:asciiTheme="majorHAnsi" w:hAnsiTheme="majorHAnsi" w:cs="Arial"/>
          <w:color w:val="auto"/>
          <w:sz w:val="16"/>
          <w:szCs w:val="16"/>
        </w:rPr>
        <w:t xml:space="preserve">October 3, </w:t>
      </w:r>
      <w:r w:rsidRPr="00A51861">
        <w:rPr>
          <w:rFonts w:asciiTheme="majorHAnsi" w:hAnsiTheme="majorHAnsi" w:cs="Arial"/>
          <w:color w:val="auto"/>
          <w:sz w:val="16"/>
          <w:szCs w:val="16"/>
        </w:rPr>
        <w:t xml:space="preserve">2000, </w:t>
      </w:r>
      <w:r w:rsidR="00B6596B">
        <w:rPr>
          <w:rFonts w:asciiTheme="majorHAnsi" w:hAnsiTheme="majorHAnsi" w:cs="Arial"/>
          <w:color w:val="auto"/>
          <w:sz w:val="16"/>
          <w:szCs w:val="16"/>
        </w:rPr>
        <w:t>para.</w:t>
      </w:r>
      <w:r w:rsidRPr="00A51861">
        <w:rPr>
          <w:rFonts w:asciiTheme="majorHAnsi" w:hAnsiTheme="majorHAnsi" w:cs="Arial"/>
          <w:color w:val="auto"/>
          <w:sz w:val="16"/>
          <w:szCs w:val="16"/>
        </w:rPr>
        <w:t xml:space="preserve"> 48.</w:t>
      </w:r>
    </w:p>
  </w:footnote>
  <w:footnote w:id="239">
    <w:p w14:paraId="6A40B5F4" w14:textId="340FBF56" w:rsidR="00F40E67" w:rsidRPr="00A51861" w:rsidRDefault="00F40E67" w:rsidP="0063693D">
      <w:pPr>
        <w:pStyle w:val="FootnoteText"/>
        <w:jc w:val="both"/>
        <w:rPr>
          <w:rFonts w:asciiTheme="majorHAnsi" w:hAnsiTheme="majorHAnsi" w:cs="Arial"/>
          <w:color w:val="auto"/>
          <w:sz w:val="16"/>
          <w:szCs w:val="16"/>
        </w:rPr>
      </w:pPr>
      <w:r w:rsidRPr="00A51861">
        <w:rPr>
          <w:rStyle w:val="FootnoteReference"/>
          <w:rFonts w:asciiTheme="majorHAnsi" w:hAnsiTheme="majorHAnsi" w:cs="Arial"/>
          <w:color w:val="auto"/>
          <w:sz w:val="16"/>
          <w:szCs w:val="16"/>
        </w:rPr>
        <w:footnoteRef/>
      </w:r>
      <w:r w:rsidRPr="00A51861">
        <w:rPr>
          <w:rFonts w:asciiTheme="majorHAnsi" w:hAnsiTheme="majorHAnsi" w:cs="Arial"/>
          <w:color w:val="auto"/>
          <w:sz w:val="16"/>
          <w:szCs w:val="16"/>
        </w:rPr>
        <w:t xml:space="preserve"> </w:t>
      </w:r>
      <w:r w:rsidR="00575F2F">
        <w:rPr>
          <w:rFonts w:asciiTheme="majorHAnsi" w:hAnsiTheme="majorHAnsi" w:cs="Arial"/>
          <w:color w:val="auto"/>
          <w:sz w:val="16"/>
          <w:szCs w:val="16"/>
        </w:rPr>
        <w:t xml:space="preserve">Likewise, </w:t>
      </w:r>
      <w:r w:rsidR="00A51861" w:rsidRPr="00A51861">
        <w:rPr>
          <w:rFonts w:asciiTheme="majorHAnsi" w:hAnsiTheme="majorHAnsi" w:cs="Arial"/>
          <w:color w:val="auto"/>
          <w:sz w:val="16"/>
          <w:szCs w:val="16"/>
        </w:rPr>
        <w:t xml:space="preserve">the </w:t>
      </w:r>
      <w:r w:rsidR="00FE1E27">
        <w:rPr>
          <w:rFonts w:asciiTheme="majorHAnsi" w:hAnsiTheme="majorHAnsi" w:cs="Arial"/>
          <w:color w:val="auto"/>
          <w:sz w:val="16"/>
          <w:szCs w:val="16"/>
        </w:rPr>
        <w:t>Commission</w:t>
      </w:r>
      <w:r w:rsidRPr="00A51861">
        <w:rPr>
          <w:rFonts w:asciiTheme="majorHAnsi" w:hAnsiTheme="majorHAnsi" w:cs="Arial"/>
          <w:color w:val="auto"/>
          <w:sz w:val="16"/>
          <w:szCs w:val="16"/>
        </w:rPr>
        <w:t xml:space="preserve"> </w:t>
      </w:r>
      <w:r w:rsidR="0074755C">
        <w:rPr>
          <w:rFonts w:asciiTheme="majorHAnsi" w:hAnsiTheme="majorHAnsi" w:cs="Arial"/>
          <w:color w:val="auto"/>
          <w:sz w:val="16"/>
          <w:szCs w:val="16"/>
        </w:rPr>
        <w:t>takes note that this matter was subject of study</w:t>
      </w:r>
      <w:r w:rsidRPr="00A51861">
        <w:rPr>
          <w:rFonts w:asciiTheme="majorHAnsi" w:hAnsiTheme="majorHAnsi" w:cs="Arial"/>
          <w:color w:val="auto"/>
          <w:sz w:val="16"/>
          <w:szCs w:val="16"/>
        </w:rPr>
        <w:t xml:space="preserve"> </w:t>
      </w:r>
      <w:r w:rsidR="0074755C">
        <w:rPr>
          <w:rFonts w:asciiTheme="majorHAnsi" w:hAnsiTheme="majorHAnsi" w:cs="Arial"/>
          <w:color w:val="auto"/>
          <w:sz w:val="16"/>
          <w:szCs w:val="16"/>
        </w:rPr>
        <w:t xml:space="preserve">by the </w:t>
      </w:r>
      <w:r w:rsidR="0020342F">
        <w:rPr>
          <w:rFonts w:asciiTheme="majorHAnsi" w:hAnsiTheme="majorHAnsi" w:cs="Arial"/>
          <w:color w:val="auto"/>
          <w:sz w:val="16"/>
          <w:szCs w:val="16"/>
        </w:rPr>
        <w:t>Supreme Court of Justice of the Nation</w:t>
      </w:r>
      <w:r w:rsidRPr="00A51861">
        <w:rPr>
          <w:rFonts w:asciiTheme="majorHAnsi" w:hAnsiTheme="majorHAnsi" w:cs="Arial"/>
          <w:color w:val="auto"/>
          <w:sz w:val="16"/>
          <w:szCs w:val="16"/>
        </w:rPr>
        <w:t xml:space="preserve"> </w:t>
      </w:r>
      <w:r w:rsidR="0074755C">
        <w:rPr>
          <w:rFonts w:asciiTheme="majorHAnsi" w:hAnsiTheme="majorHAnsi" w:cs="Arial"/>
          <w:color w:val="auto"/>
          <w:sz w:val="16"/>
          <w:szCs w:val="16"/>
        </w:rPr>
        <w:t xml:space="preserve">in the case of </w:t>
      </w:r>
      <w:r w:rsidRPr="00A51861">
        <w:rPr>
          <w:rFonts w:asciiTheme="majorHAnsi" w:hAnsiTheme="majorHAnsi" w:cs="Arial"/>
          <w:color w:val="auto"/>
          <w:sz w:val="16"/>
          <w:szCs w:val="16"/>
        </w:rPr>
        <w:t xml:space="preserve">Barrose </w:t>
      </w:r>
      <w:r w:rsidR="0074755C">
        <w:rPr>
          <w:rFonts w:asciiTheme="majorHAnsi" w:hAnsiTheme="majorHAnsi" w:cs="Arial"/>
          <w:color w:val="auto"/>
          <w:sz w:val="16"/>
          <w:szCs w:val="16"/>
        </w:rPr>
        <w:t>cited in the</w:t>
      </w:r>
      <w:r w:rsidRPr="00A51861">
        <w:rPr>
          <w:rFonts w:asciiTheme="majorHAnsi" w:hAnsiTheme="majorHAnsi" w:cs="Arial"/>
          <w:color w:val="auto"/>
          <w:sz w:val="16"/>
          <w:szCs w:val="16"/>
        </w:rPr>
        <w:t xml:space="preserve"> </w:t>
      </w:r>
      <w:r w:rsidR="004E56A9">
        <w:rPr>
          <w:rFonts w:asciiTheme="majorHAnsi" w:hAnsiTheme="majorHAnsi" w:cs="Arial"/>
          <w:color w:val="auto"/>
          <w:sz w:val="16"/>
          <w:szCs w:val="16"/>
        </w:rPr>
        <w:t>Judgment</w:t>
      </w:r>
      <w:r w:rsidR="00061928">
        <w:rPr>
          <w:rFonts w:asciiTheme="majorHAnsi" w:hAnsiTheme="majorHAnsi" w:cs="Arial"/>
          <w:color w:val="auto"/>
          <w:sz w:val="16"/>
          <w:szCs w:val="16"/>
        </w:rPr>
        <w:t xml:space="preserve"> of the </w:t>
      </w:r>
      <w:r w:rsidRPr="00A51861">
        <w:rPr>
          <w:rFonts w:asciiTheme="majorHAnsi" w:hAnsiTheme="majorHAnsi" w:cs="Arial"/>
          <w:color w:val="auto"/>
          <w:sz w:val="16"/>
          <w:szCs w:val="16"/>
        </w:rPr>
        <w:t>Co</w:t>
      </w:r>
      <w:r w:rsidR="0074755C">
        <w:rPr>
          <w:rFonts w:asciiTheme="majorHAnsi" w:hAnsiTheme="majorHAnsi" w:cs="Arial"/>
          <w:color w:val="auto"/>
          <w:sz w:val="16"/>
          <w:szCs w:val="16"/>
        </w:rPr>
        <w:t>u</w:t>
      </w:r>
      <w:r w:rsidRPr="00A51861">
        <w:rPr>
          <w:rFonts w:asciiTheme="majorHAnsi" w:hAnsiTheme="majorHAnsi" w:cs="Arial"/>
          <w:color w:val="auto"/>
          <w:sz w:val="16"/>
          <w:szCs w:val="16"/>
        </w:rPr>
        <w:t xml:space="preserve">rt </w:t>
      </w:r>
      <w:r w:rsidR="0074755C">
        <w:rPr>
          <w:rFonts w:asciiTheme="majorHAnsi" w:hAnsiTheme="majorHAnsi" w:cs="Arial"/>
          <w:color w:val="auto"/>
          <w:sz w:val="16"/>
          <w:szCs w:val="16"/>
        </w:rPr>
        <w:t>concerning</w:t>
      </w:r>
      <w:r w:rsidRPr="00A51861">
        <w:rPr>
          <w:rFonts w:asciiTheme="majorHAnsi" w:hAnsiTheme="majorHAnsi" w:cs="Arial"/>
          <w:color w:val="auto"/>
          <w:sz w:val="16"/>
          <w:szCs w:val="16"/>
        </w:rPr>
        <w:t xml:space="preserve"> Hugo Daniel Ferreira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F842EE">
        <w:rPr>
          <w:rFonts w:asciiTheme="majorHAnsi" w:hAnsiTheme="majorHAnsi"/>
          <w:color w:val="auto"/>
          <w:sz w:val="16"/>
          <w:szCs w:val="16"/>
        </w:rPr>
        <w:t>71</w:t>
      </w:r>
      <w:r w:rsidRPr="00A51861">
        <w:rPr>
          <w:rFonts w:asciiTheme="majorHAnsi" w:hAnsiTheme="majorHAnsi"/>
          <w:color w:val="auto"/>
          <w:sz w:val="16"/>
          <w:szCs w:val="16"/>
        </w:rPr>
        <w:t xml:space="preserve">. </w:t>
      </w:r>
      <w:r w:rsidR="004E56A9">
        <w:rPr>
          <w:rFonts w:asciiTheme="majorHAnsi" w:hAnsiTheme="majorHAnsi"/>
          <w:color w:val="auto"/>
          <w:sz w:val="16"/>
          <w:szCs w:val="16"/>
        </w:rPr>
        <w:t>Judgment</w:t>
      </w:r>
      <w:r w:rsidR="00061928">
        <w:rPr>
          <w:rFonts w:asciiTheme="majorHAnsi" w:hAnsiTheme="majorHAnsi"/>
          <w:color w:val="auto"/>
          <w:sz w:val="16"/>
          <w:szCs w:val="16"/>
        </w:rPr>
        <w:t xml:space="preserve"> of the </w:t>
      </w:r>
      <w:r w:rsidR="0020342F">
        <w:rPr>
          <w:rFonts w:asciiTheme="majorHAnsi" w:hAnsiTheme="majorHAnsi"/>
          <w:color w:val="auto"/>
          <w:sz w:val="16"/>
          <w:szCs w:val="16"/>
        </w:rPr>
        <w:t>Supreme Court of Justice of the Nation</w:t>
      </w:r>
      <w:r w:rsidRPr="00A51861">
        <w:rPr>
          <w:rFonts w:asciiTheme="majorHAnsi" w:hAnsiTheme="majorHAnsi"/>
          <w:color w:val="auto"/>
          <w:sz w:val="16"/>
          <w:szCs w:val="16"/>
        </w:rPr>
        <w:t xml:space="preserve">, </w:t>
      </w:r>
      <w:r w:rsidR="00076366">
        <w:rPr>
          <w:rFonts w:asciiTheme="majorHAnsi" w:hAnsiTheme="majorHAnsi"/>
          <w:color w:val="auto"/>
          <w:sz w:val="16"/>
          <w:szCs w:val="16"/>
        </w:rPr>
        <w:t xml:space="preserve">October 31, </w:t>
      </w:r>
      <w:r w:rsidRPr="00A51861">
        <w:rPr>
          <w:rFonts w:asciiTheme="majorHAnsi" w:hAnsiTheme="majorHAnsi"/>
          <w:color w:val="auto"/>
          <w:sz w:val="16"/>
          <w:szCs w:val="16"/>
        </w:rPr>
        <w:t xml:space="preserve">2006.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Hugo Daniel Ferreira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r w:rsidRPr="00A51861">
        <w:rPr>
          <w:rFonts w:asciiTheme="majorHAnsi" w:hAnsiTheme="majorHAnsi" w:cs="Arial"/>
          <w:color w:val="auto"/>
          <w:sz w:val="16"/>
          <w:szCs w:val="16"/>
        </w:rPr>
        <w:t xml:space="preserve">, </w:t>
      </w:r>
      <w:r w:rsidR="0074755C">
        <w:rPr>
          <w:rFonts w:asciiTheme="majorHAnsi" w:hAnsiTheme="majorHAnsi" w:cs="Arial"/>
          <w:color w:val="auto"/>
          <w:sz w:val="16"/>
          <w:szCs w:val="16"/>
        </w:rPr>
        <w:t>which assessed whether the</w:t>
      </w:r>
      <w:r w:rsidRPr="00A51861">
        <w:rPr>
          <w:rFonts w:asciiTheme="majorHAnsi" w:hAnsiTheme="majorHAnsi" w:cs="Arial"/>
          <w:color w:val="auto"/>
          <w:sz w:val="16"/>
          <w:szCs w:val="16"/>
        </w:rPr>
        <w:t xml:space="preserve"> </w:t>
      </w:r>
      <w:r w:rsidR="0074755C">
        <w:rPr>
          <w:rFonts w:asciiTheme="majorHAnsi" w:hAnsiTheme="majorHAnsi" w:cs="Arial"/>
          <w:color w:val="auto"/>
          <w:sz w:val="16"/>
          <w:szCs w:val="16"/>
        </w:rPr>
        <w:t>regulations</w:t>
      </w:r>
      <w:r w:rsidR="00061928">
        <w:rPr>
          <w:rFonts w:asciiTheme="majorHAnsi" w:hAnsiTheme="majorHAnsi" w:cs="Arial"/>
          <w:color w:val="auto"/>
          <w:sz w:val="16"/>
          <w:szCs w:val="16"/>
        </w:rPr>
        <w:t xml:space="preserve"> of </w:t>
      </w:r>
      <w:r w:rsidR="00026BBF">
        <w:rPr>
          <w:rFonts w:asciiTheme="majorHAnsi" w:hAnsiTheme="majorHAnsi" w:cs="Arial"/>
          <w:color w:val="auto"/>
          <w:sz w:val="16"/>
          <w:szCs w:val="16"/>
        </w:rPr>
        <w:t>Law 24.043</w:t>
      </w:r>
      <w:r w:rsidRPr="00A51861">
        <w:rPr>
          <w:rFonts w:asciiTheme="majorHAnsi" w:hAnsiTheme="majorHAnsi" w:cs="Arial"/>
          <w:color w:val="auto"/>
          <w:sz w:val="16"/>
          <w:szCs w:val="16"/>
        </w:rPr>
        <w:t xml:space="preserve"> </w:t>
      </w:r>
      <w:r w:rsidR="0074755C">
        <w:rPr>
          <w:rFonts w:asciiTheme="majorHAnsi" w:hAnsiTheme="majorHAnsi" w:cs="Arial"/>
          <w:color w:val="auto"/>
          <w:sz w:val="16"/>
          <w:szCs w:val="16"/>
        </w:rPr>
        <w:t>which established a timeframe</w:t>
      </w:r>
      <w:r w:rsidRPr="00A51861">
        <w:rPr>
          <w:rFonts w:asciiTheme="majorHAnsi" w:hAnsiTheme="majorHAnsi" w:cs="Arial"/>
          <w:color w:val="auto"/>
          <w:sz w:val="16"/>
          <w:szCs w:val="16"/>
        </w:rPr>
        <w:t xml:space="preserve"> </w:t>
      </w:r>
      <w:r w:rsidR="0074755C">
        <w:rPr>
          <w:rFonts w:asciiTheme="majorHAnsi" w:hAnsiTheme="majorHAnsi" w:cs="Arial"/>
          <w:color w:val="auto"/>
          <w:sz w:val="16"/>
          <w:szCs w:val="16"/>
        </w:rPr>
        <w:t>for its application violated</w:t>
      </w:r>
      <w:r w:rsidRPr="00A51861">
        <w:rPr>
          <w:rFonts w:asciiTheme="majorHAnsi" w:hAnsiTheme="majorHAnsi" w:cs="Arial"/>
          <w:color w:val="auto"/>
          <w:sz w:val="16"/>
          <w:szCs w:val="16"/>
        </w:rPr>
        <w:t xml:space="preserve"> </w:t>
      </w:r>
      <w:r w:rsidR="0074755C">
        <w:rPr>
          <w:rFonts w:asciiTheme="majorHAnsi" w:hAnsiTheme="majorHAnsi" w:cs="Arial"/>
          <w:color w:val="auto"/>
          <w:sz w:val="16"/>
          <w:szCs w:val="16"/>
        </w:rPr>
        <w:t>the guarantee of equality</w:t>
      </w:r>
      <w:r w:rsidRPr="00A51861">
        <w:rPr>
          <w:rFonts w:asciiTheme="majorHAnsi" w:hAnsiTheme="majorHAnsi" w:cs="Arial"/>
          <w:color w:val="auto"/>
          <w:sz w:val="16"/>
          <w:szCs w:val="16"/>
        </w:rPr>
        <w:t xml:space="preserve"> </w:t>
      </w:r>
      <w:r w:rsidR="0074755C">
        <w:rPr>
          <w:rFonts w:asciiTheme="majorHAnsi" w:hAnsiTheme="majorHAnsi" w:cs="Arial"/>
          <w:color w:val="auto"/>
          <w:sz w:val="16"/>
          <w:szCs w:val="16"/>
        </w:rPr>
        <w:t xml:space="preserve">in that it differentiated </w:t>
      </w:r>
      <w:r w:rsidR="0074755C" w:rsidRPr="00A51861">
        <w:rPr>
          <w:rFonts w:asciiTheme="majorHAnsi" w:hAnsiTheme="majorHAnsi" w:cs="Arial"/>
          <w:color w:val="auto"/>
          <w:sz w:val="16"/>
          <w:szCs w:val="16"/>
        </w:rPr>
        <w:t xml:space="preserve">illegal </w:t>
      </w:r>
      <w:r w:rsidRPr="00A51861">
        <w:rPr>
          <w:rFonts w:asciiTheme="majorHAnsi" w:hAnsiTheme="majorHAnsi" w:cs="Arial"/>
          <w:color w:val="auto"/>
          <w:sz w:val="16"/>
          <w:szCs w:val="16"/>
        </w:rPr>
        <w:t>deten</w:t>
      </w:r>
      <w:r w:rsidR="0074755C">
        <w:rPr>
          <w:rFonts w:asciiTheme="majorHAnsi" w:hAnsiTheme="majorHAnsi" w:cs="Arial"/>
          <w:color w:val="auto"/>
          <w:sz w:val="16"/>
          <w:szCs w:val="16"/>
        </w:rPr>
        <w:t>t</w:t>
      </w:r>
      <w:r w:rsidRPr="00A51861">
        <w:rPr>
          <w:rFonts w:asciiTheme="majorHAnsi" w:hAnsiTheme="majorHAnsi" w:cs="Arial"/>
          <w:color w:val="auto"/>
          <w:sz w:val="16"/>
          <w:szCs w:val="16"/>
        </w:rPr>
        <w:t xml:space="preserve">ions </w:t>
      </w:r>
      <w:r w:rsidR="0074755C">
        <w:rPr>
          <w:rFonts w:asciiTheme="majorHAnsi" w:hAnsiTheme="majorHAnsi" w:cs="Arial"/>
          <w:color w:val="auto"/>
          <w:sz w:val="16"/>
          <w:szCs w:val="16"/>
        </w:rPr>
        <w:t>occurred</w:t>
      </w:r>
      <w:r w:rsidRPr="00A51861">
        <w:rPr>
          <w:rFonts w:asciiTheme="majorHAnsi" w:hAnsiTheme="majorHAnsi" w:cs="Arial"/>
          <w:color w:val="auto"/>
          <w:sz w:val="16"/>
          <w:szCs w:val="16"/>
        </w:rPr>
        <w:t xml:space="preserve"> </w:t>
      </w:r>
      <w:r w:rsidR="0074755C">
        <w:rPr>
          <w:rFonts w:asciiTheme="majorHAnsi" w:hAnsiTheme="majorHAnsi" w:cs="Arial"/>
          <w:color w:val="auto"/>
          <w:sz w:val="16"/>
          <w:szCs w:val="16"/>
        </w:rPr>
        <w:t xml:space="preserve">during the duration of the </w:t>
      </w:r>
      <w:r w:rsidR="001A0B84">
        <w:rPr>
          <w:rFonts w:asciiTheme="majorHAnsi" w:hAnsiTheme="majorHAnsi" w:cs="Arial"/>
          <w:color w:val="auto"/>
          <w:sz w:val="16"/>
          <w:szCs w:val="16"/>
        </w:rPr>
        <w:t>State of Siege</w:t>
      </w:r>
      <w:r w:rsidRPr="00A51861">
        <w:rPr>
          <w:rFonts w:asciiTheme="majorHAnsi" w:hAnsiTheme="majorHAnsi" w:cs="Arial"/>
          <w:color w:val="auto"/>
          <w:sz w:val="16"/>
          <w:szCs w:val="16"/>
        </w:rPr>
        <w:t xml:space="preserve">, </w:t>
      </w:r>
      <w:r w:rsidR="0074755C">
        <w:rPr>
          <w:rFonts w:asciiTheme="majorHAnsi" w:hAnsiTheme="majorHAnsi" w:cs="Arial"/>
          <w:color w:val="auto"/>
          <w:sz w:val="16"/>
          <w:szCs w:val="16"/>
        </w:rPr>
        <w:t>from those occurred beyond said period</w:t>
      </w:r>
      <w:r w:rsidRPr="00A51861">
        <w:rPr>
          <w:rFonts w:asciiTheme="majorHAnsi" w:hAnsiTheme="majorHAnsi" w:cs="Arial"/>
          <w:color w:val="auto"/>
          <w:sz w:val="16"/>
          <w:szCs w:val="16"/>
        </w:rPr>
        <w:t xml:space="preserve">. </w:t>
      </w:r>
      <w:r w:rsidR="0074755C">
        <w:rPr>
          <w:rFonts w:asciiTheme="majorHAnsi" w:hAnsiTheme="majorHAnsi" w:cs="Arial"/>
          <w:color w:val="auto"/>
          <w:sz w:val="16"/>
          <w:szCs w:val="16"/>
        </w:rPr>
        <w:t>According to the cited in the</w:t>
      </w:r>
      <w:r w:rsidRPr="00A51861">
        <w:rPr>
          <w:rFonts w:asciiTheme="majorHAnsi" w:hAnsiTheme="majorHAnsi" w:cs="Arial"/>
          <w:color w:val="auto"/>
          <w:sz w:val="16"/>
          <w:szCs w:val="16"/>
        </w:rPr>
        <w:t xml:space="preserve"> </w:t>
      </w:r>
      <w:r w:rsidR="004E56A9">
        <w:rPr>
          <w:rFonts w:asciiTheme="majorHAnsi" w:hAnsiTheme="majorHAnsi" w:cs="Arial"/>
          <w:color w:val="auto"/>
          <w:sz w:val="16"/>
          <w:szCs w:val="16"/>
        </w:rPr>
        <w:t>Judgment</w:t>
      </w:r>
      <w:r w:rsidR="00061928">
        <w:rPr>
          <w:rFonts w:asciiTheme="majorHAnsi" w:hAnsiTheme="majorHAnsi" w:cs="Arial"/>
          <w:color w:val="auto"/>
          <w:sz w:val="16"/>
          <w:szCs w:val="16"/>
        </w:rPr>
        <w:t xml:space="preserve"> of the </w:t>
      </w:r>
      <w:r w:rsidRPr="00A51861">
        <w:rPr>
          <w:rFonts w:asciiTheme="majorHAnsi" w:hAnsiTheme="majorHAnsi" w:cs="Arial"/>
          <w:color w:val="auto"/>
          <w:sz w:val="16"/>
          <w:szCs w:val="16"/>
        </w:rPr>
        <w:t>Co</w:t>
      </w:r>
      <w:r w:rsidR="0074755C">
        <w:rPr>
          <w:rFonts w:asciiTheme="majorHAnsi" w:hAnsiTheme="majorHAnsi" w:cs="Arial"/>
          <w:color w:val="auto"/>
          <w:sz w:val="16"/>
          <w:szCs w:val="16"/>
        </w:rPr>
        <w:t>u</w:t>
      </w:r>
      <w:r w:rsidRPr="00A51861">
        <w:rPr>
          <w:rFonts w:asciiTheme="majorHAnsi" w:hAnsiTheme="majorHAnsi" w:cs="Arial"/>
          <w:color w:val="auto"/>
          <w:sz w:val="16"/>
          <w:szCs w:val="16"/>
        </w:rPr>
        <w:t xml:space="preserve">rt </w:t>
      </w:r>
      <w:r w:rsidR="0074755C">
        <w:rPr>
          <w:rFonts w:asciiTheme="majorHAnsi" w:hAnsiTheme="majorHAnsi" w:cs="Arial"/>
          <w:color w:val="auto"/>
          <w:sz w:val="16"/>
          <w:szCs w:val="16"/>
        </w:rPr>
        <w:t>regarding</w:t>
      </w:r>
      <w:r w:rsidRPr="00A51861">
        <w:rPr>
          <w:rFonts w:asciiTheme="majorHAnsi" w:hAnsiTheme="majorHAnsi" w:cs="Arial"/>
          <w:color w:val="auto"/>
          <w:sz w:val="16"/>
          <w:szCs w:val="16"/>
        </w:rPr>
        <w:t xml:space="preserve"> Ferreira, </w:t>
      </w:r>
      <w:r w:rsidR="0074755C">
        <w:rPr>
          <w:rFonts w:asciiTheme="majorHAnsi" w:hAnsiTheme="majorHAnsi" w:cs="Arial"/>
          <w:color w:val="auto"/>
          <w:sz w:val="16"/>
          <w:szCs w:val="16"/>
        </w:rPr>
        <w:t xml:space="preserve">at said </w:t>
      </w:r>
      <w:r w:rsidRPr="00A51861">
        <w:rPr>
          <w:rFonts w:asciiTheme="majorHAnsi" w:hAnsiTheme="majorHAnsi" w:cs="Arial"/>
          <w:color w:val="auto"/>
          <w:sz w:val="16"/>
          <w:szCs w:val="16"/>
        </w:rPr>
        <w:t>op</w:t>
      </w:r>
      <w:r w:rsidR="0074755C">
        <w:rPr>
          <w:rFonts w:asciiTheme="majorHAnsi" w:hAnsiTheme="majorHAnsi" w:cs="Arial"/>
          <w:color w:val="auto"/>
          <w:sz w:val="16"/>
          <w:szCs w:val="16"/>
        </w:rPr>
        <w:t>p</w:t>
      </w:r>
      <w:r w:rsidRPr="00A51861">
        <w:rPr>
          <w:rFonts w:asciiTheme="majorHAnsi" w:hAnsiTheme="majorHAnsi" w:cs="Arial"/>
          <w:color w:val="auto"/>
          <w:sz w:val="16"/>
          <w:szCs w:val="16"/>
        </w:rPr>
        <w:t>ortuni</w:t>
      </w:r>
      <w:r w:rsidR="0074755C">
        <w:rPr>
          <w:rFonts w:asciiTheme="majorHAnsi" w:hAnsiTheme="majorHAnsi" w:cs="Arial"/>
          <w:color w:val="auto"/>
          <w:sz w:val="16"/>
          <w:szCs w:val="16"/>
        </w:rPr>
        <w:t>ty</w:t>
      </w:r>
      <w:r w:rsidRPr="00A51861">
        <w:rPr>
          <w:rFonts w:asciiTheme="majorHAnsi" w:hAnsiTheme="majorHAnsi" w:cs="Arial"/>
          <w:color w:val="auto"/>
          <w:sz w:val="16"/>
          <w:szCs w:val="16"/>
        </w:rPr>
        <w:t>,</w:t>
      </w:r>
      <w:r w:rsidR="00BD656D">
        <w:rPr>
          <w:rFonts w:asciiTheme="majorHAnsi" w:hAnsiTheme="majorHAnsi" w:cs="Arial"/>
          <w:color w:val="auto"/>
          <w:sz w:val="16"/>
          <w:szCs w:val="16"/>
        </w:rPr>
        <w:t xml:space="preserve"> the Court </w:t>
      </w:r>
      <w:r w:rsidRPr="00A51861">
        <w:rPr>
          <w:rFonts w:asciiTheme="majorHAnsi" w:hAnsiTheme="majorHAnsi" w:cs="Arial"/>
          <w:color w:val="auto"/>
          <w:sz w:val="16"/>
          <w:szCs w:val="16"/>
        </w:rPr>
        <w:t>conclu</w:t>
      </w:r>
      <w:r w:rsidR="0074755C">
        <w:rPr>
          <w:rFonts w:asciiTheme="majorHAnsi" w:hAnsiTheme="majorHAnsi" w:cs="Arial"/>
          <w:color w:val="auto"/>
          <w:sz w:val="16"/>
          <w:szCs w:val="16"/>
        </w:rPr>
        <w:t>ded</w:t>
      </w:r>
      <w:r w:rsidRPr="00A51861">
        <w:rPr>
          <w:rFonts w:asciiTheme="majorHAnsi" w:hAnsiTheme="majorHAnsi" w:cs="Arial"/>
          <w:color w:val="auto"/>
          <w:sz w:val="16"/>
          <w:szCs w:val="16"/>
        </w:rPr>
        <w:t xml:space="preserve"> </w:t>
      </w:r>
      <w:r w:rsidR="0074755C">
        <w:rPr>
          <w:rFonts w:asciiTheme="majorHAnsi" w:hAnsiTheme="majorHAnsi" w:cs="Arial"/>
          <w:color w:val="auto"/>
          <w:sz w:val="16"/>
          <w:szCs w:val="16"/>
        </w:rPr>
        <w:t>that</w:t>
      </w:r>
      <w:r w:rsidRPr="00A51861">
        <w:rPr>
          <w:rFonts w:asciiTheme="majorHAnsi" w:hAnsiTheme="majorHAnsi" w:cs="Arial"/>
          <w:color w:val="auto"/>
          <w:sz w:val="16"/>
          <w:szCs w:val="16"/>
        </w:rPr>
        <w:t xml:space="preserve"> “</w:t>
      </w:r>
      <w:r w:rsidR="0074755C">
        <w:rPr>
          <w:rFonts w:asciiTheme="majorHAnsi" w:hAnsiTheme="majorHAnsi" w:cs="Arial"/>
          <w:color w:val="auto"/>
          <w:sz w:val="16"/>
          <w:szCs w:val="16"/>
        </w:rPr>
        <w:t>the exercise of regulatory power</w:t>
      </w:r>
      <w:r w:rsidRPr="00A51861">
        <w:rPr>
          <w:rFonts w:asciiTheme="majorHAnsi" w:hAnsiTheme="majorHAnsi" w:cs="Arial"/>
          <w:color w:val="auto"/>
          <w:sz w:val="16"/>
          <w:szCs w:val="16"/>
        </w:rPr>
        <w:t xml:space="preserve"> </w:t>
      </w:r>
      <w:r w:rsidR="0074755C">
        <w:rPr>
          <w:rFonts w:asciiTheme="majorHAnsi" w:hAnsiTheme="majorHAnsi" w:cs="Arial"/>
          <w:color w:val="auto"/>
          <w:sz w:val="16"/>
          <w:szCs w:val="16"/>
        </w:rPr>
        <w:t>does not alter the substance of the</w:t>
      </w:r>
      <w:r w:rsidRPr="00A51861">
        <w:rPr>
          <w:rFonts w:asciiTheme="majorHAnsi" w:hAnsiTheme="majorHAnsi" w:cs="Arial"/>
          <w:color w:val="auto"/>
          <w:sz w:val="16"/>
          <w:szCs w:val="16"/>
        </w:rPr>
        <w:t xml:space="preserve"> </w:t>
      </w:r>
      <w:r w:rsidR="006307D0">
        <w:rPr>
          <w:rFonts w:asciiTheme="majorHAnsi" w:hAnsiTheme="majorHAnsi" w:cs="Arial"/>
          <w:color w:val="auto"/>
          <w:sz w:val="16"/>
          <w:szCs w:val="16"/>
        </w:rPr>
        <w:t>rights</w:t>
      </w:r>
      <w:r w:rsidRPr="00A51861">
        <w:rPr>
          <w:rFonts w:asciiTheme="majorHAnsi" w:hAnsiTheme="majorHAnsi" w:cs="Arial"/>
          <w:color w:val="auto"/>
          <w:sz w:val="16"/>
          <w:szCs w:val="16"/>
        </w:rPr>
        <w:t xml:space="preserve"> </w:t>
      </w:r>
      <w:r w:rsidR="0074755C">
        <w:rPr>
          <w:rFonts w:asciiTheme="majorHAnsi" w:hAnsiTheme="majorHAnsi" w:cs="Arial"/>
          <w:color w:val="auto"/>
          <w:sz w:val="16"/>
          <w:szCs w:val="16"/>
        </w:rPr>
        <w:t>granted by law</w:t>
      </w:r>
      <w:r w:rsidRPr="00A51861">
        <w:rPr>
          <w:rFonts w:asciiTheme="majorHAnsi" w:hAnsiTheme="majorHAnsi" w:cs="Arial"/>
          <w:color w:val="auto"/>
          <w:sz w:val="16"/>
          <w:szCs w:val="16"/>
        </w:rPr>
        <w:t xml:space="preserve"> 24.043 </w:t>
      </w:r>
      <w:r w:rsidR="0074755C">
        <w:rPr>
          <w:rFonts w:asciiTheme="majorHAnsi" w:hAnsiTheme="majorHAnsi" w:cs="Arial"/>
          <w:color w:val="auto"/>
          <w:sz w:val="16"/>
          <w:szCs w:val="16"/>
        </w:rPr>
        <w:t>nor did it introduce</w:t>
      </w:r>
      <w:r w:rsidRPr="00A51861">
        <w:rPr>
          <w:rFonts w:asciiTheme="majorHAnsi" w:hAnsiTheme="majorHAnsi" w:cs="Arial"/>
          <w:color w:val="auto"/>
          <w:sz w:val="16"/>
          <w:szCs w:val="16"/>
        </w:rPr>
        <w:t xml:space="preserve"> </w:t>
      </w:r>
      <w:r w:rsidR="006307D0">
        <w:rPr>
          <w:rFonts w:asciiTheme="majorHAnsi" w:hAnsiTheme="majorHAnsi" w:cs="Arial"/>
          <w:color w:val="auto"/>
          <w:sz w:val="16"/>
          <w:szCs w:val="16"/>
        </w:rPr>
        <w:t>restrictions</w:t>
      </w:r>
      <w:r w:rsidRPr="00A51861">
        <w:rPr>
          <w:rFonts w:asciiTheme="majorHAnsi" w:hAnsiTheme="majorHAnsi" w:cs="Arial"/>
          <w:color w:val="auto"/>
          <w:sz w:val="16"/>
          <w:szCs w:val="16"/>
        </w:rPr>
        <w:t xml:space="preserve"> </w:t>
      </w:r>
      <w:r w:rsidR="0074755C">
        <w:rPr>
          <w:rFonts w:asciiTheme="majorHAnsi" w:hAnsiTheme="majorHAnsi" w:cs="Arial"/>
          <w:color w:val="auto"/>
          <w:sz w:val="16"/>
          <w:szCs w:val="16"/>
        </w:rPr>
        <w:t>beyond its spirit</w:t>
      </w:r>
      <w:r w:rsidRPr="00A51861">
        <w:rPr>
          <w:rFonts w:asciiTheme="majorHAnsi" w:hAnsiTheme="majorHAnsi" w:cs="Arial"/>
          <w:color w:val="auto"/>
          <w:sz w:val="16"/>
          <w:szCs w:val="16"/>
        </w:rPr>
        <w:t xml:space="preserve">, </w:t>
      </w:r>
      <w:r w:rsidR="0074755C">
        <w:rPr>
          <w:rFonts w:asciiTheme="majorHAnsi" w:hAnsiTheme="majorHAnsi" w:cs="Arial"/>
          <w:color w:val="auto"/>
          <w:sz w:val="16"/>
          <w:szCs w:val="16"/>
        </w:rPr>
        <w:t>but</w:t>
      </w:r>
      <w:r w:rsidRPr="00A51861">
        <w:rPr>
          <w:rFonts w:asciiTheme="majorHAnsi" w:hAnsiTheme="majorHAnsi" w:cs="Arial"/>
          <w:color w:val="auto"/>
          <w:sz w:val="16"/>
          <w:szCs w:val="16"/>
        </w:rPr>
        <w:t xml:space="preserve">, </w:t>
      </w:r>
      <w:r w:rsidR="0074755C">
        <w:rPr>
          <w:rFonts w:asciiTheme="majorHAnsi" w:hAnsiTheme="majorHAnsi" w:cs="Arial"/>
          <w:color w:val="auto"/>
          <w:sz w:val="16"/>
          <w:szCs w:val="16"/>
        </w:rPr>
        <w:t>on the</w:t>
      </w:r>
      <w:r w:rsidRPr="00A51861">
        <w:rPr>
          <w:rFonts w:asciiTheme="majorHAnsi" w:hAnsiTheme="majorHAnsi" w:cs="Arial"/>
          <w:color w:val="auto"/>
          <w:sz w:val="16"/>
          <w:szCs w:val="16"/>
        </w:rPr>
        <w:t xml:space="preserve"> contrar</w:t>
      </w:r>
      <w:r w:rsidR="0074755C">
        <w:rPr>
          <w:rFonts w:asciiTheme="majorHAnsi" w:hAnsiTheme="majorHAnsi" w:cs="Arial"/>
          <w:color w:val="auto"/>
          <w:sz w:val="16"/>
          <w:szCs w:val="16"/>
        </w:rPr>
        <w:t>y</w:t>
      </w:r>
      <w:r w:rsidRPr="00A51861">
        <w:rPr>
          <w:rFonts w:asciiTheme="majorHAnsi" w:hAnsiTheme="majorHAnsi" w:cs="Arial"/>
          <w:color w:val="auto"/>
          <w:sz w:val="16"/>
          <w:szCs w:val="16"/>
        </w:rPr>
        <w:t xml:space="preserve">, </w:t>
      </w:r>
      <w:r w:rsidR="0074755C">
        <w:rPr>
          <w:rFonts w:asciiTheme="majorHAnsi" w:hAnsiTheme="majorHAnsi" w:cs="Arial"/>
          <w:color w:val="auto"/>
          <w:sz w:val="16"/>
          <w:szCs w:val="16"/>
        </w:rPr>
        <w:t xml:space="preserve">it is </w:t>
      </w:r>
      <w:r w:rsidRPr="00A51861">
        <w:rPr>
          <w:rFonts w:asciiTheme="majorHAnsi" w:hAnsiTheme="majorHAnsi" w:cs="Arial"/>
          <w:color w:val="auto"/>
          <w:sz w:val="16"/>
          <w:szCs w:val="16"/>
        </w:rPr>
        <w:t>perfect</w:t>
      </w:r>
      <w:r w:rsidR="0029564F">
        <w:rPr>
          <w:rFonts w:asciiTheme="majorHAnsi" w:hAnsiTheme="majorHAnsi" w:cs="Arial"/>
          <w:color w:val="auto"/>
          <w:sz w:val="16"/>
          <w:szCs w:val="16"/>
        </w:rPr>
        <w:t xml:space="preserve">ly </w:t>
      </w:r>
      <w:r w:rsidRPr="00A51861">
        <w:rPr>
          <w:rFonts w:asciiTheme="majorHAnsi" w:hAnsiTheme="majorHAnsi" w:cs="Arial"/>
          <w:color w:val="auto"/>
          <w:sz w:val="16"/>
          <w:szCs w:val="16"/>
        </w:rPr>
        <w:t>compatible</w:t>
      </w:r>
      <w:r w:rsidR="002B762A">
        <w:rPr>
          <w:rFonts w:asciiTheme="majorHAnsi" w:hAnsiTheme="majorHAnsi" w:cs="Arial"/>
          <w:color w:val="auto"/>
          <w:sz w:val="16"/>
          <w:szCs w:val="16"/>
        </w:rPr>
        <w:t xml:space="preserve"> with </w:t>
      </w:r>
      <w:r w:rsidR="0074755C">
        <w:rPr>
          <w:rFonts w:asciiTheme="majorHAnsi" w:hAnsiTheme="majorHAnsi" w:cs="Arial"/>
          <w:color w:val="auto"/>
          <w:sz w:val="16"/>
          <w:szCs w:val="16"/>
        </w:rPr>
        <w:t>the political will reflected in the law</w:t>
      </w:r>
      <w:r w:rsidRPr="00A51861">
        <w:rPr>
          <w:rFonts w:asciiTheme="majorHAnsi" w:hAnsiTheme="majorHAnsi" w:cs="Arial"/>
          <w:color w:val="auto"/>
          <w:sz w:val="16"/>
          <w:szCs w:val="16"/>
        </w:rPr>
        <w:t xml:space="preserve">” </w:t>
      </w:r>
      <w:r w:rsidR="0074755C">
        <w:rPr>
          <w:rFonts w:asciiTheme="majorHAnsi" w:hAnsiTheme="majorHAnsi" w:cs="Arial"/>
          <w:color w:val="auto"/>
          <w:sz w:val="16"/>
          <w:szCs w:val="16"/>
        </w:rPr>
        <w:t>which was to grant an economic</w:t>
      </w:r>
      <w:r w:rsidRPr="00A51861">
        <w:rPr>
          <w:rFonts w:asciiTheme="majorHAnsi" w:hAnsiTheme="majorHAnsi" w:cs="Arial"/>
          <w:color w:val="auto"/>
          <w:sz w:val="16"/>
          <w:szCs w:val="16"/>
        </w:rPr>
        <w:t xml:space="preserve"> </w:t>
      </w:r>
      <w:r w:rsidR="0074755C" w:rsidRPr="00A51861">
        <w:rPr>
          <w:rFonts w:asciiTheme="majorHAnsi" w:hAnsiTheme="majorHAnsi" w:cs="Arial"/>
          <w:color w:val="auto"/>
          <w:sz w:val="16"/>
          <w:szCs w:val="16"/>
        </w:rPr>
        <w:t>compensation</w:t>
      </w:r>
      <w:r w:rsidRPr="00A51861">
        <w:rPr>
          <w:rFonts w:asciiTheme="majorHAnsi" w:hAnsiTheme="majorHAnsi" w:cs="Arial"/>
          <w:color w:val="auto"/>
          <w:sz w:val="16"/>
          <w:szCs w:val="16"/>
        </w:rPr>
        <w:t xml:space="preserve"> </w:t>
      </w:r>
      <w:r w:rsidR="0074755C">
        <w:rPr>
          <w:rFonts w:asciiTheme="majorHAnsi" w:hAnsiTheme="majorHAnsi" w:cs="Arial"/>
          <w:color w:val="auto"/>
          <w:sz w:val="16"/>
          <w:szCs w:val="16"/>
        </w:rPr>
        <w:t>to</w:t>
      </w:r>
      <w:r w:rsidRPr="00A51861">
        <w:rPr>
          <w:rFonts w:asciiTheme="majorHAnsi" w:hAnsiTheme="majorHAnsi" w:cs="Arial"/>
          <w:color w:val="auto"/>
          <w:sz w:val="16"/>
          <w:szCs w:val="16"/>
        </w:rPr>
        <w:t xml:space="preserve"> </w:t>
      </w:r>
      <w:r w:rsidR="00EC7A58">
        <w:rPr>
          <w:rFonts w:asciiTheme="majorHAnsi" w:hAnsiTheme="majorHAnsi" w:cs="Arial"/>
          <w:color w:val="auto"/>
          <w:sz w:val="16"/>
          <w:szCs w:val="16"/>
        </w:rPr>
        <w:t>persons</w:t>
      </w:r>
      <w:r w:rsidRPr="00A51861">
        <w:rPr>
          <w:rFonts w:asciiTheme="majorHAnsi" w:hAnsiTheme="majorHAnsi" w:cs="Arial"/>
          <w:color w:val="auto"/>
          <w:sz w:val="16"/>
          <w:szCs w:val="16"/>
        </w:rPr>
        <w:t xml:space="preserve"> </w:t>
      </w:r>
      <w:r w:rsidR="0074755C">
        <w:rPr>
          <w:rFonts w:asciiTheme="majorHAnsi" w:hAnsiTheme="majorHAnsi" w:cs="Arial"/>
          <w:color w:val="auto"/>
          <w:sz w:val="16"/>
          <w:szCs w:val="16"/>
        </w:rPr>
        <w:t>unfairly deprived of their liberty during the</w:t>
      </w:r>
      <w:r w:rsidRPr="00A51861">
        <w:rPr>
          <w:rFonts w:asciiTheme="majorHAnsi" w:hAnsiTheme="majorHAnsi" w:cs="Arial"/>
          <w:color w:val="auto"/>
          <w:sz w:val="16"/>
          <w:szCs w:val="16"/>
        </w:rPr>
        <w:t xml:space="preserve"> </w:t>
      </w:r>
      <w:r w:rsidR="0074755C">
        <w:rPr>
          <w:rFonts w:asciiTheme="majorHAnsi" w:hAnsiTheme="majorHAnsi" w:cs="Arial"/>
          <w:color w:val="auto"/>
          <w:sz w:val="16"/>
          <w:szCs w:val="16"/>
        </w:rPr>
        <w:t>applicability of the</w:t>
      </w:r>
      <w:r w:rsidR="00DE173A">
        <w:rPr>
          <w:rFonts w:asciiTheme="majorHAnsi" w:hAnsiTheme="majorHAnsi" w:cs="Arial"/>
          <w:color w:val="auto"/>
          <w:sz w:val="16"/>
          <w:szCs w:val="16"/>
        </w:rPr>
        <w:t xml:space="preserve"> </w:t>
      </w:r>
      <w:r w:rsidR="001A0B84">
        <w:rPr>
          <w:rFonts w:asciiTheme="majorHAnsi" w:hAnsiTheme="majorHAnsi" w:cs="Arial"/>
          <w:color w:val="auto"/>
          <w:sz w:val="16"/>
          <w:szCs w:val="16"/>
        </w:rPr>
        <w:t>State of Siege</w:t>
      </w:r>
      <w:r w:rsidRPr="00A51861">
        <w:rPr>
          <w:rFonts w:asciiTheme="majorHAnsi" w:hAnsiTheme="majorHAnsi" w:cs="Arial"/>
          <w:color w:val="auto"/>
          <w:sz w:val="16"/>
          <w:szCs w:val="16"/>
        </w:rPr>
        <w:t>.</w:t>
      </w:r>
    </w:p>
  </w:footnote>
  <w:footnote w:id="240">
    <w:p w14:paraId="4F914A33" w14:textId="244F2EE3" w:rsidR="00F40E67" w:rsidRPr="00A51861" w:rsidRDefault="00F40E67" w:rsidP="0063693D">
      <w:pPr>
        <w:pStyle w:val="FootnoteText"/>
        <w:jc w:val="both"/>
        <w:rPr>
          <w:rFonts w:asciiTheme="majorHAnsi" w:hAnsiTheme="majorHAnsi" w:cs="Arial"/>
          <w:color w:val="auto"/>
          <w:sz w:val="16"/>
          <w:szCs w:val="16"/>
        </w:rPr>
      </w:pPr>
      <w:r w:rsidRPr="00A51861">
        <w:rPr>
          <w:rStyle w:val="FootnoteReference"/>
          <w:rFonts w:asciiTheme="majorHAnsi" w:hAnsiTheme="majorHAnsi" w:cs="Arial"/>
          <w:color w:val="auto"/>
          <w:sz w:val="16"/>
          <w:szCs w:val="16"/>
        </w:rPr>
        <w:footnoteRef/>
      </w:r>
      <w:r w:rsidRPr="00A51861">
        <w:rPr>
          <w:rFonts w:asciiTheme="majorHAnsi" w:hAnsiTheme="majorHAnsi" w:cs="Arial"/>
          <w:color w:val="auto"/>
          <w:sz w:val="16"/>
          <w:szCs w:val="16"/>
        </w:rPr>
        <w:t xml:space="preserve"> </w:t>
      </w:r>
      <w:r w:rsidR="00A51861" w:rsidRPr="00A51861">
        <w:rPr>
          <w:rFonts w:asciiTheme="majorHAnsi" w:hAnsiTheme="majorHAnsi" w:cs="Arial"/>
          <w:color w:val="auto"/>
          <w:sz w:val="16"/>
          <w:szCs w:val="16"/>
        </w:rPr>
        <w:t>Annex</w:t>
      </w:r>
      <w:r w:rsidRPr="00A51861">
        <w:rPr>
          <w:rFonts w:asciiTheme="majorHAnsi" w:hAnsiTheme="majorHAnsi" w:cs="Arial"/>
          <w:color w:val="auto"/>
          <w:sz w:val="16"/>
          <w:szCs w:val="16"/>
        </w:rPr>
        <w:t xml:space="preserve"> </w:t>
      </w:r>
      <w:r w:rsidR="00F842EE">
        <w:rPr>
          <w:rFonts w:asciiTheme="majorHAnsi" w:hAnsiTheme="majorHAnsi" w:cs="Arial"/>
          <w:color w:val="auto"/>
          <w:sz w:val="16"/>
          <w:szCs w:val="16"/>
        </w:rPr>
        <w:t>72</w:t>
      </w:r>
      <w:r w:rsidRPr="00A51861">
        <w:rPr>
          <w:rFonts w:asciiTheme="majorHAnsi" w:hAnsiTheme="majorHAnsi" w:cs="Arial"/>
          <w:color w:val="auto"/>
          <w:sz w:val="16"/>
          <w:szCs w:val="16"/>
        </w:rPr>
        <w:t xml:space="preserve">. </w:t>
      </w:r>
      <w:r w:rsidR="004E56A9">
        <w:rPr>
          <w:rFonts w:asciiTheme="majorHAnsi" w:hAnsiTheme="majorHAnsi" w:cs="Arial"/>
          <w:color w:val="auto"/>
          <w:sz w:val="16"/>
          <w:szCs w:val="16"/>
        </w:rPr>
        <w:t>Judgment</w:t>
      </w:r>
      <w:r w:rsidR="00061928">
        <w:rPr>
          <w:rFonts w:asciiTheme="majorHAnsi" w:hAnsiTheme="majorHAnsi" w:cs="Arial"/>
          <w:color w:val="auto"/>
          <w:sz w:val="16"/>
          <w:szCs w:val="16"/>
        </w:rPr>
        <w:t xml:space="preserve"> of the </w:t>
      </w:r>
      <w:r w:rsidR="0020342F">
        <w:rPr>
          <w:rFonts w:asciiTheme="majorHAnsi" w:hAnsiTheme="majorHAnsi" w:cs="Arial"/>
          <w:color w:val="auto"/>
          <w:sz w:val="16"/>
          <w:szCs w:val="16"/>
        </w:rPr>
        <w:t>Supreme Court of Justice of the Nation</w:t>
      </w:r>
      <w:r w:rsidRPr="00A51861">
        <w:rPr>
          <w:rFonts w:asciiTheme="majorHAnsi" w:hAnsiTheme="majorHAnsi" w:cs="Arial"/>
          <w:color w:val="auto"/>
          <w:sz w:val="16"/>
          <w:szCs w:val="16"/>
        </w:rPr>
        <w:t xml:space="preserve"> </w:t>
      </w:r>
      <w:r w:rsidR="00B6596B">
        <w:rPr>
          <w:rFonts w:asciiTheme="majorHAnsi" w:hAnsiTheme="majorHAnsi" w:cs="Arial"/>
          <w:color w:val="auto"/>
          <w:sz w:val="16"/>
          <w:szCs w:val="16"/>
        </w:rPr>
        <w:t xml:space="preserve">Case </w:t>
      </w:r>
      <w:r w:rsidRPr="00A51861">
        <w:rPr>
          <w:rFonts w:asciiTheme="majorHAnsi" w:hAnsiTheme="majorHAnsi" w:cs="Arial"/>
          <w:color w:val="auto"/>
          <w:sz w:val="16"/>
          <w:szCs w:val="16"/>
        </w:rPr>
        <w:t xml:space="preserve">Yofre de Vaca Narvaja, Susana, </w:t>
      </w:r>
      <w:r w:rsidR="008158C2">
        <w:rPr>
          <w:rFonts w:asciiTheme="majorHAnsi" w:hAnsiTheme="majorHAnsi" w:cs="Arial"/>
          <w:color w:val="auto"/>
          <w:sz w:val="16"/>
          <w:szCs w:val="16"/>
        </w:rPr>
        <w:t xml:space="preserve">October 14, </w:t>
      </w:r>
      <w:r w:rsidRPr="00A51861">
        <w:rPr>
          <w:rFonts w:asciiTheme="majorHAnsi" w:hAnsiTheme="majorHAnsi" w:cs="Arial"/>
          <w:color w:val="auto"/>
          <w:sz w:val="16"/>
          <w:szCs w:val="16"/>
        </w:rPr>
        <w:t xml:space="preserve">2004. </w:t>
      </w:r>
      <w:r w:rsidR="00772057">
        <w:rPr>
          <w:rFonts w:asciiTheme="majorHAnsi" w:hAnsiTheme="majorHAnsi" w:cs="Arial"/>
          <w:color w:val="auto"/>
          <w:sz w:val="16"/>
          <w:szCs w:val="16"/>
        </w:rPr>
        <w:t xml:space="preserve">Annexed to the initial petition of </w:t>
      </w:r>
      <w:r w:rsidRPr="00A51861">
        <w:rPr>
          <w:rFonts w:asciiTheme="majorHAnsi" w:hAnsiTheme="majorHAnsi" w:cs="Arial"/>
          <w:color w:val="auto"/>
          <w:sz w:val="16"/>
          <w:szCs w:val="16"/>
        </w:rPr>
        <w:t xml:space="preserve">Julio César Rito de los Santos </w:t>
      </w:r>
      <w:r w:rsidR="00EC7A58">
        <w:rPr>
          <w:rFonts w:asciiTheme="majorHAnsi" w:hAnsiTheme="majorHAnsi" w:cs="Arial"/>
          <w:color w:val="auto"/>
          <w:sz w:val="16"/>
          <w:szCs w:val="16"/>
        </w:rPr>
        <w:t xml:space="preserve">of May 11, </w:t>
      </w:r>
      <w:r w:rsidRPr="00A51861">
        <w:rPr>
          <w:rFonts w:asciiTheme="majorHAnsi" w:hAnsiTheme="majorHAnsi" w:cs="Arial"/>
          <w:color w:val="auto"/>
          <w:sz w:val="16"/>
          <w:szCs w:val="16"/>
        </w:rPr>
        <w:t>2007.</w:t>
      </w:r>
    </w:p>
  </w:footnote>
  <w:footnote w:id="241">
    <w:p w14:paraId="13D86A56" w14:textId="0E82F0AF" w:rsidR="00F40E67" w:rsidRPr="00A51861" w:rsidRDefault="00F40E67" w:rsidP="0063693D">
      <w:pPr>
        <w:pStyle w:val="FootnoteText"/>
        <w:jc w:val="both"/>
        <w:rPr>
          <w:rFonts w:asciiTheme="majorHAnsi" w:hAnsiTheme="majorHAnsi" w:cs="Arial"/>
          <w:color w:val="auto"/>
          <w:sz w:val="16"/>
          <w:szCs w:val="16"/>
        </w:rPr>
      </w:pPr>
      <w:r w:rsidRPr="00A51861">
        <w:rPr>
          <w:rStyle w:val="FootnoteReference"/>
          <w:rFonts w:asciiTheme="majorHAnsi" w:hAnsiTheme="majorHAnsi" w:cs="Arial"/>
          <w:color w:val="auto"/>
          <w:sz w:val="16"/>
          <w:szCs w:val="16"/>
        </w:rPr>
        <w:footnoteRef/>
      </w:r>
      <w:r w:rsidRPr="00A51861">
        <w:rPr>
          <w:rFonts w:asciiTheme="majorHAnsi" w:hAnsiTheme="majorHAnsi" w:cs="Arial"/>
          <w:color w:val="auto"/>
          <w:sz w:val="16"/>
          <w:szCs w:val="16"/>
        </w:rPr>
        <w:t xml:space="preserve"> </w:t>
      </w:r>
      <w:r w:rsidR="00A51861" w:rsidRPr="00A51861">
        <w:rPr>
          <w:rFonts w:asciiTheme="majorHAnsi" w:hAnsiTheme="majorHAnsi" w:cs="Arial"/>
          <w:color w:val="auto"/>
          <w:sz w:val="16"/>
          <w:szCs w:val="16"/>
        </w:rPr>
        <w:t>Annex</w:t>
      </w:r>
      <w:r w:rsidRPr="00A51861">
        <w:rPr>
          <w:rFonts w:asciiTheme="majorHAnsi" w:hAnsiTheme="majorHAnsi" w:cs="Arial"/>
          <w:color w:val="auto"/>
          <w:sz w:val="16"/>
          <w:szCs w:val="16"/>
        </w:rPr>
        <w:t xml:space="preserve"> </w:t>
      </w:r>
      <w:r w:rsidR="00F842EE">
        <w:rPr>
          <w:rFonts w:asciiTheme="majorHAnsi" w:hAnsiTheme="majorHAnsi" w:cs="Arial"/>
          <w:color w:val="auto"/>
          <w:sz w:val="16"/>
          <w:szCs w:val="16"/>
        </w:rPr>
        <w:t>73</w:t>
      </w:r>
      <w:r w:rsidRPr="00A51861">
        <w:rPr>
          <w:rFonts w:asciiTheme="majorHAnsi" w:hAnsiTheme="majorHAnsi" w:cs="Arial"/>
          <w:color w:val="auto"/>
          <w:sz w:val="16"/>
          <w:szCs w:val="16"/>
        </w:rPr>
        <w:t xml:space="preserve">. </w:t>
      </w:r>
      <w:r w:rsidR="004E56A9">
        <w:rPr>
          <w:rFonts w:asciiTheme="majorHAnsi" w:hAnsiTheme="majorHAnsi" w:cs="Arial"/>
          <w:color w:val="auto"/>
          <w:sz w:val="16"/>
          <w:szCs w:val="16"/>
        </w:rPr>
        <w:t>Judgment</w:t>
      </w:r>
      <w:r w:rsidRPr="00A51861">
        <w:rPr>
          <w:rFonts w:asciiTheme="majorHAnsi" w:hAnsiTheme="majorHAnsi" w:cs="Arial"/>
          <w:color w:val="auto"/>
          <w:sz w:val="16"/>
          <w:szCs w:val="16"/>
        </w:rPr>
        <w:t>s</w:t>
      </w:r>
      <w:r w:rsidR="00061928">
        <w:rPr>
          <w:rFonts w:asciiTheme="majorHAnsi" w:hAnsiTheme="majorHAnsi" w:cs="Arial"/>
          <w:color w:val="auto"/>
          <w:sz w:val="16"/>
          <w:szCs w:val="16"/>
        </w:rPr>
        <w:t xml:space="preserve"> of the </w:t>
      </w:r>
      <w:r w:rsidR="0020342F">
        <w:rPr>
          <w:rFonts w:asciiTheme="majorHAnsi" w:hAnsiTheme="majorHAnsi" w:cs="Arial"/>
          <w:color w:val="auto"/>
          <w:sz w:val="16"/>
          <w:szCs w:val="16"/>
        </w:rPr>
        <w:t>Supreme Court of Justice of the Nation</w:t>
      </w:r>
      <w:r w:rsidRPr="00A51861">
        <w:rPr>
          <w:rFonts w:asciiTheme="majorHAnsi" w:hAnsiTheme="majorHAnsi" w:cs="Arial"/>
          <w:color w:val="auto"/>
          <w:sz w:val="16"/>
          <w:szCs w:val="16"/>
        </w:rPr>
        <w:t xml:space="preserve"> Casos Quiroga, Rosario Evangelina</w:t>
      </w:r>
      <w:r w:rsidR="00B6596B">
        <w:rPr>
          <w:rFonts w:asciiTheme="majorHAnsi" w:hAnsiTheme="majorHAnsi" w:cs="Arial"/>
          <w:color w:val="auto"/>
          <w:sz w:val="16"/>
          <w:szCs w:val="16"/>
        </w:rPr>
        <w:t xml:space="preserve"> and </w:t>
      </w:r>
      <w:r w:rsidRPr="00A51861">
        <w:rPr>
          <w:rFonts w:asciiTheme="majorHAnsi" w:hAnsiTheme="majorHAnsi" w:cs="Arial"/>
          <w:color w:val="auto"/>
          <w:sz w:val="16"/>
          <w:szCs w:val="16"/>
        </w:rPr>
        <w:t xml:space="preserve">Bufano, Alfredo Mario, ambas </w:t>
      </w:r>
      <w:r w:rsidR="008158C2">
        <w:rPr>
          <w:rFonts w:asciiTheme="majorHAnsi" w:hAnsiTheme="majorHAnsi" w:cs="Arial"/>
          <w:color w:val="auto"/>
          <w:sz w:val="16"/>
          <w:szCs w:val="16"/>
        </w:rPr>
        <w:t xml:space="preserve">of June 1, </w:t>
      </w:r>
      <w:r w:rsidRPr="00A51861">
        <w:rPr>
          <w:rFonts w:asciiTheme="majorHAnsi" w:hAnsiTheme="majorHAnsi" w:cs="Arial"/>
          <w:color w:val="auto"/>
          <w:sz w:val="16"/>
          <w:szCs w:val="16"/>
        </w:rPr>
        <w:t xml:space="preserve">2000. </w:t>
      </w:r>
      <w:r w:rsidR="00772057">
        <w:rPr>
          <w:rFonts w:asciiTheme="majorHAnsi" w:hAnsiTheme="majorHAnsi" w:cs="Arial"/>
          <w:color w:val="auto"/>
          <w:sz w:val="16"/>
          <w:szCs w:val="16"/>
        </w:rPr>
        <w:t xml:space="preserve">Annexed to the initial petition of </w:t>
      </w:r>
      <w:r w:rsidRPr="00A51861">
        <w:rPr>
          <w:rFonts w:asciiTheme="majorHAnsi" w:hAnsiTheme="majorHAnsi" w:cs="Arial"/>
          <w:color w:val="auto"/>
          <w:sz w:val="16"/>
          <w:szCs w:val="16"/>
        </w:rPr>
        <w:t xml:space="preserve">Julio César Rito de los Santos </w:t>
      </w:r>
      <w:r w:rsidR="00EC7A58">
        <w:rPr>
          <w:rFonts w:asciiTheme="majorHAnsi" w:hAnsiTheme="majorHAnsi" w:cs="Arial"/>
          <w:color w:val="auto"/>
          <w:sz w:val="16"/>
          <w:szCs w:val="16"/>
        </w:rPr>
        <w:t xml:space="preserve">of May 11, </w:t>
      </w:r>
      <w:r w:rsidRPr="00A51861">
        <w:rPr>
          <w:rFonts w:asciiTheme="majorHAnsi" w:hAnsiTheme="majorHAnsi" w:cs="Arial"/>
          <w:color w:val="auto"/>
          <w:sz w:val="16"/>
          <w:szCs w:val="16"/>
        </w:rPr>
        <w:t>2007.</w:t>
      </w:r>
    </w:p>
  </w:footnote>
  <w:footnote w:id="242">
    <w:p w14:paraId="7074169E" w14:textId="6932561B" w:rsidR="00F40E67" w:rsidRPr="00A51861" w:rsidRDefault="00F40E67" w:rsidP="0063693D">
      <w:pPr>
        <w:pStyle w:val="FootnoteText"/>
        <w:jc w:val="both"/>
        <w:rPr>
          <w:rFonts w:asciiTheme="majorHAnsi" w:hAnsiTheme="majorHAnsi" w:cs="Arial"/>
          <w:color w:val="auto"/>
          <w:sz w:val="16"/>
          <w:szCs w:val="16"/>
        </w:rPr>
      </w:pPr>
      <w:r w:rsidRPr="00A51861">
        <w:rPr>
          <w:rStyle w:val="FootnoteReference"/>
          <w:rFonts w:asciiTheme="majorHAnsi" w:hAnsiTheme="majorHAnsi" w:cs="Arial"/>
          <w:color w:val="auto"/>
          <w:sz w:val="16"/>
          <w:szCs w:val="16"/>
        </w:rPr>
        <w:footnoteRef/>
      </w:r>
      <w:r w:rsidRPr="00A51861">
        <w:rPr>
          <w:rFonts w:asciiTheme="majorHAnsi" w:hAnsiTheme="majorHAnsi" w:cs="Arial"/>
          <w:color w:val="auto"/>
          <w:sz w:val="16"/>
          <w:szCs w:val="16"/>
        </w:rPr>
        <w:t xml:space="preserve"> </w:t>
      </w:r>
      <w:r w:rsidR="00A51861" w:rsidRPr="00A51861">
        <w:rPr>
          <w:rFonts w:asciiTheme="majorHAnsi" w:hAnsiTheme="majorHAnsi" w:cs="Arial"/>
          <w:color w:val="auto"/>
          <w:sz w:val="16"/>
          <w:szCs w:val="16"/>
        </w:rPr>
        <w:t>Annex</w:t>
      </w:r>
      <w:r w:rsidRPr="00A51861">
        <w:rPr>
          <w:rFonts w:asciiTheme="majorHAnsi" w:hAnsiTheme="majorHAnsi" w:cs="Arial"/>
          <w:color w:val="auto"/>
          <w:sz w:val="16"/>
          <w:szCs w:val="16"/>
        </w:rPr>
        <w:t xml:space="preserve"> </w:t>
      </w:r>
      <w:r w:rsidR="00F842EE">
        <w:rPr>
          <w:rFonts w:asciiTheme="majorHAnsi" w:hAnsiTheme="majorHAnsi" w:cs="Arial"/>
          <w:color w:val="auto"/>
          <w:sz w:val="16"/>
          <w:szCs w:val="16"/>
        </w:rPr>
        <w:t>74</w:t>
      </w:r>
      <w:r w:rsidRPr="00A51861">
        <w:rPr>
          <w:rFonts w:asciiTheme="majorHAnsi" w:hAnsiTheme="majorHAnsi" w:cs="Arial"/>
          <w:color w:val="auto"/>
          <w:sz w:val="16"/>
          <w:szCs w:val="16"/>
        </w:rPr>
        <w:t xml:space="preserve">. </w:t>
      </w:r>
      <w:r w:rsidR="004E56A9">
        <w:rPr>
          <w:rFonts w:asciiTheme="majorHAnsi" w:hAnsiTheme="majorHAnsi" w:cs="Arial"/>
          <w:color w:val="auto"/>
          <w:sz w:val="16"/>
          <w:szCs w:val="16"/>
        </w:rPr>
        <w:t>Judgment</w:t>
      </w:r>
      <w:r w:rsidR="00061928">
        <w:rPr>
          <w:rFonts w:asciiTheme="majorHAnsi" w:hAnsiTheme="majorHAnsi" w:cs="Arial"/>
          <w:color w:val="auto"/>
          <w:sz w:val="16"/>
          <w:szCs w:val="16"/>
        </w:rPr>
        <w:t xml:space="preserve"> of the </w:t>
      </w:r>
      <w:r w:rsidR="0020342F">
        <w:rPr>
          <w:rFonts w:asciiTheme="majorHAnsi" w:hAnsiTheme="majorHAnsi" w:cs="Arial"/>
          <w:color w:val="auto"/>
          <w:sz w:val="16"/>
          <w:szCs w:val="16"/>
        </w:rPr>
        <w:t>Supreme Court of Justice of the Nation</w:t>
      </w:r>
      <w:r w:rsidRPr="00A51861">
        <w:rPr>
          <w:rFonts w:asciiTheme="majorHAnsi" w:hAnsiTheme="majorHAnsi" w:cs="Arial"/>
          <w:color w:val="auto"/>
          <w:sz w:val="16"/>
          <w:szCs w:val="16"/>
        </w:rPr>
        <w:t xml:space="preserve"> </w:t>
      </w:r>
      <w:r w:rsidR="00B6596B">
        <w:rPr>
          <w:rFonts w:asciiTheme="majorHAnsi" w:hAnsiTheme="majorHAnsi" w:cs="Arial"/>
          <w:color w:val="auto"/>
          <w:sz w:val="16"/>
          <w:szCs w:val="16"/>
        </w:rPr>
        <w:t xml:space="preserve">Case </w:t>
      </w:r>
      <w:r w:rsidRPr="00A51861">
        <w:rPr>
          <w:rFonts w:asciiTheme="majorHAnsi" w:hAnsiTheme="majorHAnsi" w:cs="Arial"/>
          <w:color w:val="auto"/>
          <w:sz w:val="16"/>
          <w:szCs w:val="16"/>
        </w:rPr>
        <w:t xml:space="preserve">Yofre de Vaca Narvaja, Susana, </w:t>
      </w:r>
      <w:r w:rsidR="008158C2">
        <w:rPr>
          <w:rFonts w:asciiTheme="majorHAnsi" w:hAnsiTheme="majorHAnsi" w:cs="Arial"/>
          <w:color w:val="auto"/>
          <w:sz w:val="16"/>
          <w:szCs w:val="16"/>
        </w:rPr>
        <w:t xml:space="preserve">October 14, </w:t>
      </w:r>
      <w:r w:rsidRPr="00A51861">
        <w:rPr>
          <w:rFonts w:asciiTheme="majorHAnsi" w:hAnsiTheme="majorHAnsi" w:cs="Arial"/>
          <w:color w:val="auto"/>
          <w:sz w:val="16"/>
          <w:szCs w:val="16"/>
        </w:rPr>
        <w:t xml:space="preserve">2004. </w:t>
      </w:r>
      <w:r w:rsidR="00772057">
        <w:rPr>
          <w:rFonts w:asciiTheme="majorHAnsi" w:hAnsiTheme="majorHAnsi" w:cs="Arial"/>
          <w:color w:val="auto"/>
          <w:sz w:val="16"/>
          <w:szCs w:val="16"/>
        </w:rPr>
        <w:t xml:space="preserve">Annexed to the initial petition of </w:t>
      </w:r>
      <w:r w:rsidRPr="00A51861">
        <w:rPr>
          <w:rFonts w:asciiTheme="majorHAnsi" w:hAnsiTheme="majorHAnsi" w:cs="Arial"/>
          <w:color w:val="auto"/>
          <w:sz w:val="16"/>
          <w:szCs w:val="16"/>
        </w:rPr>
        <w:t xml:space="preserve">Julio César Rito de los Santos </w:t>
      </w:r>
      <w:r w:rsidR="00EC7A58">
        <w:rPr>
          <w:rFonts w:asciiTheme="majorHAnsi" w:hAnsiTheme="majorHAnsi" w:cs="Arial"/>
          <w:color w:val="auto"/>
          <w:sz w:val="16"/>
          <w:szCs w:val="16"/>
        </w:rPr>
        <w:t xml:space="preserve">of May 11, </w:t>
      </w:r>
      <w:r w:rsidRPr="00A51861">
        <w:rPr>
          <w:rFonts w:asciiTheme="majorHAnsi" w:hAnsiTheme="majorHAnsi" w:cs="Arial"/>
          <w:color w:val="auto"/>
          <w:sz w:val="16"/>
          <w:szCs w:val="16"/>
        </w:rPr>
        <w:t xml:space="preserve">2007. </w:t>
      </w:r>
      <w:r w:rsidR="00972ECA">
        <w:rPr>
          <w:rFonts w:asciiTheme="majorHAnsi" w:hAnsiTheme="majorHAnsi" w:cs="Arial"/>
          <w:color w:val="auto"/>
          <w:sz w:val="16"/>
          <w:szCs w:val="16"/>
        </w:rPr>
        <w:t>In said</w:t>
      </w:r>
      <w:r w:rsidRPr="00A51861">
        <w:rPr>
          <w:rFonts w:asciiTheme="majorHAnsi" w:hAnsiTheme="majorHAnsi" w:cs="Arial"/>
          <w:color w:val="auto"/>
          <w:sz w:val="16"/>
          <w:szCs w:val="16"/>
        </w:rPr>
        <w:t xml:space="preserve"> </w:t>
      </w:r>
      <w:r w:rsidR="004E56A9">
        <w:rPr>
          <w:rFonts w:asciiTheme="majorHAnsi" w:hAnsiTheme="majorHAnsi" w:cs="Arial"/>
          <w:color w:val="auto"/>
          <w:sz w:val="16"/>
          <w:szCs w:val="16"/>
        </w:rPr>
        <w:t>Judgment</w:t>
      </w:r>
      <w:r w:rsidRPr="00A51861">
        <w:rPr>
          <w:rFonts w:asciiTheme="majorHAnsi" w:hAnsiTheme="majorHAnsi" w:cs="Arial"/>
          <w:color w:val="auto"/>
          <w:sz w:val="16"/>
          <w:szCs w:val="16"/>
        </w:rPr>
        <w:t xml:space="preserve">, </w:t>
      </w:r>
      <w:r w:rsidR="00972ECA">
        <w:rPr>
          <w:rFonts w:asciiTheme="majorHAnsi" w:hAnsiTheme="majorHAnsi" w:cs="Arial"/>
          <w:color w:val="auto"/>
          <w:sz w:val="16"/>
          <w:szCs w:val="16"/>
        </w:rPr>
        <w:t>the</w:t>
      </w:r>
      <w:r w:rsidRPr="00A51861">
        <w:rPr>
          <w:rFonts w:asciiTheme="majorHAnsi" w:hAnsiTheme="majorHAnsi" w:cs="Arial"/>
          <w:color w:val="auto"/>
          <w:sz w:val="16"/>
          <w:szCs w:val="16"/>
        </w:rPr>
        <w:t xml:space="preserve"> </w:t>
      </w:r>
      <w:r w:rsidR="00521E91">
        <w:rPr>
          <w:rFonts w:asciiTheme="majorHAnsi" w:hAnsiTheme="majorHAnsi" w:cs="Arial"/>
          <w:color w:val="auto"/>
          <w:sz w:val="16"/>
          <w:szCs w:val="16"/>
        </w:rPr>
        <w:t>Supreme Court</w:t>
      </w:r>
      <w:r w:rsidRPr="00A51861">
        <w:rPr>
          <w:rFonts w:asciiTheme="majorHAnsi" w:hAnsiTheme="majorHAnsi" w:cs="Arial"/>
          <w:color w:val="auto"/>
          <w:sz w:val="16"/>
          <w:szCs w:val="16"/>
        </w:rPr>
        <w:t xml:space="preserve"> respond</w:t>
      </w:r>
      <w:r w:rsidR="00972ECA">
        <w:rPr>
          <w:rFonts w:asciiTheme="majorHAnsi" w:hAnsiTheme="majorHAnsi" w:cs="Arial"/>
          <w:color w:val="auto"/>
          <w:sz w:val="16"/>
          <w:szCs w:val="16"/>
        </w:rPr>
        <w:t>ed</w:t>
      </w:r>
      <w:r w:rsidRPr="00A51861">
        <w:rPr>
          <w:rFonts w:asciiTheme="majorHAnsi" w:hAnsiTheme="majorHAnsi" w:cs="Arial"/>
          <w:color w:val="auto"/>
          <w:sz w:val="16"/>
          <w:szCs w:val="16"/>
        </w:rPr>
        <w:t xml:space="preserve"> </w:t>
      </w:r>
      <w:r w:rsidR="00972ECA">
        <w:rPr>
          <w:rFonts w:asciiTheme="majorHAnsi" w:hAnsiTheme="majorHAnsi" w:cs="Arial"/>
          <w:color w:val="auto"/>
          <w:sz w:val="16"/>
          <w:szCs w:val="16"/>
        </w:rPr>
        <w:t>the question concerning the</w:t>
      </w:r>
      <w:r w:rsidRPr="00A51861">
        <w:rPr>
          <w:rFonts w:asciiTheme="majorHAnsi" w:hAnsiTheme="majorHAnsi" w:cs="Arial"/>
          <w:color w:val="auto"/>
          <w:sz w:val="16"/>
          <w:szCs w:val="16"/>
        </w:rPr>
        <w:t xml:space="preserve"> </w:t>
      </w:r>
      <w:r w:rsidR="00E92985">
        <w:rPr>
          <w:rFonts w:asciiTheme="majorHAnsi" w:hAnsiTheme="majorHAnsi" w:cs="Arial"/>
          <w:color w:val="auto"/>
          <w:sz w:val="16"/>
          <w:szCs w:val="16"/>
        </w:rPr>
        <w:t>situation</w:t>
      </w:r>
      <w:r w:rsidRPr="00A51861">
        <w:rPr>
          <w:rFonts w:asciiTheme="majorHAnsi" w:hAnsiTheme="majorHAnsi" w:cs="Arial"/>
          <w:color w:val="auto"/>
          <w:sz w:val="16"/>
          <w:szCs w:val="16"/>
        </w:rPr>
        <w:t xml:space="preserve"> </w:t>
      </w:r>
      <w:r w:rsidR="00972ECA">
        <w:rPr>
          <w:rFonts w:asciiTheme="majorHAnsi" w:hAnsiTheme="majorHAnsi" w:cs="Arial"/>
          <w:color w:val="auto"/>
          <w:sz w:val="16"/>
          <w:szCs w:val="16"/>
        </w:rPr>
        <w:t>of</w:t>
      </w:r>
      <w:r w:rsidRPr="00A51861">
        <w:rPr>
          <w:rFonts w:asciiTheme="majorHAnsi" w:hAnsiTheme="majorHAnsi" w:cs="Arial"/>
          <w:color w:val="auto"/>
          <w:sz w:val="16"/>
          <w:szCs w:val="16"/>
        </w:rPr>
        <w:t xml:space="preserve"> </w:t>
      </w:r>
      <w:r w:rsidR="00EC7A58">
        <w:rPr>
          <w:rFonts w:asciiTheme="majorHAnsi" w:hAnsiTheme="majorHAnsi" w:cs="Arial"/>
          <w:color w:val="auto"/>
          <w:sz w:val="16"/>
          <w:szCs w:val="16"/>
        </w:rPr>
        <w:t>persons</w:t>
      </w:r>
      <w:r w:rsidRPr="00A51861">
        <w:rPr>
          <w:rFonts w:asciiTheme="majorHAnsi" w:hAnsiTheme="majorHAnsi" w:cs="Arial"/>
          <w:color w:val="auto"/>
          <w:sz w:val="16"/>
          <w:szCs w:val="16"/>
        </w:rPr>
        <w:t xml:space="preserve"> </w:t>
      </w:r>
      <w:r w:rsidR="00972ECA">
        <w:rPr>
          <w:rFonts w:asciiTheme="majorHAnsi" w:hAnsiTheme="majorHAnsi" w:cs="Arial"/>
          <w:color w:val="auto"/>
          <w:sz w:val="16"/>
          <w:szCs w:val="16"/>
        </w:rPr>
        <w:t>who had to leave</w:t>
      </w:r>
      <w:r w:rsidRPr="00A51861">
        <w:rPr>
          <w:rFonts w:asciiTheme="majorHAnsi" w:hAnsiTheme="majorHAnsi" w:cs="Arial"/>
          <w:color w:val="auto"/>
          <w:sz w:val="16"/>
          <w:szCs w:val="16"/>
        </w:rPr>
        <w:t xml:space="preserve"> Argentina </w:t>
      </w:r>
      <w:r w:rsidR="00972ECA">
        <w:rPr>
          <w:rFonts w:asciiTheme="majorHAnsi" w:hAnsiTheme="majorHAnsi" w:cs="Arial"/>
          <w:color w:val="auto"/>
          <w:sz w:val="16"/>
          <w:szCs w:val="16"/>
        </w:rPr>
        <w:t>as</w:t>
      </w:r>
      <w:r w:rsidRPr="00A51861">
        <w:rPr>
          <w:rFonts w:asciiTheme="majorHAnsi" w:hAnsiTheme="majorHAnsi" w:cs="Arial"/>
          <w:color w:val="auto"/>
          <w:sz w:val="16"/>
          <w:szCs w:val="16"/>
        </w:rPr>
        <w:t xml:space="preserve"> </w:t>
      </w:r>
      <w:r w:rsidR="00972ECA">
        <w:rPr>
          <w:rFonts w:asciiTheme="majorHAnsi" w:hAnsiTheme="majorHAnsi" w:cs="Arial"/>
          <w:color w:val="auto"/>
          <w:sz w:val="16"/>
          <w:szCs w:val="16"/>
        </w:rPr>
        <w:t xml:space="preserve">asylum seekers or political </w:t>
      </w:r>
      <w:r w:rsidR="00DE173A">
        <w:rPr>
          <w:rFonts w:asciiTheme="majorHAnsi" w:hAnsiTheme="majorHAnsi" w:cs="Arial"/>
          <w:color w:val="auto"/>
          <w:sz w:val="16"/>
          <w:szCs w:val="16"/>
        </w:rPr>
        <w:t>refugee</w:t>
      </w:r>
      <w:r w:rsidRPr="00A51861">
        <w:rPr>
          <w:rFonts w:asciiTheme="majorHAnsi" w:hAnsiTheme="majorHAnsi" w:cs="Arial"/>
          <w:color w:val="auto"/>
          <w:sz w:val="16"/>
          <w:szCs w:val="16"/>
        </w:rPr>
        <w:t xml:space="preserve">s </w:t>
      </w:r>
      <w:r w:rsidR="00972ECA">
        <w:rPr>
          <w:rFonts w:asciiTheme="majorHAnsi" w:hAnsiTheme="majorHAnsi" w:cs="Arial"/>
          <w:color w:val="auto"/>
          <w:sz w:val="16"/>
          <w:szCs w:val="16"/>
        </w:rPr>
        <w:t>for political persecution</w:t>
      </w:r>
      <w:r w:rsidR="00B6596B">
        <w:rPr>
          <w:rFonts w:asciiTheme="majorHAnsi" w:hAnsiTheme="majorHAnsi" w:cs="Arial"/>
          <w:color w:val="auto"/>
          <w:sz w:val="16"/>
          <w:szCs w:val="16"/>
        </w:rPr>
        <w:t xml:space="preserve"> and </w:t>
      </w:r>
      <w:r w:rsidRPr="00A51861">
        <w:rPr>
          <w:rFonts w:asciiTheme="majorHAnsi" w:hAnsiTheme="majorHAnsi" w:cs="Arial"/>
          <w:color w:val="auto"/>
          <w:sz w:val="16"/>
          <w:szCs w:val="16"/>
        </w:rPr>
        <w:t>no</w:t>
      </w:r>
      <w:r w:rsidR="00972ECA">
        <w:rPr>
          <w:rFonts w:asciiTheme="majorHAnsi" w:hAnsiTheme="majorHAnsi" w:cs="Arial"/>
          <w:color w:val="auto"/>
          <w:sz w:val="16"/>
          <w:szCs w:val="16"/>
        </w:rPr>
        <w:t>t</w:t>
      </w:r>
      <w:r w:rsidRPr="00A51861">
        <w:rPr>
          <w:rFonts w:asciiTheme="majorHAnsi" w:hAnsiTheme="majorHAnsi" w:cs="Arial"/>
          <w:color w:val="auto"/>
          <w:sz w:val="16"/>
          <w:szCs w:val="16"/>
        </w:rPr>
        <w:t xml:space="preserve"> </w:t>
      </w:r>
      <w:r w:rsidR="00972ECA">
        <w:rPr>
          <w:rFonts w:asciiTheme="majorHAnsi" w:hAnsiTheme="majorHAnsi" w:cs="Arial"/>
          <w:color w:val="auto"/>
          <w:sz w:val="16"/>
          <w:szCs w:val="16"/>
        </w:rPr>
        <w:t>for being</w:t>
      </w:r>
      <w:r w:rsidRPr="00A51861">
        <w:rPr>
          <w:rFonts w:asciiTheme="majorHAnsi" w:hAnsiTheme="majorHAnsi" w:cs="Arial"/>
          <w:color w:val="auto"/>
          <w:sz w:val="16"/>
          <w:szCs w:val="16"/>
        </w:rPr>
        <w:t xml:space="preserve"> </w:t>
      </w:r>
      <w:r w:rsidR="00BF5EB0">
        <w:rPr>
          <w:rFonts w:asciiTheme="majorHAnsi" w:hAnsiTheme="majorHAnsi" w:cs="Arial"/>
          <w:color w:val="auto"/>
          <w:sz w:val="16"/>
          <w:szCs w:val="16"/>
        </w:rPr>
        <w:t>victim</w:t>
      </w:r>
      <w:r w:rsidRPr="00A51861">
        <w:rPr>
          <w:rFonts w:asciiTheme="majorHAnsi" w:hAnsiTheme="majorHAnsi" w:cs="Arial"/>
          <w:color w:val="auto"/>
          <w:sz w:val="16"/>
          <w:szCs w:val="16"/>
        </w:rPr>
        <w:t xml:space="preserve">s </w:t>
      </w:r>
      <w:r w:rsidR="00972ECA">
        <w:rPr>
          <w:rFonts w:asciiTheme="majorHAnsi" w:hAnsiTheme="majorHAnsi" w:cs="Arial"/>
          <w:color w:val="auto"/>
          <w:sz w:val="16"/>
          <w:szCs w:val="16"/>
        </w:rPr>
        <w:t>of</w:t>
      </w:r>
      <w:r w:rsidRPr="00A51861">
        <w:rPr>
          <w:rFonts w:asciiTheme="majorHAnsi" w:hAnsiTheme="majorHAnsi" w:cs="Arial"/>
          <w:color w:val="auto"/>
          <w:sz w:val="16"/>
          <w:szCs w:val="16"/>
        </w:rPr>
        <w:t xml:space="preserve"> </w:t>
      </w:r>
      <w:r w:rsidR="00972ECA">
        <w:rPr>
          <w:rFonts w:asciiTheme="majorHAnsi" w:hAnsiTheme="majorHAnsi" w:cs="Arial"/>
          <w:color w:val="auto"/>
          <w:sz w:val="16"/>
          <w:szCs w:val="16"/>
        </w:rPr>
        <w:t xml:space="preserve">illegal detentions </w:t>
      </w:r>
      <w:r w:rsidRPr="00A51861">
        <w:rPr>
          <w:rFonts w:asciiTheme="majorHAnsi" w:hAnsiTheme="majorHAnsi" w:cs="Arial"/>
          <w:color w:val="auto"/>
          <w:sz w:val="16"/>
          <w:szCs w:val="16"/>
        </w:rPr>
        <w:t>(</w:t>
      </w:r>
      <w:r w:rsidR="00972ECA">
        <w:rPr>
          <w:rFonts w:asciiTheme="majorHAnsi" w:hAnsiTheme="majorHAnsi" w:cs="Arial"/>
          <w:color w:val="auto"/>
          <w:sz w:val="16"/>
          <w:szCs w:val="16"/>
        </w:rPr>
        <w:t xml:space="preserve">and who had been forced to remain as </w:t>
      </w:r>
      <w:r w:rsidR="00334708">
        <w:rPr>
          <w:rFonts w:asciiTheme="majorHAnsi" w:hAnsiTheme="majorHAnsi" w:cs="Arial"/>
          <w:color w:val="auto"/>
          <w:sz w:val="16"/>
          <w:szCs w:val="16"/>
        </w:rPr>
        <w:t xml:space="preserve">refugees in the embassy of </w:t>
      </w:r>
      <w:r w:rsidRPr="00A51861">
        <w:rPr>
          <w:rFonts w:asciiTheme="majorHAnsi" w:hAnsiTheme="majorHAnsi" w:cs="Arial"/>
          <w:color w:val="auto"/>
          <w:sz w:val="16"/>
          <w:szCs w:val="16"/>
        </w:rPr>
        <w:t>M</w:t>
      </w:r>
      <w:r w:rsidR="00334708">
        <w:rPr>
          <w:rFonts w:asciiTheme="majorHAnsi" w:hAnsiTheme="majorHAnsi" w:cs="Arial"/>
          <w:color w:val="auto"/>
          <w:sz w:val="16"/>
          <w:szCs w:val="16"/>
        </w:rPr>
        <w:t>e</w:t>
      </w:r>
      <w:r w:rsidRPr="00A51861">
        <w:rPr>
          <w:rFonts w:asciiTheme="majorHAnsi" w:hAnsiTheme="majorHAnsi" w:cs="Arial"/>
          <w:color w:val="auto"/>
          <w:sz w:val="16"/>
          <w:szCs w:val="16"/>
        </w:rPr>
        <w:t xml:space="preserve">xico </w:t>
      </w:r>
      <w:r w:rsidR="00334708">
        <w:rPr>
          <w:rFonts w:asciiTheme="majorHAnsi" w:hAnsiTheme="majorHAnsi" w:cs="Arial"/>
          <w:color w:val="auto"/>
          <w:sz w:val="16"/>
          <w:szCs w:val="16"/>
        </w:rPr>
        <w:t>i</w:t>
      </w:r>
      <w:r w:rsidRPr="00A51861">
        <w:rPr>
          <w:rFonts w:asciiTheme="majorHAnsi" w:hAnsiTheme="majorHAnsi" w:cs="Arial"/>
          <w:color w:val="auto"/>
          <w:sz w:val="16"/>
          <w:szCs w:val="16"/>
        </w:rPr>
        <w:t xml:space="preserve">n Buenos Aires </w:t>
      </w:r>
      <w:r w:rsidR="00334708">
        <w:rPr>
          <w:rFonts w:asciiTheme="majorHAnsi" w:hAnsiTheme="majorHAnsi" w:cs="Arial"/>
          <w:color w:val="auto"/>
          <w:sz w:val="16"/>
          <w:szCs w:val="16"/>
        </w:rPr>
        <w:t>without being able to leave</w:t>
      </w:r>
      <w:r w:rsidR="00061928">
        <w:rPr>
          <w:rFonts w:asciiTheme="majorHAnsi" w:hAnsiTheme="majorHAnsi" w:cs="Arial"/>
          <w:color w:val="auto"/>
          <w:sz w:val="16"/>
          <w:szCs w:val="16"/>
        </w:rPr>
        <w:t xml:space="preserve"> the </w:t>
      </w:r>
      <w:r w:rsidR="00334708">
        <w:rPr>
          <w:rFonts w:asciiTheme="majorHAnsi" w:hAnsiTheme="majorHAnsi" w:cs="Arial"/>
          <w:color w:val="auto"/>
          <w:sz w:val="16"/>
          <w:szCs w:val="16"/>
        </w:rPr>
        <w:t>diplomatic office because their lives were in danger</w:t>
      </w:r>
      <w:r w:rsidRPr="00A51861">
        <w:rPr>
          <w:rFonts w:asciiTheme="majorHAnsi" w:hAnsiTheme="majorHAnsi" w:cs="Arial"/>
          <w:color w:val="auto"/>
          <w:sz w:val="16"/>
          <w:szCs w:val="16"/>
        </w:rPr>
        <w:t xml:space="preserve">), </w:t>
      </w:r>
      <w:r w:rsidR="00334708">
        <w:rPr>
          <w:rFonts w:asciiTheme="majorHAnsi" w:hAnsiTheme="majorHAnsi" w:cs="Arial"/>
          <w:color w:val="auto"/>
          <w:sz w:val="16"/>
          <w:szCs w:val="16"/>
        </w:rPr>
        <w:t>find their place in the provisions</w:t>
      </w:r>
      <w:r w:rsidR="00061928">
        <w:rPr>
          <w:rFonts w:asciiTheme="majorHAnsi" w:hAnsiTheme="majorHAnsi" w:cs="Arial"/>
          <w:color w:val="auto"/>
          <w:sz w:val="16"/>
          <w:szCs w:val="16"/>
        </w:rPr>
        <w:t xml:space="preserve"> of </w:t>
      </w:r>
      <w:r w:rsidR="00026BBF">
        <w:rPr>
          <w:rFonts w:asciiTheme="majorHAnsi" w:hAnsiTheme="majorHAnsi" w:cs="Arial"/>
          <w:color w:val="auto"/>
          <w:sz w:val="16"/>
          <w:szCs w:val="16"/>
        </w:rPr>
        <w:t>Law 24.043</w:t>
      </w:r>
      <w:r w:rsidRPr="00A51861">
        <w:rPr>
          <w:rFonts w:asciiTheme="majorHAnsi" w:hAnsiTheme="majorHAnsi" w:cs="Arial"/>
          <w:color w:val="auto"/>
          <w:sz w:val="16"/>
          <w:szCs w:val="16"/>
        </w:rPr>
        <w:t xml:space="preserve">, </w:t>
      </w:r>
      <w:r w:rsidR="00334708">
        <w:rPr>
          <w:rFonts w:asciiTheme="majorHAnsi" w:hAnsiTheme="majorHAnsi" w:cs="Arial"/>
          <w:color w:val="auto"/>
          <w:sz w:val="16"/>
          <w:szCs w:val="16"/>
        </w:rPr>
        <w:t>holding</w:t>
      </w:r>
      <w:r w:rsidRPr="00A51861">
        <w:rPr>
          <w:rFonts w:asciiTheme="majorHAnsi" w:hAnsiTheme="majorHAnsi" w:cs="Arial"/>
          <w:color w:val="auto"/>
          <w:sz w:val="16"/>
          <w:szCs w:val="16"/>
        </w:rPr>
        <w:t>: “(…)</w:t>
      </w:r>
      <w:r w:rsidR="00334708">
        <w:rPr>
          <w:rFonts w:asciiTheme="majorHAnsi" w:hAnsiTheme="majorHAnsi" w:cs="Arial"/>
          <w:color w:val="auto"/>
          <w:sz w:val="16"/>
          <w:szCs w:val="16"/>
        </w:rPr>
        <w:t xml:space="preserve"> </w:t>
      </w:r>
      <w:r w:rsidR="00334708">
        <w:rPr>
          <w:rFonts w:asciiTheme="majorHAnsi" w:hAnsiTheme="majorHAnsi"/>
          <w:color w:val="auto"/>
          <w:sz w:val="16"/>
          <w:szCs w:val="16"/>
        </w:rPr>
        <w:t>an affirmative answer is imposed to said question</w:t>
      </w:r>
      <w:r w:rsidRPr="00A51861">
        <w:rPr>
          <w:rFonts w:asciiTheme="majorHAnsi" w:hAnsiTheme="majorHAnsi"/>
          <w:color w:val="auto"/>
          <w:sz w:val="16"/>
          <w:szCs w:val="16"/>
        </w:rPr>
        <w:t xml:space="preserve"> </w:t>
      </w:r>
      <w:r w:rsidR="00334708">
        <w:rPr>
          <w:rFonts w:asciiTheme="majorHAnsi" w:hAnsiTheme="majorHAnsi"/>
          <w:color w:val="auto"/>
          <w:sz w:val="16"/>
          <w:szCs w:val="16"/>
        </w:rPr>
        <w:t>for the repairing vocation</w:t>
      </w:r>
      <w:r w:rsidRPr="00A51861">
        <w:rPr>
          <w:rFonts w:asciiTheme="majorHAnsi" w:hAnsiTheme="majorHAnsi"/>
          <w:color w:val="auto"/>
          <w:sz w:val="16"/>
          <w:szCs w:val="16"/>
        </w:rPr>
        <w:t xml:space="preserve"> </w:t>
      </w:r>
      <w:r w:rsidR="00334708">
        <w:rPr>
          <w:rFonts w:asciiTheme="majorHAnsi" w:hAnsiTheme="majorHAnsi"/>
          <w:color w:val="auto"/>
          <w:sz w:val="16"/>
          <w:szCs w:val="16"/>
        </w:rPr>
        <w:t>which translates the laws under study</w:t>
      </w:r>
      <w:r w:rsidRPr="00A51861">
        <w:rPr>
          <w:rFonts w:asciiTheme="majorHAnsi" w:hAnsiTheme="majorHAnsi"/>
          <w:color w:val="auto"/>
          <w:sz w:val="16"/>
          <w:szCs w:val="16"/>
        </w:rPr>
        <w:t xml:space="preserve">, </w:t>
      </w:r>
      <w:r w:rsidR="004A55EF">
        <w:rPr>
          <w:rFonts w:asciiTheme="majorHAnsi" w:hAnsiTheme="majorHAnsi"/>
          <w:color w:val="auto"/>
          <w:sz w:val="16"/>
          <w:szCs w:val="16"/>
        </w:rPr>
        <w:t>whereas the</w:t>
      </w:r>
      <w:r w:rsidRPr="00A51861">
        <w:rPr>
          <w:rFonts w:asciiTheme="majorHAnsi" w:hAnsiTheme="majorHAnsi"/>
          <w:color w:val="auto"/>
          <w:sz w:val="16"/>
          <w:szCs w:val="16"/>
        </w:rPr>
        <w:t xml:space="preserve"> </w:t>
      </w:r>
      <w:r w:rsidR="004A55EF" w:rsidRPr="00A51861">
        <w:rPr>
          <w:rFonts w:asciiTheme="majorHAnsi" w:hAnsiTheme="majorHAnsi"/>
          <w:color w:val="auto"/>
          <w:sz w:val="16"/>
          <w:szCs w:val="16"/>
        </w:rPr>
        <w:t>conditions</w:t>
      </w:r>
      <w:r w:rsidRPr="00A51861">
        <w:rPr>
          <w:rFonts w:asciiTheme="majorHAnsi" w:hAnsiTheme="majorHAnsi"/>
          <w:color w:val="auto"/>
          <w:sz w:val="16"/>
          <w:szCs w:val="16"/>
        </w:rPr>
        <w:t xml:space="preserve"> </w:t>
      </w:r>
      <w:r w:rsidR="004A55EF">
        <w:rPr>
          <w:rFonts w:asciiTheme="majorHAnsi" w:hAnsiTheme="majorHAnsi"/>
          <w:color w:val="auto"/>
          <w:sz w:val="16"/>
          <w:szCs w:val="16"/>
        </w:rPr>
        <w:t>in which the claimant had to remain</w:t>
      </w:r>
      <w:r w:rsidRPr="00A51861">
        <w:rPr>
          <w:rFonts w:asciiTheme="majorHAnsi" w:hAnsiTheme="majorHAnsi"/>
          <w:color w:val="auto"/>
          <w:sz w:val="16"/>
          <w:szCs w:val="16"/>
        </w:rPr>
        <w:t xml:space="preserve"> </w:t>
      </w:r>
      <w:r w:rsidR="00B6596B">
        <w:rPr>
          <w:rFonts w:asciiTheme="majorHAnsi" w:hAnsiTheme="majorHAnsi"/>
          <w:color w:val="auto"/>
          <w:sz w:val="16"/>
          <w:szCs w:val="16"/>
        </w:rPr>
        <w:t xml:space="preserve">and </w:t>
      </w:r>
      <w:r w:rsidR="004A55EF">
        <w:rPr>
          <w:rFonts w:asciiTheme="majorHAnsi" w:hAnsiTheme="majorHAnsi"/>
          <w:color w:val="auto"/>
          <w:sz w:val="16"/>
          <w:szCs w:val="16"/>
        </w:rPr>
        <w:t>then abandon the country</w:t>
      </w:r>
      <w:r w:rsidRPr="00A51861">
        <w:rPr>
          <w:rFonts w:asciiTheme="majorHAnsi" w:hAnsiTheme="majorHAnsi"/>
          <w:color w:val="auto"/>
          <w:sz w:val="16"/>
          <w:szCs w:val="16"/>
        </w:rPr>
        <w:t xml:space="preserve"> -</w:t>
      </w:r>
      <w:r w:rsidR="004A55EF">
        <w:rPr>
          <w:rFonts w:asciiTheme="majorHAnsi" w:hAnsiTheme="majorHAnsi"/>
          <w:color w:val="auto"/>
          <w:sz w:val="16"/>
          <w:szCs w:val="16"/>
        </w:rPr>
        <w:t>regarding which there is no</w:t>
      </w:r>
      <w:r w:rsidRPr="00A51861">
        <w:rPr>
          <w:rFonts w:asciiTheme="majorHAnsi" w:hAnsiTheme="majorHAnsi"/>
          <w:color w:val="auto"/>
          <w:sz w:val="16"/>
          <w:szCs w:val="16"/>
        </w:rPr>
        <w:t xml:space="preserve"> controvers</w:t>
      </w:r>
      <w:r w:rsidR="004A55EF">
        <w:rPr>
          <w:rFonts w:asciiTheme="majorHAnsi" w:hAnsiTheme="majorHAnsi"/>
          <w:color w:val="auto"/>
          <w:sz w:val="16"/>
          <w:szCs w:val="16"/>
        </w:rPr>
        <w:t>y</w:t>
      </w:r>
      <w:r w:rsidRPr="00A51861">
        <w:rPr>
          <w:rFonts w:asciiTheme="majorHAnsi" w:hAnsiTheme="majorHAnsi"/>
          <w:color w:val="auto"/>
          <w:sz w:val="16"/>
          <w:szCs w:val="16"/>
        </w:rPr>
        <w:t xml:space="preserve">- </w:t>
      </w:r>
      <w:r w:rsidR="004A55EF">
        <w:rPr>
          <w:rFonts w:asciiTheme="majorHAnsi" w:hAnsiTheme="majorHAnsi"/>
          <w:color w:val="auto"/>
          <w:sz w:val="16"/>
          <w:szCs w:val="16"/>
        </w:rPr>
        <w:t>prove that his</w:t>
      </w:r>
      <w:r w:rsidRPr="00A51861">
        <w:rPr>
          <w:rFonts w:asciiTheme="majorHAnsi" w:hAnsiTheme="majorHAnsi"/>
          <w:color w:val="auto"/>
          <w:sz w:val="16"/>
          <w:szCs w:val="16"/>
        </w:rPr>
        <w:t xml:space="preserve"> </w:t>
      </w:r>
      <w:r w:rsidR="000E67CA">
        <w:rPr>
          <w:rFonts w:asciiTheme="majorHAnsi" w:hAnsiTheme="majorHAnsi"/>
          <w:color w:val="auto"/>
          <w:sz w:val="16"/>
          <w:szCs w:val="16"/>
        </w:rPr>
        <w:t>decision</w:t>
      </w:r>
      <w:r w:rsidRPr="00A51861">
        <w:rPr>
          <w:rFonts w:asciiTheme="majorHAnsi" w:hAnsiTheme="majorHAnsi"/>
          <w:color w:val="auto"/>
          <w:sz w:val="16"/>
          <w:szCs w:val="16"/>
        </w:rPr>
        <w:t xml:space="preserve"> </w:t>
      </w:r>
      <w:r w:rsidR="004A55EF">
        <w:rPr>
          <w:rFonts w:asciiTheme="majorHAnsi" w:hAnsiTheme="majorHAnsi"/>
          <w:color w:val="auto"/>
          <w:sz w:val="16"/>
          <w:szCs w:val="16"/>
        </w:rPr>
        <w:t>to seek aid</w:t>
      </w:r>
      <w:r w:rsidRPr="00A51861">
        <w:rPr>
          <w:rFonts w:asciiTheme="majorHAnsi" w:hAnsiTheme="majorHAnsi"/>
          <w:color w:val="auto"/>
          <w:sz w:val="16"/>
          <w:szCs w:val="16"/>
        </w:rPr>
        <w:t xml:space="preserve">, </w:t>
      </w:r>
      <w:r w:rsidR="004A55EF">
        <w:rPr>
          <w:rFonts w:asciiTheme="majorHAnsi" w:hAnsiTheme="majorHAnsi"/>
          <w:color w:val="auto"/>
          <w:sz w:val="16"/>
          <w:szCs w:val="16"/>
        </w:rPr>
        <w:t>first</w:t>
      </w:r>
      <w:r w:rsidRPr="00A51861">
        <w:rPr>
          <w:rFonts w:asciiTheme="majorHAnsi" w:hAnsiTheme="majorHAnsi"/>
          <w:color w:val="auto"/>
          <w:sz w:val="16"/>
          <w:szCs w:val="16"/>
        </w:rPr>
        <w:t xml:space="preserve">, </w:t>
      </w:r>
      <w:r w:rsidR="004A55EF">
        <w:rPr>
          <w:rFonts w:asciiTheme="majorHAnsi" w:hAnsiTheme="majorHAnsi"/>
          <w:color w:val="auto"/>
          <w:sz w:val="16"/>
          <w:szCs w:val="16"/>
        </w:rPr>
        <w:t>under the flag of a friendly nation</w:t>
      </w:r>
      <w:r w:rsidRPr="00A51861">
        <w:rPr>
          <w:rFonts w:asciiTheme="majorHAnsi" w:hAnsiTheme="majorHAnsi"/>
          <w:color w:val="auto"/>
          <w:sz w:val="16"/>
          <w:szCs w:val="16"/>
        </w:rPr>
        <w:t>,</w:t>
      </w:r>
      <w:r w:rsidR="00B6596B">
        <w:rPr>
          <w:rFonts w:asciiTheme="majorHAnsi" w:hAnsiTheme="majorHAnsi"/>
          <w:color w:val="auto"/>
          <w:sz w:val="16"/>
          <w:szCs w:val="16"/>
        </w:rPr>
        <w:t xml:space="preserve"> and </w:t>
      </w:r>
      <w:r w:rsidRPr="00A51861">
        <w:rPr>
          <w:rFonts w:asciiTheme="majorHAnsi" w:hAnsiTheme="majorHAnsi"/>
          <w:color w:val="auto"/>
          <w:sz w:val="16"/>
          <w:szCs w:val="16"/>
        </w:rPr>
        <w:t>emigra</w:t>
      </w:r>
      <w:r w:rsidR="004A55EF">
        <w:rPr>
          <w:rFonts w:asciiTheme="majorHAnsi" w:hAnsiTheme="majorHAnsi"/>
          <w:color w:val="auto"/>
          <w:sz w:val="16"/>
          <w:szCs w:val="16"/>
        </w:rPr>
        <w:t>te</w:t>
      </w:r>
      <w:r w:rsidRPr="00A51861">
        <w:rPr>
          <w:rFonts w:asciiTheme="majorHAnsi" w:hAnsiTheme="majorHAnsi"/>
          <w:color w:val="auto"/>
          <w:sz w:val="16"/>
          <w:szCs w:val="16"/>
        </w:rPr>
        <w:t xml:space="preserve"> </w:t>
      </w:r>
      <w:r w:rsidR="004A55EF">
        <w:rPr>
          <w:rFonts w:asciiTheme="majorHAnsi" w:hAnsiTheme="majorHAnsi"/>
          <w:color w:val="auto"/>
          <w:sz w:val="16"/>
          <w:szCs w:val="16"/>
        </w:rPr>
        <w:t>later</w:t>
      </w:r>
      <w:r w:rsidRPr="00A51861">
        <w:rPr>
          <w:rFonts w:asciiTheme="majorHAnsi" w:hAnsiTheme="majorHAnsi"/>
          <w:color w:val="auto"/>
          <w:sz w:val="16"/>
          <w:szCs w:val="16"/>
        </w:rPr>
        <w:t xml:space="preserve">, </w:t>
      </w:r>
      <w:r w:rsidR="004A55EF">
        <w:rPr>
          <w:rFonts w:asciiTheme="majorHAnsi" w:hAnsiTheme="majorHAnsi"/>
          <w:color w:val="auto"/>
          <w:sz w:val="16"/>
          <w:szCs w:val="16"/>
        </w:rPr>
        <w:t>far from being regarded as</w:t>
      </w:r>
      <w:r w:rsidRPr="00A51861">
        <w:rPr>
          <w:rFonts w:asciiTheme="majorHAnsi" w:hAnsiTheme="majorHAnsi"/>
          <w:color w:val="auto"/>
          <w:sz w:val="16"/>
          <w:szCs w:val="16"/>
        </w:rPr>
        <w:t xml:space="preserve"> "voluntar</w:t>
      </w:r>
      <w:r w:rsidR="004A55EF">
        <w:rPr>
          <w:rFonts w:asciiTheme="majorHAnsi" w:hAnsiTheme="majorHAnsi"/>
          <w:color w:val="auto"/>
          <w:sz w:val="16"/>
          <w:szCs w:val="16"/>
        </w:rPr>
        <w:t>y</w:t>
      </w:r>
      <w:r w:rsidRPr="00A51861">
        <w:rPr>
          <w:rFonts w:asciiTheme="majorHAnsi" w:hAnsiTheme="majorHAnsi"/>
          <w:color w:val="auto"/>
          <w:sz w:val="16"/>
          <w:szCs w:val="16"/>
        </w:rPr>
        <w:t xml:space="preserve">" </w:t>
      </w:r>
      <w:r w:rsidR="004A55EF">
        <w:rPr>
          <w:rFonts w:asciiTheme="majorHAnsi" w:hAnsiTheme="majorHAnsi"/>
          <w:color w:val="auto"/>
          <w:sz w:val="16"/>
          <w:szCs w:val="16"/>
        </w:rPr>
        <w:t>or</w:t>
      </w:r>
      <w:r w:rsidRPr="00A51861">
        <w:rPr>
          <w:rFonts w:asciiTheme="majorHAnsi" w:hAnsiTheme="majorHAnsi"/>
          <w:color w:val="auto"/>
          <w:sz w:val="16"/>
          <w:szCs w:val="16"/>
        </w:rPr>
        <w:t xml:space="preserve"> </w:t>
      </w:r>
      <w:r w:rsidR="004A55EF">
        <w:rPr>
          <w:rFonts w:asciiTheme="majorHAnsi" w:hAnsiTheme="majorHAnsi"/>
          <w:color w:val="auto"/>
          <w:sz w:val="16"/>
          <w:szCs w:val="16"/>
        </w:rPr>
        <w:t>freely</w:t>
      </w:r>
      <w:r w:rsidR="0029564F">
        <w:rPr>
          <w:rFonts w:asciiTheme="majorHAnsi" w:hAnsiTheme="majorHAnsi"/>
          <w:color w:val="auto"/>
          <w:sz w:val="16"/>
          <w:szCs w:val="16"/>
        </w:rPr>
        <w:t xml:space="preserve"> </w:t>
      </w:r>
      <w:r w:rsidRPr="00A51861">
        <w:rPr>
          <w:rFonts w:asciiTheme="majorHAnsi" w:hAnsiTheme="majorHAnsi"/>
          <w:color w:val="auto"/>
          <w:sz w:val="16"/>
          <w:szCs w:val="16"/>
        </w:rPr>
        <w:t>adopt</w:t>
      </w:r>
      <w:r w:rsidR="004A55EF">
        <w:rPr>
          <w:rFonts w:asciiTheme="majorHAnsi" w:hAnsiTheme="majorHAnsi"/>
          <w:color w:val="auto"/>
          <w:sz w:val="16"/>
          <w:szCs w:val="16"/>
        </w:rPr>
        <w:t>ed</w:t>
      </w:r>
      <w:r w:rsidRPr="00A51861">
        <w:rPr>
          <w:rFonts w:asciiTheme="majorHAnsi" w:hAnsiTheme="majorHAnsi"/>
          <w:color w:val="auto"/>
          <w:sz w:val="16"/>
          <w:szCs w:val="16"/>
        </w:rPr>
        <w:t xml:space="preserve">, </w:t>
      </w:r>
      <w:r w:rsidR="004A55EF">
        <w:rPr>
          <w:rFonts w:asciiTheme="majorHAnsi" w:hAnsiTheme="majorHAnsi"/>
          <w:color w:val="auto"/>
          <w:sz w:val="16"/>
          <w:szCs w:val="16"/>
        </w:rPr>
        <w:t>was the only</w:t>
      </w:r>
      <w:r w:rsidR="00B6596B">
        <w:rPr>
          <w:rFonts w:asciiTheme="majorHAnsi" w:hAnsiTheme="majorHAnsi"/>
          <w:color w:val="auto"/>
          <w:sz w:val="16"/>
          <w:szCs w:val="16"/>
        </w:rPr>
        <w:t xml:space="preserve"> and </w:t>
      </w:r>
      <w:r w:rsidRPr="00A51861">
        <w:rPr>
          <w:rFonts w:asciiTheme="majorHAnsi" w:hAnsiTheme="majorHAnsi"/>
          <w:color w:val="auto"/>
          <w:sz w:val="16"/>
          <w:szCs w:val="16"/>
        </w:rPr>
        <w:t>despera</w:t>
      </w:r>
      <w:r w:rsidR="004A55EF">
        <w:rPr>
          <w:rFonts w:asciiTheme="majorHAnsi" w:hAnsiTheme="majorHAnsi"/>
          <w:color w:val="auto"/>
          <w:sz w:val="16"/>
          <w:szCs w:val="16"/>
        </w:rPr>
        <w:t>te</w:t>
      </w:r>
      <w:r w:rsidRPr="00A51861">
        <w:rPr>
          <w:rFonts w:asciiTheme="majorHAnsi" w:hAnsiTheme="majorHAnsi"/>
          <w:color w:val="auto"/>
          <w:sz w:val="16"/>
          <w:szCs w:val="16"/>
        </w:rPr>
        <w:t xml:space="preserve"> </w:t>
      </w:r>
      <w:r w:rsidR="004A55EF">
        <w:rPr>
          <w:rFonts w:asciiTheme="majorHAnsi" w:hAnsiTheme="majorHAnsi"/>
          <w:color w:val="auto"/>
          <w:sz w:val="16"/>
          <w:szCs w:val="16"/>
        </w:rPr>
        <w:t>choice</w:t>
      </w:r>
      <w:r w:rsidRPr="00A51861">
        <w:rPr>
          <w:rFonts w:asciiTheme="majorHAnsi" w:hAnsiTheme="majorHAnsi"/>
          <w:color w:val="auto"/>
          <w:sz w:val="16"/>
          <w:szCs w:val="16"/>
        </w:rPr>
        <w:t xml:space="preserve"> </w:t>
      </w:r>
      <w:r w:rsidR="004A55EF">
        <w:rPr>
          <w:rFonts w:asciiTheme="majorHAnsi" w:hAnsiTheme="majorHAnsi"/>
          <w:color w:val="auto"/>
          <w:sz w:val="16"/>
          <w:szCs w:val="16"/>
        </w:rPr>
        <w:t>he had to save his life upon the threat</w:t>
      </w:r>
      <w:r w:rsidRPr="00A51861">
        <w:rPr>
          <w:rFonts w:asciiTheme="majorHAnsi" w:hAnsiTheme="majorHAnsi"/>
          <w:color w:val="auto"/>
          <w:sz w:val="16"/>
          <w:szCs w:val="16"/>
        </w:rPr>
        <w:t xml:space="preserve"> </w:t>
      </w:r>
      <w:r w:rsidR="004A55EF">
        <w:rPr>
          <w:rFonts w:asciiTheme="majorHAnsi" w:hAnsiTheme="majorHAnsi"/>
          <w:color w:val="auto"/>
          <w:sz w:val="16"/>
          <w:szCs w:val="16"/>
        </w:rPr>
        <w:t>of the</w:t>
      </w:r>
      <w:r w:rsidR="00DE173A">
        <w:rPr>
          <w:rFonts w:asciiTheme="majorHAnsi" w:hAnsiTheme="majorHAnsi"/>
          <w:color w:val="auto"/>
          <w:sz w:val="16"/>
          <w:szCs w:val="16"/>
        </w:rPr>
        <w:t xml:space="preserve"> State </w:t>
      </w:r>
      <w:r w:rsidR="004A55EF">
        <w:rPr>
          <w:rFonts w:asciiTheme="majorHAnsi" w:hAnsiTheme="majorHAnsi"/>
          <w:color w:val="auto"/>
          <w:sz w:val="16"/>
          <w:szCs w:val="16"/>
        </w:rPr>
        <w:t xml:space="preserve">itself </w:t>
      </w:r>
      <w:r w:rsidRPr="00A51861">
        <w:rPr>
          <w:rFonts w:asciiTheme="majorHAnsi" w:hAnsiTheme="majorHAnsi"/>
          <w:color w:val="auto"/>
          <w:sz w:val="16"/>
          <w:szCs w:val="16"/>
        </w:rPr>
        <w:t>o</w:t>
      </w:r>
      <w:r w:rsidR="004A55EF">
        <w:rPr>
          <w:rFonts w:asciiTheme="majorHAnsi" w:hAnsiTheme="majorHAnsi"/>
          <w:color w:val="auto"/>
          <w:sz w:val="16"/>
          <w:szCs w:val="16"/>
        </w:rPr>
        <w:t>r</w:t>
      </w:r>
      <w:r w:rsidRPr="00A51861">
        <w:rPr>
          <w:rFonts w:asciiTheme="majorHAnsi" w:hAnsiTheme="majorHAnsi"/>
          <w:color w:val="auto"/>
          <w:sz w:val="16"/>
          <w:szCs w:val="16"/>
        </w:rPr>
        <w:t xml:space="preserve"> </w:t>
      </w:r>
      <w:r w:rsidR="004A55EF">
        <w:rPr>
          <w:rFonts w:asciiTheme="majorHAnsi" w:hAnsiTheme="majorHAnsi"/>
          <w:color w:val="auto"/>
          <w:sz w:val="16"/>
          <w:szCs w:val="16"/>
        </w:rPr>
        <w:t>of</w:t>
      </w:r>
      <w:r w:rsidRPr="00A51861">
        <w:rPr>
          <w:rFonts w:asciiTheme="majorHAnsi" w:hAnsiTheme="majorHAnsi"/>
          <w:color w:val="auto"/>
          <w:sz w:val="16"/>
          <w:szCs w:val="16"/>
        </w:rPr>
        <w:t xml:space="preserve"> </w:t>
      </w:r>
      <w:r w:rsidR="004A55EF" w:rsidRPr="00A51861">
        <w:rPr>
          <w:rFonts w:asciiTheme="majorHAnsi" w:hAnsiTheme="majorHAnsi"/>
          <w:color w:val="auto"/>
          <w:sz w:val="16"/>
          <w:szCs w:val="16"/>
        </w:rPr>
        <w:t>parallel organizations</w:t>
      </w:r>
      <w:r w:rsidRPr="00A51861">
        <w:rPr>
          <w:rFonts w:asciiTheme="majorHAnsi" w:hAnsiTheme="majorHAnsi"/>
          <w:color w:val="auto"/>
          <w:sz w:val="16"/>
          <w:szCs w:val="16"/>
        </w:rPr>
        <w:t xml:space="preserve"> o</w:t>
      </w:r>
      <w:r w:rsidR="004A55EF">
        <w:rPr>
          <w:rFonts w:asciiTheme="majorHAnsi" w:hAnsiTheme="majorHAnsi"/>
          <w:color w:val="auto"/>
          <w:sz w:val="16"/>
          <w:szCs w:val="16"/>
        </w:rPr>
        <w:t>r</w:t>
      </w:r>
      <w:r w:rsidRPr="00A51861">
        <w:rPr>
          <w:rFonts w:asciiTheme="majorHAnsi" w:hAnsiTheme="majorHAnsi"/>
          <w:color w:val="auto"/>
          <w:sz w:val="16"/>
          <w:szCs w:val="16"/>
        </w:rPr>
        <w:t xml:space="preserve">, </w:t>
      </w:r>
      <w:r w:rsidR="004A55EF">
        <w:rPr>
          <w:rFonts w:asciiTheme="majorHAnsi" w:hAnsiTheme="majorHAnsi"/>
          <w:color w:val="auto"/>
          <w:sz w:val="16"/>
          <w:szCs w:val="16"/>
        </w:rPr>
        <w:t>at least</w:t>
      </w:r>
      <w:r w:rsidRPr="00A51861">
        <w:rPr>
          <w:rFonts w:asciiTheme="majorHAnsi" w:hAnsiTheme="majorHAnsi"/>
          <w:color w:val="auto"/>
          <w:sz w:val="16"/>
          <w:szCs w:val="16"/>
        </w:rPr>
        <w:t xml:space="preserve">, </w:t>
      </w:r>
      <w:r w:rsidR="004A55EF">
        <w:rPr>
          <w:rFonts w:asciiTheme="majorHAnsi" w:hAnsiTheme="majorHAnsi"/>
          <w:color w:val="auto"/>
          <w:sz w:val="16"/>
          <w:szCs w:val="16"/>
        </w:rPr>
        <w:t>to recover his freedom since</w:t>
      </w:r>
      <w:r w:rsidRPr="00A51861">
        <w:rPr>
          <w:rFonts w:asciiTheme="majorHAnsi" w:hAnsiTheme="majorHAnsi"/>
          <w:color w:val="auto"/>
          <w:sz w:val="16"/>
          <w:szCs w:val="16"/>
        </w:rPr>
        <w:t xml:space="preserve">, </w:t>
      </w:r>
      <w:r w:rsidR="004A55EF">
        <w:rPr>
          <w:rFonts w:asciiTheme="majorHAnsi" w:hAnsiTheme="majorHAnsi"/>
          <w:color w:val="auto"/>
          <w:sz w:val="16"/>
          <w:szCs w:val="16"/>
        </w:rPr>
        <w:t>as I explain hereunder</w:t>
      </w:r>
      <w:r w:rsidRPr="00A51861">
        <w:rPr>
          <w:rFonts w:asciiTheme="majorHAnsi" w:hAnsiTheme="majorHAnsi"/>
          <w:color w:val="auto"/>
          <w:sz w:val="16"/>
          <w:szCs w:val="16"/>
        </w:rPr>
        <w:t xml:space="preserve">, </w:t>
      </w:r>
      <w:r w:rsidR="004A55EF">
        <w:rPr>
          <w:rFonts w:asciiTheme="majorHAnsi" w:hAnsiTheme="majorHAnsi"/>
          <w:color w:val="auto"/>
          <w:sz w:val="16"/>
          <w:szCs w:val="16"/>
        </w:rPr>
        <w:t xml:space="preserve">I </w:t>
      </w:r>
      <w:r w:rsidRPr="00A51861">
        <w:rPr>
          <w:rFonts w:asciiTheme="majorHAnsi" w:hAnsiTheme="majorHAnsi"/>
          <w:color w:val="auto"/>
          <w:sz w:val="16"/>
          <w:szCs w:val="16"/>
        </w:rPr>
        <w:t>consider</w:t>
      </w:r>
      <w:r w:rsidR="004A55EF">
        <w:rPr>
          <w:rFonts w:asciiTheme="majorHAnsi" w:hAnsiTheme="majorHAnsi"/>
          <w:color w:val="auto"/>
          <w:sz w:val="16"/>
          <w:szCs w:val="16"/>
        </w:rPr>
        <w:t xml:space="preserve"> that at the time of his</w:t>
      </w:r>
      <w:r w:rsidRPr="00A51861">
        <w:rPr>
          <w:rFonts w:asciiTheme="majorHAnsi" w:hAnsiTheme="majorHAnsi"/>
          <w:color w:val="auto"/>
          <w:sz w:val="16"/>
          <w:szCs w:val="16"/>
        </w:rPr>
        <w:t xml:space="preserve"> </w:t>
      </w:r>
      <w:r w:rsidR="000E67CA">
        <w:rPr>
          <w:rFonts w:asciiTheme="majorHAnsi" w:hAnsiTheme="majorHAnsi"/>
          <w:color w:val="auto"/>
          <w:sz w:val="16"/>
          <w:szCs w:val="16"/>
        </w:rPr>
        <w:t>decision</w:t>
      </w:r>
      <w:r w:rsidRPr="00A51861">
        <w:rPr>
          <w:rFonts w:asciiTheme="majorHAnsi" w:hAnsiTheme="majorHAnsi"/>
          <w:color w:val="auto"/>
          <w:sz w:val="16"/>
          <w:szCs w:val="16"/>
        </w:rPr>
        <w:t xml:space="preserve"> </w:t>
      </w:r>
      <w:r w:rsidR="004A55EF">
        <w:rPr>
          <w:rFonts w:asciiTheme="majorHAnsi" w:hAnsiTheme="majorHAnsi"/>
          <w:color w:val="auto"/>
          <w:sz w:val="16"/>
          <w:szCs w:val="16"/>
        </w:rPr>
        <w:t>to leave</w:t>
      </w:r>
      <w:r w:rsidRPr="00A51861">
        <w:rPr>
          <w:rFonts w:asciiTheme="majorHAnsi" w:hAnsiTheme="majorHAnsi"/>
          <w:color w:val="auto"/>
          <w:sz w:val="16"/>
          <w:szCs w:val="16"/>
        </w:rPr>
        <w:t xml:space="preserve">, </w:t>
      </w:r>
      <w:r w:rsidR="004A55EF">
        <w:rPr>
          <w:rFonts w:asciiTheme="majorHAnsi" w:hAnsiTheme="majorHAnsi"/>
          <w:color w:val="auto"/>
          <w:sz w:val="16"/>
          <w:szCs w:val="16"/>
        </w:rPr>
        <w:t>he already suffered the shortage of said basic right</w:t>
      </w:r>
      <w:r w:rsidRPr="00A51861">
        <w:rPr>
          <w:rFonts w:asciiTheme="majorHAnsi" w:hAnsiTheme="majorHAnsi"/>
          <w:color w:val="auto"/>
          <w:sz w:val="16"/>
          <w:szCs w:val="16"/>
        </w:rPr>
        <w:t>”.</w:t>
      </w:r>
    </w:p>
  </w:footnote>
  <w:footnote w:id="243">
    <w:p w14:paraId="3094A023" w14:textId="7D4AEDFC" w:rsidR="00F40E67" w:rsidRPr="00A51861" w:rsidRDefault="00F40E67" w:rsidP="0063693D">
      <w:pPr>
        <w:pStyle w:val="FootnoteText"/>
        <w:jc w:val="both"/>
        <w:rPr>
          <w:rFonts w:asciiTheme="majorHAnsi" w:hAnsiTheme="majorHAnsi" w:cs="Arial"/>
          <w:color w:val="auto"/>
          <w:sz w:val="16"/>
          <w:szCs w:val="16"/>
        </w:rPr>
      </w:pPr>
      <w:r w:rsidRPr="00A51861">
        <w:rPr>
          <w:rStyle w:val="FootnoteReference"/>
          <w:rFonts w:asciiTheme="majorHAnsi" w:hAnsiTheme="majorHAnsi" w:cs="Arial"/>
          <w:color w:val="auto"/>
          <w:sz w:val="16"/>
          <w:szCs w:val="16"/>
        </w:rPr>
        <w:footnoteRef/>
      </w:r>
      <w:r w:rsidRPr="00A51861">
        <w:rPr>
          <w:rFonts w:asciiTheme="majorHAnsi" w:hAnsiTheme="majorHAnsi" w:cs="Arial"/>
          <w:color w:val="auto"/>
          <w:sz w:val="16"/>
          <w:szCs w:val="16"/>
        </w:rPr>
        <w:t xml:space="preserve"> </w:t>
      </w:r>
      <w:r w:rsidR="00A51861" w:rsidRPr="00A51861">
        <w:rPr>
          <w:rFonts w:asciiTheme="majorHAnsi" w:hAnsiTheme="majorHAnsi" w:cs="Arial"/>
          <w:color w:val="auto"/>
          <w:sz w:val="16"/>
          <w:szCs w:val="16"/>
        </w:rPr>
        <w:t>Annex</w:t>
      </w:r>
      <w:r w:rsidRPr="00A51861">
        <w:rPr>
          <w:rFonts w:asciiTheme="majorHAnsi" w:hAnsiTheme="majorHAnsi" w:cs="Arial"/>
          <w:color w:val="auto"/>
          <w:sz w:val="16"/>
          <w:szCs w:val="16"/>
        </w:rPr>
        <w:t xml:space="preserve"> </w:t>
      </w:r>
      <w:r w:rsidR="00F842EE">
        <w:rPr>
          <w:rFonts w:asciiTheme="majorHAnsi" w:hAnsiTheme="majorHAnsi" w:cs="Arial"/>
          <w:color w:val="auto"/>
          <w:sz w:val="16"/>
          <w:szCs w:val="16"/>
        </w:rPr>
        <w:t>74</w:t>
      </w:r>
      <w:r w:rsidRPr="00A51861">
        <w:rPr>
          <w:rFonts w:asciiTheme="majorHAnsi" w:hAnsiTheme="majorHAnsi" w:cs="Arial"/>
          <w:color w:val="auto"/>
          <w:sz w:val="16"/>
          <w:szCs w:val="16"/>
        </w:rPr>
        <w:t xml:space="preserve">. </w:t>
      </w:r>
      <w:r w:rsidR="004E56A9">
        <w:rPr>
          <w:rFonts w:asciiTheme="majorHAnsi" w:hAnsiTheme="majorHAnsi" w:cs="Arial"/>
          <w:color w:val="auto"/>
          <w:sz w:val="16"/>
          <w:szCs w:val="16"/>
        </w:rPr>
        <w:t>Judgment</w:t>
      </w:r>
      <w:r w:rsidR="00061928">
        <w:rPr>
          <w:rFonts w:asciiTheme="majorHAnsi" w:hAnsiTheme="majorHAnsi" w:cs="Arial"/>
          <w:color w:val="auto"/>
          <w:sz w:val="16"/>
          <w:szCs w:val="16"/>
        </w:rPr>
        <w:t xml:space="preserve"> of the </w:t>
      </w:r>
      <w:r w:rsidR="0020342F">
        <w:rPr>
          <w:rFonts w:asciiTheme="majorHAnsi" w:hAnsiTheme="majorHAnsi" w:cs="Arial"/>
          <w:color w:val="auto"/>
          <w:sz w:val="16"/>
          <w:szCs w:val="16"/>
        </w:rPr>
        <w:t>Supreme Court of Justice of the Nation</w:t>
      </w:r>
      <w:r w:rsidRPr="00A51861">
        <w:rPr>
          <w:rFonts w:asciiTheme="majorHAnsi" w:hAnsiTheme="majorHAnsi" w:cs="Arial"/>
          <w:color w:val="auto"/>
          <w:sz w:val="16"/>
          <w:szCs w:val="16"/>
        </w:rPr>
        <w:t xml:space="preserve"> </w:t>
      </w:r>
      <w:r w:rsidR="00B6596B">
        <w:rPr>
          <w:rFonts w:asciiTheme="majorHAnsi" w:hAnsiTheme="majorHAnsi" w:cs="Arial"/>
          <w:color w:val="auto"/>
          <w:sz w:val="16"/>
          <w:szCs w:val="16"/>
        </w:rPr>
        <w:t xml:space="preserve">Case </w:t>
      </w:r>
      <w:r w:rsidRPr="00A51861">
        <w:rPr>
          <w:rFonts w:asciiTheme="majorHAnsi" w:hAnsiTheme="majorHAnsi" w:cs="Arial"/>
          <w:color w:val="auto"/>
          <w:sz w:val="16"/>
          <w:szCs w:val="16"/>
        </w:rPr>
        <w:t xml:space="preserve">Yofre de Vaca Narvaja, Susana, </w:t>
      </w:r>
      <w:r w:rsidR="008158C2">
        <w:rPr>
          <w:rFonts w:asciiTheme="majorHAnsi" w:hAnsiTheme="majorHAnsi" w:cs="Arial"/>
          <w:color w:val="auto"/>
          <w:sz w:val="16"/>
          <w:szCs w:val="16"/>
        </w:rPr>
        <w:t xml:space="preserve">October 14, </w:t>
      </w:r>
      <w:r w:rsidRPr="00A51861">
        <w:rPr>
          <w:rFonts w:asciiTheme="majorHAnsi" w:hAnsiTheme="majorHAnsi" w:cs="Arial"/>
          <w:color w:val="auto"/>
          <w:sz w:val="16"/>
          <w:szCs w:val="16"/>
        </w:rPr>
        <w:t xml:space="preserve">2004. </w:t>
      </w:r>
      <w:r w:rsidR="00772057">
        <w:rPr>
          <w:rFonts w:asciiTheme="majorHAnsi" w:hAnsiTheme="majorHAnsi" w:cs="Arial"/>
          <w:color w:val="auto"/>
          <w:sz w:val="16"/>
          <w:szCs w:val="16"/>
        </w:rPr>
        <w:t xml:space="preserve">Annexed to the initial petition of </w:t>
      </w:r>
      <w:r w:rsidRPr="00A51861">
        <w:rPr>
          <w:rFonts w:asciiTheme="majorHAnsi" w:hAnsiTheme="majorHAnsi" w:cs="Arial"/>
          <w:color w:val="auto"/>
          <w:sz w:val="16"/>
          <w:szCs w:val="16"/>
        </w:rPr>
        <w:t xml:space="preserve">Julio César Rito de los Santos </w:t>
      </w:r>
      <w:r w:rsidR="00EC7A58">
        <w:rPr>
          <w:rFonts w:asciiTheme="majorHAnsi" w:hAnsiTheme="majorHAnsi" w:cs="Arial"/>
          <w:color w:val="auto"/>
          <w:sz w:val="16"/>
          <w:szCs w:val="16"/>
        </w:rPr>
        <w:t xml:space="preserve">of May 11, </w:t>
      </w:r>
      <w:r w:rsidRPr="00A51861">
        <w:rPr>
          <w:rFonts w:asciiTheme="majorHAnsi" w:hAnsiTheme="majorHAnsi" w:cs="Arial"/>
          <w:color w:val="auto"/>
          <w:sz w:val="16"/>
          <w:szCs w:val="16"/>
        </w:rPr>
        <w:t>2007.</w:t>
      </w:r>
      <w:r w:rsidRPr="00A51861">
        <w:rPr>
          <w:rFonts w:asciiTheme="majorHAnsi" w:eastAsia="Arial Unicode MS" w:hAnsiTheme="majorHAnsi" w:cs="Arial"/>
          <w:color w:val="auto"/>
          <w:sz w:val="16"/>
          <w:szCs w:val="16"/>
        </w:rPr>
        <w:t xml:space="preserve"> </w:t>
      </w:r>
      <w:r w:rsidR="00FE1A44">
        <w:rPr>
          <w:rFonts w:asciiTheme="majorHAnsi" w:hAnsiTheme="majorHAnsi" w:cs="Arial"/>
          <w:color w:val="auto"/>
          <w:sz w:val="16"/>
          <w:szCs w:val="16"/>
        </w:rPr>
        <w:t>In the</w:t>
      </w:r>
      <w:r w:rsidRPr="00A51861">
        <w:rPr>
          <w:rFonts w:asciiTheme="majorHAnsi" w:hAnsiTheme="majorHAnsi" w:cs="Arial"/>
          <w:color w:val="auto"/>
          <w:sz w:val="16"/>
          <w:szCs w:val="16"/>
        </w:rPr>
        <w:t xml:space="preserve"> </w:t>
      </w:r>
      <w:r w:rsidR="004E56A9">
        <w:rPr>
          <w:rFonts w:asciiTheme="majorHAnsi" w:hAnsiTheme="majorHAnsi" w:cs="Arial"/>
          <w:color w:val="auto"/>
          <w:sz w:val="16"/>
          <w:szCs w:val="16"/>
        </w:rPr>
        <w:t>Judgment</w:t>
      </w:r>
      <w:r w:rsidRPr="00A51861">
        <w:rPr>
          <w:rFonts w:asciiTheme="majorHAnsi" w:hAnsiTheme="majorHAnsi" w:cs="Arial"/>
          <w:color w:val="auto"/>
          <w:sz w:val="16"/>
          <w:szCs w:val="16"/>
        </w:rPr>
        <w:t xml:space="preserve"> </w:t>
      </w:r>
      <w:r w:rsidR="00FE1A44">
        <w:rPr>
          <w:rFonts w:asciiTheme="majorHAnsi" w:hAnsiTheme="majorHAnsi" w:cs="Arial"/>
          <w:color w:val="auto"/>
          <w:sz w:val="16"/>
          <w:szCs w:val="16"/>
        </w:rPr>
        <w:t>of the</w:t>
      </w:r>
      <w:r w:rsidRPr="00A51861">
        <w:rPr>
          <w:rFonts w:asciiTheme="majorHAnsi" w:hAnsiTheme="majorHAnsi" w:cs="Arial"/>
          <w:color w:val="auto"/>
          <w:sz w:val="16"/>
          <w:szCs w:val="16"/>
        </w:rPr>
        <w:t xml:space="preserve"> Noro</w:t>
      </w:r>
      <w:r w:rsidR="00FE1A44">
        <w:rPr>
          <w:rFonts w:asciiTheme="majorHAnsi" w:hAnsiTheme="majorHAnsi" w:cs="Arial"/>
          <w:color w:val="auto"/>
          <w:sz w:val="16"/>
          <w:szCs w:val="16"/>
        </w:rPr>
        <w:t xml:space="preserve"> case</w:t>
      </w:r>
      <w:r w:rsidRPr="00A51861">
        <w:rPr>
          <w:rFonts w:asciiTheme="majorHAnsi" w:hAnsiTheme="majorHAnsi" w:cs="Arial"/>
          <w:color w:val="auto"/>
          <w:sz w:val="16"/>
          <w:szCs w:val="16"/>
        </w:rPr>
        <w:t xml:space="preserve">, </w:t>
      </w:r>
      <w:r w:rsidR="00FE1A44">
        <w:rPr>
          <w:rFonts w:asciiTheme="majorHAnsi" w:hAnsiTheme="majorHAnsi" w:cs="Arial"/>
          <w:color w:val="auto"/>
          <w:sz w:val="16"/>
          <w:szCs w:val="16"/>
        </w:rPr>
        <w:t>the</w:t>
      </w:r>
      <w:r w:rsidRPr="00A51861">
        <w:rPr>
          <w:rFonts w:asciiTheme="majorHAnsi" w:hAnsiTheme="majorHAnsi" w:cs="Arial"/>
          <w:color w:val="auto"/>
          <w:sz w:val="16"/>
          <w:szCs w:val="16"/>
        </w:rPr>
        <w:t xml:space="preserve"> </w:t>
      </w:r>
      <w:r w:rsidR="0020342F">
        <w:rPr>
          <w:rFonts w:asciiTheme="majorHAnsi" w:hAnsiTheme="majorHAnsi" w:cs="Arial"/>
          <w:color w:val="auto"/>
          <w:sz w:val="16"/>
          <w:szCs w:val="16"/>
        </w:rPr>
        <w:t>Supreme Court of Justice of the Nation</w:t>
      </w:r>
      <w:r w:rsidRPr="00A51861">
        <w:rPr>
          <w:rFonts w:asciiTheme="majorHAnsi" w:hAnsiTheme="majorHAnsi" w:cs="Arial"/>
          <w:color w:val="auto"/>
          <w:sz w:val="16"/>
          <w:szCs w:val="16"/>
        </w:rPr>
        <w:t xml:space="preserve"> </w:t>
      </w:r>
      <w:r w:rsidR="004A55EF">
        <w:rPr>
          <w:rFonts w:asciiTheme="majorHAnsi" w:hAnsiTheme="majorHAnsi" w:cs="Arial"/>
          <w:color w:val="auto"/>
          <w:sz w:val="16"/>
          <w:szCs w:val="16"/>
        </w:rPr>
        <w:t>provided that</w:t>
      </w:r>
      <w:r w:rsidRPr="00A51861">
        <w:rPr>
          <w:rFonts w:asciiTheme="majorHAnsi" w:hAnsiTheme="majorHAnsi" w:cs="Arial"/>
          <w:color w:val="auto"/>
          <w:sz w:val="16"/>
          <w:szCs w:val="16"/>
        </w:rPr>
        <w:t xml:space="preserve"> “(…) </w:t>
      </w:r>
      <w:r w:rsidR="004A55EF">
        <w:rPr>
          <w:rFonts w:asciiTheme="majorHAnsi" w:hAnsiTheme="majorHAnsi" w:cs="Arial"/>
          <w:color w:val="auto"/>
          <w:sz w:val="16"/>
          <w:szCs w:val="16"/>
        </w:rPr>
        <w:t>the aim</w:t>
      </w:r>
      <w:r w:rsidR="00FA2E7B">
        <w:rPr>
          <w:rFonts w:asciiTheme="majorHAnsi" w:hAnsiTheme="majorHAnsi" w:cs="Arial"/>
          <w:color w:val="auto"/>
          <w:sz w:val="16"/>
          <w:szCs w:val="16"/>
        </w:rPr>
        <w:t xml:space="preserve"> </w:t>
      </w:r>
      <w:r w:rsidR="00061928">
        <w:rPr>
          <w:rFonts w:asciiTheme="majorHAnsi" w:hAnsiTheme="majorHAnsi" w:cs="Arial"/>
          <w:color w:val="auto"/>
          <w:sz w:val="16"/>
          <w:szCs w:val="16"/>
        </w:rPr>
        <w:t xml:space="preserve">of </w:t>
      </w:r>
      <w:r w:rsidR="00026BBF">
        <w:rPr>
          <w:rFonts w:asciiTheme="majorHAnsi" w:hAnsiTheme="majorHAnsi" w:cs="Arial"/>
          <w:color w:val="auto"/>
          <w:sz w:val="16"/>
          <w:szCs w:val="16"/>
        </w:rPr>
        <w:t>Law 24.043</w:t>
      </w:r>
      <w:r w:rsidRPr="00A51861">
        <w:rPr>
          <w:rFonts w:asciiTheme="majorHAnsi" w:hAnsiTheme="majorHAnsi" w:cs="Arial"/>
          <w:color w:val="auto"/>
          <w:sz w:val="16"/>
          <w:szCs w:val="16"/>
        </w:rPr>
        <w:t xml:space="preserve"> </w:t>
      </w:r>
      <w:r w:rsidR="00FE1A44">
        <w:rPr>
          <w:rFonts w:asciiTheme="majorHAnsi" w:hAnsiTheme="majorHAnsi" w:cs="Arial"/>
          <w:color w:val="auto"/>
          <w:sz w:val="16"/>
          <w:szCs w:val="16"/>
        </w:rPr>
        <w:t>was to grant an</w:t>
      </w:r>
      <w:r w:rsidRPr="00A51861">
        <w:rPr>
          <w:rFonts w:asciiTheme="majorHAnsi" w:hAnsiTheme="majorHAnsi" w:cs="Arial"/>
          <w:color w:val="auto"/>
          <w:sz w:val="16"/>
          <w:szCs w:val="16"/>
        </w:rPr>
        <w:t xml:space="preserve"> </w:t>
      </w:r>
      <w:r w:rsidR="00FE1A44" w:rsidRPr="00A51861">
        <w:rPr>
          <w:rFonts w:asciiTheme="majorHAnsi" w:hAnsiTheme="majorHAnsi" w:cs="Arial"/>
          <w:color w:val="auto"/>
          <w:sz w:val="16"/>
          <w:szCs w:val="16"/>
        </w:rPr>
        <w:t>economic compensation</w:t>
      </w:r>
      <w:r w:rsidRPr="00A51861">
        <w:rPr>
          <w:rFonts w:asciiTheme="majorHAnsi" w:hAnsiTheme="majorHAnsi" w:cs="Arial"/>
          <w:color w:val="auto"/>
          <w:sz w:val="16"/>
          <w:szCs w:val="16"/>
        </w:rPr>
        <w:t xml:space="preserve"> </w:t>
      </w:r>
      <w:r w:rsidR="00FE1A44">
        <w:rPr>
          <w:rFonts w:asciiTheme="majorHAnsi" w:hAnsiTheme="majorHAnsi" w:cs="Arial"/>
          <w:color w:val="auto"/>
          <w:sz w:val="16"/>
          <w:szCs w:val="16"/>
        </w:rPr>
        <w:t>to</w:t>
      </w:r>
      <w:r w:rsidRPr="00A51861">
        <w:rPr>
          <w:rFonts w:asciiTheme="majorHAnsi" w:hAnsiTheme="majorHAnsi" w:cs="Arial"/>
          <w:color w:val="auto"/>
          <w:sz w:val="16"/>
          <w:szCs w:val="16"/>
        </w:rPr>
        <w:t xml:space="preserve"> </w:t>
      </w:r>
      <w:r w:rsidR="00EC7A58">
        <w:rPr>
          <w:rFonts w:asciiTheme="majorHAnsi" w:hAnsiTheme="majorHAnsi" w:cs="Arial"/>
          <w:color w:val="auto"/>
          <w:sz w:val="16"/>
          <w:szCs w:val="16"/>
        </w:rPr>
        <w:t>persons</w:t>
      </w:r>
      <w:r w:rsidRPr="00A51861">
        <w:rPr>
          <w:rFonts w:asciiTheme="majorHAnsi" w:hAnsiTheme="majorHAnsi" w:cs="Arial"/>
          <w:color w:val="auto"/>
          <w:sz w:val="16"/>
          <w:szCs w:val="16"/>
        </w:rPr>
        <w:t xml:space="preserve"> </w:t>
      </w:r>
      <w:r w:rsidR="00FE1A44">
        <w:rPr>
          <w:rFonts w:asciiTheme="majorHAnsi" w:hAnsiTheme="majorHAnsi" w:cs="Arial"/>
          <w:color w:val="auto"/>
          <w:sz w:val="16"/>
          <w:szCs w:val="16"/>
        </w:rPr>
        <w:t>deprived of the</w:t>
      </w:r>
      <w:r w:rsidRPr="00A51861">
        <w:rPr>
          <w:rFonts w:asciiTheme="majorHAnsi" w:hAnsiTheme="majorHAnsi" w:cs="Arial"/>
          <w:color w:val="auto"/>
          <w:sz w:val="16"/>
          <w:szCs w:val="16"/>
        </w:rPr>
        <w:t xml:space="preserve"> </w:t>
      </w:r>
      <w:r w:rsidR="00FE1A44" w:rsidRPr="00A51861">
        <w:rPr>
          <w:rFonts w:asciiTheme="majorHAnsi" w:hAnsiTheme="majorHAnsi" w:cs="Arial"/>
          <w:color w:val="auto"/>
          <w:sz w:val="16"/>
          <w:szCs w:val="16"/>
        </w:rPr>
        <w:t>constitutional</w:t>
      </w:r>
      <w:r w:rsidRPr="00A51861">
        <w:rPr>
          <w:rFonts w:asciiTheme="majorHAnsi" w:hAnsiTheme="majorHAnsi" w:cs="Arial"/>
          <w:color w:val="auto"/>
          <w:sz w:val="16"/>
          <w:szCs w:val="16"/>
        </w:rPr>
        <w:t xml:space="preserve"> </w:t>
      </w:r>
      <w:r w:rsidR="00FE1A44">
        <w:rPr>
          <w:rFonts w:asciiTheme="majorHAnsi" w:hAnsiTheme="majorHAnsi" w:cs="Arial"/>
          <w:color w:val="auto"/>
          <w:sz w:val="16"/>
          <w:szCs w:val="16"/>
        </w:rPr>
        <w:t>right to freedom</w:t>
      </w:r>
      <w:r w:rsidRPr="00A51861">
        <w:rPr>
          <w:rFonts w:asciiTheme="majorHAnsi" w:hAnsiTheme="majorHAnsi" w:cs="Arial"/>
          <w:color w:val="auto"/>
          <w:sz w:val="16"/>
          <w:szCs w:val="16"/>
        </w:rPr>
        <w:t xml:space="preserve">, </w:t>
      </w:r>
      <w:r w:rsidR="00FE1A44">
        <w:rPr>
          <w:rFonts w:asciiTheme="majorHAnsi" w:hAnsiTheme="majorHAnsi" w:cs="Arial"/>
          <w:color w:val="auto"/>
          <w:sz w:val="16"/>
          <w:szCs w:val="16"/>
        </w:rPr>
        <w:t>not by virtue of an order from a</w:t>
      </w:r>
      <w:r w:rsidRPr="00A51861">
        <w:rPr>
          <w:rFonts w:asciiTheme="majorHAnsi" w:hAnsiTheme="majorHAnsi" w:cs="Arial"/>
          <w:color w:val="auto"/>
          <w:sz w:val="16"/>
          <w:szCs w:val="16"/>
        </w:rPr>
        <w:t xml:space="preserve"> </w:t>
      </w:r>
      <w:r w:rsidR="00FE1A44" w:rsidRPr="00A51861">
        <w:rPr>
          <w:rFonts w:asciiTheme="majorHAnsi" w:hAnsiTheme="majorHAnsi" w:cs="Arial"/>
          <w:color w:val="auto"/>
          <w:sz w:val="16"/>
          <w:szCs w:val="16"/>
        </w:rPr>
        <w:t xml:space="preserve">competent </w:t>
      </w:r>
      <w:r w:rsidRPr="00A51861">
        <w:rPr>
          <w:rFonts w:asciiTheme="majorHAnsi" w:hAnsiTheme="majorHAnsi" w:cs="Arial"/>
          <w:color w:val="auto"/>
          <w:sz w:val="16"/>
          <w:szCs w:val="16"/>
        </w:rPr>
        <w:t xml:space="preserve">judicial </w:t>
      </w:r>
      <w:r w:rsidR="00FE1A44" w:rsidRPr="00A51861">
        <w:rPr>
          <w:rFonts w:asciiTheme="majorHAnsi" w:hAnsiTheme="majorHAnsi" w:cs="Arial"/>
          <w:color w:val="auto"/>
          <w:sz w:val="16"/>
          <w:szCs w:val="16"/>
        </w:rPr>
        <w:t>aut</w:t>
      </w:r>
      <w:r w:rsidR="00FE1A44">
        <w:rPr>
          <w:rFonts w:asciiTheme="majorHAnsi" w:hAnsiTheme="majorHAnsi" w:cs="Arial"/>
          <w:color w:val="auto"/>
          <w:sz w:val="16"/>
          <w:szCs w:val="16"/>
        </w:rPr>
        <w:t>h</w:t>
      </w:r>
      <w:r w:rsidR="00FE1A44" w:rsidRPr="00A51861">
        <w:rPr>
          <w:rFonts w:asciiTheme="majorHAnsi" w:hAnsiTheme="majorHAnsi" w:cs="Arial"/>
          <w:color w:val="auto"/>
          <w:sz w:val="16"/>
          <w:szCs w:val="16"/>
        </w:rPr>
        <w:t>ori</w:t>
      </w:r>
      <w:r w:rsidR="00FE1A44">
        <w:rPr>
          <w:rFonts w:asciiTheme="majorHAnsi" w:hAnsiTheme="majorHAnsi" w:cs="Arial"/>
          <w:color w:val="auto"/>
          <w:sz w:val="16"/>
          <w:szCs w:val="16"/>
        </w:rPr>
        <w:t>ty</w:t>
      </w:r>
      <w:r w:rsidRPr="00A51861">
        <w:rPr>
          <w:rFonts w:asciiTheme="majorHAnsi" w:hAnsiTheme="majorHAnsi" w:cs="Arial"/>
          <w:color w:val="auto"/>
          <w:sz w:val="16"/>
          <w:szCs w:val="16"/>
        </w:rPr>
        <w:t xml:space="preserve">, </w:t>
      </w:r>
      <w:r w:rsidR="00FE1A44">
        <w:rPr>
          <w:rFonts w:asciiTheme="majorHAnsi" w:hAnsiTheme="majorHAnsi" w:cs="Arial"/>
          <w:color w:val="auto"/>
          <w:sz w:val="16"/>
          <w:szCs w:val="16"/>
        </w:rPr>
        <w:t>but by virtue of acts</w:t>
      </w:r>
      <w:r w:rsidRPr="00A51861">
        <w:rPr>
          <w:rFonts w:asciiTheme="majorHAnsi" w:hAnsiTheme="majorHAnsi" w:cs="Arial"/>
          <w:color w:val="auto"/>
          <w:sz w:val="16"/>
          <w:szCs w:val="16"/>
        </w:rPr>
        <w:t xml:space="preserve"> –</w:t>
      </w:r>
      <w:r w:rsidR="00FE1A44">
        <w:rPr>
          <w:rFonts w:asciiTheme="majorHAnsi" w:hAnsiTheme="majorHAnsi" w:cs="Arial"/>
          <w:color w:val="auto"/>
          <w:sz w:val="16"/>
          <w:szCs w:val="16"/>
        </w:rPr>
        <w:t>whichever its formal expression</w:t>
      </w:r>
      <w:r w:rsidRPr="00A51861">
        <w:rPr>
          <w:rFonts w:asciiTheme="majorHAnsi" w:hAnsiTheme="majorHAnsi" w:cs="Arial"/>
          <w:color w:val="auto"/>
          <w:sz w:val="16"/>
          <w:szCs w:val="16"/>
        </w:rPr>
        <w:t xml:space="preserve">- </w:t>
      </w:r>
      <w:r w:rsidR="00FE1A44" w:rsidRPr="00A51861">
        <w:rPr>
          <w:rFonts w:asciiTheme="majorHAnsi" w:hAnsiTheme="majorHAnsi" w:cs="Arial"/>
          <w:color w:val="auto"/>
          <w:sz w:val="16"/>
          <w:szCs w:val="16"/>
        </w:rPr>
        <w:t>legitim</w:t>
      </w:r>
      <w:r w:rsidR="00FE1A44">
        <w:rPr>
          <w:rFonts w:asciiTheme="majorHAnsi" w:hAnsiTheme="majorHAnsi" w:cs="Arial"/>
          <w:color w:val="auto"/>
          <w:sz w:val="16"/>
          <w:szCs w:val="16"/>
        </w:rPr>
        <w:t>ate</w:t>
      </w:r>
      <w:r w:rsidRPr="00A51861">
        <w:rPr>
          <w:rFonts w:asciiTheme="majorHAnsi" w:hAnsiTheme="majorHAnsi" w:cs="Arial"/>
          <w:color w:val="auto"/>
          <w:sz w:val="16"/>
          <w:szCs w:val="16"/>
        </w:rPr>
        <w:t xml:space="preserve">, </w:t>
      </w:r>
      <w:r w:rsidR="00FE1A44">
        <w:rPr>
          <w:rFonts w:asciiTheme="majorHAnsi" w:hAnsiTheme="majorHAnsi" w:cs="Arial"/>
          <w:color w:val="auto"/>
          <w:sz w:val="16"/>
          <w:szCs w:val="16"/>
        </w:rPr>
        <w:t>originated in certain</w:t>
      </w:r>
      <w:r w:rsidRPr="00A51861">
        <w:rPr>
          <w:rFonts w:asciiTheme="majorHAnsi" w:hAnsiTheme="majorHAnsi" w:cs="Arial"/>
          <w:color w:val="auto"/>
          <w:sz w:val="16"/>
          <w:szCs w:val="16"/>
        </w:rPr>
        <w:t xml:space="preserve"> </w:t>
      </w:r>
      <w:r w:rsidR="00FE1A44" w:rsidRPr="00A51861">
        <w:rPr>
          <w:rFonts w:asciiTheme="majorHAnsi" w:hAnsiTheme="majorHAnsi" w:cs="Arial"/>
          <w:color w:val="auto"/>
          <w:sz w:val="16"/>
          <w:szCs w:val="16"/>
        </w:rPr>
        <w:t>circumstances</w:t>
      </w:r>
      <w:r w:rsidRPr="00A51861">
        <w:rPr>
          <w:rFonts w:asciiTheme="majorHAnsi" w:hAnsiTheme="majorHAnsi" w:cs="Arial"/>
          <w:color w:val="auto"/>
          <w:sz w:val="16"/>
          <w:szCs w:val="16"/>
        </w:rPr>
        <w:t xml:space="preserve"> </w:t>
      </w:r>
      <w:r w:rsidR="00FE1A44">
        <w:rPr>
          <w:rFonts w:asciiTheme="majorHAnsi" w:hAnsiTheme="majorHAnsi" w:cs="Arial"/>
          <w:color w:val="auto"/>
          <w:sz w:val="16"/>
          <w:szCs w:val="16"/>
        </w:rPr>
        <w:t>from military courts</w:t>
      </w:r>
      <w:r w:rsidRPr="00A51861">
        <w:rPr>
          <w:rFonts w:asciiTheme="majorHAnsi" w:hAnsiTheme="majorHAnsi" w:cs="Arial"/>
          <w:color w:val="auto"/>
          <w:sz w:val="16"/>
          <w:szCs w:val="16"/>
        </w:rPr>
        <w:t xml:space="preserve"> o</w:t>
      </w:r>
      <w:r w:rsidR="00FE1A44">
        <w:rPr>
          <w:rFonts w:asciiTheme="majorHAnsi" w:hAnsiTheme="majorHAnsi" w:cs="Arial"/>
          <w:color w:val="auto"/>
          <w:sz w:val="16"/>
          <w:szCs w:val="16"/>
        </w:rPr>
        <w:t>r</w:t>
      </w:r>
      <w:r w:rsidRPr="00A51861">
        <w:rPr>
          <w:rFonts w:asciiTheme="majorHAnsi" w:hAnsiTheme="majorHAnsi" w:cs="Arial"/>
          <w:color w:val="auto"/>
          <w:sz w:val="16"/>
          <w:szCs w:val="16"/>
        </w:rPr>
        <w:t xml:space="preserve"> </w:t>
      </w:r>
      <w:r w:rsidR="00FE1A44">
        <w:rPr>
          <w:rFonts w:asciiTheme="majorHAnsi" w:hAnsiTheme="majorHAnsi" w:cs="Arial"/>
          <w:color w:val="auto"/>
          <w:sz w:val="16"/>
          <w:szCs w:val="16"/>
        </w:rPr>
        <w:t>from who exerted the Executive Power o</w:t>
      </w:r>
      <w:r w:rsidR="004E56A9">
        <w:rPr>
          <w:rFonts w:asciiTheme="majorHAnsi" w:hAnsiTheme="majorHAnsi" w:cs="Arial"/>
          <w:color w:val="auto"/>
          <w:sz w:val="16"/>
          <w:szCs w:val="16"/>
        </w:rPr>
        <w:t>f the Nation</w:t>
      </w:r>
      <w:r w:rsidRPr="00A51861">
        <w:rPr>
          <w:rFonts w:asciiTheme="majorHAnsi" w:hAnsiTheme="majorHAnsi" w:cs="Arial"/>
          <w:color w:val="auto"/>
          <w:sz w:val="16"/>
          <w:szCs w:val="16"/>
        </w:rPr>
        <w:t xml:space="preserve"> </w:t>
      </w:r>
      <w:r w:rsidR="00FE1A44">
        <w:rPr>
          <w:rFonts w:asciiTheme="majorHAnsi" w:hAnsiTheme="majorHAnsi" w:cs="Arial"/>
          <w:color w:val="auto"/>
          <w:sz w:val="16"/>
          <w:szCs w:val="16"/>
        </w:rPr>
        <w:t>during the last de facto government</w:t>
      </w:r>
      <w:r w:rsidRPr="00A51861">
        <w:rPr>
          <w:rFonts w:asciiTheme="majorHAnsi" w:hAnsiTheme="majorHAnsi" w:cs="Arial"/>
          <w:color w:val="auto"/>
          <w:sz w:val="16"/>
          <w:szCs w:val="16"/>
        </w:rPr>
        <w:t xml:space="preserve">. </w:t>
      </w:r>
      <w:r w:rsidR="00FE1A44">
        <w:rPr>
          <w:rFonts w:asciiTheme="majorHAnsi" w:hAnsiTheme="majorHAnsi" w:cs="Arial"/>
          <w:color w:val="auto"/>
          <w:sz w:val="16"/>
          <w:szCs w:val="16"/>
        </w:rPr>
        <w:t>The essential is not the form</w:t>
      </w:r>
      <w:r w:rsidRPr="00A51861">
        <w:rPr>
          <w:rFonts w:asciiTheme="majorHAnsi" w:hAnsiTheme="majorHAnsi" w:cs="Arial"/>
          <w:color w:val="auto"/>
          <w:sz w:val="16"/>
          <w:szCs w:val="16"/>
        </w:rPr>
        <w:t xml:space="preserve"> </w:t>
      </w:r>
      <w:r w:rsidR="00FE1A44">
        <w:rPr>
          <w:rFonts w:asciiTheme="majorHAnsi" w:hAnsiTheme="majorHAnsi" w:cs="Arial"/>
          <w:color w:val="auto"/>
          <w:sz w:val="16"/>
          <w:szCs w:val="16"/>
        </w:rPr>
        <w:t>which</w:t>
      </w:r>
      <w:r w:rsidR="00FA2E7B">
        <w:rPr>
          <w:rFonts w:asciiTheme="majorHAnsi" w:hAnsiTheme="majorHAnsi" w:cs="Arial"/>
          <w:color w:val="auto"/>
          <w:sz w:val="16"/>
          <w:szCs w:val="16"/>
        </w:rPr>
        <w:t xml:space="preserve"> </w:t>
      </w:r>
      <w:r w:rsidR="00FE1A44">
        <w:rPr>
          <w:rFonts w:asciiTheme="majorHAnsi" w:hAnsiTheme="majorHAnsi" w:cs="Arial"/>
          <w:color w:val="auto"/>
          <w:sz w:val="16"/>
          <w:szCs w:val="16"/>
        </w:rPr>
        <w:t>gave authority to the fact</w:t>
      </w:r>
      <w:r w:rsidRPr="00A51861">
        <w:rPr>
          <w:rFonts w:asciiTheme="majorHAnsi" w:hAnsiTheme="majorHAnsi" w:cs="Arial"/>
          <w:color w:val="auto"/>
          <w:sz w:val="16"/>
          <w:szCs w:val="16"/>
        </w:rPr>
        <w:t>–</w:t>
      </w:r>
      <w:r w:rsidR="00B6596B">
        <w:rPr>
          <w:rFonts w:asciiTheme="majorHAnsi" w:hAnsiTheme="majorHAnsi" w:cs="Arial"/>
          <w:color w:val="auto"/>
          <w:sz w:val="16"/>
          <w:szCs w:val="16"/>
        </w:rPr>
        <w:t xml:space="preserve"> and </w:t>
      </w:r>
      <w:r w:rsidRPr="00A51861">
        <w:rPr>
          <w:rFonts w:asciiTheme="majorHAnsi" w:hAnsiTheme="majorHAnsi" w:cs="Arial"/>
          <w:color w:val="auto"/>
          <w:sz w:val="16"/>
          <w:szCs w:val="16"/>
        </w:rPr>
        <w:t xml:space="preserve">much </w:t>
      </w:r>
      <w:r w:rsidR="00FE1A44">
        <w:rPr>
          <w:rFonts w:asciiTheme="majorHAnsi" w:hAnsiTheme="majorHAnsi" w:cs="Arial"/>
          <w:color w:val="auto"/>
          <w:sz w:val="16"/>
          <w:szCs w:val="16"/>
        </w:rPr>
        <w:t xml:space="preserve">less its adjustments to the demands from </w:t>
      </w:r>
      <w:r w:rsidRPr="00A51861">
        <w:rPr>
          <w:rFonts w:asciiTheme="majorHAnsi" w:hAnsiTheme="majorHAnsi" w:cs="Arial"/>
          <w:color w:val="auto"/>
          <w:sz w:val="16"/>
          <w:szCs w:val="16"/>
        </w:rPr>
        <w:t>art. 5</w:t>
      </w:r>
      <w:r w:rsidR="00061928">
        <w:rPr>
          <w:rFonts w:asciiTheme="majorHAnsi" w:hAnsiTheme="majorHAnsi" w:cs="Arial"/>
          <w:color w:val="auto"/>
          <w:sz w:val="16"/>
          <w:szCs w:val="16"/>
        </w:rPr>
        <w:t xml:space="preserve"> of </w:t>
      </w:r>
      <w:r w:rsidR="00FE1A44">
        <w:rPr>
          <w:rFonts w:asciiTheme="majorHAnsi" w:hAnsiTheme="majorHAnsi" w:cs="Arial"/>
          <w:color w:val="auto"/>
          <w:sz w:val="16"/>
          <w:szCs w:val="16"/>
        </w:rPr>
        <w:t>Law</w:t>
      </w:r>
      <w:r w:rsidRPr="00A51861">
        <w:rPr>
          <w:rFonts w:asciiTheme="majorHAnsi" w:hAnsiTheme="majorHAnsi" w:cs="Arial"/>
          <w:color w:val="auto"/>
          <w:sz w:val="16"/>
          <w:szCs w:val="16"/>
        </w:rPr>
        <w:t xml:space="preserve"> 21.650- </w:t>
      </w:r>
      <w:r w:rsidR="00FE1A44">
        <w:rPr>
          <w:rFonts w:asciiTheme="majorHAnsi" w:hAnsiTheme="majorHAnsi" w:cs="Arial"/>
          <w:color w:val="auto"/>
          <w:sz w:val="16"/>
          <w:szCs w:val="16"/>
        </w:rPr>
        <w:t>but the</w:t>
      </w:r>
      <w:r w:rsidRPr="00A51861">
        <w:rPr>
          <w:rFonts w:asciiTheme="majorHAnsi" w:hAnsiTheme="majorHAnsi" w:cs="Arial"/>
          <w:color w:val="auto"/>
          <w:sz w:val="16"/>
          <w:szCs w:val="16"/>
        </w:rPr>
        <w:t xml:space="preserve"> </w:t>
      </w:r>
      <w:r w:rsidR="00FE1A44" w:rsidRPr="00A51861">
        <w:rPr>
          <w:rFonts w:asciiTheme="majorHAnsi" w:hAnsiTheme="majorHAnsi" w:cs="Arial"/>
          <w:color w:val="auto"/>
          <w:sz w:val="16"/>
          <w:szCs w:val="16"/>
        </w:rPr>
        <w:t>demonstration</w:t>
      </w:r>
      <w:r w:rsidRPr="00A51861">
        <w:rPr>
          <w:rFonts w:asciiTheme="majorHAnsi" w:hAnsiTheme="majorHAnsi" w:cs="Arial"/>
          <w:color w:val="auto"/>
          <w:sz w:val="16"/>
          <w:szCs w:val="16"/>
        </w:rPr>
        <w:t xml:space="preserve"> </w:t>
      </w:r>
      <w:r w:rsidR="00FE1A44">
        <w:rPr>
          <w:rFonts w:asciiTheme="majorHAnsi" w:hAnsiTheme="majorHAnsi" w:cs="Arial"/>
          <w:color w:val="auto"/>
          <w:sz w:val="16"/>
          <w:szCs w:val="16"/>
        </w:rPr>
        <w:t>of the</w:t>
      </w:r>
      <w:r w:rsidRPr="00A51861">
        <w:rPr>
          <w:rFonts w:asciiTheme="majorHAnsi" w:hAnsiTheme="majorHAnsi" w:cs="Arial"/>
          <w:color w:val="auto"/>
          <w:sz w:val="16"/>
          <w:szCs w:val="16"/>
        </w:rPr>
        <w:t xml:space="preserve"> </w:t>
      </w:r>
      <w:r w:rsidR="00FE1A44">
        <w:rPr>
          <w:rFonts w:asciiTheme="majorHAnsi" w:hAnsiTheme="majorHAnsi" w:cs="Arial"/>
          <w:color w:val="auto"/>
          <w:sz w:val="16"/>
          <w:szCs w:val="16"/>
        </w:rPr>
        <w:t>effective impairment to liberty</w:t>
      </w:r>
      <w:r w:rsidRPr="00A51861">
        <w:rPr>
          <w:rFonts w:asciiTheme="majorHAnsi" w:hAnsiTheme="majorHAnsi" w:cs="Arial"/>
          <w:color w:val="auto"/>
          <w:sz w:val="16"/>
          <w:szCs w:val="16"/>
        </w:rPr>
        <w:t xml:space="preserve">”. </w:t>
      </w:r>
      <w:r w:rsidR="00A51861" w:rsidRPr="00A51861">
        <w:rPr>
          <w:rFonts w:asciiTheme="majorHAnsi" w:hAnsiTheme="majorHAnsi" w:cs="Arial"/>
          <w:color w:val="auto"/>
          <w:sz w:val="16"/>
          <w:szCs w:val="16"/>
        </w:rPr>
        <w:t>Annex</w:t>
      </w:r>
      <w:r w:rsidRPr="00A51861">
        <w:rPr>
          <w:rFonts w:asciiTheme="majorHAnsi" w:hAnsiTheme="majorHAnsi" w:cs="Arial"/>
          <w:color w:val="auto"/>
          <w:sz w:val="16"/>
          <w:szCs w:val="16"/>
        </w:rPr>
        <w:t xml:space="preserve"> </w:t>
      </w:r>
      <w:r w:rsidR="00F842EE" w:rsidRPr="00F842EE">
        <w:rPr>
          <w:rFonts w:asciiTheme="majorHAnsi" w:hAnsiTheme="majorHAnsi" w:cs="Arial"/>
          <w:color w:val="auto"/>
          <w:sz w:val="16"/>
          <w:szCs w:val="16"/>
        </w:rPr>
        <w:t>76</w:t>
      </w:r>
      <w:r w:rsidRPr="00A51861">
        <w:rPr>
          <w:rFonts w:asciiTheme="majorHAnsi" w:hAnsiTheme="majorHAnsi" w:cs="Arial"/>
          <w:color w:val="auto"/>
          <w:sz w:val="16"/>
          <w:szCs w:val="16"/>
        </w:rPr>
        <w:t xml:space="preserve">. </w:t>
      </w:r>
      <w:r w:rsidR="004E56A9">
        <w:rPr>
          <w:rFonts w:asciiTheme="majorHAnsi" w:hAnsiTheme="majorHAnsi" w:cs="Arial"/>
          <w:color w:val="auto"/>
          <w:sz w:val="16"/>
          <w:szCs w:val="16"/>
        </w:rPr>
        <w:t>Judgment</w:t>
      </w:r>
      <w:r w:rsidR="00061928">
        <w:rPr>
          <w:rFonts w:asciiTheme="majorHAnsi" w:hAnsiTheme="majorHAnsi" w:cs="Arial"/>
          <w:color w:val="auto"/>
          <w:sz w:val="16"/>
          <w:szCs w:val="16"/>
        </w:rPr>
        <w:t xml:space="preserve"> of the </w:t>
      </w:r>
      <w:r w:rsidR="0020342F">
        <w:rPr>
          <w:rFonts w:asciiTheme="majorHAnsi" w:hAnsiTheme="majorHAnsi" w:cs="Arial"/>
          <w:color w:val="auto"/>
          <w:sz w:val="16"/>
          <w:szCs w:val="16"/>
        </w:rPr>
        <w:t>Supreme Court of Justice of the Nation</w:t>
      </w:r>
      <w:r w:rsidRPr="00A51861">
        <w:rPr>
          <w:rFonts w:asciiTheme="majorHAnsi" w:hAnsiTheme="majorHAnsi" w:cs="Arial"/>
          <w:color w:val="auto"/>
          <w:sz w:val="16"/>
          <w:szCs w:val="16"/>
        </w:rPr>
        <w:t xml:space="preserve"> </w:t>
      </w:r>
      <w:r w:rsidR="00B6596B">
        <w:rPr>
          <w:rFonts w:asciiTheme="majorHAnsi" w:hAnsiTheme="majorHAnsi" w:cs="Arial"/>
          <w:color w:val="auto"/>
          <w:sz w:val="16"/>
          <w:szCs w:val="16"/>
        </w:rPr>
        <w:t xml:space="preserve">Case </w:t>
      </w:r>
      <w:r w:rsidRPr="00A51861">
        <w:rPr>
          <w:rFonts w:asciiTheme="majorHAnsi" w:hAnsiTheme="majorHAnsi" w:cs="Arial"/>
          <w:color w:val="auto"/>
          <w:sz w:val="16"/>
          <w:szCs w:val="16"/>
        </w:rPr>
        <w:t xml:space="preserve">Bufano, Alfredo Mario, </w:t>
      </w:r>
      <w:r w:rsidR="005B7E29">
        <w:rPr>
          <w:rFonts w:asciiTheme="majorHAnsi" w:hAnsiTheme="majorHAnsi" w:cs="Arial"/>
          <w:color w:val="auto"/>
          <w:sz w:val="16"/>
          <w:szCs w:val="16"/>
        </w:rPr>
        <w:t>June 1,</w:t>
      </w:r>
      <w:r w:rsidRPr="00A51861">
        <w:rPr>
          <w:rFonts w:asciiTheme="majorHAnsi" w:hAnsiTheme="majorHAnsi" w:cs="Arial"/>
          <w:color w:val="auto"/>
          <w:sz w:val="16"/>
          <w:szCs w:val="16"/>
        </w:rPr>
        <w:t xml:space="preserve"> 2000. </w:t>
      </w:r>
      <w:r w:rsidR="00772057">
        <w:rPr>
          <w:rFonts w:asciiTheme="majorHAnsi" w:hAnsiTheme="majorHAnsi" w:cs="Arial"/>
          <w:color w:val="auto"/>
          <w:sz w:val="16"/>
          <w:szCs w:val="16"/>
        </w:rPr>
        <w:t xml:space="preserve">Annexed to the initial petition of </w:t>
      </w:r>
      <w:r w:rsidRPr="00A51861">
        <w:rPr>
          <w:rFonts w:asciiTheme="majorHAnsi" w:hAnsiTheme="majorHAnsi" w:cs="Arial"/>
          <w:color w:val="auto"/>
          <w:sz w:val="16"/>
          <w:szCs w:val="16"/>
        </w:rPr>
        <w:t xml:space="preserve">Julio César Rito de los Santos </w:t>
      </w:r>
      <w:r w:rsidR="00EC7A58">
        <w:rPr>
          <w:rFonts w:asciiTheme="majorHAnsi" w:hAnsiTheme="majorHAnsi" w:cs="Arial"/>
          <w:color w:val="auto"/>
          <w:sz w:val="16"/>
          <w:szCs w:val="16"/>
        </w:rPr>
        <w:t xml:space="preserve">of May 11, </w:t>
      </w:r>
      <w:r w:rsidRPr="00A51861">
        <w:rPr>
          <w:rFonts w:asciiTheme="majorHAnsi" w:hAnsiTheme="majorHAnsi" w:cs="Arial"/>
          <w:color w:val="auto"/>
          <w:sz w:val="16"/>
          <w:szCs w:val="16"/>
        </w:rPr>
        <w:t>2007.</w:t>
      </w:r>
    </w:p>
  </w:footnote>
  <w:footnote w:id="244">
    <w:p w14:paraId="5F167142" w14:textId="7149654B" w:rsidR="00F40E67" w:rsidRPr="00A51861" w:rsidRDefault="00F40E67" w:rsidP="00F842EE">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F842EE">
        <w:rPr>
          <w:rFonts w:asciiTheme="majorHAnsi" w:hAnsiTheme="majorHAnsi"/>
          <w:color w:val="auto"/>
          <w:sz w:val="16"/>
          <w:szCs w:val="16"/>
        </w:rPr>
        <w:t>75</w:t>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 xml:space="preserve">Resolution </w:t>
      </w:r>
      <w:r w:rsidRPr="00A51861">
        <w:rPr>
          <w:rFonts w:asciiTheme="majorHAnsi" w:hAnsiTheme="majorHAnsi"/>
          <w:color w:val="auto"/>
          <w:sz w:val="16"/>
          <w:szCs w:val="16"/>
        </w:rPr>
        <w:t xml:space="preserve">No. 670 </w:t>
      </w:r>
      <w:r w:rsidR="00A51861">
        <w:rPr>
          <w:rFonts w:asciiTheme="majorHAnsi" w:hAnsiTheme="majorHAnsi"/>
          <w:color w:val="auto"/>
          <w:sz w:val="16"/>
          <w:szCs w:val="16"/>
        </w:rPr>
        <w:t>of the Ministry of Justice and Human Rights</w:t>
      </w:r>
      <w:r w:rsidRPr="00A51861">
        <w:rPr>
          <w:rFonts w:asciiTheme="majorHAnsi" w:hAnsiTheme="majorHAnsi"/>
          <w:color w:val="auto"/>
          <w:sz w:val="16"/>
          <w:szCs w:val="16"/>
        </w:rPr>
        <w:t xml:space="preserve">, </w:t>
      </w:r>
      <w:r w:rsidR="00A51861">
        <w:rPr>
          <w:rFonts w:asciiTheme="majorHAnsi" w:hAnsiTheme="majorHAnsi"/>
          <w:color w:val="auto"/>
          <w:sz w:val="16"/>
          <w:szCs w:val="16"/>
        </w:rPr>
        <w:t xml:space="preserve">August 19, </w:t>
      </w:r>
      <w:r w:rsidRPr="00A51861">
        <w:rPr>
          <w:rFonts w:asciiTheme="majorHAnsi" w:hAnsiTheme="majorHAnsi"/>
          <w:color w:val="auto"/>
          <w:sz w:val="16"/>
          <w:szCs w:val="16"/>
        </w:rPr>
        <w:t xml:space="preserve">2016. </w:t>
      </w:r>
      <w:r w:rsidR="00A51861" w:rsidRPr="00A51861">
        <w:rPr>
          <w:rFonts w:asciiTheme="majorHAnsi" w:hAnsiTheme="majorHAnsi"/>
          <w:color w:val="auto"/>
          <w:sz w:val="16"/>
          <w:szCs w:val="16"/>
        </w:rPr>
        <w:t xml:space="preserve">Annexed to the </w:t>
      </w:r>
      <w:r w:rsidR="00A51861">
        <w:rPr>
          <w:rFonts w:asciiTheme="majorHAnsi" w:hAnsiTheme="majorHAnsi"/>
          <w:color w:val="auto"/>
          <w:sz w:val="16"/>
          <w:szCs w:val="16"/>
        </w:rPr>
        <w:t xml:space="preserve">brief of the State of </w:t>
      </w:r>
      <w:r w:rsidRPr="00A51861">
        <w:rPr>
          <w:rFonts w:asciiTheme="majorHAnsi" w:hAnsiTheme="majorHAnsi"/>
          <w:color w:val="auto"/>
          <w:sz w:val="16"/>
          <w:szCs w:val="16"/>
        </w:rPr>
        <w:t xml:space="preserve">Julio César Rito de los Santos </w:t>
      </w:r>
      <w:r w:rsidR="00A51861">
        <w:rPr>
          <w:rFonts w:asciiTheme="majorHAnsi" w:hAnsiTheme="majorHAnsi"/>
          <w:color w:val="auto"/>
          <w:sz w:val="16"/>
          <w:szCs w:val="16"/>
        </w:rPr>
        <w:t xml:space="preserve">of September 5, </w:t>
      </w:r>
      <w:r w:rsidRPr="00A51861">
        <w:rPr>
          <w:rFonts w:asciiTheme="majorHAnsi" w:hAnsiTheme="majorHAnsi"/>
          <w:color w:val="auto"/>
          <w:sz w:val="16"/>
          <w:szCs w:val="16"/>
        </w:rPr>
        <w:t>2017.</w:t>
      </w:r>
    </w:p>
  </w:footnote>
  <w:footnote w:id="245">
    <w:p w14:paraId="7B03CA5D" w14:textId="15E3EA31"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F842EE">
        <w:rPr>
          <w:rFonts w:asciiTheme="majorHAnsi" w:hAnsiTheme="majorHAnsi"/>
          <w:color w:val="auto"/>
          <w:sz w:val="16"/>
          <w:szCs w:val="16"/>
        </w:rPr>
        <w:t>75</w:t>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 xml:space="preserve">Resolution </w:t>
      </w:r>
      <w:r w:rsidRPr="00A51861">
        <w:rPr>
          <w:rFonts w:asciiTheme="majorHAnsi" w:hAnsiTheme="majorHAnsi"/>
          <w:color w:val="auto"/>
          <w:sz w:val="16"/>
          <w:szCs w:val="16"/>
        </w:rPr>
        <w:t xml:space="preserve">No. 670 </w:t>
      </w:r>
      <w:r w:rsidR="00A51861">
        <w:rPr>
          <w:rFonts w:asciiTheme="majorHAnsi" w:hAnsiTheme="majorHAnsi"/>
          <w:color w:val="auto"/>
          <w:sz w:val="16"/>
          <w:szCs w:val="16"/>
        </w:rPr>
        <w:t>of the Ministry of Justice and Human Rights</w:t>
      </w:r>
      <w:r w:rsidRPr="00A51861">
        <w:rPr>
          <w:rFonts w:asciiTheme="majorHAnsi" w:hAnsiTheme="majorHAnsi"/>
          <w:color w:val="auto"/>
          <w:sz w:val="16"/>
          <w:szCs w:val="16"/>
        </w:rPr>
        <w:t xml:space="preserve">, </w:t>
      </w:r>
      <w:r w:rsidR="00A51861">
        <w:rPr>
          <w:rFonts w:asciiTheme="majorHAnsi" w:hAnsiTheme="majorHAnsi"/>
          <w:color w:val="auto"/>
          <w:sz w:val="16"/>
          <w:szCs w:val="16"/>
        </w:rPr>
        <w:t xml:space="preserve">August 19, </w:t>
      </w:r>
      <w:r w:rsidRPr="00A51861">
        <w:rPr>
          <w:rFonts w:asciiTheme="majorHAnsi" w:hAnsiTheme="majorHAnsi"/>
          <w:color w:val="auto"/>
          <w:sz w:val="16"/>
          <w:szCs w:val="16"/>
        </w:rPr>
        <w:t xml:space="preserve">2016. </w:t>
      </w:r>
      <w:r w:rsidR="00A51861" w:rsidRPr="00A51861">
        <w:rPr>
          <w:rFonts w:asciiTheme="majorHAnsi" w:hAnsiTheme="majorHAnsi"/>
          <w:color w:val="auto"/>
          <w:sz w:val="16"/>
          <w:szCs w:val="16"/>
        </w:rPr>
        <w:t xml:space="preserve">Annexed to the </w:t>
      </w:r>
      <w:r w:rsidR="00A51861">
        <w:rPr>
          <w:rFonts w:asciiTheme="majorHAnsi" w:hAnsiTheme="majorHAnsi"/>
          <w:color w:val="auto"/>
          <w:sz w:val="16"/>
          <w:szCs w:val="16"/>
        </w:rPr>
        <w:t xml:space="preserve">brief of the State of </w:t>
      </w:r>
      <w:r w:rsidRPr="00A51861">
        <w:rPr>
          <w:rFonts w:asciiTheme="majorHAnsi" w:hAnsiTheme="majorHAnsi"/>
          <w:color w:val="auto"/>
          <w:sz w:val="16"/>
          <w:szCs w:val="16"/>
        </w:rPr>
        <w:t xml:space="preserve">Julio César Rito de los Santos </w:t>
      </w:r>
      <w:r w:rsidR="00A51861">
        <w:rPr>
          <w:rFonts w:asciiTheme="majorHAnsi" w:hAnsiTheme="majorHAnsi"/>
          <w:color w:val="auto"/>
          <w:sz w:val="16"/>
          <w:szCs w:val="16"/>
        </w:rPr>
        <w:t xml:space="preserve">of September 5, </w:t>
      </w:r>
      <w:r w:rsidRPr="00A51861">
        <w:rPr>
          <w:rFonts w:asciiTheme="majorHAnsi" w:hAnsiTheme="majorHAnsi"/>
          <w:color w:val="auto"/>
          <w:sz w:val="16"/>
          <w:szCs w:val="16"/>
        </w:rPr>
        <w:t>2017.</w:t>
      </w:r>
    </w:p>
  </w:footnote>
  <w:footnote w:id="246">
    <w:p w14:paraId="5B77465F" w14:textId="29AAA899"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0E67CA">
        <w:rPr>
          <w:rFonts w:asciiTheme="majorHAnsi" w:hAnsiTheme="majorHAnsi"/>
          <w:color w:val="auto"/>
          <w:sz w:val="16"/>
          <w:szCs w:val="16"/>
        </w:rPr>
        <w:t>IACHR</w:t>
      </w:r>
      <w:r w:rsidRPr="00A51861">
        <w:rPr>
          <w:rFonts w:asciiTheme="majorHAnsi" w:hAnsiTheme="majorHAnsi"/>
          <w:color w:val="auto"/>
          <w:sz w:val="16"/>
          <w:szCs w:val="16"/>
        </w:rPr>
        <w:t>.</w:t>
      </w:r>
      <w:r w:rsidR="000E67CA">
        <w:rPr>
          <w:rFonts w:asciiTheme="majorHAnsi" w:hAnsiTheme="majorHAnsi"/>
          <w:color w:val="auto"/>
          <w:sz w:val="16"/>
          <w:szCs w:val="16"/>
        </w:rPr>
        <w:t xml:space="preserve"> Report </w:t>
      </w:r>
      <w:r w:rsidRPr="00A51861">
        <w:rPr>
          <w:rFonts w:asciiTheme="majorHAnsi" w:hAnsiTheme="majorHAnsi"/>
          <w:color w:val="auto"/>
          <w:sz w:val="16"/>
          <w:szCs w:val="16"/>
        </w:rPr>
        <w:t xml:space="preserve">No. 147/18. </w:t>
      </w:r>
      <w:r w:rsidR="00B6596B">
        <w:rPr>
          <w:rFonts w:asciiTheme="majorHAnsi" w:hAnsiTheme="majorHAnsi"/>
          <w:color w:val="auto"/>
          <w:sz w:val="16"/>
          <w:szCs w:val="16"/>
        </w:rPr>
        <w:t xml:space="preserve">Case </w:t>
      </w:r>
      <w:r w:rsidRPr="00A51861">
        <w:rPr>
          <w:rFonts w:asciiTheme="majorHAnsi" w:hAnsiTheme="majorHAnsi"/>
          <w:color w:val="auto"/>
          <w:sz w:val="16"/>
          <w:szCs w:val="16"/>
        </w:rPr>
        <w:t xml:space="preserve">12.950. </w:t>
      </w:r>
      <w:r w:rsidR="00B6596B">
        <w:rPr>
          <w:rFonts w:asciiTheme="majorHAnsi" w:hAnsiTheme="majorHAnsi"/>
          <w:color w:val="auto"/>
          <w:sz w:val="16"/>
          <w:szCs w:val="16"/>
        </w:rPr>
        <w:t>Merits</w:t>
      </w:r>
      <w:r w:rsidRPr="00A51861">
        <w:rPr>
          <w:rFonts w:asciiTheme="majorHAnsi" w:hAnsiTheme="majorHAnsi"/>
          <w:color w:val="auto"/>
          <w:sz w:val="16"/>
          <w:szCs w:val="16"/>
        </w:rPr>
        <w:t xml:space="preserve">. </w:t>
      </w:r>
      <w:r w:rsidRPr="00061015">
        <w:rPr>
          <w:rFonts w:asciiTheme="majorHAnsi" w:hAnsiTheme="majorHAnsi"/>
          <w:color w:val="auto"/>
          <w:sz w:val="16"/>
          <w:szCs w:val="16"/>
          <w:lang w:val="pt-BR"/>
        </w:rPr>
        <w:t xml:space="preserve">Rufino Jorge Almeida. Argentina. </w:t>
      </w:r>
      <w:r w:rsidR="00541904" w:rsidRPr="00061015">
        <w:rPr>
          <w:rFonts w:asciiTheme="majorHAnsi" w:hAnsiTheme="majorHAnsi"/>
          <w:color w:val="auto"/>
          <w:sz w:val="16"/>
          <w:szCs w:val="16"/>
          <w:lang w:val="pt-BR"/>
        </w:rPr>
        <w:t xml:space="preserve">of December 7, </w:t>
      </w:r>
      <w:r w:rsidRPr="00061015">
        <w:rPr>
          <w:rFonts w:asciiTheme="majorHAnsi" w:hAnsiTheme="majorHAnsi"/>
          <w:color w:val="auto"/>
          <w:sz w:val="16"/>
          <w:szCs w:val="16"/>
          <w:lang w:val="pt-BR"/>
        </w:rPr>
        <w:t xml:space="preserve">2018. </w:t>
      </w:r>
      <w:r w:rsidR="00357129">
        <w:rPr>
          <w:rFonts w:asciiTheme="majorHAnsi" w:hAnsiTheme="majorHAnsi"/>
          <w:color w:val="auto"/>
          <w:sz w:val="16"/>
          <w:szCs w:val="16"/>
        </w:rPr>
        <w:t xml:space="preserve">Para. </w:t>
      </w:r>
      <w:r w:rsidRPr="00A51861">
        <w:rPr>
          <w:rFonts w:asciiTheme="majorHAnsi" w:hAnsiTheme="majorHAnsi"/>
          <w:color w:val="auto"/>
          <w:sz w:val="16"/>
          <w:szCs w:val="16"/>
        </w:rPr>
        <w:t>50.</w:t>
      </w:r>
    </w:p>
  </w:footnote>
  <w:footnote w:id="247">
    <w:p w14:paraId="09D39CA2" w14:textId="2CBD8D4F" w:rsidR="00F40E67" w:rsidRPr="00A51861" w:rsidRDefault="00F40E67" w:rsidP="0063693D">
      <w:pPr>
        <w:pStyle w:val="FootnoteText"/>
        <w:jc w:val="both"/>
        <w:rPr>
          <w:rFonts w:asciiTheme="majorHAnsi" w:hAnsiTheme="majorHAnsi"/>
          <w:color w:val="auto"/>
          <w:sz w:val="16"/>
          <w:szCs w:val="16"/>
        </w:rPr>
      </w:pPr>
      <w:r w:rsidRPr="00A51861">
        <w:rPr>
          <w:rStyle w:val="FootnoteReference"/>
          <w:rFonts w:asciiTheme="majorHAnsi" w:hAnsiTheme="majorHAnsi"/>
          <w:color w:val="auto"/>
          <w:sz w:val="16"/>
          <w:szCs w:val="16"/>
        </w:rPr>
        <w:footnoteRef/>
      </w:r>
      <w:r w:rsidRPr="00A51861">
        <w:rPr>
          <w:rFonts w:asciiTheme="majorHAnsi" w:hAnsiTheme="majorHAnsi"/>
          <w:color w:val="auto"/>
          <w:sz w:val="16"/>
          <w:szCs w:val="16"/>
        </w:rPr>
        <w:t xml:space="preserve"> </w:t>
      </w:r>
      <w:r w:rsidR="00A51861" w:rsidRPr="00A51861">
        <w:rPr>
          <w:rFonts w:asciiTheme="majorHAnsi" w:hAnsiTheme="majorHAnsi"/>
          <w:color w:val="auto"/>
          <w:sz w:val="16"/>
          <w:szCs w:val="16"/>
        </w:rPr>
        <w:t>Annex</w:t>
      </w:r>
      <w:r w:rsidRPr="00A51861">
        <w:rPr>
          <w:rFonts w:asciiTheme="majorHAnsi" w:hAnsiTheme="majorHAnsi"/>
          <w:color w:val="auto"/>
          <w:sz w:val="16"/>
          <w:szCs w:val="16"/>
        </w:rPr>
        <w:t xml:space="preserve"> </w:t>
      </w:r>
      <w:r w:rsidR="00F842EE">
        <w:rPr>
          <w:rFonts w:asciiTheme="majorHAnsi" w:hAnsiTheme="majorHAnsi"/>
          <w:color w:val="auto"/>
          <w:sz w:val="16"/>
          <w:szCs w:val="16"/>
        </w:rPr>
        <w:t>77</w:t>
      </w:r>
      <w:r w:rsidRPr="00A51861">
        <w:rPr>
          <w:rFonts w:asciiTheme="majorHAnsi" w:hAnsiTheme="majorHAnsi"/>
          <w:color w:val="auto"/>
          <w:sz w:val="16"/>
          <w:szCs w:val="16"/>
        </w:rPr>
        <w:t xml:space="preserve">. </w:t>
      </w:r>
      <w:r w:rsidR="004E56A9">
        <w:rPr>
          <w:rFonts w:asciiTheme="majorHAnsi" w:hAnsiTheme="majorHAnsi"/>
          <w:color w:val="auto"/>
          <w:sz w:val="16"/>
          <w:szCs w:val="16"/>
        </w:rPr>
        <w:t>Judgment</w:t>
      </w:r>
      <w:r w:rsidR="00061928">
        <w:rPr>
          <w:rFonts w:asciiTheme="majorHAnsi" w:hAnsiTheme="majorHAnsi"/>
          <w:color w:val="auto"/>
          <w:sz w:val="16"/>
          <w:szCs w:val="16"/>
        </w:rPr>
        <w:t xml:space="preserve"> of the </w:t>
      </w:r>
      <w:r w:rsidR="0020342F">
        <w:rPr>
          <w:rFonts w:asciiTheme="majorHAnsi" w:hAnsiTheme="majorHAnsi"/>
          <w:color w:val="auto"/>
          <w:sz w:val="16"/>
          <w:szCs w:val="16"/>
        </w:rPr>
        <w:t>Supreme Court of Justice of the Nation</w:t>
      </w:r>
      <w:r w:rsidRPr="00A51861">
        <w:rPr>
          <w:rFonts w:asciiTheme="majorHAnsi" w:hAnsiTheme="majorHAnsi"/>
          <w:color w:val="auto"/>
          <w:sz w:val="16"/>
          <w:szCs w:val="16"/>
        </w:rPr>
        <w:t xml:space="preserve"> </w:t>
      </w:r>
      <w:r w:rsidR="00B6596B">
        <w:rPr>
          <w:rFonts w:asciiTheme="majorHAnsi" w:hAnsiTheme="majorHAnsi"/>
          <w:color w:val="auto"/>
          <w:sz w:val="16"/>
          <w:szCs w:val="16"/>
        </w:rPr>
        <w:t xml:space="preserve">Case </w:t>
      </w:r>
      <w:r w:rsidRPr="00A51861">
        <w:rPr>
          <w:rFonts w:asciiTheme="majorHAnsi" w:hAnsiTheme="majorHAnsi"/>
          <w:color w:val="auto"/>
          <w:sz w:val="16"/>
          <w:szCs w:val="16"/>
        </w:rPr>
        <w:t xml:space="preserve">Geuna, Graciela Susana, </w:t>
      </w:r>
      <w:r w:rsidR="007F00A3">
        <w:rPr>
          <w:rFonts w:asciiTheme="majorHAnsi" w:hAnsiTheme="majorHAnsi"/>
          <w:color w:val="auto"/>
          <w:sz w:val="16"/>
          <w:szCs w:val="16"/>
        </w:rPr>
        <w:t>June 1,</w:t>
      </w:r>
      <w:r w:rsidRPr="00A51861">
        <w:rPr>
          <w:rFonts w:asciiTheme="majorHAnsi" w:hAnsiTheme="majorHAnsi"/>
          <w:color w:val="auto"/>
          <w:sz w:val="16"/>
          <w:szCs w:val="16"/>
        </w:rPr>
        <w:t xml:space="preserve"> 2000. </w:t>
      </w:r>
      <w:r w:rsidR="00772057">
        <w:rPr>
          <w:rFonts w:asciiTheme="majorHAnsi" w:hAnsiTheme="majorHAnsi"/>
          <w:color w:val="auto"/>
          <w:sz w:val="16"/>
          <w:szCs w:val="16"/>
        </w:rPr>
        <w:t xml:space="preserve">Annexed to the initial petition of </w:t>
      </w:r>
      <w:r w:rsidRPr="00A51861">
        <w:rPr>
          <w:rFonts w:asciiTheme="majorHAnsi" w:hAnsiTheme="majorHAnsi"/>
          <w:color w:val="auto"/>
          <w:sz w:val="16"/>
          <w:szCs w:val="16"/>
        </w:rPr>
        <w:t xml:space="preserve">Julio César Rito de los Santos </w:t>
      </w:r>
      <w:r w:rsidR="00EC7A58">
        <w:rPr>
          <w:rFonts w:asciiTheme="majorHAnsi" w:hAnsiTheme="majorHAnsi"/>
          <w:color w:val="auto"/>
          <w:sz w:val="16"/>
          <w:szCs w:val="16"/>
        </w:rPr>
        <w:t xml:space="preserve">of May 11, </w:t>
      </w:r>
      <w:r w:rsidRPr="00A51861">
        <w:rPr>
          <w:rFonts w:asciiTheme="majorHAnsi" w:hAnsiTheme="majorHAnsi"/>
          <w:color w:val="auto"/>
          <w:sz w:val="16"/>
          <w:szCs w:val="16"/>
        </w:rPr>
        <w:t>2007.</w:t>
      </w:r>
    </w:p>
  </w:footnote>
  <w:footnote w:id="248">
    <w:p w14:paraId="162C9878" w14:textId="1B38D508" w:rsidR="00F40E67" w:rsidRPr="00A51861" w:rsidRDefault="00F40E67" w:rsidP="0063693D">
      <w:pPr>
        <w:pStyle w:val="FootnoteText"/>
        <w:jc w:val="both"/>
        <w:rPr>
          <w:rFonts w:asciiTheme="majorHAnsi" w:hAnsiTheme="majorHAnsi"/>
          <w:sz w:val="16"/>
          <w:szCs w:val="16"/>
        </w:rPr>
      </w:pPr>
      <w:r w:rsidRPr="00A51861">
        <w:rPr>
          <w:rStyle w:val="FootnoteReference"/>
          <w:rFonts w:asciiTheme="majorHAnsi" w:hAnsiTheme="majorHAnsi"/>
          <w:sz w:val="16"/>
          <w:szCs w:val="16"/>
        </w:rPr>
        <w:footnoteRef/>
      </w:r>
      <w:r w:rsidRPr="00A51861">
        <w:rPr>
          <w:rFonts w:asciiTheme="majorHAnsi" w:hAnsiTheme="majorHAnsi"/>
          <w:sz w:val="16"/>
          <w:szCs w:val="16"/>
        </w:rPr>
        <w:t xml:space="preserve"> </w:t>
      </w:r>
      <w:r w:rsidR="00A51861" w:rsidRPr="00A51861">
        <w:rPr>
          <w:rFonts w:asciiTheme="majorHAnsi" w:hAnsiTheme="majorHAnsi"/>
          <w:sz w:val="16"/>
          <w:szCs w:val="16"/>
        </w:rPr>
        <w:t>Annex</w:t>
      </w:r>
      <w:r w:rsidRPr="00A51861">
        <w:rPr>
          <w:rFonts w:asciiTheme="majorHAnsi" w:hAnsiTheme="majorHAnsi"/>
          <w:sz w:val="16"/>
          <w:szCs w:val="16"/>
        </w:rPr>
        <w:t xml:space="preserve"> </w:t>
      </w:r>
      <w:r w:rsidR="00F842EE">
        <w:rPr>
          <w:rFonts w:asciiTheme="majorHAnsi" w:hAnsiTheme="majorHAnsi"/>
          <w:sz w:val="16"/>
          <w:szCs w:val="16"/>
        </w:rPr>
        <w:t>40</w:t>
      </w:r>
      <w:r w:rsidRPr="00A51861">
        <w:rPr>
          <w:rFonts w:asciiTheme="majorHAnsi" w:hAnsiTheme="majorHAnsi"/>
          <w:sz w:val="16"/>
          <w:szCs w:val="16"/>
        </w:rPr>
        <w:t xml:space="preserve">. </w:t>
      </w:r>
      <w:r w:rsidR="000E67CA">
        <w:rPr>
          <w:rFonts w:asciiTheme="majorHAnsi" w:hAnsiTheme="majorHAnsi"/>
          <w:sz w:val="16"/>
          <w:szCs w:val="16"/>
        </w:rPr>
        <w:t>Decision</w:t>
      </w:r>
      <w:r w:rsidR="00061928">
        <w:rPr>
          <w:rFonts w:asciiTheme="majorHAnsi" w:hAnsiTheme="majorHAnsi"/>
          <w:sz w:val="16"/>
          <w:szCs w:val="16"/>
        </w:rPr>
        <w:t xml:space="preserve"> of the </w:t>
      </w:r>
      <w:r w:rsidR="00116313">
        <w:rPr>
          <w:rFonts w:asciiTheme="majorHAnsi" w:hAnsiTheme="majorHAnsi"/>
          <w:sz w:val="16"/>
          <w:szCs w:val="16"/>
        </w:rPr>
        <w:t>National Chamber of Federal Contentious Administrative Appeals</w:t>
      </w:r>
      <w:r w:rsidRPr="00A51861">
        <w:rPr>
          <w:rFonts w:asciiTheme="majorHAnsi" w:hAnsiTheme="majorHAnsi"/>
          <w:sz w:val="16"/>
          <w:szCs w:val="16"/>
        </w:rPr>
        <w:t xml:space="preserve">, </w:t>
      </w:r>
      <w:r w:rsidR="00164335">
        <w:rPr>
          <w:rFonts w:asciiTheme="majorHAnsi" w:hAnsiTheme="majorHAnsi"/>
          <w:sz w:val="16"/>
          <w:szCs w:val="16"/>
        </w:rPr>
        <w:t>October 9,</w:t>
      </w:r>
      <w:r w:rsidRPr="00A51861">
        <w:rPr>
          <w:rFonts w:asciiTheme="majorHAnsi" w:hAnsiTheme="majorHAnsi"/>
          <w:sz w:val="16"/>
          <w:szCs w:val="16"/>
        </w:rPr>
        <w:t xml:space="preserve"> 2009. </w:t>
      </w:r>
      <w:r w:rsidR="00A51861" w:rsidRPr="00A51861">
        <w:rPr>
          <w:rFonts w:asciiTheme="majorHAnsi" w:hAnsiTheme="majorHAnsi"/>
          <w:sz w:val="16"/>
          <w:szCs w:val="16"/>
        </w:rPr>
        <w:t>Annexed to the brief</w:t>
      </w:r>
      <w:r w:rsidR="00061928">
        <w:rPr>
          <w:rFonts w:asciiTheme="majorHAnsi" w:hAnsiTheme="majorHAnsi"/>
          <w:sz w:val="16"/>
          <w:szCs w:val="16"/>
        </w:rPr>
        <w:t xml:space="preserve"> of the </w:t>
      </w:r>
      <w:r w:rsidR="00106AEF">
        <w:rPr>
          <w:rFonts w:asciiTheme="majorHAnsi" w:hAnsiTheme="majorHAnsi"/>
          <w:sz w:val="16"/>
          <w:szCs w:val="16"/>
        </w:rPr>
        <w:t>petitioner</w:t>
      </w:r>
      <w:r w:rsidRPr="00A51861">
        <w:rPr>
          <w:rFonts w:asciiTheme="majorHAnsi" w:hAnsiTheme="majorHAnsi"/>
          <w:sz w:val="16"/>
          <w:szCs w:val="16"/>
        </w:rPr>
        <w:t xml:space="preserve"> de Julio César Rito de los Santos </w:t>
      </w:r>
      <w:r w:rsidR="00521E91">
        <w:rPr>
          <w:rFonts w:asciiTheme="majorHAnsi" w:hAnsiTheme="majorHAnsi"/>
          <w:sz w:val="16"/>
          <w:szCs w:val="16"/>
        </w:rPr>
        <w:t xml:space="preserve">received on </w:t>
      </w:r>
      <w:r w:rsidR="00164335">
        <w:rPr>
          <w:rFonts w:asciiTheme="majorHAnsi" w:hAnsiTheme="majorHAnsi"/>
          <w:sz w:val="16"/>
          <w:szCs w:val="16"/>
        </w:rPr>
        <w:t>June 26,</w:t>
      </w:r>
      <w:r w:rsidRPr="00A51861">
        <w:rPr>
          <w:rFonts w:asciiTheme="majorHAnsi" w:hAnsiTheme="majorHAnsi"/>
          <w:sz w:val="16"/>
          <w:szCs w:val="16"/>
        </w:rPr>
        <w:t xml:space="preserve"> 2012.</w:t>
      </w:r>
    </w:p>
  </w:footnote>
  <w:footnote w:id="249">
    <w:p w14:paraId="47E1EE1D" w14:textId="44AF4460" w:rsidR="00F40E67" w:rsidRPr="00C238A7" w:rsidRDefault="00F40E67">
      <w:pPr>
        <w:pStyle w:val="FootnoteText"/>
        <w:rPr>
          <w:rFonts w:asciiTheme="majorHAnsi" w:hAnsiTheme="majorHAnsi"/>
          <w:sz w:val="16"/>
          <w:szCs w:val="16"/>
        </w:rPr>
      </w:pPr>
      <w:r w:rsidRPr="00C238A7">
        <w:rPr>
          <w:rStyle w:val="FootnoteReference"/>
          <w:rFonts w:asciiTheme="majorHAnsi" w:hAnsiTheme="majorHAnsi"/>
          <w:sz w:val="16"/>
          <w:szCs w:val="16"/>
        </w:rPr>
        <w:footnoteRef/>
      </w:r>
      <w:r w:rsidRPr="00C238A7">
        <w:rPr>
          <w:rFonts w:asciiTheme="majorHAnsi" w:hAnsiTheme="majorHAnsi"/>
          <w:sz w:val="16"/>
          <w:szCs w:val="16"/>
        </w:rPr>
        <w:t xml:space="preserve"> </w:t>
      </w:r>
      <w:r w:rsidR="000E67CA" w:rsidRPr="00C238A7">
        <w:rPr>
          <w:rFonts w:asciiTheme="majorHAnsi" w:hAnsiTheme="majorHAnsi"/>
          <w:sz w:val="16"/>
          <w:szCs w:val="16"/>
        </w:rPr>
        <w:t>IACHR</w:t>
      </w:r>
      <w:r w:rsidRPr="00C238A7">
        <w:rPr>
          <w:rFonts w:asciiTheme="majorHAnsi" w:hAnsiTheme="majorHAnsi"/>
          <w:sz w:val="16"/>
          <w:szCs w:val="16"/>
        </w:rPr>
        <w:t>,</w:t>
      </w:r>
      <w:r w:rsidR="000E67CA" w:rsidRPr="00C238A7">
        <w:rPr>
          <w:rFonts w:asciiTheme="majorHAnsi" w:hAnsiTheme="majorHAnsi"/>
          <w:sz w:val="16"/>
          <w:szCs w:val="16"/>
        </w:rPr>
        <w:t xml:space="preserve"> Report </w:t>
      </w:r>
      <w:r w:rsidRPr="00C238A7">
        <w:rPr>
          <w:rFonts w:asciiTheme="majorHAnsi" w:hAnsiTheme="majorHAnsi"/>
          <w:sz w:val="16"/>
          <w:szCs w:val="16"/>
        </w:rPr>
        <w:t xml:space="preserve">No. 56/19, </w:t>
      </w:r>
      <w:r w:rsidR="00B6596B" w:rsidRPr="00C238A7">
        <w:rPr>
          <w:rFonts w:asciiTheme="majorHAnsi" w:hAnsiTheme="majorHAnsi"/>
          <w:sz w:val="16"/>
          <w:szCs w:val="16"/>
        </w:rPr>
        <w:t xml:space="preserve">Case </w:t>
      </w:r>
      <w:r w:rsidRPr="00C238A7">
        <w:rPr>
          <w:rFonts w:asciiTheme="majorHAnsi" w:hAnsiTheme="majorHAnsi"/>
          <w:sz w:val="16"/>
          <w:szCs w:val="16"/>
        </w:rPr>
        <w:t>13.392</w:t>
      </w:r>
      <w:r w:rsidR="000E67CA" w:rsidRPr="00C238A7">
        <w:rPr>
          <w:rFonts w:asciiTheme="majorHAnsi" w:hAnsiTheme="majorHAnsi"/>
          <w:sz w:val="16"/>
          <w:szCs w:val="16"/>
        </w:rPr>
        <w:t xml:space="preserve"> Report </w:t>
      </w:r>
      <w:r w:rsidR="00AF26B2" w:rsidRPr="00C238A7">
        <w:rPr>
          <w:rFonts w:asciiTheme="majorHAnsi" w:hAnsiTheme="majorHAnsi"/>
          <w:sz w:val="16"/>
          <w:szCs w:val="16"/>
        </w:rPr>
        <w:t>on</w:t>
      </w:r>
      <w:r w:rsidRPr="00C238A7">
        <w:rPr>
          <w:rFonts w:asciiTheme="majorHAnsi" w:hAnsiTheme="majorHAnsi"/>
          <w:sz w:val="16"/>
          <w:szCs w:val="16"/>
        </w:rPr>
        <w:t xml:space="preserve"> </w:t>
      </w:r>
      <w:r w:rsidR="00061928" w:rsidRPr="00C238A7">
        <w:rPr>
          <w:rFonts w:asciiTheme="majorHAnsi" w:hAnsiTheme="majorHAnsi"/>
          <w:sz w:val="16"/>
          <w:szCs w:val="16"/>
        </w:rPr>
        <w:t>Admissibility</w:t>
      </w:r>
      <w:r w:rsidR="00AF26B2" w:rsidRPr="00C238A7">
        <w:rPr>
          <w:rFonts w:asciiTheme="majorHAnsi" w:hAnsiTheme="majorHAnsi"/>
          <w:sz w:val="16"/>
          <w:szCs w:val="16"/>
        </w:rPr>
        <w:t>,</w:t>
      </w:r>
      <w:r w:rsidRPr="00C238A7">
        <w:rPr>
          <w:rFonts w:asciiTheme="majorHAnsi" w:hAnsiTheme="majorHAnsi"/>
          <w:sz w:val="16"/>
          <w:szCs w:val="16"/>
        </w:rPr>
        <w:t xml:space="preserve"> </w:t>
      </w:r>
      <w:r w:rsidR="00B6596B" w:rsidRPr="00C238A7">
        <w:rPr>
          <w:rFonts w:asciiTheme="majorHAnsi" w:hAnsiTheme="majorHAnsi"/>
          <w:sz w:val="16"/>
          <w:szCs w:val="16"/>
        </w:rPr>
        <w:t>Merits</w:t>
      </w:r>
      <w:r w:rsidRPr="00C238A7">
        <w:rPr>
          <w:rFonts w:asciiTheme="majorHAnsi" w:hAnsiTheme="majorHAnsi"/>
          <w:sz w:val="16"/>
          <w:szCs w:val="16"/>
        </w:rPr>
        <w:t xml:space="preserve">. </w:t>
      </w:r>
      <w:r w:rsidR="00F406E1" w:rsidRPr="00C238A7">
        <w:rPr>
          <w:rFonts w:asciiTheme="majorHAnsi" w:hAnsiTheme="majorHAnsi"/>
          <w:sz w:val="16"/>
          <w:szCs w:val="16"/>
        </w:rPr>
        <w:t>Family</w:t>
      </w:r>
      <w:r w:rsidRPr="00C238A7">
        <w:rPr>
          <w:rFonts w:asciiTheme="majorHAnsi" w:hAnsiTheme="majorHAnsi"/>
          <w:sz w:val="16"/>
          <w:szCs w:val="16"/>
        </w:rPr>
        <w:t xml:space="preserve"> Julien-Grisonas (Argentina). </w:t>
      </w:r>
      <w:r w:rsidR="00AF26B2" w:rsidRPr="00C238A7">
        <w:rPr>
          <w:rFonts w:asciiTheme="majorHAnsi" w:hAnsiTheme="majorHAnsi"/>
          <w:sz w:val="16"/>
          <w:szCs w:val="16"/>
        </w:rPr>
        <w:t>May 4,</w:t>
      </w:r>
      <w:r w:rsidRPr="00C238A7">
        <w:rPr>
          <w:rFonts w:asciiTheme="majorHAnsi" w:hAnsiTheme="majorHAnsi"/>
          <w:sz w:val="16"/>
          <w:szCs w:val="16"/>
        </w:rPr>
        <w:t xml:space="preserve"> 2019. P</w:t>
      </w:r>
      <w:r w:rsidR="00AF26B2" w:rsidRPr="00C238A7">
        <w:rPr>
          <w:rFonts w:asciiTheme="majorHAnsi" w:hAnsiTheme="majorHAnsi"/>
          <w:sz w:val="16"/>
          <w:szCs w:val="16"/>
        </w:rPr>
        <w:t>ara</w:t>
      </w:r>
      <w:r w:rsidRPr="00C238A7">
        <w:rPr>
          <w:rFonts w:asciiTheme="majorHAnsi" w:hAnsiTheme="majorHAnsi"/>
          <w:sz w:val="16"/>
          <w:szCs w:val="16"/>
        </w:rPr>
        <w:t>.190</w:t>
      </w:r>
      <w:r w:rsidR="00B6596B" w:rsidRPr="00C238A7">
        <w:rPr>
          <w:rFonts w:asciiTheme="majorHAnsi" w:hAnsiTheme="majorHAnsi"/>
          <w:sz w:val="16"/>
          <w:szCs w:val="16"/>
        </w:rPr>
        <w:t xml:space="preserve"> and </w:t>
      </w:r>
      <w:r w:rsidR="00AF26B2" w:rsidRPr="00C238A7">
        <w:rPr>
          <w:rFonts w:asciiTheme="majorHAnsi" w:hAnsiTheme="majorHAnsi"/>
          <w:sz w:val="16"/>
          <w:szCs w:val="16"/>
        </w:rPr>
        <w:t>following</w:t>
      </w:r>
      <w:r w:rsidRPr="00C238A7">
        <w:rPr>
          <w:rFonts w:asciiTheme="majorHAnsi" w:hAnsiTheme="majorHAnsi"/>
          <w:sz w:val="16"/>
          <w:szCs w:val="16"/>
        </w:rPr>
        <w:t>.</w:t>
      </w:r>
    </w:p>
  </w:footnote>
  <w:footnote w:id="250">
    <w:p w14:paraId="6D711BF5" w14:textId="77777777" w:rsidR="00270F08" w:rsidRPr="00F54EB5" w:rsidRDefault="00270F08" w:rsidP="00270F08">
      <w:pPr>
        <w:pStyle w:val="FootnoteText"/>
        <w:jc w:val="both"/>
        <w:rPr>
          <w:rFonts w:asciiTheme="majorHAnsi" w:hAnsiTheme="majorHAnsi"/>
          <w:sz w:val="16"/>
          <w:szCs w:val="16"/>
        </w:rPr>
      </w:pPr>
      <w:r w:rsidRPr="00F54EB5">
        <w:rPr>
          <w:rStyle w:val="FootnoteReference"/>
          <w:rFonts w:asciiTheme="majorHAnsi" w:hAnsiTheme="majorHAnsi"/>
          <w:sz w:val="16"/>
          <w:szCs w:val="16"/>
        </w:rPr>
        <w:footnoteRef/>
      </w:r>
      <w:r w:rsidRPr="00F54EB5">
        <w:rPr>
          <w:rFonts w:asciiTheme="majorHAnsi" w:hAnsiTheme="majorHAnsi"/>
          <w:sz w:val="16"/>
          <w:szCs w:val="16"/>
        </w:rPr>
        <w:t xml:space="preserve"> RESOL-2022-391-APN-MJ (Rito de los Santos), RESOL-2022-392-APN-MJ, (Hugo Daniel Ferreira); RESOL-2022-393-APN-MJ (Romero Ubal).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7431C" w14:textId="77777777" w:rsidR="00F40E67" w:rsidRDefault="00F40E67" w:rsidP="0039253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BD63B00" w14:textId="77777777" w:rsidR="00F40E67" w:rsidRDefault="00F40E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D9F9D" w14:textId="77777777" w:rsidR="00F40E67" w:rsidRPr="00817647" w:rsidRDefault="00F40E67" w:rsidP="00A50FCF">
    <w:pPr>
      <w:pStyle w:val="Header"/>
      <w:tabs>
        <w:tab w:val="clear" w:pos="4320"/>
        <w:tab w:val="clear" w:pos="8640"/>
      </w:tabs>
      <w:jc w:val="center"/>
      <w:rPr>
        <w:i/>
        <w:iCs/>
        <w:sz w:val="22"/>
        <w:szCs w:val="22"/>
      </w:rPr>
    </w:pPr>
    <w:r w:rsidRPr="00817647">
      <w:rPr>
        <w:i/>
        <w:iCs/>
        <w:noProof/>
        <w:sz w:val="22"/>
        <w:szCs w:val="22"/>
      </w:rPr>
      <w:drawing>
        <wp:inline distT="0" distB="0" distL="0" distR="0" wp14:anchorId="10AF026D" wp14:editId="1E36ECE6">
          <wp:extent cx="1972235" cy="10477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2235" cy="104775"/>
                  </a:xfrm>
                  <a:prstGeom prst="rect">
                    <a:avLst/>
                  </a:prstGeom>
                  <a:noFill/>
                  <a:ln>
                    <a:noFill/>
                  </a:ln>
                </pic:spPr>
              </pic:pic>
            </a:graphicData>
          </a:graphic>
        </wp:inline>
      </w:drawing>
    </w:r>
  </w:p>
  <w:p w14:paraId="3D013662" w14:textId="77777777" w:rsidR="00F40E67" w:rsidRPr="00EC7D62" w:rsidRDefault="00F347BD" w:rsidP="00A50FCF">
    <w:pPr>
      <w:pStyle w:val="Header"/>
      <w:tabs>
        <w:tab w:val="clear" w:pos="4320"/>
        <w:tab w:val="clear" w:pos="8640"/>
      </w:tabs>
      <w:jc w:val="center"/>
      <w:rPr>
        <w:sz w:val="22"/>
        <w:szCs w:val="22"/>
      </w:rPr>
    </w:pPr>
    <w:r>
      <w:rPr>
        <w:noProof/>
        <w:sz w:val="22"/>
        <w:szCs w:val="22"/>
        <w:bdr w:val="nil"/>
      </w:rPr>
      <w:pict w14:anchorId="5E421741">
        <v:rect id="_x0000_i1025"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4E6410"/>
    <w:multiLevelType w:val="hybridMultilevel"/>
    <w:tmpl w:val="2884DBB4"/>
    <w:lvl w:ilvl="0" w:tplc="226000EE">
      <w:start w:val="1"/>
      <w:numFmt w:val="decimal"/>
      <w:lvlText w:val="%1."/>
      <w:lvlJc w:val="left"/>
      <w:pPr>
        <w:ind w:left="990" w:hanging="360"/>
      </w:pPr>
      <w:rPr>
        <w:rFonts w:hint="default"/>
        <w:b/>
      </w:rPr>
    </w:lvl>
    <w:lvl w:ilvl="1" w:tplc="080A0019" w:tentative="1">
      <w:start w:val="1"/>
      <w:numFmt w:val="lowerLetter"/>
      <w:lvlText w:val="%2."/>
      <w:lvlJc w:val="left"/>
      <w:pPr>
        <w:ind w:left="1710" w:hanging="360"/>
      </w:pPr>
    </w:lvl>
    <w:lvl w:ilvl="2" w:tplc="080A001B" w:tentative="1">
      <w:start w:val="1"/>
      <w:numFmt w:val="lowerRoman"/>
      <w:lvlText w:val="%3."/>
      <w:lvlJc w:val="right"/>
      <w:pPr>
        <w:ind w:left="2430" w:hanging="180"/>
      </w:pPr>
    </w:lvl>
    <w:lvl w:ilvl="3" w:tplc="080A000F" w:tentative="1">
      <w:start w:val="1"/>
      <w:numFmt w:val="decimal"/>
      <w:lvlText w:val="%4."/>
      <w:lvlJc w:val="left"/>
      <w:pPr>
        <w:ind w:left="3150" w:hanging="360"/>
      </w:pPr>
    </w:lvl>
    <w:lvl w:ilvl="4" w:tplc="080A0019" w:tentative="1">
      <w:start w:val="1"/>
      <w:numFmt w:val="lowerLetter"/>
      <w:lvlText w:val="%5."/>
      <w:lvlJc w:val="left"/>
      <w:pPr>
        <w:ind w:left="3870" w:hanging="360"/>
      </w:pPr>
    </w:lvl>
    <w:lvl w:ilvl="5" w:tplc="080A001B" w:tentative="1">
      <w:start w:val="1"/>
      <w:numFmt w:val="lowerRoman"/>
      <w:lvlText w:val="%6."/>
      <w:lvlJc w:val="right"/>
      <w:pPr>
        <w:ind w:left="4590" w:hanging="180"/>
      </w:pPr>
    </w:lvl>
    <w:lvl w:ilvl="6" w:tplc="080A000F" w:tentative="1">
      <w:start w:val="1"/>
      <w:numFmt w:val="decimal"/>
      <w:lvlText w:val="%7."/>
      <w:lvlJc w:val="left"/>
      <w:pPr>
        <w:ind w:left="5310" w:hanging="360"/>
      </w:pPr>
    </w:lvl>
    <w:lvl w:ilvl="7" w:tplc="080A0019" w:tentative="1">
      <w:start w:val="1"/>
      <w:numFmt w:val="lowerLetter"/>
      <w:lvlText w:val="%8."/>
      <w:lvlJc w:val="left"/>
      <w:pPr>
        <w:ind w:left="6030" w:hanging="360"/>
      </w:pPr>
    </w:lvl>
    <w:lvl w:ilvl="8" w:tplc="080A001B" w:tentative="1">
      <w:start w:val="1"/>
      <w:numFmt w:val="lowerRoman"/>
      <w:lvlText w:val="%9."/>
      <w:lvlJc w:val="right"/>
      <w:pPr>
        <w:ind w:left="675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1035A02"/>
    <w:multiLevelType w:val="hybridMultilevel"/>
    <w:tmpl w:val="18B2CD6A"/>
    <w:lvl w:ilvl="0" w:tplc="1FE0325A">
      <w:start w:val="1"/>
      <w:numFmt w:val="decimal"/>
      <w:lvlText w:val="%1."/>
      <w:lvlJc w:val="left"/>
      <w:pPr>
        <w:ind w:left="720" w:hanging="360"/>
      </w:pPr>
      <w:rPr>
        <w:rFonts w:eastAsia="Arial Unicode M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51E1A3D"/>
    <w:multiLevelType w:val="multilevel"/>
    <w:tmpl w:val="A17EEF3C"/>
    <w:lvl w:ilvl="0">
      <w:start w:val="1"/>
      <w:numFmt w:val="decimal"/>
      <w:lvlText w:val="%1."/>
      <w:lvlJc w:val="left"/>
      <w:pPr>
        <w:ind w:left="990" w:hanging="360"/>
      </w:pPr>
      <w:rPr>
        <w:rFonts w:hint="default"/>
        <w:b/>
      </w:rPr>
    </w:lvl>
    <w:lvl w:ilvl="1">
      <w:start w:val="1"/>
      <w:numFmt w:val="decimal"/>
      <w:isLgl/>
      <w:lvlText w:val="%1.%2"/>
      <w:lvlJc w:val="left"/>
      <w:pPr>
        <w:ind w:left="990" w:hanging="360"/>
      </w:pPr>
      <w:rPr>
        <w:rFonts w:hint="default"/>
        <w:b/>
      </w:rPr>
    </w:lvl>
    <w:lvl w:ilvl="2">
      <w:start w:val="1"/>
      <w:numFmt w:val="decimal"/>
      <w:isLgl/>
      <w:lvlText w:val="%1.%2.%3"/>
      <w:lvlJc w:val="left"/>
      <w:pPr>
        <w:ind w:left="1350" w:hanging="720"/>
      </w:pPr>
      <w:rPr>
        <w:rFonts w:hint="default"/>
        <w:b/>
      </w:rPr>
    </w:lvl>
    <w:lvl w:ilvl="3">
      <w:start w:val="1"/>
      <w:numFmt w:val="decimal"/>
      <w:isLgl/>
      <w:lvlText w:val="%1.%2.%3.%4"/>
      <w:lvlJc w:val="left"/>
      <w:pPr>
        <w:ind w:left="1350" w:hanging="720"/>
      </w:pPr>
      <w:rPr>
        <w:rFonts w:hint="default"/>
        <w:b/>
      </w:rPr>
    </w:lvl>
    <w:lvl w:ilvl="4">
      <w:start w:val="1"/>
      <w:numFmt w:val="decimal"/>
      <w:isLgl/>
      <w:lvlText w:val="%1.%2.%3.%4.%5"/>
      <w:lvlJc w:val="left"/>
      <w:pPr>
        <w:ind w:left="1710" w:hanging="1080"/>
      </w:pPr>
      <w:rPr>
        <w:rFonts w:hint="default"/>
        <w:b/>
      </w:rPr>
    </w:lvl>
    <w:lvl w:ilvl="5">
      <w:start w:val="1"/>
      <w:numFmt w:val="decimal"/>
      <w:isLgl/>
      <w:lvlText w:val="%1.%2.%3.%4.%5.%6"/>
      <w:lvlJc w:val="left"/>
      <w:pPr>
        <w:ind w:left="1710" w:hanging="1080"/>
      </w:pPr>
      <w:rPr>
        <w:rFonts w:hint="default"/>
        <w:b/>
      </w:rPr>
    </w:lvl>
    <w:lvl w:ilvl="6">
      <w:start w:val="1"/>
      <w:numFmt w:val="decimal"/>
      <w:isLgl/>
      <w:lvlText w:val="%1.%2.%3.%4.%5.%6.%7"/>
      <w:lvlJc w:val="left"/>
      <w:pPr>
        <w:ind w:left="2070" w:hanging="1440"/>
      </w:pPr>
      <w:rPr>
        <w:rFonts w:hint="default"/>
        <w:b/>
      </w:rPr>
    </w:lvl>
    <w:lvl w:ilvl="7">
      <w:start w:val="1"/>
      <w:numFmt w:val="decimal"/>
      <w:isLgl/>
      <w:lvlText w:val="%1.%2.%3.%4.%5.%6.%7.%8"/>
      <w:lvlJc w:val="left"/>
      <w:pPr>
        <w:ind w:left="2070" w:hanging="1440"/>
      </w:pPr>
      <w:rPr>
        <w:rFonts w:hint="default"/>
        <w:b/>
      </w:rPr>
    </w:lvl>
    <w:lvl w:ilvl="8">
      <w:start w:val="1"/>
      <w:numFmt w:val="decimal"/>
      <w:isLgl/>
      <w:lvlText w:val="%1.%2.%3.%4.%5.%6.%7.%8.%9"/>
      <w:lvlJc w:val="left"/>
      <w:pPr>
        <w:ind w:left="2430" w:hanging="1800"/>
      </w:pPr>
      <w:rPr>
        <w:rFonts w:hint="default"/>
        <w:b/>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E532F0"/>
    <w:multiLevelType w:val="hybridMultilevel"/>
    <w:tmpl w:val="0482489C"/>
    <w:lvl w:ilvl="0" w:tplc="DA7C71B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2B1B68F9"/>
    <w:multiLevelType w:val="hybridMultilevel"/>
    <w:tmpl w:val="4D447A58"/>
    <w:lvl w:ilvl="0" w:tplc="15629E4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DB66050"/>
    <w:multiLevelType w:val="hybridMultilevel"/>
    <w:tmpl w:val="E304D6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72A0BA1"/>
    <w:multiLevelType w:val="hybridMultilevel"/>
    <w:tmpl w:val="B1803208"/>
    <w:lvl w:ilvl="0" w:tplc="EBD4B8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46F1AFC"/>
    <w:multiLevelType w:val="hybridMultilevel"/>
    <w:tmpl w:val="438A85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7CB0ABC"/>
    <w:multiLevelType w:val="hybridMultilevel"/>
    <w:tmpl w:val="7B8E722C"/>
    <w:lvl w:ilvl="0" w:tplc="6150C154">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8F068C3"/>
    <w:multiLevelType w:val="hybridMultilevel"/>
    <w:tmpl w:val="E30A75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22352F5"/>
    <w:multiLevelType w:val="hybridMultilevel"/>
    <w:tmpl w:val="4D32DCEC"/>
    <w:lvl w:ilvl="0" w:tplc="50E03BC4">
      <w:start w:val="1"/>
      <w:numFmt w:val="decimal"/>
      <w:lvlText w:val="%1."/>
      <w:lvlJc w:val="left"/>
      <w:pPr>
        <w:ind w:left="990" w:hanging="360"/>
      </w:pPr>
      <w:rPr>
        <w:rFonts w:hint="default"/>
        <w:b/>
      </w:rPr>
    </w:lvl>
    <w:lvl w:ilvl="1" w:tplc="080A0019" w:tentative="1">
      <w:start w:val="1"/>
      <w:numFmt w:val="lowerLetter"/>
      <w:lvlText w:val="%2."/>
      <w:lvlJc w:val="left"/>
      <w:pPr>
        <w:ind w:left="1710" w:hanging="360"/>
      </w:pPr>
    </w:lvl>
    <w:lvl w:ilvl="2" w:tplc="080A001B" w:tentative="1">
      <w:start w:val="1"/>
      <w:numFmt w:val="lowerRoman"/>
      <w:lvlText w:val="%3."/>
      <w:lvlJc w:val="right"/>
      <w:pPr>
        <w:ind w:left="2430" w:hanging="180"/>
      </w:pPr>
    </w:lvl>
    <w:lvl w:ilvl="3" w:tplc="080A000F" w:tentative="1">
      <w:start w:val="1"/>
      <w:numFmt w:val="decimal"/>
      <w:lvlText w:val="%4."/>
      <w:lvlJc w:val="left"/>
      <w:pPr>
        <w:ind w:left="3150" w:hanging="360"/>
      </w:pPr>
    </w:lvl>
    <w:lvl w:ilvl="4" w:tplc="080A0019" w:tentative="1">
      <w:start w:val="1"/>
      <w:numFmt w:val="lowerLetter"/>
      <w:lvlText w:val="%5."/>
      <w:lvlJc w:val="left"/>
      <w:pPr>
        <w:ind w:left="3870" w:hanging="360"/>
      </w:pPr>
    </w:lvl>
    <w:lvl w:ilvl="5" w:tplc="080A001B" w:tentative="1">
      <w:start w:val="1"/>
      <w:numFmt w:val="lowerRoman"/>
      <w:lvlText w:val="%6."/>
      <w:lvlJc w:val="right"/>
      <w:pPr>
        <w:ind w:left="4590" w:hanging="180"/>
      </w:pPr>
    </w:lvl>
    <w:lvl w:ilvl="6" w:tplc="080A000F" w:tentative="1">
      <w:start w:val="1"/>
      <w:numFmt w:val="decimal"/>
      <w:lvlText w:val="%7."/>
      <w:lvlJc w:val="left"/>
      <w:pPr>
        <w:ind w:left="5310" w:hanging="360"/>
      </w:pPr>
    </w:lvl>
    <w:lvl w:ilvl="7" w:tplc="080A0019" w:tentative="1">
      <w:start w:val="1"/>
      <w:numFmt w:val="lowerLetter"/>
      <w:lvlText w:val="%8."/>
      <w:lvlJc w:val="left"/>
      <w:pPr>
        <w:ind w:left="6030" w:hanging="360"/>
      </w:pPr>
    </w:lvl>
    <w:lvl w:ilvl="8" w:tplc="080A001B" w:tentative="1">
      <w:start w:val="1"/>
      <w:numFmt w:val="lowerRoman"/>
      <w:lvlText w:val="%9."/>
      <w:lvlJc w:val="right"/>
      <w:pPr>
        <w:ind w:left="6750" w:hanging="180"/>
      </w:pPr>
    </w:lvl>
  </w:abstractNum>
  <w:abstractNum w:abstractNumId="4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5D7D4B9D"/>
    <w:multiLevelType w:val="hybridMultilevel"/>
    <w:tmpl w:val="8C16CD56"/>
    <w:lvl w:ilvl="0" w:tplc="9E0CAF0C">
      <w:start w:val="1"/>
      <w:numFmt w:val="decimal"/>
      <w:lvlText w:val="%1."/>
      <w:lvlJc w:val="left"/>
      <w:pPr>
        <w:ind w:left="720" w:hanging="360"/>
      </w:pPr>
      <w:rPr>
        <w:rFonts w:ascii="Cambria" w:hAnsi="Cambri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15:restartNumberingAfterBreak="0">
    <w:nsid w:val="67A33700"/>
    <w:multiLevelType w:val="hybridMultilevel"/>
    <w:tmpl w:val="62F6EE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7" w15:restartNumberingAfterBreak="0">
    <w:nsid w:val="6BCD5BE3"/>
    <w:multiLevelType w:val="hybridMultilevel"/>
    <w:tmpl w:val="72047EFE"/>
    <w:lvl w:ilvl="0" w:tplc="B36A5A6C">
      <w:start w:val="1"/>
      <w:numFmt w:val="decimal"/>
      <w:lvlText w:val="%1."/>
      <w:lvlJc w:val="left"/>
      <w:pPr>
        <w:ind w:left="990" w:hanging="360"/>
      </w:pPr>
      <w:rPr>
        <w:rFonts w:asciiTheme="majorHAnsi" w:eastAsia="Times New Roman" w:hAnsiTheme="majorHAnsi" w:cs="Arial" w:hint="default"/>
        <w:color w:val="auto"/>
      </w:rPr>
    </w:lvl>
    <w:lvl w:ilvl="1" w:tplc="080A0019" w:tentative="1">
      <w:start w:val="1"/>
      <w:numFmt w:val="lowerLetter"/>
      <w:lvlText w:val="%2."/>
      <w:lvlJc w:val="left"/>
      <w:pPr>
        <w:ind w:left="1710" w:hanging="360"/>
      </w:pPr>
    </w:lvl>
    <w:lvl w:ilvl="2" w:tplc="080A001B" w:tentative="1">
      <w:start w:val="1"/>
      <w:numFmt w:val="lowerRoman"/>
      <w:lvlText w:val="%3."/>
      <w:lvlJc w:val="right"/>
      <w:pPr>
        <w:ind w:left="2430" w:hanging="180"/>
      </w:pPr>
    </w:lvl>
    <w:lvl w:ilvl="3" w:tplc="080A000F" w:tentative="1">
      <w:start w:val="1"/>
      <w:numFmt w:val="decimal"/>
      <w:lvlText w:val="%4."/>
      <w:lvlJc w:val="left"/>
      <w:pPr>
        <w:ind w:left="3150" w:hanging="360"/>
      </w:pPr>
    </w:lvl>
    <w:lvl w:ilvl="4" w:tplc="080A0019" w:tentative="1">
      <w:start w:val="1"/>
      <w:numFmt w:val="lowerLetter"/>
      <w:lvlText w:val="%5."/>
      <w:lvlJc w:val="left"/>
      <w:pPr>
        <w:ind w:left="3870" w:hanging="360"/>
      </w:pPr>
    </w:lvl>
    <w:lvl w:ilvl="5" w:tplc="080A001B" w:tentative="1">
      <w:start w:val="1"/>
      <w:numFmt w:val="lowerRoman"/>
      <w:lvlText w:val="%6."/>
      <w:lvlJc w:val="right"/>
      <w:pPr>
        <w:ind w:left="4590" w:hanging="180"/>
      </w:pPr>
    </w:lvl>
    <w:lvl w:ilvl="6" w:tplc="080A000F" w:tentative="1">
      <w:start w:val="1"/>
      <w:numFmt w:val="decimal"/>
      <w:lvlText w:val="%7."/>
      <w:lvlJc w:val="left"/>
      <w:pPr>
        <w:ind w:left="5310" w:hanging="360"/>
      </w:pPr>
    </w:lvl>
    <w:lvl w:ilvl="7" w:tplc="080A0019" w:tentative="1">
      <w:start w:val="1"/>
      <w:numFmt w:val="lowerLetter"/>
      <w:lvlText w:val="%8."/>
      <w:lvlJc w:val="left"/>
      <w:pPr>
        <w:ind w:left="6030" w:hanging="360"/>
      </w:pPr>
    </w:lvl>
    <w:lvl w:ilvl="8" w:tplc="080A001B" w:tentative="1">
      <w:start w:val="1"/>
      <w:numFmt w:val="lowerRoman"/>
      <w:lvlText w:val="%9."/>
      <w:lvlJc w:val="right"/>
      <w:pPr>
        <w:ind w:left="6750" w:hanging="180"/>
      </w:pPr>
    </w:lvl>
  </w:abstractNum>
  <w:abstractNum w:abstractNumId="5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0786ED7"/>
    <w:multiLevelType w:val="hybridMultilevel"/>
    <w:tmpl w:val="0004DB54"/>
    <w:lvl w:ilvl="0" w:tplc="69020C3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DAB6E53"/>
    <w:multiLevelType w:val="hybridMultilevel"/>
    <w:tmpl w:val="BEC2BCDC"/>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3353910">
    <w:abstractNumId w:val="4"/>
  </w:num>
  <w:num w:numId="2" w16cid:durableId="1729068123">
    <w:abstractNumId w:val="6"/>
  </w:num>
  <w:num w:numId="3" w16cid:durableId="1375345966">
    <w:abstractNumId w:val="62"/>
  </w:num>
  <w:num w:numId="4" w16cid:durableId="706610150">
    <w:abstractNumId w:val="25"/>
  </w:num>
  <w:num w:numId="5" w16cid:durableId="1986619226">
    <w:abstractNumId w:val="54"/>
  </w:num>
  <w:num w:numId="6" w16cid:durableId="1115561120">
    <w:abstractNumId w:val="31"/>
  </w:num>
  <w:num w:numId="7" w16cid:durableId="1111588808">
    <w:abstractNumId w:val="7"/>
  </w:num>
  <w:num w:numId="8" w16cid:durableId="293945811">
    <w:abstractNumId w:val="20"/>
  </w:num>
  <w:num w:numId="9" w16cid:durableId="260993671">
    <w:abstractNumId w:val="49"/>
  </w:num>
  <w:num w:numId="10" w16cid:durableId="569539533">
    <w:abstractNumId w:val="0"/>
  </w:num>
  <w:num w:numId="11" w16cid:durableId="2121100377">
    <w:abstractNumId w:val="43"/>
  </w:num>
  <w:num w:numId="12" w16cid:durableId="1451972621">
    <w:abstractNumId w:val="44"/>
  </w:num>
  <w:num w:numId="13" w16cid:durableId="1325359585">
    <w:abstractNumId w:val="50"/>
  </w:num>
  <w:num w:numId="14" w16cid:durableId="9189332">
    <w:abstractNumId w:val="1"/>
  </w:num>
  <w:num w:numId="15" w16cid:durableId="1125780932">
    <w:abstractNumId w:val="2"/>
  </w:num>
  <w:num w:numId="16" w16cid:durableId="1291128833">
    <w:abstractNumId w:val="8"/>
  </w:num>
  <w:num w:numId="17" w16cid:durableId="1251083018">
    <w:abstractNumId w:val="9"/>
  </w:num>
  <w:num w:numId="18" w16cid:durableId="1304189168">
    <w:abstractNumId w:val="10"/>
  </w:num>
  <w:num w:numId="19" w16cid:durableId="968709998">
    <w:abstractNumId w:val="11"/>
  </w:num>
  <w:num w:numId="20" w16cid:durableId="2105953832">
    <w:abstractNumId w:val="12"/>
  </w:num>
  <w:num w:numId="21" w16cid:durableId="283971939">
    <w:abstractNumId w:val="13"/>
  </w:num>
  <w:num w:numId="22" w16cid:durableId="795757884">
    <w:abstractNumId w:val="14"/>
  </w:num>
  <w:num w:numId="23" w16cid:durableId="1086729333">
    <w:abstractNumId w:val="16"/>
  </w:num>
  <w:num w:numId="24" w16cid:durableId="824515401">
    <w:abstractNumId w:val="17"/>
  </w:num>
  <w:num w:numId="25" w16cid:durableId="213582382">
    <w:abstractNumId w:val="21"/>
  </w:num>
  <w:num w:numId="26" w16cid:durableId="1612124471">
    <w:abstractNumId w:val="22"/>
  </w:num>
  <w:num w:numId="27" w16cid:durableId="1348405265">
    <w:abstractNumId w:val="26"/>
  </w:num>
  <w:num w:numId="28" w16cid:durableId="678774505">
    <w:abstractNumId w:val="27"/>
  </w:num>
  <w:num w:numId="29" w16cid:durableId="85152206">
    <w:abstractNumId w:val="28"/>
  </w:num>
  <w:num w:numId="30" w16cid:durableId="670640941">
    <w:abstractNumId w:val="30"/>
  </w:num>
  <w:num w:numId="31" w16cid:durableId="1390224799">
    <w:abstractNumId w:val="32"/>
  </w:num>
  <w:num w:numId="32" w16cid:durableId="1357539718">
    <w:abstractNumId w:val="33"/>
  </w:num>
  <w:num w:numId="33" w16cid:durableId="934248420">
    <w:abstractNumId w:val="34"/>
  </w:num>
  <w:num w:numId="34" w16cid:durableId="836192125">
    <w:abstractNumId w:val="35"/>
  </w:num>
  <w:num w:numId="35" w16cid:durableId="272591383">
    <w:abstractNumId w:val="36"/>
  </w:num>
  <w:num w:numId="36" w16cid:durableId="209148460">
    <w:abstractNumId w:val="38"/>
  </w:num>
  <w:num w:numId="37" w16cid:durableId="525481094">
    <w:abstractNumId w:val="40"/>
  </w:num>
  <w:num w:numId="38" w16cid:durableId="1498568626">
    <w:abstractNumId w:val="42"/>
  </w:num>
  <w:num w:numId="39" w16cid:durableId="137041053">
    <w:abstractNumId w:val="45"/>
  </w:num>
  <w:num w:numId="40" w16cid:durableId="1115371054">
    <w:abstractNumId w:val="46"/>
  </w:num>
  <w:num w:numId="41" w16cid:durableId="2143648434">
    <w:abstractNumId w:val="53"/>
  </w:num>
  <w:num w:numId="42" w16cid:durableId="9377911">
    <w:abstractNumId w:val="56"/>
  </w:num>
  <w:num w:numId="43" w16cid:durableId="1595627241">
    <w:abstractNumId w:val="58"/>
  </w:num>
  <w:num w:numId="44" w16cid:durableId="854736139">
    <w:abstractNumId w:val="60"/>
  </w:num>
  <w:num w:numId="45" w16cid:durableId="471679984">
    <w:abstractNumId w:val="61"/>
  </w:num>
  <w:num w:numId="46" w16cid:durableId="1351645499">
    <w:abstractNumId w:val="63"/>
  </w:num>
  <w:num w:numId="47" w16cid:durableId="497307725">
    <w:abstractNumId w:val="64"/>
  </w:num>
  <w:num w:numId="48" w16cid:durableId="1518348059">
    <w:abstractNumId w:val="65"/>
  </w:num>
  <w:num w:numId="49" w16cid:durableId="2089381878">
    <w:abstractNumId w:val="67"/>
  </w:num>
  <w:num w:numId="50" w16cid:durableId="1257328641">
    <w:abstractNumId w:val="68"/>
  </w:num>
  <w:num w:numId="51" w16cid:durableId="1509561794">
    <w:abstractNumId w:val="24"/>
  </w:num>
  <w:num w:numId="52" w16cid:durableId="990674680">
    <w:abstractNumId w:val="47"/>
  </w:num>
  <w:num w:numId="53" w16cid:durableId="766736016">
    <w:abstractNumId w:val="59"/>
  </w:num>
  <w:num w:numId="54" w16cid:durableId="650980740">
    <w:abstractNumId w:val="51"/>
  </w:num>
  <w:num w:numId="55" w16cid:durableId="1654143934">
    <w:abstractNumId w:val="29"/>
  </w:num>
  <w:num w:numId="56" w16cid:durableId="991980105">
    <w:abstractNumId w:val="19"/>
  </w:num>
  <w:num w:numId="57" w16cid:durableId="1504471011">
    <w:abstractNumId w:val="52"/>
  </w:num>
  <w:num w:numId="58" w16cid:durableId="1176191475">
    <w:abstractNumId w:val="23"/>
  </w:num>
  <w:num w:numId="59" w16cid:durableId="1296256122">
    <w:abstractNumId w:val="39"/>
  </w:num>
  <w:num w:numId="60" w16cid:durableId="698506312">
    <w:abstractNumId w:val="66"/>
  </w:num>
  <w:num w:numId="61" w16cid:durableId="1284310939">
    <w:abstractNumId w:val="18"/>
  </w:num>
  <w:num w:numId="62" w16cid:durableId="609123318">
    <w:abstractNumId w:val="37"/>
  </w:num>
  <w:num w:numId="63" w16cid:durableId="964848664">
    <w:abstractNumId w:val="41"/>
  </w:num>
  <w:num w:numId="64" w16cid:durableId="1767264201">
    <w:abstractNumId w:val="5"/>
  </w:num>
  <w:num w:numId="65" w16cid:durableId="1691025748">
    <w:abstractNumId w:val="19"/>
    <w:lvlOverride w:ilvl="0">
      <w:startOverride w:val="1"/>
    </w:lvlOverride>
  </w:num>
  <w:num w:numId="66" w16cid:durableId="281571654">
    <w:abstractNumId w:val="19"/>
    <w:lvlOverride w:ilvl="0">
      <w:startOverride w:val="1"/>
    </w:lvlOverride>
  </w:num>
  <w:num w:numId="67" w16cid:durableId="1807039775">
    <w:abstractNumId w:val="18"/>
    <w:lvlOverride w:ilvl="0">
      <w:startOverride w:val="1"/>
    </w:lvlOverride>
  </w:num>
  <w:num w:numId="68" w16cid:durableId="190388512">
    <w:abstractNumId w:val="18"/>
    <w:lvlOverride w:ilvl="0">
      <w:startOverride w:val="1"/>
    </w:lvlOverride>
  </w:num>
  <w:num w:numId="69" w16cid:durableId="66223765">
    <w:abstractNumId w:val="18"/>
    <w:lvlOverride w:ilvl="0">
      <w:startOverride w:val="1"/>
    </w:lvlOverride>
  </w:num>
  <w:num w:numId="70" w16cid:durableId="1442340443">
    <w:abstractNumId w:val="3"/>
  </w:num>
  <w:num w:numId="71" w16cid:durableId="620840071">
    <w:abstractNumId w:val="48"/>
  </w:num>
  <w:num w:numId="72" w16cid:durableId="2113820856">
    <w:abstractNumId w:val="15"/>
  </w:num>
  <w:num w:numId="73" w16cid:durableId="1243374026">
    <w:abstractNumId w:val="57"/>
  </w:num>
  <w:num w:numId="74" w16cid:durableId="1191146718">
    <w:abstractNumId w:val="5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6" w:nlCheck="1" w:checkStyle="0"/>
  <w:activeWritingStyle w:appName="MSWord" w:lang="es-MX" w:vendorID="64" w:dllVersion="6" w:nlCheck="1" w:checkStyle="1"/>
  <w:activeWritingStyle w:appName="MSWord" w:lang="en-US"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US" w:vendorID="64" w:dllVersion="6" w:nlCheck="1" w:checkStyle="1"/>
  <w:activeWritingStyle w:appName="MSWord" w:lang="es-CO" w:vendorID="64" w:dllVersion="6" w:nlCheck="1" w:checkStyle="1"/>
  <w:activeWritingStyle w:appName="MSWord" w:lang="es-VE" w:vendorID="64" w:dllVersion="6" w:nlCheck="1" w:checkStyle="0"/>
  <w:activeWritingStyle w:appName="MSWord" w:lang="es-PY" w:vendorID="64" w:dllVersion="6" w:nlCheck="1" w:checkStyle="0"/>
  <w:activeWritingStyle w:appName="MSWord" w:lang="es-AR" w:vendorID="64" w:dllVersion="6" w:nlCheck="1" w:checkStyle="0"/>
  <w:activeWritingStyle w:appName="MSWord" w:lang="es-MX" w:vendorID="64" w:dllVersion="0" w:nlCheck="1" w:checkStyle="0"/>
  <w:activeWritingStyle w:appName="MSWord" w:lang="es-US"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es-CO" w:vendorID="64" w:dllVersion="0" w:nlCheck="1" w:checkStyle="0"/>
  <w:activeWritingStyle w:appName="MSWord" w:lang="es-VE"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U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10D0"/>
    <w:rsid w:val="00003EAE"/>
    <w:rsid w:val="00006896"/>
    <w:rsid w:val="00006E1F"/>
    <w:rsid w:val="000070D7"/>
    <w:rsid w:val="00011F7A"/>
    <w:rsid w:val="000158FD"/>
    <w:rsid w:val="0001768F"/>
    <w:rsid w:val="0001788C"/>
    <w:rsid w:val="00021823"/>
    <w:rsid w:val="00021F60"/>
    <w:rsid w:val="000221BF"/>
    <w:rsid w:val="0002386B"/>
    <w:rsid w:val="00023D06"/>
    <w:rsid w:val="00026BBF"/>
    <w:rsid w:val="00027D21"/>
    <w:rsid w:val="00030005"/>
    <w:rsid w:val="00033385"/>
    <w:rsid w:val="000348B9"/>
    <w:rsid w:val="00035EB7"/>
    <w:rsid w:val="00036743"/>
    <w:rsid w:val="0003735A"/>
    <w:rsid w:val="00040688"/>
    <w:rsid w:val="000407DD"/>
    <w:rsid w:val="00040C3A"/>
    <w:rsid w:val="00041D89"/>
    <w:rsid w:val="00042D56"/>
    <w:rsid w:val="000452BB"/>
    <w:rsid w:val="00047C96"/>
    <w:rsid w:val="000529E6"/>
    <w:rsid w:val="00053FF6"/>
    <w:rsid w:val="00061015"/>
    <w:rsid w:val="00061033"/>
    <w:rsid w:val="0006150F"/>
    <w:rsid w:val="00061928"/>
    <w:rsid w:val="00062716"/>
    <w:rsid w:val="000674CA"/>
    <w:rsid w:val="00067A5D"/>
    <w:rsid w:val="000716C5"/>
    <w:rsid w:val="00072D79"/>
    <w:rsid w:val="000739C0"/>
    <w:rsid w:val="0007406B"/>
    <w:rsid w:val="0007574A"/>
    <w:rsid w:val="00075E23"/>
    <w:rsid w:val="00076366"/>
    <w:rsid w:val="0007768D"/>
    <w:rsid w:val="00080010"/>
    <w:rsid w:val="0008127A"/>
    <w:rsid w:val="00081F38"/>
    <w:rsid w:val="00082136"/>
    <w:rsid w:val="00083EB4"/>
    <w:rsid w:val="0008768F"/>
    <w:rsid w:val="0009344A"/>
    <w:rsid w:val="00097572"/>
    <w:rsid w:val="000A1028"/>
    <w:rsid w:val="000A26D9"/>
    <w:rsid w:val="000A3625"/>
    <w:rsid w:val="000A392E"/>
    <w:rsid w:val="000A45D4"/>
    <w:rsid w:val="000A575F"/>
    <w:rsid w:val="000A576A"/>
    <w:rsid w:val="000B3507"/>
    <w:rsid w:val="000B6985"/>
    <w:rsid w:val="000C001B"/>
    <w:rsid w:val="000C12D5"/>
    <w:rsid w:val="000C23B5"/>
    <w:rsid w:val="000C35D2"/>
    <w:rsid w:val="000D10DB"/>
    <w:rsid w:val="000D29E1"/>
    <w:rsid w:val="000D50EB"/>
    <w:rsid w:val="000E027A"/>
    <w:rsid w:val="000E0756"/>
    <w:rsid w:val="000E378E"/>
    <w:rsid w:val="000E5EB5"/>
    <w:rsid w:val="000E67BE"/>
    <w:rsid w:val="000E67CA"/>
    <w:rsid w:val="000F2541"/>
    <w:rsid w:val="000F33EC"/>
    <w:rsid w:val="000F35ED"/>
    <w:rsid w:val="000F52DA"/>
    <w:rsid w:val="000F5CE1"/>
    <w:rsid w:val="000F673E"/>
    <w:rsid w:val="000F6AB8"/>
    <w:rsid w:val="000F737B"/>
    <w:rsid w:val="001009FE"/>
    <w:rsid w:val="00103579"/>
    <w:rsid w:val="00106AEF"/>
    <w:rsid w:val="00107131"/>
    <w:rsid w:val="0010736F"/>
    <w:rsid w:val="00107D15"/>
    <w:rsid w:val="0011043A"/>
    <w:rsid w:val="001131CF"/>
    <w:rsid w:val="00113F73"/>
    <w:rsid w:val="00115808"/>
    <w:rsid w:val="00115A67"/>
    <w:rsid w:val="00116313"/>
    <w:rsid w:val="00121CC2"/>
    <w:rsid w:val="001264D7"/>
    <w:rsid w:val="00126DEE"/>
    <w:rsid w:val="00127B4D"/>
    <w:rsid w:val="00133EE5"/>
    <w:rsid w:val="001371D1"/>
    <w:rsid w:val="00141708"/>
    <w:rsid w:val="001455CC"/>
    <w:rsid w:val="001523BA"/>
    <w:rsid w:val="00152A25"/>
    <w:rsid w:val="00154218"/>
    <w:rsid w:val="001559D8"/>
    <w:rsid w:val="00156B10"/>
    <w:rsid w:val="00160396"/>
    <w:rsid w:val="00160A67"/>
    <w:rsid w:val="00164335"/>
    <w:rsid w:val="00166189"/>
    <w:rsid w:val="00166E8A"/>
    <w:rsid w:val="00167A34"/>
    <w:rsid w:val="00171038"/>
    <w:rsid w:val="00172F1D"/>
    <w:rsid w:val="00175E61"/>
    <w:rsid w:val="00181F34"/>
    <w:rsid w:val="00185E46"/>
    <w:rsid w:val="001867BE"/>
    <w:rsid w:val="0019065A"/>
    <w:rsid w:val="001937FB"/>
    <w:rsid w:val="00195CEE"/>
    <w:rsid w:val="00195E24"/>
    <w:rsid w:val="00197609"/>
    <w:rsid w:val="00197C52"/>
    <w:rsid w:val="001A0B84"/>
    <w:rsid w:val="001A104F"/>
    <w:rsid w:val="001A21C0"/>
    <w:rsid w:val="001A574D"/>
    <w:rsid w:val="001A61D4"/>
    <w:rsid w:val="001A6931"/>
    <w:rsid w:val="001A7621"/>
    <w:rsid w:val="001A7870"/>
    <w:rsid w:val="001B4CEA"/>
    <w:rsid w:val="001B61A5"/>
    <w:rsid w:val="001C103F"/>
    <w:rsid w:val="001C1B41"/>
    <w:rsid w:val="001C7FB7"/>
    <w:rsid w:val="001D0DBA"/>
    <w:rsid w:val="001D18C7"/>
    <w:rsid w:val="001D1D61"/>
    <w:rsid w:val="001D322A"/>
    <w:rsid w:val="001D432B"/>
    <w:rsid w:val="001D65EF"/>
    <w:rsid w:val="001D6B70"/>
    <w:rsid w:val="001E15B6"/>
    <w:rsid w:val="001E2708"/>
    <w:rsid w:val="001F47CF"/>
    <w:rsid w:val="001F74C7"/>
    <w:rsid w:val="001F7816"/>
    <w:rsid w:val="00200AC7"/>
    <w:rsid w:val="00201280"/>
    <w:rsid w:val="00202457"/>
    <w:rsid w:val="002033F1"/>
    <w:rsid w:val="0020342F"/>
    <w:rsid w:val="00204B61"/>
    <w:rsid w:val="002055A8"/>
    <w:rsid w:val="00211404"/>
    <w:rsid w:val="00211C0E"/>
    <w:rsid w:val="0021491E"/>
    <w:rsid w:val="0021512C"/>
    <w:rsid w:val="0022061B"/>
    <w:rsid w:val="002213F5"/>
    <w:rsid w:val="0022141D"/>
    <w:rsid w:val="002217D1"/>
    <w:rsid w:val="00221844"/>
    <w:rsid w:val="002220E7"/>
    <w:rsid w:val="002223F7"/>
    <w:rsid w:val="002250A3"/>
    <w:rsid w:val="0022518C"/>
    <w:rsid w:val="00230149"/>
    <w:rsid w:val="00230663"/>
    <w:rsid w:val="00233FFF"/>
    <w:rsid w:val="00235217"/>
    <w:rsid w:val="00241FA3"/>
    <w:rsid w:val="002428C9"/>
    <w:rsid w:val="00246D1F"/>
    <w:rsid w:val="00247403"/>
    <w:rsid w:val="00247542"/>
    <w:rsid w:val="00254A68"/>
    <w:rsid w:val="00254B28"/>
    <w:rsid w:val="0026043F"/>
    <w:rsid w:val="002644EF"/>
    <w:rsid w:val="00264927"/>
    <w:rsid w:val="00266B61"/>
    <w:rsid w:val="0026712A"/>
    <w:rsid w:val="00267BB0"/>
    <w:rsid w:val="002704DB"/>
    <w:rsid w:val="00270F08"/>
    <w:rsid w:val="00273F34"/>
    <w:rsid w:val="00276DF8"/>
    <w:rsid w:val="0027743B"/>
    <w:rsid w:val="00277EF9"/>
    <w:rsid w:val="00280367"/>
    <w:rsid w:val="002827DD"/>
    <w:rsid w:val="002835FC"/>
    <w:rsid w:val="0028545F"/>
    <w:rsid w:val="00285D44"/>
    <w:rsid w:val="00285F64"/>
    <w:rsid w:val="00286F31"/>
    <w:rsid w:val="00290066"/>
    <w:rsid w:val="00292BEC"/>
    <w:rsid w:val="0029564F"/>
    <w:rsid w:val="00295B16"/>
    <w:rsid w:val="002A0AAE"/>
    <w:rsid w:val="002A356F"/>
    <w:rsid w:val="002A55D2"/>
    <w:rsid w:val="002A5820"/>
    <w:rsid w:val="002B762A"/>
    <w:rsid w:val="002C1CF7"/>
    <w:rsid w:val="002D11F9"/>
    <w:rsid w:val="002D19F8"/>
    <w:rsid w:val="002D24FE"/>
    <w:rsid w:val="002D2B26"/>
    <w:rsid w:val="002D3781"/>
    <w:rsid w:val="002D5EDD"/>
    <w:rsid w:val="002D6E83"/>
    <w:rsid w:val="002D7475"/>
    <w:rsid w:val="002D7CF5"/>
    <w:rsid w:val="002D7EA2"/>
    <w:rsid w:val="002E187C"/>
    <w:rsid w:val="002E4AEA"/>
    <w:rsid w:val="002F0508"/>
    <w:rsid w:val="002F4455"/>
    <w:rsid w:val="002F5EAE"/>
    <w:rsid w:val="002F670D"/>
    <w:rsid w:val="002F7031"/>
    <w:rsid w:val="00300D20"/>
    <w:rsid w:val="00301BB2"/>
    <w:rsid w:val="00302496"/>
    <w:rsid w:val="00302733"/>
    <w:rsid w:val="00303D52"/>
    <w:rsid w:val="00307ABC"/>
    <w:rsid w:val="00307D49"/>
    <w:rsid w:val="00310943"/>
    <w:rsid w:val="00314078"/>
    <w:rsid w:val="00314DC4"/>
    <w:rsid w:val="0031535D"/>
    <w:rsid w:val="00315AFE"/>
    <w:rsid w:val="003165B5"/>
    <w:rsid w:val="00317212"/>
    <w:rsid w:val="00317A3E"/>
    <w:rsid w:val="00323EBA"/>
    <w:rsid w:val="00324F10"/>
    <w:rsid w:val="0033028D"/>
    <w:rsid w:val="0033169F"/>
    <w:rsid w:val="003323D3"/>
    <w:rsid w:val="003330E1"/>
    <w:rsid w:val="00334557"/>
    <w:rsid w:val="00334708"/>
    <w:rsid w:val="00337493"/>
    <w:rsid w:val="00346C95"/>
    <w:rsid w:val="00347146"/>
    <w:rsid w:val="00354A4F"/>
    <w:rsid w:val="00354A53"/>
    <w:rsid w:val="00355DEC"/>
    <w:rsid w:val="00356185"/>
    <w:rsid w:val="00356384"/>
    <w:rsid w:val="00357129"/>
    <w:rsid w:val="00357583"/>
    <w:rsid w:val="00357687"/>
    <w:rsid w:val="00360380"/>
    <w:rsid w:val="00361415"/>
    <w:rsid w:val="00364C37"/>
    <w:rsid w:val="00364D7D"/>
    <w:rsid w:val="00365507"/>
    <w:rsid w:val="00365872"/>
    <w:rsid w:val="00365881"/>
    <w:rsid w:val="00366F13"/>
    <w:rsid w:val="00366F3B"/>
    <w:rsid w:val="0037519E"/>
    <w:rsid w:val="00376318"/>
    <w:rsid w:val="00376A0A"/>
    <w:rsid w:val="0038318E"/>
    <w:rsid w:val="003844D9"/>
    <w:rsid w:val="00384CFD"/>
    <w:rsid w:val="00385778"/>
    <w:rsid w:val="00385F5F"/>
    <w:rsid w:val="00386CF0"/>
    <w:rsid w:val="00387B53"/>
    <w:rsid w:val="003911CD"/>
    <w:rsid w:val="00391CFB"/>
    <w:rsid w:val="00391E9F"/>
    <w:rsid w:val="00392538"/>
    <w:rsid w:val="0039296E"/>
    <w:rsid w:val="003978AA"/>
    <w:rsid w:val="003A2535"/>
    <w:rsid w:val="003A2A80"/>
    <w:rsid w:val="003A313B"/>
    <w:rsid w:val="003A73FD"/>
    <w:rsid w:val="003A78FE"/>
    <w:rsid w:val="003A7B1E"/>
    <w:rsid w:val="003B0CF5"/>
    <w:rsid w:val="003B62DD"/>
    <w:rsid w:val="003B7CD0"/>
    <w:rsid w:val="003C1D95"/>
    <w:rsid w:val="003C5913"/>
    <w:rsid w:val="003C676B"/>
    <w:rsid w:val="003D3BC2"/>
    <w:rsid w:val="003D67C7"/>
    <w:rsid w:val="003D6857"/>
    <w:rsid w:val="003D75DE"/>
    <w:rsid w:val="003D7C03"/>
    <w:rsid w:val="003E0CB1"/>
    <w:rsid w:val="003E1090"/>
    <w:rsid w:val="003E432F"/>
    <w:rsid w:val="003E54CE"/>
    <w:rsid w:val="003E6169"/>
    <w:rsid w:val="003E6CA1"/>
    <w:rsid w:val="003E7E1A"/>
    <w:rsid w:val="003F2BC8"/>
    <w:rsid w:val="003F634D"/>
    <w:rsid w:val="003F71D7"/>
    <w:rsid w:val="003F7263"/>
    <w:rsid w:val="003F75F8"/>
    <w:rsid w:val="00404714"/>
    <w:rsid w:val="004078DB"/>
    <w:rsid w:val="00407E20"/>
    <w:rsid w:val="00411606"/>
    <w:rsid w:val="0041307C"/>
    <w:rsid w:val="00414B18"/>
    <w:rsid w:val="004165C2"/>
    <w:rsid w:val="00416FAB"/>
    <w:rsid w:val="00416FDD"/>
    <w:rsid w:val="00417E7D"/>
    <w:rsid w:val="00421341"/>
    <w:rsid w:val="00423CF1"/>
    <w:rsid w:val="004251A4"/>
    <w:rsid w:val="00426114"/>
    <w:rsid w:val="00434DA4"/>
    <w:rsid w:val="00435683"/>
    <w:rsid w:val="004366F2"/>
    <w:rsid w:val="00437655"/>
    <w:rsid w:val="00441ECB"/>
    <w:rsid w:val="00444893"/>
    <w:rsid w:val="004467F0"/>
    <w:rsid w:val="0045076B"/>
    <w:rsid w:val="0045141A"/>
    <w:rsid w:val="004517A6"/>
    <w:rsid w:val="00452BBE"/>
    <w:rsid w:val="00456565"/>
    <w:rsid w:val="00456935"/>
    <w:rsid w:val="004613A4"/>
    <w:rsid w:val="004638AC"/>
    <w:rsid w:val="00465766"/>
    <w:rsid w:val="00465E78"/>
    <w:rsid w:val="00467B7E"/>
    <w:rsid w:val="00471C73"/>
    <w:rsid w:val="00477592"/>
    <w:rsid w:val="00477B33"/>
    <w:rsid w:val="00477BBF"/>
    <w:rsid w:val="00482EC8"/>
    <w:rsid w:val="004842F3"/>
    <w:rsid w:val="004851EF"/>
    <w:rsid w:val="00485B3D"/>
    <w:rsid w:val="00485D90"/>
    <w:rsid w:val="00486F1C"/>
    <w:rsid w:val="004905CE"/>
    <w:rsid w:val="004909C1"/>
    <w:rsid w:val="00491C6E"/>
    <w:rsid w:val="004921CF"/>
    <w:rsid w:val="0049419D"/>
    <w:rsid w:val="004969F4"/>
    <w:rsid w:val="00497BE1"/>
    <w:rsid w:val="004A189A"/>
    <w:rsid w:val="004A4752"/>
    <w:rsid w:val="004A476E"/>
    <w:rsid w:val="004A55EF"/>
    <w:rsid w:val="004A6AA9"/>
    <w:rsid w:val="004A7BB5"/>
    <w:rsid w:val="004B0BF9"/>
    <w:rsid w:val="004B0D5B"/>
    <w:rsid w:val="004B185F"/>
    <w:rsid w:val="004B2C4A"/>
    <w:rsid w:val="004B2C6C"/>
    <w:rsid w:val="004B400F"/>
    <w:rsid w:val="004B474F"/>
    <w:rsid w:val="004B5EB2"/>
    <w:rsid w:val="004B6732"/>
    <w:rsid w:val="004C1A92"/>
    <w:rsid w:val="004C20D2"/>
    <w:rsid w:val="004C46A8"/>
    <w:rsid w:val="004C4B62"/>
    <w:rsid w:val="004C54C9"/>
    <w:rsid w:val="004C5A00"/>
    <w:rsid w:val="004C790D"/>
    <w:rsid w:val="004C7FA7"/>
    <w:rsid w:val="004D195F"/>
    <w:rsid w:val="004D2720"/>
    <w:rsid w:val="004D6025"/>
    <w:rsid w:val="004D6618"/>
    <w:rsid w:val="004E09A3"/>
    <w:rsid w:val="004E1083"/>
    <w:rsid w:val="004E1C3A"/>
    <w:rsid w:val="004E1F12"/>
    <w:rsid w:val="004E2649"/>
    <w:rsid w:val="004E56A9"/>
    <w:rsid w:val="004F04D1"/>
    <w:rsid w:val="004F47A6"/>
    <w:rsid w:val="004F627D"/>
    <w:rsid w:val="005000F0"/>
    <w:rsid w:val="00501399"/>
    <w:rsid w:val="0050166D"/>
    <w:rsid w:val="005056C0"/>
    <w:rsid w:val="00505ADB"/>
    <w:rsid w:val="0050633D"/>
    <w:rsid w:val="00507BC4"/>
    <w:rsid w:val="00510EF6"/>
    <w:rsid w:val="005128E4"/>
    <w:rsid w:val="00512FFC"/>
    <w:rsid w:val="005133DB"/>
    <w:rsid w:val="00516FEE"/>
    <w:rsid w:val="00521E91"/>
    <w:rsid w:val="00522F1B"/>
    <w:rsid w:val="00525560"/>
    <w:rsid w:val="00527CC2"/>
    <w:rsid w:val="00530255"/>
    <w:rsid w:val="00532F71"/>
    <w:rsid w:val="0053301D"/>
    <w:rsid w:val="005354F3"/>
    <w:rsid w:val="00536923"/>
    <w:rsid w:val="00537A2E"/>
    <w:rsid w:val="0054078D"/>
    <w:rsid w:val="00541904"/>
    <w:rsid w:val="005430CE"/>
    <w:rsid w:val="005442B4"/>
    <w:rsid w:val="00544C49"/>
    <w:rsid w:val="00550F33"/>
    <w:rsid w:val="005515FA"/>
    <w:rsid w:val="005516A1"/>
    <w:rsid w:val="00554208"/>
    <w:rsid w:val="00554D48"/>
    <w:rsid w:val="00555EA8"/>
    <w:rsid w:val="00556150"/>
    <w:rsid w:val="00556967"/>
    <w:rsid w:val="00557BB8"/>
    <w:rsid w:val="00561636"/>
    <w:rsid w:val="00561713"/>
    <w:rsid w:val="005617BA"/>
    <w:rsid w:val="00562D5A"/>
    <w:rsid w:val="0056414B"/>
    <w:rsid w:val="00565744"/>
    <w:rsid w:val="00565D65"/>
    <w:rsid w:val="005668B9"/>
    <w:rsid w:val="00567E4C"/>
    <w:rsid w:val="00570482"/>
    <w:rsid w:val="0057337E"/>
    <w:rsid w:val="0057402A"/>
    <w:rsid w:val="00574440"/>
    <w:rsid w:val="00574915"/>
    <w:rsid w:val="00575B61"/>
    <w:rsid w:val="00575F2F"/>
    <w:rsid w:val="005766F7"/>
    <w:rsid w:val="005769F3"/>
    <w:rsid w:val="005771D0"/>
    <w:rsid w:val="005806FF"/>
    <w:rsid w:val="005835F2"/>
    <w:rsid w:val="00590144"/>
    <w:rsid w:val="00591189"/>
    <w:rsid w:val="0059191A"/>
    <w:rsid w:val="005921FF"/>
    <w:rsid w:val="005937F1"/>
    <w:rsid w:val="00595C1D"/>
    <w:rsid w:val="0059627A"/>
    <w:rsid w:val="00597BF7"/>
    <w:rsid w:val="005A5693"/>
    <w:rsid w:val="005A6D0E"/>
    <w:rsid w:val="005B1F92"/>
    <w:rsid w:val="005B29F7"/>
    <w:rsid w:val="005B42FA"/>
    <w:rsid w:val="005B4B78"/>
    <w:rsid w:val="005B52B0"/>
    <w:rsid w:val="005B6806"/>
    <w:rsid w:val="005B7E29"/>
    <w:rsid w:val="005C1DF8"/>
    <w:rsid w:val="005C2784"/>
    <w:rsid w:val="005C4225"/>
    <w:rsid w:val="005C4CA5"/>
    <w:rsid w:val="005C6A92"/>
    <w:rsid w:val="005C7D94"/>
    <w:rsid w:val="005D0AC1"/>
    <w:rsid w:val="005D0DB1"/>
    <w:rsid w:val="005D1C65"/>
    <w:rsid w:val="005D2B55"/>
    <w:rsid w:val="005E3864"/>
    <w:rsid w:val="005E38F7"/>
    <w:rsid w:val="005E4AF8"/>
    <w:rsid w:val="005F09B6"/>
    <w:rsid w:val="005F0ADB"/>
    <w:rsid w:val="005F0DAD"/>
    <w:rsid w:val="005F0F33"/>
    <w:rsid w:val="005F17CA"/>
    <w:rsid w:val="005F1B3C"/>
    <w:rsid w:val="005F2093"/>
    <w:rsid w:val="005F309E"/>
    <w:rsid w:val="005F46B6"/>
    <w:rsid w:val="005F4FF2"/>
    <w:rsid w:val="005F59C4"/>
    <w:rsid w:val="005F6157"/>
    <w:rsid w:val="005F7CE3"/>
    <w:rsid w:val="005F7F4D"/>
    <w:rsid w:val="00600DEB"/>
    <w:rsid w:val="0060264D"/>
    <w:rsid w:val="0060301B"/>
    <w:rsid w:val="0060357E"/>
    <w:rsid w:val="00606319"/>
    <w:rsid w:val="006102BA"/>
    <w:rsid w:val="006125C3"/>
    <w:rsid w:val="00616F5F"/>
    <w:rsid w:val="006212E8"/>
    <w:rsid w:val="00624694"/>
    <w:rsid w:val="006266D6"/>
    <w:rsid w:val="006273A5"/>
    <w:rsid w:val="00627C9F"/>
    <w:rsid w:val="00627E5D"/>
    <w:rsid w:val="006307D0"/>
    <w:rsid w:val="006311E9"/>
    <w:rsid w:val="00632354"/>
    <w:rsid w:val="0063489A"/>
    <w:rsid w:val="0063693D"/>
    <w:rsid w:val="00641E9D"/>
    <w:rsid w:val="00642810"/>
    <w:rsid w:val="00642840"/>
    <w:rsid w:val="00645513"/>
    <w:rsid w:val="006456D9"/>
    <w:rsid w:val="0065085D"/>
    <w:rsid w:val="00651C3B"/>
    <w:rsid w:val="006522DA"/>
    <w:rsid w:val="00652333"/>
    <w:rsid w:val="006524A1"/>
    <w:rsid w:val="0065567C"/>
    <w:rsid w:val="00657B6C"/>
    <w:rsid w:val="006623E2"/>
    <w:rsid w:val="00664C42"/>
    <w:rsid w:val="00664D70"/>
    <w:rsid w:val="00665281"/>
    <w:rsid w:val="006669D7"/>
    <w:rsid w:val="006711E7"/>
    <w:rsid w:val="0067204E"/>
    <w:rsid w:val="006755BE"/>
    <w:rsid w:val="006760A4"/>
    <w:rsid w:val="00676C3F"/>
    <w:rsid w:val="0068009E"/>
    <w:rsid w:val="00680DA3"/>
    <w:rsid w:val="00692219"/>
    <w:rsid w:val="006925E3"/>
    <w:rsid w:val="00694118"/>
    <w:rsid w:val="006960A8"/>
    <w:rsid w:val="00697544"/>
    <w:rsid w:val="00697C57"/>
    <w:rsid w:val="006A17D0"/>
    <w:rsid w:val="006A17D2"/>
    <w:rsid w:val="006A36FF"/>
    <w:rsid w:val="006A3C04"/>
    <w:rsid w:val="006A3CE2"/>
    <w:rsid w:val="006A4B39"/>
    <w:rsid w:val="006A513B"/>
    <w:rsid w:val="006A73E6"/>
    <w:rsid w:val="006A7D2F"/>
    <w:rsid w:val="006B2D5C"/>
    <w:rsid w:val="006B4D40"/>
    <w:rsid w:val="006C04ED"/>
    <w:rsid w:val="006C1A20"/>
    <w:rsid w:val="006C1F80"/>
    <w:rsid w:val="006C46C5"/>
    <w:rsid w:val="006C4D15"/>
    <w:rsid w:val="006C4EB1"/>
    <w:rsid w:val="006C7091"/>
    <w:rsid w:val="006C7F3B"/>
    <w:rsid w:val="006D0244"/>
    <w:rsid w:val="006D05C6"/>
    <w:rsid w:val="006D7ED9"/>
    <w:rsid w:val="006E0166"/>
    <w:rsid w:val="006E255A"/>
    <w:rsid w:val="006E3524"/>
    <w:rsid w:val="006E5BF4"/>
    <w:rsid w:val="006E725E"/>
    <w:rsid w:val="006E7B34"/>
    <w:rsid w:val="006F393D"/>
    <w:rsid w:val="006F52C8"/>
    <w:rsid w:val="006F6DF6"/>
    <w:rsid w:val="006F7F5D"/>
    <w:rsid w:val="00705184"/>
    <w:rsid w:val="007057A5"/>
    <w:rsid w:val="0070697F"/>
    <w:rsid w:val="00706B52"/>
    <w:rsid w:val="00713271"/>
    <w:rsid w:val="0072199C"/>
    <w:rsid w:val="00722C9F"/>
    <w:rsid w:val="00724919"/>
    <w:rsid w:val="00724F4D"/>
    <w:rsid w:val="007253B8"/>
    <w:rsid w:val="007277AA"/>
    <w:rsid w:val="00730B2A"/>
    <w:rsid w:val="00735D43"/>
    <w:rsid w:val="0073631B"/>
    <w:rsid w:val="0073741F"/>
    <w:rsid w:val="0074306F"/>
    <w:rsid w:val="00743095"/>
    <w:rsid w:val="0074755C"/>
    <w:rsid w:val="007565B8"/>
    <w:rsid w:val="00757C21"/>
    <w:rsid w:val="00760B2F"/>
    <w:rsid w:val="007622BE"/>
    <w:rsid w:val="007632B2"/>
    <w:rsid w:val="00765154"/>
    <w:rsid w:val="0076580C"/>
    <w:rsid w:val="0076643F"/>
    <w:rsid w:val="00770A28"/>
    <w:rsid w:val="00772057"/>
    <w:rsid w:val="00773B3C"/>
    <w:rsid w:val="007749C7"/>
    <w:rsid w:val="00775F21"/>
    <w:rsid w:val="00777F63"/>
    <w:rsid w:val="00780B6B"/>
    <w:rsid w:val="00785686"/>
    <w:rsid w:val="00785F4D"/>
    <w:rsid w:val="0079293B"/>
    <w:rsid w:val="007A2C61"/>
    <w:rsid w:val="007A34DD"/>
    <w:rsid w:val="007A384B"/>
    <w:rsid w:val="007A5817"/>
    <w:rsid w:val="007B07BD"/>
    <w:rsid w:val="007B160C"/>
    <w:rsid w:val="007B22E1"/>
    <w:rsid w:val="007B551E"/>
    <w:rsid w:val="007B60E9"/>
    <w:rsid w:val="007B6CC3"/>
    <w:rsid w:val="007B75F7"/>
    <w:rsid w:val="007C16F9"/>
    <w:rsid w:val="007C3334"/>
    <w:rsid w:val="007C46FA"/>
    <w:rsid w:val="007C743F"/>
    <w:rsid w:val="007C756A"/>
    <w:rsid w:val="007C758D"/>
    <w:rsid w:val="007D174A"/>
    <w:rsid w:val="007D2B98"/>
    <w:rsid w:val="007D3F09"/>
    <w:rsid w:val="007D502A"/>
    <w:rsid w:val="007D6638"/>
    <w:rsid w:val="007E21BC"/>
    <w:rsid w:val="007E44C0"/>
    <w:rsid w:val="007E4AFF"/>
    <w:rsid w:val="007E7B84"/>
    <w:rsid w:val="007F00A3"/>
    <w:rsid w:val="007F23FF"/>
    <w:rsid w:val="007F3307"/>
    <w:rsid w:val="007F33E5"/>
    <w:rsid w:val="007F3E8C"/>
    <w:rsid w:val="007F5681"/>
    <w:rsid w:val="007F7E9A"/>
    <w:rsid w:val="0080283B"/>
    <w:rsid w:val="0080315F"/>
    <w:rsid w:val="00803F1C"/>
    <w:rsid w:val="00804048"/>
    <w:rsid w:val="0080600E"/>
    <w:rsid w:val="0080656E"/>
    <w:rsid w:val="00806D1B"/>
    <w:rsid w:val="00810948"/>
    <w:rsid w:val="008109F6"/>
    <w:rsid w:val="00815021"/>
    <w:rsid w:val="008158C2"/>
    <w:rsid w:val="00817612"/>
    <w:rsid w:val="00817647"/>
    <w:rsid w:val="00817FC8"/>
    <w:rsid w:val="008204D7"/>
    <w:rsid w:val="008217E6"/>
    <w:rsid w:val="0082472C"/>
    <w:rsid w:val="008266A7"/>
    <w:rsid w:val="00826B46"/>
    <w:rsid w:val="008300AA"/>
    <w:rsid w:val="00830B94"/>
    <w:rsid w:val="008333FF"/>
    <w:rsid w:val="008338A4"/>
    <w:rsid w:val="008338EE"/>
    <w:rsid w:val="00835285"/>
    <w:rsid w:val="0083716D"/>
    <w:rsid w:val="008374D7"/>
    <w:rsid w:val="00837C45"/>
    <w:rsid w:val="00842DAB"/>
    <w:rsid w:val="00843679"/>
    <w:rsid w:val="00844730"/>
    <w:rsid w:val="008457C2"/>
    <w:rsid w:val="00846F40"/>
    <w:rsid w:val="00851B5B"/>
    <w:rsid w:val="00853CF7"/>
    <w:rsid w:val="00857A82"/>
    <w:rsid w:val="00863CEC"/>
    <w:rsid w:val="00864270"/>
    <w:rsid w:val="00864C03"/>
    <w:rsid w:val="00864E6F"/>
    <w:rsid w:val="00867EC6"/>
    <w:rsid w:val="008705FF"/>
    <w:rsid w:val="0087370E"/>
    <w:rsid w:val="00873836"/>
    <w:rsid w:val="00874534"/>
    <w:rsid w:val="0088168D"/>
    <w:rsid w:val="00883BE8"/>
    <w:rsid w:val="00884AB0"/>
    <w:rsid w:val="00885267"/>
    <w:rsid w:val="00885557"/>
    <w:rsid w:val="00885737"/>
    <w:rsid w:val="0088628D"/>
    <w:rsid w:val="00890650"/>
    <w:rsid w:val="0089366D"/>
    <w:rsid w:val="00893808"/>
    <w:rsid w:val="00897E12"/>
    <w:rsid w:val="008A0375"/>
    <w:rsid w:val="008A0DD2"/>
    <w:rsid w:val="008A4EF9"/>
    <w:rsid w:val="008A5EBA"/>
    <w:rsid w:val="008A7E0F"/>
    <w:rsid w:val="008B12F5"/>
    <w:rsid w:val="008B2693"/>
    <w:rsid w:val="008B64AD"/>
    <w:rsid w:val="008C308D"/>
    <w:rsid w:val="008C3098"/>
    <w:rsid w:val="008C6C20"/>
    <w:rsid w:val="008D3BDD"/>
    <w:rsid w:val="008D442C"/>
    <w:rsid w:val="008D768D"/>
    <w:rsid w:val="008E1F33"/>
    <w:rsid w:val="008E2F10"/>
    <w:rsid w:val="008E3124"/>
    <w:rsid w:val="008E351F"/>
    <w:rsid w:val="008E3759"/>
    <w:rsid w:val="008E4D36"/>
    <w:rsid w:val="008F1912"/>
    <w:rsid w:val="008F1B28"/>
    <w:rsid w:val="008F2B9F"/>
    <w:rsid w:val="008F3E8A"/>
    <w:rsid w:val="008F52B5"/>
    <w:rsid w:val="008F604B"/>
    <w:rsid w:val="008F7014"/>
    <w:rsid w:val="008F7A6D"/>
    <w:rsid w:val="009014A4"/>
    <w:rsid w:val="0090270B"/>
    <w:rsid w:val="0090344A"/>
    <w:rsid w:val="009041DC"/>
    <w:rsid w:val="0090460B"/>
    <w:rsid w:val="00904973"/>
    <w:rsid w:val="00904D09"/>
    <w:rsid w:val="0090681C"/>
    <w:rsid w:val="00911263"/>
    <w:rsid w:val="009128AE"/>
    <w:rsid w:val="009155CB"/>
    <w:rsid w:val="00917B5A"/>
    <w:rsid w:val="00920A58"/>
    <w:rsid w:val="00920A8C"/>
    <w:rsid w:val="0092111F"/>
    <w:rsid w:val="0092176B"/>
    <w:rsid w:val="009326F8"/>
    <w:rsid w:val="00934A2C"/>
    <w:rsid w:val="00934FDF"/>
    <w:rsid w:val="00935422"/>
    <w:rsid w:val="00936680"/>
    <w:rsid w:val="0093676A"/>
    <w:rsid w:val="00940530"/>
    <w:rsid w:val="00940A0B"/>
    <w:rsid w:val="00940AAB"/>
    <w:rsid w:val="00942A3F"/>
    <w:rsid w:val="00942A57"/>
    <w:rsid w:val="00943174"/>
    <w:rsid w:val="00946791"/>
    <w:rsid w:val="00946B66"/>
    <w:rsid w:val="00951CBC"/>
    <w:rsid w:val="00953837"/>
    <w:rsid w:val="00954A42"/>
    <w:rsid w:val="00960107"/>
    <w:rsid w:val="009609E8"/>
    <w:rsid w:val="0096204A"/>
    <w:rsid w:val="00963146"/>
    <w:rsid w:val="00964584"/>
    <w:rsid w:val="00964D74"/>
    <w:rsid w:val="009667E8"/>
    <w:rsid w:val="0096706E"/>
    <w:rsid w:val="009671BA"/>
    <w:rsid w:val="00970D4B"/>
    <w:rsid w:val="00971279"/>
    <w:rsid w:val="00972ECA"/>
    <w:rsid w:val="009749F1"/>
    <w:rsid w:val="00975C4E"/>
    <w:rsid w:val="0098016B"/>
    <w:rsid w:val="00980C18"/>
    <w:rsid w:val="00981FBA"/>
    <w:rsid w:val="00986A65"/>
    <w:rsid w:val="00990C00"/>
    <w:rsid w:val="00991556"/>
    <w:rsid w:val="0099258F"/>
    <w:rsid w:val="00993375"/>
    <w:rsid w:val="00997BC5"/>
    <w:rsid w:val="009A07BC"/>
    <w:rsid w:val="009A0BE3"/>
    <w:rsid w:val="009A1CB9"/>
    <w:rsid w:val="009A275A"/>
    <w:rsid w:val="009A3495"/>
    <w:rsid w:val="009A4B42"/>
    <w:rsid w:val="009A4F41"/>
    <w:rsid w:val="009A4F91"/>
    <w:rsid w:val="009B381B"/>
    <w:rsid w:val="009B3EE7"/>
    <w:rsid w:val="009B439C"/>
    <w:rsid w:val="009B462E"/>
    <w:rsid w:val="009B7223"/>
    <w:rsid w:val="009B7234"/>
    <w:rsid w:val="009C1252"/>
    <w:rsid w:val="009C30A5"/>
    <w:rsid w:val="009C3C80"/>
    <w:rsid w:val="009C4EAA"/>
    <w:rsid w:val="009D00D5"/>
    <w:rsid w:val="009D0644"/>
    <w:rsid w:val="009D1753"/>
    <w:rsid w:val="009D4795"/>
    <w:rsid w:val="009D4847"/>
    <w:rsid w:val="009D5940"/>
    <w:rsid w:val="009D7611"/>
    <w:rsid w:val="009E0B61"/>
    <w:rsid w:val="009E53DE"/>
    <w:rsid w:val="009F09F0"/>
    <w:rsid w:val="009F724C"/>
    <w:rsid w:val="00A02BD7"/>
    <w:rsid w:val="00A03833"/>
    <w:rsid w:val="00A0560C"/>
    <w:rsid w:val="00A065BD"/>
    <w:rsid w:val="00A07867"/>
    <w:rsid w:val="00A10799"/>
    <w:rsid w:val="00A11BFF"/>
    <w:rsid w:val="00A13D5E"/>
    <w:rsid w:val="00A1518C"/>
    <w:rsid w:val="00A167B6"/>
    <w:rsid w:val="00A23BB6"/>
    <w:rsid w:val="00A24A5F"/>
    <w:rsid w:val="00A24DE4"/>
    <w:rsid w:val="00A2598E"/>
    <w:rsid w:val="00A26557"/>
    <w:rsid w:val="00A274B7"/>
    <w:rsid w:val="00A27902"/>
    <w:rsid w:val="00A311C9"/>
    <w:rsid w:val="00A328B3"/>
    <w:rsid w:val="00A33B1E"/>
    <w:rsid w:val="00A3537C"/>
    <w:rsid w:val="00A403A8"/>
    <w:rsid w:val="00A40660"/>
    <w:rsid w:val="00A455F2"/>
    <w:rsid w:val="00A46251"/>
    <w:rsid w:val="00A50FCF"/>
    <w:rsid w:val="00A510D7"/>
    <w:rsid w:val="00A51861"/>
    <w:rsid w:val="00A528D1"/>
    <w:rsid w:val="00A52AD9"/>
    <w:rsid w:val="00A610CD"/>
    <w:rsid w:val="00A6290A"/>
    <w:rsid w:val="00A63761"/>
    <w:rsid w:val="00A63EC5"/>
    <w:rsid w:val="00A65E37"/>
    <w:rsid w:val="00A742A4"/>
    <w:rsid w:val="00A75646"/>
    <w:rsid w:val="00A75E63"/>
    <w:rsid w:val="00A814FA"/>
    <w:rsid w:val="00A82FE3"/>
    <w:rsid w:val="00A9213F"/>
    <w:rsid w:val="00A954EE"/>
    <w:rsid w:val="00AA020F"/>
    <w:rsid w:val="00AA07E2"/>
    <w:rsid w:val="00AA09A2"/>
    <w:rsid w:val="00AA5163"/>
    <w:rsid w:val="00AA5191"/>
    <w:rsid w:val="00AA5556"/>
    <w:rsid w:val="00AA7996"/>
    <w:rsid w:val="00AB10A4"/>
    <w:rsid w:val="00AB34C7"/>
    <w:rsid w:val="00AB4649"/>
    <w:rsid w:val="00AB511C"/>
    <w:rsid w:val="00AB53C0"/>
    <w:rsid w:val="00AB5F2A"/>
    <w:rsid w:val="00AB6A44"/>
    <w:rsid w:val="00AC19CB"/>
    <w:rsid w:val="00AC1D7D"/>
    <w:rsid w:val="00AC2673"/>
    <w:rsid w:val="00AC390C"/>
    <w:rsid w:val="00AC55D4"/>
    <w:rsid w:val="00AD113F"/>
    <w:rsid w:val="00AD4C55"/>
    <w:rsid w:val="00AE069A"/>
    <w:rsid w:val="00AE3768"/>
    <w:rsid w:val="00AE38EC"/>
    <w:rsid w:val="00AE5488"/>
    <w:rsid w:val="00AE6E54"/>
    <w:rsid w:val="00AE6F91"/>
    <w:rsid w:val="00AE76E6"/>
    <w:rsid w:val="00AF26B2"/>
    <w:rsid w:val="00AF30EE"/>
    <w:rsid w:val="00AF5571"/>
    <w:rsid w:val="00AF7988"/>
    <w:rsid w:val="00B01A54"/>
    <w:rsid w:val="00B04009"/>
    <w:rsid w:val="00B04602"/>
    <w:rsid w:val="00B059BB"/>
    <w:rsid w:val="00B05C6E"/>
    <w:rsid w:val="00B068D7"/>
    <w:rsid w:val="00B07184"/>
    <w:rsid w:val="00B07341"/>
    <w:rsid w:val="00B11AB5"/>
    <w:rsid w:val="00B1317D"/>
    <w:rsid w:val="00B23E9B"/>
    <w:rsid w:val="00B2775E"/>
    <w:rsid w:val="00B30539"/>
    <w:rsid w:val="00B314DB"/>
    <w:rsid w:val="00B31C6C"/>
    <w:rsid w:val="00B31FB5"/>
    <w:rsid w:val="00B34CE7"/>
    <w:rsid w:val="00B361F2"/>
    <w:rsid w:val="00B36C81"/>
    <w:rsid w:val="00B3718B"/>
    <w:rsid w:val="00B405AB"/>
    <w:rsid w:val="00B4073F"/>
    <w:rsid w:val="00B4147A"/>
    <w:rsid w:val="00B4176F"/>
    <w:rsid w:val="00B4632A"/>
    <w:rsid w:val="00B47E06"/>
    <w:rsid w:val="00B50974"/>
    <w:rsid w:val="00B513B1"/>
    <w:rsid w:val="00B5211C"/>
    <w:rsid w:val="00B530F1"/>
    <w:rsid w:val="00B54A0C"/>
    <w:rsid w:val="00B55BB7"/>
    <w:rsid w:val="00B57436"/>
    <w:rsid w:val="00B57DDA"/>
    <w:rsid w:val="00B632D6"/>
    <w:rsid w:val="00B6596B"/>
    <w:rsid w:val="00B67999"/>
    <w:rsid w:val="00B73F84"/>
    <w:rsid w:val="00B74DB5"/>
    <w:rsid w:val="00B773DC"/>
    <w:rsid w:val="00B81976"/>
    <w:rsid w:val="00B83BBD"/>
    <w:rsid w:val="00B8762F"/>
    <w:rsid w:val="00B905DA"/>
    <w:rsid w:val="00B90CEF"/>
    <w:rsid w:val="00B920CA"/>
    <w:rsid w:val="00B92294"/>
    <w:rsid w:val="00B947BD"/>
    <w:rsid w:val="00B96B34"/>
    <w:rsid w:val="00BA276C"/>
    <w:rsid w:val="00BA461E"/>
    <w:rsid w:val="00BA7404"/>
    <w:rsid w:val="00BB306F"/>
    <w:rsid w:val="00BB7F24"/>
    <w:rsid w:val="00BC1180"/>
    <w:rsid w:val="00BC278F"/>
    <w:rsid w:val="00BC307D"/>
    <w:rsid w:val="00BC4F4E"/>
    <w:rsid w:val="00BC6B40"/>
    <w:rsid w:val="00BD093F"/>
    <w:rsid w:val="00BD4B89"/>
    <w:rsid w:val="00BD59D0"/>
    <w:rsid w:val="00BD656D"/>
    <w:rsid w:val="00BD6923"/>
    <w:rsid w:val="00BD7140"/>
    <w:rsid w:val="00BD7402"/>
    <w:rsid w:val="00BE10A5"/>
    <w:rsid w:val="00BE3E87"/>
    <w:rsid w:val="00BE5683"/>
    <w:rsid w:val="00BE5CD0"/>
    <w:rsid w:val="00BF02CB"/>
    <w:rsid w:val="00BF11D3"/>
    <w:rsid w:val="00BF1664"/>
    <w:rsid w:val="00BF36CF"/>
    <w:rsid w:val="00BF3804"/>
    <w:rsid w:val="00BF5EB0"/>
    <w:rsid w:val="00BF6697"/>
    <w:rsid w:val="00BF6FD8"/>
    <w:rsid w:val="00BF771A"/>
    <w:rsid w:val="00C0006B"/>
    <w:rsid w:val="00C0038D"/>
    <w:rsid w:val="00C03680"/>
    <w:rsid w:val="00C03FDF"/>
    <w:rsid w:val="00C04D53"/>
    <w:rsid w:val="00C054DF"/>
    <w:rsid w:val="00C10DE0"/>
    <w:rsid w:val="00C11172"/>
    <w:rsid w:val="00C13038"/>
    <w:rsid w:val="00C21762"/>
    <w:rsid w:val="00C238A7"/>
    <w:rsid w:val="00C24543"/>
    <w:rsid w:val="00C256A2"/>
    <w:rsid w:val="00C26D90"/>
    <w:rsid w:val="00C32D57"/>
    <w:rsid w:val="00C33C6A"/>
    <w:rsid w:val="00C357CC"/>
    <w:rsid w:val="00C371DB"/>
    <w:rsid w:val="00C40789"/>
    <w:rsid w:val="00C41841"/>
    <w:rsid w:val="00C42593"/>
    <w:rsid w:val="00C43691"/>
    <w:rsid w:val="00C44C48"/>
    <w:rsid w:val="00C46EE5"/>
    <w:rsid w:val="00C47A0E"/>
    <w:rsid w:val="00C47D5F"/>
    <w:rsid w:val="00C5040C"/>
    <w:rsid w:val="00C50F31"/>
    <w:rsid w:val="00C51515"/>
    <w:rsid w:val="00C52FE0"/>
    <w:rsid w:val="00C549B9"/>
    <w:rsid w:val="00C5660B"/>
    <w:rsid w:val="00C612F5"/>
    <w:rsid w:val="00C62479"/>
    <w:rsid w:val="00C62A75"/>
    <w:rsid w:val="00C64137"/>
    <w:rsid w:val="00C65518"/>
    <w:rsid w:val="00C66B72"/>
    <w:rsid w:val="00C675D0"/>
    <w:rsid w:val="00C67674"/>
    <w:rsid w:val="00C72B8B"/>
    <w:rsid w:val="00C72DA4"/>
    <w:rsid w:val="00C73C28"/>
    <w:rsid w:val="00C75282"/>
    <w:rsid w:val="00C80065"/>
    <w:rsid w:val="00C80095"/>
    <w:rsid w:val="00C810D8"/>
    <w:rsid w:val="00C85A3E"/>
    <w:rsid w:val="00C85ABB"/>
    <w:rsid w:val="00C869B4"/>
    <w:rsid w:val="00C87F70"/>
    <w:rsid w:val="00C91385"/>
    <w:rsid w:val="00C9567A"/>
    <w:rsid w:val="00C9577B"/>
    <w:rsid w:val="00C96A38"/>
    <w:rsid w:val="00C96D22"/>
    <w:rsid w:val="00C97129"/>
    <w:rsid w:val="00C97C02"/>
    <w:rsid w:val="00CA5959"/>
    <w:rsid w:val="00CA5B0F"/>
    <w:rsid w:val="00CB0928"/>
    <w:rsid w:val="00CB212D"/>
    <w:rsid w:val="00CB2583"/>
    <w:rsid w:val="00CB2660"/>
    <w:rsid w:val="00CB4E23"/>
    <w:rsid w:val="00CB5056"/>
    <w:rsid w:val="00CB67C7"/>
    <w:rsid w:val="00CC0C81"/>
    <w:rsid w:val="00CC1579"/>
    <w:rsid w:val="00CC2B96"/>
    <w:rsid w:val="00CC3D7C"/>
    <w:rsid w:val="00CC5E90"/>
    <w:rsid w:val="00CC63CF"/>
    <w:rsid w:val="00CC7631"/>
    <w:rsid w:val="00CD046C"/>
    <w:rsid w:val="00CD32AF"/>
    <w:rsid w:val="00CD333E"/>
    <w:rsid w:val="00CE076C"/>
    <w:rsid w:val="00CE4CA1"/>
    <w:rsid w:val="00CE5199"/>
    <w:rsid w:val="00CE66D5"/>
    <w:rsid w:val="00CE799C"/>
    <w:rsid w:val="00CE7FC4"/>
    <w:rsid w:val="00CF1057"/>
    <w:rsid w:val="00CF1631"/>
    <w:rsid w:val="00CF21E1"/>
    <w:rsid w:val="00CF5A22"/>
    <w:rsid w:val="00CF6368"/>
    <w:rsid w:val="00CF637A"/>
    <w:rsid w:val="00D00200"/>
    <w:rsid w:val="00D00BC0"/>
    <w:rsid w:val="00D0480A"/>
    <w:rsid w:val="00D0493C"/>
    <w:rsid w:val="00D059DE"/>
    <w:rsid w:val="00D0681D"/>
    <w:rsid w:val="00D11395"/>
    <w:rsid w:val="00D12193"/>
    <w:rsid w:val="00D13FCE"/>
    <w:rsid w:val="00D16107"/>
    <w:rsid w:val="00D205FD"/>
    <w:rsid w:val="00D262A5"/>
    <w:rsid w:val="00D306D1"/>
    <w:rsid w:val="00D30F69"/>
    <w:rsid w:val="00D3384D"/>
    <w:rsid w:val="00D34786"/>
    <w:rsid w:val="00D37BFC"/>
    <w:rsid w:val="00D44AFA"/>
    <w:rsid w:val="00D45DC3"/>
    <w:rsid w:val="00D47A8E"/>
    <w:rsid w:val="00D52D14"/>
    <w:rsid w:val="00D55ACC"/>
    <w:rsid w:val="00D56C57"/>
    <w:rsid w:val="00D6263C"/>
    <w:rsid w:val="00D64762"/>
    <w:rsid w:val="00D64B7E"/>
    <w:rsid w:val="00D656B1"/>
    <w:rsid w:val="00D65709"/>
    <w:rsid w:val="00D70A85"/>
    <w:rsid w:val="00D712D3"/>
    <w:rsid w:val="00D71422"/>
    <w:rsid w:val="00D72DC6"/>
    <w:rsid w:val="00D73D4A"/>
    <w:rsid w:val="00D7409A"/>
    <w:rsid w:val="00D7558D"/>
    <w:rsid w:val="00D77CE8"/>
    <w:rsid w:val="00D80281"/>
    <w:rsid w:val="00D81D92"/>
    <w:rsid w:val="00D83D73"/>
    <w:rsid w:val="00D83EF9"/>
    <w:rsid w:val="00D84E76"/>
    <w:rsid w:val="00D91E9D"/>
    <w:rsid w:val="00D92253"/>
    <w:rsid w:val="00D94020"/>
    <w:rsid w:val="00D95C4D"/>
    <w:rsid w:val="00D96E66"/>
    <w:rsid w:val="00DA0310"/>
    <w:rsid w:val="00DA03D7"/>
    <w:rsid w:val="00DA3008"/>
    <w:rsid w:val="00DA471F"/>
    <w:rsid w:val="00DA5DEB"/>
    <w:rsid w:val="00DA6A82"/>
    <w:rsid w:val="00DA7B5F"/>
    <w:rsid w:val="00DB7CEC"/>
    <w:rsid w:val="00DC0A31"/>
    <w:rsid w:val="00DC11E7"/>
    <w:rsid w:val="00DC2627"/>
    <w:rsid w:val="00DC34A6"/>
    <w:rsid w:val="00DC3654"/>
    <w:rsid w:val="00DC6792"/>
    <w:rsid w:val="00DC7023"/>
    <w:rsid w:val="00DC769A"/>
    <w:rsid w:val="00DD3D86"/>
    <w:rsid w:val="00DD4DB2"/>
    <w:rsid w:val="00DD5B0D"/>
    <w:rsid w:val="00DD63D2"/>
    <w:rsid w:val="00DD6498"/>
    <w:rsid w:val="00DD69F8"/>
    <w:rsid w:val="00DE0F0F"/>
    <w:rsid w:val="00DE173A"/>
    <w:rsid w:val="00DE1AFC"/>
    <w:rsid w:val="00DE5533"/>
    <w:rsid w:val="00DE5A3D"/>
    <w:rsid w:val="00DF1EC4"/>
    <w:rsid w:val="00DF5480"/>
    <w:rsid w:val="00DF5D2F"/>
    <w:rsid w:val="00E0161D"/>
    <w:rsid w:val="00E01A81"/>
    <w:rsid w:val="00E02A4F"/>
    <w:rsid w:val="00E0340B"/>
    <w:rsid w:val="00E04A90"/>
    <w:rsid w:val="00E07311"/>
    <w:rsid w:val="00E07408"/>
    <w:rsid w:val="00E100E1"/>
    <w:rsid w:val="00E10109"/>
    <w:rsid w:val="00E10D50"/>
    <w:rsid w:val="00E11040"/>
    <w:rsid w:val="00E12B49"/>
    <w:rsid w:val="00E17215"/>
    <w:rsid w:val="00E21353"/>
    <w:rsid w:val="00E219C7"/>
    <w:rsid w:val="00E22665"/>
    <w:rsid w:val="00E26995"/>
    <w:rsid w:val="00E36AA2"/>
    <w:rsid w:val="00E40E0D"/>
    <w:rsid w:val="00E41CAE"/>
    <w:rsid w:val="00E42B99"/>
    <w:rsid w:val="00E43157"/>
    <w:rsid w:val="00E461CE"/>
    <w:rsid w:val="00E46E31"/>
    <w:rsid w:val="00E53384"/>
    <w:rsid w:val="00E53740"/>
    <w:rsid w:val="00E553DB"/>
    <w:rsid w:val="00E57107"/>
    <w:rsid w:val="00E5732A"/>
    <w:rsid w:val="00E61932"/>
    <w:rsid w:val="00E63C53"/>
    <w:rsid w:val="00E64C43"/>
    <w:rsid w:val="00E668EE"/>
    <w:rsid w:val="00E6775A"/>
    <w:rsid w:val="00E711C4"/>
    <w:rsid w:val="00E720CA"/>
    <w:rsid w:val="00E74139"/>
    <w:rsid w:val="00E76F3D"/>
    <w:rsid w:val="00E77202"/>
    <w:rsid w:val="00E7752C"/>
    <w:rsid w:val="00E810C3"/>
    <w:rsid w:val="00E84EB5"/>
    <w:rsid w:val="00E85410"/>
    <w:rsid w:val="00E85547"/>
    <w:rsid w:val="00E85662"/>
    <w:rsid w:val="00E857A9"/>
    <w:rsid w:val="00E8789F"/>
    <w:rsid w:val="00E909AA"/>
    <w:rsid w:val="00E92985"/>
    <w:rsid w:val="00E97417"/>
    <w:rsid w:val="00E97B71"/>
    <w:rsid w:val="00EA3D34"/>
    <w:rsid w:val="00EB23F3"/>
    <w:rsid w:val="00EB2EBE"/>
    <w:rsid w:val="00EB454D"/>
    <w:rsid w:val="00EB4774"/>
    <w:rsid w:val="00EB7848"/>
    <w:rsid w:val="00EB7A15"/>
    <w:rsid w:val="00EC349B"/>
    <w:rsid w:val="00EC34EF"/>
    <w:rsid w:val="00EC574A"/>
    <w:rsid w:val="00EC7A58"/>
    <w:rsid w:val="00ED4A5E"/>
    <w:rsid w:val="00ED76BE"/>
    <w:rsid w:val="00EE0860"/>
    <w:rsid w:val="00EE08B5"/>
    <w:rsid w:val="00EE138D"/>
    <w:rsid w:val="00EE6EB2"/>
    <w:rsid w:val="00EF1AE5"/>
    <w:rsid w:val="00EF1F73"/>
    <w:rsid w:val="00EF4ED2"/>
    <w:rsid w:val="00EF619B"/>
    <w:rsid w:val="00F00B55"/>
    <w:rsid w:val="00F00F54"/>
    <w:rsid w:val="00F01EDB"/>
    <w:rsid w:val="00F02AD1"/>
    <w:rsid w:val="00F03E79"/>
    <w:rsid w:val="00F105E8"/>
    <w:rsid w:val="00F12561"/>
    <w:rsid w:val="00F16817"/>
    <w:rsid w:val="00F178A3"/>
    <w:rsid w:val="00F20A37"/>
    <w:rsid w:val="00F253CC"/>
    <w:rsid w:val="00F319A5"/>
    <w:rsid w:val="00F32162"/>
    <w:rsid w:val="00F329E7"/>
    <w:rsid w:val="00F333EE"/>
    <w:rsid w:val="00F347BD"/>
    <w:rsid w:val="00F34BCA"/>
    <w:rsid w:val="00F35F79"/>
    <w:rsid w:val="00F36DDE"/>
    <w:rsid w:val="00F37106"/>
    <w:rsid w:val="00F406E1"/>
    <w:rsid w:val="00F40E67"/>
    <w:rsid w:val="00F40F40"/>
    <w:rsid w:val="00F42D02"/>
    <w:rsid w:val="00F4424B"/>
    <w:rsid w:val="00F4684B"/>
    <w:rsid w:val="00F4726D"/>
    <w:rsid w:val="00F50003"/>
    <w:rsid w:val="00F50024"/>
    <w:rsid w:val="00F519CF"/>
    <w:rsid w:val="00F51A34"/>
    <w:rsid w:val="00F527E8"/>
    <w:rsid w:val="00F56BA5"/>
    <w:rsid w:val="00F60E22"/>
    <w:rsid w:val="00F646B3"/>
    <w:rsid w:val="00F65E01"/>
    <w:rsid w:val="00F66105"/>
    <w:rsid w:val="00F71315"/>
    <w:rsid w:val="00F73104"/>
    <w:rsid w:val="00F805FB"/>
    <w:rsid w:val="00F81395"/>
    <w:rsid w:val="00F842EE"/>
    <w:rsid w:val="00F86E9F"/>
    <w:rsid w:val="00F902EB"/>
    <w:rsid w:val="00F917D1"/>
    <w:rsid w:val="00F92BA8"/>
    <w:rsid w:val="00F9653B"/>
    <w:rsid w:val="00F96DA0"/>
    <w:rsid w:val="00F97558"/>
    <w:rsid w:val="00F97F9B"/>
    <w:rsid w:val="00FA2923"/>
    <w:rsid w:val="00FA2E7B"/>
    <w:rsid w:val="00FA3676"/>
    <w:rsid w:val="00FA4A3C"/>
    <w:rsid w:val="00FA74DC"/>
    <w:rsid w:val="00FB06B3"/>
    <w:rsid w:val="00FB0A83"/>
    <w:rsid w:val="00FB23E4"/>
    <w:rsid w:val="00FB24DD"/>
    <w:rsid w:val="00FB5DB4"/>
    <w:rsid w:val="00FB5E8D"/>
    <w:rsid w:val="00FB62CF"/>
    <w:rsid w:val="00FB6E0D"/>
    <w:rsid w:val="00FC257E"/>
    <w:rsid w:val="00FC4104"/>
    <w:rsid w:val="00FC60D0"/>
    <w:rsid w:val="00FD0243"/>
    <w:rsid w:val="00FD3C3B"/>
    <w:rsid w:val="00FD5A99"/>
    <w:rsid w:val="00FD5F58"/>
    <w:rsid w:val="00FE07DD"/>
    <w:rsid w:val="00FE13A9"/>
    <w:rsid w:val="00FE1A44"/>
    <w:rsid w:val="00FE1E27"/>
    <w:rsid w:val="00FE4608"/>
    <w:rsid w:val="00FE6B45"/>
    <w:rsid w:val="00FE76A9"/>
    <w:rsid w:val="00FE76AA"/>
    <w:rsid w:val="00FE7B99"/>
    <w:rsid w:val="00FF1CAD"/>
    <w:rsid w:val="00FF2069"/>
    <w:rsid w:val="00FF232F"/>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CE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739C0"/>
    <w:rPr>
      <w:sz w:val="24"/>
      <w:szCs w:val="24"/>
      <w:lang w:val="en-US" w:eastAsia="en-US"/>
    </w:rPr>
  </w:style>
  <w:style w:type="paragraph" w:styleId="Heading1">
    <w:name w:val="heading 1"/>
    <w:basedOn w:val="ListParagraph"/>
    <w:next w:val="Normal"/>
    <w:link w:val="Heading1Char"/>
    <w:uiPriority w:val="9"/>
    <w:qFormat/>
    <w:rsid w:val="00F40E67"/>
    <w:pPr>
      <w:suppressAutoHyphens/>
      <w:ind w:left="0"/>
      <w:outlineLvl w:val="0"/>
    </w:pPr>
    <w:rPr>
      <w:rFonts w:asciiTheme="majorHAnsi" w:hAnsiTheme="majorHAnsi"/>
      <w:b/>
      <w:sz w:val="20"/>
      <w:szCs w:val="20"/>
      <w:lang w:val="es-MX"/>
    </w:rPr>
  </w:style>
  <w:style w:type="paragraph" w:styleId="Heading2">
    <w:name w:val="heading 2"/>
    <w:basedOn w:val="ListParagraph"/>
    <w:next w:val="Normal"/>
    <w:link w:val="Heading2Char"/>
    <w:qFormat/>
    <w:rsid w:val="00F40E67"/>
    <w:pPr>
      <w:suppressAutoHyphens/>
      <w:ind w:left="0"/>
      <w:outlineLvl w:val="1"/>
    </w:pPr>
    <w:rPr>
      <w:rFonts w:asciiTheme="majorHAnsi" w:hAnsiTheme="majorHAnsi"/>
      <w:b/>
      <w:sz w:val="20"/>
      <w:szCs w:val="20"/>
      <w:lang w:val="es-MX"/>
    </w:rPr>
  </w:style>
  <w:style w:type="paragraph" w:styleId="Heading3">
    <w:name w:val="heading 3"/>
    <w:basedOn w:val="ListParagraph"/>
    <w:next w:val="Normal"/>
    <w:link w:val="Heading3Char"/>
    <w:qFormat/>
    <w:rsid w:val="008E4D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0"/>
      <w:jc w:val="both"/>
      <w:outlineLvl w:val="2"/>
    </w:pPr>
    <w:rPr>
      <w:b/>
      <w:sz w:val="20"/>
      <w:szCs w:val="20"/>
      <w:lang w:val="es-MX"/>
    </w:rPr>
  </w:style>
  <w:style w:type="paragraph" w:styleId="Heading4">
    <w:name w:val="heading 4"/>
    <w:basedOn w:val="Normal"/>
    <w:next w:val="Normal"/>
    <w:link w:val="Heading4Char"/>
    <w:uiPriority w:val="9"/>
    <w:unhideWhenUsed/>
    <w:qFormat/>
    <w:rsid w:val="00273F3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
    <w:link w:val="ListParagraphChar"/>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F40E67"/>
    <w:rPr>
      <w:rFonts w:asciiTheme="majorHAnsi" w:eastAsia="Cambria" w:hAnsiTheme="majorHAnsi" w:cs="Cambria"/>
      <w:b/>
      <w:color w:val="000000"/>
      <w:u w:color="000000"/>
      <w:lang w:val="es-MX"/>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
    <w:basedOn w:val="DefaultParagraphFont"/>
    <w:link w:val="FootnotesrefssChar1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F40E67"/>
    <w:rPr>
      <w:rFonts w:asciiTheme="majorHAnsi" w:eastAsia="Cambria" w:hAnsiTheme="majorHAnsi" w:cs="Cambria"/>
      <w:b/>
      <w:color w:val="000000"/>
      <w:u w:color="000000"/>
      <w:lang w:val="es-MX"/>
    </w:rPr>
  </w:style>
  <w:style w:type="character" w:customStyle="1" w:styleId="Heading3Char">
    <w:name w:val="Heading 3 Char"/>
    <w:basedOn w:val="DefaultParagraphFont"/>
    <w:link w:val="Heading3"/>
    <w:rsid w:val="008E4D36"/>
    <w:rPr>
      <w:rFonts w:ascii="Cambria" w:eastAsia="Cambria" w:hAnsi="Cambria" w:cs="Cambria"/>
      <w:b/>
      <w:color w:val="000000"/>
      <w:u w:color="000000"/>
      <w:lang w:val="es-MX"/>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9014A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4D661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
    <w:link w:val="ListParagraph"/>
    <w:locked/>
    <w:rsid w:val="002E4AEA"/>
    <w:rPr>
      <w:rFonts w:ascii="Cambria" w:eastAsia="Cambria" w:hAnsi="Cambria" w:cs="Cambria"/>
      <w:color w:val="000000"/>
      <w:sz w:val="24"/>
      <w:szCs w:val="24"/>
      <w:u w:color="000000"/>
      <w:lang w:val="en-US"/>
    </w:rPr>
  </w:style>
  <w:style w:type="character" w:styleId="CommentReference">
    <w:name w:val="annotation reference"/>
    <w:basedOn w:val="DefaultParagraphFont"/>
    <w:uiPriority w:val="99"/>
    <w:semiHidden/>
    <w:unhideWhenUsed/>
    <w:rsid w:val="00B50974"/>
    <w:rPr>
      <w:sz w:val="16"/>
      <w:szCs w:val="16"/>
    </w:rPr>
  </w:style>
  <w:style w:type="paragraph" w:styleId="CommentText">
    <w:name w:val="annotation text"/>
    <w:basedOn w:val="Normal"/>
    <w:link w:val="CommentTextChar"/>
    <w:uiPriority w:val="99"/>
    <w:semiHidden/>
    <w:unhideWhenUsed/>
    <w:rsid w:val="00B50974"/>
    <w:rPr>
      <w:sz w:val="20"/>
      <w:szCs w:val="20"/>
    </w:rPr>
  </w:style>
  <w:style w:type="character" w:customStyle="1" w:styleId="CommentTextChar">
    <w:name w:val="Comment Text Char"/>
    <w:basedOn w:val="DefaultParagraphFont"/>
    <w:link w:val="CommentText"/>
    <w:uiPriority w:val="99"/>
    <w:semiHidden/>
    <w:rsid w:val="00B50974"/>
    <w:rPr>
      <w:lang w:val="en-US" w:eastAsia="en-US"/>
    </w:rPr>
  </w:style>
  <w:style w:type="paragraph" w:styleId="CommentSubject">
    <w:name w:val="annotation subject"/>
    <w:basedOn w:val="CommentText"/>
    <w:next w:val="CommentText"/>
    <w:link w:val="CommentSubjectChar"/>
    <w:uiPriority w:val="99"/>
    <w:semiHidden/>
    <w:unhideWhenUsed/>
    <w:rsid w:val="00B50974"/>
    <w:rPr>
      <w:b/>
      <w:bCs/>
    </w:rPr>
  </w:style>
  <w:style w:type="character" w:customStyle="1" w:styleId="CommentSubjectChar">
    <w:name w:val="Comment Subject Char"/>
    <w:basedOn w:val="CommentTextChar"/>
    <w:link w:val="CommentSubject"/>
    <w:uiPriority w:val="99"/>
    <w:semiHidden/>
    <w:rsid w:val="00B50974"/>
    <w:rPr>
      <w:b/>
      <w:bCs/>
      <w:lang w:val="en-US" w:eastAsia="en-US"/>
    </w:rPr>
  </w:style>
  <w:style w:type="character" w:customStyle="1" w:styleId="FootnoteTextCharCharCharCharCharCar1">
    <w:name w:val="Footnote Text Char Char Char Char Char Car1"/>
    <w:aliases w:val="Footnote Text Char Char Char Char Car1,Footnote reference Car1,FA Fu Car1,Footnote Text Char Char Char Car1,Footnote Text Cha Car1,FA Fußnotentext Car1,FA Fuﬂnotentext Car1,footnote text Car"/>
    <w:basedOn w:val="DefaultParagraphFont"/>
    <w:uiPriority w:val="99"/>
    <w:semiHidden/>
    <w:rsid w:val="00D3384D"/>
    <w:rPr>
      <w:sz w:val="20"/>
      <w:szCs w:val="20"/>
    </w:rPr>
  </w:style>
  <w:style w:type="character" w:customStyle="1" w:styleId="Heading4Char">
    <w:name w:val="Heading 4 Char"/>
    <w:basedOn w:val="DefaultParagraphFont"/>
    <w:link w:val="Heading4"/>
    <w:uiPriority w:val="9"/>
    <w:rsid w:val="00273F34"/>
    <w:rPr>
      <w:rFonts w:asciiTheme="majorHAnsi" w:eastAsiaTheme="majorEastAsia" w:hAnsiTheme="majorHAnsi" w:cstheme="majorBidi"/>
      <w:i/>
      <w:iCs/>
      <w:color w:val="365F91" w:themeColor="accent1" w:themeShade="BF"/>
      <w:sz w:val="24"/>
      <w:szCs w:val="24"/>
      <w:lang w:val="en-US" w:eastAsia="en-US"/>
    </w:rPr>
  </w:style>
  <w:style w:type="character" w:customStyle="1" w:styleId="ztplmc">
    <w:name w:val="ztplmc"/>
    <w:basedOn w:val="DefaultParagraphFont"/>
    <w:rsid w:val="00B23E9B"/>
  </w:style>
  <w:style w:type="character" w:customStyle="1" w:styleId="rynqvb">
    <w:name w:val="rynqvb"/>
    <w:basedOn w:val="DefaultParagraphFont"/>
    <w:rsid w:val="00B23E9B"/>
  </w:style>
  <w:style w:type="paragraph" w:customStyle="1" w:styleId="parrafos">
    <w:name w:val="parrafos"/>
    <w:basedOn w:val="Normal"/>
    <w:link w:val="parrafosChar"/>
    <w:qFormat/>
    <w:rsid w:val="0038577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pPr>
    <w:rPr>
      <w:rFonts w:ascii="Cambria" w:hAnsi="Cambria"/>
      <w:color w:val="000000"/>
      <w:sz w:val="20"/>
      <w:szCs w:val="20"/>
    </w:rPr>
  </w:style>
  <w:style w:type="character" w:customStyle="1" w:styleId="parrafosChar">
    <w:name w:val="parrafos Char"/>
    <w:link w:val="parrafos"/>
    <w:rsid w:val="00385778"/>
    <w:rPr>
      <w:rFonts w:ascii="Cambria" w:hAnsi="Cambria"/>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174895">
      <w:bodyDiv w:val="1"/>
      <w:marLeft w:val="0"/>
      <w:marRight w:val="0"/>
      <w:marTop w:val="0"/>
      <w:marBottom w:val="0"/>
      <w:divBdr>
        <w:top w:val="none" w:sz="0" w:space="0" w:color="auto"/>
        <w:left w:val="none" w:sz="0" w:space="0" w:color="auto"/>
        <w:bottom w:val="none" w:sz="0" w:space="0" w:color="auto"/>
        <w:right w:val="none" w:sz="0" w:space="0" w:color="auto"/>
      </w:divBdr>
      <w:divsChild>
        <w:div w:id="1591885353">
          <w:marLeft w:val="0"/>
          <w:marRight w:val="0"/>
          <w:marTop w:val="0"/>
          <w:marBottom w:val="0"/>
          <w:divBdr>
            <w:top w:val="none" w:sz="0" w:space="0" w:color="auto"/>
            <w:left w:val="none" w:sz="0" w:space="0" w:color="auto"/>
            <w:bottom w:val="none" w:sz="0" w:space="0" w:color="auto"/>
            <w:right w:val="none" w:sz="0" w:space="0" w:color="auto"/>
          </w:divBdr>
          <w:divsChild>
            <w:div w:id="1662124872">
              <w:marLeft w:val="0"/>
              <w:marRight w:val="0"/>
              <w:marTop w:val="60"/>
              <w:marBottom w:val="0"/>
              <w:divBdr>
                <w:top w:val="none" w:sz="0" w:space="0" w:color="auto"/>
                <w:left w:val="none" w:sz="0" w:space="0" w:color="auto"/>
                <w:bottom w:val="none" w:sz="0" w:space="0" w:color="auto"/>
                <w:right w:val="none" w:sz="0" w:space="0" w:color="auto"/>
              </w:divBdr>
            </w:div>
          </w:divsChild>
        </w:div>
        <w:div w:id="1021978952">
          <w:marLeft w:val="0"/>
          <w:marRight w:val="0"/>
          <w:marTop w:val="0"/>
          <w:marBottom w:val="0"/>
          <w:divBdr>
            <w:top w:val="none" w:sz="0" w:space="0" w:color="auto"/>
            <w:left w:val="none" w:sz="0" w:space="0" w:color="auto"/>
            <w:bottom w:val="none" w:sz="0" w:space="0" w:color="auto"/>
            <w:right w:val="none" w:sz="0" w:space="0" w:color="auto"/>
          </w:divBdr>
        </w:div>
        <w:div w:id="331491062">
          <w:marLeft w:val="0"/>
          <w:marRight w:val="0"/>
          <w:marTop w:val="0"/>
          <w:marBottom w:val="0"/>
          <w:divBdr>
            <w:top w:val="none" w:sz="0" w:space="0" w:color="auto"/>
            <w:left w:val="none" w:sz="0" w:space="0" w:color="auto"/>
            <w:bottom w:val="none" w:sz="0" w:space="0" w:color="auto"/>
            <w:right w:val="none" w:sz="0" w:space="0" w:color="auto"/>
          </w:divBdr>
          <w:divsChild>
            <w:div w:id="1032877258">
              <w:marLeft w:val="0"/>
              <w:marRight w:val="0"/>
              <w:marTop w:val="0"/>
              <w:marBottom w:val="0"/>
              <w:divBdr>
                <w:top w:val="none" w:sz="0" w:space="0" w:color="auto"/>
                <w:left w:val="none" w:sz="0" w:space="0" w:color="auto"/>
                <w:bottom w:val="none" w:sz="0" w:space="0" w:color="auto"/>
                <w:right w:val="none" w:sz="0" w:space="0" w:color="auto"/>
              </w:divBdr>
              <w:divsChild>
                <w:div w:id="2108230151">
                  <w:marLeft w:val="0"/>
                  <w:marRight w:val="0"/>
                  <w:marTop w:val="0"/>
                  <w:marBottom w:val="0"/>
                  <w:divBdr>
                    <w:top w:val="none" w:sz="0" w:space="0" w:color="auto"/>
                    <w:left w:val="none" w:sz="0" w:space="0" w:color="auto"/>
                    <w:bottom w:val="none" w:sz="0" w:space="0" w:color="auto"/>
                    <w:right w:val="none" w:sz="0" w:space="0" w:color="auto"/>
                  </w:divBdr>
                  <w:divsChild>
                    <w:div w:id="109983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545963">
      <w:bodyDiv w:val="1"/>
      <w:marLeft w:val="0"/>
      <w:marRight w:val="0"/>
      <w:marTop w:val="0"/>
      <w:marBottom w:val="0"/>
      <w:divBdr>
        <w:top w:val="none" w:sz="0" w:space="0" w:color="auto"/>
        <w:left w:val="none" w:sz="0" w:space="0" w:color="auto"/>
        <w:bottom w:val="none" w:sz="0" w:space="0" w:color="auto"/>
        <w:right w:val="none" w:sz="0" w:space="0" w:color="auto"/>
      </w:divBdr>
      <w:divsChild>
        <w:div w:id="834224443">
          <w:marLeft w:val="0"/>
          <w:marRight w:val="0"/>
          <w:marTop w:val="0"/>
          <w:marBottom w:val="0"/>
          <w:divBdr>
            <w:top w:val="none" w:sz="0" w:space="0" w:color="auto"/>
            <w:left w:val="none" w:sz="0" w:space="0" w:color="auto"/>
            <w:bottom w:val="none" w:sz="0" w:space="0" w:color="auto"/>
            <w:right w:val="none" w:sz="0" w:space="0" w:color="auto"/>
          </w:divBdr>
          <w:divsChild>
            <w:div w:id="1457067718">
              <w:marLeft w:val="0"/>
              <w:marRight w:val="0"/>
              <w:marTop w:val="0"/>
              <w:marBottom w:val="0"/>
              <w:divBdr>
                <w:top w:val="none" w:sz="0" w:space="0" w:color="auto"/>
                <w:left w:val="none" w:sz="0" w:space="0" w:color="auto"/>
                <w:bottom w:val="none" w:sz="0" w:space="0" w:color="auto"/>
                <w:right w:val="none" w:sz="0" w:space="0" w:color="auto"/>
              </w:divBdr>
            </w:div>
          </w:divsChild>
        </w:div>
        <w:div w:id="960264360">
          <w:marLeft w:val="0"/>
          <w:marRight w:val="0"/>
          <w:marTop w:val="0"/>
          <w:marBottom w:val="0"/>
          <w:divBdr>
            <w:top w:val="none" w:sz="0" w:space="0" w:color="auto"/>
            <w:left w:val="none" w:sz="0" w:space="0" w:color="auto"/>
            <w:bottom w:val="none" w:sz="0" w:space="0" w:color="auto"/>
            <w:right w:val="none" w:sz="0" w:space="0" w:color="auto"/>
          </w:divBdr>
          <w:divsChild>
            <w:div w:id="920985630">
              <w:marLeft w:val="0"/>
              <w:marRight w:val="0"/>
              <w:marTop w:val="0"/>
              <w:marBottom w:val="0"/>
              <w:divBdr>
                <w:top w:val="none" w:sz="0" w:space="0" w:color="auto"/>
                <w:left w:val="none" w:sz="0" w:space="0" w:color="auto"/>
                <w:bottom w:val="none" w:sz="0" w:space="0" w:color="auto"/>
                <w:right w:val="none" w:sz="0" w:space="0" w:color="auto"/>
              </w:divBdr>
              <w:divsChild>
                <w:div w:id="7077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4499">
          <w:marLeft w:val="0"/>
          <w:marRight w:val="0"/>
          <w:marTop w:val="0"/>
          <w:marBottom w:val="0"/>
          <w:divBdr>
            <w:top w:val="none" w:sz="0" w:space="0" w:color="auto"/>
            <w:left w:val="none" w:sz="0" w:space="0" w:color="auto"/>
            <w:bottom w:val="none" w:sz="0" w:space="0" w:color="auto"/>
            <w:right w:val="none" w:sz="0" w:space="0" w:color="auto"/>
          </w:divBdr>
          <w:divsChild>
            <w:div w:id="1640263680">
              <w:marLeft w:val="0"/>
              <w:marRight w:val="0"/>
              <w:marTop w:val="60"/>
              <w:marBottom w:val="0"/>
              <w:divBdr>
                <w:top w:val="none" w:sz="0" w:space="0" w:color="auto"/>
                <w:left w:val="none" w:sz="0" w:space="0" w:color="auto"/>
                <w:bottom w:val="none" w:sz="0" w:space="0" w:color="auto"/>
                <w:right w:val="none" w:sz="0" w:space="0" w:color="auto"/>
              </w:divBdr>
            </w:div>
          </w:divsChild>
        </w:div>
        <w:div w:id="1407872273">
          <w:marLeft w:val="0"/>
          <w:marRight w:val="0"/>
          <w:marTop w:val="0"/>
          <w:marBottom w:val="0"/>
          <w:divBdr>
            <w:top w:val="none" w:sz="0" w:space="0" w:color="auto"/>
            <w:left w:val="none" w:sz="0" w:space="0" w:color="auto"/>
            <w:bottom w:val="none" w:sz="0" w:space="0" w:color="auto"/>
            <w:right w:val="none" w:sz="0" w:space="0" w:color="auto"/>
          </w:divBdr>
        </w:div>
        <w:div w:id="1824925050">
          <w:marLeft w:val="0"/>
          <w:marRight w:val="0"/>
          <w:marTop w:val="0"/>
          <w:marBottom w:val="0"/>
          <w:divBdr>
            <w:top w:val="none" w:sz="0" w:space="0" w:color="auto"/>
            <w:left w:val="none" w:sz="0" w:space="0" w:color="auto"/>
            <w:bottom w:val="none" w:sz="0" w:space="0" w:color="auto"/>
            <w:right w:val="none" w:sz="0" w:space="0" w:color="auto"/>
          </w:divBdr>
          <w:divsChild>
            <w:div w:id="2049598013">
              <w:marLeft w:val="0"/>
              <w:marRight w:val="0"/>
              <w:marTop w:val="0"/>
              <w:marBottom w:val="0"/>
              <w:divBdr>
                <w:top w:val="none" w:sz="0" w:space="0" w:color="auto"/>
                <w:left w:val="none" w:sz="0" w:space="0" w:color="auto"/>
                <w:bottom w:val="none" w:sz="0" w:space="0" w:color="auto"/>
                <w:right w:val="none" w:sz="0" w:space="0" w:color="auto"/>
              </w:divBdr>
              <w:divsChild>
                <w:div w:id="1458991579">
                  <w:marLeft w:val="0"/>
                  <w:marRight w:val="0"/>
                  <w:marTop w:val="0"/>
                  <w:marBottom w:val="0"/>
                  <w:divBdr>
                    <w:top w:val="none" w:sz="0" w:space="0" w:color="auto"/>
                    <w:left w:val="none" w:sz="0" w:space="0" w:color="auto"/>
                    <w:bottom w:val="none" w:sz="0" w:space="0" w:color="auto"/>
                    <w:right w:val="none" w:sz="0" w:space="0" w:color="auto"/>
                  </w:divBdr>
                  <w:divsChild>
                    <w:div w:id="13060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41386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desaparecidos.org/arg/conadep/nuncamas/" TargetMode="External"/><Relationship Id="rId2" Type="http://schemas.openxmlformats.org/officeDocument/2006/relationships/hyperlink" Target="http://servicios.infoleg.gob.ar/infolegInternet/anexos/160000-164999/161545/texact.htm" TargetMode="External"/><Relationship Id="rId1" Type="http://schemas.openxmlformats.org/officeDocument/2006/relationships/hyperlink" Target="http://servicios.infoleg.gob.ar/infolegInternet/anexos/45000-49999/47982/texact.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0" ma:contentTypeDescription="Create a new document." ma:contentTypeScope="" ma:versionID="a3c9e2074a419d971f823c9b93150342">
  <xsd:schema xmlns:xsd="http://www.w3.org/2001/XMLSchema" xmlns:xs="http://www.w3.org/2001/XMLSchema" xmlns:p="http://schemas.microsoft.com/office/2006/metadata/properties" xmlns:ns2="7ff2a89a-f9c3-4229-b04b-1f4abb2786a1" targetNamespace="http://schemas.microsoft.com/office/2006/metadata/properties" ma:root="true" ma:fieldsID="547aa0da750f56173e33ae577620fc7d" ns2:_="">
    <xsd:import namespace="7ff2a89a-f9c3-4229-b04b-1f4abb2786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DE3419-4F3D-4C30-83DD-6EF0501E1958}">
  <ds:schemaRefs>
    <ds:schemaRef ds:uri="http://schemas.openxmlformats.org/officeDocument/2006/bibliography"/>
  </ds:schemaRefs>
</ds:datastoreItem>
</file>

<file path=customXml/itemProps2.xml><?xml version="1.0" encoding="utf-8"?>
<ds:datastoreItem xmlns:ds="http://schemas.openxmlformats.org/officeDocument/2006/customXml" ds:itemID="{27D5CDBB-9655-462D-A3EF-8A5794D6A826}">
  <ds:schemaRefs>
    <ds:schemaRef ds:uri="http://schemas.microsoft.com/sharepoint/v3/contenttype/forms"/>
  </ds:schemaRefs>
</ds:datastoreItem>
</file>

<file path=customXml/itemProps3.xml><?xml version="1.0" encoding="utf-8"?>
<ds:datastoreItem xmlns:ds="http://schemas.openxmlformats.org/officeDocument/2006/customXml" ds:itemID="{29455C74-4326-4031-B421-7AF945748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B6E58B-3642-40EC-861C-3F86BB51AD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19991</Words>
  <Characters>113949</Characters>
  <Application>Microsoft Office Word</Application>
  <DocSecurity>0</DocSecurity>
  <Lines>949</Lines>
  <Paragraphs>267</Paragraphs>
  <ScaleCrop>false</ScaleCrop>
  <Company/>
  <LinksUpToDate>false</LinksUpToDate>
  <CharactersWithSpaces>133673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2025-04-24T17:03:00Z</dcterms:created>
  <dcterms:modified xsi:type="dcterms:W3CDTF">2025-04-24T17:03:00Z</dcterms:modified>
</cp:coreProperties>
</file>