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7AD2" w14:textId="77777777" w:rsidR="00040C3A" w:rsidRPr="00A433FF" w:rsidRDefault="006311DA" w:rsidP="00627C9F">
      <w:pPr>
        <w:jc w:val="both"/>
        <w:rPr>
          <w:rFonts w:asciiTheme="majorHAnsi" w:hAnsiTheme="majorHAnsi" w:cs="Univers"/>
          <w:b/>
          <w:bCs/>
          <w:sz w:val="22"/>
          <w:szCs w:val="22"/>
        </w:rPr>
      </w:pPr>
      <w:r w:rsidRPr="00A433FF">
        <w:rPr>
          <w:rFonts w:asciiTheme="majorHAnsi" w:hAnsiTheme="majorHAnsi"/>
          <w:noProof/>
          <w:sz w:val="22"/>
          <w:szCs w:val="22"/>
          <w:lang w:val="es-ES" w:eastAsia="es-ES"/>
        </w:rPr>
        <mc:AlternateContent>
          <mc:Choice Requires="wps">
            <w:drawing>
              <wp:anchor distT="0" distB="0" distL="114300" distR="114300" simplePos="0" relativeHeight="251661311" behindDoc="0" locked="0" layoutInCell="1" allowOverlap="1" wp14:anchorId="2CA82999" wp14:editId="4A50A4B4">
                <wp:simplePos x="0" y="0"/>
                <wp:positionH relativeFrom="column">
                  <wp:posOffset>-415925</wp:posOffset>
                </wp:positionH>
                <wp:positionV relativeFrom="paragraph">
                  <wp:posOffset>-356870</wp:posOffset>
                </wp:positionV>
                <wp:extent cx="1409700" cy="8977630"/>
                <wp:effectExtent l="0" t="0" r="1270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2240" id="Rectangle 1" o:spid="_x0000_s1026"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" fillcolor="#67ae3c" stroked="f" strokeweight="2pt"/>
            </w:pict>
          </mc:Fallback>
        </mc:AlternateContent>
      </w:r>
      <w:r w:rsidR="00B31EBE" w:rsidRPr="00A433FF">
        <w:rPr>
          <w:rFonts w:asciiTheme="majorHAnsi" w:hAnsiTheme="majorHAnsi"/>
          <w:noProof/>
          <w:sz w:val="22"/>
          <w:szCs w:val="22"/>
          <w:lang w:val="es-ES" w:eastAsia="es-ES"/>
        </w:rPr>
        <mc:AlternateContent>
          <mc:Choice Requires="wps">
            <w:drawing>
              <wp:anchor distT="0" distB="0" distL="114300" distR="114300" simplePos="0" relativeHeight="251673600" behindDoc="0" locked="0" layoutInCell="1" allowOverlap="1" wp14:anchorId="12CB6A3B" wp14:editId="20B70EEF">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AD0BA" w14:textId="77777777" w:rsidR="00907400" w:rsidRDefault="00907400">
                            <w:r>
                              <w:rPr>
                                <w:noProof/>
                                <w:lang w:val="es-ES" w:eastAsia="es-ES"/>
                              </w:rPr>
                              <w:drawing>
                                <wp:inline distT="0" distB="0" distL="0" distR="0" wp14:anchorId="48045942" wp14:editId="69E109B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B6A3B"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010AD0BA" w14:textId="77777777" w:rsidR="00907400" w:rsidRDefault="00907400">
                      <w:r>
                        <w:rPr>
                          <w:noProof/>
                          <w:lang w:val="es-ES" w:eastAsia="es-ES"/>
                        </w:rPr>
                        <w:drawing>
                          <wp:inline distT="0" distB="0" distL="0" distR="0" wp14:anchorId="48045942" wp14:editId="69E109B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v:textbox>
              </v:shape>
            </w:pict>
          </mc:Fallback>
        </mc:AlternateContent>
      </w:r>
    </w:p>
    <w:p w14:paraId="059E9E23" w14:textId="77777777" w:rsidR="00040C3A" w:rsidRPr="00A433FF" w:rsidRDefault="00040C3A" w:rsidP="00040C3A">
      <w:pPr>
        <w:tabs>
          <w:tab w:val="center" w:pos="5400"/>
        </w:tabs>
        <w:suppressAutoHyphens/>
        <w:jc w:val="both"/>
        <w:rPr>
          <w:rFonts w:asciiTheme="majorHAnsi" w:hAnsiTheme="majorHAnsi"/>
          <w:sz w:val="22"/>
          <w:szCs w:val="22"/>
        </w:rPr>
      </w:pPr>
    </w:p>
    <w:p w14:paraId="31256202" w14:textId="77777777" w:rsidR="00040C3A" w:rsidRPr="00A433FF" w:rsidRDefault="00040C3A" w:rsidP="00040C3A">
      <w:pPr>
        <w:tabs>
          <w:tab w:val="center" w:pos="5400"/>
        </w:tabs>
        <w:suppressAutoHyphens/>
        <w:jc w:val="both"/>
        <w:rPr>
          <w:rFonts w:asciiTheme="majorHAnsi" w:hAnsiTheme="majorHAnsi"/>
          <w:sz w:val="22"/>
          <w:szCs w:val="22"/>
        </w:rPr>
      </w:pPr>
    </w:p>
    <w:p w14:paraId="022DB089" w14:textId="77777777" w:rsidR="005128E4" w:rsidRPr="00A433FF" w:rsidRDefault="005128E4" w:rsidP="00040C3A">
      <w:pPr>
        <w:tabs>
          <w:tab w:val="center" w:pos="5400"/>
        </w:tabs>
        <w:suppressAutoHyphens/>
        <w:rPr>
          <w:rFonts w:asciiTheme="majorHAnsi" w:hAnsiTheme="majorHAnsi"/>
          <w:sz w:val="22"/>
          <w:szCs w:val="22"/>
        </w:rPr>
      </w:pPr>
    </w:p>
    <w:p w14:paraId="2DDA2806" w14:textId="77777777" w:rsidR="005128E4" w:rsidRPr="00A433FF" w:rsidRDefault="005128E4" w:rsidP="00040C3A">
      <w:pPr>
        <w:tabs>
          <w:tab w:val="center" w:pos="5400"/>
        </w:tabs>
        <w:suppressAutoHyphens/>
        <w:rPr>
          <w:rFonts w:asciiTheme="majorHAnsi" w:hAnsiTheme="majorHAnsi"/>
          <w:sz w:val="22"/>
          <w:szCs w:val="22"/>
        </w:rPr>
      </w:pPr>
    </w:p>
    <w:p w14:paraId="253E4720" w14:textId="77777777" w:rsidR="005128E4" w:rsidRPr="00A433FF" w:rsidRDefault="005128E4" w:rsidP="00040C3A">
      <w:pPr>
        <w:tabs>
          <w:tab w:val="center" w:pos="5400"/>
        </w:tabs>
        <w:suppressAutoHyphens/>
        <w:rPr>
          <w:rFonts w:asciiTheme="majorHAnsi" w:hAnsiTheme="majorHAnsi"/>
          <w:sz w:val="22"/>
          <w:szCs w:val="22"/>
        </w:rPr>
      </w:pPr>
    </w:p>
    <w:p w14:paraId="613B520B" w14:textId="77777777" w:rsidR="00040C3A" w:rsidRPr="00A433FF" w:rsidRDefault="00040C3A" w:rsidP="005128E4">
      <w:pPr>
        <w:tabs>
          <w:tab w:val="center" w:pos="5400"/>
        </w:tabs>
        <w:suppressAutoHyphens/>
        <w:jc w:val="center"/>
        <w:rPr>
          <w:rFonts w:asciiTheme="majorHAnsi" w:hAnsiTheme="majorHAnsi"/>
          <w:sz w:val="22"/>
          <w:szCs w:val="22"/>
        </w:rPr>
      </w:pPr>
    </w:p>
    <w:p w14:paraId="3BC74B69" w14:textId="77777777" w:rsidR="00040C3A" w:rsidRPr="00A433FF" w:rsidRDefault="00040C3A" w:rsidP="005128E4">
      <w:pPr>
        <w:tabs>
          <w:tab w:val="center" w:pos="5400"/>
        </w:tabs>
        <w:suppressAutoHyphens/>
        <w:jc w:val="center"/>
        <w:rPr>
          <w:rFonts w:asciiTheme="majorHAnsi" w:hAnsiTheme="majorHAnsi"/>
          <w:sz w:val="22"/>
          <w:szCs w:val="22"/>
        </w:rPr>
      </w:pPr>
    </w:p>
    <w:p w14:paraId="67A4C5B2" w14:textId="77777777" w:rsidR="005B52B0" w:rsidRPr="00A433FF" w:rsidRDefault="005B52B0" w:rsidP="005128E4">
      <w:pPr>
        <w:tabs>
          <w:tab w:val="center" w:pos="5400"/>
        </w:tabs>
        <w:suppressAutoHyphens/>
        <w:jc w:val="center"/>
        <w:rPr>
          <w:rFonts w:asciiTheme="majorHAnsi" w:hAnsiTheme="majorHAnsi"/>
          <w:sz w:val="22"/>
          <w:szCs w:val="22"/>
        </w:rPr>
      </w:pPr>
    </w:p>
    <w:p w14:paraId="3741339A" w14:textId="77777777" w:rsidR="005B52B0" w:rsidRPr="00A433FF" w:rsidRDefault="005B52B0" w:rsidP="005128E4">
      <w:pPr>
        <w:tabs>
          <w:tab w:val="center" w:pos="5400"/>
        </w:tabs>
        <w:suppressAutoHyphens/>
        <w:jc w:val="center"/>
        <w:rPr>
          <w:rFonts w:asciiTheme="majorHAnsi" w:hAnsiTheme="majorHAnsi"/>
          <w:sz w:val="22"/>
          <w:szCs w:val="22"/>
        </w:rPr>
      </w:pPr>
    </w:p>
    <w:p w14:paraId="5B657109" w14:textId="77777777" w:rsidR="005B52B0" w:rsidRPr="00A433FF" w:rsidRDefault="005B52B0" w:rsidP="005128E4">
      <w:pPr>
        <w:tabs>
          <w:tab w:val="center" w:pos="5400"/>
        </w:tabs>
        <w:suppressAutoHyphens/>
        <w:jc w:val="center"/>
        <w:rPr>
          <w:rFonts w:asciiTheme="majorHAnsi" w:hAnsiTheme="majorHAnsi"/>
          <w:sz w:val="22"/>
          <w:szCs w:val="22"/>
        </w:rPr>
      </w:pPr>
    </w:p>
    <w:p w14:paraId="5DAE5B28" w14:textId="77777777" w:rsidR="00040C3A" w:rsidRPr="00A433FF" w:rsidRDefault="00040C3A" w:rsidP="00040C3A">
      <w:pPr>
        <w:tabs>
          <w:tab w:val="center" w:pos="5400"/>
        </w:tabs>
        <w:suppressAutoHyphens/>
        <w:jc w:val="center"/>
        <w:rPr>
          <w:rFonts w:asciiTheme="majorHAnsi" w:hAnsiTheme="majorHAnsi"/>
          <w:sz w:val="22"/>
          <w:szCs w:val="22"/>
        </w:rPr>
      </w:pPr>
    </w:p>
    <w:p w14:paraId="04EBF529" w14:textId="77777777" w:rsidR="00040C3A" w:rsidRPr="00A433FF" w:rsidRDefault="00040C3A" w:rsidP="00040C3A">
      <w:pPr>
        <w:tabs>
          <w:tab w:val="center" w:pos="5400"/>
        </w:tabs>
        <w:suppressAutoHyphens/>
        <w:jc w:val="center"/>
        <w:rPr>
          <w:rFonts w:asciiTheme="majorHAnsi" w:hAnsiTheme="majorHAnsi"/>
          <w:sz w:val="22"/>
          <w:szCs w:val="22"/>
        </w:rPr>
      </w:pPr>
    </w:p>
    <w:p w14:paraId="6B28E163" w14:textId="77777777" w:rsidR="00040C3A" w:rsidRPr="00A433FF" w:rsidRDefault="00040C3A" w:rsidP="00040C3A">
      <w:pPr>
        <w:tabs>
          <w:tab w:val="center" w:pos="5400"/>
        </w:tabs>
        <w:suppressAutoHyphens/>
        <w:jc w:val="center"/>
        <w:rPr>
          <w:rFonts w:asciiTheme="majorHAnsi" w:hAnsiTheme="majorHAnsi"/>
          <w:sz w:val="22"/>
          <w:szCs w:val="22"/>
        </w:rPr>
      </w:pPr>
    </w:p>
    <w:p w14:paraId="1A5B7559" w14:textId="77777777" w:rsidR="00040C3A" w:rsidRPr="00A433FF" w:rsidRDefault="00E533FF" w:rsidP="00040C3A">
      <w:pPr>
        <w:tabs>
          <w:tab w:val="center" w:pos="5400"/>
        </w:tabs>
        <w:suppressAutoHyphens/>
        <w:jc w:val="center"/>
        <w:rPr>
          <w:rFonts w:asciiTheme="majorHAnsi" w:hAnsiTheme="majorHAnsi"/>
          <w:sz w:val="22"/>
          <w:szCs w:val="22"/>
        </w:rPr>
      </w:pPr>
      <w:r w:rsidRPr="00A433FF">
        <w:rPr>
          <w:rFonts w:asciiTheme="majorHAnsi" w:hAnsiTheme="majorHAnsi"/>
          <w:noProof/>
          <w:sz w:val="22"/>
          <w:szCs w:val="22"/>
          <w:lang w:val="es-ES" w:eastAsia="es-ES"/>
        </w:rPr>
        <mc:AlternateContent>
          <mc:Choice Requires="wps">
            <w:drawing>
              <wp:anchor distT="0" distB="0" distL="114300" distR="114300" simplePos="0" relativeHeight="251669504" behindDoc="0" locked="0" layoutInCell="1" allowOverlap="1" wp14:anchorId="29C4B4D4" wp14:editId="7A59DFDC">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33875" cy="235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A4BB8" w14:textId="5C210114" w:rsidR="00907400" w:rsidRPr="00445C5F" w:rsidRDefault="00907400" w:rsidP="004B7EB6">
                            <w:pPr>
                              <w:spacing w:line="276" w:lineRule="auto"/>
                              <w:rPr>
                                <w:rFonts w:asciiTheme="majorHAnsi" w:hAnsiTheme="majorHAnsi" w:cs="Arial"/>
                                <w:b/>
                                <w:bCs/>
                                <w:color w:val="0D0D0D" w:themeColor="text1" w:themeTint="F2"/>
                                <w:sz w:val="36"/>
                                <w:szCs w:val="40"/>
                              </w:rPr>
                            </w:pPr>
                            <w:r w:rsidRPr="00445C5F">
                              <w:rPr>
                                <w:rFonts w:asciiTheme="majorHAnsi" w:hAnsiTheme="majorHAnsi" w:cs="Arial"/>
                                <w:b/>
                                <w:bCs/>
                                <w:color w:val="0D0D0D" w:themeColor="text1" w:themeTint="F2"/>
                                <w:sz w:val="36"/>
                                <w:szCs w:val="40"/>
                              </w:rPr>
                              <w:t xml:space="preserve">REPORT No. </w:t>
                            </w:r>
                            <w:r w:rsidR="004A399A">
                              <w:rPr>
                                <w:rFonts w:asciiTheme="majorHAnsi" w:hAnsiTheme="majorHAnsi" w:cs="Arial"/>
                                <w:b/>
                                <w:bCs/>
                                <w:color w:val="0D0D0D" w:themeColor="text1" w:themeTint="F2"/>
                                <w:sz w:val="36"/>
                                <w:szCs w:val="40"/>
                              </w:rPr>
                              <w:t>114</w:t>
                            </w:r>
                            <w:r w:rsidRPr="00445C5F">
                              <w:rPr>
                                <w:rFonts w:asciiTheme="majorHAnsi" w:hAnsiTheme="majorHAnsi" w:cs="Arial"/>
                                <w:b/>
                                <w:bCs/>
                                <w:color w:val="0D0D0D" w:themeColor="text1" w:themeTint="F2"/>
                                <w:sz w:val="36"/>
                                <w:szCs w:val="40"/>
                              </w:rPr>
                              <w:t>/</w:t>
                            </w:r>
                            <w:r w:rsidR="00F30B66" w:rsidRPr="00445C5F">
                              <w:rPr>
                                <w:rFonts w:asciiTheme="majorHAnsi" w:hAnsiTheme="majorHAnsi" w:cs="Arial"/>
                                <w:b/>
                                <w:bCs/>
                                <w:color w:val="0D0D0D" w:themeColor="text1" w:themeTint="F2"/>
                                <w:sz w:val="36"/>
                                <w:szCs w:val="40"/>
                              </w:rPr>
                              <w:t>25</w:t>
                            </w:r>
                          </w:p>
                          <w:p w14:paraId="7AB7C0EC" w14:textId="77777777" w:rsidR="00907400" w:rsidRPr="00445C5F" w:rsidRDefault="00907400" w:rsidP="004B7EB6">
                            <w:pPr>
                              <w:spacing w:line="276" w:lineRule="auto"/>
                              <w:rPr>
                                <w:rFonts w:asciiTheme="majorHAnsi" w:hAnsiTheme="majorHAnsi" w:cs="Arial"/>
                                <w:b/>
                                <w:bCs/>
                                <w:color w:val="0D0D0D" w:themeColor="text1" w:themeTint="F2"/>
                                <w:sz w:val="36"/>
                                <w:szCs w:val="40"/>
                              </w:rPr>
                            </w:pPr>
                            <w:r w:rsidRPr="00445C5F">
                              <w:rPr>
                                <w:rFonts w:asciiTheme="majorHAnsi" w:hAnsiTheme="majorHAnsi" w:cs="Arial"/>
                                <w:b/>
                                <w:bCs/>
                                <w:color w:val="0D0D0D" w:themeColor="text1" w:themeTint="F2"/>
                                <w:sz w:val="36"/>
                                <w:szCs w:val="40"/>
                              </w:rPr>
                              <w:t>CASE 12.491</w:t>
                            </w:r>
                          </w:p>
                          <w:p w14:paraId="767115B1" w14:textId="57B37E36" w:rsidR="00907400" w:rsidRPr="00445C5F" w:rsidRDefault="00C956F7" w:rsidP="004B7EB6">
                            <w:pPr>
                              <w:spacing w:line="276" w:lineRule="auto"/>
                              <w:rPr>
                                <w:rFonts w:asciiTheme="majorHAnsi" w:hAnsiTheme="majorHAnsi" w:cs="Arial"/>
                                <w:color w:val="0D0D0D" w:themeColor="text1" w:themeTint="F2"/>
                                <w:szCs w:val="22"/>
                              </w:rPr>
                            </w:pPr>
                            <w:r w:rsidRPr="00445C5F">
                              <w:rPr>
                                <w:rFonts w:asciiTheme="majorHAnsi" w:hAnsiTheme="majorHAnsi" w:cs="Arial"/>
                                <w:color w:val="0D0D0D" w:themeColor="text1" w:themeTint="F2"/>
                                <w:szCs w:val="22"/>
                              </w:rPr>
                              <w:t>MERITS REPORT</w:t>
                            </w:r>
                            <w:r w:rsidR="00F30B66" w:rsidRPr="00445C5F">
                              <w:rPr>
                                <w:rFonts w:asciiTheme="majorHAnsi" w:hAnsiTheme="majorHAnsi" w:cs="Arial"/>
                                <w:color w:val="0D0D0D" w:themeColor="text1" w:themeTint="F2"/>
                                <w:szCs w:val="22"/>
                              </w:rPr>
                              <w:t xml:space="preserve"> (</w:t>
                            </w:r>
                            <w:r w:rsidR="004A399A">
                              <w:rPr>
                                <w:rFonts w:asciiTheme="majorHAnsi" w:hAnsiTheme="majorHAnsi" w:cs="Arial"/>
                                <w:color w:val="0D0D0D" w:themeColor="text1" w:themeTint="F2"/>
                                <w:szCs w:val="22"/>
                              </w:rPr>
                              <w:t>PUBLICATION</w:t>
                            </w:r>
                            <w:r w:rsidR="00F30B66" w:rsidRPr="00445C5F">
                              <w:rPr>
                                <w:rFonts w:asciiTheme="majorHAnsi" w:hAnsiTheme="majorHAnsi" w:cs="Arial"/>
                                <w:color w:val="0D0D0D" w:themeColor="text1" w:themeTint="F2"/>
                                <w:szCs w:val="22"/>
                              </w:rPr>
                              <w:t>)</w:t>
                            </w:r>
                          </w:p>
                          <w:p w14:paraId="6B5A2028" w14:textId="77777777" w:rsidR="00907400" w:rsidRPr="00445C5F" w:rsidRDefault="00907400" w:rsidP="004B7EB6">
                            <w:pPr>
                              <w:spacing w:line="276" w:lineRule="auto"/>
                              <w:rPr>
                                <w:rFonts w:asciiTheme="majorHAnsi" w:hAnsiTheme="majorHAnsi" w:cs="Arial"/>
                                <w:color w:val="0D0D0D" w:themeColor="text1" w:themeTint="F2"/>
                                <w:szCs w:val="22"/>
                              </w:rPr>
                            </w:pPr>
                          </w:p>
                          <w:p w14:paraId="7B909E48" w14:textId="77777777" w:rsidR="00907400" w:rsidRPr="00EB7A2B" w:rsidRDefault="00907400" w:rsidP="00F42B71">
                            <w:pPr>
                              <w:pBdr>
                                <w:top w:val="none" w:sz="0" w:space="0" w:color="auto"/>
                                <w:left w:val="none" w:sz="0" w:space="0" w:color="auto"/>
                                <w:bottom w:val="none" w:sz="0" w:space="0" w:color="auto"/>
                                <w:right w:val="none" w:sz="0" w:space="0" w:color="auto"/>
                                <w:bar w:val="none" w:sz="0" w:color="auto"/>
                              </w:pBdr>
                              <w:spacing w:line="276" w:lineRule="auto"/>
                              <w:rPr>
                                <w:rFonts w:ascii="Cambria" w:hAnsi="Cambria" w:cs="Arial"/>
                                <w:color w:val="0D0D0D"/>
                                <w:szCs w:val="22"/>
                                <w:lang w:val="es-CO"/>
                              </w:rPr>
                            </w:pPr>
                            <w:r w:rsidRPr="00EB7A2B">
                              <w:rPr>
                                <w:rFonts w:asciiTheme="majorHAnsi" w:hAnsiTheme="majorHAnsi" w:cs="Arial"/>
                                <w:color w:val="0D0D0D" w:themeColor="text1" w:themeTint="F2"/>
                                <w:szCs w:val="22"/>
                                <w:lang w:val="es-CO"/>
                              </w:rPr>
                              <w:t>GUSTAVO SASTOQUE ALFONSO</w:t>
                            </w:r>
                          </w:p>
                          <w:p w14:paraId="761524D1" w14:textId="77777777" w:rsidR="00907400" w:rsidRPr="00F30B66" w:rsidRDefault="00907400" w:rsidP="00F42B71">
                            <w:pPr>
                              <w:pBdr>
                                <w:top w:val="none" w:sz="0" w:space="0" w:color="auto"/>
                                <w:left w:val="none" w:sz="0" w:space="0" w:color="auto"/>
                                <w:bottom w:val="none" w:sz="0" w:space="0" w:color="auto"/>
                                <w:right w:val="none" w:sz="0" w:space="0" w:color="auto"/>
                                <w:bar w:val="none" w:sz="0" w:color="auto"/>
                              </w:pBdr>
                              <w:spacing w:line="276" w:lineRule="auto"/>
                              <w:rPr>
                                <w:rFonts w:ascii="Cambria" w:hAnsi="Cambria" w:cs="Arial"/>
                                <w:color w:val="0D0D0D"/>
                                <w:szCs w:val="22"/>
                                <w:lang w:val="es-US"/>
                              </w:rPr>
                            </w:pPr>
                            <w:r w:rsidRPr="00F30B66">
                              <w:rPr>
                                <w:rFonts w:ascii="Cambria" w:hAnsi="Cambria" w:cs="Arial"/>
                                <w:color w:val="0D0D0D"/>
                                <w:szCs w:val="22"/>
                                <w:lang w:val="es-US"/>
                              </w:rPr>
                              <w:t>COLOMBIA</w:t>
                            </w:r>
                          </w:p>
                          <w:p w14:paraId="24325F16" w14:textId="77777777" w:rsidR="00907400" w:rsidRPr="00F30B66" w:rsidRDefault="00907400" w:rsidP="00F42B71">
                            <w:pPr>
                              <w:spacing w:line="276" w:lineRule="auto"/>
                              <w:rPr>
                                <w:rFonts w:asciiTheme="majorHAnsi" w:hAnsiTheme="majorHAnsi"/>
                                <w:color w:val="0D0D0D" w:themeColor="text1" w:themeTint="F2"/>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B4D4" id="Text Box 5" o:spid="_x0000_s1027" type="#_x0000_t202"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" filled="f" stroked="f" strokeweight=".5pt">
                <v:textbox>
                  <w:txbxContent>
                    <w:p w14:paraId="7C7A4BB8" w14:textId="5C210114" w:rsidR="00907400" w:rsidRPr="00445C5F" w:rsidRDefault="00907400" w:rsidP="004B7EB6">
                      <w:pPr>
                        <w:spacing w:line="276" w:lineRule="auto"/>
                        <w:rPr>
                          <w:rFonts w:asciiTheme="majorHAnsi" w:hAnsiTheme="majorHAnsi" w:cs="Arial"/>
                          <w:b/>
                          <w:bCs/>
                          <w:color w:val="0D0D0D" w:themeColor="text1" w:themeTint="F2"/>
                          <w:sz w:val="36"/>
                          <w:szCs w:val="40"/>
                        </w:rPr>
                      </w:pPr>
                      <w:r w:rsidRPr="00445C5F">
                        <w:rPr>
                          <w:rFonts w:asciiTheme="majorHAnsi" w:hAnsiTheme="majorHAnsi" w:cs="Arial"/>
                          <w:b/>
                          <w:bCs/>
                          <w:color w:val="0D0D0D" w:themeColor="text1" w:themeTint="F2"/>
                          <w:sz w:val="36"/>
                          <w:szCs w:val="40"/>
                        </w:rPr>
                        <w:t xml:space="preserve">REPORT No. </w:t>
                      </w:r>
                      <w:r w:rsidR="004A399A">
                        <w:rPr>
                          <w:rFonts w:asciiTheme="majorHAnsi" w:hAnsiTheme="majorHAnsi" w:cs="Arial"/>
                          <w:b/>
                          <w:bCs/>
                          <w:color w:val="0D0D0D" w:themeColor="text1" w:themeTint="F2"/>
                          <w:sz w:val="36"/>
                          <w:szCs w:val="40"/>
                        </w:rPr>
                        <w:t>114</w:t>
                      </w:r>
                      <w:r w:rsidRPr="00445C5F">
                        <w:rPr>
                          <w:rFonts w:asciiTheme="majorHAnsi" w:hAnsiTheme="majorHAnsi" w:cs="Arial"/>
                          <w:b/>
                          <w:bCs/>
                          <w:color w:val="0D0D0D" w:themeColor="text1" w:themeTint="F2"/>
                          <w:sz w:val="36"/>
                          <w:szCs w:val="40"/>
                        </w:rPr>
                        <w:t>/</w:t>
                      </w:r>
                      <w:r w:rsidR="00F30B66" w:rsidRPr="00445C5F">
                        <w:rPr>
                          <w:rFonts w:asciiTheme="majorHAnsi" w:hAnsiTheme="majorHAnsi" w:cs="Arial"/>
                          <w:b/>
                          <w:bCs/>
                          <w:color w:val="0D0D0D" w:themeColor="text1" w:themeTint="F2"/>
                          <w:sz w:val="36"/>
                          <w:szCs w:val="40"/>
                        </w:rPr>
                        <w:t>25</w:t>
                      </w:r>
                    </w:p>
                    <w:p w14:paraId="7AB7C0EC" w14:textId="77777777" w:rsidR="00907400" w:rsidRPr="00445C5F" w:rsidRDefault="00907400" w:rsidP="004B7EB6">
                      <w:pPr>
                        <w:spacing w:line="276" w:lineRule="auto"/>
                        <w:rPr>
                          <w:rFonts w:asciiTheme="majorHAnsi" w:hAnsiTheme="majorHAnsi" w:cs="Arial"/>
                          <w:b/>
                          <w:bCs/>
                          <w:color w:val="0D0D0D" w:themeColor="text1" w:themeTint="F2"/>
                          <w:sz w:val="36"/>
                          <w:szCs w:val="40"/>
                        </w:rPr>
                      </w:pPr>
                      <w:r w:rsidRPr="00445C5F">
                        <w:rPr>
                          <w:rFonts w:asciiTheme="majorHAnsi" w:hAnsiTheme="majorHAnsi" w:cs="Arial"/>
                          <w:b/>
                          <w:bCs/>
                          <w:color w:val="0D0D0D" w:themeColor="text1" w:themeTint="F2"/>
                          <w:sz w:val="36"/>
                          <w:szCs w:val="40"/>
                        </w:rPr>
                        <w:t>CASE 12.491</w:t>
                      </w:r>
                    </w:p>
                    <w:p w14:paraId="767115B1" w14:textId="57B37E36" w:rsidR="00907400" w:rsidRPr="00445C5F" w:rsidRDefault="00C956F7" w:rsidP="004B7EB6">
                      <w:pPr>
                        <w:spacing w:line="276" w:lineRule="auto"/>
                        <w:rPr>
                          <w:rFonts w:asciiTheme="majorHAnsi" w:hAnsiTheme="majorHAnsi" w:cs="Arial"/>
                          <w:color w:val="0D0D0D" w:themeColor="text1" w:themeTint="F2"/>
                          <w:szCs w:val="22"/>
                        </w:rPr>
                      </w:pPr>
                      <w:r w:rsidRPr="00445C5F">
                        <w:rPr>
                          <w:rFonts w:asciiTheme="majorHAnsi" w:hAnsiTheme="majorHAnsi" w:cs="Arial"/>
                          <w:color w:val="0D0D0D" w:themeColor="text1" w:themeTint="F2"/>
                          <w:szCs w:val="22"/>
                        </w:rPr>
                        <w:t>MERITS REPORT</w:t>
                      </w:r>
                      <w:r w:rsidR="00F30B66" w:rsidRPr="00445C5F">
                        <w:rPr>
                          <w:rFonts w:asciiTheme="majorHAnsi" w:hAnsiTheme="majorHAnsi" w:cs="Arial"/>
                          <w:color w:val="0D0D0D" w:themeColor="text1" w:themeTint="F2"/>
                          <w:szCs w:val="22"/>
                        </w:rPr>
                        <w:t xml:space="preserve"> (</w:t>
                      </w:r>
                      <w:r w:rsidR="004A399A">
                        <w:rPr>
                          <w:rFonts w:asciiTheme="majorHAnsi" w:hAnsiTheme="majorHAnsi" w:cs="Arial"/>
                          <w:color w:val="0D0D0D" w:themeColor="text1" w:themeTint="F2"/>
                          <w:szCs w:val="22"/>
                        </w:rPr>
                        <w:t>PUBLICATION</w:t>
                      </w:r>
                      <w:r w:rsidR="00F30B66" w:rsidRPr="00445C5F">
                        <w:rPr>
                          <w:rFonts w:asciiTheme="majorHAnsi" w:hAnsiTheme="majorHAnsi" w:cs="Arial"/>
                          <w:color w:val="0D0D0D" w:themeColor="text1" w:themeTint="F2"/>
                          <w:szCs w:val="22"/>
                        </w:rPr>
                        <w:t>)</w:t>
                      </w:r>
                    </w:p>
                    <w:p w14:paraId="6B5A2028" w14:textId="77777777" w:rsidR="00907400" w:rsidRPr="00445C5F" w:rsidRDefault="00907400" w:rsidP="004B7EB6">
                      <w:pPr>
                        <w:spacing w:line="276" w:lineRule="auto"/>
                        <w:rPr>
                          <w:rFonts w:asciiTheme="majorHAnsi" w:hAnsiTheme="majorHAnsi" w:cs="Arial"/>
                          <w:color w:val="0D0D0D" w:themeColor="text1" w:themeTint="F2"/>
                          <w:szCs w:val="22"/>
                        </w:rPr>
                      </w:pPr>
                    </w:p>
                    <w:p w14:paraId="7B909E48" w14:textId="77777777" w:rsidR="00907400" w:rsidRPr="00EB7A2B" w:rsidRDefault="00907400" w:rsidP="00F42B71">
                      <w:pPr>
                        <w:pBdr>
                          <w:top w:val="none" w:sz="0" w:space="0" w:color="auto"/>
                          <w:left w:val="none" w:sz="0" w:space="0" w:color="auto"/>
                          <w:bottom w:val="none" w:sz="0" w:space="0" w:color="auto"/>
                          <w:right w:val="none" w:sz="0" w:space="0" w:color="auto"/>
                          <w:bar w:val="none" w:sz="0" w:color="auto"/>
                        </w:pBdr>
                        <w:spacing w:line="276" w:lineRule="auto"/>
                        <w:rPr>
                          <w:rFonts w:ascii="Cambria" w:hAnsi="Cambria" w:cs="Arial"/>
                          <w:color w:val="0D0D0D"/>
                          <w:szCs w:val="22"/>
                          <w:lang w:val="es-CO"/>
                        </w:rPr>
                      </w:pPr>
                      <w:r w:rsidRPr="00EB7A2B">
                        <w:rPr>
                          <w:rFonts w:asciiTheme="majorHAnsi" w:hAnsiTheme="majorHAnsi" w:cs="Arial"/>
                          <w:color w:val="0D0D0D" w:themeColor="text1" w:themeTint="F2"/>
                          <w:szCs w:val="22"/>
                          <w:lang w:val="es-CO"/>
                        </w:rPr>
                        <w:t>GUSTAVO SASTOQUE ALFONSO</w:t>
                      </w:r>
                    </w:p>
                    <w:p w14:paraId="761524D1" w14:textId="77777777" w:rsidR="00907400" w:rsidRPr="00F30B66" w:rsidRDefault="00907400" w:rsidP="00F42B71">
                      <w:pPr>
                        <w:pBdr>
                          <w:top w:val="none" w:sz="0" w:space="0" w:color="auto"/>
                          <w:left w:val="none" w:sz="0" w:space="0" w:color="auto"/>
                          <w:bottom w:val="none" w:sz="0" w:space="0" w:color="auto"/>
                          <w:right w:val="none" w:sz="0" w:space="0" w:color="auto"/>
                          <w:bar w:val="none" w:sz="0" w:color="auto"/>
                        </w:pBdr>
                        <w:spacing w:line="276" w:lineRule="auto"/>
                        <w:rPr>
                          <w:rFonts w:ascii="Cambria" w:hAnsi="Cambria" w:cs="Arial"/>
                          <w:color w:val="0D0D0D"/>
                          <w:szCs w:val="22"/>
                          <w:lang w:val="es-US"/>
                        </w:rPr>
                      </w:pPr>
                      <w:r w:rsidRPr="00F30B66">
                        <w:rPr>
                          <w:rFonts w:ascii="Cambria" w:hAnsi="Cambria" w:cs="Arial"/>
                          <w:color w:val="0D0D0D"/>
                          <w:szCs w:val="22"/>
                          <w:lang w:val="es-US"/>
                        </w:rPr>
                        <w:t>COLOMBIA</w:t>
                      </w:r>
                    </w:p>
                    <w:p w14:paraId="24325F16" w14:textId="77777777" w:rsidR="00907400" w:rsidRPr="00F30B66" w:rsidRDefault="00907400" w:rsidP="00F42B71">
                      <w:pPr>
                        <w:spacing w:line="276" w:lineRule="auto"/>
                        <w:rPr>
                          <w:rFonts w:asciiTheme="majorHAnsi" w:hAnsiTheme="majorHAnsi"/>
                          <w:color w:val="0D0D0D" w:themeColor="text1" w:themeTint="F2"/>
                          <w:lang w:val="es-US"/>
                        </w:rPr>
                      </w:pPr>
                    </w:p>
                  </w:txbxContent>
                </v:textbox>
              </v:shape>
            </w:pict>
          </mc:Fallback>
        </mc:AlternateContent>
      </w:r>
      <w:r w:rsidR="004B7EB6" w:rsidRPr="00A433FF">
        <w:rPr>
          <w:rFonts w:asciiTheme="majorHAnsi" w:hAnsiTheme="majorHAnsi"/>
          <w:noProof/>
          <w:sz w:val="22"/>
          <w:szCs w:val="22"/>
          <w:lang w:val="es-ES" w:eastAsia="es-ES"/>
        </w:rPr>
        <mc:AlternateContent>
          <mc:Choice Requires="wps">
            <w:drawing>
              <wp:anchor distT="0" distB="0" distL="114300" distR="114300" simplePos="0" relativeHeight="251671552" behindDoc="0" locked="0" layoutInCell="1" allowOverlap="1" wp14:anchorId="64EDF9A0" wp14:editId="188E4EF6">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417EE" w14:textId="0D2102F1" w:rsidR="00907400" w:rsidRPr="00445C5F" w:rsidRDefault="00907400" w:rsidP="009E566A">
                            <w:pPr>
                              <w:jc w:val="right"/>
                              <w:rPr>
                                <w:rFonts w:asciiTheme="minorHAnsi" w:hAnsiTheme="minorHAnsi"/>
                                <w:color w:val="FFFFFF" w:themeColor="background1"/>
                                <w:sz w:val="22"/>
                              </w:rPr>
                            </w:pPr>
                            <w:r w:rsidRPr="00445C5F">
                              <w:rPr>
                                <w:rFonts w:asciiTheme="minorHAnsi" w:hAnsiTheme="minorHAnsi"/>
                                <w:color w:val="FFFFFF" w:themeColor="background1"/>
                                <w:sz w:val="22"/>
                              </w:rPr>
                              <w:t>OEA/Ser.L/V/II</w:t>
                            </w:r>
                          </w:p>
                          <w:p w14:paraId="5C66F913" w14:textId="1EE38EBD" w:rsidR="00907400" w:rsidRPr="00445C5F" w:rsidRDefault="00907400" w:rsidP="009E566A">
                            <w:pPr>
                              <w:jc w:val="right"/>
                              <w:rPr>
                                <w:rFonts w:asciiTheme="minorHAnsi" w:hAnsiTheme="minorHAnsi"/>
                                <w:color w:val="FFFFFF" w:themeColor="background1"/>
                                <w:sz w:val="22"/>
                              </w:rPr>
                            </w:pPr>
                            <w:r w:rsidRPr="00445C5F">
                              <w:rPr>
                                <w:rFonts w:asciiTheme="minorHAnsi" w:hAnsiTheme="minorHAnsi"/>
                                <w:color w:val="FFFFFF" w:themeColor="background1"/>
                                <w:sz w:val="22"/>
                              </w:rPr>
                              <w:t xml:space="preserve">Doc. </w:t>
                            </w:r>
                            <w:r w:rsidR="00F55742">
                              <w:rPr>
                                <w:rFonts w:asciiTheme="minorHAnsi" w:hAnsiTheme="minorHAnsi"/>
                                <w:color w:val="FFFFFF" w:themeColor="background1"/>
                                <w:sz w:val="22"/>
                              </w:rPr>
                              <w:t>120</w:t>
                            </w:r>
                          </w:p>
                          <w:p w14:paraId="756E3227" w14:textId="6D73FA5E" w:rsidR="00907400" w:rsidRPr="00907400" w:rsidRDefault="00F55742" w:rsidP="009E566A">
                            <w:pPr>
                              <w:jc w:val="right"/>
                              <w:rPr>
                                <w:rFonts w:asciiTheme="minorHAnsi" w:hAnsiTheme="minorHAnsi"/>
                                <w:color w:val="FFFFFF" w:themeColor="background1"/>
                                <w:sz w:val="22"/>
                              </w:rPr>
                            </w:pPr>
                            <w:r>
                              <w:rPr>
                                <w:rFonts w:asciiTheme="minorHAnsi" w:hAnsiTheme="minorHAnsi"/>
                                <w:color w:val="FFFFFF" w:themeColor="background1"/>
                                <w:sz w:val="22"/>
                              </w:rPr>
                              <w:t>July 15</w:t>
                            </w:r>
                            <w:r w:rsidR="00C956F7">
                              <w:rPr>
                                <w:rFonts w:asciiTheme="minorHAnsi" w:hAnsiTheme="minorHAnsi"/>
                                <w:color w:val="FFFFFF" w:themeColor="background1"/>
                                <w:sz w:val="22"/>
                              </w:rPr>
                              <w:t>, 20</w:t>
                            </w:r>
                            <w:r w:rsidR="00F30B66">
                              <w:rPr>
                                <w:rFonts w:asciiTheme="minorHAnsi" w:hAnsiTheme="minorHAnsi"/>
                                <w:color w:val="FFFFFF" w:themeColor="background1"/>
                                <w:sz w:val="22"/>
                              </w:rPr>
                              <w:t>25</w:t>
                            </w:r>
                          </w:p>
                          <w:p w14:paraId="1F8703B9" w14:textId="77777777" w:rsidR="00907400" w:rsidRPr="00907400" w:rsidRDefault="00907400" w:rsidP="009E566A">
                            <w:pPr>
                              <w:jc w:val="right"/>
                              <w:rPr>
                                <w:rFonts w:asciiTheme="minorHAnsi" w:hAnsiTheme="minorHAnsi"/>
                                <w:color w:val="FFFFFF" w:themeColor="background1"/>
                                <w:sz w:val="22"/>
                              </w:rPr>
                            </w:pPr>
                            <w:r w:rsidRPr="00907400">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F9A0"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509417EE" w14:textId="0D2102F1" w:rsidR="00907400" w:rsidRPr="00445C5F" w:rsidRDefault="00907400" w:rsidP="009E566A">
                      <w:pPr>
                        <w:jc w:val="right"/>
                        <w:rPr>
                          <w:rFonts w:asciiTheme="minorHAnsi" w:hAnsiTheme="minorHAnsi"/>
                          <w:color w:val="FFFFFF" w:themeColor="background1"/>
                          <w:sz w:val="22"/>
                        </w:rPr>
                      </w:pPr>
                      <w:r w:rsidRPr="00445C5F">
                        <w:rPr>
                          <w:rFonts w:asciiTheme="minorHAnsi" w:hAnsiTheme="minorHAnsi"/>
                          <w:color w:val="FFFFFF" w:themeColor="background1"/>
                          <w:sz w:val="22"/>
                        </w:rPr>
                        <w:t>OEA/Ser.L/V/II</w:t>
                      </w:r>
                    </w:p>
                    <w:p w14:paraId="5C66F913" w14:textId="1EE38EBD" w:rsidR="00907400" w:rsidRPr="00445C5F" w:rsidRDefault="00907400" w:rsidP="009E566A">
                      <w:pPr>
                        <w:jc w:val="right"/>
                        <w:rPr>
                          <w:rFonts w:asciiTheme="minorHAnsi" w:hAnsiTheme="minorHAnsi"/>
                          <w:color w:val="FFFFFF" w:themeColor="background1"/>
                          <w:sz w:val="22"/>
                        </w:rPr>
                      </w:pPr>
                      <w:r w:rsidRPr="00445C5F">
                        <w:rPr>
                          <w:rFonts w:asciiTheme="minorHAnsi" w:hAnsiTheme="minorHAnsi"/>
                          <w:color w:val="FFFFFF" w:themeColor="background1"/>
                          <w:sz w:val="22"/>
                        </w:rPr>
                        <w:t xml:space="preserve">Doc. </w:t>
                      </w:r>
                      <w:r w:rsidR="00F55742">
                        <w:rPr>
                          <w:rFonts w:asciiTheme="minorHAnsi" w:hAnsiTheme="minorHAnsi"/>
                          <w:color w:val="FFFFFF" w:themeColor="background1"/>
                          <w:sz w:val="22"/>
                        </w:rPr>
                        <w:t>120</w:t>
                      </w:r>
                    </w:p>
                    <w:p w14:paraId="756E3227" w14:textId="6D73FA5E" w:rsidR="00907400" w:rsidRPr="00907400" w:rsidRDefault="00F55742" w:rsidP="009E566A">
                      <w:pPr>
                        <w:jc w:val="right"/>
                        <w:rPr>
                          <w:rFonts w:asciiTheme="minorHAnsi" w:hAnsiTheme="minorHAnsi"/>
                          <w:color w:val="FFFFFF" w:themeColor="background1"/>
                          <w:sz w:val="22"/>
                        </w:rPr>
                      </w:pPr>
                      <w:r>
                        <w:rPr>
                          <w:rFonts w:asciiTheme="minorHAnsi" w:hAnsiTheme="minorHAnsi"/>
                          <w:color w:val="FFFFFF" w:themeColor="background1"/>
                          <w:sz w:val="22"/>
                        </w:rPr>
                        <w:t>July 15</w:t>
                      </w:r>
                      <w:r w:rsidR="00C956F7">
                        <w:rPr>
                          <w:rFonts w:asciiTheme="minorHAnsi" w:hAnsiTheme="minorHAnsi"/>
                          <w:color w:val="FFFFFF" w:themeColor="background1"/>
                          <w:sz w:val="22"/>
                        </w:rPr>
                        <w:t>, 20</w:t>
                      </w:r>
                      <w:r w:rsidR="00F30B66">
                        <w:rPr>
                          <w:rFonts w:asciiTheme="minorHAnsi" w:hAnsiTheme="minorHAnsi"/>
                          <w:color w:val="FFFFFF" w:themeColor="background1"/>
                          <w:sz w:val="22"/>
                        </w:rPr>
                        <w:t>25</w:t>
                      </w:r>
                    </w:p>
                    <w:p w14:paraId="1F8703B9" w14:textId="77777777" w:rsidR="00907400" w:rsidRPr="00907400" w:rsidRDefault="00907400" w:rsidP="009E566A">
                      <w:pPr>
                        <w:jc w:val="right"/>
                        <w:rPr>
                          <w:rFonts w:asciiTheme="minorHAnsi" w:hAnsiTheme="minorHAnsi"/>
                          <w:color w:val="FFFFFF" w:themeColor="background1"/>
                          <w:sz w:val="22"/>
                        </w:rPr>
                      </w:pPr>
                      <w:r w:rsidRPr="00907400">
                        <w:rPr>
                          <w:rFonts w:asciiTheme="minorHAnsi" w:hAnsiTheme="minorHAnsi"/>
                          <w:color w:val="FFFFFF" w:themeColor="background1"/>
                          <w:sz w:val="22"/>
                        </w:rPr>
                        <w:t>Original: Spanish</w:t>
                      </w:r>
                    </w:p>
                  </w:txbxContent>
                </v:textbox>
              </v:shape>
            </w:pict>
          </mc:Fallback>
        </mc:AlternateContent>
      </w:r>
    </w:p>
    <w:p w14:paraId="41B19DD7" w14:textId="77777777" w:rsidR="00040C3A" w:rsidRPr="00A433FF" w:rsidRDefault="00040C3A" w:rsidP="00040C3A">
      <w:pPr>
        <w:tabs>
          <w:tab w:val="center" w:pos="5400"/>
        </w:tabs>
        <w:suppressAutoHyphens/>
        <w:jc w:val="center"/>
        <w:rPr>
          <w:rFonts w:asciiTheme="majorHAnsi" w:hAnsiTheme="majorHAnsi"/>
          <w:sz w:val="22"/>
          <w:szCs w:val="22"/>
        </w:rPr>
      </w:pPr>
    </w:p>
    <w:p w14:paraId="56011805" w14:textId="77777777" w:rsidR="00040C3A" w:rsidRPr="00A433FF" w:rsidRDefault="00040C3A" w:rsidP="00040C3A">
      <w:pPr>
        <w:tabs>
          <w:tab w:val="center" w:pos="5400"/>
        </w:tabs>
        <w:suppressAutoHyphens/>
        <w:jc w:val="center"/>
        <w:rPr>
          <w:rFonts w:asciiTheme="majorHAnsi" w:hAnsiTheme="majorHAnsi" w:cs="Arial"/>
          <w:sz w:val="22"/>
          <w:szCs w:val="22"/>
        </w:rPr>
      </w:pPr>
    </w:p>
    <w:p w14:paraId="03036CA2" w14:textId="77777777" w:rsidR="00040C3A" w:rsidRPr="00A433FF" w:rsidRDefault="00040C3A" w:rsidP="00040C3A">
      <w:pPr>
        <w:tabs>
          <w:tab w:val="center" w:pos="5400"/>
        </w:tabs>
        <w:suppressAutoHyphens/>
        <w:jc w:val="center"/>
        <w:rPr>
          <w:rFonts w:asciiTheme="majorHAnsi" w:hAnsiTheme="majorHAnsi"/>
          <w:sz w:val="22"/>
          <w:szCs w:val="22"/>
        </w:rPr>
      </w:pPr>
    </w:p>
    <w:p w14:paraId="356B3D26" w14:textId="77777777" w:rsidR="00040C3A" w:rsidRPr="00A433FF" w:rsidRDefault="00040C3A" w:rsidP="00040C3A">
      <w:pPr>
        <w:tabs>
          <w:tab w:val="center" w:pos="5400"/>
        </w:tabs>
        <w:suppressAutoHyphens/>
        <w:jc w:val="center"/>
        <w:rPr>
          <w:rFonts w:asciiTheme="majorHAnsi" w:hAnsiTheme="majorHAnsi"/>
          <w:sz w:val="22"/>
          <w:szCs w:val="22"/>
        </w:rPr>
      </w:pPr>
    </w:p>
    <w:p w14:paraId="6E159A6B" w14:textId="77777777" w:rsidR="00040C3A" w:rsidRPr="00A433FF" w:rsidRDefault="00040C3A" w:rsidP="00040C3A">
      <w:pPr>
        <w:tabs>
          <w:tab w:val="center" w:pos="5400"/>
        </w:tabs>
        <w:suppressAutoHyphens/>
        <w:jc w:val="center"/>
        <w:rPr>
          <w:rFonts w:asciiTheme="majorHAnsi" w:hAnsiTheme="majorHAnsi"/>
          <w:sz w:val="22"/>
          <w:szCs w:val="22"/>
        </w:rPr>
      </w:pPr>
    </w:p>
    <w:p w14:paraId="4DD1F3E1" w14:textId="77777777" w:rsidR="00040C3A" w:rsidRPr="00A433FF" w:rsidRDefault="00040C3A" w:rsidP="00040C3A">
      <w:pPr>
        <w:tabs>
          <w:tab w:val="center" w:pos="5400"/>
        </w:tabs>
        <w:suppressAutoHyphens/>
        <w:jc w:val="center"/>
        <w:rPr>
          <w:rFonts w:asciiTheme="majorHAnsi" w:hAnsiTheme="majorHAnsi"/>
          <w:sz w:val="22"/>
          <w:szCs w:val="22"/>
        </w:rPr>
      </w:pPr>
    </w:p>
    <w:p w14:paraId="0A85E611" w14:textId="77777777" w:rsidR="005128E4" w:rsidRPr="00A433FF" w:rsidRDefault="005128E4" w:rsidP="00040C3A">
      <w:pPr>
        <w:tabs>
          <w:tab w:val="center" w:pos="5400"/>
        </w:tabs>
        <w:suppressAutoHyphens/>
        <w:jc w:val="center"/>
        <w:rPr>
          <w:rFonts w:asciiTheme="majorHAnsi" w:hAnsiTheme="majorHAnsi"/>
          <w:sz w:val="22"/>
          <w:szCs w:val="22"/>
        </w:rPr>
      </w:pPr>
    </w:p>
    <w:p w14:paraId="4DD7E029" w14:textId="77777777" w:rsidR="00040C3A" w:rsidRPr="00A433FF" w:rsidRDefault="00040C3A" w:rsidP="00040C3A">
      <w:pPr>
        <w:tabs>
          <w:tab w:val="center" w:pos="5400"/>
        </w:tabs>
        <w:suppressAutoHyphens/>
        <w:jc w:val="center"/>
        <w:rPr>
          <w:rFonts w:asciiTheme="majorHAnsi" w:hAnsiTheme="majorHAnsi"/>
          <w:sz w:val="22"/>
          <w:szCs w:val="22"/>
        </w:rPr>
      </w:pPr>
    </w:p>
    <w:p w14:paraId="6DBF5165" w14:textId="77777777" w:rsidR="005128E4" w:rsidRPr="00A433FF" w:rsidRDefault="005128E4" w:rsidP="00040C3A">
      <w:pPr>
        <w:tabs>
          <w:tab w:val="center" w:pos="5400"/>
        </w:tabs>
        <w:suppressAutoHyphens/>
        <w:jc w:val="center"/>
        <w:rPr>
          <w:rFonts w:asciiTheme="majorHAnsi" w:hAnsiTheme="majorHAnsi"/>
          <w:sz w:val="22"/>
          <w:szCs w:val="22"/>
        </w:rPr>
      </w:pPr>
    </w:p>
    <w:p w14:paraId="5FA27AFD" w14:textId="77777777" w:rsidR="005128E4" w:rsidRPr="00A433FF" w:rsidRDefault="005128E4" w:rsidP="00040C3A">
      <w:pPr>
        <w:tabs>
          <w:tab w:val="center" w:pos="5400"/>
        </w:tabs>
        <w:suppressAutoHyphens/>
        <w:jc w:val="center"/>
        <w:rPr>
          <w:rFonts w:asciiTheme="majorHAnsi" w:hAnsiTheme="majorHAnsi"/>
          <w:sz w:val="22"/>
          <w:szCs w:val="22"/>
        </w:rPr>
      </w:pPr>
    </w:p>
    <w:p w14:paraId="775519F1" w14:textId="77777777" w:rsidR="005128E4" w:rsidRPr="00A433FF" w:rsidRDefault="005128E4" w:rsidP="00040C3A">
      <w:pPr>
        <w:tabs>
          <w:tab w:val="center" w:pos="5400"/>
        </w:tabs>
        <w:suppressAutoHyphens/>
        <w:jc w:val="center"/>
        <w:rPr>
          <w:rFonts w:asciiTheme="majorHAnsi" w:hAnsiTheme="majorHAnsi"/>
          <w:sz w:val="22"/>
          <w:szCs w:val="22"/>
        </w:rPr>
      </w:pPr>
    </w:p>
    <w:p w14:paraId="16D1312F" w14:textId="77777777" w:rsidR="00040C3A" w:rsidRPr="00A433FF" w:rsidRDefault="00040C3A" w:rsidP="00040C3A">
      <w:pPr>
        <w:tabs>
          <w:tab w:val="center" w:pos="5400"/>
        </w:tabs>
        <w:suppressAutoHyphens/>
        <w:jc w:val="center"/>
        <w:rPr>
          <w:rFonts w:asciiTheme="majorHAnsi" w:hAnsiTheme="majorHAnsi"/>
          <w:sz w:val="22"/>
          <w:szCs w:val="22"/>
        </w:rPr>
      </w:pPr>
    </w:p>
    <w:p w14:paraId="72588AA6" w14:textId="77777777" w:rsidR="00040C3A" w:rsidRPr="00A433FF" w:rsidRDefault="00040C3A" w:rsidP="00040C3A">
      <w:pPr>
        <w:tabs>
          <w:tab w:val="center" w:pos="5400"/>
        </w:tabs>
        <w:suppressAutoHyphens/>
        <w:jc w:val="center"/>
        <w:rPr>
          <w:rFonts w:asciiTheme="majorHAnsi" w:hAnsiTheme="majorHAnsi"/>
          <w:sz w:val="22"/>
          <w:szCs w:val="22"/>
        </w:rPr>
      </w:pPr>
    </w:p>
    <w:p w14:paraId="49CBF372" w14:textId="77777777" w:rsidR="002C1641" w:rsidRPr="00A433FF" w:rsidRDefault="002C1641" w:rsidP="00040C3A">
      <w:pPr>
        <w:tabs>
          <w:tab w:val="center" w:pos="5400"/>
        </w:tabs>
        <w:suppressAutoHyphens/>
        <w:jc w:val="center"/>
        <w:rPr>
          <w:rFonts w:asciiTheme="majorHAnsi" w:hAnsiTheme="majorHAnsi"/>
          <w:sz w:val="18"/>
          <w:szCs w:val="22"/>
        </w:rPr>
      </w:pPr>
    </w:p>
    <w:p w14:paraId="3047410B" w14:textId="77777777" w:rsidR="002C1641" w:rsidRPr="00A433FF" w:rsidRDefault="002C1641" w:rsidP="00040C3A">
      <w:pPr>
        <w:tabs>
          <w:tab w:val="center" w:pos="5400"/>
        </w:tabs>
        <w:suppressAutoHyphens/>
        <w:jc w:val="center"/>
        <w:rPr>
          <w:rFonts w:asciiTheme="majorHAnsi" w:hAnsiTheme="majorHAnsi"/>
          <w:sz w:val="18"/>
          <w:szCs w:val="22"/>
        </w:rPr>
      </w:pPr>
    </w:p>
    <w:p w14:paraId="38971AAA" w14:textId="77777777" w:rsidR="002C1641" w:rsidRPr="00A433FF" w:rsidRDefault="002C1641" w:rsidP="00040C3A">
      <w:pPr>
        <w:tabs>
          <w:tab w:val="center" w:pos="5400"/>
        </w:tabs>
        <w:suppressAutoHyphens/>
        <w:jc w:val="center"/>
        <w:rPr>
          <w:rFonts w:asciiTheme="majorHAnsi" w:hAnsiTheme="majorHAnsi"/>
          <w:sz w:val="18"/>
          <w:szCs w:val="22"/>
        </w:rPr>
      </w:pPr>
    </w:p>
    <w:p w14:paraId="17E6B32B" w14:textId="77777777" w:rsidR="002C1641" w:rsidRPr="00A433FF" w:rsidRDefault="002C1641" w:rsidP="00040C3A">
      <w:pPr>
        <w:tabs>
          <w:tab w:val="center" w:pos="5400"/>
        </w:tabs>
        <w:suppressAutoHyphens/>
        <w:jc w:val="center"/>
        <w:rPr>
          <w:rFonts w:asciiTheme="majorHAnsi" w:hAnsiTheme="majorHAnsi"/>
          <w:sz w:val="18"/>
          <w:szCs w:val="22"/>
        </w:rPr>
      </w:pPr>
    </w:p>
    <w:p w14:paraId="08743012" w14:textId="77777777" w:rsidR="002C1641" w:rsidRPr="00A433FF" w:rsidRDefault="002C1641" w:rsidP="00040C3A">
      <w:pPr>
        <w:tabs>
          <w:tab w:val="center" w:pos="5400"/>
        </w:tabs>
        <w:suppressAutoHyphens/>
        <w:jc w:val="center"/>
        <w:rPr>
          <w:rFonts w:asciiTheme="majorHAnsi" w:hAnsiTheme="majorHAnsi"/>
          <w:sz w:val="18"/>
          <w:szCs w:val="22"/>
        </w:rPr>
      </w:pPr>
    </w:p>
    <w:p w14:paraId="6C64E5E6" w14:textId="77777777" w:rsidR="002C1641" w:rsidRPr="00A433FF" w:rsidRDefault="002C1641" w:rsidP="00040C3A">
      <w:pPr>
        <w:tabs>
          <w:tab w:val="center" w:pos="5400"/>
        </w:tabs>
        <w:suppressAutoHyphens/>
        <w:jc w:val="center"/>
        <w:rPr>
          <w:rFonts w:asciiTheme="majorHAnsi" w:hAnsiTheme="majorHAnsi"/>
          <w:sz w:val="18"/>
          <w:szCs w:val="22"/>
        </w:rPr>
      </w:pPr>
    </w:p>
    <w:p w14:paraId="75D48DB4" w14:textId="77777777" w:rsidR="002C1641" w:rsidRPr="00A433FF" w:rsidRDefault="002C1641" w:rsidP="00040C3A">
      <w:pPr>
        <w:tabs>
          <w:tab w:val="center" w:pos="5400"/>
        </w:tabs>
        <w:suppressAutoHyphens/>
        <w:jc w:val="center"/>
        <w:rPr>
          <w:rFonts w:asciiTheme="majorHAnsi" w:hAnsiTheme="majorHAnsi"/>
          <w:sz w:val="18"/>
          <w:szCs w:val="22"/>
        </w:rPr>
      </w:pPr>
    </w:p>
    <w:p w14:paraId="764D3AFB" w14:textId="77777777" w:rsidR="002C1641" w:rsidRPr="00A433FF" w:rsidRDefault="002C1641" w:rsidP="00040C3A">
      <w:pPr>
        <w:tabs>
          <w:tab w:val="center" w:pos="5400"/>
        </w:tabs>
        <w:suppressAutoHyphens/>
        <w:jc w:val="center"/>
        <w:rPr>
          <w:rFonts w:asciiTheme="majorHAnsi" w:hAnsiTheme="majorHAnsi"/>
          <w:sz w:val="18"/>
          <w:szCs w:val="22"/>
        </w:rPr>
      </w:pPr>
    </w:p>
    <w:p w14:paraId="0BDCB47C" w14:textId="77777777" w:rsidR="002C1641" w:rsidRPr="00A433FF" w:rsidRDefault="002C1641" w:rsidP="00040C3A">
      <w:pPr>
        <w:tabs>
          <w:tab w:val="center" w:pos="5400"/>
        </w:tabs>
        <w:suppressAutoHyphens/>
        <w:jc w:val="center"/>
        <w:rPr>
          <w:rFonts w:asciiTheme="majorHAnsi" w:hAnsiTheme="majorHAnsi"/>
          <w:sz w:val="18"/>
          <w:szCs w:val="22"/>
        </w:rPr>
      </w:pPr>
    </w:p>
    <w:p w14:paraId="2D04B1EB" w14:textId="77777777" w:rsidR="002C1641" w:rsidRPr="00A433FF" w:rsidRDefault="002C1641" w:rsidP="00040C3A">
      <w:pPr>
        <w:tabs>
          <w:tab w:val="center" w:pos="5400"/>
        </w:tabs>
        <w:suppressAutoHyphens/>
        <w:jc w:val="center"/>
        <w:rPr>
          <w:rFonts w:asciiTheme="majorHAnsi" w:hAnsiTheme="majorHAnsi"/>
          <w:sz w:val="18"/>
          <w:szCs w:val="22"/>
        </w:rPr>
      </w:pPr>
    </w:p>
    <w:p w14:paraId="282A590B" w14:textId="77777777" w:rsidR="002C1641" w:rsidRPr="00A433FF" w:rsidRDefault="002C1641" w:rsidP="00040C3A">
      <w:pPr>
        <w:tabs>
          <w:tab w:val="center" w:pos="5400"/>
        </w:tabs>
        <w:suppressAutoHyphens/>
        <w:jc w:val="center"/>
        <w:rPr>
          <w:rFonts w:asciiTheme="majorHAnsi" w:hAnsiTheme="majorHAnsi"/>
          <w:sz w:val="18"/>
          <w:szCs w:val="22"/>
        </w:rPr>
      </w:pPr>
    </w:p>
    <w:p w14:paraId="7BA6B836" w14:textId="77777777" w:rsidR="002C1641" w:rsidRPr="00A433FF" w:rsidRDefault="002C1641" w:rsidP="00040C3A">
      <w:pPr>
        <w:tabs>
          <w:tab w:val="center" w:pos="5400"/>
        </w:tabs>
        <w:suppressAutoHyphens/>
        <w:jc w:val="center"/>
        <w:rPr>
          <w:rFonts w:asciiTheme="majorHAnsi" w:hAnsiTheme="majorHAnsi"/>
          <w:sz w:val="18"/>
          <w:szCs w:val="22"/>
        </w:rPr>
      </w:pPr>
    </w:p>
    <w:p w14:paraId="45F5D8D1" w14:textId="77777777" w:rsidR="002C1641" w:rsidRPr="00A433FF" w:rsidRDefault="003C32BC" w:rsidP="00040C3A">
      <w:pPr>
        <w:tabs>
          <w:tab w:val="center" w:pos="5400"/>
        </w:tabs>
        <w:suppressAutoHyphens/>
        <w:jc w:val="center"/>
        <w:rPr>
          <w:rFonts w:asciiTheme="majorHAnsi" w:hAnsiTheme="majorHAnsi"/>
          <w:sz w:val="18"/>
          <w:szCs w:val="22"/>
        </w:rPr>
      </w:pPr>
      <w:r w:rsidRPr="00A433FF">
        <w:rPr>
          <w:rFonts w:asciiTheme="majorHAnsi" w:hAnsiTheme="majorHAnsi"/>
          <w:noProof/>
          <w:sz w:val="22"/>
          <w:szCs w:val="22"/>
          <w:lang w:val="es-ES" w:eastAsia="es-ES"/>
        </w:rPr>
        <mc:AlternateContent>
          <mc:Choice Requires="wps">
            <w:drawing>
              <wp:anchor distT="0" distB="0" distL="114300" distR="114300" simplePos="0" relativeHeight="251670528" behindDoc="0" locked="0" layoutInCell="1" allowOverlap="1" wp14:anchorId="2677F30F" wp14:editId="62B4490F">
                <wp:simplePos x="0" y="0"/>
                <wp:positionH relativeFrom="column">
                  <wp:posOffset>1207008</wp:posOffset>
                </wp:positionH>
                <wp:positionV relativeFrom="paragraph">
                  <wp:posOffset>68021</wp:posOffset>
                </wp:positionV>
                <wp:extent cx="4595495" cy="504749"/>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5047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CDE5E" w14:textId="300440A1" w:rsidR="00907400" w:rsidRPr="003C32BC" w:rsidRDefault="00907400"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0"/>
                              </w:rPr>
                              <w:t>Approved</w:t>
                            </w:r>
                            <w:r w:rsidR="00F30B66">
                              <w:rPr>
                                <w:rFonts w:asciiTheme="majorHAnsi" w:hAnsiTheme="majorHAnsi"/>
                                <w:color w:val="0D0D0D" w:themeColor="text1" w:themeTint="F2"/>
                                <w:sz w:val="18"/>
                                <w:szCs w:val="20"/>
                              </w:rPr>
                              <w:t xml:space="preserve"> electronically </w:t>
                            </w:r>
                            <w:r w:rsidRPr="003C32BC">
                              <w:rPr>
                                <w:rFonts w:asciiTheme="majorHAnsi" w:hAnsiTheme="majorHAnsi"/>
                                <w:color w:val="0D0D0D" w:themeColor="text1" w:themeTint="F2"/>
                                <w:sz w:val="18"/>
                                <w:szCs w:val="20"/>
                              </w:rPr>
                              <w:t xml:space="preserve">by the Commission on </w:t>
                            </w:r>
                            <w:r w:rsidR="00F55742">
                              <w:rPr>
                                <w:rFonts w:asciiTheme="majorHAnsi" w:hAnsiTheme="majorHAnsi"/>
                                <w:color w:val="0D0D0D" w:themeColor="text1" w:themeTint="F2"/>
                                <w:sz w:val="18"/>
                                <w:szCs w:val="20"/>
                              </w:rPr>
                              <w:t>July 15</w:t>
                            </w:r>
                            <w:r w:rsidR="00C956F7">
                              <w:rPr>
                                <w:rFonts w:asciiTheme="majorHAnsi" w:hAnsiTheme="majorHAnsi"/>
                                <w:color w:val="0D0D0D" w:themeColor="text1" w:themeTint="F2"/>
                                <w:sz w:val="18"/>
                                <w:szCs w:val="20"/>
                              </w:rPr>
                              <w:t>, 20</w:t>
                            </w:r>
                            <w:r w:rsidR="00F30B66">
                              <w:rPr>
                                <w:rFonts w:asciiTheme="majorHAnsi" w:hAnsiTheme="majorHAnsi"/>
                                <w:color w:val="0D0D0D" w:themeColor="text1" w:themeTint="F2"/>
                                <w:sz w:val="18"/>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7F30F" id="Text Box 7" o:spid="_x0000_s1029" type="#_x0000_t202" style="position:absolute;left:0;text-align:left;margin-left:95.05pt;margin-top:5.35pt;width:361.8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" filled="f" stroked="f" strokeweight=".5pt">
                <v:textbox>
                  <w:txbxContent>
                    <w:p w14:paraId="246CDE5E" w14:textId="300440A1" w:rsidR="00907400" w:rsidRPr="003C32BC" w:rsidRDefault="00907400"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0"/>
                        </w:rPr>
                        <w:t>Approved</w:t>
                      </w:r>
                      <w:r w:rsidR="00F30B66">
                        <w:rPr>
                          <w:rFonts w:asciiTheme="majorHAnsi" w:hAnsiTheme="majorHAnsi"/>
                          <w:color w:val="0D0D0D" w:themeColor="text1" w:themeTint="F2"/>
                          <w:sz w:val="18"/>
                          <w:szCs w:val="20"/>
                        </w:rPr>
                        <w:t xml:space="preserve"> electronically </w:t>
                      </w:r>
                      <w:r w:rsidRPr="003C32BC">
                        <w:rPr>
                          <w:rFonts w:asciiTheme="majorHAnsi" w:hAnsiTheme="majorHAnsi"/>
                          <w:color w:val="0D0D0D" w:themeColor="text1" w:themeTint="F2"/>
                          <w:sz w:val="18"/>
                          <w:szCs w:val="20"/>
                        </w:rPr>
                        <w:t xml:space="preserve">by the Commission on </w:t>
                      </w:r>
                      <w:r w:rsidR="00F55742">
                        <w:rPr>
                          <w:rFonts w:asciiTheme="majorHAnsi" w:hAnsiTheme="majorHAnsi"/>
                          <w:color w:val="0D0D0D" w:themeColor="text1" w:themeTint="F2"/>
                          <w:sz w:val="18"/>
                          <w:szCs w:val="20"/>
                        </w:rPr>
                        <w:t>July 15</w:t>
                      </w:r>
                      <w:r w:rsidR="00C956F7">
                        <w:rPr>
                          <w:rFonts w:asciiTheme="majorHAnsi" w:hAnsiTheme="majorHAnsi"/>
                          <w:color w:val="0D0D0D" w:themeColor="text1" w:themeTint="F2"/>
                          <w:sz w:val="18"/>
                          <w:szCs w:val="20"/>
                        </w:rPr>
                        <w:t>, 20</w:t>
                      </w:r>
                      <w:r w:rsidR="00F30B66">
                        <w:rPr>
                          <w:rFonts w:asciiTheme="majorHAnsi" w:hAnsiTheme="majorHAnsi"/>
                          <w:color w:val="0D0D0D" w:themeColor="text1" w:themeTint="F2"/>
                          <w:sz w:val="18"/>
                          <w:szCs w:val="20"/>
                        </w:rPr>
                        <w:t>25</w:t>
                      </w:r>
                    </w:p>
                  </w:txbxContent>
                </v:textbox>
              </v:shape>
            </w:pict>
          </mc:Fallback>
        </mc:AlternateContent>
      </w:r>
    </w:p>
    <w:p w14:paraId="038BA4AB" w14:textId="77777777" w:rsidR="002C1641" w:rsidRPr="00A433FF" w:rsidRDefault="002C1641" w:rsidP="00040C3A">
      <w:pPr>
        <w:tabs>
          <w:tab w:val="center" w:pos="5400"/>
        </w:tabs>
        <w:suppressAutoHyphens/>
        <w:jc w:val="center"/>
        <w:rPr>
          <w:rFonts w:asciiTheme="majorHAnsi" w:hAnsiTheme="majorHAnsi"/>
          <w:sz w:val="18"/>
          <w:szCs w:val="22"/>
        </w:rPr>
      </w:pPr>
    </w:p>
    <w:p w14:paraId="1F38E653" w14:textId="77777777" w:rsidR="002C1641" w:rsidRPr="00A433FF" w:rsidRDefault="002C1641" w:rsidP="00040C3A">
      <w:pPr>
        <w:tabs>
          <w:tab w:val="center" w:pos="5400"/>
        </w:tabs>
        <w:suppressAutoHyphens/>
        <w:jc w:val="center"/>
        <w:rPr>
          <w:rFonts w:asciiTheme="majorHAnsi" w:hAnsiTheme="majorHAnsi"/>
          <w:sz w:val="18"/>
          <w:szCs w:val="22"/>
        </w:rPr>
      </w:pPr>
    </w:p>
    <w:p w14:paraId="64E8CC73" w14:textId="77777777" w:rsidR="002C1641" w:rsidRPr="00A433FF" w:rsidRDefault="002C1641" w:rsidP="00040C3A">
      <w:pPr>
        <w:tabs>
          <w:tab w:val="center" w:pos="5400"/>
        </w:tabs>
        <w:suppressAutoHyphens/>
        <w:jc w:val="center"/>
        <w:rPr>
          <w:rFonts w:asciiTheme="majorHAnsi" w:hAnsiTheme="majorHAnsi"/>
          <w:sz w:val="18"/>
          <w:szCs w:val="22"/>
        </w:rPr>
      </w:pPr>
    </w:p>
    <w:p w14:paraId="51F850DC" w14:textId="77777777" w:rsidR="002C1641" w:rsidRPr="00A433FF" w:rsidRDefault="002C1641" w:rsidP="00040C3A">
      <w:pPr>
        <w:tabs>
          <w:tab w:val="center" w:pos="5400"/>
        </w:tabs>
        <w:suppressAutoHyphens/>
        <w:jc w:val="center"/>
        <w:rPr>
          <w:rFonts w:asciiTheme="majorHAnsi" w:hAnsiTheme="majorHAnsi"/>
          <w:sz w:val="18"/>
          <w:szCs w:val="22"/>
        </w:rPr>
      </w:pPr>
    </w:p>
    <w:p w14:paraId="3E42F624" w14:textId="77777777" w:rsidR="002C1641" w:rsidRPr="00A433FF" w:rsidRDefault="003C32BC" w:rsidP="00040C3A">
      <w:pPr>
        <w:tabs>
          <w:tab w:val="center" w:pos="5400"/>
        </w:tabs>
        <w:suppressAutoHyphens/>
        <w:jc w:val="center"/>
        <w:rPr>
          <w:rFonts w:asciiTheme="majorHAnsi" w:hAnsiTheme="majorHAnsi"/>
          <w:sz w:val="18"/>
          <w:szCs w:val="22"/>
        </w:rPr>
      </w:pPr>
      <w:r w:rsidRPr="00A433FF">
        <w:rPr>
          <w:rFonts w:asciiTheme="majorHAnsi" w:hAnsiTheme="majorHAnsi"/>
          <w:noProof/>
          <w:sz w:val="18"/>
          <w:szCs w:val="22"/>
          <w:lang w:val="es-ES" w:eastAsia="es-ES"/>
        </w:rPr>
        <mc:AlternateContent>
          <mc:Choice Requires="wps">
            <w:drawing>
              <wp:anchor distT="0" distB="0" distL="114300" distR="114300" simplePos="0" relativeHeight="251683840" behindDoc="0" locked="0" layoutInCell="1" allowOverlap="1" wp14:anchorId="3963B0A5" wp14:editId="407C8EDF">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CEC1B" w14:textId="04EBD333" w:rsidR="00907400" w:rsidRPr="00EB7A2B" w:rsidRDefault="00907400" w:rsidP="00C956F7">
                            <w:pPr>
                              <w:spacing w:line="276" w:lineRule="auto"/>
                              <w:jc w:val="both"/>
                              <w:rPr>
                                <w:rFonts w:asciiTheme="majorHAnsi" w:hAnsiTheme="majorHAnsi"/>
                                <w:color w:val="595959" w:themeColor="text1" w:themeTint="A6"/>
                                <w:sz w:val="18"/>
                                <w:lang w:val="es-CO"/>
                              </w:rPr>
                            </w:pPr>
                            <w:r w:rsidRPr="003C32BC">
                              <w:rPr>
                                <w:rFonts w:asciiTheme="majorHAnsi" w:hAnsiTheme="majorHAnsi"/>
                                <w:b/>
                                <w:color w:val="595959" w:themeColor="text1" w:themeTint="A6"/>
                                <w:sz w:val="18"/>
                              </w:rPr>
                              <w:t xml:space="preserve">Cite as: </w:t>
                            </w:r>
                            <w:r w:rsidR="00C956F7">
                              <w:rPr>
                                <w:rFonts w:asciiTheme="majorHAnsi" w:hAnsiTheme="majorHAnsi"/>
                                <w:color w:val="595959" w:themeColor="text1" w:themeTint="A6"/>
                                <w:sz w:val="18"/>
                              </w:rPr>
                              <w:t>IACHR.</w:t>
                            </w:r>
                            <w:r w:rsidRPr="003C32BC">
                              <w:rPr>
                                <w:rFonts w:asciiTheme="majorHAnsi" w:hAnsiTheme="majorHAnsi"/>
                                <w:color w:val="595959" w:themeColor="text1" w:themeTint="A6"/>
                                <w:sz w:val="18"/>
                              </w:rPr>
                              <w:t xml:space="preserve"> Report No. </w:t>
                            </w:r>
                            <w:r w:rsidR="00CF2776">
                              <w:rPr>
                                <w:rFonts w:asciiTheme="majorHAnsi" w:hAnsiTheme="majorHAnsi"/>
                                <w:color w:val="595959" w:themeColor="text1" w:themeTint="A6"/>
                                <w:sz w:val="18"/>
                              </w:rPr>
                              <w:t>114</w:t>
                            </w:r>
                            <w:r w:rsidRPr="00C956F7">
                              <w:rPr>
                                <w:rFonts w:asciiTheme="majorHAnsi" w:hAnsiTheme="majorHAnsi"/>
                                <w:color w:val="595959" w:themeColor="text1" w:themeTint="A6"/>
                                <w:sz w:val="18"/>
                              </w:rPr>
                              <w:t>/</w:t>
                            </w:r>
                            <w:r w:rsidR="00F30B66">
                              <w:rPr>
                                <w:rFonts w:asciiTheme="majorHAnsi" w:hAnsiTheme="majorHAnsi"/>
                                <w:color w:val="595959" w:themeColor="text1" w:themeTint="A6"/>
                                <w:sz w:val="18"/>
                              </w:rPr>
                              <w:t>25</w:t>
                            </w:r>
                            <w:r w:rsidRPr="00C956F7">
                              <w:rPr>
                                <w:rFonts w:asciiTheme="majorHAnsi" w:hAnsiTheme="majorHAnsi"/>
                                <w:color w:val="595959" w:themeColor="text1" w:themeTint="A6"/>
                                <w:sz w:val="18"/>
                              </w:rPr>
                              <w:t xml:space="preserve">, Case 12.491. </w:t>
                            </w:r>
                            <w:r w:rsidRPr="00EB7A2B">
                              <w:rPr>
                                <w:rFonts w:asciiTheme="majorHAnsi" w:hAnsiTheme="majorHAnsi"/>
                                <w:color w:val="595959" w:themeColor="text1" w:themeTint="A6"/>
                                <w:sz w:val="18"/>
                                <w:lang w:val="es-CO"/>
                              </w:rPr>
                              <w:t>M</w:t>
                            </w:r>
                            <w:r w:rsidR="00C956F7">
                              <w:rPr>
                                <w:rFonts w:asciiTheme="majorHAnsi" w:hAnsiTheme="majorHAnsi"/>
                                <w:color w:val="595959" w:themeColor="text1" w:themeTint="A6"/>
                                <w:sz w:val="18"/>
                                <w:lang w:val="es-CO"/>
                              </w:rPr>
                              <w:t>erits</w:t>
                            </w:r>
                            <w:r w:rsidR="00F30B66">
                              <w:rPr>
                                <w:rFonts w:asciiTheme="majorHAnsi" w:hAnsiTheme="majorHAnsi"/>
                                <w:color w:val="595959" w:themeColor="text1" w:themeTint="A6"/>
                                <w:sz w:val="18"/>
                                <w:lang w:val="es-CO"/>
                              </w:rPr>
                              <w:t xml:space="preserve"> (</w:t>
                            </w:r>
                            <w:r w:rsidR="00F55742" w:rsidRPr="00CF2776">
                              <w:rPr>
                                <w:rFonts w:asciiTheme="majorHAnsi" w:hAnsiTheme="majorHAnsi"/>
                                <w:color w:val="595959" w:themeColor="text1" w:themeTint="A6"/>
                                <w:sz w:val="18"/>
                                <w:lang w:val="es-CO"/>
                              </w:rPr>
                              <w:t>Publica</w:t>
                            </w:r>
                            <w:r w:rsidR="00CF2776" w:rsidRPr="00CF2776">
                              <w:rPr>
                                <w:rFonts w:asciiTheme="majorHAnsi" w:hAnsiTheme="majorHAnsi"/>
                                <w:color w:val="595959" w:themeColor="text1" w:themeTint="A6"/>
                                <w:sz w:val="18"/>
                                <w:lang w:val="es-CO"/>
                              </w:rPr>
                              <w:t>tion</w:t>
                            </w:r>
                            <w:r w:rsidR="00F30B66" w:rsidRPr="00CF2776">
                              <w:rPr>
                                <w:rFonts w:asciiTheme="majorHAnsi" w:hAnsiTheme="majorHAnsi"/>
                                <w:color w:val="595959" w:themeColor="text1" w:themeTint="A6"/>
                                <w:sz w:val="18"/>
                                <w:lang w:val="es-CO"/>
                              </w:rPr>
                              <w:t>)</w:t>
                            </w:r>
                            <w:r w:rsidR="00C956F7">
                              <w:rPr>
                                <w:rFonts w:asciiTheme="majorHAnsi" w:hAnsiTheme="majorHAnsi"/>
                                <w:color w:val="595959" w:themeColor="text1" w:themeTint="A6"/>
                                <w:sz w:val="18"/>
                                <w:lang w:val="es-CO"/>
                              </w:rPr>
                              <w:t>. Gustavo Sastoque Alfonso. Colombia.</w:t>
                            </w:r>
                            <w:r w:rsidRPr="00EB7A2B">
                              <w:rPr>
                                <w:rFonts w:asciiTheme="majorHAnsi" w:hAnsiTheme="majorHAnsi"/>
                                <w:color w:val="595959" w:themeColor="text1" w:themeTint="A6"/>
                                <w:sz w:val="18"/>
                                <w:lang w:val="es-CO"/>
                              </w:rPr>
                              <w:t xml:space="preserve"> </w:t>
                            </w:r>
                            <w:r w:rsidR="009E6BB7">
                              <w:rPr>
                                <w:rFonts w:asciiTheme="majorHAnsi" w:hAnsiTheme="majorHAnsi"/>
                                <w:color w:val="595959" w:themeColor="text1" w:themeTint="A6"/>
                                <w:sz w:val="18"/>
                                <w:lang w:val="es-CO"/>
                              </w:rPr>
                              <w:t>July 1</w:t>
                            </w:r>
                            <w:r w:rsidR="00BB7851">
                              <w:rPr>
                                <w:rFonts w:asciiTheme="majorHAnsi" w:hAnsiTheme="majorHAnsi"/>
                                <w:color w:val="595959" w:themeColor="text1" w:themeTint="A6"/>
                                <w:sz w:val="18"/>
                                <w:lang w:val="es-CO"/>
                              </w:rPr>
                              <w:t>5</w:t>
                            </w:r>
                            <w:r w:rsidRPr="00EB7A2B">
                              <w:rPr>
                                <w:rFonts w:asciiTheme="majorHAnsi" w:hAnsiTheme="majorHAnsi"/>
                                <w:color w:val="595959" w:themeColor="text1" w:themeTint="A6"/>
                                <w:sz w:val="18"/>
                                <w:lang w:val="es-CO"/>
                              </w:rPr>
                              <w:t>, 20</w:t>
                            </w:r>
                            <w:r w:rsidR="00F30B66">
                              <w:rPr>
                                <w:rFonts w:asciiTheme="majorHAnsi" w:hAnsiTheme="majorHAnsi"/>
                                <w:color w:val="595959" w:themeColor="text1" w:themeTint="A6"/>
                                <w:sz w:val="18"/>
                                <w:lang w:val="es-CO"/>
                              </w:rPr>
                              <w:t>25</w:t>
                            </w:r>
                            <w:r w:rsidRPr="00EB7A2B">
                              <w:rPr>
                                <w:rFonts w:asciiTheme="majorHAnsi" w:hAnsiTheme="majorHAnsi"/>
                                <w:color w:val="595959" w:themeColor="text1" w:themeTint="A6"/>
                                <w:sz w:val="18"/>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3B0A5" id="Text Box 14" o:spid="_x0000_s1030" type="#_x0000_t202"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5ubQIAAEQFAAAOAAAAZHJzL2Uyb0RvYy54bWysVE1v2zAMvQ/YfxB0X+1kadcE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" filled="f" stroked="f" strokeweight=".5pt">
                <v:textbox>
                  <w:txbxContent>
                    <w:p w14:paraId="0D7CEC1B" w14:textId="04EBD333" w:rsidR="00907400" w:rsidRPr="00EB7A2B" w:rsidRDefault="00907400" w:rsidP="00C956F7">
                      <w:pPr>
                        <w:spacing w:line="276" w:lineRule="auto"/>
                        <w:jc w:val="both"/>
                        <w:rPr>
                          <w:rFonts w:asciiTheme="majorHAnsi" w:hAnsiTheme="majorHAnsi"/>
                          <w:color w:val="595959" w:themeColor="text1" w:themeTint="A6"/>
                          <w:sz w:val="18"/>
                          <w:lang w:val="es-CO"/>
                        </w:rPr>
                      </w:pPr>
                      <w:r w:rsidRPr="003C32BC">
                        <w:rPr>
                          <w:rFonts w:asciiTheme="majorHAnsi" w:hAnsiTheme="majorHAnsi"/>
                          <w:b/>
                          <w:color w:val="595959" w:themeColor="text1" w:themeTint="A6"/>
                          <w:sz w:val="18"/>
                        </w:rPr>
                        <w:t xml:space="preserve">Cite as: </w:t>
                      </w:r>
                      <w:r w:rsidR="00C956F7">
                        <w:rPr>
                          <w:rFonts w:asciiTheme="majorHAnsi" w:hAnsiTheme="majorHAnsi"/>
                          <w:color w:val="595959" w:themeColor="text1" w:themeTint="A6"/>
                          <w:sz w:val="18"/>
                        </w:rPr>
                        <w:t>IACHR.</w:t>
                      </w:r>
                      <w:r w:rsidRPr="003C32BC">
                        <w:rPr>
                          <w:rFonts w:asciiTheme="majorHAnsi" w:hAnsiTheme="majorHAnsi"/>
                          <w:color w:val="595959" w:themeColor="text1" w:themeTint="A6"/>
                          <w:sz w:val="18"/>
                        </w:rPr>
                        <w:t xml:space="preserve"> Report No. </w:t>
                      </w:r>
                      <w:r w:rsidR="00CF2776">
                        <w:rPr>
                          <w:rFonts w:asciiTheme="majorHAnsi" w:hAnsiTheme="majorHAnsi"/>
                          <w:color w:val="595959" w:themeColor="text1" w:themeTint="A6"/>
                          <w:sz w:val="18"/>
                        </w:rPr>
                        <w:t>114</w:t>
                      </w:r>
                      <w:r w:rsidRPr="00C956F7">
                        <w:rPr>
                          <w:rFonts w:asciiTheme="majorHAnsi" w:hAnsiTheme="majorHAnsi"/>
                          <w:color w:val="595959" w:themeColor="text1" w:themeTint="A6"/>
                          <w:sz w:val="18"/>
                        </w:rPr>
                        <w:t>/</w:t>
                      </w:r>
                      <w:r w:rsidR="00F30B66">
                        <w:rPr>
                          <w:rFonts w:asciiTheme="majorHAnsi" w:hAnsiTheme="majorHAnsi"/>
                          <w:color w:val="595959" w:themeColor="text1" w:themeTint="A6"/>
                          <w:sz w:val="18"/>
                        </w:rPr>
                        <w:t>25</w:t>
                      </w:r>
                      <w:r w:rsidRPr="00C956F7">
                        <w:rPr>
                          <w:rFonts w:asciiTheme="majorHAnsi" w:hAnsiTheme="majorHAnsi"/>
                          <w:color w:val="595959" w:themeColor="text1" w:themeTint="A6"/>
                          <w:sz w:val="18"/>
                        </w:rPr>
                        <w:t xml:space="preserve">, Case 12.491. </w:t>
                      </w:r>
                      <w:r w:rsidRPr="00EB7A2B">
                        <w:rPr>
                          <w:rFonts w:asciiTheme="majorHAnsi" w:hAnsiTheme="majorHAnsi"/>
                          <w:color w:val="595959" w:themeColor="text1" w:themeTint="A6"/>
                          <w:sz w:val="18"/>
                          <w:lang w:val="es-CO"/>
                        </w:rPr>
                        <w:t>M</w:t>
                      </w:r>
                      <w:r w:rsidR="00C956F7">
                        <w:rPr>
                          <w:rFonts w:asciiTheme="majorHAnsi" w:hAnsiTheme="majorHAnsi"/>
                          <w:color w:val="595959" w:themeColor="text1" w:themeTint="A6"/>
                          <w:sz w:val="18"/>
                          <w:lang w:val="es-CO"/>
                        </w:rPr>
                        <w:t>erits</w:t>
                      </w:r>
                      <w:r w:rsidR="00F30B66">
                        <w:rPr>
                          <w:rFonts w:asciiTheme="majorHAnsi" w:hAnsiTheme="majorHAnsi"/>
                          <w:color w:val="595959" w:themeColor="text1" w:themeTint="A6"/>
                          <w:sz w:val="18"/>
                          <w:lang w:val="es-CO"/>
                        </w:rPr>
                        <w:t xml:space="preserve"> (</w:t>
                      </w:r>
                      <w:r w:rsidR="00F55742" w:rsidRPr="00CF2776">
                        <w:rPr>
                          <w:rFonts w:asciiTheme="majorHAnsi" w:hAnsiTheme="majorHAnsi"/>
                          <w:color w:val="595959" w:themeColor="text1" w:themeTint="A6"/>
                          <w:sz w:val="18"/>
                          <w:lang w:val="es-CO"/>
                        </w:rPr>
                        <w:t>Publica</w:t>
                      </w:r>
                      <w:r w:rsidR="00CF2776" w:rsidRPr="00CF2776">
                        <w:rPr>
                          <w:rFonts w:asciiTheme="majorHAnsi" w:hAnsiTheme="majorHAnsi"/>
                          <w:color w:val="595959" w:themeColor="text1" w:themeTint="A6"/>
                          <w:sz w:val="18"/>
                          <w:lang w:val="es-CO"/>
                        </w:rPr>
                        <w:t>tion</w:t>
                      </w:r>
                      <w:r w:rsidR="00F30B66" w:rsidRPr="00CF2776">
                        <w:rPr>
                          <w:rFonts w:asciiTheme="majorHAnsi" w:hAnsiTheme="majorHAnsi"/>
                          <w:color w:val="595959" w:themeColor="text1" w:themeTint="A6"/>
                          <w:sz w:val="18"/>
                          <w:lang w:val="es-CO"/>
                        </w:rPr>
                        <w:t>)</w:t>
                      </w:r>
                      <w:r w:rsidR="00C956F7">
                        <w:rPr>
                          <w:rFonts w:asciiTheme="majorHAnsi" w:hAnsiTheme="majorHAnsi"/>
                          <w:color w:val="595959" w:themeColor="text1" w:themeTint="A6"/>
                          <w:sz w:val="18"/>
                          <w:lang w:val="es-CO"/>
                        </w:rPr>
                        <w:t>. Gustavo Sastoque Alfonso. Colombia.</w:t>
                      </w:r>
                      <w:r w:rsidRPr="00EB7A2B">
                        <w:rPr>
                          <w:rFonts w:asciiTheme="majorHAnsi" w:hAnsiTheme="majorHAnsi"/>
                          <w:color w:val="595959" w:themeColor="text1" w:themeTint="A6"/>
                          <w:sz w:val="18"/>
                          <w:lang w:val="es-CO"/>
                        </w:rPr>
                        <w:t xml:space="preserve"> </w:t>
                      </w:r>
                      <w:r w:rsidR="009E6BB7">
                        <w:rPr>
                          <w:rFonts w:asciiTheme="majorHAnsi" w:hAnsiTheme="majorHAnsi"/>
                          <w:color w:val="595959" w:themeColor="text1" w:themeTint="A6"/>
                          <w:sz w:val="18"/>
                          <w:lang w:val="es-CO"/>
                        </w:rPr>
                        <w:t>July 1</w:t>
                      </w:r>
                      <w:r w:rsidR="00BB7851">
                        <w:rPr>
                          <w:rFonts w:asciiTheme="majorHAnsi" w:hAnsiTheme="majorHAnsi"/>
                          <w:color w:val="595959" w:themeColor="text1" w:themeTint="A6"/>
                          <w:sz w:val="18"/>
                          <w:lang w:val="es-CO"/>
                        </w:rPr>
                        <w:t>5</w:t>
                      </w:r>
                      <w:r w:rsidRPr="00EB7A2B">
                        <w:rPr>
                          <w:rFonts w:asciiTheme="majorHAnsi" w:hAnsiTheme="majorHAnsi"/>
                          <w:color w:val="595959" w:themeColor="text1" w:themeTint="A6"/>
                          <w:sz w:val="18"/>
                          <w:lang w:val="es-CO"/>
                        </w:rPr>
                        <w:t>, 20</w:t>
                      </w:r>
                      <w:r w:rsidR="00F30B66">
                        <w:rPr>
                          <w:rFonts w:asciiTheme="majorHAnsi" w:hAnsiTheme="majorHAnsi"/>
                          <w:color w:val="595959" w:themeColor="text1" w:themeTint="A6"/>
                          <w:sz w:val="18"/>
                          <w:lang w:val="es-CO"/>
                        </w:rPr>
                        <w:t>25</w:t>
                      </w:r>
                      <w:r w:rsidRPr="00EB7A2B">
                        <w:rPr>
                          <w:rFonts w:asciiTheme="majorHAnsi" w:hAnsiTheme="majorHAnsi"/>
                          <w:color w:val="595959" w:themeColor="text1" w:themeTint="A6"/>
                          <w:sz w:val="18"/>
                          <w:lang w:val="es-CO"/>
                        </w:rPr>
                        <w:t>.</w:t>
                      </w:r>
                    </w:p>
                  </w:txbxContent>
                </v:textbox>
              </v:shape>
            </w:pict>
          </mc:Fallback>
        </mc:AlternateContent>
      </w:r>
    </w:p>
    <w:p w14:paraId="29E9A456" w14:textId="77777777" w:rsidR="002C1641" w:rsidRPr="00A433FF" w:rsidRDefault="002C1641" w:rsidP="00040C3A">
      <w:pPr>
        <w:tabs>
          <w:tab w:val="center" w:pos="5400"/>
        </w:tabs>
        <w:suppressAutoHyphens/>
        <w:jc w:val="center"/>
        <w:rPr>
          <w:rFonts w:asciiTheme="majorHAnsi" w:hAnsiTheme="majorHAnsi"/>
          <w:sz w:val="18"/>
          <w:szCs w:val="22"/>
        </w:rPr>
      </w:pPr>
    </w:p>
    <w:p w14:paraId="0352483E" w14:textId="77777777" w:rsidR="002C1641" w:rsidRPr="00A433FF" w:rsidRDefault="002C1641" w:rsidP="00040C3A">
      <w:pPr>
        <w:tabs>
          <w:tab w:val="center" w:pos="5400"/>
        </w:tabs>
        <w:suppressAutoHyphens/>
        <w:jc w:val="center"/>
        <w:rPr>
          <w:rFonts w:asciiTheme="majorHAnsi" w:hAnsiTheme="majorHAnsi"/>
          <w:sz w:val="18"/>
          <w:szCs w:val="22"/>
        </w:rPr>
      </w:pPr>
    </w:p>
    <w:p w14:paraId="06AA3391" w14:textId="77777777" w:rsidR="003C32BC" w:rsidRPr="00A433FF" w:rsidRDefault="003C32BC" w:rsidP="003C32BC">
      <w:pPr>
        <w:tabs>
          <w:tab w:val="center" w:pos="5400"/>
        </w:tabs>
        <w:suppressAutoHyphens/>
        <w:jc w:val="center"/>
        <w:rPr>
          <w:rFonts w:asciiTheme="majorHAnsi" w:hAnsiTheme="majorHAnsi"/>
          <w:sz w:val="18"/>
          <w:szCs w:val="22"/>
        </w:rPr>
      </w:pPr>
    </w:p>
    <w:p w14:paraId="4A88E844" w14:textId="77777777" w:rsidR="003C32BC" w:rsidRPr="00A433FF" w:rsidRDefault="006311DA" w:rsidP="003C32BC">
      <w:pPr>
        <w:tabs>
          <w:tab w:val="center" w:pos="5400"/>
        </w:tabs>
        <w:suppressAutoHyphens/>
        <w:jc w:val="center"/>
        <w:rPr>
          <w:rFonts w:asciiTheme="majorHAnsi" w:hAnsiTheme="majorHAnsi"/>
          <w:sz w:val="18"/>
          <w:szCs w:val="22"/>
        </w:rPr>
      </w:pPr>
      <w:r w:rsidRPr="00A433FF">
        <w:rPr>
          <w:rFonts w:asciiTheme="majorHAnsi" w:hAnsiTheme="majorHAnsi"/>
          <w:noProof/>
          <w:sz w:val="22"/>
          <w:szCs w:val="22"/>
          <w:lang w:val="es-ES" w:eastAsia="es-ES"/>
        </w:rPr>
        <mc:AlternateContent>
          <mc:Choice Requires="wps">
            <w:drawing>
              <wp:anchor distT="0" distB="0" distL="114300" distR="114300" simplePos="0" relativeHeight="251686912" behindDoc="0" locked="0" layoutInCell="1" allowOverlap="1" wp14:anchorId="0581CE31" wp14:editId="5FCFE4B9">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BF8F3" w14:textId="77777777" w:rsidR="00907400" w:rsidRPr="004B7EB6" w:rsidRDefault="00907400"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CE31"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512BF8F3" w14:textId="77777777" w:rsidR="00907400" w:rsidRPr="004B7EB6" w:rsidRDefault="00907400"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A433FF">
        <w:rPr>
          <w:rFonts w:asciiTheme="majorHAnsi" w:hAnsiTheme="majorHAnsi"/>
          <w:noProof/>
          <w:sz w:val="22"/>
          <w:szCs w:val="22"/>
          <w:lang w:val="es-ES" w:eastAsia="es-ES"/>
        </w:rPr>
        <mc:AlternateContent>
          <mc:Choice Requires="wps">
            <w:drawing>
              <wp:anchor distT="0" distB="0" distL="114300" distR="114300" simplePos="0" relativeHeight="251684864" behindDoc="0" locked="0" layoutInCell="1" allowOverlap="1" wp14:anchorId="45866C84" wp14:editId="50FDDF97">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ADFDD" w14:textId="77777777" w:rsidR="00907400" w:rsidRDefault="00907400">
                            <w:r>
                              <w:rPr>
                                <w:noProof/>
                                <w:lang w:val="es-ES" w:eastAsia="es-ES"/>
                              </w:rPr>
                              <w:drawing>
                                <wp:inline distT="0" distB="0" distL="0" distR="0" wp14:anchorId="793FDD3E" wp14:editId="22179334">
                                  <wp:extent cx="1123950" cy="378416"/>
                                  <wp:effectExtent l="0" t="0" r="0" b="3175"/>
                                  <wp:docPr id="4" name="Picture 4"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66C84"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082ADFDD" w14:textId="77777777" w:rsidR="00907400" w:rsidRDefault="00907400">
                      <w:r>
                        <w:rPr>
                          <w:noProof/>
                          <w:lang w:val="es-ES" w:eastAsia="es-ES"/>
                        </w:rPr>
                        <w:drawing>
                          <wp:inline distT="0" distB="0" distL="0" distR="0" wp14:anchorId="793FDD3E" wp14:editId="22179334">
                            <wp:extent cx="1123950" cy="378416"/>
                            <wp:effectExtent l="0" t="0" r="0" b="3175"/>
                            <wp:docPr id="4" name="Picture 4"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v:textbox>
              </v:shape>
            </w:pict>
          </mc:Fallback>
        </mc:AlternateContent>
      </w:r>
    </w:p>
    <w:p w14:paraId="01435815" w14:textId="77777777" w:rsidR="007607C4" w:rsidRPr="00A433FF" w:rsidRDefault="007607C4" w:rsidP="00F30B66">
      <w:pPr>
        <w:tabs>
          <w:tab w:val="center" w:pos="5400"/>
        </w:tabs>
        <w:suppressAutoHyphens/>
        <w:rPr>
          <w:rFonts w:asciiTheme="majorHAnsi" w:hAnsiTheme="majorHAnsi"/>
          <w:sz w:val="18"/>
          <w:szCs w:val="22"/>
        </w:rPr>
        <w:sectPr w:rsidR="007607C4" w:rsidRPr="00A433FF" w:rsidSect="00853419">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2D4AB84B" w14:textId="77777777" w:rsidR="008044E6" w:rsidRDefault="008044E6" w:rsidP="00F30B66">
      <w:pPr>
        <w:tabs>
          <w:tab w:val="center" w:pos="5400"/>
        </w:tabs>
        <w:suppressAutoHyphens/>
        <w:rPr>
          <w:rFonts w:ascii="Cambria" w:hAnsi="Cambria"/>
          <w:sz w:val="18"/>
          <w:szCs w:val="18"/>
        </w:rPr>
      </w:pPr>
    </w:p>
    <w:p w14:paraId="268CE5A5" w14:textId="77777777" w:rsidR="008044E6" w:rsidRDefault="008044E6" w:rsidP="008044E6">
      <w:pPr>
        <w:tabs>
          <w:tab w:val="center" w:pos="5400"/>
        </w:tabs>
        <w:suppressAutoHyphens/>
        <w:jc w:val="center"/>
        <w:rPr>
          <w:rFonts w:ascii="Cambria" w:hAnsi="Cambria"/>
          <w:sz w:val="18"/>
          <w:szCs w:val="18"/>
        </w:rPr>
      </w:pPr>
    </w:p>
    <w:p w14:paraId="0652C0F7" w14:textId="77777777" w:rsidR="008044E6" w:rsidRPr="00B7782E" w:rsidRDefault="008044E6" w:rsidP="008044E6">
      <w:pPr>
        <w:tabs>
          <w:tab w:val="center" w:pos="5400"/>
        </w:tabs>
        <w:suppressAutoHyphens/>
        <w:jc w:val="center"/>
        <w:rPr>
          <w:rFonts w:ascii="Cambria" w:hAnsi="Cambria"/>
          <w:b/>
        </w:rPr>
      </w:pPr>
      <w:r w:rsidRPr="00B7782E">
        <w:rPr>
          <w:rFonts w:ascii="Cambria" w:hAnsi="Cambria"/>
          <w:b/>
        </w:rPr>
        <w:t>INDEX</w:t>
      </w:r>
    </w:p>
    <w:p w14:paraId="2FC164ED" w14:textId="77777777" w:rsidR="008044E6" w:rsidRPr="008B401C" w:rsidRDefault="008044E6" w:rsidP="008044E6">
      <w:pPr>
        <w:tabs>
          <w:tab w:val="center" w:pos="5400"/>
        </w:tabs>
        <w:suppressAutoHyphens/>
        <w:jc w:val="center"/>
        <w:rPr>
          <w:rFonts w:asciiTheme="majorHAnsi" w:hAnsiTheme="majorHAnsi"/>
        </w:rPr>
      </w:pPr>
    </w:p>
    <w:p w14:paraId="58FEE18C" w14:textId="2C998C42" w:rsidR="0057381F" w:rsidRPr="008B401C" w:rsidRDefault="008044E6">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r w:rsidRPr="008B401C">
        <w:rPr>
          <w:rFonts w:asciiTheme="majorHAnsi" w:hAnsiTheme="majorHAnsi"/>
          <w:sz w:val="24"/>
        </w:rPr>
        <w:fldChar w:fldCharType="begin"/>
      </w:r>
      <w:r w:rsidRPr="008B401C">
        <w:rPr>
          <w:rFonts w:asciiTheme="majorHAnsi" w:hAnsiTheme="majorHAnsi"/>
          <w:sz w:val="24"/>
        </w:rPr>
        <w:instrText xml:space="preserve"> TOC \o "1-3" \h \z \u </w:instrText>
      </w:r>
      <w:r w:rsidRPr="008B401C">
        <w:rPr>
          <w:rFonts w:asciiTheme="majorHAnsi" w:hAnsiTheme="majorHAnsi"/>
          <w:sz w:val="24"/>
        </w:rPr>
        <w:fldChar w:fldCharType="separate"/>
      </w:r>
      <w:hyperlink w:anchor="_Toc211249789" w:history="1">
        <w:r w:rsidR="0057381F" w:rsidRPr="008B401C">
          <w:rPr>
            <w:rStyle w:val="Hyperlink"/>
            <w:rFonts w:asciiTheme="majorHAnsi" w:hAnsiTheme="majorHAnsi"/>
            <w:noProof/>
            <w:sz w:val="24"/>
          </w:rPr>
          <w:t>I.</w:t>
        </w:r>
        <w:r w:rsidR="0057381F" w:rsidRPr="008B401C">
          <w:rPr>
            <w:rFonts w:asciiTheme="majorHAnsi" w:eastAsiaTheme="minorEastAsia" w:hAnsiTheme="majorHAnsi" w:cstheme="minorBidi"/>
            <w:noProof/>
            <w:kern w:val="2"/>
            <w:sz w:val="24"/>
            <w:bdr w:val="none" w:sz="0" w:space="0" w:color="auto"/>
            <w14:ligatures w14:val="standardContextual"/>
          </w:rPr>
          <w:tab/>
        </w:r>
        <w:r w:rsidR="0057381F" w:rsidRPr="008B401C">
          <w:rPr>
            <w:rStyle w:val="Hyperlink"/>
            <w:rFonts w:asciiTheme="majorHAnsi" w:hAnsiTheme="majorHAnsi"/>
            <w:noProof/>
            <w:sz w:val="24"/>
          </w:rPr>
          <w:t>SUMMARY</w:t>
        </w:r>
        <w:r w:rsidR="0057381F" w:rsidRPr="008B401C">
          <w:rPr>
            <w:rFonts w:asciiTheme="majorHAnsi" w:hAnsiTheme="majorHAnsi"/>
            <w:noProof/>
            <w:webHidden/>
            <w:sz w:val="24"/>
          </w:rPr>
          <w:tab/>
        </w:r>
        <w:r w:rsidR="0057381F" w:rsidRPr="008B401C">
          <w:rPr>
            <w:rFonts w:asciiTheme="majorHAnsi" w:hAnsiTheme="majorHAnsi"/>
            <w:noProof/>
            <w:webHidden/>
            <w:sz w:val="24"/>
          </w:rPr>
          <w:fldChar w:fldCharType="begin"/>
        </w:r>
        <w:r w:rsidR="0057381F" w:rsidRPr="008B401C">
          <w:rPr>
            <w:rFonts w:asciiTheme="majorHAnsi" w:hAnsiTheme="majorHAnsi"/>
            <w:noProof/>
            <w:webHidden/>
            <w:sz w:val="24"/>
          </w:rPr>
          <w:instrText xml:space="preserve"> PAGEREF _Toc211249789 \h </w:instrText>
        </w:r>
        <w:r w:rsidR="0057381F" w:rsidRPr="008B401C">
          <w:rPr>
            <w:rFonts w:asciiTheme="majorHAnsi" w:hAnsiTheme="majorHAnsi"/>
            <w:noProof/>
            <w:webHidden/>
            <w:sz w:val="24"/>
          </w:rPr>
        </w:r>
        <w:r w:rsidR="0057381F" w:rsidRPr="008B401C">
          <w:rPr>
            <w:rFonts w:asciiTheme="majorHAnsi" w:hAnsiTheme="majorHAnsi"/>
            <w:noProof/>
            <w:webHidden/>
            <w:sz w:val="24"/>
          </w:rPr>
          <w:fldChar w:fldCharType="separate"/>
        </w:r>
        <w:r w:rsidR="00BD01CE">
          <w:rPr>
            <w:rFonts w:asciiTheme="majorHAnsi" w:hAnsiTheme="majorHAnsi"/>
            <w:noProof/>
            <w:webHidden/>
            <w:sz w:val="24"/>
          </w:rPr>
          <w:t>2</w:t>
        </w:r>
        <w:r w:rsidR="0057381F" w:rsidRPr="008B401C">
          <w:rPr>
            <w:rFonts w:asciiTheme="majorHAnsi" w:hAnsiTheme="majorHAnsi"/>
            <w:noProof/>
            <w:webHidden/>
            <w:sz w:val="24"/>
          </w:rPr>
          <w:fldChar w:fldCharType="end"/>
        </w:r>
      </w:hyperlink>
    </w:p>
    <w:p w14:paraId="451F93CC" w14:textId="22837AF4"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790" w:history="1">
        <w:r w:rsidRPr="008B401C">
          <w:rPr>
            <w:rStyle w:val="Hyperlink"/>
            <w:rFonts w:asciiTheme="majorHAnsi" w:hAnsiTheme="majorHAnsi"/>
            <w:noProof/>
            <w:sz w:val="24"/>
          </w:rPr>
          <w:t>II.</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ALLEGATIONS OF THE PARTIES</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_Toc211249790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3</w:t>
        </w:r>
        <w:r w:rsidRPr="008B401C">
          <w:rPr>
            <w:rFonts w:asciiTheme="majorHAnsi" w:hAnsiTheme="majorHAnsi"/>
            <w:noProof/>
            <w:webHidden/>
            <w:sz w:val="24"/>
          </w:rPr>
          <w:fldChar w:fldCharType="end"/>
        </w:r>
      </w:hyperlink>
    </w:p>
    <w:p w14:paraId="6775CE13" w14:textId="7F38CD97"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1" w:history="1">
        <w:r w:rsidRPr="008B401C">
          <w:rPr>
            <w:rStyle w:val="Hyperlink"/>
            <w:rFonts w:asciiTheme="majorHAnsi" w:hAnsiTheme="majorHAnsi"/>
            <w:noProof/>
          </w:rPr>
          <w:t>A.</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Petitioner</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_Toc211249791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3</w:t>
        </w:r>
        <w:r w:rsidRPr="008B401C">
          <w:rPr>
            <w:rFonts w:asciiTheme="majorHAnsi" w:hAnsiTheme="majorHAnsi"/>
            <w:noProof/>
            <w:webHidden/>
          </w:rPr>
          <w:fldChar w:fldCharType="end"/>
        </w:r>
      </w:hyperlink>
    </w:p>
    <w:p w14:paraId="2D6FAE5B" w14:textId="04857DE5"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2" w:history="1">
        <w:r w:rsidRPr="008B401C">
          <w:rPr>
            <w:rStyle w:val="Hyperlink"/>
            <w:rFonts w:asciiTheme="majorHAnsi" w:hAnsiTheme="majorHAnsi"/>
            <w:noProof/>
          </w:rPr>
          <w:t xml:space="preserve">B. </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The State</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_Toc211249792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3</w:t>
        </w:r>
        <w:r w:rsidRPr="008B401C">
          <w:rPr>
            <w:rFonts w:asciiTheme="majorHAnsi" w:hAnsiTheme="majorHAnsi"/>
            <w:noProof/>
            <w:webHidden/>
          </w:rPr>
          <w:fldChar w:fldCharType="end"/>
        </w:r>
      </w:hyperlink>
    </w:p>
    <w:p w14:paraId="3080B1C6" w14:textId="54359BEB"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793" w:history="1">
        <w:r w:rsidRPr="008B401C">
          <w:rPr>
            <w:rStyle w:val="Hyperlink"/>
            <w:rFonts w:asciiTheme="majorHAnsi" w:hAnsiTheme="majorHAnsi"/>
            <w:noProof/>
            <w:sz w:val="24"/>
          </w:rPr>
          <w:t>III.</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FINDINGS OF FACT</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_Toc211249793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4</w:t>
        </w:r>
        <w:r w:rsidRPr="008B401C">
          <w:rPr>
            <w:rFonts w:asciiTheme="majorHAnsi" w:hAnsiTheme="majorHAnsi"/>
            <w:noProof/>
            <w:webHidden/>
            <w:sz w:val="24"/>
          </w:rPr>
          <w:fldChar w:fldCharType="end"/>
        </w:r>
      </w:hyperlink>
    </w:p>
    <w:p w14:paraId="5430D52A" w14:textId="783CFF41"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4" w:history="1">
        <w:r w:rsidRPr="008B401C">
          <w:rPr>
            <w:rStyle w:val="Hyperlink"/>
            <w:rFonts w:asciiTheme="majorHAnsi" w:hAnsiTheme="majorHAnsi"/>
            <w:noProof/>
          </w:rPr>
          <w:t>A.</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Concerning the initiation of the judicial investigation against Gustavo Sastoque</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_Toc211249794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4</w:t>
        </w:r>
        <w:r w:rsidRPr="008B401C">
          <w:rPr>
            <w:rFonts w:asciiTheme="majorHAnsi" w:hAnsiTheme="majorHAnsi"/>
            <w:noProof/>
            <w:webHidden/>
          </w:rPr>
          <w:fldChar w:fldCharType="end"/>
        </w:r>
      </w:hyperlink>
    </w:p>
    <w:p w14:paraId="706E9D19" w14:textId="04141EB5"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5" w:history="1">
        <w:r w:rsidRPr="008B401C">
          <w:rPr>
            <w:rStyle w:val="Hyperlink"/>
            <w:rFonts w:asciiTheme="majorHAnsi" w:hAnsiTheme="majorHAnsi"/>
            <w:noProof/>
          </w:rPr>
          <w:t>B.</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Concerning Regional Justice</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_Toc211249795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6</w:t>
        </w:r>
        <w:r w:rsidRPr="008B401C">
          <w:rPr>
            <w:rFonts w:asciiTheme="majorHAnsi" w:hAnsiTheme="majorHAnsi"/>
            <w:noProof/>
            <w:webHidden/>
          </w:rPr>
          <w:fldChar w:fldCharType="end"/>
        </w:r>
      </w:hyperlink>
    </w:p>
    <w:p w14:paraId="5E8DB70D" w14:textId="52BF735F"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6" w:history="1">
        <w:r w:rsidRPr="008B401C">
          <w:rPr>
            <w:rStyle w:val="Hyperlink"/>
            <w:rFonts w:asciiTheme="majorHAnsi" w:hAnsiTheme="majorHAnsi"/>
            <w:noProof/>
          </w:rPr>
          <w:t>C.</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Regarding Gustavo Sastoque’s Detention and the Criminal Proceedings before the Regional Justice System</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_Toc211249796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9</w:t>
        </w:r>
        <w:r w:rsidRPr="008B401C">
          <w:rPr>
            <w:rFonts w:asciiTheme="majorHAnsi" w:hAnsiTheme="majorHAnsi"/>
            <w:noProof/>
            <w:webHidden/>
          </w:rPr>
          <w:fldChar w:fldCharType="end"/>
        </w:r>
      </w:hyperlink>
    </w:p>
    <w:p w14:paraId="7DB44802" w14:textId="16D7F296"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7" w:history="1">
        <w:r w:rsidRPr="008B401C">
          <w:rPr>
            <w:rStyle w:val="Hyperlink"/>
            <w:rFonts w:asciiTheme="majorHAnsi" w:hAnsiTheme="majorHAnsi"/>
            <w:noProof/>
          </w:rPr>
          <w:t>D.</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Regarding the trial for perjury and procedural fraud</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_Toc211249797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16</w:t>
        </w:r>
        <w:r w:rsidRPr="008B401C">
          <w:rPr>
            <w:rFonts w:asciiTheme="majorHAnsi" w:hAnsiTheme="majorHAnsi"/>
            <w:noProof/>
            <w:webHidden/>
          </w:rPr>
          <w:fldChar w:fldCharType="end"/>
        </w:r>
      </w:hyperlink>
    </w:p>
    <w:p w14:paraId="083B7036" w14:textId="1AF275DD"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798" w:history="1">
        <w:r w:rsidRPr="008B401C">
          <w:rPr>
            <w:rStyle w:val="Hyperlink"/>
            <w:rFonts w:asciiTheme="majorHAnsi" w:hAnsiTheme="majorHAnsi"/>
            <w:noProof/>
            <w:sz w:val="24"/>
          </w:rPr>
          <w:t>IV.</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LEGAL ANALYSIS</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_Toc211249798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17</w:t>
        </w:r>
        <w:r w:rsidRPr="008B401C">
          <w:rPr>
            <w:rFonts w:asciiTheme="majorHAnsi" w:hAnsiTheme="majorHAnsi"/>
            <w:noProof/>
            <w:webHidden/>
            <w:sz w:val="24"/>
          </w:rPr>
          <w:fldChar w:fldCharType="end"/>
        </w:r>
      </w:hyperlink>
    </w:p>
    <w:p w14:paraId="6B4C8847" w14:textId="3CF284BC"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799" w:history="1">
        <w:r w:rsidRPr="008B401C">
          <w:rPr>
            <w:rStyle w:val="Hyperlink"/>
            <w:rFonts w:asciiTheme="majorHAnsi" w:hAnsiTheme="majorHAnsi"/>
            <w:noProof/>
          </w:rPr>
          <w:t>A.</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The Right to Personal Liberty (Article 7 of the American Convention, in relation to Article 1.1 of the Same Instrument)</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_Toc211249799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17</w:t>
        </w:r>
        <w:r w:rsidRPr="008B401C">
          <w:rPr>
            <w:rFonts w:asciiTheme="majorHAnsi" w:hAnsiTheme="majorHAnsi"/>
            <w:noProof/>
            <w:webHidden/>
          </w:rPr>
          <w:fldChar w:fldCharType="end"/>
        </w:r>
      </w:hyperlink>
    </w:p>
    <w:p w14:paraId="721502A0" w14:textId="710E6A25"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800" w:history="1">
        <w:r w:rsidRPr="008B401C">
          <w:rPr>
            <w:rStyle w:val="Hyperlink"/>
            <w:rFonts w:asciiTheme="majorHAnsi" w:hAnsiTheme="majorHAnsi"/>
            <w:noProof/>
          </w:rPr>
          <w:t>B.</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The Rights to due Process and Judicial Protection (Articles 8 and 25  of the American Convention in relation to Articles 1.1 and 2 of the Same Instrument)</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_Toc211249800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21</w:t>
        </w:r>
        <w:r w:rsidRPr="008B401C">
          <w:rPr>
            <w:rFonts w:asciiTheme="majorHAnsi" w:hAnsiTheme="majorHAnsi"/>
            <w:noProof/>
            <w:webHidden/>
          </w:rPr>
          <w:fldChar w:fldCharType="end"/>
        </w:r>
      </w:hyperlink>
    </w:p>
    <w:p w14:paraId="2B12B7A0" w14:textId="2CD5AA32"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1" w:history="1">
        <w:r w:rsidRPr="008B401C">
          <w:rPr>
            <w:rStyle w:val="Hyperlink"/>
            <w:rFonts w:asciiTheme="majorHAnsi" w:hAnsiTheme="majorHAnsi"/>
            <w:noProof/>
          </w:rPr>
          <w:t>1.</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Competent, Independent and Impartial Judges and Prosecutors</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_Toc211249801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21</w:t>
        </w:r>
        <w:r w:rsidRPr="008B401C">
          <w:rPr>
            <w:rFonts w:asciiTheme="majorHAnsi" w:hAnsiTheme="majorHAnsi"/>
            <w:noProof/>
            <w:webHidden/>
          </w:rPr>
          <w:fldChar w:fldCharType="end"/>
        </w:r>
      </w:hyperlink>
    </w:p>
    <w:p w14:paraId="081B4693" w14:textId="3ADFF6E9"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2" w:history="1">
        <w:r w:rsidRPr="008B401C">
          <w:rPr>
            <w:rStyle w:val="Hyperlink"/>
            <w:rFonts w:asciiTheme="majorHAnsi" w:hAnsiTheme="majorHAnsi"/>
            <w:noProof/>
          </w:rPr>
          <w:t>2.</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Prior and Detailed Information of the Charges</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_Toc211249802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22</w:t>
        </w:r>
        <w:r w:rsidRPr="008B401C">
          <w:rPr>
            <w:rFonts w:asciiTheme="majorHAnsi" w:hAnsiTheme="majorHAnsi"/>
            <w:noProof/>
            <w:webHidden/>
          </w:rPr>
          <w:fldChar w:fldCharType="end"/>
        </w:r>
      </w:hyperlink>
    </w:p>
    <w:p w14:paraId="196F39E4" w14:textId="308BCF43"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3" w:history="1">
        <w:r w:rsidRPr="008B401C">
          <w:rPr>
            <w:rStyle w:val="Hyperlink"/>
            <w:rFonts w:asciiTheme="majorHAnsi" w:hAnsiTheme="majorHAnsi"/>
            <w:noProof/>
          </w:rPr>
          <w:t>3.</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Defense and to Question Witnesses</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_Toc211249803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22</w:t>
        </w:r>
        <w:r w:rsidRPr="008B401C">
          <w:rPr>
            <w:rFonts w:asciiTheme="majorHAnsi" w:hAnsiTheme="majorHAnsi"/>
            <w:noProof/>
            <w:webHidden/>
          </w:rPr>
          <w:fldChar w:fldCharType="end"/>
        </w:r>
      </w:hyperlink>
    </w:p>
    <w:p w14:paraId="5B0C940D" w14:textId="1BE11366"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4" w:history="1">
        <w:r w:rsidRPr="008B401C">
          <w:rPr>
            <w:rStyle w:val="Hyperlink"/>
            <w:rFonts w:asciiTheme="majorHAnsi" w:hAnsiTheme="majorHAnsi"/>
            <w:noProof/>
          </w:rPr>
          <w:t>4.</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Principle of the Presumption of Innocence, Reasoned Decisions and Judicial Protection</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_Toc211249804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24</w:t>
        </w:r>
        <w:r w:rsidRPr="008B401C">
          <w:rPr>
            <w:rFonts w:asciiTheme="majorHAnsi" w:hAnsiTheme="majorHAnsi"/>
            <w:noProof/>
            <w:webHidden/>
          </w:rPr>
          <w:fldChar w:fldCharType="end"/>
        </w:r>
      </w:hyperlink>
    </w:p>
    <w:p w14:paraId="0C98A7B8" w14:textId="58D71A0A"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5" w:history="1">
        <w:r w:rsidRPr="008B401C">
          <w:rPr>
            <w:rStyle w:val="Hyperlink"/>
            <w:rFonts w:asciiTheme="majorHAnsi" w:hAnsiTheme="majorHAnsi"/>
            <w:noProof/>
          </w:rPr>
          <w:t>5.</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A Reasonable Time</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_Toc211249805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27</w:t>
        </w:r>
        <w:r w:rsidRPr="008B401C">
          <w:rPr>
            <w:rFonts w:asciiTheme="majorHAnsi" w:hAnsiTheme="majorHAnsi"/>
            <w:noProof/>
            <w:webHidden/>
          </w:rPr>
          <w:fldChar w:fldCharType="end"/>
        </w:r>
      </w:hyperlink>
    </w:p>
    <w:p w14:paraId="5766EE06" w14:textId="0977C667" w:rsidR="0057381F" w:rsidRPr="008B401C" w:rsidRDefault="0057381F">
      <w:pPr>
        <w:pStyle w:val="TOC3"/>
        <w:rPr>
          <w:rFonts w:asciiTheme="majorHAnsi" w:eastAsiaTheme="minorEastAsia" w:hAnsiTheme="majorHAnsi" w:cstheme="minorBidi"/>
          <w:noProof/>
          <w:kern w:val="2"/>
          <w:bdr w:val="none" w:sz="0" w:space="0" w:color="auto"/>
          <w14:ligatures w14:val="standardContextual"/>
        </w:rPr>
      </w:pPr>
      <w:hyperlink w:anchor="_Toc211249806" w:history="1">
        <w:r w:rsidRPr="008B401C">
          <w:rPr>
            <w:rStyle w:val="Hyperlink"/>
            <w:rFonts w:asciiTheme="majorHAnsi" w:hAnsiTheme="majorHAnsi"/>
            <w:noProof/>
          </w:rPr>
          <w:t>6.</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Judicial Guarantees and Judicial Protection Regarding the Accusations of Perjury and Procedural Fraud</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_Toc211249806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28</w:t>
        </w:r>
        <w:r w:rsidRPr="008B401C">
          <w:rPr>
            <w:rFonts w:asciiTheme="majorHAnsi" w:hAnsiTheme="majorHAnsi"/>
            <w:noProof/>
            <w:webHidden/>
          </w:rPr>
          <w:fldChar w:fldCharType="end"/>
        </w:r>
      </w:hyperlink>
    </w:p>
    <w:p w14:paraId="22C62E27" w14:textId="391BE24F"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807" w:history="1">
        <w:r w:rsidRPr="008B401C">
          <w:rPr>
            <w:rStyle w:val="Hyperlink"/>
            <w:rFonts w:asciiTheme="majorHAnsi" w:hAnsiTheme="majorHAnsi"/>
            <w:noProof/>
          </w:rPr>
          <w:t>C.</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Personal Liberty after the Conviction</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_Toc211249807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28</w:t>
        </w:r>
        <w:r w:rsidRPr="008B401C">
          <w:rPr>
            <w:rFonts w:asciiTheme="majorHAnsi" w:hAnsiTheme="majorHAnsi"/>
            <w:noProof/>
            <w:webHidden/>
          </w:rPr>
          <w:fldChar w:fldCharType="end"/>
        </w:r>
      </w:hyperlink>
    </w:p>
    <w:p w14:paraId="27E55D12" w14:textId="29569207" w:rsidR="0057381F" w:rsidRPr="008B401C" w:rsidRDefault="0057381F">
      <w:pPr>
        <w:pStyle w:val="TOC2"/>
        <w:rPr>
          <w:rFonts w:asciiTheme="majorHAnsi" w:eastAsiaTheme="minorEastAsia" w:hAnsiTheme="majorHAnsi" w:cstheme="minorBidi"/>
          <w:noProof/>
          <w:kern w:val="2"/>
          <w:bdr w:val="none" w:sz="0" w:space="0" w:color="auto"/>
          <w14:ligatures w14:val="standardContextual"/>
        </w:rPr>
      </w:pPr>
      <w:hyperlink w:anchor="_Toc211249808" w:history="1">
        <w:r w:rsidRPr="008B401C">
          <w:rPr>
            <w:rStyle w:val="Hyperlink"/>
            <w:rFonts w:asciiTheme="majorHAnsi" w:hAnsiTheme="majorHAnsi"/>
            <w:noProof/>
          </w:rPr>
          <w:t>D.</w:t>
        </w:r>
        <w:r w:rsidRPr="008B401C">
          <w:rPr>
            <w:rFonts w:asciiTheme="majorHAnsi" w:eastAsiaTheme="minorEastAsia" w:hAnsiTheme="majorHAnsi" w:cstheme="minorBidi"/>
            <w:noProof/>
            <w:kern w:val="2"/>
            <w:bdr w:val="none" w:sz="0" w:space="0" w:color="auto"/>
            <w14:ligatures w14:val="standardContextual"/>
          </w:rPr>
          <w:tab/>
        </w:r>
        <w:r w:rsidRPr="008B401C">
          <w:rPr>
            <w:rStyle w:val="Hyperlink"/>
            <w:rFonts w:asciiTheme="majorHAnsi" w:hAnsiTheme="majorHAnsi"/>
            <w:noProof/>
          </w:rPr>
          <w:t>Right to Personal Integrity</w:t>
        </w:r>
        <w:r w:rsidRPr="008B401C">
          <w:rPr>
            <w:rFonts w:asciiTheme="majorHAnsi" w:hAnsiTheme="majorHAnsi"/>
            <w:noProof/>
            <w:webHidden/>
          </w:rPr>
          <w:tab/>
        </w:r>
        <w:r w:rsidRPr="008B401C">
          <w:rPr>
            <w:rFonts w:asciiTheme="majorHAnsi" w:hAnsiTheme="majorHAnsi"/>
            <w:noProof/>
            <w:webHidden/>
          </w:rPr>
          <w:fldChar w:fldCharType="begin"/>
        </w:r>
        <w:r w:rsidRPr="008B401C">
          <w:rPr>
            <w:rFonts w:asciiTheme="majorHAnsi" w:hAnsiTheme="majorHAnsi"/>
            <w:noProof/>
            <w:webHidden/>
          </w:rPr>
          <w:instrText xml:space="preserve"> PAGEREF _Toc211249808 \h </w:instrText>
        </w:r>
        <w:r w:rsidRPr="008B401C">
          <w:rPr>
            <w:rFonts w:asciiTheme="majorHAnsi" w:hAnsiTheme="majorHAnsi"/>
            <w:noProof/>
            <w:webHidden/>
          </w:rPr>
        </w:r>
        <w:r w:rsidRPr="008B401C">
          <w:rPr>
            <w:rFonts w:asciiTheme="majorHAnsi" w:hAnsiTheme="majorHAnsi"/>
            <w:noProof/>
            <w:webHidden/>
          </w:rPr>
          <w:fldChar w:fldCharType="separate"/>
        </w:r>
        <w:r w:rsidR="00BD01CE">
          <w:rPr>
            <w:rFonts w:asciiTheme="majorHAnsi" w:hAnsiTheme="majorHAnsi"/>
            <w:noProof/>
            <w:webHidden/>
          </w:rPr>
          <w:t>29</w:t>
        </w:r>
        <w:r w:rsidRPr="008B401C">
          <w:rPr>
            <w:rFonts w:asciiTheme="majorHAnsi" w:hAnsiTheme="majorHAnsi"/>
            <w:noProof/>
            <w:webHidden/>
          </w:rPr>
          <w:fldChar w:fldCharType="end"/>
        </w:r>
      </w:hyperlink>
    </w:p>
    <w:p w14:paraId="25303948" w14:textId="4B623908"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809" w:history="1">
        <w:r w:rsidRPr="008B401C">
          <w:rPr>
            <w:rStyle w:val="Hyperlink"/>
            <w:rFonts w:asciiTheme="majorHAnsi" w:hAnsiTheme="majorHAnsi"/>
            <w:noProof/>
            <w:sz w:val="24"/>
          </w:rPr>
          <w:t>V.</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REPORT No. 61/18 AND INFORMATION ON COMPLIANCE</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_Toc211249809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29</w:t>
        </w:r>
        <w:r w:rsidRPr="008B401C">
          <w:rPr>
            <w:rFonts w:asciiTheme="majorHAnsi" w:hAnsiTheme="majorHAnsi"/>
            <w:noProof/>
            <w:webHidden/>
            <w:sz w:val="24"/>
          </w:rPr>
          <w:fldChar w:fldCharType="end"/>
        </w:r>
      </w:hyperlink>
    </w:p>
    <w:p w14:paraId="46124C68" w14:textId="42C37117"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810" w:history="1">
        <w:r w:rsidRPr="008B401C">
          <w:rPr>
            <w:rStyle w:val="Hyperlink"/>
            <w:rFonts w:asciiTheme="majorHAnsi" w:hAnsiTheme="majorHAnsi"/>
            <w:noProof/>
            <w:sz w:val="24"/>
          </w:rPr>
          <w:t>VI.</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ACTIONS FOLLOWING REPORT No. 46/25 AND INFORMATION ON COMPLIANCE</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_Toc211249810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34</w:t>
        </w:r>
        <w:r w:rsidRPr="008B401C">
          <w:rPr>
            <w:rFonts w:asciiTheme="majorHAnsi" w:hAnsiTheme="majorHAnsi"/>
            <w:noProof/>
            <w:webHidden/>
            <w:sz w:val="24"/>
          </w:rPr>
          <w:fldChar w:fldCharType="end"/>
        </w:r>
      </w:hyperlink>
    </w:p>
    <w:p w14:paraId="470A1609" w14:textId="5FBB69C0"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811" w:history="1">
        <w:r w:rsidRPr="008B401C">
          <w:rPr>
            <w:rStyle w:val="Hyperlink"/>
            <w:rFonts w:asciiTheme="majorHAnsi" w:hAnsiTheme="majorHAnsi"/>
            <w:noProof/>
            <w:sz w:val="24"/>
          </w:rPr>
          <w:t>VII.</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FINAL CONCLUSIONS AND RECOMMENDATIONS</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_Toc211249811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35</w:t>
        </w:r>
        <w:r w:rsidRPr="008B401C">
          <w:rPr>
            <w:rFonts w:asciiTheme="majorHAnsi" w:hAnsiTheme="majorHAnsi"/>
            <w:noProof/>
            <w:webHidden/>
            <w:sz w:val="24"/>
          </w:rPr>
          <w:fldChar w:fldCharType="end"/>
        </w:r>
      </w:hyperlink>
    </w:p>
    <w:p w14:paraId="68FC3275" w14:textId="04EE21E0" w:rsidR="0057381F" w:rsidRPr="008B401C" w:rsidRDefault="0057381F">
      <w:pPr>
        <w:pStyle w:val="TOC1"/>
        <w:tabs>
          <w:tab w:val="left" w:pos="990"/>
          <w:tab w:val="right" w:leader="dot" w:pos="9350"/>
        </w:tabs>
        <w:rPr>
          <w:rFonts w:asciiTheme="majorHAnsi" w:eastAsiaTheme="minorEastAsia" w:hAnsiTheme="majorHAnsi" w:cstheme="minorBidi"/>
          <w:noProof/>
          <w:kern w:val="2"/>
          <w:sz w:val="24"/>
          <w:bdr w:val="none" w:sz="0" w:space="0" w:color="auto"/>
          <w14:ligatures w14:val="standardContextual"/>
        </w:rPr>
      </w:pPr>
      <w:hyperlink w:anchor="_Toc211249812" w:history="1">
        <w:r w:rsidRPr="008B401C">
          <w:rPr>
            <w:rStyle w:val="Hyperlink"/>
            <w:rFonts w:asciiTheme="majorHAnsi" w:hAnsiTheme="majorHAnsi"/>
            <w:noProof/>
            <w:sz w:val="24"/>
          </w:rPr>
          <w:t>VIII.</w:t>
        </w:r>
        <w:r w:rsidRPr="008B401C">
          <w:rPr>
            <w:rFonts w:asciiTheme="majorHAnsi" w:eastAsiaTheme="minorEastAsia" w:hAnsiTheme="majorHAnsi" w:cstheme="minorBidi"/>
            <w:noProof/>
            <w:kern w:val="2"/>
            <w:sz w:val="24"/>
            <w:bdr w:val="none" w:sz="0" w:space="0" w:color="auto"/>
            <w14:ligatures w14:val="standardContextual"/>
          </w:rPr>
          <w:tab/>
        </w:r>
        <w:r w:rsidRPr="008B401C">
          <w:rPr>
            <w:rStyle w:val="Hyperlink"/>
            <w:rFonts w:asciiTheme="majorHAnsi" w:hAnsiTheme="majorHAnsi"/>
            <w:noProof/>
            <w:sz w:val="24"/>
          </w:rPr>
          <w:t>PUBLICATION</w:t>
        </w:r>
        <w:r w:rsidRPr="008B401C">
          <w:rPr>
            <w:rFonts w:asciiTheme="majorHAnsi" w:hAnsiTheme="majorHAnsi"/>
            <w:noProof/>
            <w:webHidden/>
            <w:sz w:val="24"/>
          </w:rPr>
          <w:tab/>
        </w:r>
        <w:r w:rsidRPr="008B401C">
          <w:rPr>
            <w:rFonts w:asciiTheme="majorHAnsi" w:hAnsiTheme="majorHAnsi"/>
            <w:noProof/>
            <w:webHidden/>
            <w:sz w:val="24"/>
          </w:rPr>
          <w:fldChar w:fldCharType="begin"/>
        </w:r>
        <w:r w:rsidRPr="008B401C">
          <w:rPr>
            <w:rFonts w:asciiTheme="majorHAnsi" w:hAnsiTheme="majorHAnsi"/>
            <w:noProof/>
            <w:webHidden/>
            <w:sz w:val="24"/>
          </w:rPr>
          <w:instrText xml:space="preserve"> PAGEREF _Toc211249812 \h </w:instrText>
        </w:r>
        <w:r w:rsidRPr="008B401C">
          <w:rPr>
            <w:rFonts w:asciiTheme="majorHAnsi" w:hAnsiTheme="majorHAnsi"/>
            <w:noProof/>
            <w:webHidden/>
            <w:sz w:val="24"/>
          </w:rPr>
        </w:r>
        <w:r w:rsidRPr="008B401C">
          <w:rPr>
            <w:rFonts w:asciiTheme="majorHAnsi" w:hAnsiTheme="majorHAnsi"/>
            <w:noProof/>
            <w:webHidden/>
            <w:sz w:val="24"/>
          </w:rPr>
          <w:fldChar w:fldCharType="separate"/>
        </w:r>
        <w:r w:rsidR="00BD01CE">
          <w:rPr>
            <w:rFonts w:asciiTheme="majorHAnsi" w:hAnsiTheme="majorHAnsi"/>
            <w:noProof/>
            <w:webHidden/>
            <w:sz w:val="24"/>
          </w:rPr>
          <w:t>35</w:t>
        </w:r>
        <w:r w:rsidRPr="008B401C">
          <w:rPr>
            <w:rFonts w:asciiTheme="majorHAnsi" w:hAnsiTheme="majorHAnsi"/>
            <w:noProof/>
            <w:webHidden/>
            <w:sz w:val="24"/>
          </w:rPr>
          <w:fldChar w:fldCharType="end"/>
        </w:r>
      </w:hyperlink>
    </w:p>
    <w:p w14:paraId="43671767" w14:textId="2E288E84" w:rsidR="008044E6" w:rsidRPr="008044E6" w:rsidRDefault="008044E6" w:rsidP="008044E6">
      <w:pPr>
        <w:tabs>
          <w:tab w:val="left" w:pos="540"/>
          <w:tab w:val="center" w:pos="5400"/>
        </w:tabs>
        <w:suppressAutoHyphens/>
        <w:jc w:val="center"/>
        <w:rPr>
          <w:rFonts w:asciiTheme="majorHAnsi" w:hAnsiTheme="majorHAnsi"/>
          <w:sz w:val="20"/>
          <w:szCs w:val="20"/>
        </w:rPr>
      </w:pPr>
      <w:r w:rsidRPr="008B401C">
        <w:rPr>
          <w:rFonts w:asciiTheme="majorHAnsi" w:hAnsiTheme="majorHAnsi"/>
        </w:rPr>
        <w:fldChar w:fldCharType="end"/>
      </w:r>
    </w:p>
    <w:p w14:paraId="64F995DE" w14:textId="77777777" w:rsidR="008044E6" w:rsidRPr="008044E6" w:rsidRDefault="008044E6" w:rsidP="008044E6">
      <w:pPr>
        <w:tabs>
          <w:tab w:val="left" w:pos="540"/>
          <w:tab w:val="center" w:pos="5400"/>
        </w:tabs>
        <w:suppressAutoHyphens/>
        <w:jc w:val="center"/>
        <w:rPr>
          <w:rFonts w:asciiTheme="majorHAnsi" w:hAnsiTheme="majorHAnsi"/>
          <w:sz w:val="20"/>
          <w:szCs w:val="20"/>
        </w:rPr>
      </w:pPr>
    </w:p>
    <w:p w14:paraId="55F7627A" w14:textId="77777777" w:rsidR="00B06BB7" w:rsidRPr="008044E6" w:rsidRDefault="00B06BB7" w:rsidP="008044E6">
      <w:pPr>
        <w:tabs>
          <w:tab w:val="left" w:pos="540"/>
        </w:tabs>
        <w:rPr>
          <w:rFonts w:asciiTheme="majorHAnsi" w:hAnsiTheme="majorHAnsi"/>
          <w:b/>
          <w:sz w:val="20"/>
          <w:szCs w:val="20"/>
        </w:rPr>
      </w:pPr>
      <w:r w:rsidRPr="008044E6">
        <w:rPr>
          <w:rFonts w:asciiTheme="majorHAnsi" w:hAnsiTheme="majorHAnsi"/>
          <w:b/>
          <w:sz w:val="20"/>
          <w:szCs w:val="20"/>
        </w:rPr>
        <w:br w:type="page"/>
      </w:r>
    </w:p>
    <w:p w14:paraId="64E868BF" w14:textId="77777777" w:rsidR="00EB7A2B" w:rsidRPr="00C5313D" w:rsidRDefault="00EB7A2B" w:rsidP="00E17AD4">
      <w:pPr>
        <w:tabs>
          <w:tab w:val="center" w:pos="5400"/>
        </w:tabs>
        <w:suppressAutoHyphens/>
        <w:jc w:val="center"/>
        <w:rPr>
          <w:rFonts w:ascii="Cambria" w:hAnsi="Cambria"/>
          <w:sz w:val="18"/>
          <w:szCs w:val="18"/>
        </w:rPr>
      </w:pPr>
    </w:p>
    <w:p w14:paraId="43075DA0" w14:textId="77777777" w:rsidR="00E17AD4" w:rsidRPr="00907400" w:rsidRDefault="00E17AD4" w:rsidP="00907400">
      <w:pPr>
        <w:jc w:val="both"/>
        <w:rPr>
          <w:rFonts w:asciiTheme="majorHAnsi" w:hAnsiTheme="majorHAnsi"/>
          <w:b/>
          <w:sz w:val="20"/>
          <w:szCs w:val="20"/>
        </w:rPr>
      </w:pPr>
    </w:p>
    <w:p w14:paraId="0C9F8EBB" w14:textId="18734DAF" w:rsidR="00F621C3" w:rsidRPr="00907400" w:rsidRDefault="00A24AD0" w:rsidP="00907400">
      <w:pPr>
        <w:pStyle w:val="Heading1"/>
        <w:spacing w:before="0"/>
        <w:ind w:firstLine="0"/>
        <w:rPr>
          <w:color w:val="auto"/>
          <w:sz w:val="20"/>
          <w:szCs w:val="20"/>
        </w:rPr>
      </w:pPr>
      <w:bookmarkStart w:id="0" w:name="_Toc211249789"/>
      <w:r w:rsidRPr="00907400">
        <w:rPr>
          <w:color w:val="auto"/>
          <w:sz w:val="20"/>
          <w:szCs w:val="20"/>
        </w:rPr>
        <w:t>SUMMARY</w:t>
      </w:r>
      <w:r w:rsidR="006B6D44">
        <w:rPr>
          <w:rStyle w:val="FootnoteReference"/>
          <w:color w:val="auto"/>
          <w:sz w:val="20"/>
          <w:szCs w:val="20"/>
        </w:rPr>
        <w:footnoteReference w:id="2"/>
      </w:r>
      <w:bookmarkEnd w:id="0"/>
    </w:p>
    <w:p w14:paraId="603359F9"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2D0F8E95" w14:textId="77777777" w:rsidR="00F621C3"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907400">
        <w:rPr>
          <w:rFonts w:ascii="Cambria" w:hAnsi="Cambria"/>
          <w:sz w:val="20"/>
          <w:szCs w:val="20"/>
        </w:rPr>
        <w:t>On August 27, 2002, the Inter-American Commission on Human Rights (hereinafter "the Commission", "the Inter-American Commission" or "the IACHR") received a petition from the Association for Alternative Soci</w:t>
      </w:r>
      <w:r w:rsidR="00C2026B" w:rsidRPr="00907400">
        <w:rPr>
          <w:rFonts w:ascii="Cambria" w:hAnsi="Cambria"/>
          <w:sz w:val="20"/>
          <w:szCs w:val="20"/>
        </w:rPr>
        <w:t>al Promotion - MINGA</w:t>
      </w:r>
      <w:r w:rsidR="007E5FD1" w:rsidRPr="00907400">
        <w:rPr>
          <w:rFonts w:ascii="Cambria" w:hAnsi="Cambria"/>
          <w:sz w:val="20"/>
          <w:szCs w:val="20"/>
        </w:rPr>
        <w:t xml:space="preserve"> (hereinafter</w:t>
      </w:r>
      <w:r w:rsidRPr="00907400">
        <w:rPr>
          <w:rFonts w:ascii="Cambria" w:hAnsi="Cambria"/>
          <w:sz w:val="20"/>
          <w:szCs w:val="20"/>
        </w:rPr>
        <w:t xml:space="preserve"> "the petitioner"), </w:t>
      </w:r>
      <w:r w:rsidR="007E5FD1" w:rsidRPr="00907400">
        <w:rPr>
          <w:rFonts w:ascii="Cambria" w:hAnsi="Cambria"/>
          <w:sz w:val="20"/>
          <w:szCs w:val="20"/>
        </w:rPr>
        <w:t>alleging</w:t>
      </w:r>
      <w:r w:rsidRPr="00907400">
        <w:rPr>
          <w:rFonts w:ascii="Cambria" w:hAnsi="Cambria"/>
          <w:sz w:val="20"/>
          <w:szCs w:val="20"/>
        </w:rPr>
        <w:t xml:space="preserve"> the international responsibility of the Republic of Colombia, (hereinafter "the State", "the Colombian State" or "Colombia") to the detriment of Gustavo Sastoque Alfonso.</w:t>
      </w:r>
    </w:p>
    <w:p w14:paraId="48DDBDE6"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7DCAFD3D" w14:textId="77777777" w:rsidR="00A24AD0" w:rsidRDefault="00D32FD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907400">
        <w:rPr>
          <w:rFonts w:ascii="Cambria" w:hAnsi="Cambria"/>
          <w:sz w:val="20"/>
          <w:szCs w:val="20"/>
        </w:rPr>
        <w:t>On February 22, 2005, t</w:t>
      </w:r>
      <w:r w:rsidR="008D7B66" w:rsidRPr="00907400">
        <w:rPr>
          <w:rFonts w:ascii="Cambria" w:hAnsi="Cambria"/>
          <w:sz w:val="20"/>
          <w:szCs w:val="20"/>
        </w:rPr>
        <w:t xml:space="preserve">he Commission approved </w:t>
      </w:r>
      <w:r w:rsidRPr="00907400">
        <w:rPr>
          <w:rFonts w:ascii="Cambria" w:hAnsi="Cambria"/>
          <w:sz w:val="20"/>
          <w:szCs w:val="20"/>
        </w:rPr>
        <w:t>Admissibility R</w:t>
      </w:r>
      <w:r w:rsidR="008D7B66" w:rsidRPr="00907400">
        <w:rPr>
          <w:rFonts w:ascii="Cambria" w:hAnsi="Cambria"/>
          <w:sz w:val="20"/>
          <w:szCs w:val="20"/>
        </w:rPr>
        <w:t>eport No. 5/05.</w:t>
      </w:r>
      <w:r w:rsidR="00A1633E" w:rsidRPr="00907400">
        <w:rPr>
          <w:rStyle w:val="FootnoteReference"/>
          <w:rFonts w:ascii="Cambria" w:hAnsi="Cambria"/>
          <w:sz w:val="20"/>
          <w:szCs w:val="20"/>
        </w:rPr>
        <w:footnoteReference w:id="3"/>
      </w:r>
      <w:r w:rsidR="008D7B66" w:rsidRPr="00907400">
        <w:rPr>
          <w:rFonts w:ascii="Cambria" w:hAnsi="Cambria"/>
          <w:sz w:val="20"/>
          <w:szCs w:val="20"/>
        </w:rPr>
        <w:t xml:space="preserve"> On September 5, 2005, the IACHR notified </w:t>
      </w:r>
      <w:r w:rsidRPr="00907400">
        <w:rPr>
          <w:rFonts w:ascii="Cambria" w:hAnsi="Cambria"/>
          <w:sz w:val="20"/>
          <w:szCs w:val="20"/>
        </w:rPr>
        <w:t>the R</w:t>
      </w:r>
      <w:r w:rsidR="008D7B66" w:rsidRPr="00907400">
        <w:rPr>
          <w:rFonts w:ascii="Cambria" w:hAnsi="Cambria"/>
          <w:sz w:val="20"/>
          <w:szCs w:val="20"/>
        </w:rPr>
        <w:t xml:space="preserve">eport to the parties and made itself </w:t>
      </w:r>
      <w:r w:rsidR="00A433FF" w:rsidRPr="00907400">
        <w:rPr>
          <w:rFonts w:ascii="Cambria" w:hAnsi="Cambria"/>
          <w:sz w:val="20"/>
          <w:szCs w:val="20"/>
        </w:rPr>
        <w:t>available in</w:t>
      </w:r>
      <w:r w:rsidR="008D7B66" w:rsidRPr="00907400">
        <w:rPr>
          <w:rFonts w:ascii="Cambria" w:hAnsi="Cambria"/>
          <w:sz w:val="20"/>
          <w:szCs w:val="20"/>
        </w:rPr>
        <w:t xml:space="preserve"> order to reach a friendly settlement. On</w:t>
      </w:r>
      <w:r w:rsidR="008D7B66" w:rsidRPr="00C5313D">
        <w:rPr>
          <w:rFonts w:ascii="Cambria" w:hAnsi="Cambria"/>
          <w:sz w:val="20"/>
          <w:szCs w:val="20"/>
        </w:rPr>
        <w:t xml:space="preserve"> October 18, 2005, the IACHR held a public hearing on the merits of the case. At that hearing and, subsequently, on September 11, 2007, the petitioner submitted its observations on the merits. On February 21, 2008, the petitioner expressed interest in initiating friendly settlement proceeding</w:t>
      </w:r>
      <w:r w:rsidRPr="00C5313D">
        <w:rPr>
          <w:rFonts w:ascii="Cambria" w:hAnsi="Cambria"/>
          <w:sz w:val="20"/>
          <w:szCs w:val="20"/>
        </w:rPr>
        <w:t>s</w:t>
      </w:r>
      <w:r w:rsidR="008D7B66" w:rsidRPr="00C5313D">
        <w:rPr>
          <w:rFonts w:ascii="Cambria" w:hAnsi="Cambria"/>
          <w:sz w:val="20"/>
          <w:szCs w:val="20"/>
        </w:rPr>
        <w:t xml:space="preserve">. On March 11, 2008, the Commission held a working meeting. On April 7, 2008, the parties sent a communication informing </w:t>
      </w:r>
      <w:r w:rsidRPr="00C5313D">
        <w:rPr>
          <w:rFonts w:ascii="Cambria" w:hAnsi="Cambria"/>
          <w:sz w:val="20"/>
          <w:szCs w:val="20"/>
        </w:rPr>
        <w:t>their interest</w:t>
      </w:r>
      <w:r w:rsidR="008D7B66" w:rsidRPr="00C5313D">
        <w:rPr>
          <w:rFonts w:ascii="Cambria" w:hAnsi="Cambria"/>
          <w:sz w:val="20"/>
          <w:szCs w:val="20"/>
        </w:rPr>
        <w:t xml:space="preserve"> in initiating a friendly settlement procedure. On March 8 and October 25, 2016, Mr. Sastoque sen</w:t>
      </w:r>
      <w:r w:rsidRPr="00C5313D">
        <w:rPr>
          <w:rFonts w:ascii="Cambria" w:hAnsi="Cambria"/>
          <w:sz w:val="20"/>
          <w:szCs w:val="20"/>
        </w:rPr>
        <w:t>t communications requesting a Merits Report</w:t>
      </w:r>
      <w:r w:rsidR="008D7B66" w:rsidRPr="00C5313D">
        <w:rPr>
          <w:rFonts w:ascii="Cambria" w:hAnsi="Cambria"/>
          <w:sz w:val="20"/>
          <w:szCs w:val="20"/>
        </w:rPr>
        <w:t xml:space="preserve"> because no agreement </w:t>
      </w:r>
      <w:r w:rsidRPr="00C5313D">
        <w:rPr>
          <w:rFonts w:ascii="Cambria" w:hAnsi="Cambria"/>
          <w:sz w:val="20"/>
          <w:szCs w:val="20"/>
        </w:rPr>
        <w:t>had been reached</w:t>
      </w:r>
      <w:r w:rsidR="008D7B66" w:rsidRPr="00C5313D">
        <w:rPr>
          <w:rFonts w:ascii="Cambria" w:hAnsi="Cambria"/>
          <w:sz w:val="20"/>
          <w:szCs w:val="20"/>
        </w:rPr>
        <w:t xml:space="preserve"> with the State. On September 15, 2017, after v</w:t>
      </w:r>
      <w:r w:rsidR="00C97D45" w:rsidRPr="00C5313D">
        <w:rPr>
          <w:rFonts w:ascii="Cambria" w:hAnsi="Cambria"/>
          <w:sz w:val="20"/>
          <w:szCs w:val="20"/>
        </w:rPr>
        <w:t xml:space="preserve">erifying that the State had not </w:t>
      </w:r>
      <w:r w:rsidR="008676AA" w:rsidRPr="00C5313D">
        <w:rPr>
          <w:rFonts w:ascii="Cambria" w:hAnsi="Cambria"/>
          <w:sz w:val="20"/>
          <w:szCs w:val="20"/>
        </w:rPr>
        <w:t xml:space="preserve">yet </w:t>
      </w:r>
      <w:r w:rsidR="00C97D45" w:rsidRPr="00C5313D">
        <w:rPr>
          <w:rFonts w:ascii="Cambria" w:hAnsi="Cambria"/>
          <w:sz w:val="20"/>
          <w:szCs w:val="20"/>
        </w:rPr>
        <w:t>been afforded the four month time period established in the Rules</w:t>
      </w:r>
      <w:r w:rsidR="008D7B66" w:rsidRPr="00C5313D">
        <w:rPr>
          <w:rFonts w:ascii="Cambria" w:hAnsi="Cambria"/>
          <w:sz w:val="20"/>
          <w:szCs w:val="20"/>
        </w:rPr>
        <w:t xml:space="preserve">, the IACHR granted it that period. The State did not </w:t>
      </w:r>
      <w:r w:rsidRPr="00C5313D">
        <w:rPr>
          <w:rFonts w:ascii="Cambria" w:hAnsi="Cambria"/>
          <w:sz w:val="20"/>
          <w:szCs w:val="20"/>
        </w:rPr>
        <w:t>present</w:t>
      </w:r>
      <w:r w:rsidR="008D7B66" w:rsidRPr="00C5313D">
        <w:rPr>
          <w:rFonts w:ascii="Cambria" w:hAnsi="Cambria"/>
          <w:sz w:val="20"/>
          <w:szCs w:val="20"/>
        </w:rPr>
        <w:t xml:space="preserve"> additional observations after this communication from the Commission</w:t>
      </w:r>
      <w:r w:rsidRPr="00C5313D">
        <w:rPr>
          <w:rFonts w:ascii="Cambria" w:hAnsi="Cambria"/>
          <w:sz w:val="20"/>
          <w:szCs w:val="20"/>
        </w:rPr>
        <w:t>.</w:t>
      </w:r>
    </w:p>
    <w:p w14:paraId="6F620172" w14:textId="77777777" w:rsidR="00907400" w:rsidRPr="00C5313D"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p>
    <w:p w14:paraId="1DDE6F06" w14:textId="77777777" w:rsidR="00A24AD0"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C5313D">
        <w:rPr>
          <w:rFonts w:ascii="Cambria" w:hAnsi="Cambria"/>
          <w:sz w:val="20"/>
          <w:szCs w:val="20"/>
        </w:rPr>
        <w:t xml:space="preserve">The petitioner alleged that the State is responsible for the illegal and arbitrary detention </w:t>
      </w:r>
      <w:r w:rsidR="00D32FD6" w:rsidRPr="00C5313D">
        <w:rPr>
          <w:rFonts w:ascii="Cambria" w:hAnsi="Cambria"/>
          <w:sz w:val="20"/>
          <w:szCs w:val="20"/>
        </w:rPr>
        <w:t xml:space="preserve">in March 1995 </w:t>
      </w:r>
      <w:r w:rsidRPr="00C5313D">
        <w:rPr>
          <w:rFonts w:ascii="Cambria" w:hAnsi="Cambria"/>
          <w:sz w:val="20"/>
          <w:szCs w:val="20"/>
        </w:rPr>
        <w:t xml:space="preserve">of Gustavo Sastoque Alfonso, </w:t>
      </w:r>
      <w:r w:rsidR="00D32FD6" w:rsidRPr="00C5313D">
        <w:rPr>
          <w:rFonts w:ascii="Cambria" w:hAnsi="Cambria"/>
          <w:sz w:val="20"/>
          <w:szCs w:val="20"/>
        </w:rPr>
        <w:t xml:space="preserve">an </w:t>
      </w:r>
      <w:r w:rsidRPr="00C5313D">
        <w:rPr>
          <w:rFonts w:ascii="Cambria" w:hAnsi="Cambria"/>
          <w:sz w:val="20"/>
          <w:szCs w:val="20"/>
        </w:rPr>
        <w:t xml:space="preserve">administrative officer of the Technical Investigation Corps of the </w:t>
      </w:r>
      <w:r w:rsidR="00D32FD6" w:rsidRPr="00C5313D">
        <w:rPr>
          <w:rFonts w:ascii="Cambria" w:hAnsi="Cambria"/>
          <w:sz w:val="20"/>
          <w:szCs w:val="20"/>
        </w:rPr>
        <w:t>National Attorney General's Office,</w:t>
      </w:r>
      <w:r w:rsidRPr="00C5313D">
        <w:rPr>
          <w:rFonts w:ascii="Cambria" w:hAnsi="Cambria"/>
          <w:sz w:val="20"/>
          <w:szCs w:val="20"/>
        </w:rPr>
        <w:t xml:space="preserve"> by state agents in the city </w:t>
      </w:r>
      <w:r w:rsidR="00D32FD6" w:rsidRPr="00C5313D">
        <w:rPr>
          <w:rFonts w:ascii="Cambria" w:hAnsi="Cambria"/>
          <w:sz w:val="20"/>
          <w:szCs w:val="20"/>
        </w:rPr>
        <w:t>of</w:t>
      </w:r>
      <w:r w:rsidRPr="00C5313D">
        <w:rPr>
          <w:rFonts w:ascii="Cambria" w:hAnsi="Cambria"/>
          <w:sz w:val="20"/>
          <w:szCs w:val="20"/>
        </w:rPr>
        <w:t xml:space="preserve"> Bogota. </w:t>
      </w:r>
      <w:r w:rsidR="00D32FD6" w:rsidRPr="00C5313D">
        <w:rPr>
          <w:rFonts w:ascii="Cambria" w:hAnsi="Cambria"/>
          <w:sz w:val="20"/>
          <w:szCs w:val="20"/>
        </w:rPr>
        <w:t>It</w:t>
      </w:r>
      <w:r w:rsidRPr="00C5313D">
        <w:rPr>
          <w:rFonts w:ascii="Cambria" w:hAnsi="Cambria"/>
          <w:sz w:val="20"/>
          <w:szCs w:val="20"/>
        </w:rPr>
        <w:t xml:space="preserve"> argued that in the criminal proceeding</w:t>
      </w:r>
      <w:r w:rsidR="00D32FD6" w:rsidRPr="00C5313D">
        <w:rPr>
          <w:rFonts w:ascii="Cambria" w:hAnsi="Cambria"/>
          <w:sz w:val="20"/>
          <w:szCs w:val="20"/>
        </w:rPr>
        <w:t>s</w:t>
      </w:r>
      <w:r w:rsidRPr="00C5313D">
        <w:rPr>
          <w:rFonts w:ascii="Cambria" w:hAnsi="Cambria"/>
          <w:sz w:val="20"/>
          <w:szCs w:val="20"/>
        </w:rPr>
        <w:t xml:space="preserve"> </w:t>
      </w:r>
      <w:r w:rsidR="00D32FD6" w:rsidRPr="00C5313D">
        <w:rPr>
          <w:rFonts w:ascii="Cambria" w:hAnsi="Cambria"/>
          <w:sz w:val="20"/>
          <w:szCs w:val="20"/>
        </w:rPr>
        <w:t xml:space="preserve">against him for the crime of </w:t>
      </w:r>
      <w:r w:rsidR="00A433FF" w:rsidRPr="00C5313D">
        <w:rPr>
          <w:rFonts w:ascii="Cambria" w:hAnsi="Cambria"/>
          <w:sz w:val="20"/>
          <w:szCs w:val="20"/>
        </w:rPr>
        <w:t>homicide, which</w:t>
      </w:r>
      <w:r w:rsidRPr="00C5313D">
        <w:rPr>
          <w:rFonts w:ascii="Cambria" w:hAnsi="Cambria"/>
          <w:sz w:val="20"/>
          <w:szCs w:val="20"/>
        </w:rPr>
        <w:t xml:space="preserve"> culminated in a </w:t>
      </w:r>
      <w:r w:rsidR="00A433FF" w:rsidRPr="00C5313D">
        <w:rPr>
          <w:rFonts w:ascii="Cambria" w:hAnsi="Cambria"/>
          <w:sz w:val="20"/>
          <w:szCs w:val="20"/>
        </w:rPr>
        <w:t>40-year</w:t>
      </w:r>
      <w:r w:rsidR="00C2026B" w:rsidRPr="00C5313D">
        <w:rPr>
          <w:rFonts w:ascii="Cambria" w:hAnsi="Cambria"/>
          <w:sz w:val="20"/>
          <w:szCs w:val="20"/>
        </w:rPr>
        <w:t xml:space="preserve"> prison sentence</w:t>
      </w:r>
      <w:r w:rsidRPr="00C5313D">
        <w:rPr>
          <w:rFonts w:ascii="Cambria" w:hAnsi="Cambria"/>
          <w:sz w:val="20"/>
          <w:szCs w:val="20"/>
        </w:rPr>
        <w:t xml:space="preserve">, </w:t>
      </w:r>
      <w:r w:rsidR="00D32FD6" w:rsidRPr="00C5313D">
        <w:rPr>
          <w:rFonts w:ascii="Cambria" w:hAnsi="Cambria"/>
          <w:sz w:val="20"/>
          <w:szCs w:val="20"/>
        </w:rPr>
        <w:t>various</w:t>
      </w:r>
      <w:r w:rsidRPr="00C5313D">
        <w:rPr>
          <w:rFonts w:ascii="Cambria" w:hAnsi="Cambria"/>
          <w:sz w:val="20"/>
          <w:szCs w:val="20"/>
        </w:rPr>
        <w:t xml:space="preserve"> judicial guarantees were violated. </w:t>
      </w:r>
      <w:r w:rsidR="00D32FD6" w:rsidRPr="00C5313D">
        <w:rPr>
          <w:rFonts w:ascii="Cambria" w:hAnsi="Cambria"/>
          <w:sz w:val="20"/>
          <w:szCs w:val="20"/>
        </w:rPr>
        <w:t>It</w:t>
      </w:r>
      <w:r w:rsidRPr="00C5313D">
        <w:rPr>
          <w:rFonts w:ascii="Cambria" w:hAnsi="Cambria"/>
          <w:sz w:val="20"/>
          <w:szCs w:val="20"/>
        </w:rPr>
        <w:t xml:space="preserve"> also not</w:t>
      </w:r>
      <w:r w:rsidR="00D32FD6" w:rsidRPr="00C5313D">
        <w:rPr>
          <w:rFonts w:ascii="Cambria" w:hAnsi="Cambria"/>
          <w:sz w:val="20"/>
          <w:szCs w:val="20"/>
        </w:rPr>
        <w:t xml:space="preserve">ed that the criminal proceedings </w:t>
      </w:r>
      <w:r w:rsidRPr="00C5313D">
        <w:rPr>
          <w:rFonts w:ascii="Cambria" w:hAnsi="Cambria"/>
          <w:sz w:val="20"/>
          <w:szCs w:val="20"/>
        </w:rPr>
        <w:t xml:space="preserve">constituted a </w:t>
      </w:r>
      <w:r w:rsidR="00D32FD6" w:rsidRPr="00C5313D">
        <w:rPr>
          <w:rFonts w:ascii="Cambria" w:hAnsi="Cambria"/>
          <w:sz w:val="20"/>
          <w:szCs w:val="20"/>
        </w:rPr>
        <w:t>set up</w:t>
      </w:r>
      <w:r w:rsidRPr="00C5313D">
        <w:rPr>
          <w:rFonts w:ascii="Cambria" w:hAnsi="Cambria"/>
          <w:sz w:val="20"/>
          <w:szCs w:val="20"/>
        </w:rPr>
        <w:t xml:space="preserve"> to hold the alleged victim responsible for the murder of former guerrilla leader Hernando Pizarro</w:t>
      </w:r>
      <w:r w:rsidR="00D32FD6" w:rsidRPr="00C5313D">
        <w:rPr>
          <w:rFonts w:ascii="Cambria" w:hAnsi="Cambria"/>
          <w:sz w:val="20"/>
          <w:szCs w:val="20"/>
        </w:rPr>
        <w:t>.</w:t>
      </w:r>
    </w:p>
    <w:p w14:paraId="7955EF5A" w14:textId="77777777" w:rsidR="00A24AD0"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C5313D">
        <w:rPr>
          <w:rFonts w:ascii="Cambria" w:hAnsi="Cambria"/>
          <w:sz w:val="20"/>
          <w:szCs w:val="20"/>
        </w:rPr>
        <w:t xml:space="preserve">The State maintained that it is not internationally responsible since Mr. Sastoque's arrest was </w:t>
      </w:r>
      <w:r w:rsidR="00A433FF" w:rsidRPr="00C5313D">
        <w:rPr>
          <w:rFonts w:ascii="Cambria" w:hAnsi="Cambria"/>
          <w:sz w:val="20"/>
          <w:szCs w:val="20"/>
        </w:rPr>
        <w:t>affected</w:t>
      </w:r>
      <w:r w:rsidR="00D32FD6" w:rsidRPr="00C5313D">
        <w:rPr>
          <w:rFonts w:ascii="Cambria" w:hAnsi="Cambria"/>
          <w:sz w:val="20"/>
          <w:szCs w:val="20"/>
        </w:rPr>
        <w:t xml:space="preserve"> on the basis of</w:t>
      </w:r>
      <w:r w:rsidRPr="00C5313D">
        <w:rPr>
          <w:rFonts w:ascii="Cambria" w:hAnsi="Cambria"/>
          <w:sz w:val="20"/>
          <w:szCs w:val="20"/>
        </w:rPr>
        <w:t xml:space="preserve"> </w:t>
      </w:r>
      <w:r w:rsidR="00D32FD6" w:rsidRPr="00C5313D">
        <w:rPr>
          <w:rFonts w:ascii="Cambria" w:hAnsi="Cambria"/>
          <w:sz w:val="20"/>
          <w:szCs w:val="20"/>
        </w:rPr>
        <w:t>an arrest warrant. It</w:t>
      </w:r>
      <w:r w:rsidRPr="00C5313D">
        <w:rPr>
          <w:rFonts w:ascii="Cambria" w:hAnsi="Cambria"/>
          <w:sz w:val="20"/>
          <w:szCs w:val="20"/>
        </w:rPr>
        <w:t xml:space="preserve"> indicated that the process complied with </w:t>
      </w:r>
      <w:r w:rsidR="00D32FD6" w:rsidRPr="00C5313D">
        <w:rPr>
          <w:rFonts w:ascii="Cambria" w:hAnsi="Cambria"/>
          <w:sz w:val="20"/>
          <w:szCs w:val="20"/>
        </w:rPr>
        <w:t>every</w:t>
      </w:r>
      <w:r w:rsidRPr="00C5313D">
        <w:rPr>
          <w:rFonts w:ascii="Cambria" w:hAnsi="Cambria"/>
          <w:sz w:val="20"/>
          <w:szCs w:val="20"/>
        </w:rPr>
        <w:t xml:space="preserve"> judicial </w:t>
      </w:r>
      <w:r w:rsidR="00D32FD6" w:rsidRPr="00C5313D">
        <w:rPr>
          <w:rFonts w:ascii="Cambria" w:hAnsi="Cambria"/>
          <w:sz w:val="20"/>
          <w:szCs w:val="20"/>
        </w:rPr>
        <w:t>guarantee</w:t>
      </w:r>
      <w:r w:rsidRPr="00C5313D">
        <w:rPr>
          <w:rFonts w:ascii="Cambria" w:hAnsi="Cambria"/>
          <w:sz w:val="20"/>
          <w:szCs w:val="20"/>
        </w:rPr>
        <w:t xml:space="preserve"> and that Mr. Sastoque's </w:t>
      </w:r>
      <w:r w:rsidR="00D32FD6" w:rsidRPr="00C5313D">
        <w:rPr>
          <w:rFonts w:ascii="Cambria" w:hAnsi="Cambria"/>
          <w:sz w:val="20"/>
          <w:szCs w:val="20"/>
        </w:rPr>
        <w:t>presumption of innocence and his</w:t>
      </w:r>
      <w:r w:rsidRPr="00C5313D">
        <w:rPr>
          <w:rFonts w:ascii="Cambria" w:hAnsi="Cambria"/>
          <w:sz w:val="20"/>
          <w:szCs w:val="20"/>
        </w:rPr>
        <w:t xml:space="preserve"> right of defense were respected. </w:t>
      </w:r>
      <w:r w:rsidR="00D32FD6" w:rsidRPr="00C5313D">
        <w:rPr>
          <w:rFonts w:ascii="Cambria" w:hAnsi="Cambria"/>
          <w:sz w:val="20"/>
          <w:szCs w:val="20"/>
        </w:rPr>
        <w:t>It</w:t>
      </w:r>
      <w:r w:rsidRPr="00C5313D">
        <w:rPr>
          <w:rFonts w:ascii="Cambria" w:hAnsi="Cambria"/>
          <w:sz w:val="20"/>
          <w:szCs w:val="20"/>
        </w:rPr>
        <w:t xml:space="preserve"> alleged that the conviction was </w:t>
      </w:r>
      <w:r w:rsidR="00A433FF" w:rsidRPr="00C5313D">
        <w:rPr>
          <w:rFonts w:ascii="Cambria" w:hAnsi="Cambria"/>
          <w:sz w:val="20"/>
          <w:szCs w:val="20"/>
        </w:rPr>
        <w:t>well founded</w:t>
      </w:r>
      <w:r w:rsidRPr="00C5313D">
        <w:rPr>
          <w:rFonts w:ascii="Cambria" w:hAnsi="Cambria"/>
          <w:sz w:val="20"/>
          <w:szCs w:val="20"/>
        </w:rPr>
        <w:t xml:space="preserve"> in </w:t>
      </w:r>
      <w:r w:rsidR="00D32FD6" w:rsidRPr="00C5313D">
        <w:rPr>
          <w:rFonts w:ascii="Cambria" w:hAnsi="Cambria"/>
          <w:sz w:val="20"/>
          <w:szCs w:val="20"/>
        </w:rPr>
        <w:t>accordance with its domestic procedure</w:t>
      </w:r>
      <w:r w:rsidRPr="00C5313D">
        <w:rPr>
          <w:rFonts w:ascii="Cambria" w:hAnsi="Cambria"/>
          <w:sz w:val="20"/>
          <w:szCs w:val="20"/>
        </w:rPr>
        <w:t>. The State added that the petitioner intends that the IACHR act as a fourth instance in order to review a final judicial decision</w:t>
      </w:r>
      <w:r w:rsidR="00D32FD6" w:rsidRPr="00C5313D">
        <w:rPr>
          <w:rFonts w:ascii="Cambria" w:hAnsi="Cambria"/>
          <w:sz w:val="20"/>
          <w:szCs w:val="20"/>
        </w:rPr>
        <w:t>.</w:t>
      </w:r>
    </w:p>
    <w:p w14:paraId="70CC360B" w14:textId="77777777" w:rsidR="00A24AD0"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C5313D">
        <w:rPr>
          <w:rFonts w:ascii="Cambria" w:hAnsi="Cambria"/>
          <w:sz w:val="20"/>
          <w:szCs w:val="20"/>
        </w:rPr>
        <w:t>The Commission concluded that the State is responsible for the violation of the rights to personal integrity, personal liberty, judicial guarantees and judic</w:t>
      </w:r>
      <w:r w:rsidR="00154C4C" w:rsidRPr="00C5313D">
        <w:rPr>
          <w:rFonts w:ascii="Cambria" w:hAnsi="Cambria"/>
          <w:sz w:val="20"/>
          <w:szCs w:val="20"/>
        </w:rPr>
        <w:t>ial protection, established in A</w:t>
      </w:r>
      <w:r w:rsidRPr="00C5313D">
        <w:rPr>
          <w:rFonts w:ascii="Cambria" w:hAnsi="Cambria"/>
          <w:sz w:val="20"/>
          <w:szCs w:val="20"/>
        </w:rPr>
        <w:t>rticles 5.1, 7.1,</w:t>
      </w:r>
      <w:r w:rsidR="002E3CF2" w:rsidRPr="00C5313D">
        <w:rPr>
          <w:rFonts w:ascii="Cambria" w:hAnsi="Cambria"/>
          <w:sz w:val="20"/>
          <w:szCs w:val="20"/>
        </w:rPr>
        <w:t xml:space="preserve"> 7.2, 7.3, 7.4, 8.1, 8.2, 8.2(c), 8.2(</w:t>
      </w:r>
      <w:r w:rsidRPr="00C5313D">
        <w:rPr>
          <w:rFonts w:ascii="Cambria" w:hAnsi="Cambria"/>
          <w:sz w:val="20"/>
          <w:szCs w:val="20"/>
        </w:rPr>
        <w:t xml:space="preserve">f) and 25.1 of the American Convention on Human Rights in relation to </w:t>
      </w:r>
      <w:r w:rsidR="002E3CF2" w:rsidRPr="00C5313D">
        <w:rPr>
          <w:rFonts w:ascii="Cambria" w:hAnsi="Cambria"/>
          <w:sz w:val="20"/>
          <w:szCs w:val="20"/>
        </w:rPr>
        <w:t>the obligations established in A</w:t>
      </w:r>
      <w:r w:rsidRPr="00C5313D">
        <w:rPr>
          <w:rFonts w:ascii="Cambria" w:hAnsi="Cambria"/>
          <w:sz w:val="20"/>
          <w:szCs w:val="20"/>
        </w:rPr>
        <w:t>rticles 1.1 and 2 of the same instrument, to the detriment of Gustavo Sastoque Alfonso. The Commission made the respective recommendations.</w:t>
      </w:r>
    </w:p>
    <w:p w14:paraId="654248FE" w14:textId="77777777" w:rsidR="008D7B66" w:rsidRPr="00C5313D" w:rsidRDefault="008D7B66"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3AF721FF" w14:textId="77777777" w:rsidR="00EB7A2B" w:rsidRDefault="00EB7A2B">
      <w:pPr>
        <w:rPr>
          <w:rFonts w:asciiTheme="majorHAnsi" w:eastAsiaTheme="majorEastAsia" w:hAnsiTheme="majorHAnsi" w:cstheme="majorBidi"/>
          <w:b/>
          <w:bCs/>
          <w:sz w:val="20"/>
          <w:szCs w:val="20"/>
        </w:rPr>
      </w:pPr>
      <w:r>
        <w:rPr>
          <w:sz w:val="20"/>
          <w:szCs w:val="20"/>
        </w:rPr>
        <w:br w:type="page"/>
      </w:r>
    </w:p>
    <w:p w14:paraId="35E018CA" w14:textId="77777777" w:rsidR="00F621C3" w:rsidRPr="00907400" w:rsidRDefault="001F1902" w:rsidP="00907400">
      <w:pPr>
        <w:pStyle w:val="Heading1"/>
        <w:spacing w:before="0"/>
        <w:ind w:firstLine="0"/>
        <w:rPr>
          <w:color w:val="auto"/>
          <w:sz w:val="20"/>
          <w:szCs w:val="20"/>
        </w:rPr>
      </w:pPr>
      <w:bookmarkStart w:id="1" w:name="_Toc211249790"/>
      <w:r w:rsidRPr="00907400">
        <w:rPr>
          <w:color w:val="auto"/>
          <w:sz w:val="20"/>
          <w:szCs w:val="20"/>
        </w:rPr>
        <w:lastRenderedPageBreak/>
        <w:t>A</w:t>
      </w:r>
      <w:r w:rsidR="008D7B66" w:rsidRPr="00907400">
        <w:rPr>
          <w:color w:val="auto"/>
          <w:sz w:val="20"/>
          <w:szCs w:val="20"/>
        </w:rPr>
        <w:t>LLEGATIONS OF THE PARTIES</w:t>
      </w:r>
      <w:bookmarkEnd w:id="1"/>
    </w:p>
    <w:p w14:paraId="7123DF76" w14:textId="77777777" w:rsidR="00907400" w:rsidRPr="00907400" w:rsidRDefault="00907400" w:rsidP="00907400">
      <w:pPr>
        <w:pStyle w:val="ListParagraph"/>
        <w:jc w:val="both"/>
        <w:rPr>
          <w:rFonts w:asciiTheme="majorHAnsi" w:hAnsiTheme="majorHAnsi"/>
          <w:b/>
          <w:bCs/>
          <w:color w:val="auto"/>
          <w:sz w:val="20"/>
          <w:szCs w:val="20"/>
        </w:rPr>
      </w:pPr>
    </w:p>
    <w:p w14:paraId="0840A928" w14:textId="77777777" w:rsidR="008D7B66" w:rsidRPr="00907400" w:rsidRDefault="008D7B66" w:rsidP="00907400">
      <w:pPr>
        <w:pStyle w:val="Heading2"/>
        <w:spacing w:before="0"/>
        <w:ind w:firstLine="720"/>
        <w:rPr>
          <w:color w:val="auto"/>
          <w:sz w:val="20"/>
          <w:szCs w:val="20"/>
        </w:rPr>
      </w:pPr>
      <w:bookmarkStart w:id="2" w:name="_Toc211249791"/>
      <w:r w:rsidRPr="00907400">
        <w:rPr>
          <w:color w:val="auto"/>
          <w:sz w:val="20"/>
          <w:szCs w:val="20"/>
        </w:rPr>
        <w:t>A.</w:t>
      </w:r>
      <w:r w:rsidRPr="00907400">
        <w:rPr>
          <w:color w:val="auto"/>
          <w:sz w:val="20"/>
          <w:szCs w:val="20"/>
        </w:rPr>
        <w:tab/>
        <w:t>Petitioner</w:t>
      </w:r>
      <w:bookmarkEnd w:id="2"/>
    </w:p>
    <w:p w14:paraId="33A61D9A"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06CA6E06" w14:textId="77777777" w:rsidR="00F621C3" w:rsidRDefault="009759A3"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C5313D">
        <w:rPr>
          <w:rFonts w:ascii="Cambria" w:hAnsi="Cambria"/>
          <w:sz w:val="20"/>
          <w:szCs w:val="20"/>
        </w:rPr>
        <w:t>The petitioner</w:t>
      </w:r>
      <w:r w:rsidR="008D7B66" w:rsidRPr="00C5313D">
        <w:rPr>
          <w:rFonts w:ascii="Cambria" w:hAnsi="Cambria"/>
          <w:sz w:val="20"/>
          <w:szCs w:val="20"/>
        </w:rPr>
        <w:t xml:space="preserve"> alleged that the State is responsible for the illegal and arbitrary detention of Gustavo Sastoque Alfonso in March 1995, by state agents in the city of </w:t>
      </w:r>
      <w:r w:rsidRPr="00C5313D">
        <w:rPr>
          <w:rFonts w:ascii="Cambria" w:hAnsi="Cambria"/>
          <w:sz w:val="20"/>
          <w:szCs w:val="20"/>
        </w:rPr>
        <w:t>Bogota. It</w:t>
      </w:r>
      <w:r w:rsidR="008D7B66" w:rsidRPr="00C5313D">
        <w:rPr>
          <w:rFonts w:ascii="Cambria" w:hAnsi="Cambria"/>
          <w:sz w:val="20"/>
          <w:szCs w:val="20"/>
        </w:rPr>
        <w:t xml:space="preserve"> argued that the criminal proceeding</w:t>
      </w:r>
      <w:r w:rsidRPr="00C5313D">
        <w:rPr>
          <w:rFonts w:ascii="Cambria" w:hAnsi="Cambria"/>
          <w:sz w:val="20"/>
          <w:szCs w:val="20"/>
        </w:rPr>
        <w:t>s</w:t>
      </w:r>
      <w:r w:rsidR="008D7B66" w:rsidRPr="00C5313D">
        <w:rPr>
          <w:rFonts w:ascii="Cambria" w:hAnsi="Cambria"/>
          <w:sz w:val="20"/>
          <w:szCs w:val="20"/>
        </w:rPr>
        <w:t xml:space="preserve"> </w:t>
      </w:r>
      <w:r w:rsidRPr="00C5313D">
        <w:rPr>
          <w:rFonts w:ascii="Cambria" w:hAnsi="Cambria"/>
          <w:sz w:val="20"/>
          <w:szCs w:val="20"/>
        </w:rPr>
        <w:t xml:space="preserve">pursued against him for the crime of homicide and culminating in a 40 year prison sentence </w:t>
      </w:r>
      <w:r w:rsidR="008D7B66" w:rsidRPr="00C5313D">
        <w:rPr>
          <w:rFonts w:ascii="Cambria" w:hAnsi="Cambria"/>
          <w:sz w:val="20"/>
          <w:szCs w:val="20"/>
        </w:rPr>
        <w:t xml:space="preserve">violated various judicial guarantees, such as: i) </w:t>
      </w:r>
      <w:r w:rsidR="00A362FB" w:rsidRPr="00C5313D">
        <w:rPr>
          <w:rFonts w:ascii="Cambria" w:hAnsi="Cambria"/>
          <w:sz w:val="20"/>
          <w:szCs w:val="20"/>
        </w:rPr>
        <w:t>processing</w:t>
      </w:r>
      <w:r w:rsidR="008D7B66" w:rsidRPr="00C5313D">
        <w:rPr>
          <w:rFonts w:ascii="Cambria" w:hAnsi="Cambria"/>
          <w:sz w:val="20"/>
          <w:szCs w:val="20"/>
        </w:rPr>
        <w:t xml:space="preserve"> of the case by </w:t>
      </w:r>
      <w:r w:rsidR="00A362FB" w:rsidRPr="00C5313D">
        <w:rPr>
          <w:rFonts w:ascii="Cambria" w:hAnsi="Cambria"/>
          <w:sz w:val="20"/>
          <w:szCs w:val="20"/>
        </w:rPr>
        <w:t>the so-called "regional justice</w:t>
      </w:r>
      <w:r w:rsidR="008D7B66" w:rsidRPr="00C5313D">
        <w:rPr>
          <w:rFonts w:ascii="Cambria" w:hAnsi="Cambria"/>
          <w:sz w:val="20"/>
          <w:szCs w:val="20"/>
        </w:rPr>
        <w:t>"</w:t>
      </w:r>
      <w:r w:rsidR="00A362FB" w:rsidRPr="00C5313D">
        <w:rPr>
          <w:rFonts w:ascii="Cambria" w:hAnsi="Cambria"/>
          <w:sz w:val="20"/>
          <w:szCs w:val="20"/>
        </w:rPr>
        <w:t xml:space="preserve"> and</w:t>
      </w:r>
      <w:r w:rsidR="008D7B66" w:rsidRPr="00C5313D">
        <w:rPr>
          <w:rFonts w:ascii="Cambria" w:hAnsi="Cambria"/>
          <w:sz w:val="20"/>
          <w:szCs w:val="20"/>
        </w:rPr>
        <w:t xml:space="preserve"> not </w:t>
      </w:r>
      <w:r w:rsidR="00A362FB" w:rsidRPr="00C5313D">
        <w:rPr>
          <w:rFonts w:ascii="Cambria" w:hAnsi="Cambria"/>
          <w:sz w:val="20"/>
          <w:szCs w:val="20"/>
        </w:rPr>
        <w:t>by</w:t>
      </w:r>
      <w:r w:rsidR="008D7B66" w:rsidRPr="00C5313D">
        <w:rPr>
          <w:rFonts w:ascii="Cambria" w:hAnsi="Cambria"/>
          <w:sz w:val="20"/>
          <w:szCs w:val="20"/>
        </w:rPr>
        <w:t xml:space="preserve"> the ordinary criminal jurisdiction, </w:t>
      </w:r>
      <w:r w:rsidR="00A362FB" w:rsidRPr="00C5313D">
        <w:rPr>
          <w:rFonts w:ascii="Cambria" w:hAnsi="Cambria"/>
          <w:sz w:val="20"/>
          <w:szCs w:val="20"/>
        </w:rPr>
        <w:t>in</w:t>
      </w:r>
      <w:r w:rsidR="008D7B66" w:rsidRPr="00C5313D">
        <w:rPr>
          <w:rFonts w:ascii="Cambria" w:hAnsi="Cambria"/>
          <w:sz w:val="20"/>
          <w:szCs w:val="20"/>
        </w:rPr>
        <w:t xml:space="preserve"> which </w:t>
      </w:r>
      <w:r w:rsidR="00A362FB" w:rsidRPr="00C5313D">
        <w:rPr>
          <w:rFonts w:ascii="Cambria" w:hAnsi="Cambria"/>
          <w:sz w:val="20"/>
          <w:szCs w:val="20"/>
        </w:rPr>
        <w:t xml:space="preserve">‘faceless’ </w:t>
      </w:r>
      <w:r w:rsidR="008D7B66" w:rsidRPr="00C5313D">
        <w:rPr>
          <w:rFonts w:ascii="Cambria" w:hAnsi="Cambria"/>
          <w:sz w:val="20"/>
          <w:szCs w:val="20"/>
        </w:rPr>
        <w:t>judge</w:t>
      </w:r>
      <w:r w:rsidR="00A362FB" w:rsidRPr="00C5313D">
        <w:rPr>
          <w:rFonts w:ascii="Cambria" w:hAnsi="Cambria"/>
          <w:sz w:val="20"/>
          <w:szCs w:val="20"/>
        </w:rPr>
        <w:t>s were used</w:t>
      </w:r>
      <w:r w:rsidR="008D7B66" w:rsidRPr="00C5313D">
        <w:rPr>
          <w:rFonts w:ascii="Cambria" w:hAnsi="Cambria"/>
          <w:sz w:val="20"/>
          <w:szCs w:val="20"/>
        </w:rPr>
        <w:t xml:space="preserve">, affecting the principle of competence, independence and impartiality; ii) the use of </w:t>
      </w:r>
      <w:r w:rsidR="00A362FB" w:rsidRPr="00C5313D">
        <w:rPr>
          <w:rFonts w:ascii="Cambria" w:hAnsi="Cambria"/>
          <w:sz w:val="20"/>
          <w:szCs w:val="20"/>
        </w:rPr>
        <w:t xml:space="preserve">anonymous </w:t>
      </w:r>
      <w:r w:rsidR="008D7B66" w:rsidRPr="00C5313D">
        <w:rPr>
          <w:rFonts w:ascii="Cambria" w:hAnsi="Cambria"/>
          <w:sz w:val="20"/>
          <w:szCs w:val="20"/>
        </w:rPr>
        <w:t xml:space="preserve">witnesses; iii) the impossibility of </w:t>
      </w:r>
      <w:r w:rsidR="00A362FB" w:rsidRPr="00C5313D">
        <w:rPr>
          <w:rFonts w:ascii="Cambria" w:hAnsi="Cambria"/>
          <w:sz w:val="20"/>
          <w:szCs w:val="20"/>
        </w:rPr>
        <w:t>cross-examining</w:t>
      </w:r>
      <w:r w:rsidR="008D7B66" w:rsidRPr="00C5313D">
        <w:rPr>
          <w:rFonts w:ascii="Cambria" w:hAnsi="Cambria"/>
          <w:sz w:val="20"/>
          <w:szCs w:val="20"/>
        </w:rPr>
        <w:t xml:space="preserve"> witnesses and </w:t>
      </w:r>
      <w:r w:rsidR="00A362FB" w:rsidRPr="00C5313D">
        <w:rPr>
          <w:rFonts w:ascii="Cambria" w:hAnsi="Cambria"/>
          <w:sz w:val="20"/>
          <w:szCs w:val="20"/>
        </w:rPr>
        <w:t xml:space="preserve">of </w:t>
      </w:r>
      <w:r w:rsidR="008D7B66" w:rsidRPr="00C5313D">
        <w:rPr>
          <w:rFonts w:ascii="Cambria" w:hAnsi="Cambria"/>
          <w:sz w:val="20"/>
          <w:szCs w:val="20"/>
        </w:rPr>
        <w:t xml:space="preserve">presenting </w:t>
      </w:r>
      <w:r w:rsidR="00A362FB" w:rsidRPr="00C5313D">
        <w:rPr>
          <w:rFonts w:ascii="Cambria" w:hAnsi="Cambria"/>
          <w:sz w:val="20"/>
          <w:szCs w:val="20"/>
        </w:rPr>
        <w:t>testimony</w:t>
      </w:r>
      <w:r w:rsidR="008D7B66" w:rsidRPr="00C5313D">
        <w:rPr>
          <w:rFonts w:ascii="Cambria" w:hAnsi="Cambria"/>
          <w:sz w:val="20"/>
          <w:szCs w:val="20"/>
        </w:rPr>
        <w:t xml:space="preserve">, affecting </w:t>
      </w:r>
      <w:r w:rsidR="00A362FB" w:rsidRPr="00C5313D">
        <w:rPr>
          <w:rFonts w:ascii="Cambria" w:hAnsi="Cambria"/>
          <w:sz w:val="20"/>
          <w:szCs w:val="20"/>
        </w:rPr>
        <w:t>his</w:t>
      </w:r>
      <w:r w:rsidR="008D7B66" w:rsidRPr="00C5313D">
        <w:rPr>
          <w:rFonts w:ascii="Cambria" w:hAnsi="Cambria"/>
          <w:sz w:val="20"/>
          <w:szCs w:val="20"/>
        </w:rPr>
        <w:t xml:space="preserve"> right of defense; and iv) the unreasonable </w:t>
      </w:r>
      <w:r w:rsidR="00A362FB" w:rsidRPr="00C5313D">
        <w:rPr>
          <w:rFonts w:ascii="Cambria" w:hAnsi="Cambria"/>
          <w:sz w:val="20"/>
          <w:szCs w:val="20"/>
        </w:rPr>
        <w:t>length of the trial</w:t>
      </w:r>
      <w:r w:rsidR="008D7B66" w:rsidRPr="00C5313D">
        <w:rPr>
          <w:rFonts w:ascii="Cambria" w:hAnsi="Cambria"/>
          <w:sz w:val="20"/>
          <w:szCs w:val="20"/>
        </w:rPr>
        <w:t>.</w:t>
      </w:r>
    </w:p>
    <w:p w14:paraId="1EEB7DD3" w14:textId="77777777" w:rsidR="00907400" w:rsidRPr="00C5313D"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4B46D07B" w14:textId="77777777" w:rsidR="008D7B66"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C5313D">
        <w:rPr>
          <w:rFonts w:ascii="Cambria" w:hAnsi="Cambria"/>
          <w:sz w:val="20"/>
          <w:szCs w:val="20"/>
        </w:rPr>
        <w:t xml:space="preserve">By way of background, the petitioner indicated that at the time of the events Gustavo Sastoque Alfonso was an administrative officer of the Technical Investigation Corps (hereinafter "the CTI") of the </w:t>
      </w:r>
      <w:r w:rsidR="00730E3E" w:rsidRPr="00C5313D">
        <w:rPr>
          <w:rFonts w:ascii="Cambria" w:hAnsi="Cambria"/>
          <w:sz w:val="20"/>
          <w:szCs w:val="20"/>
        </w:rPr>
        <w:t>National</w:t>
      </w:r>
      <w:r w:rsidRPr="00C5313D">
        <w:rPr>
          <w:rFonts w:ascii="Cambria" w:hAnsi="Cambria"/>
          <w:sz w:val="20"/>
          <w:szCs w:val="20"/>
        </w:rPr>
        <w:t xml:space="preserve"> Attorney General</w:t>
      </w:r>
      <w:r w:rsidR="00730E3E" w:rsidRPr="00C5313D">
        <w:rPr>
          <w:rFonts w:ascii="Cambria" w:hAnsi="Cambria"/>
          <w:sz w:val="20"/>
          <w:szCs w:val="20"/>
        </w:rPr>
        <w:t>’s Office</w:t>
      </w:r>
      <w:r w:rsidRPr="00C5313D">
        <w:rPr>
          <w:rFonts w:ascii="Cambria" w:hAnsi="Cambria"/>
          <w:sz w:val="20"/>
          <w:szCs w:val="20"/>
        </w:rPr>
        <w:t xml:space="preserve">. </w:t>
      </w:r>
      <w:r w:rsidR="00730E3E" w:rsidRPr="00C5313D">
        <w:rPr>
          <w:rFonts w:ascii="Cambria" w:hAnsi="Cambria"/>
          <w:sz w:val="20"/>
          <w:szCs w:val="20"/>
        </w:rPr>
        <w:t>He alleged</w:t>
      </w:r>
      <w:r w:rsidRPr="00C5313D">
        <w:rPr>
          <w:rFonts w:ascii="Cambria" w:hAnsi="Cambria"/>
          <w:sz w:val="20"/>
          <w:szCs w:val="20"/>
        </w:rPr>
        <w:t xml:space="preserve"> that state agents had extrajudicially executed Hernán Pizarro, who </w:t>
      </w:r>
      <w:r w:rsidR="00730E3E" w:rsidRPr="00C5313D">
        <w:rPr>
          <w:rFonts w:ascii="Cambria" w:hAnsi="Cambria"/>
          <w:sz w:val="20"/>
          <w:szCs w:val="20"/>
        </w:rPr>
        <w:t>was allegedly</w:t>
      </w:r>
      <w:r w:rsidRPr="00C5313D">
        <w:rPr>
          <w:rFonts w:ascii="Cambria" w:hAnsi="Cambria"/>
          <w:sz w:val="20"/>
          <w:szCs w:val="20"/>
        </w:rPr>
        <w:t xml:space="preserve"> linked to the guerrillas, and </w:t>
      </w:r>
      <w:r w:rsidR="00730E3E" w:rsidRPr="00C5313D">
        <w:rPr>
          <w:rFonts w:ascii="Cambria" w:hAnsi="Cambria"/>
          <w:sz w:val="20"/>
          <w:szCs w:val="20"/>
        </w:rPr>
        <w:t>for this reason</w:t>
      </w:r>
      <w:r w:rsidRPr="00C5313D">
        <w:rPr>
          <w:rFonts w:ascii="Cambria" w:hAnsi="Cambria"/>
          <w:sz w:val="20"/>
          <w:szCs w:val="20"/>
        </w:rPr>
        <w:t xml:space="preserve"> Mr. Sastoque was arrested and prosecuted as a "</w:t>
      </w:r>
      <w:r w:rsidR="00730E3E" w:rsidRPr="00C5313D">
        <w:rPr>
          <w:rFonts w:ascii="Cambria" w:hAnsi="Cambria"/>
          <w:sz w:val="20"/>
          <w:szCs w:val="20"/>
        </w:rPr>
        <w:t>set up</w:t>
      </w:r>
      <w:r w:rsidRPr="00C5313D">
        <w:rPr>
          <w:rFonts w:ascii="Cambria" w:hAnsi="Cambria"/>
          <w:sz w:val="20"/>
          <w:szCs w:val="20"/>
        </w:rPr>
        <w:t xml:space="preserve"> to </w:t>
      </w:r>
      <w:r w:rsidR="00730E3E" w:rsidRPr="00C5313D">
        <w:rPr>
          <w:rFonts w:ascii="Cambria" w:hAnsi="Cambria"/>
          <w:sz w:val="20"/>
          <w:szCs w:val="20"/>
        </w:rPr>
        <w:t>conceal</w:t>
      </w:r>
      <w:r w:rsidRPr="00C5313D">
        <w:rPr>
          <w:rFonts w:ascii="Cambria" w:hAnsi="Cambria"/>
          <w:sz w:val="20"/>
          <w:szCs w:val="20"/>
        </w:rPr>
        <w:t xml:space="preserve"> the real perpetrators and fi</w:t>
      </w:r>
      <w:r w:rsidR="00730E3E" w:rsidRPr="00C5313D">
        <w:rPr>
          <w:rFonts w:ascii="Cambria" w:hAnsi="Cambria"/>
          <w:sz w:val="20"/>
          <w:szCs w:val="20"/>
        </w:rPr>
        <w:t xml:space="preserve">nd a scapegoat for the crime." </w:t>
      </w:r>
      <w:r w:rsidRPr="00C5313D">
        <w:rPr>
          <w:rFonts w:ascii="Cambria" w:hAnsi="Cambria"/>
          <w:sz w:val="20"/>
          <w:szCs w:val="20"/>
        </w:rPr>
        <w:t xml:space="preserve"> The detail</w:t>
      </w:r>
      <w:r w:rsidR="00730E3E" w:rsidRPr="00C5313D">
        <w:rPr>
          <w:rFonts w:ascii="Cambria" w:hAnsi="Cambria"/>
          <w:sz w:val="20"/>
          <w:szCs w:val="20"/>
        </w:rPr>
        <w:t>s of the criminal proceedings</w:t>
      </w:r>
      <w:r w:rsidRPr="00C5313D">
        <w:rPr>
          <w:rFonts w:ascii="Cambria" w:hAnsi="Cambria"/>
          <w:sz w:val="20"/>
          <w:szCs w:val="20"/>
        </w:rPr>
        <w:t xml:space="preserve"> will be referred to in the following section.</w:t>
      </w:r>
    </w:p>
    <w:p w14:paraId="76B8EDCD" w14:textId="77777777" w:rsidR="008D7B66"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C5313D">
        <w:rPr>
          <w:rFonts w:ascii="Cambria" w:hAnsi="Cambria"/>
          <w:sz w:val="20"/>
          <w:szCs w:val="20"/>
        </w:rPr>
        <w:t>With regard to the right to personal liberty, the petitioner alleged that Mr. Sastoque's detention was illega</w:t>
      </w:r>
      <w:r w:rsidR="00737EE0" w:rsidRPr="00C5313D">
        <w:rPr>
          <w:rFonts w:ascii="Cambria" w:hAnsi="Cambria"/>
          <w:sz w:val="20"/>
          <w:szCs w:val="20"/>
        </w:rPr>
        <w:t>l and arbitrary. It</w:t>
      </w:r>
      <w:r w:rsidRPr="00C5313D">
        <w:rPr>
          <w:rFonts w:ascii="Cambria" w:hAnsi="Cambria"/>
          <w:sz w:val="20"/>
          <w:szCs w:val="20"/>
        </w:rPr>
        <w:t xml:space="preserve"> maintained that the alleged victim was summoned by a message to appear before the Prosecuto</w:t>
      </w:r>
      <w:r w:rsidR="00737EE0" w:rsidRPr="00C5313D">
        <w:rPr>
          <w:rFonts w:ascii="Cambria" w:hAnsi="Cambria"/>
          <w:sz w:val="20"/>
          <w:szCs w:val="20"/>
        </w:rPr>
        <w:t>r's Office to ask for a file. It</w:t>
      </w:r>
      <w:r w:rsidRPr="00C5313D">
        <w:rPr>
          <w:rFonts w:ascii="Cambria" w:hAnsi="Cambria"/>
          <w:sz w:val="20"/>
          <w:szCs w:val="20"/>
        </w:rPr>
        <w:t xml:space="preserve"> pointed out that when he arrived, Mr. Sastoque was detained by state agents in an interrogation room without initially being informed of the </w:t>
      </w:r>
      <w:r w:rsidR="00737EE0" w:rsidRPr="00C5313D">
        <w:rPr>
          <w:rFonts w:ascii="Cambria" w:hAnsi="Cambria"/>
          <w:sz w:val="20"/>
          <w:szCs w:val="20"/>
        </w:rPr>
        <w:t>grounds for his arrest. It</w:t>
      </w:r>
      <w:r w:rsidRPr="00C5313D">
        <w:rPr>
          <w:rFonts w:ascii="Cambria" w:hAnsi="Cambria"/>
          <w:sz w:val="20"/>
          <w:szCs w:val="20"/>
        </w:rPr>
        <w:t xml:space="preserve"> added that one hour </w:t>
      </w:r>
      <w:r w:rsidR="00AB0DAF" w:rsidRPr="00C5313D">
        <w:rPr>
          <w:rFonts w:ascii="Cambria" w:hAnsi="Cambria"/>
          <w:sz w:val="20"/>
          <w:szCs w:val="20"/>
        </w:rPr>
        <w:t>after his arrest</w:t>
      </w:r>
      <w:r w:rsidRPr="00C5313D">
        <w:rPr>
          <w:rFonts w:ascii="Cambria" w:hAnsi="Cambria"/>
          <w:sz w:val="20"/>
          <w:szCs w:val="20"/>
        </w:rPr>
        <w:t xml:space="preserve">, Mr. Sastoque was shown an arrest warrant, issued the same day, for the murder of Hernando Pizarro. The petitioner explained that </w:t>
      </w:r>
      <w:r w:rsidR="00AB0DAF" w:rsidRPr="00C5313D">
        <w:rPr>
          <w:rFonts w:ascii="Cambria" w:hAnsi="Cambria"/>
          <w:sz w:val="20"/>
          <w:szCs w:val="20"/>
        </w:rPr>
        <w:t>there were no grounds to the order merely containing his name</w:t>
      </w:r>
      <w:r w:rsidRPr="00C5313D">
        <w:rPr>
          <w:rFonts w:ascii="Cambria" w:hAnsi="Cambria"/>
          <w:sz w:val="20"/>
          <w:szCs w:val="20"/>
        </w:rPr>
        <w:t>, his identity car</w:t>
      </w:r>
      <w:r w:rsidR="00AB0DAF" w:rsidRPr="00C5313D">
        <w:rPr>
          <w:rFonts w:ascii="Cambria" w:hAnsi="Cambria"/>
          <w:sz w:val="20"/>
          <w:szCs w:val="20"/>
        </w:rPr>
        <w:t>d and his address</w:t>
      </w:r>
      <w:r w:rsidRPr="00C5313D">
        <w:rPr>
          <w:rFonts w:ascii="Cambria" w:hAnsi="Cambria"/>
          <w:sz w:val="20"/>
          <w:szCs w:val="20"/>
        </w:rPr>
        <w:t>.</w:t>
      </w:r>
    </w:p>
    <w:p w14:paraId="2F87B9A0" w14:textId="77777777" w:rsidR="008D7B66" w:rsidRPr="00C5313D" w:rsidRDefault="008D7B6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C5313D">
        <w:rPr>
          <w:rFonts w:ascii="Cambria" w:hAnsi="Cambria"/>
          <w:sz w:val="20"/>
          <w:szCs w:val="20"/>
        </w:rPr>
        <w:t xml:space="preserve">With respect to the rights to judicial guarantees and judicial protection, the petitioner alleged </w:t>
      </w:r>
      <w:r w:rsidR="00771C9B" w:rsidRPr="00C5313D">
        <w:rPr>
          <w:rFonts w:ascii="Cambria" w:hAnsi="Cambria"/>
          <w:sz w:val="20"/>
          <w:szCs w:val="20"/>
        </w:rPr>
        <w:t xml:space="preserve">a violation of the </w:t>
      </w:r>
      <w:r w:rsidRPr="00C5313D">
        <w:rPr>
          <w:rFonts w:ascii="Cambria" w:hAnsi="Cambria"/>
          <w:sz w:val="20"/>
          <w:szCs w:val="20"/>
        </w:rPr>
        <w:t xml:space="preserve">principles of </w:t>
      </w:r>
      <w:r w:rsidR="00771C9B" w:rsidRPr="00C5313D">
        <w:rPr>
          <w:rFonts w:ascii="Cambria" w:hAnsi="Cambria"/>
          <w:sz w:val="20"/>
          <w:szCs w:val="20"/>
        </w:rPr>
        <w:t xml:space="preserve">judicial </w:t>
      </w:r>
      <w:r w:rsidRPr="00C5313D">
        <w:rPr>
          <w:rFonts w:ascii="Cambria" w:hAnsi="Cambria"/>
          <w:sz w:val="20"/>
          <w:szCs w:val="20"/>
        </w:rPr>
        <w:t xml:space="preserve">competence, independence and impartiality. </w:t>
      </w:r>
      <w:r w:rsidR="00771C9B" w:rsidRPr="00C5313D">
        <w:rPr>
          <w:rFonts w:ascii="Cambria" w:hAnsi="Cambria"/>
          <w:sz w:val="20"/>
          <w:szCs w:val="20"/>
        </w:rPr>
        <w:t>It</w:t>
      </w:r>
      <w:r w:rsidRPr="00C5313D">
        <w:rPr>
          <w:rFonts w:ascii="Cambria" w:hAnsi="Cambria"/>
          <w:sz w:val="20"/>
          <w:szCs w:val="20"/>
        </w:rPr>
        <w:t xml:space="preserve"> indicated that the investigation was </w:t>
      </w:r>
      <w:r w:rsidR="00771C9B" w:rsidRPr="00C5313D">
        <w:rPr>
          <w:rFonts w:ascii="Cambria" w:hAnsi="Cambria"/>
          <w:sz w:val="20"/>
          <w:szCs w:val="20"/>
        </w:rPr>
        <w:t>incorrectly</w:t>
      </w:r>
      <w:r w:rsidRPr="00C5313D">
        <w:rPr>
          <w:rFonts w:ascii="Cambria" w:hAnsi="Cambria"/>
          <w:sz w:val="20"/>
          <w:szCs w:val="20"/>
        </w:rPr>
        <w:t xml:space="preserve"> initiated before the so-called "regional justice" and not before the or</w:t>
      </w:r>
      <w:r w:rsidR="00771C9B" w:rsidRPr="00C5313D">
        <w:rPr>
          <w:rFonts w:ascii="Cambria" w:hAnsi="Cambria"/>
          <w:sz w:val="20"/>
          <w:szCs w:val="20"/>
        </w:rPr>
        <w:t>dinary criminal jurisdiction. It</w:t>
      </w:r>
      <w:r w:rsidRPr="00C5313D">
        <w:rPr>
          <w:rFonts w:ascii="Cambria" w:hAnsi="Cambria"/>
          <w:sz w:val="20"/>
          <w:szCs w:val="20"/>
        </w:rPr>
        <w:t xml:space="preserve"> alleged that regional justice </w:t>
      </w:r>
      <w:r w:rsidR="00771C9B" w:rsidRPr="00C5313D">
        <w:rPr>
          <w:rFonts w:ascii="Cambria" w:hAnsi="Cambria"/>
          <w:sz w:val="20"/>
          <w:szCs w:val="20"/>
        </w:rPr>
        <w:t>used</w:t>
      </w:r>
      <w:r w:rsidRPr="00C5313D">
        <w:rPr>
          <w:rFonts w:ascii="Cambria" w:hAnsi="Cambria"/>
          <w:sz w:val="20"/>
          <w:szCs w:val="20"/>
        </w:rPr>
        <w:t xml:space="preserve"> "faceless" judges, a </w:t>
      </w:r>
      <w:r w:rsidR="00771C9B" w:rsidRPr="00C5313D">
        <w:rPr>
          <w:rFonts w:ascii="Cambria" w:hAnsi="Cambria"/>
          <w:sz w:val="20"/>
          <w:szCs w:val="20"/>
        </w:rPr>
        <w:t>feature</w:t>
      </w:r>
      <w:r w:rsidRPr="00C5313D">
        <w:rPr>
          <w:rFonts w:ascii="Cambria" w:hAnsi="Cambria"/>
          <w:sz w:val="20"/>
          <w:szCs w:val="20"/>
        </w:rPr>
        <w:t xml:space="preserve"> that violates the American Convention.</w:t>
      </w:r>
    </w:p>
    <w:p w14:paraId="04E8F530" w14:textId="77777777" w:rsidR="008D7B66" w:rsidRDefault="00707F23"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C5313D">
        <w:rPr>
          <w:rFonts w:ascii="Cambria" w:hAnsi="Cambria"/>
          <w:sz w:val="20"/>
          <w:szCs w:val="20"/>
        </w:rPr>
        <w:t>The petitioner</w:t>
      </w:r>
      <w:r w:rsidR="008D7B66" w:rsidRPr="00C5313D">
        <w:rPr>
          <w:rFonts w:ascii="Cambria" w:hAnsi="Cambria"/>
          <w:sz w:val="20"/>
          <w:szCs w:val="20"/>
        </w:rPr>
        <w:t xml:space="preserve"> maintained </w:t>
      </w:r>
      <w:r w:rsidRPr="00C5313D">
        <w:rPr>
          <w:rFonts w:ascii="Cambria" w:hAnsi="Cambria"/>
          <w:sz w:val="20"/>
          <w:szCs w:val="20"/>
        </w:rPr>
        <w:t>a violation of</w:t>
      </w:r>
      <w:r w:rsidR="008D7B66" w:rsidRPr="00C5313D">
        <w:rPr>
          <w:rFonts w:ascii="Cambria" w:hAnsi="Cambria"/>
          <w:sz w:val="20"/>
          <w:szCs w:val="20"/>
        </w:rPr>
        <w:t xml:space="preserve"> Mr. Sastoque's right to</w:t>
      </w:r>
      <w:r w:rsidRPr="00C5313D">
        <w:rPr>
          <w:rFonts w:ascii="Cambria" w:hAnsi="Cambria"/>
          <w:sz w:val="20"/>
          <w:szCs w:val="20"/>
        </w:rPr>
        <w:t xml:space="preserve"> a defense</w:t>
      </w:r>
      <w:r w:rsidR="008D7B66" w:rsidRPr="00C5313D">
        <w:rPr>
          <w:rFonts w:ascii="Cambria" w:hAnsi="Cambria"/>
          <w:sz w:val="20"/>
          <w:szCs w:val="20"/>
        </w:rPr>
        <w:t xml:space="preserve">, since during the trial, the prosecutors and witnesses </w:t>
      </w:r>
      <w:r w:rsidRPr="00C5313D">
        <w:rPr>
          <w:rFonts w:ascii="Cambria" w:hAnsi="Cambria"/>
          <w:sz w:val="20"/>
          <w:szCs w:val="20"/>
        </w:rPr>
        <w:t>remained anonymous</w:t>
      </w:r>
      <w:r w:rsidR="008D7B66" w:rsidRPr="00C5313D">
        <w:rPr>
          <w:rFonts w:ascii="Cambria" w:hAnsi="Cambria"/>
          <w:sz w:val="20"/>
          <w:szCs w:val="20"/>
        </w:rPr>
        <w:t xml:space="preserve">, </w:t>
      </w:r>
      <w:r w:rsidRPr="00C5313D">
        <w:rPr>
          <w:rFonts w:ascii="Cambria" w:hAnsi="Cambria"/>
          <w:sz w:val="20"/>
          <w:szCs w:val="20"/>
        </w:rPr>
        <w:t>making it impossible</w:t>
      </w:r>
      <w:r w:rsidR="008D7B66" w:rsidRPr="00C5313D">
        <w:rPr>
          <w:rFonts w:ascii="Cambria" w:hAnsi="Cambria"/>
          <w:sz w:val="20"/>
          <w:szCs w:val="20"/>
        </w:rPr>
        <w:t xml:space="preserve"> to dispute </w:t>
      </w:r>
      <w:r w:rsidRPr="00C5313D">
        <w:rPr>
          <w:rFonts w:ascii="Cambria" w:hAnsi="Cambria"/>
          <w:sz w:val="20"/>
          <w:szCs w:val="20"/>
        </w:rPr>
        <w:t>their allegations and statements. It</w:t>
      </w:r>
      <w:r w:rsidR="008D7B66" w:rsidRPr="00C5313D">
        <w:rPr>
          <w:rFonts w:ascii="Cambria" w:hAnsi="Cambria"/>
          <w:sz w:val="20"/>
          <w:szCs w:val="20"/>
        </w:rPr>
        <w:t xml:space="preserve"> indicated that it </w:t>
      </w:r>
      <w:r w:rsidRPr="00C5313D">
        <w:rPr>
          <w:rFonts w:ascii="Cambria" w:hAnsi="Cambria"/>
          <w:sz w:val="20"/>
          <w:szCs w:val="20"/>
        </w:rPr>
        <w:t>became aware</w:t>
      </w:r>
      <w:r w:rsidR="008D7B66" w:rsidRPr="00C5313D">
        <w:rPr>
          <w:rFonts w:ascii="Cambria" w:hAnsi="Cambria"/>
          <w:sz w:val="20"/>
          <w:szCs w:val="20"/>
        </w:rPr>
        <w:t xml:space="preserve"> that witnesses who participate</w:t>
      </w:r>
      <w:r w:rsidRPr="00C5313D">
        <w:rPr>
          <w:rFonts w:ascii="Cambria" w:hAnsi="Cambria"/>
          <w:sz w:val="20"/>
          <w:szCs w:val="20"/>
        </w:rPr>
        <w:t>d in the trial</w:t>
      </w:r>
      <w:r w:rsidR="008D7B66" w:rsidRPr="00C5313D">
        <w:rPr>
          <w:rFonts w:ascii="Cambria" w:hAnsi="Cambria"/>
          <w:sz w:val="20"/>
          <w:szCs w:val="20"/>
        </w:rPr>
        <w:t xml:space="preserve"> had links </w:t>
      </w:r>
      <w:r w:rsidRPr="00C5313D">
        <w:rPr>
          <w:rFonts w:ascii="Cambria" w:hAnsi="Cambria"/>
          <w:sz w:val="20"/>
          <w:szCs w:val="20"/>
        </w:rPr>
        <w:t>to</w:t>
      </w:r>
      <w:r w:rsidR="008D7B66" w:rsidRPr="00C5313D">
        <w:rPr>
          <w:rFonts w:ascii="Cambria" w:hAnsi="Cambria"/>
          <w:sz w:val="20"/>
          <w:szCs w:val="20"/>
        </w:rPr>
        <w:t xml:space="preserve"> the state agents who </w:t>
      </w:r>
      <w:r w:rsidRPr="00C5313D">
        <w:rPr>
          <w:rFonts w:ascii="Cambria" w:hAnsi="Cambria"/>
          <w:sz w:val="20"/>
          <w:szCs w:val="20"/>
        </w:rPr>
        <w:t>had murdered Mr. Pizarro. It</w:t>
      </w:r>
      <w:r w:rsidR="008D7B66" w:rsidRPr="00C5313D">
        <w:rPr>
          <w:rFonts w:ascii="Cambria" w:hAnsi="Cambria"/>
          <w:sz w:val="20"/>
          <w:szCs w:val="20"/>
        </w:rPr>
        <w:t xml:space="preserve"> pointed out that the judicial authorities rejected any type of </w:t>
      </w:r>
      <w:r w:rsidRPr="00C5313D">
        <w:rPr>
          <w:rFonts w:ascii="Cambria" w:hAnsi="Cambria"/>
          <w:sz w:val="20"/>
          <w:szCs w:val="20"/>
        </w:rPr>
        <w:t xml:space="preserve">witness </w:t>
      </w:r>
      <w:r w:rsidRPr="00907400">
        <w:rPr>
          <w:rFonts w:asciiTheme="majorHAnsi" w:hAnsiTheme="majorHAnsi"/>
          <w:sz w:val="20"/>
          <w:szCs w:val="20"/>
        </w:rPr>
        <w:t>cross-examination</w:t>
      </w:r>
      <w:r w:rsidR="008D7B66" w:rsidRPr="00907400">
        <w:rPr>
          <w:rFonts w:asciiTheme="majorHAnsi" w:hAnsiTheme="majorHAnsi"/>
          <w:sz w:val="20"/>
          <w:szCs w:val="20"/>
        </w:rPr>
        <w:t xml:space="preserve"> and that </w:t>
      </w:r>
      <w:r w:rsidRPr="00907400">
        <w:rPr>
          <w:rFonts w:asciiTheme="majorHAnsi" w:hAnsiTheme="majorHAnsi"/>
          <w:sz w:val="20"/>
          <w:szCs w:val="20"/>
        </w:rPr>
        <w:t>his</w:t>
      </w:r>
      <w:r w:rsidR="008D7B66" w:rsidRPr="00907400">
        <w:rPr>
          <w:rFonts w:asciiTheme="majorHAnsi" w:hAnsiTheme="majorHAnsi"/>
          <w:sz w:val="20"/>
          <w:szCs w:val="20"/>
        </w:rPr>
        <w:t xml:space="preserve"> conviction was based exclusively on these testimonies.</w:t>
      </w:r>
    </w:p>
    <w:p w14:paraId="7812DF8B"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716BEAD" w14:textId="77777777" w:rsidR="008D7B66" w:rsidRPr="00907400" w:rsidRDefault="006152D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petitioner indicated that </w:t>
      </w:r>
      <w:r w:rsidR="00EE29E5" w:rsidRPr="00907400">
        <w:rPr>
          <w:rFonts w:asciiTheme="majorHAnsi" w:hAnsiTheme="majorHAnsi"/>
          <w:sz w:val="20"/>
          <w:szCs w:val="20"/>
        </w:rPr>
        <w:t>the trial was not held in public, violating the principle of the openness of proceedings. It also indicated that the trial had taken an unreasonable length of time.</w:t>
      </w:r>
    </w:p>
    <w:p w14:paraId="0E9DAAF9"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1B4C7CE" w14:textId="77777777" w:rsidR="008D7B66" w:rsidRPr="00907400" w:rsidRDefault="006000D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The petitioner</w:t>
      </w:r>
      <w:r w:rsidR="00EE3CD4" w:rsidRPr="00907400">
        <w:rPr>
          <w:rFonts w:asciiTheme="majorHAnsi" w:hAnsiTheme="majorHAnsi"/>
          <w:sz w:val="20"/>
          <w:szCs w:val="20"/>
        </w:rPr>
        <w:t xml:space="preserve"> stat</w:t>
      </w:r>
      <w:r w:rsidR="006152DE" w:rsidRPr="00907400">
        <w:rPr>
          <w:rFonts w:asciiTheme="majorHAnsi" w:hAnsiTheme="majorHAnsi"/>
          <w:sz w:val="20"/>
          <w:szCs w:val="20"/>
        </w:rPr>
        <w:t xml:space="preserve">ed that on November 30, 2005, a judicial decision was issued granting </w:t>
      </w:r>
      <w:r w:rsidRPr="00907400">
        <w:rPr>
          <w:rFonts w:asciiTheme="majorHAnsi" w:hAnsiTheme="majorHAnsi"/>
          <w:sz w:val="20"/>
          <w:szCs w:val="20"/>
        </w:rPr>
        <w:t>him release on bail upon payment of a surety. It</w:t>
      </w:r>
      <w:r w:rsidR="006152DE" w:rsidRPr="00907400">
        <w:rPr>
          <w:rFonts w:asciiTheme="majorHAnsi" w:hAnsiTheme="majorHAnsi"/>
          <w:sz w:val="20"/>
          <w:szCs w:val="20"/>
        </w:rPr>
        <w:t xml:space="preserve"> added that because Mr. Sastoque </w:t>
      </w:r>
      <w:r w:rsidR="00EE3CD4" w:rsidRPr="00907400">
        <w:rPr>
          <w:rFonts w:asciiTheme="majorHAnsi" w:hAnsiTheme="majorHAnsi"/>
          <w:sz w:val="20"/>
          <w:szCs w:val="20"/>
        </w:rPr>
        <w:t xml:space="preserve">now </w:t>
      </w:r>
      <w:r w:rsidR="006152DE" w:rsidRPr="00907400">
        <w:rPr>
          <w:rFonts w:asciiTheme="majorHAnsi" w:hAnsiTheme="majorHAnsi"/>
          <w:sz w:val="20"/>
          <w:szCs w:val="20"/>
        </w:rPr>
        <w:t xml:space="preserve">has a criminal record, he has not been able </w:t>
      </w:r>
      <w:r w:rsidRPr="00907400">
        <w:rPr>
          <w:rFonts w:asciiTheme="majorHAnsi" w:hAnsiTheme="majorHAnsi"/>
          <w:sz w:val="20"/>
          <w:szCs w:val="20"/>
        </w:rPr>
        <w:t>to find employment</w:t>
      </w:r>
      <w:r w:rsidR="006152DE" w:rsidRPr="00907400">
        <w:rPr>
          <w:rFonts w:asciiTheme="majorHAnsi" w:hAnsiTheme="majorHAnsi"/>
          <w:sz w:val="20"/>
          <w:szCs w:val="20"/>
        </w:rPr>
        <w:t xml:space="preserve"> and his mental and moral integrity has been affected.</w:t>
      </w:r>
    </w:p>
    <w:p w14:paraId="1F621044"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016BFCC" w14:textId="77777777" w:rsidR="00907400" w:rsidRPr="00907400" w:rsidRDefault="00907400" w:rsidP="00907400">
      <w:pPr>
        <w:pStyle w:val="Heading2"/>
        <w:spacing w:before="0"/>
        <w:ind w:firstLine="720"/>
        <w:rPr>
          <w:color w:val="auto"/>
          <w:sz w:val="20"/>
          <w:szCs w:val="20"/>
        </w:rPr>
      </w:pPr>
      <w:bookmarkStart w:id="3" w:name="_Toc211249792"/>
      <w:r w:rsidRPr="00907400">
        <w:rPr>
          <w:color w:val="auto"/>
          <w:sz w:val="20"/>
          <w:szCs w:val="20"/>
        </w:rPr>
        <w:t xml:space="preserve">B. </w:t>
      </w:r>
      <w:r w:rsidRPr="00907400">
        <w:rPr>
          <w:color w:val="auto"/>
          <w:sz w:val="20"/>
          <w:szCs w:val="20"/>
        </w:rPr>
        <w:tab/>
        <w:t>The State</w:t>
      </w:r>
      <w:bookmarkEnd w:id="3"/>
    </w:p>
    <w:p w14:paraId="53C8A656" w14:textId="77777777" w:rsidR="00907400" w:rsidRPr="00907400" w:rsidRDefault="00907400" w:rsidP="00907400">
      <w:pPr>
        <w:rPr>
          <w:rFonts w:asciiTheme="majorHAnsi" w:hAnsiTheme="majorHAnsi"/>
          <w:sz w:val="20"/>
          <w:szCs w:val="20"/>
        </w:rPr>
      </w:pPr>
    </w:p>
    <w:p w14:paraId="53A2180B" w14:textId="77777777" w:rsidR="006152DE" w:rsidRPr="00907400" w:rsidRDefault="00152A6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The State argued</w:t>
      </w:r>
      <w:r w:rsidR="006152DE" w:rsidRPr="00907400">
        <w:rPr>
          <w:rFonts w:asciiTheme="majorHAnsi" w:hAnsiTheme="majorHAnsi"/>
          <w:sz w:val="20"/>
          <w:szCs w:val="20"/>
        </w:rPr>
        <w:t xml:space="preserve"> that it is not internationally responsible </w:t>
      </w:r>
      <w:r w:rsidRPr="00907400">
        <w:rPr>
          <w:rFonts w:asciiTheme="majorHAnsi" w:hAnsiTheme="majorHAnsi"/>
          <w:sz w:val="20"/>
          <w:szCs w:val="20"/>
        </w:rPr>
        <w:t>because</w:t>
      </w:r>
      <w:r w:rsidR="006152DE" w:rsidRPr="00907400">
        <w:rPr>
          <w:rFonts w:asciiTheme="majorHAnsi" w:hAnsiTheme="majorHAnsi"/>
          <w:sz w:val="20"/>
          <w:szCs w:val="20"/>
        </w:rPr>
        <w:t xml:space="preserve"> Mr. Sastoque's arrest </w:t>
      </w:r>
      <w:r w:rsidRPr="00907400">
        <w:rPr>
          <w:rFonts w:asciiTheme="majorHAnsi" w:hAnsiTheme="majorHAnsi"/>
          <w:sz w:val="20"/>
          <w:szCs w:val="20"/>
        </w:rPr>
        <w:t>took place under an arrest warrant. It</w:t>
      </w:r>
      <w:r w:rsidR="006152DE" w:rsidRPr="00907400">
        <w:rPr>
          <w:rFonts w:asciiTheme="majorHAnsi" w:hAnsiTheme="majorHAnsi"/>
          <w:sz w:val="20"/>
          <w:szCs w:val="20"/>
        </w:rPr>
        <w:t xml:space="preserve"> indicated that </w:t>
      </w:r>
      <w:r w:rsidRPr="00907400">
        <w:rPr>
          <w:rFonts w:asciiTheme="majorHAnsi" w:hAnsiTheme="majorHAnsi"/>
          <w:sz w:val="20"/>
          <w:szCs w:val="20"/>
        </w:rPr>
        <w:t>after being</w:t>
      </w:r>
      <w:r w:rsidR="006152DE" w:rsidRPr="00907400">
        <w:rPr>
          <w:rFonts w:asciiTheme="majorHAnsi" w:hAnsiTheme="majorHAnsi"/>
          <w:sz w:val="20"/>
          <w:szCs w:val="20"/>
        </w:rPr>
        <w:t xml:space="preserve"> arrested, the police officers informed him of the reasons for his arrest and showed him the order.</w:t>
      </w:r>
    </w:p>
    <w:p w14:paraId="0C813FEE"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57E5072" w14:textId="77777777" w:rsidR="006152DE" w:rsidRDefault="00152A6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It</w:t>
      </w:r>
      <w:r w:rsidR="006152DE" w:rsidRPr="00907400">
        <w:rPr>
          <w:rFonts w:asciiTheme="majorHAnsi" w:hAnsiTheme="majorHAnsi"/>
          <w:sz w:val="20"/>
          <w:szCs w:val="20"/>
        </w:rPr>
        <w:t xml:space="preserve"> also indicated that the process complied with all the judicial guarantees and </w:t>
      </w:r>
      <w:r w:rsidRPr="00907400">
        <w:rPr>
          <w:rFonts w:asciiTheme="majorHAnsi" w:hAnsiTheme="majorHAnsi"/>
          <w:sz w:val="20"/>
          <w:szCs w:val="20"/>
        </w:rPr>
        <w:t>respected</w:t>
      </w:r>
      <w:r w:rsidR="006152DE" w:rsidRPr="00907400">
        <w:rPr>
          <w:rFonts w:asciiTheme="majorHAnsi" w:hAnsiTheme="majorHAnsi"/>
          <w:sz w:val="20"/>
          <w:szCs w:val="20"/>
        </w:rPr>
        <w:t xml:space="preserve"> Mr. Sastoque's presumption of innocence and right of defense. The Colombian State indicated that regional justice </w:t>
      </w:r>
      <w:r w:rsidR="006152DE" w:rsidRPr="00907400">
        <w:rPr>
          <w:rFonts w:asciiTheme="majorHAnsi" w:hAnsiTheme="majorHAnsi"/>
          <w:sz w:val="20"/>
          <w:szCs w:val="20"/>
        </w:rPr>
        <w:lastRenderedPageBreak/>
        <w:t xml:space="preserve">and not </w:t>
      </w:r>
      <w:r w:rsidRPr="00907400">
        <w:rPr>
          <w:rFonts w:asciiTheme="majorHAnsi" w:hAnsiTheme="majorHAnsi"/>
          <w:sz w:val="20"/>
          <w:szCs w:val="20"/>
        </w:rPr>
        <w:t xml:space="preserve">the </w:t>
      </w:r>
      <w:r w:rsidR="006152DE" w:rsidRPr="00907400">
        <w:rPr>
          <w:rFonts w:asciiTheme="majorHAnsi" w:hAnsiTheme="majorHAnsi"/>
          <w:sz w:val="20"/>
          <w:szCs w:val="20"/>
        </w:rPr>
        <w:t xml:space="preserve">ordinary criminal jurisdiction </w:t>
      </w:r>
      <w:r w:rsidRPr="00907400">
        <w:rPr>
          <w:rFonts w:asciiTheme="majorHAnsi" w:hAnsiTheme="majorHAnsi"/>
          <w:sz w:val="20"/>
          <w:szCs w:val="20"/>
        </w:rPr>
        <w:t>was applicable according to A</w:t>
      </w:r>
      <w:r w:rsidR="006152DE" w:rsidRPr="00907400">
        <w:rPr>
          <w:rFonts w:asciiTheme="majorHAnsi" w:hAnsiTheme="majorHAnsi"/>
          <w:sz w:val="20"/>
          <w:szCs w:val="20"/>
        </w:rPr>
        <w:t xml:space="preserve">rticle 324.8 of the Criminal Code </w:t>
      </w:r>
      <w:r w:rsidRPr="00907400">
        <w:rPr>
          <w:rFonts w:asciiTheme="majorHAnsi" w:hAnsiTheme="majorHAnsi"/>
          <w:sz w:val="20"/>
          <w:szCs w:val="20"/>
        </w:rPr>
        <w:t>at the time. It</w:t>
      </w:r>
      <w:r w:rsidR="006152DE" w:rsidRPr="00907400">
        <w:rPr>
          <w:rFonts w:asciiTheme="majorHAnsi" w:hAnsiTheme="majorHAnsi"/>
          <w:sz w:val="20"/>
          <w:szCs w:val="20"/>
        </w:rPr>
        <w:t xml:space="preserve"> explai</w:t>
      </w:r>
      <w:r w:rsidRPr="00907400">
        <w:rPr>
          <w:rFonts w:asciiTheme="majorHAnsi" w:hAnsiTheme="majorHAnsi"/>
          <w:sz w:val="20"/>
          <w:szCs w:val="20"/>
        </w:rPr>
        <w:t>ned that this provision set out the murder of political leaders</w:t>
      </w:r>
      <w:r w:rsidR="006152DE" w:rsidRPr="00907400">
        <w:rPr>
          <w:rFonts w:asciiTheme="majorHAnsi" w:hAnsiTheme="majorHAnsi"/>
          <w:sz w:val="20"/>
          <w:szCs w:val="20"/>
        </w:rPr>
        <w:t xml:space="preserve"> as an aggravating circumstance, and that </w:t>
      </w:r>
      <w:r w:rsidRPr="00907400">
        <w:rPr>
          <w:rFonts w:asciiTheme="majorHAnsi" w:hAnsiTheme="majorHAnsi"/>
          <w:sz w:val="20"/>
          <w:szCs w:val="20"/>
        </w:rPr>
        <w:t xml:space="preserve">such proceedings were subject to the jurisdiction of </w:t>
      </w:r>
      <w:r w:rsidR="006152DE" w:rsidRPr="00907400">
        <w:rPr>
          <w:rFonts w:asciiTheme="majorHAnsi" w:hAnsiTheme="majorHAnsi"/>
          <w:sz w:val="20"/>
          <w:szCs w:val="20"/>
        </w:rPr>
        <w:t xml:space="preserve">the regional justice system. Colombia argued that the </w:t>
      </w:r>
      <w:r w:rsidRPr="00907400">
        <w:rPr>
          <w:rFonts w:asciiTheme="majorHAnsi" w:hAnsiTheme="majorHAnsi"/>
          <w:sz w:val="20"/>
          <w:szCs w:val="20"/>
        </w:rPr>
        <w:t>prosecuting</w:t>
      </w:r>
      <w:r w:rsidR="006152DE" w:rsidRPr="00907400">
        <w:rPr>
          <w:rFonts w:asciiTheme="majorHAnsi" w:hAnsiTheme="majorHAnsi"/>
          <w:sz w:val="20"/>
          <w:szCs w:val="20"/>
        </w:rPr>
        <w:t xml:space="preserve"> authorities duly based their decision on the applicability of </w:t>
      </w:r>
      <w:r w:rsidRPr="00907400">
        <w:rPr>
          <w:rFonts w:asciiTheme="majorHAnsi" w:hAnsiTheme="majorHAnsi"/>
          <w:sz w:val="20"/>
          <w:szCs w:val="20"/>
        </w:rPr>
        <w:t>this provision</w:t>
      </w:r>
      <w:r w:rsidR="006152DE" w:rsidRPr="00907400">
        <w:rPr>
          <w:rFonts w:asciiTheme="majorHAnsi" w:hAnsiTheme="majorHAnsi"/>
          <w:sz w:val="20"/>
          <w:szCs w:val="20"/>
        </w:rPr>
        <w:t>, arguing that Mr. Pizarro</w:t>
      </w:r>
      <w:r w:rsidRPr="00907400">
        <w:rPr>
          <w:rFonts w:asciiTheme="majorHAnsi" w:hAnsiTheme="majorHAnsi"/>
          <w:sz w:val="20"/>
          <w:szCs w:val="20"/>
        </w:rPr>
        <w:t>’s death</w:t>
      </w:r>
      <w:r w:rsidR="006152DE" w:rsidRPr="00907400">
        <w:rPr>
          <w:rFonts w:asciiTheme="majorHAnsi" w:hAnsiTheme="majorHAnsi"/>
          <w:sz w:val="20"/>
          <w:szCs w:val="20"/>
        </w:rPr>
        <w:t xml:space="preserve"> was motivated by political beliefs because: i) he </w:t>
      </w:r>
      <w:r w:rsidRPr="00907400">
        <w:rPr>
          <w:rFonts w:asciiTheme="majorHAnsi" w:hAnsiTheme="majorHAnsi"/>
          <w:sz w:val="20"/>
          <w:szCs w:val="20"/>
        </w:rPr>
        <w:t xml:space="preserve">had </w:t>
      </w:r>
      <w:r w:rsidR="006152DE" w:rsidRPr="00907400">
        <w:rPr>
          <w:rFonts w:asciiTheme="majorHAnsi" w:hAnsiTheme="majorHAnsi"/>
          <w:sz w:val="20"/>
          <w:szCs w:val="20"/>
        </w:rPr>
        <w:t xml:space="preserve">expressed his </w:t>
      </w:r>
      <w:r w:rsidRPr="00907400">
        <w:rPr>
          <w:rFonts w:asciiTheme="majorHAnsi" w:hAnsiTheme="majorHAnsi"/>
          <w:sz w:val="20"/>
          <w:szCs w:val="20"/>
        </w:rPr>
        <w:t xml:space="preserve">armed </w:t>
      </w:r>
      <w:r w:rsidR="006152DE" w:rsidRPr="00907400">
        <w:rPr>
          <w:rFonts w:asciiTheme="majorHAnsi" w:hAnsiTheme="majorHAnsi"/>
          <w:sz w:val="20"/>
          <w:szCs w:val="20"/>
        </w:rPr>
        <w:t xml:space="preserve">revolutionary ideology </w:t>
      </w:r>
      <w:r w:rsidRPr="00907400">
        <w:rPr>
          <w:rFonts w:asciiTheme="majorHAnsi" w:hAnsiTheme="majorHAnsi"/>
          <w:sz w:val="20"/>
          <w:szCs w:val="20"/>
        </w:rPr>
        <w:t>since</w:t>
      </w:r>
      <w:r w:rsidR="006152DE" w:rsidRPr="00907400">
        <w:rPr>
          <w:rFonts w:asciiTheme="majorHAnsi" w:hAnsiTheme="majorHAnsi"/>
          <w:sz w:val="20"/>
          <w:szCs w:val="20"/>
        </w:rPr>
        <w:t xml:space="preserve"> 1987; ii) in later years </w:t>
      </w:r>
      <w:r w:rsidRPr="00907400">
        <w:rPr>
          <w:rFonts w:asciiTheme="majorHAnsi" w:hAnsiTheme="majorHAnsi"/>
          <w:sz w:val="20"/>
          <w:szCs w:val="20"/>
        </w:rPr>
        <w:t>he</w:t>
      </w:r>
      <w:r w:rsidR="006152DE" w:rsidRPr="00907400">
        <w:rPr>
          <w:rFonts w:asciiTheme="majorHAnsi" w:hAnsiTheme="majorHAnsi"/>
          <w:sz w:val="20"/>
          <w:szCs w:val="20"/>
        </w:rPr>
        <w:t xml:space="preserve"> </w:t>
      </w:r>
      <w:r w:rsidRPr="00907400">
        <w:rPr>
          <w:rFonts w:asciiTheme="majorHAnsi" w:hAnsiTheme="majorHAnsi"/>
          <w:sz w:val="20"/>
          <w:szCs w:val="20"/>
        </w:rPr>
        <w:t>changed</w:t>
      </w:r>
      <w:r w:rsidR="006152DE" w:rsidRPr="00907400">
        <w:rPr>
          <w:rFonts w:asciiTheme="majorHAnsi" w:hAnsiTheme="majorHAnsi"/>
          <w:sz w:val="20"/>
          <w:szCs w:val="20"/>
        </w:rPr>
        <w:t xml:space="preserve"> opposition</w:t>
      </w:r>
      <w:r w:rsidRPr="00907400">
        <w:rPr>
          <w:rFonts w:asciiTheme="majorHAnsi" w:hAnsiTheme="majorHAnsi"/>
          <w:sz w:val="20"/>
          <w:szCs w:val="20"/>
        </w:rPr>
        <w:t xml:space="preserve"> methods</w:t>
      </w:r>
      <w:r w:rsidR="006152DE" w:rsidRPr="00907400">
        <w:rPr>
          <w:rFonts w:asciiTheme="majorHAnsi" w:hAnsiTheme="majorHAnsi"/>
          <w:sz w:val="20"/>
          <w:szCs w:val="20"/>
        </w:rPr>
        <w:t xml:space="preserve"> to institutionality; and iii) </w:t>
      </w:r>
      <w:r w:rsidRPr="00907400">
        <w:rPr>
          <w:rFonts w:asciiTheme="majorHAnsi" w:hAnsiTheme="majorHAnsi"/>
          <w:sz w:val="20"/>
          <w:szCs w:val="20"/>
        </w:rPr>
        <w:t xml:space="preserve">he </w:t>
      </w:r>
      <w:r w:rsidR="006152DE" w:rsidRPr="00907400">
        <w:rPr>
          <w:rFonts w:asciiTheme="majorHAnsi" w:hAnsiTheme="majorHAnsi"/>
          <w:sz w:val="20"/>
          <w:szCs w:val="20"/>
        </w:rPr>
        <w:t xml:space="preserve">had a </w:t>
      </w:r>
      <w:r w:rsidRPr="00907400">
        <w:rPr>
          <w:rFonts w:asciiTheme="majorHAnsi" w:hAnsiTheme="majorHAnsi"/>
          <w:sz w:val="20"/>
          <w:szCs w:val="20"/>
        </w:rPr>
        <w:t>close blood relationship</w:t>
      </w:r>
      <w:r w:rsidR="006152DE" w:rsidRPr="00907400">
        <w:rPr>
          <w:rFonts w:asciiTheme="majorHAnsi" w:hAnsiTheme="majorHAnsi"/>
          <w:sz w:val="20"/>
          <w:szCs w:val="20"/>
        </w:rPr>
        <w:t xml:space="preserve"> with the well-known leader of the M19 guerrilla group, Carlos Pizarro.</w:t>
      </w:r>
    </w:p>
    <w:p w14:paraId="69E10E16"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9E658AD" w14:textId="77777777" w:rsidR="006152DE" w:rsidRDefault="00152A6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It</w:t>
      </w:r>
      <w:r w:rsidR="006152DE" w:rsidRPr="00907400">
        <w:rPr>
          <w:rFonts w:asciiTheme="majorHAnsi" w:hAnsiTheme="majorHAnsi"/>
          <w:sz w:val="20"/>
          <w:szCs w:val="20"/>
        </w:rPr>
        <w:t xml:space="preserve"> maintained that </w:t>
      </w:r>
      <w:r w:rsidR="000F7849" w:rsidRPr="00907400">
        <w:rPr>
          <w:rFonts w:asciiTheme="majorHAnsi" w:hAnsiTheme="majorHAnsi"/>
          <w:sz w:val="20"/>
          <w:szCs w:val="20"/>
        </w:rPr>
        <w:t xml:space="preserve">the notification on the </w:t>
      </w:r>
      <w:r w:rsidR="006152DE" w:rsidRPr="00907400">
        <w:rPr>
          <w:rFonts w:asciiTheme="majorHAnsi" w:hAnsiTheme="majorHAnsi"/>
          <w:sz w:val="20"/>
          <w:szCs w:val="20"/>
        </w:rPr>
        <w:t>aggra</w:t>
      </w:r>
      <w:r w:rsidR="00B43D1E" w:rsidRPr="00907400">
        <w:rPr>
          <w:rFonts w:asciiTheme="majorHAnsi" w:hAnsiTheme="majorHAnsi"/>
          <w:sz w:val="20"/>
          <w:szCs w:val="20"/>
        </w:rPr>
        <w:t>vating circumstance</w:t>
      </w:r>
      <w:r w:rsidR="000F7849" w:rsidRPr="00907400">
        <w:rPr>
          <w:rFonts w:asciiTheme="majorHAnsi" w:hAnsiTheme="majorHAnsi"/>
          <w:sz w:val="20"/>
          <w:szCs w:val="20"/>
        </w:rPr>
        <w:t>s</w:t>
      </w:r>
      <w:r w:rsidR="00B43D1E" w:rsidRPr="00907400">
        <w:rPr>
          <w:rFonts w:asciiTheme="majorHAnsi" w:hAnsiTheme="majorHAnsi"/>
          <w:sz w:val="20"/>
          <w:szCs w:val="20"/>
        </w:rPr>
        <w:t xml:space="preserve"> of the offense</w:t>
      </w:r>
      <w:r w:rsidR="00962534" w:rsidRPr="00907400">
        <w:rPr>
          <w:rFonts w:asciiTheme="majorHAnsi" w:hAnsiTheme="majorHAnsi"/>
          <w:sz w:val="20"/>
          <w:szCs w:val="20"/>
        </w:rPr>
        <w:t xml:space="preserve"> –</w:t>
      </w:r>
      <w:r w:rsidR="008D7ABD" w:rsidRPr="00907400">
        <w:rPr>
          <w:rFonts w:asciiTheme="majorHAnsi" w:hAnsiTheme="majorHAnsi"/>
          <w:sz w:val="20"/>
          <w:szCs w:val="20"/>
        </w:rPr>
        <w:t>and</w:t>
      </w:r>
      <w:r w:rsidR="00962534" w:rsidRPr="00907400">
        <w:rPr>
          <w:rFonts w:asciiTheme="majorHAnsi" w:hAnsiTheme="majorHAnsi"/>
          <w:sz w:val="20"/>
          <w:szCs w:val="20"/>
        </w:rPr>
        <w:t xml:space="preserve"> </w:t>
      </w:r>
      <w:r w:rsidR="008D7ABD" w:rsidRPr="00907400">
        <w:rPr>
          <w:rFonts w:asciiTheme="majorHAnsi" w:hAnsiTheme="majorHAnsi"/>
          <w:sz w:val="20"/>
          <w:szCs w:val="20"/>
        </w:rPr>
        <w:t>the consequent jurisdiction of the</w:t>
      </w:r>
      <w:r w:rsidR="000F7849" w:rsidRPr="00907400">
        <w:rPr>
          <w:rFonts w:asciiTheme="majorHAnsi" w:hAnsiTheme="majorHAnsi"/>
          <w:sz w:val="20"/>
          <w:szCs w:val="20"/>
        </w:rPr>
        <w:t xml:space="preserve"> Regional Justice S</w:t>
      </w:r>
      <w:r w:rsidR="008D7ABD" w:rsidRPr="00907400">
        <w:rPr>
          <w:rFonts w:asciiTheme="majorHAnsi" w:hAnsiTheme="majorHAnsi"/>
          <w:sz w:val="20"/>
          <w:szCs w:val="20"/>
        </w:rPr>
        <w:t>ystem</w:t>
      </w:r>
      <w:r w:rsidR="00962534" w:rsidRPr="00907400">
        <w:rPr>
          <w:rFonts w:asciiTheme="majorHAnsi" w:hAnsiTheme="majorHAnsi"/>
          <w:sz w:val="20"/>
          <w:szCs w:val="20"/>
        </w:rPr>
        <w:t>—was carried out in accordance with the rules of criminal procedure then in force, reserving</w:t>
      </w:r>
      <w:r w:rsidR="006152DE" w:rsidRPr="00907400">
        <w:rPr>
          <w:rFonts w:asciiTheme="majorHAnsi" w:hAnsiTheme="majorHAnsi"/>
          <w:sz w:val="20"/>
          <w:szCs w:val="20"/>
        </w:rPr>
        <w:t xml:space="preserve"> the designation of the qualification for the moment of the </w:t>
      </w:r>
      <w:r w:rsidR="00B43D1E" w:rsidRPr="00907400">
        <w:rPr>
          <w:rFonts w:asciiTheme="majorHAnsi" w:hAnsiTheme="majorHAnsi"/>
          <w:sz w:val="20"/>
          <w:szCs w:val="20"/>
        </w:rPr>
        <w:t>judicial indictment</w:t>
      </w:r>
      <w:r w:rsidR="006152DE" w:rsidRPr="00907400">
        <w:rPr>
          <w:rFonts w:asciiTheme="majorHAnsi" w:hAnsiTheme="majorHAnsi"/>
          <w:sz w:val="20"/>
          <w:szCs w:val="20"/>
        </w:rPr>
        <w:t xml:space="preserve"> of the accused and </w:t>
      </w:r>
      <w:r w:rsidR="00B43D1E" w:rsidRPr="00907400">
        <w:rPr>
          <w:rFonts w:asciiTheme="majorHAnsi" w:hAnsiTheme="majorHAnsi"/>
          <w:sz w:val="20"/>
          <w:szCs w:val="20"/>
        </w:rPr>
        <w:t>its issuance</w:t>
      </w:r>
      <w:r w:rsidR="006152DE" w:rsidRPr="00907400">
        <w:rPr>
          <w:rFonts w:asciiTheme="majorHAnsi" w:hAnsiTheme="majorHAnsi"/>
          <w:sz w:val="20"/>
          <w:szCs w:val="20"/>
        </w:rPr>
        <w:t>.</w:t>
      </w:r>
    </w:p>
    <w:p w14:paraId="14E4DA43"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2A960818" w14:textId="77777777" w:rsidR="006152DE" w:rsidRDefault="00374A2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Regarding the testimony</w:t>
      </w:r>
      <w:r w:rsidR="006152DE" w:rsidRPr="00907400">
        <w:rPr>
          <w:rFonts w:asciiTheme="majorHAnsi" w:hAnsiTheme="majorHAnsi"/>
          <w:sz w:val="20"/>
          <w:szCs w:val="20"/>
        </w:rPr>
        <w:t xml:space="preserve"> of </w:t>
      </w:r>
      <w:r w:rsidR="00770B46" w:rsidRPr="00907400">
        <w:rPr>
          <w:rFonts w:asciiTheme="majorHAnsi" w:hAnsiTheme="majorHAnsi"/>
          <w:sz w:val="20"/>
          <w:szCs w:val="20"/>
        </w:rPr>
        <w:t xml:space="preserve">anonymous </w:t>
      </w:r>
      <w:r w:rsidR="006152DE" w:rsidRPr="00907400">
        <w:rPr>
          <w:rFonts w:asciiTheme="majorHAnsi" w:hAnsiTheme="majorHAnsi"/>
          <w:sz w:val="20"/>
          <w:szCs w:val="20"/>
        </w:rPr>
        <w:t xml:space="preserve">witnesses, the State emphasized that </w:t>
      </w:r>
      <w:r w:rsidR="00770B46" w:rsidRPr="00907400">
        <w:rPr>
          <w:rFonts w:asciiTheme="majorHAnsi" w:hAnsiTheme="majorHAnsi"/>
          <w:sz w:val="20"/>
          <w:szCs w:val="20"/>
        </w:rPr>
        <w:t>his</w:t>
      </w:r>
      <w:r w:rsidR="006152DE" w:rsidRPr="00907400">
        <w:rPr>
          <w:rFonts w:asciiTheme="majorHAnsi" w:hAnsiTheme="majorHAnsi"/>
          <w:sz w:val="20"/>
          <w:szCs w:val="20"/>
        </w:rPr>
        <w:t xml:space="preserve"> conviction was not based solely on those </w:t>
      </w:r>
      <w:r w:rsidR="00770B46" w:rsidRPr="00907400">
        <w:rPr>
          <w:rFonts w:asciiTheme="majorHAnsi" w:hAnsiTheme="majorHAnsi"/>
          <w:sz w:val="20"/>
          <w:szCs w:val="20"/>
        </w:rPr>
        <w:t>testimonies;</w:t>
      </w:r>
      <w:r w:rsidR="006152DE" w:rsidRPr="00907400">
        <w:rPr>
          <w:rFonts w:asciiTheme="majorHAnsi" w:hAnsiTheme="majorHAnsi"/>
          <w:sz w:val="20"/>
          <w:szCs w:val="20"/>
        </w:rPr>
        <w:t xml:space="preserve"> rather that the judicial authorities </w:t>
      </w:r>
      <w:r w:rsidRPr="00907400">
        <w:rPr>
          <w:rFonts w:asciiTheme="majorHAnsi" w:hAnsiTheme="majorHAnsi"/>
          <w:sz w:val="20"/>
          <w:szCs w:val="20"/>
        </w:rPr>
        <w:t>took various elements</w:t>
      </w:r>
      <w:r w:rsidR="00770B46" w:rsidRPr="00907400">
        <w:rPr>
          <w:rFonts w:asciiTheme="majorHAnsi" w:hAnsiTheme="majorHAnsi"/>
          <w:sz w:val="20"/>
          <w:szCs w:val="20"/>
        </w:rPr>
        <w:t xml:space="preserve"> into account</w:t>
      </w:r>
      <w:r w:rsidR="006152DE" w:rsidRPr="00907400">
        <w:rPr>
          <w:rFonts w:asciiTheme="majorHAnsi" w:hAnsiTheme="majorHAnsi"/>
          <w:sz w:val="20"/>
          <w:szCs w:val="20"/>
        </w:rPr>
        <w:t xml:space="preserve">, such as photographic surveys made by witnesses and the </w:t>
      </w:r>
      <w:r w:rsidR="00770B46" w:rsidRPr="00907400">
        <w:rPr>
          <w:rFonts w:asciiTheme="majorHAnsi" w:hAnsiTheme="majorHAnsi"/>
          <w:sz w:val="20"/>
          <w:szCs w:val="20"/>
        </w:rPr>
        <w:t>searches</w:t>
      </w:r>
      <w:r w:rsidR="006152DE" w:rsidRPr="00907400">
        <w:rPr>
          <w:rFonts w:asciiTheme="majorHAnsi" w:hAnsiTheme="majorHAnsi"/>
          <w:sz w:val="20"/>
          <w:szCs w:val="20"/>
        </w:rPr>
        <w:t xml:space="preserve">. </w:t>
      </w:r>
      <w:r w:rsidR="00770B46" w:rsidRPr="00907400">
        <w:rPr>
          <w:rFonts w:asciiTheme="majorHAnsi" w:hAnsiTheme="majorHAnsi"/>
          <w:sz w:val="20"/>
          <w:szCs w:val="20"/>
        </w:rPr>
        <w:t>It</w:t>
      </w:r>
      <w:r w:rsidR="006152DE" w:rsidRPr="00907400">
        <w:rPr>
          <w:rFonts w:asciiTheme="majorHAnsi" w:hAnsiTheme="majorHAnsi"/>
          <w:sz w:val="20"/>
          <w:szCs w:val="20"/>
        </w:rPr>
        <w:t xml:space="preserve"> indicated that the </w:t>
      </w:r>
      <w:r w:rsidR="00770B46" w:rsidRPr="00907400">
        <w:rPr>
          <w:rFonts w:asciiTheme="majorHAnsi" w:hAnsiTheme="majorHAnsi"/>
          <w:sz w:val="20"/>
          <w:szCs w:val="20"/>
        </w:rPr>
        <w:t xml:space="preserve">right of </w:t>
      </w:r>
      <w:r w:rsidR="006152DE" w:rsidRPr="00907400">
        <w:rPr>
          <w:rFonts w:asciiTheme="majorHAnsi" w:hAnsiTheme="majorHAnsi"/>
          <w:sz w:val="20"/>
          <w:szCs w:val="20"/>
        </w:rPr>
        <w:t>defense was also guaranteed because Mr. Sastoque was able to present his arguments.</w:t>
      </w:r>
    </w:p>
    <w:p w14:paraId="58C14CB2"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AA8298D" w14:textId="77777777" w:rsidR="006152DE" w:rsidRDefault="006152D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Colombian State emphasized that the conviction was </w:t>
      </w:r>
      <w:r w:rsidR="00A433FF" w:rsidRPr="00907400">
        <w:rPr>
          <w:rFonts w:asciiTheme="majorHAnsi" w:hAnsiTheme="majorHAnsi"/>
          <w:sz w:val="20"/>
          <w:szCs w:val="20"/>
        </w:rPr>
        <w:t>well founded</w:t>
      </w:r>
      <w:r w:rsidRPr="00907400">
        <w:rPr>
          <w:rFonts w:asciiTheme="majorHAnsi" w:hAnsiTheme="majorHAnsi"/>
          <w:sz w:val="20"/>
          <w:szCs w:val="20"/>
        </w:rPr>
        <w:t xml:space="preserve"> in accordance with domestic law. </w:t>
      </w:r>
      <w:r w:rsidR="00F7564A" w:rsidRPr="00907400">
        <w:rPr>
          <w:rFonts w:asciiTheme="majorHAnsi" w:hAnsiTheme="majorHAnsi"/>
          <w:sz w:val="20"/>
          <w:szCs w:val="20"/>
        </w:rPr>
        <w:t>It</w:t>
      </w:r>
      <w:r w:rsidRPr="00907400">
        <w:rPr>
          <w:rFonts w:asciiTheme="majorHAnsi" w:hAnsiTheme="majorHAnsi"/>
          <w:sz w:val="20"/>
          <w:szCs w:val="20"/>
        </w:rPr>
        <w:t xml:space="preserve"> indicated that subsequent decisions that </w:t>
      </w:r>
      <w:r w:rsidR="00F7564A" w:rsidRPr="00907400">
        <w:rPr>
          <w:rFonts w:asciiTheme="majorHAnsi" w:hAnsiTheme="majorHAnsi"/>
          <w:sz w:val="20"/>
          <w:szCs w:val="20"/>
        </w:rPr>
        <w:t>upheld</w:t>
      </w:r>
      <w:r w:rsidRPr="00907400">
        <w:rPr>
          <w:rFonts w:asciiTheme="majorHAnsi" w:hAnsiTheme="majorHAnsi"/>
          <w:sz w:val="20"/>
          <w:szCs w:val="20"/>
        </w:rPr>
        <w:t xml:space="preserve"> the ruling </w:t>
      </w:r>
      <w:r w:rsidR="00F7564A" w:rsidRPr="00907400">
        <w:rPr>
          <w:rFonts w:asciiTheme="majorHAnsi" w:hAnsiTheme="majorHAnsi"/>
          <w:sz w:val="20"/>
          <w:szCs w:val="20"/>
        </w:rPr>
        <w:t>conformed</w:t>
      </w:r>
      <w:r w:rsidRPr="00907400">
        <w:rPr>
          <w:rFonts w:asciiTheme="majorHAnsi" w:hAnsiTheme="majorHAnsi"/>
          <w:sz w:val="20"/>
          <w:szCs w:val="20"/>
        </w:rPr>
        <w:t xml:space="preserve"> to due process. </w:t>
      </w:r>
      <w:r w:rsidR="00F7564A" w:rsidRPr="00907400">
        <w:rPr>
          <w:rFonts w:asciiTheme="majorHAnsi" w:hAnsiTheme="majorHAnsi"/>
          <w:sz w:val="20"/>
          <w:szCs w:val="20"/>
        </w:rPr>
        <w:t>It</w:t>
      </w:r>
      <w:r w:rsidRPr="00907400">
        <w:rPr>
          <w:rFonts w:asciiTheme="majorHAnsi" w:hAnsiTheme="majorHAnsi"/>
          <w:sz w:val="20"/>
          <w:szCs w:val="20"/>
        </w:rPr>
        <w:t xml:space="preserve"> explained that </w:t>
      </w:r>
      <w:r w:rsidR="00CA51E6" w:rsidRPr="00907400">
        <w:rPr>
          <w:rFonts w:asciiTheme="majorHAnsi" w:hAnsiTheme="majorHAnsi"/>
          <w:sz w:val="20"/>
          <w:szCs w:val="20"/>
        </w:rPr>
        <w:t>merely disagreeing</w:t>
      </w:r>
      <w:r w:rsidRPr="00907400">
        <w:rPr>
          <w:rFonts w:asciiTheme="majorHAnsi" w:hAnsiTheme="majorHAnsi"/>
          <w:sz w:val="20"/>
          <w:szCs w:val="20"/>
        </w:rPr>
        <w:t xml:space="preserve"> with the resolutions issued by the judicial authorities does not lead to </w:t>
      </w:r>
      <w:r w:rsidR="00CA51E6" w:rsidRPr="00907400">
        <w:rPr>
          <w:rFonts w:asciiTheme="majorHAnsi" w:hAnsiTheme="majorHAnsi"/>
          <w:sz w:val="20"/>
          <w:szCs w:val="20"/>
        </w:rPr>
        <w:t>a</w:t>
      </w:r>
      <w:r w:rsidRPr="00907400">
        <w:rPr>
          <w:rFonts w:asciiTheme="majorHAnsi" w:hAnsiTheme="majorHAnsi"/>
          <w:sz w:val="20"/>
          <w:szCs w:val="20"/>
        </w:rPr>
        <w:t xml:space="preserve"> violation of the American Convention.</w:t>
      </w:r>
    </w:p>
    <w:p w14:paraId="704EB460"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66AC2E2" w14:textId="77777777" w:rsidR="006152DE" w:rsidRPr="00907400" w:rsidRDefault="006152D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Finally, the State added that the petitioner intends that the IACHR act as a fourth instance to review a final judicial decision.</w:t>
      </w:r>
      <w:r w:rsidR="00E52DCD" w:rsidRPr="00907400">
        <w:rPr>
          <w:rFonts w:asciiTheme="majorHAnsi" w:hAnsiTheme="majorHAnsi"/>
          <w:sz w:val="20"/>
          <w:szCs w:val="20"/>
        </w:rPr>
        <w:t xml:space="preserve"> </w:t>
      </w:r>
    </w:p>
    <w:p w14:paraId="18C32342" w14:textId="77777777" w:rsidR="0092752B" w:rsidRPr="00907400" w:rsidRDefault="0092752B"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12C5593" w14:textId="77777777" w:rsidR="0092752B" w:rsidRPr="00907400" w:rsidRDefault="0092752B" w:rsidP="00907400">
      <w:pPr>
        <w:pStyle w:val="Heading1"/>
        <w:spacing w:before="0"/>
        <w:ind w:firstLine="0"/>
        <w:rPr>
          <w:color w:val="auto"/>
          <w:sz w:val="20"/>
          <w:szCs w:val="20"/>
        </w:rPr>
      </w:pPr>
      <w:bookmarkStart w:id="4" w:name="_Toc211249793"/>
      <w:r w:rsidRPr="00907400">
        <w:rPr>
          <w:color w:val="auto"/>
          <w:sz w:val="20"/>
          <w:szCs w:val="20"/>
        </w:rPr>
        <w:t>FINDINGS OF FACT</w:t>
      </w:r>
      <w:bookmarkEnd w:id="4"/>
    </w:p>
    <w:p w14:paraId="6CDB9D86"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rPr>
      </w:pPr>
    </w:p>
    <w:p w14:paraId="40371591" w14:textId="77777777" w:rsidR="00A71C3D" w:rsidRPr="00907400" w:rsidRDefault="00374A26" w:rsidP="00907400">
      <w:pPr>
        <w:pStyle w:val="Heading2"/>
        <w:spacing w:before="0"/>
        <w:ind w:firstLine="720"/>
        <w:jc w:val="both"/>
        <w:rPr>
          <w:color w:val="auto"/>
          <w:sz w:val="20"/>
          <w:szCs w:val="20"/>
        </w:rPr>
      </w:pPr>
      <w:bookmarkStart w:id="5" w:name="_Toc211249794"/>
      <w:r w:rsidRPr="00907400">
        <w:rPr>
          <w:color w:val="auto"/>
          <w:sz w:val="20"/>
          <w:szCs w:val="20"/>
        </w:rPr>
        <w:t>A.</w:t>
      </w:r>
      <w:r w:rsidRPr="00907400">
        <w:rPr>
          <w:color w:val="auto"/>
          <w:sz w:val="20"/>
          <w:szCs w:val="20"/>
        </w:rPr>
        <w:tab/>
        <w:t>Concerning the initiation of the judicial</w:t>
      </w:r>
      <w:r w:rsidR="00A71C3D" w:rsidRPr="00907400">
        <w:rPr>
          <w:color w:val="auto"/>
          <w:sz w:val="20"/>
          <w:szCs w:val="20"/>
        </w:rPr>
        <w:t xml:space="preserve"> investigation against Gustavo Sastoque</w:t>
      </w:r>
      <w:bookmarkEnd w:id="5"/>
    </w:p>
    <w:p w14:paraId="1C432722" w14:textId="77777777" w:rsidR="00A71C3D" w:rsidRPr="00907400" w:rsidRDefault="00A71C3D"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rPr>
      </w:pPr>
    </w:p>
    <w:p w14:paraId="5740F374" w14:textId="77777777" w:rsidR="0092752B" w:rsidRPr="00907400" w:rsidRDefault="004E3A1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According to the judgment </w:t>
      </w:r>
      <w:r w:rsidR="00374A26" w:rsidRPr="00907400">
        <w:rPr>
          <w:rFonts w:asciiTheme="majorHAnsi" w:hAnsiTheme="majorHAnsi"/>
          <w:sz w:val="20"/>
          <w:szCs w:val="20"/>
        </w:rPr>
        <w:t>of the Regional Court of Santafé</w:t>
      </w:r>
      <w:r w:rsidRPr="00907400">
        <w:rPr>
          <w:rFonts w:asciiTheme="majorHAnsi" w:hAnsiTheme="majorHAnsi"/>
          <w:sz w:val="20"/>
          <w:szCs w:val="20"/>
        </w:rPr>
        <w:t xml:space="preserve"> de Bogotá, on February 26, 1995, </w:t>
      </w:r>
      <w:r w:rsidR="0054658A" w:rsidRPr="00907400">
        <w:rPr>
          <w:rFonts w:asciiTheme="majorHAnsi" w:hAnsiTheme="majorHAnsi"/>
          <w:sz w:val="20"/>
          <w:szCs w:val="20"/>
        </w:rPr>
        <w:t xml:space="preserve">at </w:t>
      </w:r>
      <w:r w:rsidRPr="00907400">
        <w:rPr>
          <w:rFonts w:asciiTheme="majorHAnsi" w:hAnsiTheme="majorHAnsi"/>
          <w:sz w:val="20"/>
          <w:szCs w:val="20"/>
        </w:rPr>
        <w:t>a</w:t>
      </w:r>
      <w:r w:rsidR="0054658A" w:rsidRPr="00907400">
        <w:rPr>
          <w:rFonts w:asciiTheme="majorHAnsi" w:hAnsiTheme="majorHAnsi"/>
          <w:sz w:val="20"/>
          <w:szCs w:val="20"/>
        </w:rPr>
        <w:t>round 7:30 p.m., "an operation was begun</w:t>
      </w:r>
      <w:r w:rsidRPr="00907400">
        <w:rPr>
          <w:rFonts w:asciiTheme="majorHAnsi" w:hAnsiTheme="majorHAnsi"/>
          <w:sz w:val="20"/>
          <w:szCs w:val="20"/>
        </w:rPr>
        <w:t xml:space="preserve"> by the Office of the Attorney General of the Nation"</w:t>
      </w:r>
      <w:r w:rsidR="0054658A" w:rsidRPr="00907400">
        <w:rPr>
          <w:rFonts w:asciiTheme="majorHAnsi" w:hAnsiTheme="majorHAnsi"/>
          <w:sz w:val="20"/>
          <w:szCs w:val="20"/>
        </w:rPr>
        <w:t xml:space="preserve"> as they </w:t>
      </w:r>
      <w:r w:rsidRPr="00907400">
        <w:rPr>
          <w:rFonts w:asciiTheme="majorHAnsi" w:hAnsiTheme="majorHAnsi"/>
          <w:sz w:val="20"/>
          <w:szCs w:val="20"/>
        </w:rPr>
        <w:t xml:space="preserve">entered a house and arrested Hernando Pizarro Leongómez. It indicated that Mr. Pizarro </w:t>
      </w:r>
      <w:r w:rsidR="0054658A" w:rsidRPr="00907400">
        <w:rPr>
          <w:rFonts w:asciiTheme="majorHAnsi" w:hAnsiTheme="majorHAnsi"/>
          <w:sz w:val="20"/>
          <w:szCs w:val="20"/>
        </w:rPr>
        <w:t>resisted</w:t>
      </w:r>
      <w:r w:rsidRPr="00907400">
        <w:rPr>
          <w:rFonts w:asciiTheme="majorHAnsi" w:hAnsiTheme="majorHAnsi"/>
          <w:sz w:val="20"/>
          <w:szCs w:val="20"/>
        </w:rPr>
        <w:t xml:space="preserve"> and began to shout that he was the brother of Carlos Pizarro, commander of the guerrilla group M19, and that </w:t>
      </w:r>
      <w:r w:rsidR="0054658A" w:rsidRPr="00907400">
        <w:rPr>
          <w:rFonts w:asciiTheme="majorHAnsi" w:hAnsiTheme="majorHAnsi"/>
          <w:sz w:val="20"/>
          <w:szCs w:val="20"/>
        </w:rPr>
        <w:t xml:space="preserve">he would call </w:t>
      </w:r>
      <w:r w:rsidRPr="00907400">
        <w:rPr>
          <w:rFonts w:asciiTheme="majorHAnsi" w:hAnsiTheme="majorHAnsi"/>
          <w:sz w:val="20"/>
          <w:szCs w:val="20"/>
        </w:rPr>
        <w:t xml:space="preserve">the press </w:t>
      </w:r>
      <w:r w:rsidR="0054658A" w:rsidRPr="00907400">
        <w:rPr>
          <w:rFonts w:asciiTheme="majorHAnsi" w:hAnsiTheme="majorHAnsi"/>
          <w:sz w:val="20"/>
          <w:szCs w:val="20"/>
        </w:rPr>
        <w:t xml:space="preserve">to witness the </w:t>
      </w:r>
      <w:r w:rsidRPr="00907400">
        <w:rPr>
          <w:rFonts w:asciiTheme="majorHAnsi" w:hAnsiTheme="majorHAnsi"/>
          <w:sz w:val="20"/>
          <w:szCs w:val="20"/>
        </w:rPr>
        <w:t xml:space="preserve">abuse he was suffering. It added that one of the agents who participated in the operation </w:t>
      </w:r>
      <w:r w:rsidR="0054658A" w:rsidRPr="00907400">
        <w:rPr>
          <w:rFonts w:asciiTheme="majorHAnsi" w:hAnsiTheme="majorHAnsi"/>
          <w:sz w:val="20"/>
          <w:szCs w:val="20"/>
        </w:rPr>
        <w:t>took out</w:t>
      </w:r>
      <w:r w:rsidRPr="00907400">
        <w:rPr>
          <w:rFonts w:asciiTheme="majorHAnsi" w:hAnsiTheme="majorHAnsi"/>
          <w:sz w:val="20"/>
          <w:szCs w:val="20"/>
        </w:rPr>
        <w:t xml:space="preserve"> his firearm and shot him several times, causing Mr. Pizarro</w:t>
      </w:r>
      <w:r w:rsidR="0054658A" w:rsidRPr="00907400">
        <w:rPr>
          <w:rFonts w:asciiTheme="majorHAnsi" w:hAnsiTheme="majorHAnsi"/>
          <w:sz w:val="20"/>
          <w:szCs w:val="20"/>
        </w:rPr>
        <w:t>’s death</w:t>
      </w:r>
      <w:r w:rsidR="00A1633E" w:rsidRPr="00907400">
        <w:rPr>
          <w:rFonts w:asciiTheme="majorHAnsi" w:hAnsiTheme="majorHAnsi"/>
          <w:sz w:val="20"/>
          <w:szCs w:val="20"/>
        </w:rPr>
        <w:t>.</w:t>
      </w:r>
      <w:r w:rsidR="00A1633E" w:rsidRPr="00907400">
        <w:rPr>
          <w:rStyle w:val="FootnoteReference"/>
          <w:rFonts w:asciiTheme="majorHAnsi" w:hAnsiTheme="majorHAnsi"/>
          <w:sz w:val="20"/>
          <w:szCs w:val="20"/>
        </w:rPr>
        <w:footnoteReference w:id="4"/>
      </w:r>
    </w:p>
    <w:p w14:paraId="71C89A81"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7DC403F" w14:textId="77777777" w:rsidR="004E3A17" w:rsidRDefault="004E3A1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w:t>
      </w:r>
      <w:r w:rsidR="0054658A" w:rsidRPr="00907400">
        <w:rPr>
          <w:rFonts w:asciiTheme="majorHAnsi" w:hAnsiTheme="majorHAnsi"/>
          <w:sz w:val="20"/>
          <w:szCs w:val="20"/>
        </w:rPr>
        <w:t>recognizes</w:t>
      </w:r>
      <w:r w:rsidRPr="00907400">
        <w:rPr>
          <w:rFonts w:asciiTheme="majorHAnsi" w:hAnsiTheme="majorHAnsi"/>
          <w:sz w:val="20"/>
          <w:szCs w:val="20"/>
        </w:rPr>
        <w:t xml:space="preserve"> the following </w:t>
      </w:r>
      <w:r w:rsidR="0054658A" w:rsidRPr="00907400">
        <w:rPr>
          <w:rFonts w:asciiTheme="majorHAnsi" w:hAnsiTheme="majorHAnsi"/>
          <w:sz w:val="20"/>
          <w:szCs w:val="20"/>
        </w:rPr>
        <w:t xml:space="preserve">procedural </w:t>
      </w:r>
      <w:r w:rsidRPr="00907400">
        <w:rPr>
          <w:rFonts w:asciiTheme="majorHAnsi" w:hAnsiTheme="majorHAnsi"/>
          <w:sz w:val="20"/>
          <w:szCs w:val="20"/>
        </w:rPr>
        <w:t xml:space="preserve">steps taken by the </w:t>
      </w:r>
      <w:r w:rsidR="0054658A" w:rsidRPr="00907400">
        <w:rPr>
          <w:rFonts w:asciiTheme="majorHAnsi" w:hAnsiTheme="majorHAnsi"/>
          <w:sz w:val="20"/>
          <w:szCs w:val="20"/>
        </w:rPr>
        <w:t xml:space="preserve">National </w:t>
      </w:r>
      <w:r w:rsidRPr="00907400">
        <w:rPr>
          <w:rFonts w:asciiTheme="majorHAnsi" w:hAnsiTheme="majorHAnsi"/>
          <w:sz w:val="20"/>
          <w:szCs w:val="20"/>
        </w:rPr>
        <w:t>Office of the Attorney General:</w:t>
      </w:r>
    </w:p>
    <w:p w14:paraId="1799949E"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9E7422B" w14:textId="77777777" w:rsidR="0092752B" w:rsidRPr="00907400" w:rsidRDefault="004E3A17" w:rsidP="00FD3608">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color w:val="auto"/>
          <w:sz w:val="20"/>
          <w:szCs w:val="20"/>
        </w:rPr>
      </w:pPr>
      <w:r w:rsidRPr="00907400">
        <w:rPr>
          <w:rFonts w:asciiTheme="majorHAnsi" w:hAnsiTheme="majorHAnsi"/>
          <w:color w:val="auto"/>
          <w:sz w:val="20"/>
          <w:szCs w:val="20"/>
        </w:rPr>
        <w:t xml:space="preserve">February 26, 1995: </w:t>
      </w:r>
      <w:r w:rsidR="0054658A" w:rsidRPr="00907400">
        <w:rPr>
          <w:rFonts w:asciiTheme="majorHAnsi" w:hAnsiTheme="majorHAnsi"/>
          <w:color w:val="auto"/>
          <w:sz w:val="20"/>
          <w:szCs w:val="20"/>
        </w:rPr>
        <w:t>S</w:t>
      </w:r>
      <w:r w:rsidRPr="00907400">
        <w:rPr>
          <w:rFonts w:asciiTheme="majorHAnsi" w:hAnsiTheme="majorHAnsi"/>
          <w:color w:val="auto"/>
          <w:sz w:val="20"/>
          <w:szCs w:val="20"/>
        </w:rPr>
        <w:t xml:space="preserve">earch of the property </w:t>
      </w:r>
      <w:r w:rsidR="0054658A" w:rsidRPr="00907400">
        <w:rPr>
          <w:rFonts w:asciiTheme="majorHAnsi" w:hAnsiTheme="majorHAnsi"/>
          <w:color w:val="auto"/>
          <w:sz w:val="20"/>
          <w:szCs w:val="20"/>
        </w:rPr>
        <w:t>undertaken</w:t>
      </w:r>
      <w:r w:rsidRPr="00907400">
        <w:rPr>
          <w:rFonts w:asciiTheme="majorHAnsi" w:hAnsiTheme="majorHAnsi"/>
          <w:color w:val="auto"/>
          <w:sz w:val="20"/>
          <w:szCs w:val="20"/>
        </w:rPr>
        <w:t xml:space="preserve"> and fingerprints found </w:t>
      </w:r>
      <w:r w:rsidR="0054658A" w:rsidRPr="00907400">
        <w:rPr>
          <w:rFonts w:asciiTheme="majorHAnsi" w:hAnsiTheme="majorHAnsi"/>
          <w:color w:val="auto"/>
          <w:sz w:val="20"/>
          <w:szCs w:val="20"/>
        </w:rPr>
        <w:t>on</w:t>
      </w:r>
      <w:r w:rsidRPr="00907400">
        <w:rPr>
          <w:rFonts w:asciiTheme="majorHAnsi" w:hAnsiTheme="majorHAnsi"/>
          <w:color w:val="auto"/>
          <w:sz w:val="20"/>
          <w:szCs w:val="20"/>
        </w:rPr>
        <w:t xml:space="preserve"> the door windows that were broken to gain access to it were taken. The testimony </w:t>
      </w:r>
      <w:r w:rsidR="00374A26" w:rsidRPr="00907400">
        <w:rPr>
          <w:rFonts w:asciiTheme="majorHAnsi" w:hAnsiTheme="majorHAnsi"/>
          <w:color w:val="auto"/>
          <w:sz w:val="20"/>
          <w:szCs w:val="20"/>
        </w:rPr>
        <w:t>of a witness that chose</w:t>
      </w:r>
      <w:r w:rsidRPr="00907400">
        <w:rPr>
          <w:rFonts w:asciiTheme="majorHAnsi" w:hAnsiTheme="majorHAnsi"/>
          <w:color w:val="auto"/>
          <w:sz w:val="20"/>
          <w:szCs w:val="20"/>
        </w:rPr>
        <w:t xml:space="preserve"> not to identify himself was also taken. </w:t>
      </w:r>
      <w:r w:rsidR="0054658A" w:rsidRPr="00907400">
        <w:rPr>
          <w:rFonts w:asciiTheme="majorHAnsi" w:hAnsiTheme="majorHAnsi"/>
          <w:color w:val="auto"/>
          <w:sz w:val="20"/>
          <w:szCs w:val="20"/>
        </w:rPr>
        <w:t>This individual said he</w:t>
      </w:r>
      <w:r w:rsidR="00374A26" w:rsidRPr="00907400">
        <w:rPr>
          <w:rFonts w:asciiTheme="majorHAnsi" w:hAnsiTheme="majorHAnsi"/>
          <w:color w:val="auto"/>
          <w:sz w:val="20"/>
          <w:szCs w:val="20"/>
        </w:rPr>
        <w:t xml:space="preserve"> saw four armed individuals</w:t>
      </w:r>
      <w:r w:rsidRPr="00907400">
        <w:rPr>
          <w:rFonts w:asciiTheme="majorHAnsi" w:hAnsiTheme="majorHAnsi"/>
          <w:color w:val="auto"/>
          <w:sz w:val="20"/>
          <w:szCs w:val="20"/>
        </w:rPr>
        <w:t xml:space="preserve"> getting out of a vehicle and that one of them f</w:t>
      </w:r>
      <w:r w:rsidR="00374A26" w:rsidRPr="00907400">
        <w:rPr>
          <w:rFonts w:asciiTheme="majorHAnsi" w:hAnsiTheme="majorHAnsi"/>
          <w:color w:val="auto"/>
          <w:sz w:val="20"/>
          <w:szCs w:val="20"/>
        </w:rPr>
        <w:t>ired four shots at a man</w:t>
      </w:r>
      <w:r w:rsidRPr="00907400">
        <w:rPr>
          <w:rFonts w:asciiTheme="majorHAnsi" w:hAnsiTheme="majorHAnsi"/>
          <w:color w:val="auto"/>
          <w:sz w:val="20"/>
          <w:szCs w:val="20"/>
        </w:rPr>
        <w:t xml:space="preserve">. He also described the </w:t>
      </w:r>
      <w:r w:rsidR="00AE3C1B" w:rsidRPr="00907400">
        <w:rPr>
          <w:rFonts w:asciiTheme="majorHAnsi" w:hAnsiTheme="majorHAnsi"/>
          <w:color w:val="auto"/>
          <w:sz w:val="20"/>
          <w:szCs w:val="20"/>
        </w:rPr>
        <w:t xml:space="preserve">physical appearance of the </w:t>
      </w:r>
      <w:r w:rsidRPr="00907400">
        <w:rPr>
          <w:rFonts w:asciiTheme="majorHAnsi" w:hAnsiTheme="majorHAnsi"/>
          <w:color w:val="auto"/>
          <w:sz w:val="20"/>
          <w:szCs w:val="20"/>
        </w:rPr>
        <w:t>driver of the vehicle.</w:t>
      </w:r>
      <w:r w:rsidR="00A1633E" w:rsidRPr="00907400">
        <w:rPr>
          <w:rStyle w:val="FootnoteReference"/>
          <w:rFonts w:asciiTheme="majorHAnsi" w:hAnsiTheme="majorHAnsi"/>
          <w:color w:val="auto"/>
          <w:sz w:val="20"/>
          <w:szCs w:val="20"/>
        </w:rPr>
        <w:t xml:space="preserve"> </w:t>
      </w:r>
      <w:r w:rsidR="00A1633E" w:rsidRPr="00907400">
        <w:rPr>
          <w:rStyle w:val="FootnoteReference"/>
          <w:rFonts w:asciiTheme="majorHAnsi" w:hAnsiTheme="majorHAnsi"/>
          <w:color w:val="auto"/>
          <w:sz w:val="20"/>
          <w:szCs w:val="20"/>
        </w:rPr>
        <w:footnoteReference w:id="5"/>
      </w:r>
    </w:p>
    <w:p w14:paraId="37E2647B" w14:textId="77777777" w:rsidR="004E3A17" w:rsidRPr="00907400" w:rsidRDefault="004E3A17" w:rsidP="00FD3608">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color w:val="auto"/>
          <w:sz w:val="20"/>
          <w:szCs w:val="20"/>
        </w:rPr>
      </w:pPr>
      <w:r w:rsidRPr="00907400">
        <w:rPr>
          <w:rFonts w:asciiTheme="majorHAnsi" w:hAnsiTheme="majorHAnsi"/>
          <w:color w:val="auto"/>
          <w:sz w:val="20"/>
          <w:szCs w:val="20"/>
        </w:rPr>
        <w:t xml:space="preserve">February 28, 1995: </w:t>
      </w:r>
      <w:r w:rsidR="00AE3C1B" w:rsidRPr="00907400">
        <w:rPr>
          <w:rFonts w:asciiTheme="majorHAnsi" w:hAnsiTheme="majorHAnsi"/>
          <w:color w:val="auto"/>
          <w:sz w:val="20"/>
          <w:szCs w:val="20"/>
        </w:rPr>
        <w:t>S</w:t>
      </w:r>
      <w:r w:rsidRPr="00907400">
        <w:rPr>
          <w:rFonts w:asciiTheme="majorHAnsi" w:hAnsiTheme="majorHAnsi"/>
          <w:color w:val="auto"/>
          <w:sz w:val="20"/>
          <w:szCs w:val="20"/>
        </w:rPr>
        <w:t xml:space="preserve">tatement </w:t>
      </w:r>
      <w:r w:rsidR="00AE3C1B" w:rsidRPr="00907400">
        <w:rPr>
          <w:rFonts w:asciiTheme="majorHAnsi" w:hAnsiTheme="majorHAnsi"/>
          <w:color w:val="auto"/>
          <w:sz w:val="20"/>
          <w:szCs w:val="20"/>
        </w:rPr>
        <w:t>taken from</w:t>
      </w:r>
      <w:r w:rsidRPr="00907400">
        <w:rPr>
          <w:rFonts w:asciiTheme="majorHAnsi" w:hAnsiTheme="majorHAnsi"/>
          <w:color w:val="auto"/>
          <w:sz w:val="20"/>
          <w:szCs w:val="20"/>
        </w:rPr>
        <w:t xml:space="preserve"> Sandra Velasco, owner of </w:t>
      </w:r>
      <w:r w:rsidR="00962534" w:rsidRPr="00907400">
        <w:rPr>
          <w:rFonts w:asciiTheme="majorHAnsi" w:hAnsiTheme="majorHAnsi"/>
          <w:color w:val="auto"/>
          <w:sz w:val="20"/>
          <w:szCs w:val="20"/>
        </w:rPr>
        <w:t xml:space="preserve">the place with </w:t>
      </w:r>
      <w:r w:rsidRPr="00907400">
        <w:rPr>
          <w:rFonts w:asciiTheme="majorHAnsi" w:hAnsiTheme="majorHAnsi"/>
          <w:color w:val="auto"/>
          <w:sz w:val="20"/>
          <w:szCs w:val="20"/>
        </w:rPr>
        <w:t>the address wher</w:t>
      </w:r>
      <w:r w:rsidR="00AE3C1B" w:rsidRPr="00907400">
        <w:rPr>
          <w:rFonts w:asciiTheme="majorHAnsi" w:hAnsiTheme="majorHAnsi"/>
          <w:color w:val="auto"/>
          <w:sz w:val="20"/>
          <w:szCs w:val="20"/>
        </w:rPr>
        <w:t>e the events occurred</w:t>
      </w:r>
      <w:r w:rsidRPr="00907400">
        <w:rPr>
          <w:rFonts w:asciiTheme="majorHAnsi" w:hAnsiTheme="majorHAnsi"/>
          <w:color w:val="auto"/>
          <w:sz w:val="20"/>
          <w:szCs w:val="20"/>
        </w:rPr>
        <w:t xml:space="preserve">. She indicated that Mr. Pizarro, whom she knew as "Alejandro", was at </w:t>
      </w:r>
      <w:r w:rsidR="00AE3C1B" w:rsidRPr="00907400">
        <w:rPr>
          <w:rFonts w:asciiTheme="majorHAnsi" w:hAnsiTheme="majorHAnsi"/>
          <w:color w:val="auto"/>
          <w:sz w:val="20"/>
          <w:szCs w:val="20"/>
        </w:rPr>
        <w:t>her house</w:t>
      </w:r>
      <w:r w:rsidRPr="00907400">
        <w:rPr>
          <w:rFonts w:asciiTheme="majorHAnsi" w:hAnsiTheme="majorHAnsi"/>
          <w:color w:val="auto"/>
          <w:sz w:val="20"/>
          <w:szCs w:val="20"/>
        </w:rPr>
        <w:t xml:space="preserve"> because he was going to meet her husband, Carlos Celis. </w:t>
      </w:r>
      <w:r w:rsidR="00AE3C1B" w:rsidRPr="00907400">
        <w:rPr>
          <w:rFonts w:asciiTheme="majorHAnsi" w:hAnsiTheme="majorHAnsi"/>
          <w:color w:val="auto"/>
          <w:sz w:val="20"/>
          <w:szCs w:val="20"/>
        </w:rPr>
        <w:t>She stated</w:t>
      </w:r>
      <w:r w:rsidRPr="00907400">
        <w:rPr>
          <w:rFonts w:asciiTheme="majorHAnsi" w:hAnsiTheme="majorHAnsi"/>
          <w:color w:val="auto"/>
          <w:sz w:val="20"/>
          <w:szCs w:val="20"/>
        </w:rPr>
        <w:t xml:space="preserve"> that </w:t>
      </w:r>
      <w:r w:rsidR="00AE3C1B" w:rsidRPr="00907400">
        <w:rPr>
          <w:rFonts w:asciiTheme="majorHAnsi" w:hAnsiTheme="majorHAnsi"/>
          <w:color w:val="auto"/>
          <w:sz w:val="20"/>
          <w:szCs w:val="20"/>
        </w:rPr>
        <w:t>she heard the doorbell of her</w:t>
      </w:r>
      <w:r w:rsidRPr="00907400">
        <w:rPr>
          <w:rFonts w:asciiTheme="majorHAnsi" w:hAnsiTheme="majorHAnsi"/>
          <w:color w:val="auto"/>
          <w:sz w:val="20"/>
          <w:szCs w:val="20"/>
        </w:rPr>
        <w:t xml:space="preserve"> house and saw </w:t>
      </w:r>
      <w:r w:rsidR="00AE3C1B" w:rsidRPr="00907400">
        <w:rPr>
          <w:rFonts w:asciiTheme="majorHAnsi" w:hAnsiTheme="majorHAnsi"/>
          <w:color w:val="auto"/>
          <w:sz w:val="20"/>
          <w:szCs w:val="20"/>
        </w:rPr>
        <w:t xml:space="preserve">three armed men </w:t>
      </w:r>
      <w:r w:rsidRPr="00907400">
        <w:rPr>
          <w:rFonts w:asciiTheme="majorHAnsi" w:hAnsiTheme="majorHAnsi"/>
          <w:color w:val="auto"/>
          <w:sz w:val="20"/>
          <w:szCs w:val="20"/>
        </w:rPr>
        <w:t xml:space="preserve">through the window. She said that these </w:t>
      </w:r>
      <w:r w:rsidR="00AE3C1B" w:rsidRPr="00907400">
        <w:rPr>
          <w:rFonts w:asciiTheme="majorHAnsi" w:hAnsiTheme="majorHAnsi"/>
          <w:color w:val="auto"/>
          <w:sz w:val="20"/>
          <w:szCs w:val="20"/>
        </w:rPr>
        <w:t>individuals</w:t>
      </w:r>
      <w:r w:rsidRPr="00907400">
        <w:rPr>
          <w:rFonts w:asciiTheme="majorHAnsi" w:hAnsiTheme="majorHAnsi"/>
          <w:color w:val="auto"/>
          <w:sz w:val="20"/>
          <w:szCs w:val="20"/>
        </w:rPr>
        <w:t xml:space="preserve"> asked her if her husband, Carlos Celis, lived </w:t>
      </w:r>
      <w:r w:rsidR="00AE3C1B" w:rsidRPr="00907400">
        <w:rPr>
          <w:rFonts w:asciiTheme="majorHAnsi" w:hAnsiTheme="majorHAnsi"/>
          <w:color w:val="auto"/>
          <w:sz w:val="20"/>
          <w:szCs w:val="20"/>
        </w:rPr>
        <w:t>there</w:t>
      </w:r>
      <w:r w:rsidRPr="00907400">
        <w:rPr>
          <w:rFonts w:asciiTheme="majorHAnsi" w:hAnsiTheme="majorHAnsi"/>
          <w:color w:val="auto"/>
          <w:sz w:val="20"/>
          <w:szCs w:val="20"/>
        </w:rPr>
        <w:t xml:space="preserve">. </w:t>
      </w:r>
      <w:r w:rsidR="00AE3C1B" w:rsidRPr="00907400">
        <w:rPr>
          <w:rFonts w:asciiTheme="majorHAnsi" w:hAnsiTheme="majorHAnsi"/>
          <w:color w:val="auto"/>
          <w:sz w:val="20"/>
          <w:szCs w:val="20"/>
        </w:rPr>
        <w:t>She stated</w:t>
      </w:r>
      <w:r w:rsidRPr="00907400">
        <w:rPr>
          <w:rFonts w:asciiTheme="majorHAnsi" w:hAnsiTheme="majorHAnsi"/>
          <w:color w:val="auto"/>
          <w:sz w:val="20"/>
          <w:szCs w:val="20"/>
        </w:rPr>
        <w:t xml:space="preserve"> that </w:t>
      </w:r>
      <w:r w:rsidR="00AE3C1B" w:rsidRPr="00907400">
        <w:rPr>
          <w:rFonts w:asciiTheme="majorHAnsi" w:hAnsiTheme="majorHAnsi"/>
          <w:color w:val="auto"/>
          <w:sz w:val="20"/>
          <w:szCs w:val="20"/>
        </w:rPr>
        <w:t>these men</w:t>
      </w:r>
      <w:r w:rsidRPr="00907400">
        <w:rPr>
          <w:rFonts w:asciiTheme="majorHAnsi" w:hAnsiTheme="majorHAnsi"/>
          <w:color w:val="auto"/>
          <w:sz w:val="20"/>
          <w:szCs w:val="20"/>
        </w:rPr>
        <w:t xml:space="preserve"> forced t</w:t>
      </w:r>
      <w:r w:rsidR="00AE3C1B" w:rsidRPr="00907400">
        <w:rPr>
          <w:rFonts w:asciiTheme="majorHAnsi" w:hAnsiTheme="majorHAnsi"/>
          <w:color w:val="auto"/>
          <w:sz w:val="20"/>
          <w:szCs w:val="20"/>
        </w:rPr>
        <w:t>he door and managed to enter her home. She</w:t>
      </w:r>
      <w:r w:rsidRPr="00907400">
        <w:rPr>
          <w:rFonts w:asciiTheme="majorHAnsi" w:hAnsiTheme="majorHAnsi"/>
          <w:color w:val="auto"/>
          <w:sz w:val="20"/>
          <w:szCs w:val="20"/>
        </w:rPr>
        <w:t xml:space="preserve"> indicated that they approached Mr. Pizarro and ask</w:t>
      </w:r>
      <w:r w:rsidR="00AE3C1B" w:rsidRPr="00907400">
        <w:rPr>
          <w:rFonts w:asciiTheme="majorHAnsi" w:hAnsiTheme="majorHAnsi"/>
          <w:color w:val="auto"/>
          <w:sz w:val="20"/>
          <w:szCs w:val="20"/>
        </w:rPr>
        <w:t>ed him where Carlos Celis was. She added that they then</w:t>
      </w:r>
      <w:r w:rsidRPr="00907400">
        <w:rPr>
          <w:rFonts w:asciiTheme="majorHAnsi" w:hAnsiTheme="majorHAnsi"/>
          <w:color w:val="auto"/>
          <w:sz w:val="20"/>
          <w:szCs w:val="20"/>
        </w:rPr>
        <w:t xml:space="preserve"> handcuffed Mr. Pizarro and dragged him </w:t>
      </w:r>
      <w:r w:rsidR="00AE3C1B" w:rsidRPr="00907400">
        <w:rPr>
          <w:rFonts w:asciiTheme="majorHAnsi" w:hAnsiTheme="majorHAnsi"/>
          <w:color w:val="auto"/>
          <w:sz w:val="20"/>
          <w:szCs w:val="20"/>
        </w:rPr>
        <w:t>out of the house</w:t>
      </w:r>
      <w:r w:rsidRPr="00907400">
        <w:rPr>
          <w:rFonts w:asciiTheme="majorHAnsi" w:hAnsiTheme="majorHAnsi"/>
          <w:color w:val="auto"/>
          <w:sz w:val="20"/>
          <w:szCs w:val="20"/>
        </w:rPr>
        <w:t xml:space="preserve">. She indicated that she </w:t>
      </w:r>
      <w:r w:rsidRPr="00907400">
        <w:rPr>
          <w:rFonts w:asciiTheme="majorHAnsi" w:hAnsiTheme="majorHAnsi"/>
          <w:color w:val="auto"/>
          <w:sz w:val="20"/>
          <w:szCs w:val="20"/>
        </w:rPr>
        <w:lastRenderedPageBreak/>
        <w:t xml:space="preserve">stayed </w:t>
      </w:r>
      <w:r w:rsidR="00AE3C1B" w:rsidRPr="00907400">
        <w:rPr>
          <w:rFonts w:asciiTheme="majorHAnsi" w:hAnsiTheme="majorHAnsi"/>
          <w:color w:val="auto"/>
          <w:sz w:val="20"/>
          <w:szCs w:val="20"/>
        </w:rPr>
        <w:t>in the house</w:t>
      </w:r>
      <w:r w:rsidRPr="00907400">
        <w:rPr>
          <w:rFonts w:asciiTheme="majorHAnsi" w:hAnsiTheme="majorHAnsi"/>
          <w:color w:val="auto"/>
          <w:sz w:val="20"/>
          <w:szCs w:val="20"/>
        </w:rPr>
        <w:t xml:space="preserve"> and that after a few minutes she heard three shots </w:t>
      </w:r>
      <w:r w:rsidR="00AE3C1B" w:rsidRPr="00907400">
        <w:rPr>
          <w:rFonts w:asciiTheme="majorHAnsi" w:hAnsiTheme="majorHAnsi"/>
          <w:color w:val="auto"/>
          <w:sz w:val="20"/>
          <w:szCs w:val="20"/>
        </w:rPr>
        <w:t>in the street. She maintained</w:t>
      </w:r>
      <w:r w:rsidRPr="00907400">
        <w:rPr>
          <w:rFonts w:asciiTheme="majorHAnsi" w:hAnsiTheme="majorHAnsi"/>
          <w:color w:val="auto"/>
          <w:sz w:val="20"/>
          <w:szCs w:val="20"/>
        </w:rPr>
        <w:t xml:space="preserve"> that she did not see </w:t>
      </w:r>
      <w:r w:rsidR="00AE3C1B" w:rsidRPr="00907400">
        <w:rPr>
          <w:rFonts w:asciiTheme="majorHAnsi" w:hAnsiTheme="majorHAnsi"/>
          <w:color w:val="auto"/>
          <w:sz w:val="20"/>
          <w:szCs w:val="20"/>
        </w:rPr>
        <w:t>the circumstances of these shots</w:t>
      </w:r>
      <w:r w:rsidRPr="00907400">
        <w:rPr>
          <w:rFonts w:asciiTheme="majorHAnsi" w:hAnsiTheme="majorHAnsi"/>
          <w:color w:val="auto"/>
          <w:sz w:val="20"/>
          <w:szCs w:val="20"/>
        </w:rPr>
        <w:t xml:space="preserve">. Mrs. Velasco stated that after what happened, she left her home, saw her husband and "went for a walk" to calm </w:t>
      </w:r>
      <w:r w:rsidR="00C97D45" w:rsidRPr="00907400">
        <w:rPr>
          <w:rFonts w:asciiTheme="majorHAnsi" w:hAnsiTheme="majorHAnsi"/>
          <w:color w:val="auto"/>
          <w:sz w:val="20"/>
          <w:szCs w:val="20"/>
        </w:rPr>
        <w:t xml:space="preserve">herself </w:t>
      </w:r>
      <w:r w:rsidRPr="00907400">
        <w:rPr>
          <w:rFonts w:asciiTheme="majorHAnsi" w:hAnsiTheme="majorHAnsi"/>
          <w:color w:val="auto"/>
          <w:sz w:val="20"/>
          <w:szCs w:val="20"/>
        </w:rPr>
        <w:t xml:space="preserve">down </w:t>
      </w:r>
      <w:r w:rsidR="00AE3C1B" w:rsidRPr="00907400">
        <w:rPr>
          <w:rFonts w:asciiTheme="majorHAnsi" w:hAnsiTheme="majorHAnsi"/>
          <w:color w:val="auto"/>
          <w:sz w:val="20"/>
          <w:szCs w:val="20"/>
        </w:rPr>
        <w:t>after what occurred</w:t>
      </w:r>
      <w:r w:rsidRPr="00907400">
        <w:rPr>
          <w:rFonts w:asciiTheme="majorHAnsi" w:hAnsiTheme="majorHAnsi"/>
          <w:color w:val="auto"/>
          <w:sz w:val="20"/>
          <w:szCs w:val="20"/>
        </w:rPr>
        <w:t xml:space="preserve">. She added that she did not see her husband during the next two days and that he told her that "he had everything </w:t>
      </w:r>
      <w:r w:rsidR="00AE3C1B" w:rsidRPr="00907400">
        <w:rPr>
          <w:rFonts w:asciiTheme="majorHAnsi" w:hAnsiTheme="majorHAnsi"/>
          <w:color w:val="auto"/>
          <w:sz w:val="20"/>
          <w:szCs w:val="20"/>
        </w:rPr>
        <w:t>sorted out</w:t>
      </w:r>
      <w:r w:rsidRPr="00907400">
        <w:rPr>
          <w:rFonts w:asciiTheme="majorHAnsi" w:hAnsiTheme="majorHAnsi"/>
          <w:color w:val="auto"/>
          <w:sz w:val="20"/>
          <w:szCs w:val="20"/>
        </w:rPr>
        <w:t xml:space="preserve">, that they were not going to be arrested or killed and that nothing was going to happen to them, that </w:t>
      </w:r>
      <w:r w:rsidR="00AE3C1B" w:rsidRPr="00907400">
        <w:rPr>
          <w:rFonts w:asciiTheme="majorHAnsi" w:hAnsiTheme="majorHAnsi"/>
          <w:color w:val="auto"/>
          <w:sz w:val="20"/>
          <w:szCs w:val="20"/>
        </w:rPr>
        <w:t>s</w:t>
      </w:r>
      <w:r w:rsidRPr="00907400">
        <w:rPr>
          <w:rFonts w:asciiTheme="majorHAnsi" w:hAnsiTheme="majorHAnsi"/>
          <w:color w:val="auto"/>
          <w:sz w:val="20"/>
          <w:szCs w:val="20"/>
        </w:rPr>
        <w:t xml:space="preserve">he could come peacefully to talk about what had happened. " Mrs. Velasco maintained that the </w:t>
      </w:r>
      <w:r w:rsidR="00AE3C1B" w:rsidRPr="00907400">
        <w:rPr>
          <w:rFonts w:asciiTheme="majorHAnsi" w:hAnsiTheme="majorHAnsi"/>
          <w:color w:val="auto"/>
          <w:sz w:val="20"/>
          <w:szCs w:val="20"/>
        </w:rPr>
        <w:t>individuals</w:t>
      </w:r>
      <w:r w:rsidRPr="00907400">
        <w:rPr>
          <w:rFonts w:asciiTheme="majorHAnsi" w:hAnsiTheme="majorHAnsi"/>
          <w:color w:val="auto"/>
          <w:sz w:val="20"/>
          <w:szCs w:val="20"/>
        </w:rPr>
        <w:t xml:space="preserve"> who entered her home were young and that one of them had short hair and was 1.60 cm tall. </w:t>
      </w:r>
      <w:r w:rsidR="00AE3C1B" w:rsidRPr="00907400">
        <w:rPr>
          <w:rFonts w:asciiTheme="majorHAnsi" w:hAnsiTheme="majorHAnsi"/>
          <w:color w:val="auto"/>
          <w:sz w:val="20"/>
          <w:szCs w:val="20"/>
        </w:rPr>
        <w:t>She</w:t>
      </w:r>
      <w:r w:rsidRPr="00907400">
        <w:rPr>
          <w:rFonts w:asciiTheme="majorHAnsi" w:hAnsiTheme="majorHAnsi"/>
          <w:color w:val="auto"/>
          <w:sz w:val="20"/>
          <w:szCs w:val="20"/>
        </w:rPr>
        <w:t xml:space="preserve"> pointed out that </w:t>
      </w:r>
      <w:r w:rsidR="0025610C" w:rsidRPr="00907400">
        <w:rPr>
          <w:rFonts w:asciiTheme="majorHAnsi" w:hAnsiTheme="majorHAnsi"/>
          <w:color w:val="auto"/>
          <w:sz w:val="20"/>
          <w:szCs w:val="20"/>
        </w:rPr>
        <w:t>s</w:t>
      </w:r>
      <w:r w:rsidRPr="00907400">
        <w:rPr>
          <w:rFonts w:asciiTheme="majorHAnsi" w:hAnsiTheme="majorHAnsi"/>
          <w:color w:val="auto"/>
          <w:sz w:val="20"/>
          <w:szCs w:val="20"/>
        </w:rPr>
        <w:t xml:space="preserve">he could </w:t>
      </w:r>
      <w:r w:rsidR="0025610C" w:rsidRPr="00907400">
        <w:rPr>
          <w:rFonts w:asciiTheme="majorHAnsi" w:hAnsiTheme="majorHAnsi"/>
          <w:color w:val="auto"/>
          <w:sz w:val="20"/>
          <w:szCs w:val="20"/>
        </w:rPr>
        <w:t xml:space="preserve">not offer an </w:t>
      </w:r>
      <w:r w:rsidR="005A56B7" w:rsidRPr="00907400">
        <w:rPr>
          <w:rFonts w:asciiTheme="majorHAnsi" w:hAnsiTheme="majorHAnsi"/>
          <w:color w:val="auto"/>
          <w:sz w:val="20"/>
          <w:szCs w:val="20"/>
        </w:rPr>
        <w:t>identikit sketch</w:t>
      </w:r>
      <w:r w:rsidR="00C97D45" w:rsidRPr="00907400">
        <w:rPr>
          <w:rFonts w:asciiTheme="majorHAnsi" w:hAnsiTheme="majorHAnsi"/>
          <w:color w:val="auto"/>
          <w:sz w:val="20"/>
          <w:szCs w:val="20"/>
        </w:rPr>
        <w:t xml:space="preserve"> of the individuals</w:t>
      </w:r>
      <w:r w:rsidRPr="00907400">
        <w:rPr>
          <w:rFonts w:asciiTheme="majorHAnsi" w:hAnsiTheme="majorHAnsi"/>
          <w:color w:val="auto"/>
          <w:sz w:val="20"/>
          <w:szCs w:val="20"/>
        </w:rPr>
        <w:t>.</w:t>
      </w:r>
      <w:r w:rsidR="00A1633E" w:rsidRPr="00907400">
        <w:rPr>
          <w:rStyle w:val="FootnoteReference"/>
          <w:rFonts w:asciiTheme="majorHAnsi" w:hAnsiTheme="majorHAnsi"/>
          <w:color w:val="auto"/>
          <w:sz w:val="20"/>
          <w:szCs w:val="20"/>
        </w:rPr>
        <w:footnoteReference w:id="6"/>
      </w:r>
    </w:p>
    <w:p w14:paraId="03359C14" w14:textId="77777777" w:rsidR="004E3A17" w:rsidRPr="00907400" w:rsidRDefault="004E3A17" w:rsidP="00FD3608">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color w:val="auto"/>
          <w:sz w:val="20"/>
          <w:szCs w:val="20"/>
        </w:rPr>
      </w:pPr>
      <w:r w:rsidRPr="00907400">
        <w:rPr>
          <w:rFonts w:asciiTheme="majorHAnsi" w:hAnsiTheme="majorHAnsi"/>
          <w:color w:val="auto"/>
          <w:sz w:val="20"/>
          <w:szCs w:val="20"/>
        </w:rPr>
        <w:t xml:space="preserve">March 2, 1995: The CTI issued a report indicating that </w:t>
      </w:r>
      <w:r w:rsidR="00A74DE4" w:rsidRPr="00907400">
        <w:rPr>
          <w:rFonts w:asciiTheme="majorHAnsi" w:hAnsiTheme="majorHAnsi"/>
          <w:color w:val="auto"/>
          <w:sz w:val="20"/>
          <w:szCs w:val="20"/>
        </w:rPr>
        <w:t xml:space="preserve">it had taken </w:t>
      </w:r>
      <w:r w:rsidRPr="00907400">
        <w:rPr>
          <w:rFonts w:asciiTheme="majorHAnsi" w:hAnsiTheme="majorHAnsi"/>
          <w:color w:val="auto"/>
          <w:sz w:val="20"/>
          <w:szCs w:val="20"/>
        </w:rPr>
        <w:t xml:space="preserve">the testimony of the witnesses José Mendoza and Jaime Barragán, who </w:t>
      </w:r>
      <w:r w:rsidR="00A74DE4" w:rsidRPr="00907400">
        <w:rPr>
          <w:rFonts w:asciiTheme="majorHAnsi" w:hAnsiTheme="majorHAnsi"/>
          <w:color w:val="auto"/>
          <w:sz w:val="20"/>
          <w:szCs w:val="20"/>
        </w:rPr>
        <w:t>stated</w:t>
      </w:r>
      <w:r w:rsidRPr="00907400">
        <w:rPr>
          <w:rFonts w:asciiTheme="majorHAnsi" w:hAnsiTheme="majorHAnsi"/>
          <w:color w:val="auto"/>
          <w:sz w:val="20"/>
          <w:szCs w:val="20"/>
        </w:rPr>
        <w:t xml:space="preserve"> that they saw sev</w:t>
      </w:r>
      <w:r w:rsidR="00A74DE4" w:rsidRPr="00907400">
        <w:rPr>
          <w:rFonts w:asciiTheme="majorHAnsi" w:hAnsiTheme="majorHAnsi"/>
          <w:color w:val="auto"/>
          <w:sz w:val="20"/>
          <w:szCs w:val="20"/>
        </w:rPr>
        <w:t>eral individuals entering a house</w:t>
      </w:r>
      <w:r w:rsidRPr="00907400">
        <w:rPr>
          <w:rFonts w:asciiTheme="majorHAnsi" w:hAnsiTheme="majorHAnsi"/>
          <w:color w:val="auto"/>
          <w:sz w:val="20"/>
          <w:szCs w:val="20"/>
        </w:rPr>
        <w:t xml:space="preserve"> and </w:t>
      </w:r>
      <w:r w:rsidR="00A74DE4" w:rsidRPr="00907400">
        <w:rPr>
          <w:rFonts w:asciiTheme="majorHAnsi" w:hAnsiTheme="majorHAnsi"/>
          <w:color w:val="auto"/>
          <w:sz w:val="20"/>
          <w:szCs w:val="20"/>
        </w:rPr>
        <w:t>abruptly removing an individual</w:t>
      </w:r>
      <w:r w:rsidRPr="00907400">
        <w:rPr>
          <w:rFonts w:asciiTheme="majorHAnsi" w:hAnsiTheme="majorHAnsi"/>
          <w:color w:val="auto"/>
          <w:sz w:val="20"/>
          <w:szCs w:val="20"/>
        </w:rPr>
        <w:t xml:space="preserve">. They pointed out that he shouted "that if they were going to kill him they </w:t>
      </w:r>
      <w:r w:rsidR="00A74DE4" w:rsidRPr="00907400">
        <w:rPr>
          <w:rFonts w:asciiTheme="majorHAnsi" w:hAnsiTheme="majorHAnsi"/>
          <w:color w:val="auto"/>
          <w:sz w:val="20"/>
          <w:szCs w:val="20"/>
        </w:rPr>
        <w:t>should</w:t>
      </w:r>
      <w:r w:rsidRPr="00907400">
        <w:rPr>
          <w:rFonts w:asciiTheme="majorHAnsi" w:hAnsiTheme="majorHAnsi"/>
          <w:color w:val="auto"/>
          <w:sz w:val="20"/>
          <w:szCs w:val="20"/>
        </w:rPr>
        <w:t xml:space="preserve"> kill him there so that </w:t>
      </w:r>
      <w:r w:rsidR="00A74DE4" w:rsidRPr="00907400">
        <w:rPr>
          <w:rFonts w:asciiTheme="majorHAnsi" w:hAnsiTheme="majorHAnsi"/>
          <w:color w:val="auto"/>
          <w:sz w:val="20"/>
          <w:szCs w:val="20"/>
        </w:rPr>
        <w:t>everyone could see</w:t>
      </w:r>
      <w:r w:rsidRPr="00907400">
        <w:rPr>
          <w:rFonts w:asciiTheme="majorHAnsi" w:hAnsiTheme="majorHAnsi"/>
          <w:color w:val="auto"/>
          <w:sz w:val="20"/>
          <w:szCs w:val="20"/>
        </w:rPr>
        <w:t xml:space="preserve">". They added that </w:t>
      </w:r>
      <w:r w:rsidR="00A74DE4" w:rsidRPr="00907400">
        <w:rPr>
          <w:rFonts w:asciiTheme="majorHAnsi" w:hAnsiTheme="majorHAnsi"/>
          <w:color w:val="auto"/>
          <w:sz w:val="20"/>
          <w:szCs w:val="20"/>
        </w:rPr>
        <w:t>they shot him and fled the scene</w:t>
      </w:r>
      <w:r w:rsidRPr="00907400">
        <w:rPr>
          <w:rFonts w:asciiTheme="majorHAnsi" w:hAnsiTheme="majorHAnsi"/>
          <w:color w:val="auto"/>
          <w:sz w:val="20"/>
          <w:szCs w:val="20"/>
        </w:rPr>
        <w:t xml:space="preserve">. The CTI report also indicated that </w:t>
      </w:r>
      <w:r w:rsidR="00A74DE4" w:rsidRPr="00907400">
        <w:rPr>
          <w:rFonts w:asciiTheme="majorHAnsi" w:hAnsiTheme="majorHAnsi"/>
          <w:color w:val="auto"/>
          <w:sz w:val="20"/>
          <w:szCs w:val="20"/>
        </w:rPr>
        <w:t>a</w:t>
      </w:r>
      <w:r w:rsidRPr="00907400">
        <w:rPr>
          <w:rFonts w:asciiTheme="majorHAnsi" w:hAnsiTheme="majorHAnsi"/>
          <w:color w:val="auto"/>
          <w:sz w:val="20"/>
          <w:szCs w:val="20"/>
        </w:rPr>
        <w:t xml:space="preserve"> statement was taken</w:t>
      </w:r>
      <w:r w:rsidR="00A74DE4" w:rsidRPr="00907400">
        <w:rPr>
          <w:rFonts w:asciiTheme="majorHAnsi" w:hAnsiTheme="majorHAnsi"/>
          <w:color w:val="auto"/>
          <w:sz w:val="20"/>
          <w:szCs w:val="20"/>
        </w:rPr>
        <w:t xml:space="preserve"> from Carlos Celis</w:t>
      </w:r>
      <w:r w:rsidRPr="00907400">
        <w:rPr>
          <w:rFonts w:asciiTheme="majorHAnsi" w:hAnsiTheme="majorHAnsi"/>
          <w:color w:val="auto"/>
          <w:sz w:val="20"/>
          <w:szCs w:val="20"/>
        </w:rPr>
        <w:t xml:space="preserve">, who stated that he was in the corner store when he heard shots near his house. He </w:t>
      </w:r>
      <w:r w:rsidR="00A74DE4" w:rsidRPr="00907400">
        <w:rPr>
          <w:rFonts w:asciiTheme="majorHAnsi" w:hAnsiTheme="majorHAnsi"/>
          <w:color w:val="auto"/>
          <w:sz w:val="20"/>
          <w:szCs w:val="20"/>
        </w:rPr>
        <w:t>indicated</w:t>
      </w:r>
      <w:r w:rsidRPr="00907400">
        <w:rPr>
          <w:rFonts w:asciiTheme="majorHAnsi" w:hAnsiTheme="majorHAnsi"/>
          <w:color w:val="auto"/>
          <w:sz w:val="20"/>
          <w:szCs w:val="20"/>
        </w:rPr>
        <w:t xml:space="preserve"> that upon arriving home he took his wife and son in his car to calm them down. The CTI report concluded the following: i) Hernando Pizarro also resided at the home of Carlos Celis and Sandra Velasco; ii) Mr. Pizarro's body was found handcuffed </w:t>
      </w:r>
      <w:r w:rsidR="00A74DE4" w:rsidRPr="00907400">
        <w:rPr>
          <w:rFonts w:asciiTheme="majorHAnsi" w:hAnsiTheme="majorHAnsi"/>
          <w:color w:val="auto"/>
          <w:sz w:val="20"/>
          <w:szCs w:val="20"/>
        </w:rPr>
        <w:t>by</w:t>
      </w:r>
      <w:r w:rsidRPr="00907400">
        <w:rPr>
          <w:rFonts w:asciiTheme="majorHAnsi" w:hAnsiTheme="majorHAnsi"/>
          <w:color w:val="auto"/>
          <w:sz w:val="20"/>
          <w:szCs w:val="20"/>
        </w:rPr>
        <w:t xml:space="preserve"> one hand and not two, as Mrs. Velasco </w:t>
      </w:r>
      <w:r w:rsidR="00A74DE4" w:rsidRPr="00907400">
        <w:rPr>
          <w:rFonts w:asciiTheme="majorHAnsi" w:hAnsiTheme="majorHAnsi"/>
          <w:color w:val="auto"/>
          <w:sz w:val="20"/>
          <w:szCs w:val="20"/>
        </w:rPr>
        <w:t xml:space="preserve">had </w:t>
      </w:r>
      <w:r w:rsidRPr="00907400">
        <w:rPr>
          <w:rFonts w:asciiTheme="majorHAnsi" w:hAnsiTheme="majorHAnsi"/>
          <w:color w:val="auto"/>
          <w:sz w:val="20"/>
          <w:szCs w:val="20"/>
        </w:rPr>
        <w:t xml:space="preserve">indicated; and iii) Carlos Celis is </w:t>
      </w:r>
      <w:r w:rsidR="00A74DE4" w:rsidRPr="00907400">
        <w:rPr>
          <w:rFonts w:asciiTheme="majorHAnsi" w:hAnsiTheme="majorHAnsi"/>
          <w:color w:val="auto"/>
          <w:sz w:val="20"/>
          <w:szCs w:val="20"/>
        </w:rPr>
        <w:t>a reintegrated guerilla fighter</w:t>
      </w:r>
      <w:r w:rsidRPr="00907400">
        <w:rPr>
          <w:rFonts w:asciiTheme="majorHAnsi" w:hAnsiTheme="majorHAnsi"/>
          <w:color w:val="auto"/>
          <w:sz w:val="20"/>
          <w:szCs w:val="20"/>
        </w:rPr>
        <w:t xml:space="preserve"> and an informant </w:t>
      </w:r>
      <w:r w:rsidR="00A74DE4" w:rsidRPr="00907400">
        <w:rPr>
          <w:rFonts w:asciiTheme="majorHAnsi" w:hAnsiTheme="majorHAnsi"/>
          <w:color w:val="auto"/>
          <w:sz w:val="20"/>
          <w:szCs w:val="20"/>
        </w:rPr>
        <w:t>for</w:t>
      </w:r>
      <w:r w:rsidRPr="00907400">
        <w:rPr>
          <w:rFonts w:asciiTheme="majorHAnsi" w:hAnsiTheme="majorHAnsi"/>
          <w:color w:val="auto"/>
          <w:sz w:val="20"/>
          <w:szCs w:val="20"/>
        </w:rPr>
        <w:t xml:space="preserve"> the B2 </w:t>
      </w:r>
      <w:r w:rsidR="00A74DE4" w:rsidRPr="00907400">
        <w:rPr>
          <w:rFonts w:asciiTheme="majorHAnsi" w:hAnsiTheme="majorHAnsi"/>
          <w:color w:val="auto"/>
          <w:sz w:val="20"/>
          <w:szCs w:val="20"/>
        </w:rPr>
        <w:t>–</w:t>
      </w:r>
      <w:r w:rsidRPr="00907400">
        <w:rPr>
          <w:rFonts w:asciiTheme="majorHAnsi" w:hAnsiTheme="majorHAnsi"/>
          <w:color w:val="auto"/>
          <w:sz w:val="20"/>
          <w:szCs w:val="20"/>
        </w:rPr>
        <w:t xml:space="preserve"> </w:t>
      </w:r>
      <w:r w:rsidR="00A74DE4" w:rsidRPr="00907400">
        <w:rPr>
          <w:rFonts w:asciiTheme="majorHAnsi" w:hAnsiTheme="majorHAnsi"/>
          <w:color w:val="auto"/>
          <w:sz w:val="20"/>
          <w:szCs w:val="20"/>
        </w:rPr>
        <w:t>Military Forces Intelligence Service</w:t>
      </w:r>
      <w:r w:rsidR="00A1633E" w:rsidRPr="00907400">
        <w:rPr>
          <w:rFonts w:asciiTheme="majorHAnsi" w:hAnsiTheme="majorHAnsi"/>
          <w:color w:val="auto"/>
          <w:sz w:val="20"/>
          <w:szCs w:val="20"/>
        </w:rPr>
        <w:t>.</w:t>
      </w:r>
      <w:r w:rsidR="00A1633E" w:rsidRPr="00907400">
        <w:rPr>
          <w:rStyle w:val="FootnoteReference"/>
          <w:rFonts w:asciiTheme="majorHAnsi" w:hAnsiTheme="majorHAnsi"/>
          <w:color w:val="auto"/>
          <w:sz w:val="20"/>
          <w:szCs w:val="20"/>
        </w:rPr>
        <w:footnoteReference w:id="7"/>
      </w:r>
    </w:p>
    <w:p w14:paraId="3AB15321"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FCEE4BE" w14:textId="77777777" w:rsidR="0092752B"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w:t>
      </w:r>
      <w:r w:rsidR="002F4943" w:rsidRPr="00907400">
        <w:rPr>
          <w:rFonts w:asciiTheme="majorHAnsi" w:hAnsiTheme="majorHAnsi"/>
          <w:sz w:val="20"/>
          <w:szCs w:val="20"/>
        </w:rPr>
        <w:t>observ</w:t>
      </w:r>
      <w:r w:rsidR="00053BAB" w:rsidRPr="00907400">
        <w:rPr>
          <w:rFonts w:asciiTheme="majorHAnsi" w:hAnsiTheme="majorHAnsi"/>
          <w:sz w:val="20"/>
          <w:szCs w:val="20"/>
        </w:rPr>
        <w:t>es that according to a National Army official memorandum</w:t>
      </w:r>
      <w:r w:rsidRPr="00907400">
        <w:rPr>
          <w:rFonts w:asciiTheme="majorHAnsi" w:hAnsiTheme="majorHAnsi"/>
          <w:sz w:val="20"/>
          <w:szCs w:val="20"/>
        </w:rPr>
        <w:t xml:space="preserve">, on February 27, 1995, Olga Fajardo, who at that time was an officer of the Army Rotary Fund, went to the Army's Counterintelligence Brigade and declared that </w:t>
      </w:r>
      <w:r w:rsidR="00053BAB" w:rsidRPr="00907400">
        <w:rPr>
          <w:rFonts w:asciiTheme="majorHAnsi" w:hAnsiTheme="majorHAnsi"/>
          <w:sz w:val="20"/>
          <w:szCs w:val="20"/>
        </w:rPr>
        <w:t>she</w:t>
      </w:r>
      <w:r w:rsidRPr="00907400">
        <w:rPr>
          <w:rFonts w:asciiTheme="majorHAnsi" w:hAnsiTheme="majorHAnsi"/>
          <w:sz w:val="20"/>
          <w:szCs w:val="20"/>
        </w:rPr>
        <w:t xml:space="preserve"> was </w:t>
      </w:r>
      <w:r w:rsidR="00053BAB" w:rsidRPr="00907400">
        <w:rPr>
          <w:rFonts w:asciiTheme="majorHAnsi" w:hAnsiTheme="majorHAnsi"/>
          <w:sz w:val="20"/>
          <w:szCs w:val="20"/>
        </w:rPr>
        <w:t xml:space="preserve">a </w:t>
      </w:r>
      <w:r w:rsidRPr="00907400">
        <w:rPr>
          <w:rFonts w:asciiTheme="majorHAnsi" w:hAnsiTheme="majorHAnsi"/>
          <w:sz w:val="20"/>
          <w:szCs w:val="20"/>
        </w:rPr>
        <w:t xml:space="preserve">witness to the murder of Hernando Pizarro. </w:t>
      </w:r>
      <w:r w:rsidR="00053BAB" w:rsidRPr="00907400">
        <w:rPr>
          <w:rFonts w:asciiTheme="majorHAnsi" w:hAnsiTheme="majorHAnsi"/>
          <w:sz w:val="20"/>
          <w:szCs w:val="20"/>
        </w:rPr>
        <w:t>She states in this memorandum</w:t>
      </w:r>
      <w:r w:rsidRPr="00907400">
        <w:rPr>
          <w:rFonts w:asciiTheme="majorHAnsi" w:hAnsiTheme="majorHAnsi"/>
          <w:sz w:val="20"/>
          <w:szCs w:val="20"/>
        </w:rPr>
        <w:t xml:space="preserve"> that she made </w:t>
      </w:r>
      <w:r w:rsidR="00053BAB" w:rsidRPr="00907400">
        <w:rPr>
          <w:rFonts w:asciiTheme="majorHAnsi" w:hAnsiTheme="majorHAnsi"/>
          <w:sz w:val="20"/>
          <w:szCs w:val="20"/>
        </w:rPr>
        <w:t>an identikit sketch</w:t>
      </w:r>
      <w:r w:rsidRPr="00907400">
        <w:rPr>
          <w:rFonts w:asciiTheme="majorHAnsi" w:hAnsiTheme="majorHAnsi"/>
          <w:sz w:val="20"/>
          <w:szCs w:val="20"/>
        </w:rPr>
        <w:t xml:space="preserve"> of the </w:t>
      </w:r>
      <w:r w:rsidR="00053BAB" w:rsidRPr="00907400">
        <w:rPr>
          <w:rFonts w:asciiTheme="majorHAnsi" w:hAnsiTheme="majorHAnsi"/>
          <w:sz w:val="20"/>
          <w:szCs w:val="20"/>
        </w:rPr>
        <w:t>individual</w:t>
      </w:r>
      <w:r w:rsidRPr="00907400">
        <w:rPr>
          <w:rFonts w:asciiTheme="majorHAnsi" w:hAnsiTheme="majorHAnsi"/>
          <w:sz w:val="20"/>
          <w:szCs w:val="20"/>
        </w:rPr>
        <w:t xml:space="preserve"> who shot Mr. Pizarro.</w:t>
      </w:r>
      <w:r w:rsidR="00A1633E" w:rsidRPr="00907400">
        <w:rPr>
          <w:rStyle w:val="FootnoteReference"/>
          <w:rFonts w:asciiTheme="majorHAnsi" w:hAnsiTheme="majorHAnsi"/>
          <w:sz w:val="20"/>
          <w:szCs w:val="20"/>
        </w:rPr>
        <w:footnoteReference w:id="8"/>
      </w:r>
      <w:r w:rsidRPr="00907400">
        <w:rPr>
          <w:rFonts w:asciiTheme="majorHAnsi" w:hAnsiTheme="majorHAnsi"/>
          <w:sz w:val="20"/>
          <w:szCs w:val="20"/>
        </w:rPr>
        <w:t xml:space="preserve"> The IACHR </w:t>
      </w:r>
      <w:r w:rsidR="00053BAB" w:rsidRPr="00907400">
        <w:rPr>
          <w:rFonts w:asciiTheme="majorHAnsi" w:hAnsiTheme="majorHAnsi"/>
          <w:sz w:val="20"/>
          <w:szCs w:val="20"/>
        </w:rPr>
        <w:t xml:space="preserve">observes that in this memorandum, </w:t>
      </w:r>
      <w:r w:rsidRPr="00907400">
        <w:rPr>
          <w:rFonts w:asciiTheme="majorHAnsi" w:hAnsiTheme="majorHAnsi"/>
          <w:sz w:val="20"/>
          <w:szCs w:val="20"/>
        </w:rPr>
        <w:t>Mrs. Fajardo did not indicate how she witnessed the facts of the case.</w:t>
      </w:r>
    </w:p>
    <w:p w14:paraId="7F2A3000"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0806E2F" w14:textId="77777777" w:rsidR="00DA3E9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According to another report of the CTI of March 3 of the same year, </w:t>
      </w:r>
      <w:r w:rsidR="00070B26" w:rsidRPr="00907400">
        <w:rPr>
          <w:rFonts w:asciiTheme="majorHAnsi" w:hAnsiTheme="majorHAnsi"/>
          <w:sz w:val="20"/>
          <w:szCs w:val="20"/>
        </w:rPr>
        <w:t>officials</w:t>
      </w:r>
      <w:r w:rsidRPr="00907400">
        <w:rPr>
          <w:rFonts w:asciiTheme="majorHAnsi" w:hAnsiTheme="majorHAnsi"/>
          <w:sz w:val="20"/>
          <w:szCs w:val="20"/>
        </w:rPr>
        <w:t xml:space="preserve"> of the Prosecutor's Office went Mrs. Fajardo</w:t>
      </w:r>
      <w:r w:rsidR="00070B26" w:rsidRPr="00907400">
        <w:rPr>
          <w:rFonts w:asciiTheme="majorHAnsi" w:hAnsiTheme="majorHAnsi"/>
          <w:sz w:val="20"/>
          <w:szCs w:val="20"/>
        </w:rPr>
        <w:t>’s home</w:t>
      </w:r>
      <w:r w:rsidRPr="00907400">
        <w:rPr>
          <w:rFonts w:asciiTheme="majorHAnsi" w:hAnsiTheme="majorHAnsi"/>
          <w:sz w:val="20"/>
          <w:szCs w:val="20"/>
        </w:rPr>
        <w:t xml:space="preserve">. </w:t>
      </w:r>
      <w:r w:rsidR="00070B26" w:rsidRPr="00907400">
        <w:rPr>
          <w:rFonts w:asciiTheme="majorHAnsi" w:hAnsiTheme="majorHAnsi"/>
          <w:sz w:val="20"/>
          <w:szCs w:val="20"/>
        </w:rPr>
        <w:t>They</w:t>
      </w:r>
      <w:r w:rsidRPr="00907400">
        <w:rPr>
          <w:rFonts w:asciiTheme="majorHAnsi" w:hAnsiTheme="majorHAnsi"/>
          <w:sz w:val="20"/>
          <w:szCs w:val="20"/>
        </w:rPr>
        <w:t xml:space="preserve"> did not find Mrs. Fajardo and took the statement from Rosa N., who refused to identify herself "</w:t>
      </w:r>
      <w:r w:rsidR="00070B26" w:rsidRPr="00907400">
        <w:rPr>
          <w:rFonts w:asciiTheme="majorHAnsi" w:hAnsiTheme="majorHAnsi"/>
          <w:sz w:val="20"/>
          <w:szCs w:val="20"/>
        </w:rPr>
        <w:t>because she was scared about what had happened</w:t>
      </w:r>
      <w:r w:rsidRPr="00907400">
        <w:rPr>
          <w:rFonts w:asciiTheme="majorHAnsi" w:hAnsiTheme="majorHAnsi"/>
          <w:sz w:val="20"/>
          <w:szCs w:val="20"/>
        </w:rPr>
        <w:t>." Mrs. Rosa N. stated the following:</w:t>
      </w:r>
    </w:p>
    <w:p w14:paraId="2A0FB00E"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6E1DEA8" w14:textId="77777777" w:rsidR="00DA3E90" w:rsidRPr="00907400" w:rsidRDefault="00DA3E90" w:rsidP="00907400">
      <w:pPr>
        <w:ind w:left="720" w:right="713"/>
        <w:jc w:val="both"/>
        <w:rPr>
          <w:rFonts w:asciiTheme="majorHAnsi" w:hAnsiTheme="majorHAnsi"/>
          <w:sz w:val="20"/>
          <w:szCs w:val="20"/>
        </w:rPr>
      </w:pPr>
      <w:r w:rsidRPr="00907400">
        <w:rPr>
          <w:rFonts w:asciiTheme="majorHAnsi" w:hAnsiTheme="majorHAnsi"/>
          <w:sz w:val="20"/>
          <w:szCs w:val="20"/>
        </w:rPr>
        <w:t xml:space="preserve">[On February 27, 1995] several </w:t>
      </w:r>
      <w:r w:rsidR="00070B26" w:rsidRPr="00907400">
        <w:rPr>
          <w:rFonts w:asciiTheme="majorHAnsi" w:hAnsiTheme="majorHAnsi"/>
          <w:sz w:val="20"/>
          <w:szCs w:val="20"/>
        </w:rPr>
        <w:t>individuals</w:t>
      </w:r>
      <w:r w:rsidRPr="00907400">
        <w:rPr>
          <w:rFonts w:asciiTheme="majorHAnsi" w:hAnsiTheme="majorHAnsi"/>
          <w:sz w:val="20"/>
          <w:szCs w:val="20"/>
        </w:rPr>
        <w:t xml:space="preserve"> </w:t>
      </w:r>
      <w:r w:rsidR="00070B26" w:rsidRPr="00907400">
        <w:rPr>
          <w:rFonts w:asciiTheme="majorHAnsi" w:hAnsiTheme="majorHAnsi"/>
          <w:sz w:val="20"/>
          <w:szCs w:val="20"/>
        </w:rPr>
        <w:t>travelling in cars and carrying</w:t>
      </w:r>
      <w:r w:rsidRPr="00907400">
        <w:rPr>
          <w:rFonts w:asciiTheme="majorHAnsi" w:hAnsiTheme="majorHAnsi"/>
          <w:sz w:val="20"/>
          <w:szCs w:val="20"/>
        </w:rPr>
        <w:t xml:space="preserve"> long-range weapons proceeded to force </w:t>
      </w:r>
      <w:r w:rsidR="00070B26" w:rsidRPr="00907400">
        <w:rPr>
          <w:rFonts w:asciiTheme="majorHAnsi" w:hAnsiTheme="majorHAnsi"/>
          <w:sz w:val="20"/>
          <w:szCs w:val="20"/>
        </w:rPr>
        <w:t xml:space="preserve">both </w:t>
      </w:r>
      <w:r w:rsidRPr="00907400">
        <w:rPr>
          <w:rFonts w:asciiTheme="majorHAnsi" w:hAnsiTheme="majorHAnsi"/>
          <w:sz w:val="20"/>
          <w:szCs w:val="20"/>
        </w:rPr>
        <w:t>Mrs. OLGA ESTHER GUEVARA FAJARDO, (...)</w:t>
      </w:r>
      <w:r w:rsidR="00070B26" w:rsidRPr="00907400">
        <w:rPr>
          <w:rFonts w:asciiTheme="majorHAnsi" w:hAnsiTheme="majorHAnsi"/>
          <w:sz w:val="20"/>
          <w:szCs w:val="20"/>
        </w:rPr>
        <w:t xml:space="preserve"> </w:t>
      </w:r>
      <w:r w:rsidRPr="00907400">
        <w:rPr>
          <w:rFonts w:asciiTheme="majorHAnsi" w:hAnsiTheme="majorHAnsi"/>
          <w:sz w:val="20"/>
          <w:szCs w:val="20"/>
        </w:rPr>
        <w:t xml:space="preserve">her young children, </w:t>
      </w:r>
      <w:r w:rsidR="00070B26" w:rsidRPr="00907400">
        <w:rPr>
          <w:rFonts w:asciiTheme="majorHAnsi" w:hAnsiTheme="majorHAnsi"/>
          <w:sz w:val="20"/>
          <w:szCs w:val="20"/>
        </w:rPr>
        <w:t xml:space="preserve">and </w:t>
      </w:r>
      <w:r w:rsidRPr="00907400">
        <w:rPr>
          <w:rFonts w:asciiTheme="majorHAnsi" w:hAnsiTheme="majorHAnsi"/>
          <w:sz w:val="20"/>
          <w:szCs w:val="20"/>
        </w:rPr>
        <w:t xml:space="preserve">Mrs. Claudia </w:t>
      </w:r>
      <w:r w:rsidR="00070B26" w:rsidRPr="00907400">
        <w:rPr>
          <w:rFonts w:asciiTheme="majorHAnsi" w:hAnsiTheme="majorHAnsi"/>
          <w:sz w:val="20"/>
          <w:szCs w:val="20"/>
        </w:rPr>
        <w:t>Guevara Fajardo (Olga's sister</w:t>
      </w:r>
      <w:r w:rsidRPr="00907400">
        <w:rPr>
          <w:rFonts w:asciiTheme="majorHAnsi" w:hAnsiTheme="majorHAnsi"/>
          <w:sz w:val="20"/>
          <w:szCs w:val="20"/>
        </w:rPr>
        <w:t xml:space="preserve">) with </w:t>
      </w:r>
      <w:r w:rsidR="00070B26" w:rsidRPr="00907400">
        <w:rPr>
          <w:rFonts w:asciiTheme="majorHAnsi" w:hAnsiTheme="majorHAnsi"/>
          <w:sz w:val="20"/>
          <w:szCs w:val="20"/>
        </w:rPr>
        <w:t>her</w:t>
      </w:r>
      <w:r w:rsidRPr="00907400">
        <w:rPr>
          <w:rFonts w:asciiTheme="majorHAnsi" w:hAnsiTheme="majorHAnsi"/>
          <w:sz w:val="20"/>
          <w:szCs w:val="20"/>
        </w:rPr>
        <w:t xml:space="preserve"> two children to leave the apartment in which they resided. These </w:t>
      </w:r>
      <w:r w:rsidR="00070B26" w:rsidRPr="00907400">
        <w:rPr>
          <w:rFonts w:asciiTheme="majorHAnsi" w:hAnsiTheme="majorHAnsi"/>
          <w:sz w:val="20"/>
          <w:szCs w:val="20"/>
        </w:rPr>
        <w:t>individuals did not identify themselves nor tell the reason for the</w:t>
      </w:r>
      <w:r w:rsidR="0082310F" w:rsidRPr="00907400">
        <w:rPr>
          <w:rFonts w:asciiTheme="majorHAnsi" w:hAnsiTheme="majorHAnsi"/>
          <w:sz w:val="20"/>
          <w:szCs w:val="20"/>
        </w:rPr>
        <w:t>ir actions</w:t>
      </w:r>
      <w:r w:rsidRPr="00907400">
        <w:rPr>
          <w:rFonts w:asciiTheme="majorHAnsi" w:hAnsiTheme="majorHAnsi"/>
          <w:sz w:val="20"/>
          <w:szCs w:val="20"/>
        </w:rPr>
        <w:t xml:space="preserve">, </w:t>
      </w:r>
      <w:r w:rsidR="0082310F" w:rsidRPr="00907400">
        <w:rPr>
          <w:rFonts w:asciiTheme="majorHAnsi" w:hAnsiTheme="majorHAnsi"/>
          <w:sz w:val="20"/>
          <w:szCs w:val="20"/>
        </w:rPr>
        <w:t>but left the area</w:t>
      </w:r>
      <w:r w:rsidRPr="00907400">
        <w:rPr>
          <w:rFonts w:asciiTheme="majorHAnsi" w:hAnsiTheme="majorHAnsi"/>
          <w:sz w:val="20"/>
          <w:szCs w:val="20"/>
        </w:rPr>
        <w:t xml:space="preserve">, taking the five children and the two ladies </w:t>
      </w:r>
      <w:r w:rsidR="0082310F" w:rsidRPr="00907400">
        <w:rPr>
          <w:rFonts w:asciiTheme="majorHAnsi" w:hAnsiTheme="majorHAnsi"/>
          <w:sz w:val="20"/>
          <w:szCs w:val="20"/>
        </w:rPr>
        <w:t>with them</w:t>
      </w:r>
      <w:r w:rsidRPr="00907400">
        <w:rPr>
          <w:rFonts w:asciiTheme="majorHAnsi" w:hAnsiTheme="majorHAnsi"/>
          <w:sz w:val="20"/>
          <w:szCs w:val="20"/>
        </w:rPr>
        <w:t xml:space="preserve">(...). The next day Claudia called her and told her that "they were well and that they were </w:t>
      </w:r>
      <w:r w:rsidR="0082310F" w:rsidRPr="00907400">
        <w:rPr>
          <w:rFonts w:asciiTheme="majorHAnsi" w:hAnsiTheme="majorHAnsi"/>
          <w:sz w:val="20"/>
          <w:szCs w:val="20"/>
        </w:rPr>
        <w:t>with a</w:t>
      </w:r>
      <w:r w:rsidRPr="00907400">
        <w:rPr>
          <w:rFonts w:asciiTheme="majorHAnsi" w:hAnsiTheme="majorHAnsi"/>
          <w:sz w:val="20"/>
          <w:szCs w:val="20"/>
        </w:rPr>
        <w:t xml:space="preserve"> protection group (...)". </w:t>
      </w:r>
      <w:r w:rsidR="0082310F" w:rsidRPr="00907400">
        <w:rPr>
          <w:rFonts w:asciiTheme="majorHAnsi" w:hAnsiTheme="majorHAnsi"/>
          <w:sz w:val="20"/>
          <w:szCs w:val="20"/>
        </w:rPr>
        <w:t>Recently</w:t>
      </w:r>
      <w:r w:rsidRPr="00907400">
        <w:rPr>
          <w:rFonts w:asciiTheme="majorHAnsi" w:hAnsiTheme="majorHAnsi"/>
          <w:sz w:val="20"/>
          <w:szCs w:val="20"/>
        </w:rPr>
        <w:t xml:space="preserve"> and on different occasions there have been people who have said to belong to the Police, DAS, Army, inquiring about Mrs. OLGA GUEVARA and asking if the Prosecutor's Office </w:t>
      </w:r>
      <w:r w:rsidR="005D327F" w:rsidRPr="00907400">
        <w:rPr>
          <w:rFonts w:asciiTheme="majorHAnsi" w:hAnsiTheme="majorHAnsi"/>
          <w:sz w:val="20"/>
          <w:szCs w:val="20"/>
        </w:rPr>
        <w:t>was providing protection in the</w:t>
      </w:r>
      <w:r w:rsidRPr="00907400">
        <w:rPr>
          <w:rFonts w:asciiTheme="majorHAnsi" w:hAnsiTheme="majorHAnsi"/>
          <w:sz w:val="20"/>
          <w:szCs w:val="20"/>
        </w:rPr>
        <w:t xml:space="preserve"> building.</w:t>
      </w:r>
      <w:r w:rsidR="00A1633E" w:rsidRPr="00907400">
        <w:rPr>
          <w:rStyle w:val="FootnoteReference"/>
          <w:rFonts w:asciiTheme="majorHAnsi" w:hAnsiTheme="majorHAnsi"/>
          <w:sz w:val="20"/>
          <w:szCs w:val="20"/>
        </w:rPr>
        <w:footnoteReference w:id="9"/>
      </w:r>
    </w:p>
    <w:p w14:paraId="12279725" w14:textId="77777777" w:rsidR="00DA3E90" w:rsidRPr="00907400" w:rsidRDefault="00DA3E90" w:rsidP="00907400">
      <w:pPr>
        <w:rPr>
          <w:rFonts w:asciiTheme="majorHAnsi" w:hAnsiTheme="majorHAnsi"/>
          <w:sz w:val="20"/>
          <w:szCs w:val="20"/>
        </w:rPr>
      </w:pPr>
    </w:p>
    <w:p w14:paraId="13DE1E31" w14:textId="77777777" w:rsidR="00DA3E9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petitioner </w:t>
      </w:r>
      <w:r w:rsidR="005D327F" w:rsidRPr="00907400">
        <w:rPr>
          <w:rFonts w:asciiTheme="majorHAnsi" w:hAnsiTheme="majorHAnsi"/>
          <w:sz w:val="20"/>
          <w:szCs w:val="20"/>
        </w:rPr>
        <w:t>pointed out</w:t>
      </w:r>
      <w:r w:rsidRPr="00907400">
        <w:rPr>
          <w:rFonts w:asciiTheme="majorHAnsi" w:hAnsiTheme="majorHAnsi"/>
          <w:sz w:val="20"/>
          <w:szCs w:val="20"/>
        </w:rPr>
        <w:t xml:space="preserve"> that on March 1, 1995, Prosecutors No. 35 and No. 38 of the Third Life Unit sent the investigation to the Regional Pro</w:t>
      </w:r>
      <w:r w:rsidR="000F48D7" w:rsidRPr="00907400">
        <w:rPr>
          <w:rFonts w:asciiTheme="majorHAnsi" w:hAnsiTheme="majorHAnsi"/>
          <w:sz w:val="20"/>
          <w:szCs w:val="20"/>
        </w:rPr>
        <w:t>secutors, who were part of the Regional J</w:t>
      </w:r>
      <w:r w:rsidRPr="00907400">
        <w:rPr>
          <w:rFonts w:asciiTheme="majorHAnsi" w:hAnsiTheme="majorHAnsi"/>
          <w:sz w:val="20"/>
          <w:szCs w:val="20"/>
        </w:rPr>
        <w:t xml:space="preserve">urisdiction already described in this </w:t>
      </w:r>
      <w:r w:rsidR="005D327F" w:rsidRPr="00907400">
        <w:rPr>
          <w:rFonts w:asciiTheme="majorHAnsi" w:hAnsiTheme="majorHAnsi"/>
          <w:sz w:val="20"/>
          <w:szCs w:val="20"/>
        </w:rPr>
        <w:t>Report,</w:t>
      </w:r>
      <w:r w:rsidR="00FD33B1" w:rsidRPr="00907400">
        <w:rPr>
          <w:rStyle w:val="FootnoteReference"/>
          <w:rFonts w:asciiTheme="majorHAnsi" w:hAnsiTheme="majorHAnsi"/>
          <w:sz w:val="20"/>
          <w:szCs w:val="20"/>
        </w:rPr>
        <w:footnoteReference w:id="10"/>
      </w:r>
      <w:r w:rsidR="005D327F" w:rsidRPr="00907400">
        <w:rPr>
          <w:rFonts w:asciiTheme="majorHAnsi" w:hAnsiTheme="majorHAnsi"/>
          <w:sz w:val="20"/>
          <w:szCs w:val="20"/>
        </w:rPr>
        <w:t xml:space="preserve"> on the basis of A</w:t>
      </w:r>
      <w:r w:rsidRPr="00907400">
        <w:rPr>
          <w:rFonts w:asciiTheme="majorHAnsi" w:hAnsiTheme="majorHAnsi"/>
          <w:sz w:val="20"/>
          <w:szCs w:val="20"/>
        </w:rPr>
        <w:t>rticle 71 of the Code of Criminal Procedure.</w:t>
      </w:r>
      <w:r w:rsidR="00CE6802" w:rsidRPr="00907400">
        <w:rPr>
          <w:rStyle w:val="FootnoteReference"/>
          <w:rFonts w:asciiTheme="majorHAnsi" w:hAnsiTheme="majorHAnsi"/>
          <w:sz w:val="20"/>
          <w:szCs w:val="20"/>
        </w:rPr>
        <w:footnoteReference w:id="11"/>
      </w:r>
      <w:r w:rsidRPr="00907400">
        <w:rPr>
          <w:rFonts w:asciiTheme="majorHAnsi" w:hAnsiTheme="majorHAnsi"/>
          <w:sz w:val="20"/>
          <w:szCs w:val="20"/>
        </w:rPr>
        <w:t xml:space="preserve"> This information was not contested by the State.</w:t>
      </w:r>
    </w:p>
    <w:p w14:paraId="4B38F6A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35BF927" w14:textId="77777777" w:rsidR="00DA3E9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4, 1995, the Regional Prosecutor issued a document in which he declared the </w:t>
      </w:r>
      <w:r w:rsidR="005D327F" w:rsidRPr="00907400">
        <w:rPr>
          <w:rFonts w:asciiTheme="majorHAnsi" w:hAnsiTheme="majorHAnsi"/>
          <w:sz w:val="20"/>
          <w:szCs w:val="20"/>
        </w:rPr>
        <w:t>anonymity</w:t>
      </w:r>
      <w:r w:rsidRPr="00907400">
        <w:rPr>
          <w:rFonts w:asciiTheme="majorHAnsi" w:hAnsiTheme="majorHAnsi"/>
          <w:sz w:val="20"/>
          <w:szCs w:val="20"/>
        </w:rPr>
        <w:t xml:space="preserve"> of the witness Olga F</w:t>
      </w:r>
      <w:r w:rsidR="005D327F" w:rsidRPr="00907400">
        <w:rPr>
          <w:rFonts w:asciiTheme="majorHAnsi" w:hAnsiTheme="majorHAnsi"/>
          <w:sz w:val="20"/>
          <w:szCs w:val="20"/>
        </w:rPr>
        <w:t>ajardo. The Prosecutor called her</w:t>
      </w:r>
      <w:r w:rsidRPr="00907400">
        <w:rPr>
          <w:rFonts w:asciiTheme="majorHAnsi" w:hAnsiTheme="majorHAnsi"/>
          <w:sz w:val="20"/>
          <w:szCs w:val="20"/>
        </w:rPr>
        <w:t xml:space="preserve"> "Witness No. 1". The IACHR </w:t>
      </w:r>
      <w:r w:rsidR="005D327F" w:rsidRPr="00907400">
        <w:rPr>
          <w:rFonts w:asciiTheme="majorHAnsi" w:hAnsiTheme="majorHAnsi"/>
          <w:sz w:val="20"/>
          <w:szCs w:val="20"/>
        </w:rPr>
        <w:t>observes</w:t>
      </w:r>
      <w:r w:rsidRPr="00907400">
        <w:rPr>
          <w:rFonts w:asciiTheme="majorHAnsi" w:hAnsiTheme="majorHAnsi"/>
          <w:sz w:val="20"/>
          <w:szCs w:val="20"/>
        </w:rPr>
        <w:t xml:space="preserve"> the fact </w:t>
      </w:r>
      <w:r w:rsidRPr="00907400">
        <w:rPr>
          <w:rFonts w:asciiTheme="majorHAnsi" w:hAnsiTheme="majorHAnsi"/>
          <w:sz w:val="20"/>
          <w:szCs w:val="20"/>
        </w:rPr>
        <w:lastRenderedPageBreak/>
        <w:t>that the name of</w:t>
      </w:r>
      <w:r w:rsidR="005D327F" w:rsidRPr="00907400">
        <w:rPr>
          <w:rFonts w:asciiTheme="majorHAnsi" w:hAnsiTheme="majorHAnsi"/>
          <w:sz w:val="20"/>
          <w:szCs w:val="20"/>
        </w:rPr>
        <w:t xml:space="preserve"> the prosecutor who took this decision </w:t>
      </w:r>
      <w:r w:rsidRPr="00907400">
        <w:rPr>
          <w:rFonts w:asciiTheme="majorHAnsi" w:hAnsiTheme="majorHAnsi"/>
          <w:sz w:val="20"/>
          <w:szCs w:val="20"/>
        </w:rPr>
        <w:t xml:space="preserve">is included. Mrs. Fajardo </w:t>
      </w:r>
      <w:r w:rsidR="005D327F" w:rsidRPr="00907400">
        <w:rPr>
          <w:rFonts w:asciiTheme="majorHAnsi" w:hAnsiTheme="majorHAnsi"/>
          <w:sz w:val="20"/>
          <w:szCs w:val="20"/>
        </w:rPr>
        <w:t>stated</w:t>
      </w:r>
      <w:r w:rsidRPr="00907400">
        <w:rPr>
          <w:rFonts w:asciiTheme="majorHAnsi" w:hAnsiTheme="majorHAnsi"/>
          <w:sz w:val="20"/>
          <w:szCs w:val="20"/>
        </w:rPr>
        <w:t xml:space="preserve"> that she could see the events</w:t>
      </w:r>
      <w:r w:rsidR="005D327F" w:rsidRPr="00907400">
        <w:rPr>
          <w:rFonts w:asciiTheme="majorHAnsi" w:hAnsiTheme="majorHAnsi"/>
          <w:sz w:val="20"/>
          <w:szCs w:val="20"/>
        </w:rPr>
        <w:t xml:space="preserve"> that occurred on February 26, 1995 </w:t>
      </w:r>
      <w:r w:rsidRPr="00907400">
        <w:rPr>
          <w:rFonts w:asciiTheme="majorHAnsi" w:hAnsiTheme="majorHAnsi"/>
          <w:sz w:val="20"/>
          <w:szCs w:val="20"/>
        </w:rPr>
        <w:t xml:space="preserve">from the window of her house and that she identified the physical features of the </w:t>
      </w:r>
      <w:r w:rsidR="005D327F" w:rsidRPr="00907400">
        <w:rPr>
          <w:rFonts w:asciiTheme="majorHAnsi" w:hAnsiTheme="majorHAnsi"/>
          <w:sz w:val="20"/>
          <w:szCs w:val="20"/>
        </w:rPr>
        <w:t>individual who fired the shots. Sh</w:t>
      </w:r>
      <w:r w:rsidRPr="00907400">
        <w:rPr>
          <w:rFonts w:asciiTheme="majorHAnsi" w:hAnsiTheme="majorHAnsi"/>
          <w:sz w:val="20"/>
          <w:szCs w:val="20"/>
        </w:rPr>
        <w:t xml:space="preserve">e maintained that </w:t>
      </w:r>
      <w:r w:rsidR="005D327F" w:rsidRPr="00907400">
        <w:rPr>
          <w:rFonts w:asciiTheme="majorHAnsi" w:hAnsiTheme="majorHAnsi"/>
          <w:sz w:val="20"/>
          <w:szCs w:val="20"/>
        </w:rPr>
        <w:t>s</w:t>
      </w:r>
      <w:r w:rsidRPr="00907400">
        <w:rPr>
          <w:rFonts w:asciiTheme="majorHAnsi" w:hAnsiTheme="majorHAnsi"/>
          <w:sz w:val="20"/>
          <w:szCs w:val="20"/>
        </w:rPr>
        <w:t xml:space="preserve">he made </w:t>
      </w:r>
      <w:r w:rsidR="005D327F" w:rsidRPr="00907400">
        <w:rPr>
          <w:rFonts w:asciiTheme="majorHAnsi" w:hAnsiTheme="majorHAnsi"/>
          <w:sz w:val="20"/>
          <w:szCs w:val="20"/>
        </w:rPr>
        <w:t>identikit sketch</w:t>
      </w:r>
      <w:r w:rsidRPr="00907400">
        <w:rPr>
          <w:rFonts w:asciiTheme="majorHAnsi" w:hAnsiTheme="majorHAnsi"/>
          <w:sz w:val="20"/>
          <w:szCs w:val="20"/>
        </w:rPr>
        <w:t xml:space="preserve"> and that </w:t>
      </w:r>
      <w:r w:rsidR="005D327F" w:rsidRPr="00907400">
        <w:rPr>
          <w:rFonts w:asciiTheme="majorHAnsi" w:hAnsiTheme="majorHAnsi"/>
          <w:sz w:val="20"/>
          <w:szCs w:val="20"/>
        </w:rPr>
        <w:t>s</w:t>
      </w:r>
      <w:r w:rsidRPr="00907400">
        <w:rPr>
          <w:rFonts w:asciiTheme="majorHAnsi" w:hAnsiTheme="majorHAnsi"/>
          <w:sz w:val="20"/>
          <w:szCs w:val="20"/>
        </w:rPr>
        <w:t xml:space="preserve">he saw him again the next day, </w:t>
      </w:r>
      <w:r w:rsidR="005D327F" w:rsidRPr="00907400">
        <w:rPr>
          <w:rFonts w:asciiTheme="majorHAnsi" w:hAnsiTheme="majorHAnsi"/>
          <w:sz w:val="20"/>
          <w:szCs w:val="20"/>
        </w:rPr>
        <w:t>as he</w:t>
      </w:r>
      <w:r w:rsidRPr="00907400">
        <w:rPr>
          <w:rFonts w:asciiTheme="majorHAnsi" w:hAnsiTheme="majorHAnsi"/>
          <w:sz w:val="20"/>
          <w:szCs w:val="20"/>
        </w:rPr>
        <w:t xml:space="preserve"> was the same person from the Office of the Public Prosecutor who was picking up the body. Mrs. Fajardo, after receiving a photo album of the members of the CTI, recognized Gustavo Sastoque as </w:t>
      </w:r>
      <w:r w:rsidR="00F12034" w:rsidRPr="00907400">
        <w:rPr>
          <w:rFonts w:asciiTheme="majorHAnsi" w:hAnsiTheme="majorHAnsi"/>
          <w:sz w:val="20"/>
          <w:szCs w:val="20"/>
        </w:rPr>
        <w:t>the one who had fired</w:t>
      </w:r>
      <w:r w:rsidRPr="00907400">
        <w:rPr>
          <w:rFonts w:asciiTheme="majorHAnsi" w:hAnsiTheme="majorHAnsi"/>
          <w:sz w:val="20"/>
          <w:szCs w:val="20"/>
        </w:rPr>
        <w:t xml:space="preserve"> the shots.</w:t>
      </w:r>
      <w:r w:rsidR="00CE6802" w:rsidRPr="00907400">
        <w:rPr>
          <w:rStyle w:val="FootnoteReference"/>
          <w:rFonts w:asciiTheme="majorHAnsi" w:hAnsiTheme="majorHAnsi"/>
          <w:sz w:val="20"/>
          <w:szCs w:val="20"/>
        </w:rPr>
        <w:footnoteReference w:id="12"/>
      </w:r>
    </w:p>
    <w:p w14:paraId="5A7230BF"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9C4F895" w14:textId="77777777" w:rsidR="00DA3E9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6, 1995, the Regional Prosecutor issued a document declaring the </w:t>
      </w:r>
      <w:r w:rsidR="000456A3" w:rsidRPr="00907400">
        <w:rPr>
          <w:rFonts w:asciiTheme="majorHAnsi" w:hAnsiTheme="majorHAnsi"/>
          <w:sz w:val="20"/>
          <w:szCs w:val="20"/>
        </w:rPr>
        <w:t>anonymity of</w:t>
      </w:r>
      <w:r w:rsidRPr="00907400">
        <w:rPr>
          <w:rFonts w:asciiTheme="majorHAnsi" w:hAnsiTheme="majorHAnsi"/>
          <w:sz w:val="20"/>
          <w:szCs w:val="20"/>
        </w:rPr>
        <w:t xml:space="preserve"> "Witness No. 2". The IACHR does not have informatio</w:t>
      </w:r>
      <w:r w:rsidR="000456A3" w:rsidRPr="00907400">
        <w:rPr>
          <w:rFonts w:asciiTheme="majorHAnsi" w:hAnsiTheme="majorHAnsi"/>
          <w:sz w:val="20"/>
          <w:szCs w:val="20"/>
        </w:rPr>
        <w:t>n on the name of this individual</w:t>
      </w:r>
      <w:r w:rsidRPr="00907400">
        <w:rPr>
          <w:rFonts w:asciiTheme="majorHAnsi" w:hAnsiTheme="majorHAnsi"/>
          <w:sz w:val="20"/>
          <w:szCs w:val="20"/>
        </w:rPr>
        <w:t xml:space="preserve">. The witness stated that he </w:t>
      </w:r>
      <w:r w:rsidR="000456A3" w:rsidRPr="00907400">
        <w:rPr>
          <w:rFonts w:asciiTheme="majorHAnsi" w:hAnsiTheme="majorHAnsi"/>
          <w:sz w:val="20"/>
          <w:szCs w:val="20"/>
        </w:rPr>
        <w:t>was present at</w:t>
      </w:r>
      <w:r w:rsidRPr="00907400">
        <w:rPr>
          <w:rFonts w:asciiTheme="majorHAnsi" w:hAnsiTheme="majorHAnsi"/>
          <w:sz w:val="20"/>
          <w:szCs w:val="20"/>
        </w:rPr>
        <w:t xml:space="preserve"> the events that occurred on February 26</w:t>
      </w:r>
      <w:r w:rsidR="000456A3" w:rsidRPr="00907400">
        <w:rPr>
          <w:rFonts w:asciiTheme="majorHAnsi" w:hAnsiTheme="majorHAnsi"/>
          <w:sz w:val="20"/>
          <w:szCs w:val="20"/>
        </w:rPr>
        <w:t>, 1995</w:t>
      </w:r>
      <w:r w:rsidRPr="00907400">
        <w:rPr>
          <w:rFonts w:asciiTheme="majorHAnsi" w:hAnsiTheme="majorHAnsi"/>
          <w:sz w:val="20"/>
          <w:szCs w:val="20"/>
        </w:rPr>
        <w:t xml:space="preserve">. </w:t>
      </w:r>
      <w:r w:rsidR="000456A3" w:rsidRPr="00907400">
        <w:rPr>
          <w:rFonts w:asciiTheme="majorHAnsi" w:hAnsiTheme="majorHAnsi"/>
          <w:sz w:val="20"/>
          <w:szCs w:val="20"/>
        </w:rPr>
        <w:t>The witness indicated</w:t>
      </w:r>
      <w:r w:rsidRPr="00907400">
        <w:rPr>
          <w:rFonts w:asciiTheme="majorHAnsi" w:hAnsiTheme="majorHAnsi"/>
          <w:sz w:val="20"/>
          <w:szCs w:val="20"/>
        </w:rPr>
        <w:t xml:space="preserve"> that he </w:t>
      </w:r>
      <w:r w:rsidR="000456A3" w:rsidRPr="00907400">
        <w:rPr>
          <w:rFonts w:asciiTheme="majorHAnsi" w:hAnsiTheme="majorHAnsi"/>
          <w:sz w:val="20"/>
          <w:szCs w:val="20"/>
        </w:rPr>
        <w:t>saw</w:t>
      </w:r>
      <w:r w:rsidRPr="00907400">
        <w:rPr>
          <w:rFonts w:asciiTheme="majorHAnsi" w:hAnsiTheme="majorHAnsi"/>
          <w:sz w:val="20"/>
          <w:szCs w:val="20"/>
        </w:rPr>
        <w:t xml:space="preserve"> the person who fired the shots and recognized Gustavo Sastoque</w:t>
      </w:r>
      <w:r w:rsidR="000456A3" w:rsidRPr="00907400">
        <w:rPr>
          <w:rFonts w:asciiTheme="majorHAnsi" w:hAnsiTheme="majorHAnsi"/>
          <w:sz w:val="20"/>
          <w:szCs w:val="20"/>
        </w:rPr>
        <w:t xml:space="preserve"> from photographs</w:t>
      </w:r>
      <w:r w:rsidRPr="00907400">
        <w:rPr>
          <w:rFonts w:asciiTheme="majorHAnsi" w:hAnsiTheme="majorHAnsi"/>
          <w:sz w:val="20"/>
          <w:szCs w:val="20"/>
        </w:rPr>
        <w:t xml:space="preserve">. He also described other </w:t>
      </w:r>
      <w:r w:rsidR="000456A3" w:rsidRPr="00907400">
        <w:rPr>
          <w:rFonts w:asciiTheme="majorHAnsi" w:hAnsiTheme="majorHAnsi"/>
          <w:sz w:val="20"/>
          <w:szCs w:val="20"/>
        </w:rPr>
        <w:t>individuals</w:t>
      </w:r>
      <w:r w:rsidRPr="00907400">
        <w:rPr>
          <w:rFonts w:asciiTheme="majorHAnsi" w:hAnsiTheme="majorHAnsi"/>
          <w:sz w:val="20"/>
          <w:szCs w:val="20"/>
        </w:rPr>
        <w:t xml:space="preserve"> who were in the vehicle.</w:t>
      </w:r>
      <w:r w:rsidR="00CE6802" w:rsidRPr="00907400">
        <w:rPr>
          <w:rStyle w:val="FootnoteReference"/>
          <w:rFonts w:asciiTheme="majorHAnsi" w:hAnsiTheme="majorHAnsi"/>
          <w:sz w:val="20"/>
          <w:szCs w:val="20"/>
        </w:rPr>
        <w:footnoteReference w:id="13"/>
      </w:r>
    </w:p>
    <w:p w14:paraId="44816D3B"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4484900" w14:textId="77777777" w:rsidR="00DA3E9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the same day, Mr. Jesús Mejía </w:t>
      </w:r>
      <w:r w:rsidR="007473E9" w:rsidRPr="00907400">
        <w:rPr>
          <w:rFonts w:asciiTheme="majorHAnsi" w:hAnsiTheme="majorHAnsi"/>
          <w:sz w:val="20"/>
          <w:szCs w:val="20"/>
        </w:rPr>
        <w:t>testified</w:t>
      </w:r>
      <w:r w:rsidRPr="00907400">
        <w:rPr>
          <w:rFonts w:asciiTheme="majorHAnsi" w:hAnsiTheme="majorHAnsi"/>
          <w:sz w:val="20"/>
          <w:szCs w:val="20"/>
        </w:rPr>
        <w:t xml:space="preserve"> before the Regional Office of the Prosecutor's Office. He indicated that he was assigned to participate in the search for evidence of what happened on February 27, 1995</w:t>
      </w:r>
      <w:r w:rsidR="007473E9" w:rsidRPr="00907400">
        <w:rPr>
          <w:rFonts w:asciiTheme="majorHAnsi" w:hAnsiTheme="majorHAnsi"/>
          <w:sz w:val="20"/>
          <w:szCs w:val="20"/>
        </w:rPr>
        <w:t xml:space="preserve"> as a photographer of the Office of the Prosecutor</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14"/>
      </w:r>
      <w:r w:rsidRPr="00907400">
        <w:rPr>
          <w:rFonts w:asciiTheme="majorHAnsi" w:hAnsiTheme="majorHAnsi"/>
          <w:sz w:val="20"/>
          <w:szCs w:val="20"/>
        </w:rPr>
        <w:t xml:space="preserve"> The IACHR </w:t>
      </w:r>
      <w:r w:rsidR="00750468" w:rsidRPr="00907400">
        <w:rPr>
          <w:rFonts w:asciiTheme="majorHAnsi" w:hAnsiTheme="majorHAnsi"/>
          <w:sz w:val="20"/>
          <w:szCs w:val="20"/>
        </w:rPr>
        <w:t>observes</w:t>
      </w:r>
      <w:r w:rsidRPr="00907400">
        <w:rPr>
          <w:rFonts w:asciiTheme="majorHAnsi" w:hAnsiTheme="majorHAnsi"/>
          <w:sz w:val="20"/>
          <w:szCs w:val="20"/>
        </w:rPr>
        <w:t xml:space="preserve"> that Mr. Mejía </w:t>
      </w:r>
      <w:r w:rsidR="00750468" w:rsidRPr="00907400">
        <w:rPr>
          <w:rFonts w:asciiTheme="majorHAnsi" w:hAnsiTheme="majorHAnsi"/>
          <w:sz w:val="20"/>
          <w:szCs w:val="20"/>
        </w:rPr>
        <w:t>named</w:t>
      </w:r>
      <w:r w:rsidRPr="00907400">
        <w:rPr>
          <w:rFonts w:asciiTheme="majorHAnsi" w:hAnsiTheme="majorHAnsi"/>
          <w:sz w:val="20"/>
          <w:szCs w:val="20"/>
        </w:rPr>
        <w:t xml:space="preserve"> the agents who participated in </w:t>
      </w:r>
      <w:r w:rsidR="00750468" w:rsidRPr="00907400">
        <w:rPr>
          <w:rFonts w:asciiTheme="majorHAnsi" w:hAnsiTheme="majorHAnsi"/>
          <w:sz w:val="20"/>
          <w:szCs w:val="20"/>
        </w:rPr>
        <w:t>this procedural step</w:t>
      </w:r>
      <w:r w:rsidRPr="00907400">
        <w:rPr>
          <w:rFonts w:asciiTheme="majorHAnsi" w:hAnsiTheme="majorHAnsi"/>
          <w:sz w:val="20"/>
          <w:szCs w:val="20"/>
        </w:rPr>
        <w:t xml:space="preserve"> and made no reference to Mr. Sastoque.</w:t>
      </w:r>
    </w:p>
    <w:p w14:paraId="5425534D"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6F983B2" w14:textId="77777777" w:rsidR="00DA3E90" w:rsidRPr="00907400" w:rsidRDefault="00DA3E9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addition, the IACHR </w:t>
      </w:r>
      <w:r w:rsidR="00787CF0" w:rsidRPr="00907400">
        <w:rPr>
          <w:rFonts w:asciiTheme="majorHAnsi" w:hAnsiTheme="majorHAnsi"/>
          <w:sz w:val="20"/>
          <w:szCs w:val="20"/>
        </w:rPr>
        <w:t>observes</w:t>
      </w:r>
      <w:r w:rsidRPr="00907400">
        <w:rPr>
          <w:rFonts w:asciiTheme="majorHAnsi" w:hAnsiTheme="majorHAnsi"/>
          <w:sz w:val="20"/>
          <w:szCs w:val="20"/>
        </w:rPr>
        <w:t xml:space="preserve"> that the identity of "Witness No. 3"</w:t>
      </w:r>
      <w:r w:rsidR="00787CF0" w:rsidRPr="00907400">
        <w:rPr>
          <w:rFonts w:asciiTheme="majorHAnsi" w:hAnsiTheme="majorHAnsi"/>
          <w:sz w:val="20"/>
          <w:szCs w:val="20"/>
        </w:rPr>
        <w:t xml:space="preserve"> was declared to be anonymous</w:t>
      </w:r>
      <w:r w:rsidRPr="00907400">
        <w:rPr>
          <w:rFonts w:asciiTheme="majorHAnsi" w:hAnsiTheme="majorHAnsi"/>
          <w:sz w:val="20"/>
          <w:szCs w:val="20"/>
        </w:rPr>
        <w:t>. The IACHR does not have information o</w:t>
      </w:r>
      <w:r w:rsidR="009C0AF3" w:rsidRPr="00907400">
        <w:rPr>
          <w:rFonts w:asciiTheme="majorHAnsi" w:hAnsiTheme="majorHAnsi"/>
          <w:sz w:val="20"/>
          <w:szCs w:val="20"/>
        </w:rPr>
        <w:t>n the name of Witness No. 3. This</w:t>
      </w:r>
      <w:r w:rsidRPr="00907400">
        <w:rPr>
          <w:rFonts w:asciiTheme="majorHAnsi" w:hAnsiTheme="majorHAnsi"/>
          <w:sz w:val="20"/>
          <w:szCs w:val="20"/>
        </w:rPr>
        <w:t xml:space="preserve"> witness indicated that he witn</w:t>
      </w:r>
      <w:r w:rsidR="009C0AF3" w:rsidRPr="00907400">
        <w:rPr>
          <w:rFonts w:asciiTheme="majorHAnsi" w:hAnsiTheme="majorHAnsi"/>
          <w:sz w:val="20"/>
          <w:szCs w:val="20"/>
        </w:rPr>
        <w:t xml:space="preserve">essed the events of February 26, 1995, </w:t>
      </w:r>
      <w:r w:rsidRPr="00907400">
        <w:rPr>
          <w:rFonts w:asciiTheme="majorHAnsi" w:hAnsiTheme="majorHAnsi"/>
          <w:sz w:val="20"/>
          <w:szCs w:val="20"/>
        </w:rPr>
        <w:t>but did not see "exactly the person</w:t>
      </w:r>
      <w:r w:rsidR="009C0AF3" w:rsidRPr="00907400">
        <w:rPr>
          <w:rFonts w:asciiTheme="majorHAnsi" w:hAnsiTheme="majorHAnsi"/>
          <w:sz w:val="20"/>
          <w:szCs w:val="20"/>
        </w:rPr>
        <w:t xml:space="preserve"> who (...) fired." The witness</w:t>
      </w:r>
      <w:r w:rsidRPr="00907400">
        <w:rPr>
          <w:rFonts w:asciiTheme="majorHAnsi" w:hAnsiTheme="majorHAnsi"/>
          <w:sz w:val="20"/>
          <w:szCs w:val="20"/>
        </w:rPr>
        <w:t xml:space="preserve"> could not recognize any of those involved in the events</w:t>
      </w:r>
      <w:r w:rsidR="009C0AF3" w:rsidRPr="00907400">
        <w:rPr>
          <w:rFonts w:asciiTheme="majorHAnsi" w:hAnsiTheme="majorHAnsi"/>
          <w:sz w:val="20"/>
          <w:szCs w:val="20"/>
        </w:rPr>
        <w:t xml:space="preserve"> when shown several photographs of the Prosecutor’s Office personnel</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15"/>
      </w:r>
      <w:r w:rsidRPr="00907400">
        <w:rPr>
          <w:rFonts w:asciiTheme="majorHAnsi" w:hAnsiTheme="majorHAnsi"/>
          <w:sz w:val="20"/>
          <w:szCs w:val="20"/>
        </w:rPr>
        <w:t xml:space="preserve"> He was also taken to the DAS and did not recogn</w:t>
      </w:r>
      <w:r w:rsidR="009C0AF3" w:rsidRPr="00907400">
        <w:rPr>
          <w:rFonts w:asciiTheme="majorHAnsi" w:hAnsiTheme="majorHAnsi"/>
          <w:sz w:val="20"/>
          <w:szCs w:val="20"/>
        </w:rPr>
        <w:t>ize anyone from the photographs</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16"/>
      </w:r>
      <w:r w:rsidRPr="00907400">
        <w:rPr>
          <w:rFonts w:asciiTheme="majorHAnsi" w:hAnsiTheme="majorHAnsi"/>
          <w:sz w:val="20"/>
          <w:szCs w:val="20"/>
        </w:rPr>
        <w:t xml:space="preserve"> Four months later, on July 20, 1995, Witness No. 3 </w:t>
      </w:r>
      <w:r w:rsidR="009C0AF3" w:rsidRPr="00907400">
        <w:rPr>
          <w:rFonts w:asciiTheme="majorHAnsi" w:hAnsiTheme="majorHAnsi"/>
          <w:sz w:val="20"/>
          <w:szCs w:val="20"/>
        </w:rPr>
        <w:t>added supplementary testimony</w:t>
      </w:r>
      <w:r w:rsidRPr="00907400">
        <w:rPr>
          <w:rFonts w:asciiTheme="majorHAnsi" w:hAnsiTheme="majorHAnsi"/>
          <w:sz w:val="20"/>
          <w:szCs w:val="20"/>
        </w:rPr>
        <w:t xml:space="preserve"> and claimed </w:t>
      </w:r>
      <w:r w:rsidR="009C0AF3" w:rsidRPr="00907400">
        <w:rPr>
          <w:rFonts w:asciiTheme="majorHAnsi" w:hAnsiTheme="majorHAnsi"/>
          <w:sz w:val="20"/>
          <w:szCs w:val="20"/>
        </w:rPr>
        <w:t xml:space="preserve">he recognized Gustavo </w:t>
      </w:r>
      <w:r w:rsidRPr="00907400">
        <w:rPr>
          <w:rFonts w:asciiTheme="majorHAnsi" w:hAnsiTheme="majorHAnsi"/>
          <w:sz w:val="20"/>
          <w:szCs w:val="20"/>
        </w:rPr>
        <w:t xml:space="preserve">Sastoque </w:t>
      </w:r>
      <w:r w:rsidR="009C0AF3" w:rsidRPr="00907400">
        <w:rPr>
          <w:rFonts w:asciiTheme="majorHAnsi" w:hAnsiTheme="majorHAnsi"/>
          <w:sz w:val="20"/>
          <w:szCs w:val="20"/>
        </w:rPr>
        <w:t>from</w:t>
      </w:r>
      <w:r w:rsidRPr="00907400">
        <w:rPr>
          <w:rFonts w:asciiTheme="majorHAnsi" w:hAnsiTheme="majorHAnsi"/>
          <w:sz w:val="20"/>
          <w:szCs w:val="20"/>
        </w:rPr>
        <w:t xml:space="preserve"> photographs as the </w:t>
      </w:r>
      <w:r w:rsidR="009C0AF3" w:rsidRPr="00907400">
        <w:rPr>
          <w:rFonts w:asciiTheme="majorHAnsi" w:hAnsiTheme="majorHAnsi"/>
          <w:sz w:val="20"/>
          <w:szCs w:val="20"/>
        </w:rPr>
        <w:t>one firing</w:t>
      </w:r>
      <w:r w:rsidR="000F48D7" w:rsidRPr="00907400">
        <w:rPr>
          <w:rFonts w:asciiTheme="majorHAnsi" w:hAnsiTheme="majorHAnsi"/>
          <w:sz w:val="20"/>
          <w:szCs w:val="20"/>
        </w:rPr>
        <w:t xml:space="preserve"> the shots since "by references</w:t>
      </w:r>
      <w:r w:rsidRPr="00907400">
        <w:rPr>
          <w:rFonts w:asciiTheme="majorHAnsi" w:hAnsiTheme="majorHAnsi"/>
          <w:sz w:val="20"/>
          <w:szCs w:val="20"/>
        </w:rPr>
        <w:t xml:space="preserve"> I know </w:t>
      </w:r>
      <w:r w:rsidR="001D284D" w:rsidRPr="00907400">
        <w:rPr>
          <w:rFonts w:asciiTheme="majorHAnsi" w:hAnsiTheme="majorHAnsi"/>
          <w:sz w:val="20"/>
          <w:szCs w:val="20"/>
        </w:rPr>
        <w:t>he was the one who fired</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17"/>
      </w:r>
      <w:r w:rsidRPr="00907400">
        <w:rPr>
          <w:rFonts w:asciiTheme="majorHAnsi" w:hAnsiTheme="majorHAnsi"/>
          <w:sz w:val="20"/>
          <w:szCs w:val="20"/>
        </w:rPr>
        <w:t xml:space="preserve"> The IACHR </w:t>
      </w:r>
      <w:r w:rsidR="001D284D" w:rsidRPr="00907400">
        <w:rPr>
          <w:rFonts w:asciiTheme="majorHAnsi" w:hAnsiTheme="majorHAnsi"/>
          <w:sz w:val="20"/>
          <w:szCs w:val="20"/>
        </w:rPr>
        <w:t>observes</w:t>
      </w:r>
      <w:r w:rsidRPr="00907400">
        <w:rPr>
          <w:rFonts w:asciiTheme="majorHAnsi" w:hAnsiTheme="majorHAnsi"/>
          <w:sz w:val="20"/>
          <w:szCs w:val="20"/>
        </w:rPr>
        <w:t xml:space="preserve"> that </w:t>
      </w:r>
      <w:r w:rsidR="001D284D" w:rsidRPr="00907400">
        <w:rPr>
          <w:rFonts w:asciiTheme="majorHAnsi" w:hAnsiTheme="majorHAnsi"/>
          <w:sz w:val="20"/>
          <w:szCs w:val="20"/>
        </w:rPr>
        <w:t>the witness did not explain these</w:t>
      </w:r>
      <w:r w:rsidRPr="00907400">
        <w:rPr>
          <w:rFonts w:asciiTheme="majorHAnsi" w:hAnsiTheme="majorHAnsi"/>
          <w:sz w:val="20"/>
          <w:szCs w:val="20"/>
        </w:rPr>
        <w:t xml:space="preserve"> "</w:t>
      </w:r>
      <w:r w:rsidR="008F419F" w:rsidRPr="00907400">
        <w:rPr>
          <w:rFonts w:asciiTheme="majorHAnsi" w:hAnsiTheme="majorHAnsi"/>
          <w:sz w:val="20"/>
          <w:szCs w:val="20"/>
        </w:rPr>
        <w:t>references</w:t>
      </w:r>
      <w:r w:rsidRPr="00907400">
        <w:rPr>
          <w:rFonts w:asciiTheme="majorHAnsi" w:hAnsiTheme="majorHAnsi"/>
          <w:sz w:val="20"/>
          <w:szCs w:val="20"/>
        </w:rPr>
        <w:t xml:space="preserve">" and that </w:t>
      </w:r>
      <w:r w:rsidR="001D284D" w:rsidRPr="00907400">
        <w:rPr>
          <w:rFonts w:asciiTheme="majorHAnsi" w:hAnsiTheme="majorHAnsi"/>
          <w:sz w:val="20"/>
          <w:szCs w:val="20"/>
        </w:rPr>
        <w:t xml:space="preserve">no questions appear </w:t>
      </w:r>
      <w:r w:rsidR="00080F86" w:rsidRPr="00907400">
        <w:rPr>
          <w:rFonts w:asciiTheme="majorHAnsi" w:hAnsiTheme="majorHAnsi"/>
          <w:sz w:val="20"/>
          <w:szCs w:val="20"/>
        </w:rPr>
        <w:t xml:space="preserve">to have been asked </w:t>
      </w:r>
      <w:r w:rsidR="001D284D" w:rsidRPr="00907400">
        <w:rPr>
          <w:rFonts w:asciiTheme="majorHAnsi" w:hAnsiTheme="majorHAnsi"/>
          <w:sz w:val="20"/>
          <w:szCs w:val="20"/>
        </w:rPr>
        <w:t>in</w:t>
      </w:r>
      <w:r w:rsidRPr="00907400">
        <w:rPr>
          <w:rFonts w:asciiTheme="majorHAnsi" w:hAnsiTheme="majorHAnsi"/>
          <w:sz w:val="20"/>
          <w:szCs w:val="20"/>
        </w:rPr>
        <w:t xml:space="preserve"> </w:t>
      </w:r>
      <w:r w:rsidR="008F419F" w:rsidRPr="00907400">
        <w:rPr>
          <w:rFonts w:asciiTheme="majorHAnsi" w:hAnsiTheme="majorHAnsi"/>
          <w:sz w:val="20"/>
          <w:szCs w:val="20"/>
        </w:rPr>
        <w:t xml:space="preserve">the </w:t>
      </w:r>
      <w:r w:rsidRPr="00907400">
        <w:rPr>
          <w:rFonts w:asciiTheme="majorHAnsi" w:hAnsiTheme="majorHAnsi"/>
          <w:sz w:val="20"/>
          <w:szCs w:val="20"/>
        </w:rPr>
        <w:t xml:space="preserve">record </w:t>
      </w:r>
      <w:r w:rsidR="008F419F" w:rsidRPr="00907400">
        <w:rPr>
          <w:rFonts w:asciiTheme="majorHAnsi" w:hAnsiTheme="majorHAnsi"/>
          <w:sz w:val="20"/>
          <w:szCs w:val="20"/>
        </w:rPr>
        <w:t xml:space="preserve">of the case </w:t>
      </w:r>
      <w:r w:rsidR="001D284D" w:rsidRPr="00907400">
        <w:rPr>
          <w:rFonts w:asciiTheme="majorHAnsi" w:hAnsiTheme="majorHAnsi"/>
          <w:sz w:val="20"/>
          <w:szCs w:val="20"/>
        </w:rPr>
        <w:t>about this</w:t>
      </w:r>
      <w:r w:rsidRPr="00907400">
        <w:rPr>
          <w:rFonts w:asciiTheme="majorHAnsi" w:hAnsiTheme="majorHAnsi"/>
          <w:sz w:val="20"/>
          <w:szCs w:val="20"/>
        </w:rPr>
        <w:t>.</w:t>
      </w:r>
    </w:p>
    <w:p w14:paraId="1D3E0B86"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04CCE92" w14:textId="77777777" w:rsidR="00E87CA1" w:rsidRPr="00907400" w:rsidRDefault="00E87CA1" w:rsidP="00907400">
      <w:pPr>
        <w:pStyle w:val="Heading2"/>
        <w:spacing w:before="0"/>
        <w:ind w:firstLine="720"/>
        <w:jc w:val="both"/>
        <w:rPr>
          <w:b w:val="0"/>
          <w:sz w:val="20"/>
          <w:szCs w:val="20"/>
        </w:rPr>
      </w:pPr>
      <w:bookmarkStart w:id="6" w:name="_Toc211249795"/>
      <w:r w:rsidRPr="00907400">
        <w:rPr>
          <w:color w:val="auto"/>
          <w:sz w:val="20"/>
          <w:szCs w:val="20"/>
        </w:rPr>
        <w:t>B.</w:t>
      </w:r>
      <w:r w:rsidRPr="00907400">
        <w:rPr>
          <w:color w:val="auto"/>
          <w:sz w:val="20"/>
          <w:szCs w:val="20"/>
        </w:rPr>
        <w:tab/>
        <w:t>Concerning Regional Justice</w:t>
      </w:r>
      <w:bookmarkEnd w:id="6"/>
    </w:p>
    <w:p w14:paraId="4D9DAE66"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5386688" w14:textId="77777777" w:rsidR="00E87CA1" w:rsidRDefault="00E87CA1"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its Third Report on the Situation of Human Rights in Colombia in 1999, the Inter-American Commission </w:t>
      </w:r>
      <w:r w:rsidR="00410EFD" w:rsidRPr="00907400">
        <w:rPr>
          <w:rFonts w:asciiTheme="majorHAnsi" w:hAnsiTheme="majorHAnsi"/>
          <w:sz w:val="20"/>
          <w:szCs w:val="20"/>
        </w:rPr>
        <w:t>commented</w:t>
      </w:r>
      <w:r w:rsidRPr="00907400">
        <w:rPr>
          <w:rFonts w:asciiTheme="majorHAnsi" w:hAnsiTheme="majorHAnsi"/>
          <w:sz w:val="20"/>
          <w:szCs w:val="20"/>
        </w:rPr>
        <w:t xml:space="preserve"> on the so-called "regional justice". In relation to the creation and the time limit of said jurisdiction, the IACHR </w:t>
      </w:r>
      <w:r w:rsidR="00410EFD" w:rsidRPr="00907400">
        <w:rPr>
          <w:rFonts w:asciiTheme="majorHAnsi" w:hAnsiTheme="majorHAnsi"/>
          <w:sz w:val="20"/>
          <w:szCs w:val="20"/>
        </w:rPr>
        <w:t>observed</w:t>
      </w:r>
      <w:r w:rsidRPr="00907400">
        <w:rPr>
          <w:rFonts w:asciiTheme="majorHAnsi" w:hAnsiTheme="majorHAnsi"/>
          <w:sz w:val="20"/>
          <w:szCs w:val="20"/>
        </w:rPr>
        <w:t xml:space="preserve"> the following:</w:t>
      </w:r>
    </w:p>
    <w:p w14:paraId="4FC24353"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A9DB1C6"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 regional justice system has its origin in the laws and emer</w:t>
      </w:r>
      <w:r w:rsidR="00464D48" w:rsidRPr="00907400">
        <w:rPr>
          <w:rFonts w:asciiTheme="majorHAnsi" w:hAnsiTheme="majorHAnsi"/>
          <w:sz w:val="20"/>
          <w:szCs w:val="20"/>
        </w:rPr>
        <w:t xml:space="preserve">gency decrees of the 1980s </w:t>
      </w:r>
      <w:r w:rsidRPr="00907400">
        <w:rPr>
          <w:rFonts w:asciiTheme="majorHAnsi" w:hAnsiTheme="majorHAnsi"/>
          <w:sz w:val="20"/>
          <w:szCs w:val="20"/>
        </w:rPr>
        <w:t>establish</w:t>
      </w:r>
      <w:r w:rsidR="003838F7" w:rsidRPr="00907400">
        <w:rPr>
          <w:rFonts w:asciiTheme="majorHAnsi" w:hAnsiTheme="majorHAnsi"/>
          <w:sz w:val="20"/>
          <w:szCs w:val="20"/>
        </w:rPr>
        <w:t>ing</w:t>
      </w:r>
      <w:r w:rsidRPr="00907400">
        <w:rPr>
          <w:rFonts w:asciiTheme="majorHAnsi" w:hAnsiTheme="majorHAnsi"/>
          <w:sz w:val="20"/>
          <w:szCs w:val="20"/>
        </w:rPr>
        <w:t xml:space="preserve"> </w:t>
      </w:r>
      <w:r w:rsidR="003838F7" w:rsidRPr="00907400">
        <w:rPr>
          <w:rFonts w:asciiTheme="majorHAnsi" w:hAnsiTheme="majorHAnsi"/>
          <w:sz w:val="20"/>
          <w:szCs w:val="20"/>
        </w:rPr>
        <w:t>a</w:t>
      </w:r>
      <w:r w:rsidRPr="00907400">
        <w:rPr>
          <w:rFonts w:asciiTheme="majorHAnsi" w:hAnsiTheme="majorHAnsi"/>
          <w:sz w:val="20"/>
          <w:szCs w:val="20"/>
        </w:rPr>
        <w:t xml:space="preserve"> "public order"</w:t>
      </w:r>
      <w:r w:rsidR="003838F7" w:rsidRPr="00907400">
        <w:rPr>
          <w:rFonts w:asciiTheme="majorHAnsi" w:hAnsiTheme="majorHAnsi"/>
          <w:sz w:val="20"/>
          <w:szCs w:val="20"/>
        </w:rPr>
        <w:t xml:space="preserve"> jurisdiction</w:t>
      </w:r>
      <w:r w:rsidRPr="00907400">
        <w:rPr>
          <w:rFonts w:asciiTheme="majorHAnsi" w:hAnsiTheme="majorHAnsi"/>
          <w:sz w:val="20"/>
          <w:szCs w:val="20"/>
        </w:rPr>
        <w:t xml:space="preserve">. This special jurisdiction was established to </w:t>
      </w:r>
      <w:r w:rsidR="003838F7" w:rsidRPr="00907400">
        <w:rPr>
          <w:rFonts w:asciiTheme="majorHAnsi" w:hAnsiTheme="majorHAnsi"/>
          <w:sz w:val="20"/>
          <w:szCs w:val="20"/>
        </w:rPr>
        <w:t>handle</w:t>
      </w:r>
      <w:r w:rsidRPr="00907400">
        <w:rPr>
          <w:rFonts w:asciiTheme="majorHAnsi" w:hAnsiTheme="majorHAnsi"/>
          <w:sz w:val="20"/>
          <w:szCs w:val="20"/>
        </w:rPr>
        <w:t xml:space="preserve"> cases involving pa</w:t>
      </w:r>
      <w:r w:rsidR="003838F7" w:rsidRPr="00907400">
        <w:rPr>
          <w:rFonts w:asciiTheme="majorHAnsi" w:hAnsiTheme="majorHAnsi"/>
          <w:sz w:val="20"/>
          <w:szCs w:val="20"/>
        </w:rPr>
        <w:t>rticularly serious crimes, (...) which presented</w:t>
      </w:r>
      <w:r w:rsidRPr="00907400">
        <w:rPr>
          <w:rFonts w:asciiTheme="majorHAnsi" w:hAnsiTheme="majorHAnsi"/>
          <w:sz w:val="20"/>
          <w:szCs w:val="20"/>
        </w:rPr>
        <w:t xml:space="preserve"> special risks </w:t>
      </w:r>
      <w:r w:rsidR="003838F7" w:rsidRPr="00907400">
        <w:rPr>
          <w:rFonts w:asciiTheme="majorHAnsi" w:hAnsiTheme="majorHAnsi"/>
          <w:sz w:val="20"/>
          <w:szCs w:val="20"/>
        </w:rPr>
        <w:t>to those involved</w:t>
      </w:r>
      <w:r w:rsidRPr="00907400">
        <w:rPr>
          <w:rFonts w:asciiTheme="majorHAnsi" w:hAnsiTheme="majorHAnsi"/>
          <w:sz w:val="20"/>
          <w:szCs w:val="20"/>
        </w:rPr>
        <w:t xml:space="preserve"> </w:t>
      </w:r>
      <w:r w:rsidR="003838F7" w:rsidRPr="00907400">
        <w:rPr>
          <w:rFonts w:asciiTheme="majorHAnsi" w:hAnsiTheme="majorHAnsi"/>
          <w:sz w:val="20"/>
          <w:szCs w:val="20"/>
        </w:rPr>
        <w:t>in</w:t>
      </w:r>
      <w:r w:rsidRPr="00907400">
        <w:rPr>
          <w:rFonts w:asciiTheme="majorHAnsi" w:hAnsiTheme="majorHAnsi"/>
          <w:sz w:val="20"/>
          <w:szCs w:val="20"/>
        </w:rPr>
        <w:t xml:space="preserve"> the administration of justice. </w:t>
      </w:r>
      <w:r w:rsidR="003838F7" w:rsidRPr="00907400">
        <w:rPr>
          <w:rFonts w:asciiTheme="majorHAnsi" w:hAnsiTheme="majorHAnsi"/>
          <w:sz w:val="20"/>
          <w:szCs w:val="20"/>
        </w:rPr>
        <w:t>Additional</w:t>
      </w:r>
      <w:r w:rsidRPr="00907400">
        <w:rPr>
          <w:rFonts w:asciiTheme="majorHAnsi" w:hAnsiTheme="majorHAnsi"/>
          <w:sz w:val="20"/>
          <w:szCs w:val="20"/>
        </w:rPr>
        <w:t xml:space="preserve"> emergency decrees issued in 1990 and 1991 restructured the public order </w:t>
      </w:r>
      <w:r w:rsidR="003838F7" w:rsidRPr="00907400">
        <w:rPr>
          <w:rFonts w:asciiTheme="majorHAnsi" w:hAnsiTheme="majorHAnsi"/>
          <w:sz w:val="20"/>
          <w:szCs w:val="20"/>
        </w:rPr>
        <w:t xml:space="preserve">jurisdiction </w:t>
      </w:r>
      <w:r w:rsidRPr="00907400">
        <w:rPr>
          <w:rFonts w:asciiTheme="majorHAnsi" w:hAnsiTheme="majorHAnsi"/>
          <w:sz w:val="20"/>
          <w:szCs w:val="20"/>
        </w:rPr>
        <w:t xml:space="preserve">and established special measures for the protection of those </w:t>
      </w:r>
      <w:r w:rsidR="003838F7" w:rsidRPr="00907400">
        <w:rPr>
          <w:rFonts w:asciiTheme="majorHAnsi" w:hAnsiTheme="majorHAnsi"/>
          <w:sz w:val="20"/>
          <w:szCs w:val="20"/>
        </w:rPr>
        <w:t>involved</w:t>
      </w:r>
      <w:r w:rsidRPr="00907400">
        <w:rPr>
          <w:rFonts w:asciiTheme="majorHAnsi" w:hAnsiTheme="majorHAnsi"/>
          <w:sz w:val="20"/>
          <w:szCs w:val="20"/>
        </w:rPr>
        <w:t xml:space="preserve"> in the process. These new measures included a provision to </w:t>
      </w:r>
      <w:r w:rsidR="003838F7" w:rsidRPr="00907400">
        <w:rPr>
          <w:rFonts w:asciiTheme="majorHAnsi" w:hAnsiTheme="majorHAnsi"/>
          <w:sz w:val="20"/>
          <w:szCs w:val="20"/>
        </w:rPr>
        <w:t>maintain secret</w:t>
      </w:r>
      <w:r w:rsidRPr="00907400">
        <w:rPr>
          <w:rFonts w:asciiTheme="majorHAnsi" w:hAnsiTheme="majorHAnsi"/>
          <w:sz w:val="20"/>
          <w:szCs w:val="20"/>
        </w:rPr>
        <w:t xml:space="preserve"> the identity of thos</w:t>
      </w:r>
      <w:r w:rsidR="003838F7" w:rsidRPr="00907400">
        <w:rPr>
          <w:rFonts w:asciiTheme="majorHAnsi" w:hAnsiTheme="majorHAnsi"/>
          <w:sz w:val="20"/>
          <w:szCs w:val="20"/>
        </w:rPr>
        <w:t>e involved in the proceedings</w:t>
      </w:r>
      <w:r w:rsidRPr="00907400">
        <w:rPr>
          <w:rFonts w:asciiTheme="majorHAnsi" w:hAnsiTheme="majorHAnsi"/>
          <w:sz w:val="20"/>
          <w:szCs w:val="20"/>
        </w:rPr>
        <w:t xml:space="preserve">, including </w:t>
      </w:r>
      <w:r w:rsidR="003838F7" w:rsidRPr="00907400">
        <w:rPr>
          <w:rFonts w:asciiTheme="majorHAnsi" w:hAnsiTheme="majorHAnsi"/>
          <w:sz w:val="20"/>
          <w:szCs w:val="20"/>
        </w:rPr>
        <w:t xml:space="preserve">the </w:t>
      </w:r>
      <w:r w:rsidRPr="00907400">
        <w:rPr>
          <w:rFonts w:asciiTheme="majorHAnsi" w:hAnsiTheme="majorHAnsi"/>
          <w:sz w:val="20"/>
          <w:szCs w:val="20"/>
        </w:rPr>
        <w:t>judges and prosecutors.</w:t>
      </w:r>
    </w:p>
    <w:p w14:paraId="3EB9E4FA"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7C9221CF" w14:textId="77777777" w:rsidR="00E87CA1" w:rsidRPr="00907400" w:rsidRDefault="007F11E5"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Pursuant to</w:t>
      </w:r>
      <w:r w:rsidR="00E87CA1" w:rsidRPr="00907400">
        <w:rPr>
          <w:rFonts w:asciiTheme="majorHAnsi" w:hAnsiTheme="majorHAnsi"/>
          <w:sz w:val="20"/>
          <w:szCs w:val="20"/>
        </w:rPr>
        <w:t xml:space="preserve"> authority granted by a transitory provision of the 1991 Constitution, a special legislative commission converted these decrees into permanent legislation. At the same time, it was </w:t>
      </w:r>
      <w:r w:rsidRPr="00907400">
        <w:rPr>
          <w:rFonts w:asciiTheme="majorHAnsi" w:hAnsiTheme="majorHAnsi"/>
          <w:sz w:val="20"/>
          <w:szCs w:val="20"/>
        </w:rPr>
        <w:t>established</w:t>
      </w:r>
      <w:r w:rsidR="00E87CA1" w:rsidRPr="00907400">
        <w:rPr>
          <w:rFonts w:asciiTheme="majorHAnsi" w:hAnsiTheme="majorHAnsi"/>
          <w:sz w:val="20"/>
          <w:szCs w:val="20"/>
        </w:rPr>
        <w:t xml:space="preserve"> that this special jurisdiction would expire in </w:t>
      </w:r>
      <w:r w:rsidRPr="00907400">
        <w:rPr>
          <w:rFonts w:asciiTheme="majorHAnsi" w:hAnsiTheme="majorHAnsi"/>
          <w:sz w:val="20"/>
          <w:szCs w:val="20"/>
        </w:rPr>
        <w:t>the year 2002. However, a 1996</w:t>
      </w:r>
      <w:r w:rsidR="00E87CA1" w:rsidRPr="00907400">
        <w:rPr>
          <w:rFonts w:asciiTheme="majorHAnsi" w:hAnsiTheme="majorHAnsi"/>
          <w:sz w:val="20"/>
          <w:szCs w:val="20"/>
        </w:rPr>
        <w:t xml:space="preserve"> </w:t>
      </w:r>
      <w:r w:rsidR="00E87CA1" w:rsidRPr="00907400">
        <w:rPr>
          <w:rFonts w:asciiTheme="majorHAnsi" w:hAnsiTheme="majorHAnsi"/>
          <w:sz w:val="20"/>
          <w:szCs w:val="20"/>
        </w:rPr>
        <w:lastRenderedPageBreak/>
        <w:t xml:space="preserve">law reduced that </w:t>
      </w:r>
      <w:r w:rsidRPr="00907400">
        <w:rPr>
          <w:rFonts w:asciiTheme="majorHAnsi" w:hAnsiTheme="majorHAnsi"/>
          <w:sz w:val="20"/>
          <w:szCs w:val="20"/>
        </w:rPr>
        <w:t xml:space="preserve">time </w:t>
      </w:r>
      <w:r w:rsidR="00E87CA1" w:rsidRPr="00907400">
        <w:rPr>
          <w:rFonts w:asciiTheme="majorHAnsi" w:hAnsiTheme="majorHAnsi"/>
          <w:sz w:val="20"/>
          <w:szCs w:val="20"/>
        </w:rPr>
        <w:t xml:space="preserve">period and </w:t>
      </w:r>
      <w:r w:rsidRPr="00907400">
        <w:rPr>
          <w:rFonts w:asciiTheme="majorHAnsi" w:hAnsiTheme="majorHAnsi"/>
          <w:sz w:val="20"/>
          <w:szCs w:val="20"/>
        </w:rPr>
        <w:t>dictated</w:t>
      </w:r>
      <w:r w:rsidR="00E87CA1" w:rsidRPr="00907400">
        <w:rPr>
          <w:rFonts w:asciiTheme="majorHAnsi" w:hAnsiTheme="majorHAnsi"/>
          <w:sz w:val="20"/>
          <w:szCs w:val="20"/>
        </w:rPr>
        <w:t xml:space="preserve"> that the regional justice system </w:t>
      </w:r>
      <w:r w:rsidRPr="00907400">
        <w:rPr>
          <w:rFonts w:asciiTheme="majorHAnsi" w:hAnsiTheme="majorHAnsi"/>
          <w:sz w:val="20"/>
          <w:szCs w:val="20"/>
        </w:rPr>
        <w:t>must</w:t>
      </w:r>
      <w:r w:rsidR="00E87CA1" w:rsidRPr="00907400">
        <w:rPr>
          <w:rFonts w:asciiTheme="majorHAnsi" w:hAnsiTheme="majorHAnsi"/>
          <w:sz w:val="20"/>
          <w:szCs w:val="20"/>
        </w:rPr>
        <w:t xml:space="preserve"> cease to exist on June 30, 1999.</w:t>
      </w:r>
    </w:p>
    <w:p w14:paraId="0D27FDFC"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524762B8" w14:textId="77777777" w:rsidR="00E87CA1" w:rsidRPr="00907400" w:rsidRDefault="00E87CA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In practice, </w:t>
      </w:r>
      <w:r w:rsidR="007F11E5" w:rsidRPr="00907400">
        <w:rPr>
          <w:rFonts w:asciiTheme="majorHAnsi" w:hAnsiTheme="majorHAnsi"/>
          <w:sz w:val="20"/>
          <w:szCs w:val="20"/>
        </w:rPr>
        <w:t>a wide array of cases is processed by the regional justice system</w:t>
      </w:r>
      <w:r w:rsidRPr="00907400">
        <w:rPr>
          <w:rFonts w:asciiTheme="majorHAnsi" w:hAnsiTheme="majorHAnsi"/>
          <w:sz w:val="20"/>
          <w:szCs w:val="20"/>
        </w:rPr>
        <w:t xml:space="preserve">. (...) </w:t>
      </w:r>
      <w:r w:rsidR="007F11E5" w:rsidRPr="00907400">
        <w:rPr>
          <w:rFonts w:asciiTheme="majorHAnsi" w:hAnsiTheme="majorHAnsi"/>
          <w:sz w:val="20"/>
          <w:szCs w:val="20"/>
        </w:rPr>
        <w:t>Because</w:t>
      </w:r>
      <w:r w:rsidRPr="00907400">
        <w:rPr>
          <w:rFonts w:asciiTheme="majorHAnsi" w:hAnsiTheme="majorHAnsi"/>
          <w:sz w:val="20"/>
          <w:szCs w:val="20"/>
        </w:rPr>
        <w:t xml:space="preserve"> the jurisdiction of regional justice </w:t>
      </w:r>
      <w:r w:rsidR="007F11E5" w:rsidRPr="00907400">
        <w:rPr>
          <w:rFonts w:asciiTheme="majorHAnsi" w:hAnsiTheme="majorHAnsi"/>
          <w:sz w:val="20"/>
          <w:szCs w:val="20"/>
        </w:rPr>
        <w:t>system is not clearly delineated</w:t>
      </w:r>
      <w:r w:rsidRPr="00907400">
        <w:rPr>
          <w:rFonts w:asciiTheme="majorHAnsi" w:hAnsiTheme="majorHAnsi"/>
          <w:sz w:val="20"/>
          <w:szCs w:val="20"/>
        </w:rPr>
        <w:t xml:space="preserve">, </w:t>
      </w:r>
      <w:r w:rsidR="007F11E5" w:rsidRPr="00907400">
        <w:rPr>
          <w:rFonts w:asciiTheme="majorHAnsi" w:hAnsiTheme="majorHAnsi"/>
          <w:sz w:val="20"/>
          <w:szCs w:val="20"/>
        </w:rPr>
        <w:t>many</w:t>
      </w:r>
      <w:r w:rsidRPr="00907400">
        <w:rPr>
          <w:rFonts w:asciiTheme="majorHAnsi" w:hAnsiTheme="majorHAnsi"/>
          <w:sz w:val="20"/>
          <w:szCs w:val="20"/>
        </w:rPr>
        <w:t xml:space="preserve"> </w:t>
      </w:r>
      <w:r w:rsidR="007F11E5" w:rsidRPr="00907400">
        <w:rPr>
          <w:rFonts w:asciiTheme="majorHAnsi" w:hAnsiTheme="majorHAnsi"/>
          <w:sz w:val="20"/>
          <w:szCs w:val="20"/>
        </w:rPr>
        <w:t xml:space="preserve">different types of </w:t>
      </w:r>
      <w:r w:rsidRPr="00907400">
        <w:rPr>
          <w:rFonts w:asciiTheme="majorHAnsi" w:hAnsiTheme="majorHAnsi"/>
          <w:sz w:val="20"/>
          <w:szCs w:val="20"/>
        </w:rPr>
        <w:t xml:space="preserve">crimes at least </w:t>
      </w:r>
      <w:r w:rsidR="007F11E5" w:rsidRPr="00907400">
        <w:rPr>
          <w:rFonts w:asciiTheme="majorHAnsi" w:hAnsiTheme="majorHAnsi"/>
          <w:sz w:val="20"/>
          <w:szCs w:val="20"/>
        </w:rPr>
        <w:t>begin their processing</w:t>
      </w:r>
      <w:r w:rsidRPr="00907400">
        <w:rPr>
          <w:rFonts w:asciiTheme="majorHAnsi" w:hAnsiTheme="majorHAnsi"/>
          <w:sz w:val="20"/>
          <w:szCs w:val="20"/>
        </w:rPr>
        <w:t xml:space="preserve"> in this system. (...) The vague description of the jurisdiction of</w:t>
      </w:r>
      <w:r w:rsidR="000B4F9F" w:rsidRPr="00907400">
        <w:rPr>
          <w:rFonts w:asciiTheme="majorHAnsi" w:hAnsiTheme="majorHAnsi"/>
          <w:sz w:val="20"/>
          <w:szCs w:val="20"/>
        </w:rPr>
        <w:t xml:space="preserve"> the</w:t>
      </w:r>
      <w:r w:rsidRPr="00907400">
        <w:rPr>
          <w:rFonts w:asciiTheme="majorHAnsi" w:hAnsiTheme="majorHAnsi"/>
          <w:sz w:val="20"/>
          <w:szCs w:val="20"/>
        </w:rPr>
        <w:t xml:space="preserve"> regional justice </w:t>
      </w:r>
      <w:r w:rsidR="001913EB" w:rsidRPr="00907400">
        <w:rPr>
          <w:rFonts w:asciiTheme="majorHAnsi" w:hAnsiTheme="majorHAnsi"/>
          <w:sz w:val="20"/>
          <w:szCs w:val="20"/>
        </w:rPr>
        <w:t xml:space="preserve">system </w:t>
      </w:r>
      <w:r w:rsidRPr="00907400">
        <w:rPr>
          <w:rFonts w:asciiTheme="majorHAnsi" w:hAnsiTheme="majorHAnsi"/>
          <w:sz w:val="20"/>
          <w:szCs w:val="20"/>
        </w:rPr>
        <w:t xml:space="preserve">also </w:t>
      </w:r>
      <w:r w:rsidR="001913EB" w:rsidRPr="00907400">
        <w:rPr>
          <w:rFonts w:asciiTheme="majorHAnsi" w:hAnsiTheme="majorHAnsi"/>
          <w:sz w:val="20"/>
          <w:szCs w:val="20"/>
        </w:rPr>
        <w:t>leads to</w:t>
      </w:r>
      <w:r w:rsidRPr="00907400">
        <w:rPr>
          <w:rFonts w:asciiTheme="majorHAnsi" w:hAnsiTheme="majorHAnsi"/>
          <w:sz w:val="20"/>
          <w:szCs w:val="20"/>
        </w:rPr>
        <w:t xml:space="preserve"> a situation in which certain individu</w:t>
      </w:r>
      <w:r w:rsidR="001913EB" w:rsidRPr="00907400">
        <w:rPr>
          <w:rFonts w:asciiTheme="majorHAnsi" w:hAnsiTheme="majorHAnsi"/>
          <w:sz w:val="20"/>
          <w:szCs w:val="20"/>
        </w:rPr>
        <w:t>als with resources or influence</w:t>
      </w:r>
      <w:r w:rsidRPr="00907400">
        <w:rPr>
          <w:rFonts w:asciiTheme="majorHAnsi" w:hAnsiTheme="majorHAnsi"/>
          <w:sz w:val="20"/>
          <w:szCs w:val="20"/>
        </w:rPr>
        <w:t xml:space="preserve"> </w:t>
      </w:r>
      <w:r w:rsidR="001913EB" w:rsidRPr="00907400">
        <w:rPr>
          <w:rFonts w:asciiTheme="majorHAnsi" w:hAnsiTheme="majorHAnsi"/>
          <w:sz w:val="20"/>
          <w:szCs w:val="20"/>
        </w:rPr>
        <w:t xml:space="preserve">may avoid this jurisdiction </w:t>
      </w:r>
      <w:r w:rsidRPr="00907400">
        <w:rPr>
          <w:rFonts w:asciiTheme="majorHAnsi" w:hAnsiTheme="majorHAnsi"/>
          <w:sz w:val="20"/>
          <w:szCs w:val="20"/>
        </w:rPr>
        <w:t xml:space="preserve">while less fortunate </w:t>
      </w:r>
      <w:r w:rsidR="001913EB" w:rsidRPr="00907400">
        <w:rPr>
          <w:rFonts w:asciiTheme="majorHAnsi" w:hAnsiTheme="majorHAnsi"/>
          <w:sz w:val="20"/>
          <w:szCs w:val="20"/>
        </w:rPr>
        <w:t>individuals</w:t>
      </w:r>
      <w:r w:rsidRPr="00907400">
        <w:rPr>
          <w:rFonts w:asciiTheme="majorHAnsi" w:hAnsiTheme="majorHAnsi"/>
          <w:sz w:val="20"/>
          <w:szCs w:val="20"/>
        </w:rPr>
        <w:t xml:space="preserve"> </w:t>
      </w:r>
      <w:r w:rsidR="001913EB" w:rsidRPr="00907400">
        <w:rPr>
          <w:rFonts w:asciiTheme="majorHAnsi" w:hAnsiTheme="majorHAnsi"/>
          <w:sz w:val="20"/>
          <w:szCs w:val="20"/>
        </w:rPr>
        <w:t>are unable</w:t>
      </w:r>
      <w:r w:rsidRPr="00907400">
        <w:rPr>
          <w:rFonts w:asciiTheme="majorHAnsi" w:hAnsiTheme="majorHAnsi"/>
          <w:sz w:val="20"/>
          <w:szCs w:val="20"/>
        </w:rPr>
        <w:t xml:space="preserve"> to do so.</w:t>
      </w:r>
      <w:r w:rsidR="00CE6802" w:rsidRPr="00907400">
        <w:rPr>
          <w:rStyle w:val="FootnoteReference"/>
          <w:rFonts w:asciiTheme="majorHAnsi" w:hAnsiTheme="majorHAnsi"/>
          <w:sz w:val="20"/>
          <w:szCs w:val="20"/>
        </w:rPr>
        <w:t xml:space="preserve"> </w:t>
      </w:r>
      <w:r w:rsidR="00CE6802" w:rsidRPr="00907400">
        <w:rPr>
          <w:rStyle w:val="FootnoteReference"/>
          <w:rFonts w:asciiTheme="majorHAnsi" w:hAnsiTheme="majorHAnsi"/>
          <w:sz w:val="20"/>
          <w:szCs w:val="20"/>
        </w:rPr>
        <w:footnoteReference w:id="18"/>
      </w:r>
    </w:p>
    <w:p w14:paraId="17A31333"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62443A6" w14:textId="77777777" w:rsidR="000D5BFD" w:rsidRPr="00907400" w:rsidRDefault="00F75E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In that report, the IACHR highlighted that "one of the most criticized aspects of the regional justice system" is the use of "secret" or "faceless" prosecutors, judges and witnesses. On this aspect, the Commission held the following:</w:t>
      </w:r>
    </w:p>
    <w:p w14:paraId="18441305"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69A66E2"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reserve of the identity of </w:t>
      </w:r>
      <w:r w:rsidR="004512CB" w:rsidRPr="00907400">
        <w:rPr>
          <w:rFonts w:asciiTheme="majorHAnsi" w:hAnsiTheme="majorHAnsi"/>
          <w:sz w:val="20"/>
          <w:szCs w:val="20"/>
        </w:rPr>
        <w:t>crucial actors in the criminal proceeding</w:t>
      </w:r>
      <w:r w:rsidRPr="00907400">
        <w:rPr>
          <w:rFonts w:asciiTheme="majorHAnsi" w:hAnsiTheme="majorHAnsi"/>
          <w:sz w:val="20"/>
          <w:szCs w:val="20"/>
        </w:rPr>
        <w:t xml:space="preserve"> has been a central element in this jurisdiction. </w:t>
      </w:r>
      <w:r w:rsidR="004512CB" w:rsidRPr="00907400">
        <w:rPr>
          <w:rFonts w:asciiTheme="majorHAnsi" w:hAnsiTheme="majorHAnsi"/>
          <w:sz w:val="20"/>
          <w:szCs w:val="20"/>
        </w:rPr>
        <w:t>R</w:t>
      </w:r>
      <w:r w:rsidRPr="00907400">
        <w:rPr>
          <w:rFonts w:asciiTheme="majorHAnsi" w:hAnsiTheme="majorHAnsi"/>
          <w:sz w:val="20"/>
          <w:szCs w:val="20"/>
        </w:rPr>
        <w:t xml:space="preserve">eforms implemented in 1996 by the </w:t>
      </w:r>
      <w:r w:rsidR="004512CB" w:rsidRPr="00907400">
        <w:rPr>
          <w:rFonts w:asciiTheme="majorHAnsi" w:hAnsiTheme="majorHAnsi"/>
          <w:sz w:val="20"/>
          <w:szCs w:val="20"/>
        </w:rPr>
        <w:t>Office of the Prosecutor General of the Nation</w:t>
      </w:r>
      <w:r w:rsidRPr="00907400">
        <w:rPr>
          <w:rFonts w:asciiTheme="majorHAnsi" w:hAnsiTheme="majorHAnsi"/>
          <w:sz w:val="20"/>
          <w:szCs w:val="20"/>
        </w:rPr>
        <w:t xml:space="preserve"> sought to limit the use of anonymity in the </w:t>
      </w:r>
      <w:r w:rsidR="004512CB" w:rsidRPr="00907400">
        <w:rPr>
          <w:rFonts w:asciiTheme="majorHAnsi" w:hAnsiTheme="majorHAnsi"/>
          <w:sz w:val="20"/>
          <w:szCs w:val="20"/>
        </w:rPr>
        <w:t>proceedings in the regional justice system</w:t>
      </w:r>
      <w:r w:rsidRPr="00907400">
        <w:rPr>
          <w:rFonts w:asciiTheme="majorHAnsi" w:hAnsiTheme="majorHAnsi"/>
          <w:sz w:val="20"/>
          <w:szCs w:val="20"/>
        </w:rPr>
        <w:t xml:space="preserve">. The Prosecutor General </w:t>
      </w:r>
      <w:r w:rsidR="004512CB" w:rsidRPr="00907400">
        <w:rPr>
          <w:rFonts w:asciiTheme="majorHAnsi" w:hAnsiTheme="majorHAnsi"/>
          <w:sz w:val="20"/>
          <w:szCs w:val="20"/>
        </w:rPr>
        <w:t>issued a resolution</w:t>
      </w:r>
      <w:r w:rsidRPr="00907400">
        <w:rPr>
          <w:rFonts w:asciiTheme="majorHAnsi" w:hAnsiTheme="majorHAnsi"/>
          <w:sz w:val="20"/>
          <w:szCs w:val="20"/>
        </w:rPr>
        <w:t xml:space="preserve"> providing that the use o</w:t>
      </w:r>
      <w:r w:rsidR="004512CB" w:rsidRPr="00907400">
        <w:rPr>
          <w:rFonts w:asciiTheme="majorHAnsi" w:hAnsiTheme="majorHAnsi"/>
          <w:sz w:val="20"/>
          <w:szCs w:val="20"/>
        </w:rPr>
        <w:t>f reserve</w:t>
      </w:r>
      <w:r w:rsidRPr="00907400">
        <w:rPr>
          <w:rFonts w:asciiTheme="majorHAnsi" w:hAnsiTheme="majorHAnsi"/>
          <w:sz w:val="20"/>
          <w:szCs w:val="20"/>
        </w:rPr>
        <w:t xml:space="preserve"> of the identity </w:t>
      </w:r>
      <w:r w:rsidR="004512CB" w:rsidRPr="00907400">
        <w:rPr>
          <w:rFonts w:asciiTheme="majorHAnsi" w:hAnsiTheme="majorHAnsi"/>
          <w:sz w:val="20"/>
          <w:szCs w:val="20"/>
        </w:rPr>
        <w:t>for</w:t>
      </w:r>
      <w:r w:rsidRPr="00907400">
        <w:rPr>
          <w:rFonts w:asciiTheme="majorHAnsi" w:hAnsiTheme="majorHAnsi"/>
          <w:sz w:val="20"/>
          <w:szCs w:val="20"/>
        </w:rPr>
        <w:t xml:space="preserve"> judicial authorities would only be used as an exception measure. In addition, it was established that </w:t>
      </w:r>
      <w:r w:rsidR="004512CB" w:rsidRPr="00907400">
        <w:rPr>
          <w:rFonts w:asciiTheme="majorHAnsi" w:hAnsiTheme="majorHAnsi"/>
          <w:sz w:val="20"/>
          <w:szCs w:val="20"/>
        </w:rPr>
        <w:t>a conviction</w:t>
      </w:r>
      <w:r w:rsidRPr="00907400">
        <w:rPr>
          <w:rFonts w:asciiTheme="majorHAnsi" w:hAnsiTheme="majorHAnsi"/>
          <w:sz w:val="20"/>
          <w:szCs w:val="20"/>
        </w:rPr>
        <w:t xml:space="preserve"> could not be based on evidence provided by anonymous witnesses</w:t>
      </w:r>
      <w:r w:rsidR="004512CB" w:rsidRPr="00907400">
        <w:rPr>
          <w:rFonts w:asciiTheme="majorHAnsi" w:hAnsiTheme="majorHAnsi"/>
          <w:sz w:val="20"/>
          <w:szCs w:val="20"/>
        </w:rPr>
        <w:t xml:space="preserve"> alone</w:t>
      </w:r>
      <w:r w:rsidRPr="00907400">
        <w:rPr>
          <w:rFonts w:asciiTheme="majorHAnsi" w:hAnsiTheme="majorHAnsi"/>
          <w:sz w:val="20"/>
          <w:szCs w:val="20"/>
        </w:rPr>
        <w:t xml:space="preserve">. The Commission considers that these restrictions constitute an important, </w:t>
      </w:r>
      <w:r w:rsidR="004512CB" w:rsidRPr="00907400">
        <w:rPr>
          <w:rFonts w:asciiTheme="majorHAnsi" w:hAnsiTheme="majorHAnsi"/>
          <w:sz w:val="20"/>
          <w:szCs w:val="20"/>
        </w:rPr>
        <w:t>although insufficient, step</w:t>
      </w:r>
      <w:r w:rsidRPr="00907400">
        <w:rPr>
          <w:rFonts w:asciiTheme="majorHAnsi" w:hAnsiTheme="majorHAnsi"/>
          <w:sz w:val="20"/>
          <w:szCs w:val="20"/>
        </w:rPr>
        <w:t xml:space="preserve"> limit</w:t>
      </w:r>
      <w:r w:rsidR="004512CB" w:rsidRPr="00907400">
        <w:rPr>
          <w:rFonts w:asciiTheme="majorHAnsi" w:hAnsiTheme="majorHAnsi"/>
          <w:sz w:val="20"/>
          <w:szCs w:val="20"/>
        </w:rPr>
        <w:t>ing</w:t>
      </w:r>
      <w:r w:rsidRPr="00907400">
        <w:rPr>
          <w:rFonts w:asciiTheme="majorHAnsi" w:hAnsiTheme="majorHAnsi"/>
          <w:sz w:val="20"/>
          <w:szCs w:val="20"/>
        </w:rPr>
        <w:t xml:space="preserve"> the arbitrariness imposed by </w:t>
      </w:r>
      <w:r w:rsidR="004512CB" w:rsidRPr="00907400">
        <w:rPr>
          <w:rFonts w:asciiTheme="majorHAnsi" w:hAnsiTheme="majorHAnsi"/>
          <w:sz w:val="20"/>
          <w:szCs w:val="20"/>
        </w:rPr>
        <w:t xml:space="preserve">the </w:t>
      </w:r>
      <w:r w:rsidRPr="00907400">
        <w:rPr>
          <w:rFonts w:asciiTheme="majorHAnsi" w:hAnsiTheme="majorHAnsi"/>
          <w:sz w:val="20"/>
          <w:szCs w:val="20"/>
        </w:rPr>
        <w:t>"faceless</w:t>
      </w:r>
      <w:r w:rsidR="004512CB" w:rsidRPr="00907400">
        <w:rPr>
          <w:rFonts w:asciiTheme="majorHAnsi" w:hAnsiTheme="majorHAnsi"/>
          <w:sz w:val="20"/>
          <w:szCs w:val="20"/>
        </w:rPr>
        <w:t>” justice system</w:t>
      </w:r>
      <w:r w:rsidRPr="00907400">
        <w:rPr>
          <w:rFonts w:asciiTheme="majorHAnsi" w:hAnsiTheme="majorHAnsi"/>
          <w:sz w:val="20"/>
          <w:szCs w:val="20"/>
        </w:rPr>
        <w:t>.</w:t>
      </w:r>
    </w:p>
    <w:p w14:paraId="6C69AB30"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r w:rsidR="006721ED" w:rsidRPr="00907400">
        <w:rPr>
          <w:rFonts w:asciiTheme="majorHAnsi" w:hAnsiTheme="majorHAnsi"/>
          <w:sz w:val="20"/>
          <w:szCs w:val="20"/>
        </w:rPr>
        <w:t xml:space="preserve"> </w:t>
      </w:r>
      <w:r w:rsidRPr="00907400">
        <w:rPr>
          <w:rFonts w:asciiTheme="majorHAnsi" w:hAnsiTheme="majorHAnsi"/>
          <w:sz w:val="20"/>
          <w:szCs w:val="20"/>
        </w:rPr>
        <w:t xml:space="preserve">In the context of Colombia and other countries, the Commission has repeatedly </w:t>
      </w:r>
      <w:r w:rsidR="006721ED" w:rsidRPr="00907400">
        <w:rPr>
          <w:rFonts w:asciiTheme="majorHAnsi" w:hAnsiTheme="majorHAnsi"/>
          <w:sz w:val="20"/>
          <w:szCs w:val="20"/>
        </w:rPr>
        <w:t>noted that "faceless" justice</w:t>
      </w:r>
      <w:r w:rsidRPr="00907400">
        <w:rPr>
          <w:rFonts w:asciiTheme="majorHAnsi" w:hAnsiTheme="majorHAnsi"/>
          <w:sz w:val="20"/>
          <w:szCs w:val="20"/>
        </w:rPr>
        <w:t xml:space="preserve"> systems do not provide adequate due process </w:t>
      </w:r>
      <w:r w:rsidR="006721ED" w:rsidRPr="00907400">
        <w:rPr>
          <w:rFonts w:asciiTheme="majorHAnsi" w:hAnsiTheme="majorHAnsi"/>
          <w:sz w:val="20"/>
          <w:szCs w:val="20"/>
        </w:rPr>
        <w:t>guarantees for criminal defendants</w:t>
      </w:r>
      <w:r w:rsidRPr="00907400">
        <w:rPr>
          <w:rFonts w:asciiTheme="majorHAnsi" w:hAnsiTheme="majorHAnsi"/>
          <w:sz w:val="20"/>
          <w:szCs w:val="20"/>
        </w:rPr>
        <w:t>.</w:t>
      </w:r>
    </w:p>
    <w:p w14:paraId="2CD94E65"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 These dangers, </w:t>
      </w:r>
      <w:r w:rsidR="000F2C5B" w:rsidRPr="00907400">
        <w:rPr>
          <w:rFonts w:asciiTheme="majorHAnsi" w:hAnsiTheme="majorHAnsi"/>
          <w:sz w:val="20"/>
          <w:szCs w:val="20"/>
        </w:rPr>
        <w:t>inherent</w:t>
      </w:r>
      <w:r w:rsidRPr="00907400">
        <w:rPr>
          <w:rFonts w:asciiTheme="majorHAnsi" w:hAnsiTheme="majorHAnsi"/>
          <w:sz w:val="20"/>
          <w:szCs w:val="20"/>
        </w:rPr>
        <w:t xml:space="preserve"> </w:t>
      </w:r>
      <w:r w:rsidR="000F2C5B" w:rsidRPr="00907400">
        <w:rPr>
          <w:rFonts w:asciiTheme="majorHAnsi" w:hAnsiTheme="majorHAnsi"/>
          <w:sz w:val="20"/>
          <w:szCs w:val="20"/>
        </w:rPr>
        <w:t>in a criminal</w:t>
      </w:r>
      <w:r w:rsidRPr="00907400">
        <w:rPr>
          <w:rFonts w:asciiTheme="majorHAnsi" w:hAnsiTheme="majorHAnsi"/>
          <w:sz w:val="20"/>
          <w:szCs w:val="20"/>
        </w:rPr>
        <w:t xml:space="preserve"> </w:t>
      </w:r>
      <w:r w:rsidR="00A433FF" w:rsidRPr="00907400">
        <w:rPr>
          <w:rFonts w:asciiTheme="majorHAnsi" w:hAnsiTheme="majorHAnsi"/>
          <w:sz w:val="20"/>
          <w:szCs w:val="20"/>
        </w:rPr>
        <w:t>system, which</w:t>
      </w:r>
      <w:r w:rsidR="000F2C5B" w:rsidRPr="00907400">
        <w:rPr>
          <w:rFonts w:asciiTheme="majorHAnsi" w:hAnsiTheme="majorHAnsi"/>
          <w:sz w:val="20"/>
          <w:szCs w:val="20"/>
        </w:rPr>
        <w:t xml:space="preserve"> provides for the</w:t>
      </w:r>
      <w:r w:rsidRPr="00907400">
        <w:rPr>
          <w:rFonts w:asciiTheme="majorHAnsi" w:hAnsiTheme="majorHAnsi"/>
          <w:sz w:val="20"/>
          <w:szCs w:val="20"/>
        </w:rPr>
        <w:t xml:space="preserve"> anonymity </w:t>
      </w:r>
      <w:r w:rsidR="000F2C5B" w:rsidRPr="00907400">
        <w:rPr>
          <w:rFonts w:asciiTheme="majorHAnsi" w:hAnsiTheme="majorHAnsi"/>
          <w:sz w:val="20"/>
          <w:szCs w:val="20"/>
        </w:rPr>
        <w:t>of its</w:t>
      </w:r>
      <w:r w:rsidRPr="00907400">
        <w:rPr>
          <w:rFonts w:asciiTheme="majorHAnsi" w:hAnsiTheme="majorHAnsi"/>
          <w:sz w:val="20"/>
          <w:szCs w:val="20"/>
        </w:rPr>
        <w:t xml:space="preserve"> central </w:t>
      </w:r>
      <w:r w:rsidR="000F2C5B" w:rsidRPr="00907400">
        <w:rPr>
          <w:rFonts w:asciiTheme="majorHAnsi" w:hAnsiTheme="majorHAnsi"/>
          <w:sz w:val="20"/>
          <w:szCs w:val="20"/>
        </w:rPr>
        <w:t>participants</w:t>
      </w:r>
      <w:r w:rsidRPr="00907400">
        <w:rPr>
          <w:rFonts w:asciiTheme="majorHAnsi" w:hAnsiTheme="majorHAnsi"/>
          <w:sz w:val="20"/>
          <w:szCs w:val="20"/>
        </w:rPr>
        <w:t xml:space="preserve">, have had </w:t>
      </w:r>
      <w:r w:rsidR="000F2C5B" w:rsidRPr="00907400">
        <w:rPr>
          <w:rFonts w:asciiTheme="majorHAnsi" w:hAnsiTheme="majorHAnsi"/>
          <w:sz w:val="20"/>
          <w:szCs w:val="20"/>
        </w:rPr>
        <w:t xml:space="preserve">a very </w:t>
      </w:r>
      <w:r w:rsidRPr="00907400">
        <w:rPr>
          <w:rFonts w:asciiTheme="majorHAnsi" w:hAnsiTheme="majorHAnsi"/>
          <w:sz w:val="20"/>
          <w:szCs w:val="20"/>
        </w:rPr>
        <w:t xml:space="preserve">real </w:t>
      </w:r>
      <w:r w:rsidR="000F2C5B" w:rsidRPr="00907400">
        <w:rPr>
          <w:rFonts w:asciiTheme="majorHAnsi" w:hAnsiTheme="majorHAnsi"/>
          <w:sz w:val="20"/>
          <w:szCs w:val="20"/>
        </w:rPr>
        <w:t xml:space="preserve">impact in the regional justice system in Colombia.  The provisions </w:t>
      </w:r>
      <w:r w:rsidRPr="00907400">
        <w:rPr>
          <w:rFonts w:asciiTheme="majorHAnsi" w:hAnsiTheme="majorHAnsi"/>
          <w:sz w:val="20"/>
          <w:szCs w:val="20"/>
        </w:rPr>
        <w:t xml:space="preserve">allowing </w:t>
      </w:r>
      <w:r w:rsidR="000F2C5B" w:rsidRPr="00907400">
        <w:rPr>
          <w:rFonts w:asciiTheme="majorHAnsi" w:hAnsiTheme="majorHAnsi"/>
          <w:sz w:val="20"/>
          <w:szCs w:val="20"/>
        </w:rPr>
        <w:t xml:space="preserve">for </w:t>
      </w:r>
      <w:r w:rsidRPr="00907400">
        <w:rPr>
          <w:rFonts w:asciiTheme="majorHAnsi" w:hAnsiTheme="majorHAnsi"/>
          <w:sz w:val="20"/>
          <w:szCs w:val="20"/>
        </w:rPr>
        <w:t>the anonymity of witnesses have led to particularly serious anomalies.</w:t>
      </w:r>
    </w:p>
    <w:p w14:paraId="27A13935"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6F1C68CA"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Important information </w:t>
      </w:r>
      <w:r w:rsidR="00826E2C" w:rsidRPr="00907400">
        <w:rPr>
          <w:rFonts w:asciiTheme="majorHAnsi" w:hAnsiTheme="majorHAnsi"/>
          <w:sz w:val="20"/>
          <w:szCs w:val="20"/>
        </w:rPr>
        <w:t>calling</w:t>
      </w:r>
      <w:r w:rsidRPr="00907400">
        <w:rPr>
          <w:rFonts w:asciiTheme="majorHAnsi" w:hAnsiTheme="majorHAnsi"/>
          <w:sz w:val="20"/>
          <w:szCs w:val="20"/>
        </w:rPr>
        <w:t xml:space="preserve"> into question the credibility of </w:t>
      </w:r>
      <w:r w:rsidR="00826E2C" w:rsidRPr="00907400">
        <w:rPr>
          <w:rFonts w:asciiTheme="majorHAnsi" w:hAnsiTheme="majorHAnsi"/>
          <w:sz w:val="20"/>
          <w:szCs w:val="20"/>
        </w:rPr>
        <w:t>secret</w:t>
      </w:r>
      <w:r w:rsidRPr="00907400">
        <w:rPr>
          <w:rFonts w:asciiTheme="majorHAnsi" w:hAnsiTheme="majorHAnsi"/>
          <w:sz w:val="20"/>
          <w:szCs w:val="20"/>
        </w:rPr>
        <w:t xml:space="preserve"> witnesses</w:t>
      </w:r>
      <w:r w:rsidR="00826E2C" w:rsidRPr="00907400">
        <w:rPr>
          <w:rFonts w:asciiTheme="majorHAnsi" w:hAnsiTheme="majorHAnsi"/>
          <w:sz w:val="20"/>
          <w:szCs w:val="20"/>
        </w:rPr>
        <w:t xml:space="preserve"> has been revealed as well</w:t>
      </w:r>
      <w:r w:rsidRPr="00907400">
        <w:rPr>
          <w:rFonts w:asciiTheme="majorHAnsi" w:hAnsiTheme="majorHAnsi"/>
          <w:sz w:val="20"/>
          <w:szCs w:val="20"/>
        </w:rPr>
        <w:t xml:space="preserve">. For example, certain witnesses who testify against defendants in proceedings </w:t>
      </w:r>
      <w:r w:rsidR="00826E2C" w:rsidRPr="00907400">
        <w:rPr>
          <w:rFonts w:asciiTheme="majorHAnsi" w:hAnsiTheme="majorHAnsi"/>
          <w:sz w:val="20"/>
          <w:szCs w:val="20"/>
        </w:rPr>
        <w:t>in the criminal justice system have received payment</w:t>
      </w:r>
      <w:r w:rsidRPr="00907400">
        <w:rPr>
          <w:rFonts w:asciiTheme="majorHAnsi" w:hAnsiTheme="majorHAnsi"/>
          <w:sz w:val="20"/>
          <w:szCs w:val="20"/>
        </w:rPr>
        <w:t xml:space="preserve"> from the </w:t>
      </w:r>
      <w:r w:rsidR="00826E2C" w:rsidRPr="00907400">
        <w:rPr>
          <w:rFonts w:asciiTheme="majorHAnsi" w:hAnsiTheme="majorHAnsi"/>
          <w:sz w:val="20"/>
          <w:szCs w:val="20"/>
        </w:rPr>
        <w:t>military</w:t>
      </w:r>
      <w:r w:rsidRPr="00907400">
        <w:rPr>
          <w:rFonts w:asciiTheme="majorHAnsi" w:hAnsiTheme="majorHAnsi"/>
          <w:sz w:val="20"/>
          <w:szCs w:val="20"/>
        </w:rPr>
        <w:t xml:space="preserve"> according to the number of </w:t>
      </w:r>
      <w:r w:rsidR="00A433FF" w:rsidRPr="00907400">
        <w:rPr>
          <w:rFonts w:asciiTheme="majorHAnsi" w:hAnsiTheme="majorHAnsi"/>
          <w:sz w:val="20"/>
          <w:szCs w:val="20"/>
        </w:rPr>
        <w:t>convictions, which</w:t>
      </w:r>
      <w:r w:rsidR="00826E2C" w:rsidRPr="00907400">
        <w:rPr>
          <w:rFonts w:asciiTheme="majorHAnsi" w:hAnsiTheme="majorHAnsi"/>
          <w:sz w:val="20"/>
          <w:szCs w:val="20"/>
        </w:rPr>
        <w:t xml:space="preserve"> </w:t>
      </w:r>
      <w:r w:rsidRPr="00907400">
        <w:rPr>
          <w:rFonts w:asciiTheme="majorHAnsi" w:hAnsiTheme="majorHAnsi"/>
          <w:sz w:val="20"/>
          <w:szCs w:val="20"/>
        </w:rPr>
        <w:t xml:space="preserve">they help </w:t>
      </w:r>
      <w:r w:rsidR="00826E2C" w:rsidRPr="00907400">
        <w:rPr>
          <w:rFonts w:asciiTheme="majorHAnsi" w:hAnsiTheme="majorHAnsi"/>
          <w:sz w:val="20"/>
          <w:szCs w:val="20"/>
        </w:rPr>
        <w:t>to obtain</w:t>
      </w:r>
      <w:r w:rsidRPr="00907400">
        <w:rPr>
          <w:rFonts w:asciiTheme="majorHAnsi" w:hAnsiTheme="majorHAnsi"/>
          <w:sz w:val="20"/>
          <w:szCs w:val="20"/>
        </w:rPr>
        <w:t xml:space="preserve">. The </w:t>
      </w:r>
      <w:r w:rsidR="00826E2C" w:rsidRPr="00907400">
        <w:rPr>
          <w:rFonts w:asciiTheme="majorHAnsi" w:hAnsiTheme="majorHAnsi"/>
          <w:sz w:val="20"/>
          <w:szCs w:val="20"/>
        </w:rPr>
        <w:t>State’s security forces</w:t>
      </w:r>
      <w:r w:rsidRPr="00907400">
        <w:rPr>
          <w:rFonts w:asciiTheme="majorHAnsi" w:hAnsiTheme="majorHAnsi"/>
          <w:sz w:val="20"/>
          <w:szCs w:val="20"/>
        </w:rPr>
        <w:t xml:space="preserve"> have also sometimes provided these witnesses with food and </w:t>
      </w:r>
      <w:r w:rsidR="00826E2C" w:rsidRPr="00907400">
        <w:rPr>
          <w:rFonts w:asciiTheme="majorHAnsi" w:hAnsiTheme="majorHAnsi"/>
          <w:sz w:val="20"/>
          <w:szCs w:val="20"/>
        </w:rPr>
        <w:t>lodging</w:t>
      </w:r>
      <w:r w:rsidRPr="00907400">
        <w:rPr>
          <w:rFonts w:asciiTheme="majorHAnsi" w:hAnsiTheme="majorHAnsi"/>
          <w:sz w:val="20"/>
          <w:szCs w:val="20"/>
        </w:rPr>
        <w:t xml:space="preserve"> </w:t>
      </w:r>
      <w:r w:rsidR="00826E2C" w:rsidRPr="00907400">
        <w:rPr>
          <w:rFonts w:asciiTheme="majorHAnsi" w:hAnsiTheme="majorHAnsi"/>
          <w:sz w:val="20"/>
          <w:szCs w:val="20"/>
        </w:rPr>
        <w:t xml:space="preserve">during </w:t>
      </w:r>
      <w:r w:rsidRPr="00907400">
        <w:rPr>
          <w:rFonts w:asciiTheme="majorHAnsi" w:hAnsiTheme="majorHAnsi"/>
          <w:sz w:val="20"/>
          <w:szCs w:val="20"/>
        </w:rPr>
        <w:t>extended periods</w:t>
      </w:r>
      <w:r w:rsidR="00826E2C" w:rsidRPr="00907400">
        <w:rPr>
          <w:rFonts w:asciiTheme="majorHAnsi" w:hAnsiTheme="majorHAnsi"/>
          <w:sz w:val="20"/>
          <w:szCs w:val="20"/>
        </w:rPr>
        <w:t xml:space="preserve"> of time</w:t>
      </w:r>
      <w:r w:rsidRPr="00907400">
        <w:rPr>
          <w:rFonts w:asciiTheme="majorHAnsi" w:hAnsiTheme="majorHAnsi"/>
          <w:sz w:val="20"/>
          <w:szCs w:val="20"/>
        </w:rPr>
        <w:t xml:space="preserve">. (...) </w:t>
      </w:r>
      <w:r w:rsidR="005E399F" w:rsidRPr="00907400">
        <w:rPr>
          <w:rFonts w:asciiTheme="majorHAnsi" w:hAnsiTheme="majorHAnsi"/>
          <w:sz w:val="20"/>
          <w:szCs w:val="20"/>
        </w:rPr>
        <w:t xml:space="preserve">The due process rights of the defendant are, of course, severely compromised </w:t>
      </w:r>
      <w:r w:rsidRPr="00907400">
        <w:rPr>
          <w:rFonts w:asciiTheme="majorHAnsi" w:hAnsiTheme="majorHAnsi"/>
          <w:sz w:val="20"/>
          <w:szCs w:val="20"/>
        </w:rPr>
        <w:t xml:space="preserve">if he is convicted on the basis of this type of testimony, without any opportunity to question </w:t>
      </w:r>
      <w:r w:rsidR="005E399F" w:rsidRPr="00907400">
        <w:rPr>
          <w:rFonts w:asciiTheme="majorHAnsi" w:hAnsiTheme="majorHAnsi"/>
          <w:sz w:val="20"/>
          <w:szCs w:val="20"/>
        </w:rPr>
        <w:t>the credibility of the witness</w:t>
      </w:r>
      <w:r w:rsidRPr="00907400">
        <w:rPr>
          <w:rFonts w:asciiTheme="majorHAnsi" w:hAnsiTheme="majorHAnsi"/>
          <w:sz w:val="20"/>
          <w:szCs w:val="20"/>
        </w:rPr>
        <w:t xml:space="preserve">. </w:t>
      </w:r>
      <w:r w:rsidR="005E399F" w:rsidRPr="00907400">
        <w:rPr>
          <w:rFonts w:asciiTheme="majorHAnsi" w:hAnsiTheme="majorHAnsi"/>
          <w:sz w:val="20"/>
          <w:szCs w:val="20"/>
        </w:rPr>
        <w:t>Yet</w:t>
      </w:r>
      <w:r w:rsidRPr="00907400">
        <w:rPr>
          <w:rFonts w:asciiTheme="majorHAnsi" w:hAnsiTheme="majorHAnsi"/>
          <w:sz w:val="20"/>
          <w:szCs w:val="20"/>
        </w:rPr>
        <w:t xml:space="preserve">, in most cases, the </w:t>
      </w:r>
      <w:r w:rsidR="005E399F" w:rsidRPr="00907400">
        <w:rPr>
          <w:rFonts w:asciiTheme="majorHAnsi" w:hAnsiTheme="majorHAnsi"/>
          <w:sz w:val="20"/>
          <w:szCs w:val="20"/>
        </w:rPr>
        <w:t>defendant</w:t>
      </w:r>
      <w:r w:rsidRPr="00907400">
        <w:rPr>
          <w:rFonts w:asciiTheme="majorHAnsi" w:hAnsiTheme="majorHAnsi"/>
          <w:sz w:val="20"/>
          <w:szCs w:val="20"/>
        </w:rPr>
        <w:t xml:space="preserve"> does not have access to </w:t>
      </w:r>
      <w:r w:rsidR="00A433FF" w:rsidRPr="00907400">
        <w:rPr>
          <w:rFonts w:asciiTheme="majorHAnsi" w:hAnsiTheme="majorHAnsi"/>
          <w:sz w:val="20"/>
          <w:szCs w:val="20"/>
        </w:rPr>
        <w:t>information, which</w:t>
      </w:r>
      <w:r w:rsidRPr="00907400">
        <w:rPr>
          <w:rFonts w:asciiTheme="majorHAnsi" w:hAnsiTheme="majorHAnsi"/>
          <w:sz w:val="20"/>
          <w:szCs w:val="20"/>
        </w:rPr>
        <w:t xml:space="preserve"> would reveal these credibility </w:t>
      </w:r>
      <w:r w:rsidR="005E399F" w:rsidRPr="00907400">
        <w:rPr>
          <w:rFonts w:asciiTheme="majorHAnsi" w:hAnsiTheme="majorHAnsi"/>
          <w:sz w:val="20"/>
          <w:szCs w:val="20"/>
        </w:rPr>
        <w:t>issues</w:t>
      </w:r>
      <w:r w:rsidRPr="00907400">
        <w:rPr>
          <w:rFonts w:asciiTheme="majorHAnsi" w:hAnsiTheme="majorHAnsi"/>
          <w:sz w:val="20"/>
          <w:szCs w:val="20"/>
        </w:rPr>
        <w:t xml:space="preserve">, because the identity of the witnesses is </w:t>
      </w:r>
      <w:r w:rsidR="005E399F" w:rsidRPr="00907400">
        <w:rPr>
          <w:rFonts w:asciiTheme="majorHAnsi" w:hAnsiTheme="majorHAnsi"/>
          <w:sz w:val="20"/>
          <w:szCs w:val="20"/>
        </w:rPr>
        <w:t>held in reserve</w:t>
      </w:r>
      <w:r w:rsidRPr="00907400">
        <w:rPr>
          <w:rFonts w:asciiTheme="majorHAnsi" w:hAnsiTheme="majorHAnsi"/>
          <w:sz w:val="20"/>
          <w:szCs w:val="20"/>
        </w:rPr>
        <w:t>.</w:t>
      </w:r>
      <w:r w:rsidR="00CE6802" w:rsidRPr="00907400">
        <w:rPr>
          <w:rStyle w:val="FootnoteReference"/>
          <w:rFonts w:asciiTheme="majorHAnsi" w:hAnsiTheme="majorHAnsi"/>
          <w:sz w:val="20"/>
          <w:szCs w:val="20"/>
        </w:rPr>
        <w:t xml:space="preserve"> </w:t>
      </w:r>
      <w:r w:rsidR="00CE6802" w:rsidRPr="00907400">
        <w:rPr>
          <w:rStyle w:val="FootnoteReference"/>
          <w:rFonts w:asciiTheme="majorHAnsi" w:hAnsiTheme="majorHAnsi"/>
          <w:sz w:val="20"/>
          <w:szCs w:val="20"/>
        </w:rPr>
        <w:footnoteReference w:id="19"/>
      </w:r>
    </w:p>
    <w:p w14:paraId="2FECF29D" w14:textId="77777777" w:rsidR="000D5BFD" w:rsidRPr="00907400" w:rsidRDefault="00F75E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jc w:val="both"/>
        <w:rPr>
          <w:rFonts w:asciiTheme="majorHAnsi" w:hAnsiTheme="majorHAnsi"/>
          <w:sz w:val="20"/>
          <w:szCs w:val="20"/>
        </w:rPr>
      </w:pPr>
      <w:r w:rsidRPr="00907400">
        <w:rPr>
          <w:rFonts w:asciiTheme="majorHAnsi" w:hAnsiTheme="majorHAnsi"/>
          <w:sz w:val="20"/>
          <w:szCs w:val="20"/>
        </w:rPr>
        <w:t>Additionally, the IACHR considered that regional justice presents the following problems:</w:t>
      </w:r>
    </w:p>
    <w:p w14:paraId="302433CC"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Commission has received information indicating that members of the </w:t>
      </w:r>
      <w:r w:rsidR="00967A0A" w:rsidRPr="00907400">
        <w:rPr>
          <w:rFonts w:asciiTheme="majorHAnsi" w:hAnsiTheme="majorHAnsi"/>
          <w:sz w:val="20"/>
          <w:szCs w:val="20"/>
        </w:rPr>
        <w:t xml:space="preserve">State’s public </w:t>
      </w:r>
      <w:r w:rsidRPr="00907400">
        <w:rPr>
          <w:rFonts w:asciiTheme="majorHAnsi" w:hAnsiTheme="majorHAnsi"/>
          <w:sz w:val="20"/>
          <w:szCs w:val="20"/>
        </w:rPr>
        <w:t xml:space="preserve">security forces sometimes </w:t>
      </w:r>
      <w:r w:rsidR="00967A0A" w:rsidRPr="00907400">
        <w:rPr>
          <w:rFonts w:asciiTheme="majorHAnsi" w:hAnsiTheme="majorHAnsi"/>
          <w:sz w:val="20"/>
          <w:szCs w:val="20"/>
        </w:rPr>
        <w:t>detain</w:t>
      </w:r>
      <w:r w:rsidRPr="00907400">
        <w:rPr>
          <w:rFonts w:asciiTheme="majorHAnsi" w:hAnsiTheme="majorHAnsi"/>
          <w:sz w:val="20"/>
          <w:szCs w:val="20"/>
        </w:rPr>
        <w:t xml:space="preserve"> suspects without an arrest warrant. (...) The Commission has also received information indicating that Colombian authorities sometimes </w:t>
      </w:r>
      <w:r w:rsidR="00967A0A" w:rsidRPr="00907400">
        <w:rPr>
          <w:rFonts w:asciiTheme="majorHAnsi" w:hAnsiTheme="majorHAnsi"/>
          <w:sz w:val="20"/>
          <w:szCs w:val="20"/>
        </w:rPr>
        <w:t>fail to</w:t>
      </w:r>
      <w:r w:rsidRPr="00907400">
        <w:rPr>
          <w:rFonts w:asciiTheme="majorHAnsi" w:hAnsiTheme="majorHAnsi"/>
          <w:sz w:val="20"/>
          <w:szCs w:val="20"/>
        </w:rPr>
        <w:t xml:space="preserve"> inform suspects in cases processed by the regional system of the reasons for their capture. According to this information, the suspect may also not be informed of the </w:t>
      </w:r>
      <w:r w:rsidR="00967A0A" w:rsidRPr="00907400">
        <w:rPr>
          <w:rFonts w:asciiTheme="majorHAnsi" w:hAnsiTheme="majorHAnsi"/>
          <w:sz w:val="20"/>
          <w:szCs w:val="20"/>
        </w:rPr>
        <w:t xml:space="preserve">charge or </w:t>
      </w:r>
      <w:r w:rsidRPr="00907400">
        <w:rPr>
          <w:rFonts w:asciiTheme="majorHAnsi" w:hAnsiTheme="majorHAnsi"/>
          <w:sz w:val="20"/>
          <w:szCs w:val="20"/>
        </w:rPr>
        <w:t>charges against him within a reasonable time.</w:t>
      </w:r>
    </w:p>
    <w:p w14:paraId="77E3ECE0"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7E03506C" w14:textId="77777777" w:rsidR="00F75EDF" w:rsidRPr="00907400" w:rsidRDefault="00967A0A"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Analysts of the r</w:t>
      </w:r>
      <w:r w:rsidR="00F75EDF" w:rsidRPr="00907400">
        <w:rPr>
          <w:rFonts w:asciiTheme="majorHAnsi" w:hAnsiTheme="majorHAnsi"/>
          <w:sz w:val="20"/>
          <w:szCs w:val="20"/>
        </w:rPr>
        <w:t xml:space="preserve">egional justice </w:t>
      </w:r>
      <w:r w:rsidRPr="00907400">
        <w:rPr>
          <w:rFonts w:asciiTheme="majorHAnsi" w:hAnsiTheme="majorHAnsi"/>
          <w:sz w:val="20"/>
          <w:szCs w:val="20"/>
        </w:rPr>
        <w:t>system</w:t>
      </w:r>
      <w:r w:rsidR="00F75EDF" w:rsidRPr="00907400">
        <w:rPr>
          <w:rFonts w:asciiTheme="majorHAnsi" w:hAnsiTheme="majorHAnsi"/>
          <w:sz w:val="20"/>
          <w:szCs w:val="20"/>
        </w:rPr>
        <w:t xml:space="preserve"> have also pointed </w:t>
      </w:r>
      <w:r w:rsidRPr="00907400">
        <w:rPr>
          <w:rFonts w:asciiTheme="majorHAnsi" w:hAnsiTheme="majorHAnsi"/>
          <w:sz w:val="20"/>
          <w:szCs w:val="20"/>
        </w:rPr>
        <w:t>out due process problems</w:t>
      </w:r>
      <w:r w:rsidR="00F75EDF" w:rsidRPr="00907400">
        <w:rPr>
          <w:rFonts w:asciiTheme="majorHAnsi" w:hAnsiTheme="majorHAnsi"/>
          <w:sz w:val="20"/>
          <w:szCs w:val="20"/>
        </w:rPr>
        <w:t xml:space="preserve"> </w:t>
      </w:r>
      <w:r w:rsidRPr="00907400">
        <w:rPr>
          <w:rFonts w:asciiTheme="majorHAnsi" w:hAnsiTheme="majorHAnsi"/>
          <w:sz w:val="20"/>
          <w:szCs w:val="20"/>
        </w:rPr>
        <w:t>arising</w:t>
      </w:r>
      <w:r w:rsidR="00F75EDF" w:rsidRPr="00907400">
        <w:rPr>
          <w:rFonts w:asciiTheme="majorHAnsi" w:hAnsiTheme="majorHAnsi"/>
          <w:sz w:val="20"/>
          <w:szCs w:val="20"/>
        </w:rPr>
        <w:t xml:space="preserve"> fro</w:t>
      </w:r>
      <w:r w:rsidRPr="00907400">
        <w:rPr>
          <w:rFonts w:asciiTheme="majorHAnsi" w:hAnsiTheme="majorHAnsi"/>
          <w:sz w:val="20"/>
          <w:szCs w:val="20"/>
        </w:rPr>
        <w:t>m the fact that members of the S</w:t>
      </w:r>
      <w:r w:rsidR="00F75EDF" w:rsidRPr="00907400">
        <w:rPr>
          <w:rFonts w:asciiTheme="majorHAnsi" w:hAnsiTheme="majorHAnsi"/>
          <w:sz w:val="20"/>
          <w:szCs w:val="20"/>
        </w:rPr>
        <w:t xml:space="preserve">tate security forces carry out </w:t>
      </w:r>
      <w:r w:rsidRPr="00907400">
        <w:rPr>
          <w:rFonts w:asciiTheme="majorHAnsi" w:hAnsiTheme="majorHAnsi"/>
          <w:sz w:val="20"/>
          <w:szCs w:val="20"/>
        </w:rPr>
        <w:t>much</w:t>
      </w:r>
      <w:r w:rsidR="00F75EDF" w:rsidRPr="00907400">
        <w:rPr>
          <w:rFonts w:asciiTheme="majorHAnsi" w:hAnsiTheme="majorHAnsi"/>
          <w:sz w:val="20"/>
          <w:szCs w:val="20"/>
        </w:rPr>
        <w:t xml:space="preserve"> of the </w:t>
      </w:r>
      <w:r w:rsidRPr="00907400">
        <w:rPr>
          <w:rFonts w:asciiTheme="majorHAnsi" w:hAnsiTheme="majorHAnsi"/>
          <w:sz w:val="20"/>
          <w:szCs w:val="20"/>
        </w:rPr>
        <w:t>preliminary investigation</w:t>
      </w:r>
      <w:r w:rsidR="00F75EDF" w:rsidRPr="00907400">
        <w:rPr>
          <w:rFonts w:asciiTheme="majorHAnsi" w:hAnsiTheme="majorHAnsi"/>
          <w:sz w:val="20"/>
          <w:szCs w:val="20"/>
        </w:rPr>
        <w:t xml:space="preserve">. (...) The initial </w:t>
      </w:r>
      <w:r w:rsidR="000A0D0A" w:rsidRPr="00907400">
        <w:rPr>
          <w:rFonts w:asciiTheme="majorHAnsi" w:hAnsiTheme="majorHAnsi"/>
          <w:sz w:val="20"/>
          <w:szCs w:val="20"/>
        </w:rPr>
        <w:t>gathering</w:t>
      </w:r>
      <w:r w:rsidR="00F75EDF" w:rsidRPr="00907400">
        <w:rPr>
          <w:rFonts w:asciiTheme="majorHAnsi" w:hAnsiTheme="majorHAnsi"/>
          <w:sz w:val="20"/>
          <w:szCs w:val="20"/>
        </w:rPr>
        <w:t xml:space="preserve"> of evidence by members of the security forces also </w:t>
      </w:r>
      <w:r w:rsidR="000A0D0A" w:rsidRPr="00907400">
        <w:rPr>
          <w:rFonts w:asciiTheme="majorHAnsi" w:hAnsiTheme="majorHAnsi"/>
          <w:sz w:val="20"/>
          <w:szCs w:val="20"/>
        </w:rPr>
        <w:t>often</w:t>
      </w:r>
      <w:r w:rsidR="00F75EDF" w:rsidRPr="00907400">
        <w:rPr>
          <w:rFonts w:asciiTheme="majorHAnsi" w:hAnsiTheme="majorHAnsi"/>
          <w:sz w:val="20"/>
          <w:szCs w:val="20"/>
        </w:rPr>
        <w:t xml:space="preserve"> includes interviews </w:t>
      </w:r>
      <w:r w:rsidR="000A0D0A" w:rsidRPr="00907400">
        <w:rPr>
          <w:rFonts w:asciiTheme="majorHAnsi" w:hAnsiTheme="majorHAnsi"/>
          <w:sz w:val="20"/>
          <w:szCs w:val="20"/>
        </w:rPr>
        <w:t>of</w:t>
      </w:r>
      <w:r w:rsidR="00F75EDF" w:rsidRPr="00907400">
        <w:rPr>
          <w:rFonts w:asciiTheme="majorHAnsi" w:hAnsiTheme="majorHAnsi"/>
          <w:sz w:val="20"/>
          <w:szCs w:val="20"/>
        </w:rPr>
        <w:t xml:space="preserve"> witnesses and suspects. These investigative activities </w:t>
      </w:r>
      <w:r w:rsidR="000A0D0A" w:rsidRPr="00907400">
        <w:rPr>
          <w:rFonts w:asciiTheme="majorHAnsi" w:hAnsiTheme="majorHAnsi"/>
          <w:sz w:val="20"/>
          <w:szCs w:val="20"/>
        </w:rPr>
        <w:t>often take place</w:t>
      </w:r>
      <w:r w:rsidR="00F75EDF" w:rsidRPr="00907400">
        <w:rPr>
          <w:rFonts w:asciiTheme="majorHAnsi" w:hAnsiTheme="majorHAnsi"/>
          <w:sz w:val="20"/>
          <w:szCs w:val="20"/>
        </w:rPr>
        <w:t xml:space="preserve"> </w:t>
      </w:r>
      <w:r w:rsidR="00F75EDF" w:rsidRPr="00907400">
        <w:rPr>
          <w:rFonts w:asciiTheme="majorHAnsi" w:hAnsiTheme="majorHAnsi"/>
          <w:sz w:val="20"/>
          <w:szCs w:val="20"/>
        </w:rPr>
        <w:lastRenderedPageBreak/>
        <w:t xml:space="preserve">without the presence of </w:t>
      </w:r>
      <w:r w:rsidR="000A0D0A" w:rsidRPr="00907400">
        <w:rPr>
          <w:rFonts w:asciiTheme="majorHAnsi" w:hAnsiTheme="majorHAnsi"/>
          <w:sz w:val="20"/>
          <w:szCs w:val="20"/>
        </w:rPr>
        <w:t xml:space="preserve">either a defense attorney or a prosecutor or </w:t>
      </w:r>
      <w:r w:rsidR="00F75EDF" w:rsidRPr="00907400">
        <w:rPr>
          <w:rFonts w:asciiTheme="majorHAnsi" w:hAnsiTheme="majorHAnsi"/>
          <w:sz w:val="20"/>
          <w:szCs w:val="20"/>
        </w:rPr>
        <w:t xml:space="preserve">other judicial authority. The information obtained is then </w:t>
      </w:r>
      <w:r w:rsidR="000A0D0A" w:rsidRPr="00907400">
        <w:rPr>
          <w:rFonts w:asciiTheme="majorHAnsi" w:hAnsiTheme="majorHAnsi"/>
          <w:sz w:val="20"/>
          <w:szCs w:val="20"/>
        </w:rPr>
        <w:t xml:space="preserve">frequently introduced </w:t>
      </w:r>
      <w:r w:rsidR="00F75EDF" w:rsidRPr="00907400">
        <w:rPr>
          <w:rFonts w:asciiTheme="majorHAnsi" w:hAnsiTheme="majorHAnsi"/>
          <w:sz w:val="20"/>
          <w:szCs w:val="20"/>
        </w:rPr>
        <w:t xml:space="preserve">directly into the criminal file and </w:t>
      </w:r>
      <w:r w:rsidR="000A0D0A" w:rsidRPr="00907400">
        <w:rPr>
          <w:rFonts w:asciiTheme="majorHAnsi" w:hAnsiTheme="majorHAnsi"/>
          <w:sz w:val="20"/>
          <w:szCs w:val="20"/>
        </w:rPr>
        <w:t>utilized</w:t>
      </w:r>
      <w:r w:rsidR="00F75EDF" w:rsidRPr="00907400">
        <w:rPr>
          <w:rFonts w:asciiTheme="majorHAnsi" w:hAnsiTheme="majorHAnsi"/>
          <w:sz w:val="20"/>
          <w:szCs w:val="20"/>
        </w:rPr>
        <w:t xml:space="preserve"> as evidence </w:t>
      </w:r>
      <w:r w:rsidR="000A0D0A" w:rsidRPr="00907400">
        <w:rPr>
          <w:rFonts w:asciiTheme="majorHAnsi" w:hAnsiTheme="majorHAnsi"/>
          <w:sz w:val="20"/>
          <w:szCs w:val="20"/>
        </w:rPr>
        <w:t>for issuing</w:t>
      </w:r>
      <w:r w:rsidR="00F75EDF" w:rsidRPr="00907400">
        <w:rPr>
          <w:rFonts w:asciiTheme="majorHAnsi" w:hAnsiTheme="majorHAnsi"/>
          <w:sz w:val="20"/>
          <w:szCs w:val="20"/>
        </w:rPr>
        <w:t xml:space="preserve"> </w:t>
      </w:r>
      <w:r w:rsidR="005325BF" w:rsidRPr="00907400">
        <w:rPr>
          <w:rFonts w:asciiTheme="majorHAnsi" w:hAnsiTheme="majorHAnsi"/>
          <w:sz w:val="20"/>
          <w:szCs w:val="20"/>
        </w:rPr>
        <w:t>pretrial detention</w:t>
      </w:r>
      <w:r w:rsidR="000A0D0A" w:rsidRPr="00907400">
        <w:rPr>
          <w:rFonts w:asciiTheme="majorHAnsi" w:hAnsiTheme="majorHAnsi"/>
          <w:sz w:val="20"/>
          <w:szCs w:val="20"/>
        </w:rPr>
        <w:t xml:space="preserve"> orders</w:t>
      </w:r>
      <w:r w:rsidR="00F75EDF" w:rsidRPr="00907400">
        <w:rPr>
          <w:rFonts w:asciiTheme="majorHAnsi" w:hAnsiTheme="majorHAnsi"/>
          <w:sz w:val="20"/>
          <w:szCs w:val="20"/>
        </w:rPr>
        <w:t xml:space="preserve"> </w:t>
      </w:r>
      <w:r w:rsidR="000A0D0A" w:rsidRPr="00907400">
        <w:rPr>
          <w:rFonts w:asciiTheme="majorHAnsi" w:hAnsiTheme="majorHAnsi"/>
          <w:sz w:val="20"/>
          <w:szCs w:val="20"/>
        </w:rPr>
        <w:t>or</w:t>
      </w:r>
      <w:r w:rsidR="00F75EDF" w:rsidRPr="00907400">
        <w:rPr>
          <w:rFonts w:asciiTheme="majorHAnsi" w:hAnsiTheme="majorHAnsi"/>
          <w:sz w:val="20"/>
          <w:szCs w:val="20"/>
        </w:rPr>
        <w:t xml:space="preserve"> even </w:t>
      </w:r>
      <w:r w:rsidR="000A0D0A" w:rsidRPr="00907400">
        <w:rPr>
          <w:rFonts w:asciiTheme="majorHAnsi" w:hAnsiTheme="majorHAnsi"/>
          <w:sz w:val="20"/>
          <w:szCs w:val="20"/>
        </w:rPr>
        <w:t xml:space="preserve">for </w:t>
      </w:r>
      <w:r w:rsidR="00F75EDF" w:rsidRPr="00907400">
        <w:rPr>
          <w:rFonts w:asciiTheme="majorHAnsi" w:hAnsiTheme="majorHAnsi"/>
          <w:sz w:val="20"/>
          <w:szCs w:val="20"/>
        </w:rPr>
        <w:t xml:space="preserve">convictions. These procedures </w:t>
      </w:r>
      <w:r w:rsidR="000A0D0A" w:rsidRPr="00907400">
        <w:rPr>
          <w:rFonts w:asciiTheme="majorHAnsi" w:hAnsiTheme="majorHAnsi"/>
          <w:sz w:val="20"/>
          <w:szCs w:val="20"/>
        </w:rPr>
        <w:t>present several serious due process problems</w:t>
      </w:r>
      <w:r w:rsidR="00F75EDF" w:rsidRPr="00907400">
        <w:rPr>
          <w:rFonts w:asciiTheme="majorHAnsi" w:hAnsiTheme="majorHAnsi"/>
          <w:sz w:val="20"/>
          <w:szCs w:val="20"/>
        </w:rPr>
        <w:t>.</w:t>
      </w:r>
    </w:p>
    <w:p w14:paraId="60313399"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5A9551DE"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In addition, </w:t>
      </w:r>
      <w:r w:rsidR="00DE06FD" w:rsidRPr="00907400">
        <w:rPr>
          <w:rFonts w:asciiTheme="majorHAnsi" w:hAnsiTheme="majorHAnsi"/>
          <w:sz w:val="20"/>
          <w:szCs w:val="20"/>
        </w:rPr>
        <w:t xml:space="preserve">confessions and adverse witness testimony </w:t>
      </w:r>
      <w:r w:rsidRPr="00907400">
        <w:rPr>
          <w:rFonts w:asciiTheme="majorHAnsi" w:hAnsiTheme="majorHAnsi"/>
          <w:sz w:val="20"/>
          <w:szCs w:val="20"/>
        </w:rPr>
        <w:t xml:space="preserve">obtained without </w:t>
      </w:r>
      <w:r w:rsidR="00DE06FD" w:rsidRPr="00907400">
        <w:rPr>
          <w:rFonts w:asciiTheme="majorHAnsi" w:hAnsiTheme="majorHAnsi"/>
          <w:sz w:val="20"/>
          <w:szCs w:val="20"/>
        </w:rPr>
        <w:t>the presence of a defense attorney</w:t>
      </w:r>
      <w:r w:rsidRPr="00907400">
        <w:rPr>
          <w:rFonts w:asciiTheme="majorHAnsi" w:hAnsiTheme="majorHAnsi"/>
          <w:sz w:val="20"/>
          <w:szCs w:val="20"/>
        </w:rPr>
        <w:t xml:space="preserve"> in the</w:t>
      </w:r>
      <w:r w:rsidR="00DE06FD" w:rsidRPr="00907400">
        <w:rPr>
          <w:rFonts w:asciiTheme="majorHAnsi" w:hAnsiTheme="majorHAnsi"/>
          <w:sz w:val="20"/>
          <w:szCs w:val="20"/>
        </w:rPr>
        <w:t>se</w:t>
      </w:r>
      <w:r w:rsidRPr="00907400">
        <w:rPr>
          <w:rFonts w:asciiTheme="majorHAnsi" w:hAnsiTheme="majorHAnsi"/>
          <w:sz w:val="20"/>
          <w:szCs w:val="20"/>
        </w:rPr>
        <w:t xml:space="preserve"> early stages are </w:t>
      </w:r>
      <w:r w:rsidR="00DE06FD" w:rsidRPr="00907400">
        <w:rPr>
          <w:rFonts w:asciiTheme="majorHAnsi" w:hAnsiTheme="majorHAnsi"/>
          <w:sz w:val="20"/>
          <w:szCs w:val="20"/>
        </w:rPr>
        <w:t xml:space="preserve">placed in the record </w:t>
      </w:r>
      <w:r w:rsidRPr="00907400">
        <w:rPr>
          <w:rFonts w:asciiTheme="majorHAnsi" w:hAnsiTheme="majorHAnsi"/>
          <w:sz w:val="20"/>
          <w:szCs w:val="20"/>
        </w:rPr>
        <w:t xml:space="preserve">and </w:t>
      </w:r>
      <w:r w:rsidR="00DE06FD" w:rsidRPr="00907400">
        <w:rPr>
          <w:rFonts w:asciiTheme="majorHAnsi" w:hAnsiTheme="majorHAnsi"/>
          <w:sz w:val="20"/>
          <w:szCs w:val="20"/>
        </w:rPr>
        <w:t>utilized</w:t>
      </w:r>
      <w:r w:rsidRPr="00907400">
        <w:rPr>
          <w:rFonts w:asciiTheme="majorHAnsi" w:hAnsiTheme="majorHAnsi"/>
          <w:sz w:val="20"/>
          <w:szCs w:val="20"/>
        </w:rPr>
        <w:t xml:space="preserve"> to </w:t>
      </w:r>
      <w:r w:rsidR="00DE06FD" w:rsidRPr="00907400">
        <w:rPr>
          <w:rFonts w:asciiTheme="majorHAnsi" w:hAnsiTheme="majorHAnsi"/>
          <w:sz w:val="20"/>
          <w:szCs w:val="20"/>
        </w:rPr>
        <w:t>reach</w:t>
      </w:r>
      <w:r w:rsidRPr="00907400">
        <w:rPr>
          <w:rFonts w:asciiTheme="majorHAnsi" w:hAnsiTheme="majorHAnsi"/>
          <w:sz w:val="20"/>
          <w:szCs w:val="20"/>
        </w:rPr>
        <w:t xml:space="preserve"> important decisions </w:t>
      </w:r>
      <w:r w:rsidR="00DE06FD" w:rsidRPr="00907400">
        <w:rPr>
          <w:rFonts w:asciiTheme="majorHAnsi" w:hAnsiTheme="majorHAnsi"/>
          <w:sz w:val="20"/>
          <w:szCs w:val="20"/>
        </w:rPr>
        <w:t>regarding the fate of the defendant</w:t>
      </w:r>
      <w:r w:rsidRPr="00907400">
        <w:rPr>
          <w:rFonts w:asciiTheme="majorHAnsi" w:hAnsiTheme="majorHAnsi"/>
          <w:sz w:val="20"/>
          <w:szCs w:val="20"/>
        </w:rPr>
        <w:t>.</w:t>
      </w:r>
    </w:p>
    <w:p w14:paraId="2D7290F5" w14:textId="77777777" w:rsidR="00F75EDF"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1F2FE2A5" w14:textId="77777777" w:rsidR="00F75EDF"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Commission has also </w:t>
      </w:r>
      <w:r w:rsidR="00DE06FD" w:rsidRPr="00907400">
        <w:rPr>
          <w:rFonts w:asciiTheme="majorHAnsi" w:hAnsiTheme="majorHAnsi"/>
          <w:sz w:val="20"/>
          <w:szCs w:val="20"/>
        </w:rPr>
        <w:t>detected</w:t>
      </w:r>
      <w:r w:rsidRPr="00907400">
        <w:rPr>
          <w:rFonts w:asciiTheme="majorHAnsi" w:hAnsiTheme="majorHAnsi"/>
          <w:sz w:val="20"/>
          <w:szCs w:val="20"/>
        </w:rPr>
        <w:t xml:space="preserve"> </w:t>
      </w:r>
      <w:r w:rsidR="00DE06FD" w:rsidRPr="00907400">
        <w:rPr>
          <w:rFonts w:asciiTheme="majorHAnsi" w:hAnsiTheme="majorHAnsi"/>
          <w:sz w:val="20"/>
          <w:szCs w:val="20"/>
        </w:rPr>
        <w:t xml:space="preserve">a </w:t>
      </w:r>
      <w:r w:rsidRPr="00907400">
        <w:rPr>
          <w:rFonts w:asciiTheme="majorHAnsi" w:hAnsiTheme="majorHAnsi"/>
          <w:sz w:val="20"/>
          <w:szCs w:val="20"/>
        </w:rPr>
        <w:t xml:space="preserve">serious </w:t>
      </w:r>
      <w:r w:rsidR="00DE06FD" w:rsidRPr="00907400">
        <w:rPr>
          <w:rFonts w:asciiTheme="majorHAnsi" w:hAnsiTheme="majorHAnsi"/>
          <w:sz w:val="20"/>
          <w:szCs w:val="20"/>
        </w:rPr>
        <w:t xml:space="preserve">due process </w:t>
      </w:r>
      <w:r w:rsidRPr="00907400">
        <w:rPr>
          <w:rFonts w:asciiTheme="majorHAnsi" w:hAnsiTheme="majorHAnsi"/>
          <w:sz w:val="20"/>
          <w:szCs w:val="20"/>
        </w:rPr>
        <w:t>pro</w:t>
      </w:r>
      <w:r w:rsidR="00DE06FD" w:rsidRPr="00907400">
        <w:rPr>
          <w:rFonts w:asciiTheme="majorHAnsi" w:hAnsiTheme="majorHAnsi"/>
          <w:sz w:val="20"/>
          <w:szCs w:val="20"/>
        </w:rPr>
        <w:t>blem</w:t>
      </w:r>
      <w:r w:rsidRPr="00907400">
        <w:rPr>
          <w:rFonts w:asciiTheme="majorHAnsi" w:hAnsiTheme="majorHAnsi"/>
          <w:sz w:val="20"/>
          <w:szCs w:val="20"/>
        </w:rPr>
        <w:t xml:space="preserve"> in </w:t>
      </w:r>
      <w:r w:rsidR="00DE06FD" w:rsidRPr="00907400">
        <w:rPr>
          <w:rFonts w:asciiTheme="majorHAnsi" w:hAnsiTheme="majorHAnsi"/>
          <w:sz w:val="20"/>
          <w:szCs w:val="20"/>
        </w:rPr>
        <w:t xml:space="preserve">the fact that </w:t>
      </w:r>
      <w:r w:rsidRPr="00907400">
        <w:rPr>
          <w:rFonts w:asciiTheme="majorHAnsi" w:hAnsiTheme="majorHAnsi"/>
          <w:sz w:val="20"/>
          <w:szCs w:val="20"/>
        </w:rPr>
        <w:t xml:space="preserve">certain regional prosecutors are </w:t>
      </w:r>
      <w:r w:rsidR="00DE06FD" w:rsidRPr="00907400">
        <w:rPr>
          <w:rFonts w:asciiTheme="majorHAnsi" w:hAnsiTheme="majorHAnsi"/>
          <w:sz w:val="20"/>
          <w:szCs w:val="20"/>
        </w:rPr>
        <w:t>based</w:t>
      </w:r>
      <w:r w:rsidRPr="00907400">
        <w:rPr>
          <w:rFonts w:asciiTheme="majorHAnsi" w:hAnsiTheme="majorHAnsi"/>
          <w:sz w:val="20"/>
          <w:szCs w:val="20"/>
        </w:rPr>
        <w:t xml:space="preserve"> in military installations. These prosecutors work </w:t>
      </w:r>
      <w:r w:rsidR="00DE06FD" w:rsidRPr="00907400">
        <w:rPr>
          <w:rFonts w:asciiTheme="majorHAnsi" w:hAnsiTheme="majorHAnsi"/>
          <w:sz w:val="20"/>
          <w:szCs w:val="20"/>
        </w:rPr>
        <w:t>from</w:t>
      </w:r>
      <w:r w:rsidRPr="00907400">
        <w:rPr>
          <w:rFonts w:asciiTheme="majorHAnsi" w:hAnsiTheme="majorHAnsi"/>
          <w:sz w:val="20"/>
          <w:szCs w:val="20"/>
        </w:rPr>
        <w:t xml:space="preserve"> offices physically </w:t>
      </w:r>
      <w:r w:rsidR="00DE06FD" w:rsidRPr="00907400">
        <w:rPr>
          <w:rFonts w:asciiTheme="majorHAnsi" w:hAnsiTheme="majorHAnsi"/>
          <w:sz w:val="20"/>
          <w:szCs w:val="20"/>
        </w:rPr>
        <w:t xml:space="preserve">placed </w:t>
      </w:r>
      <w:r w:rsidRPr="00907400">
        <w:rPr>
          <w:rFonts w:asciiTheme="majorHAnsi" w:hAnsiTheme="majorHAnsi"/>
          <w:sz w:val="20"/>
          <w:szCs w:val="20"/>
        </w:rPr>
        <w:t xml:space="preserve">in military </w:t>
      </w:r>
      <w:r w:rsidR="00DE06FD" w:rsidRPr="00907400">
        <w:rPr>
          <w:rFonts w:asciiTheme="majorHAnsi" w:hAnsiTheme="majorHAnsi"/>
          <w:sz w:val="20"/>
          <w:szCs w:val="20"/>
        </w:rPr>
        <w:t>bases</w:t>
      </w:r>
      <w:r w:rsidRPr="00907400">
        <w:rPr>
          <w:rFonts w:asciiTheme="majorHAnsi" w:hAnsiTheme="majorHAnsi"/>
          <w:sz w:val="20"/>
          <w:szCs w:val="20"/>
        </w:rPr>
        <w:t xml:space="preserve"> and tend to be </w:t>
      </w:r>
      <w:r w:rsidR="00DE06FD" w:rsidRPr="00907400">
        <w:rPr>
          <w:rFonts w:asciiTheme="majorHAnsi" w:hAnsiTheme="majorHAnsi"/>
          <w:sz w:val="20"/>
          <w:szCs w:val="20"/>
        </w:rPr>
        <w:t>seen as the prosecutors for</w:t>
      </w:r>
      <w:r w:rsidRPr="00907400">
        <w:rPr>
          <w:rFonts w:asciiTheme="majorHAnsi" w:hAnsiTheme="majorHAnsi"/>
          <w:sz w:val="20"/>
          <w:szCs w:val="20"/>
        </w:rPr>
        <w:t xml:space="preserve"> the respective </w:t>
      </w:r>
      <w:r w:rsidR="00DE06FD" w:rsidRPr="00907400">
        <w:rPr>
          <w:rFonts w:asciiTheme="majorHAnsi" w:hAnsiTheme="majorHAnsi"/>
          <w:sz w:val="20"/>
          <w:szCs w:val="20"/>
        </w:rPr>
        <w:t xml:space="preserve">military </w:t>
      </w:r>
      <w:r w:rsidRPr="00907400">
        <w:rPr>
          <w:rFonts w:asciiTheme="majorHAnsi" w:hAnsiTheme="majorHAnsi"/>
          <w:sz w:val="20"/>
          <w:szCs w:val="20"/>
        </w:rPr>
        <w:t xml:space="preserve">battalion </w:t>
      </w:r>
      <w:r w:rsidR="00DE06FD" w:rsidRPr="00907400">
        <w:rPr>
          <w:rFonts w:asciiTheme="majorHAnsi" w:hAnsiTheme="majorHAnsi"/>
          <w:sz w:val="20"/>
          <w:szCs w:val="20"/>
        </w:rPr>
        <w:t xml:space="preserve">or </w:t>
      </w:r>
      <w:r w:rsidRPr="00907400">
        <w:rPr>
          <w:rFonts w:asciiTheme="majorHAnsi" w:hAnsiTheme="majorHAnsi"/>
          <w:sz w:val="20"/>
          <w:szCs w:val="20"/>
        </w:rPr>
        <w:t xml:space="preserve">brigade. </w:t>
      </w:r>
      <w:r w:rsidR="00DE06FD" w:rsidRPr="00907400">
        <w:rPr>
          <w:rFonts w:asciiTheme="majorHAnsi" w:hAnsiTheme="majorHAnsi"/>
          <w:sz w:val="20"/>
          <w:szCs w:val="20"/>
        </w:rPr>
        <w:t>They generally</w:t>
      </w:r>
      <w:r w:rsidRPr="00907400">
        <w:rPr>
          <w:rFonts w:asciiTheme="majorHAnsi" w:hAnsiTheme="majorHAnsi"/>
          <w:sz w:val="20"/>
          <w:szCs w:val="20"/>
        </w:rPr>
        <w:t xml:space="preserve"> work in close cooperation with military authorities. The Commission </w:t>
      </w:r>
      <w:r w:rsidR="00DE06FD" w:rsidRPr="00907400">
        <w:rPr>
          <w:rFonts w:asciiTheme="majorHAnsi" w:hAnsiTheme="majorHAnsi"/>
          <w:sz w:val="20"/>
          <w:szCs w:val="20"/>
        </w:rPr>
        <w:t>believes</w:t>
      </w:r>
      <w:r w:rsidRPr="00907400">
        <w:rPr>
          <w:rFonts w:asciiTheme="majorHAnsi" w:hAnsiTheme="majorHAnsi"/>
          <w:sz w:val="20"/>
          <w:szCs w:val="20"/>
        </w:rPr>
        <w:t xml:space="preserve"> that this situation seriously compromises the objectivity and independence of the prosecutor. Thus, for example, the Commission has received complaints </w:t>
      </w:r>
      <w:r w:rsidR="00DE06FD" w:rsidRPr="00907400">
        <w:rPr>
          <w:rFonts w:asciiTheme="majorHAnsi" w:hAnsiTheme="majorHAnsi"/>
          <w:sz w:val="20"/>
          <w:szCs w:val="20"/>
        </w:rPr>
        <w:t>alleging</w:t>
      </w:r>
      <w:r w:rsidRPr="00907400">
        <w:rPr>
          <w:rFonts w:asciiTheme="majorHAnsi" w:hAnsiTheme="majorHAnsi"/>
          <w:sz w:val="20"/>
          <w:szCs w:val="20"/>
        </w:rPr>
        <w:t xml:space="preserve"> that these regional prosecutors in military installations </w:t>
      </w:r>
      <w:r w:rsidR="00DE06FD" w:rsidRPr="00907400">
        <w:rPr>
          <w:rFonts w:asciiTheme="majorHAnsi" w:hAnsiTheme="majorHAnsi"/>
          <w:sz w:val="20"/>
          <w:szCs w:val="20"/>
        </w:rPr>
        <w:t xml:space="preserve">act as facilitators for the actions which the Army seeks to execute by </w:t>
      </w:r>
      <w:r w:rsidRPr="00907400">
        <w:rPr>
          <w:rFonts w:asciiTheme="majorHAnsi" w:hAnsiTheme="majorHAnsi"/>
          <w:sz w:val="20"/>
          <w:szCs w:val="20"/>
        </w:rPr>
        <w:t>providing the legal formalities</w:t>
      </w:r>
      <w:r w:rsidR="00DE06FD" w:rsidRPr="00907400">
        <w:rPr>
          <w:rFonts w:asciiTheme="majorHAnsi" w:hAnsiTheme="majorHAnsi"/>
          <w:sz w:val="20"/>
          <w:szCs w:val="20"/>
        </w:rPr>
        <w:t xml:space="preserve"> necessary</w:t>
      </w:r>
      <w:r w:rsidRPr="00907400">
        <w:rPr>
          <w:rFonts w:asciiTheme="majorHAnsi" w:hAnsiTheme="majorHAnsi"/>
          <w:sz w:val="20"/>
          <w:szCs w:val="20"/>
        </w:rPr>
        <w:t>. According to these complaints, they sign arrest and search warrants pr</w:t>
      </w:r>
      <w:r w:rsidR="00DE06FD" w:rsidRPr="00907400">
        <w:rPr>
          <w:rFonts w:asciiTheme="majorHAnsi" w:hAnsiTheme="majorHAnsi"/>
          <w:sz w:val="20"/>
          <w:szCs w:val="20"/>
        </w:rPr>
        <w:t>esented to them by the military</w:t>
      </w:r>
      <w:r w:rsidRPr="00907400">
        <w:rPr>
          <w:rFonts w:asciiTheme="majorHAnsi" w:hAnsiTheme="majorHAnsi"/>
          <w:sz w:val="20"/>
          <w:szCs w:val="20"/>
        </w:rPr>
        <w:t xml:space="preserve"> without conducting any independent analysis </w:t>
      </w:r>
      <w:r w:rsidR="00DE06FD" w:rsidRPr="00907400">
        <w:rPr>
          <w:rFonts w:asciiTheme="majorHAnsi" w:hAnsiTheme="majorHAnsi"/>
          <w:sz w:val="20"/>
          <w:szCs w:val="20"/>
        </w:rPr>
        <w:t>as to whether</w:t>
      </w:r>
      <w:r w:rsidRPr="00907400">
        <w:rPr>
          <w:rFonts w:asciiTheme="majorHAnsi" w:hAnsiTheme="majorHAnsi"/>
          <w:sz w:val="20"/>
          <w:szCs w:val="20"/>
        </w:rPr>
        <w:t xml:space="preserve"> the legal or factual </w:t>
      </w:r>
      <w:r w:rsidR="00DE06FD" w:rsidRPr="00907400">
        <w:rPr>
          <w:rFonts w:asciiTheme="majorHAnsi" w:hAnsiTheme="majorHAnsi"/>
          <w:sz w:val="20"/>
          <w:szCs w:val="20"/>
        </w:rPr>
        <w:t>foundations for those orders exist</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20"/>
      </w:r>
    </w:p>
    <w:p w14:paraId="0B168D0A"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p>
    <w:p w14:paraId="7B2D7BD7" w14:textId="77777777" w:rsidR="000D5BFD" w:rsidRPr="00907400" w:rsidRDefault="00F75E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In view of the foregoing, the IACHR concluded the following:</w:t>
      </w:r>
    </w:p>
    <w:p w14:paraId="1AF4E4B0"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FF5F7E6" w14:textId="77777777" w:rsidR="00F75EDF" w:rsidRDefault="00DE33C3"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 Commission thus</w:t>
      </w:r>
      <w:r w:rsidR="00F75EDF" w:rsidRPr="00907400">
        <w:rPr>
          <w:rFonts w:asciiTheme="majorHAnsi" w:hAnsiTheme="majorHAnsi"/>
          <w:sz w:val="20"/>
          <w:szCs w:val="20"/>
        </w:rPr>
        <w:t xml:space="preserve"> expresses its most serious concern regarding the lack of </w:t>
      </w:r>
      <w:r w:rsidRPr="00907400">
        <w:rPr>
          <w:rFonts w:asciiTheme="majorHAnsi" w:hAnsiTheme="majorHAnsi"/>
          <w:sz w:val="20"/>
          <w:szCs w:val="20"/>
        </w:rPr>
        <w:t>due process rights</w:t>
      </w:r>
      <w:r w:rsidR="00F75EDF" w:rsidRPr="00907400">
        <w:rPr>
          <w:rFonts w:asciiTheme="majorHAnsi" w:hAnsiTheme="majorHAnsi"/>
          <w:sz w:val="20"/>
          <w:szCs w:val="20"/>
        </w:rPr>
        <w:t xml:space="preserve"> </w:t>
      </w:r>
      <w:r w:rsidRPr="00907400">
        <w:rPr>
          <w:rFonts w:asciiTheme="majorHAnsi" w:hAnsiTheme="majorHAnsi"/>
          <w:sz w:val="20"/>
          <w:szCs w:val="20"/>
        </w:rPr>
        <w:t xml:space="preserve">for </w:t>
      </w:r>
      <w:r w:rsidR="00F75EDF" w:rsidRPr="00907400">
        <w:rPr>
          <w:rFonts w:asciiTheme="majorHAnsi" w:hAnsiTheme="majorHAnsi"/>
          <w:sz w:val="20"/>
          <w:szCs w:val="20"/>
        </w:rPr>
        <w:t xml:space="preserve">defendants </w:t>
      </w:r>
      <w:r w:rsidRPr="00907400">
        <w:rPr>
          <w:rFonts w:asciiTheme="majorHAnsi" w:hAnsiTheme="majorHAnsi"/>
          <w:sz w:val="20"/>
          <w:szCs w:val="20"/>
        </w:rPr>
        <w:t>prosecuted</w:t>
      </w:r>
      <w:r w:rsidR="00F75EDF" w:rsidRPr="00907400">
        <w:rPr>
          <w:rFonts w:asciiTheme="majorHAnsi" w:hAnsiTheme="majorHAnsi"/>
          <w:sz w:val="20"/>
          <w:szCs w:val="20"/>
        </w:rPr>
        <w:t xml:space="preserve"> in the regional justice system. The system was instituted </w:t>
      </w:r>
      <w:r w:rsidRPr="00907400">
        <w:rPr>
          <w:rFonts w:asciiTheme="majorHAnsi" w:hAnsiTheme="majorHAnsi"/>
          <w:sz w:val="20"/>
          <w:szCs w:val="20"/>
        </w:rPr>
        <w:t>as a well-intentioned effort to combat</w:t>
      </w:r>
      <w:r w:rsidR="00F75EDF" w:rsidRPr="00907400">
        <w:rPr>
          <w:rFonts w:asciiTheme="majorHAnsi" w:hAnsiTheme="majorHAnsi"/>
          <w:sz w:val="20"/>
          <w:szCs w:val="20"/>
        </w:rPr>
        <w:t xml:space="preserve"> the </w:t>
      </w:r>
      <w:r w:rsidR="00A433FF" w:rsidRPr="00907400">
        <w:rPr>
          <w:rFonts w:asciiTheme="majorHAnsi" w:hAnsiTheme="majorHAnsi"/>
          <w:sz w:val="20"/>
          <w:szCs w:val="20"/>
        </w:rPr>
        <w:t>impunity, which</w:t>
      </w:r>
      <w:r w:rsidR="00F75EDF" w:rsidRPr="00907400">
        <w:rPr>
          <w:rFonts w:asciiTheme="majorHAnsi" w:hAnsiTheme="majorHAnsi"/>
          <w:sz w:val="20"/>
          <w:szCs w:val="20"/>
        </w:rPr>
        <w:t xml:space="preserve"> the Commission itself has </w:t>
      </w:r>
      <w:r w:rsidRPr="00907400">
        <w:rPr>
          <w:rFonts w:asciiTheme="majorHAnsi" w:hAnsiTheme="majorHAnsi"/>
          <w:sz w:val="20"/>
          <w:szCs w:val="20"/>
        </w:rPr>
        <w:t>named</w:t>
      </w:r>
      <w:r w:rsidR="00F75EDF" w:rsidRPr="00907400">
        <w:rPr>
          <w:rFonts w:asciiTheme="majorHAnsi" w:hAnsiTheme="majorHAnsi"/>
          <w:sz w:val="20"/>
          <w:szCs w:val="20"/>
        </w:rPr>
        <w:t xml:space="preserve"> as a serious human rights problem. However, the rights of the </w:t>
      </w:r>
      <w:r w:rsidRPr="00907400">
        <w:rPr>
          <w:rFonts w:asciiTheme="majorHAnsi" w:hAnsiTheme="majorHAnsi"/>
          <w:sz w:val="20"/>
          <w:szCs w:val="20"/>
        </w:rPr>
        <w:t>defendant</w:t>
      </w:r>
      <w:r w:rsidR="00F75EDF" w:rsidRPr="00907400">
        <w:rPr>
          <w:rFonts w:asciiTheme="majorHAnsi" w:hAnsiTheme="majorHAnsi"/>
          <w:sz w:val="20"/>
          <w:szCs w:val="20"/>
        </w:rPr>
        <w:t xml:space="preserve"> to due process</w:t>
      </w:r>
      <w:r w:rsidRPr="00907400">
        <w:rPr>
          <w:rFonts w:asciiTheme="majorHAnsi" w:hAnsiTheme="majorHAnsi"/>
          <w:sz w:val="20"/>
          <w:szCs w:val="20"/>
        </w:rPr>
        <w:t xml:space="preserve"> of law</w:t>
      </w:r>
      <w:r w:rsidR="00F75EDF" w:rsidRPr="00907400">
        <w:rPr>
          <w:rFonts w:asciiTheme="majorHAnsi" w:hAnsiTheme="majorHAnsi"/>
          <w:sz w:val="20"/>
          <w:szCs w:val="20"/>
        </w:rPr>
        <w:t xml:space="preserve">, as guaranteed </w:t>
      </w:r>
      <w:r w:rsidRPr="00907400">
        <w:rPr>
          <w:rFonts w:asciiTheme="majorHAnsi" w:hAnsiTheme="majorHAnsi"/>
          <w:sz w:val="20"/>
          <w:szCs w:val="20"/>
        </w:rPr>
        <w:t>in</w:t>
      </w:r>
      <w:r w:rsidR="00F75EDF" w:rsidRPr="00907400">
        <w:rPr>
          <w:rFonts w:asciiTheme="majorHAnsi" w:hAnsiTheme="majorHAnsi"/>
          <w:sz w:val="20"/>
          <w:szCs w:val="20"/>
        </w:rPr>
        <w:t xml:space="preserve"> the American Convention and other international instruments, </w:t>
      </w:r>
      <w:r w:rsidRPr="00907400">
        <w:rPr>
          <w:rFonts w:asciiTheme="majorHAnsi" w:hAnsiTheme="majorHAnsi"/>
          <w:sz w:val="20"/>
          <w:szCs w:val="20"/>
        </w:rPr>
        <w:t>may</w:t>
      </w:r>
      <w:r w:rsidR="00F75EDF" w:rsidRPr="00907400">
        <w:rPr>
          <w:rFonts w:asciiTheme="majorHAnsi" w:hAnsiTheme="majorHAnsi"/>
          <w:sz w:val="20"/>
          <w:szCs w:val="20"/>
        </w:rPr>
        <w:t xml:space="preserve"> not be sacrificed </w:t>
      </w:r>
      <w:r w:rsidRPr="00907400">
        <w:rPr>
          <w:rFonts w:asciiTheme="majorHAnsi" w:hAnsiTheme="majorHAnsi"/>
          <w:sz w:val="20"/>
          <w:szCs w:val="20"/>
        </w:rPr>
        <w:t>to achieve this lofty goal</w:t>
      </w:r>
      <w:r w:rsidR="00F75EDF" w:rsidRPr="00907400">
        <w:rPr>
          <w:rFonts w:asciiTheme="majorHAnsi" w:hAnsiTheme="majorHAnsi"/>
          <w:sz w:val="20"/>
          <w:szCs w:val="20"/>
        </w:rPr>
        <w:t xml:space="preserve">. (...) The Commission is aware that </w:t>
      </w:r>
      <w:r w:rsidRPr="00907400">
        <w:rPr>
          <w:rFonts w:asciiTheme="majorHAnsi" w:hAnsiTheme="majorHAnsi"/>
          <w:sz w:val="20"/>
          <w:szCs w:val="20"/>
        </w:rPr>
        <w:t xml:space="preserve">legislation has been presented </w:t>
      </w:r>
      <w:r w:rsidR="00F75EDF" w:rsidRPr="00907400">
        <w:rPr>
          <w:rFonts w:asciiTheme="majorHAnsi" w:hAnsiTheme="majorHAnsi"/>
          <w:sz w:val="20"/>
          <w:szCs w:val="20"/>
        </w:rPr>
        <w:t xml:space="preserve">on several occasions to dismantle the regional justice system </w:t>
      </w:r>
      <w:r w:rsidRPr="00907400">
        <w:rPr>
          <w:rFonts w:asciiTheme="majorHAnsi" w:hAnsiTheme="majorHAnsi"/>
          <w:sz w:val="20"/>
          <w:szCs w:val="20"/>
        </w:rPr>
        <w:t>earlier than the</w:t>
      </w:r>
      <w:r w:rsidR="00F75EDF" w:rsidRPr="00907400">
        <w:rPr>
          <w:rFonts w:asciiTheme="majorHAnsi" w:hAnsiTheme="majorHAnsi"/>
          <w:sz w:val="20"/>
          <w:szCs w:val="20"/>
        </w:rPr>
        <w:t xml:space="preserve"> June 1999, date for its automatic elimination. However, </w:t>
      </w:r>
      <w:r w:rsidRPr="00907400">
        <w:rPr>
          <w:rFonts w:asciiTheme="majorHAnsi" w:hAnsiTheme="majorHAnsi"/>
          <w:sz w:val="20"/>
          <w:szCs w:val="20"/>
        </w:rPr>
        <w:t xml:space="preserve">such legislation has never been enacted and is </w:t>
      </w:r>
      <w:r w:rsidR="00F75EDF" w:rsidRPr="00907400">
        <w:rPr>
          <w:rFonts w:asciiTheme="majorHAnsi" w:hAnsiTheme="majorHAnsi"/>
          <w:sz w:val="20"/>
          <w:szCs w:val="20"/>
        </w:rPr>
        <w:t xml:space="preserve">now unlikely to be approved and implemented before the automatic </w:t>
      </w:r>
      <w:r w:rsidRPr="00907400">
        <w:rPr>
          <w:rFonts w:asciiTheme="majorHAnsi" w:hAnsiTheme="majorHAnsi"/>
          <w:sz w:val="20"/>
          <w:szCs w:val="20"/>
        </w:rPr>
        <w:t>deadline</w:t>
      </w:r>
      <w:r w:rsidR="00F75EDF" w:rsidRPr="00907400">
        <w:rPr>
          <w:rFonts w:asciiTheme="majorHAnsi" w:hAnsiTheme="majorHAnsi"/>
          <w:sz w:val="20"/>
          <w:szCs w:val="20"/>
        </w:rPr>
        <w:t xml:space="preserve">. The Commission deeply regrets that the Colombian State has not acted </w:t>
      </w:r>
      <w:r w:rsidRPr="00907400">
        <w:rPr>
          <w:rFonts w:asciiTheme="majorHAnsi" w:hAnsiTheme="majorHAnsi"/>
          <w:sz w:val="20"/>
          <w:szCs w:val="20"/>
        </w:rPr>
        <w:t>previously to implement the reiterated</w:t>
      </w:r>
      <w:r w:rsidR="00F75EDF" w:rsidRPr="00907400">
        <w:rPr>
          <w:rFonts w:asciiTheme="majorHAnsi" w:hAnsiTheme="majorHAnsi"/>
          <w:sz w:val="20"/>
          <w:szCs w:val="20"/>
        </w:rPr>
        <w:t xml:space="preserve"> recommendations of this and other bodies </w:t>
      </w:r>
      <w:r w:rsidRPr="00907400">
        <w:rPr>
          <w:rFonts w:asciiTheme="majorHAnsi" w:hAnsiTheme="majorHAnsi"/>
          <w:sz w:val="20"/>
          <w:szCs w:val="20"/>
        </w:rPr>
        <w:t>urging that the system be dismantled</w:t>
      </w:r>
      <w:r w:rsidR="00F75EDF" w:rsidRPr="00907400">
        <w:rPr>
          <w:rFonts w:asciiTheme="majorHAnsi" w:hAnsiTheme="majorHAnsi"/>
          <w:sz w:val="20"/>
          <w:szCs w:val="20"/>
        </w:rPr>
        <w:t xml:space="preserve">. The Commission now </w:t>
      </w:r>
      <w:r w:rsidRPr="00907400">
        <w:rPr>
          <w:rFonts w:asciiTheme="majorHAnsi" w:hAnsiTheme="majorHAnsi"/>
          <w:sz w:val="20"/>
          <w:szCs w:val="20"/>
        </w:rPr>
        <w:t>calls upon</w:t>
      </w:r>
      <w:r w:rsidR="00F75EDF" w:rsidRPr="00907400">
        <w:rPr>
          <w:rFonts w:asciiTheme="majorHAnsi" w:hAnsiTheme="majorHAnsi"/>
          <w:sz w:val="20"/>
          <w:szCs w:val="20"/>
        </w:rPr>
        <w:t xml:space="preserve"> the Colombian State to immediately dismantle the regional justice system and </w:t>
      </w:r>
      <w:r w:rsidRPr="00907400">
        <w:rPr>
          <w:rFonts w:asciiTheme="majorHAnsi" w:hAnsiTheme="majorHAnsi"/>
          <w:sz w:val="20"/>
          <w:szCs w:val="20"/>
        </w:rPr>
        <w:t xml:space="preserve">to </w:t>
      </w:r>
      <w:r w:rsidR="00F75EDF" w:rsidRPr="00907400">
        <w:rPr>
          <w:rFonts w:asciiTheme="majorHAnsi" w:hAnsiTheme="majorHAnsi"/>
          <w:sz w:val="20"/>
          <w:szCs w:val="20"/>
        </w:rPr>
        <w:t xml:space="preserve">take all measures </w:t>
      </w:r>
      <w:r w:rsidRPr="00907400">
        <w:rPr>
          <w:rFonts w:asciiTheme="majorHAnsi" w:hAnsiTheme="majorHAnsi"/>
          <w:sz w:val="20"/>
          <w:szCs w:val="20"/>
        </w:rPr>
        <w:t xml:space="preserve">necessary </w:t>
      </w:r>
      <w:r w:rsidR="00F75EDF" w:rsidRPr="00907400">
        <w:rPr>
          <w:rFonts w:asciiTheme="majorHAnsi" w:hAnsiTheme="majorHAnsi"/>
          <w:sz w:val="20"/>
          <w:szCs w:val="20"/>
        </w:rPr>
        <w:t xml:space="preserve">to ensure that it is not </w:t>
      </w:r>
      <w:r w:rsidRPr="00907400">
        <w:rPr>
          <w:rFonts w:asciiTheme="majorHAnsi" w:hAnsiTheme="majorHAnsi"/>
          <w:sz w:val="20"/>
          <w:szCs w:val="20"/>
        </w:rPr>
        <w:t>extended in time or reinstated</w:t>
      </w:r>
      <w:r w:rsidR="00F75EDF"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21"/>
      </w:r>
    </w:p>
    <w:p w14:paraId="5A3402BA"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859810D" w14:textId="77777777" w:rsidR="000D5BFD" w:rsidRDefault="001B4A6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In its 1999 Annual R</w:t>
      </w:r>
      <w:r w:rsidR="00F75EDF" w:rsidRPr="00907400">
        <w:rPr>
          <w:rFonts w:asciiTheme="majorHAnsi" w:hAnsiTheme="majorHAnsi"/>
          <w:sz w:val="20"/>
          <w:szCs w:val="20"/>
        </w:rPr>
        <w:t xml:space="preserve">eport, the IACHR reported on the information provided by the Colombian State that the </w:t>
      </w:r>
      <w:r w:rsidR="00876701" w:rsidRPr="00907400">
        <w:rPr>
          <w:rFonts w:asciiTheme="majorHAnsi" w:hAnsiTheme="majorHAnsi"/>
          <w:i/>
          <w:sz w:val="20"/>
          <w:szCs w:val="20"/>
        </w:rPr>
        <w:t>Ley Estatutaria de la Administración de Justicia</w:t>
      </w:r>
      <w:r w:rsidR="00876701" w:rsidRPr="00907400">
        <w:rPr>
          <w:rFonts w:asciiTheme="majorHAnsi" w:hAnsiTheme="majorHAnsi"/>
          <w:sz w:val="20"/>
          <w:szCs w:val="20"/>
        </w:rPr>
        <w:t xml:space="preserve"> </w:t>
      </w:r>
      <w:r w:rsidR="00F75EDF" w:rsidRPr="00907400">
        <w:rPr>
          <w:rFonts w:asciiTheme="majorHAnsi" w:hAnsiTheme="majorHAnsi"/>
          <w:sz w:val="20"/>
          <w:szCs w:val="20"/>
        </w:rPr>
        <w:t xml:space="preserve">established </w:t>
      </w:r>
      <w:r w:rsidR="006845E9" w:rsidRPr="00907400">
        <w:rPr>
          <w:rFonts w:asciiTheme="majorHAnsi" w:hAnsiTheme="majorHAnsi"/>
          <w:sz w:val="20"/>
          <w:szCs w:val="20"/>
        </w:rPr>
        <w:t>the termination of</w:t>
      </w:r>
      <w:r w:rsidR="00876701" w:rsidRPr="00907400">
        <w:rPr>
          <w:rFonts w:asciiTheme="majorHAnsi" w:hAnsiTheme="majorHAnsi"/>
          <w:sz w:val="20"/>
          <w:szCs w:val="20"/>
        </w:rPr>
        <w:t xml:space="preserve"> </w:t>
      </w:r>
      <w:r w:rsidR="00F75EDF" w:rsidRPr="00907400">
        <w:rPr>
          <w:rFonts w:asciiTheme="majorHAnsi" w:hAnsiTheme="majorHAnsi"/>
          <w:sz w:val="20"/>
          <w:szCs w:val="20"/>
        </w:rPr>
        <w:t xml:space="preserve">the Regional Justice System for June 30 of that year. </w:t>
      </w:r>
      <w:r w:rsidR="00876701" w:rsidRPr="00907400">
        <w:rPr>
          <w:rFonts w:asciiTheme="majorHAnsi" w:hAnsiTheme="majorHAnsi"/>
          <w:sz w:val="20"/>
          <w:szCs w:val="20"/>
        </w:rPr>
        <w:t>It</w:t>
      </w:r>
      <w:r w:rsidR="00F75EDF" w:rsidRPr="00907400">
        <w:rPr>
          <w:rFonts w:asciiTheme="majorHAnsi" w:hAnsiTheme="majorHAnsi"/>
          <w:sz w:val="20"/>
          <w:szCs w:val="20"/>
        </w:rPr>
        <w:t xml:space="preserve"> argued that through Law 504 some modifications were introduced to the Code of Criminal Procedure, such as: i) the abolition of </w:t>
      </w:r>
      <w:r w:rsidR="00876701" w:rsidRPr="00907400">
        <w:rPr>
          <w:rFonts w:asciiTheme="majorHAnsi" w:hAnsiTheme="majorHAnsi"/>
          <w:sz w:val="20"/>
          <w:szCs w:val="20"/>
        </w:rPr>
        <w:t>‘</w:t>
      </w:r>
      <w:r w:rsidR="00F75EDF" w:rsidRPr="00907400">
        <w:rPr>
          <w:rFonts w:asciiTheme="majorHAnsi" w:hAnsiTheme="majorHAnsi"/>
          <w:sz w:val="20"/>
          <w:szCs w:val="20"/>
        </w:rPr>
        <w:t>faceless</w:t>
      </w:r>
      <w:r w:rsidR="00876701" w:rsidRPr="00907400">
        <w:rPr>
          <w:rFonts w:asciiTheme="majorHAnsi" w:hAnsiTheme="majorHAnsi"/>
          <w:sz w:val="20"/>
          <w:szCs w:val="20"/>
        </w:rPr>
        <w:t>’</w:t>
      </w:r>
      <w:r w:rsidR="00F75EDF" w:rsidRPr="00907400">
        <w:rPr>
          <w:rFonts w:asciiTheme="majorHAnsi" w:hAnsiTheme="majorHAnsi"/>
          <w:sz w:val="20"/>
          <w:szCs w:val="20"/>
        </w:rPr>
        <w:t xml:space="preserve"> judges; and ii) that, for exceptional cases, the identity of prosecutors and witnesses </w:t>
      </w:r>
      <w:r w:rsidR="00876701" w:rsidRPr="00907400">
        <w:rPr>
          <w:rFonts w:asciiTheme="majorHAnsi" w:hAnsiTheme="majorHAnsi"/>
          <w:sz w:val="20"/>
          <w:szCs w:val="20"/>
        </w:rPr>
        <w:t>could be withheld as a protective</w:t>
      </w:r>
      <w:r w:rsidR="00F75EDF" w:rsidRPr="00907400">
        <w:rPr>
          <w:rFonts w:asciiTheme="majorHAnsi" w:hAnsiTheme="majorHAnsi"/>
          <w:sz w:val="20"/>
          <w:szCs w:val="20"/>
        </w:rPr>
        <w:t xml:space="preserve"> measure in proceedings conducted for </w:t>
      </w:r>
      <w:r w:rsidR="00876701" w:rsidRPr="00907400">
        <w:rPr>
          <w:rFonts w:asciiTheme="majorHAnsi" w:hAnsiTheme="majorHAnsi"/>
          <w:sz w:val="20"/>
          <w:szCs w:val="20"/>
        </w:rPr>
        <w:t xml:space="preserve">exceptionally serious </w:t>
      </w:r>
      <w:r w:rsidR="00F75EDF" w:rsidRPr="00907400">
        <w:rPr>
          <w:rFonts w:asciiTheme="majorHAnsi" w:hAnsiTheme="majorHAnsi"/>
          <w:sz w:val="20"/>
          <w:szCs w:val="20"/>
        </w:rPr>
        <w:t>crimes. In this regard, the Commission considered the following:</w:t>
      </w:r>
    </w:p>
    <w:p w14:paraId="3CB87D48"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CAAF76B" w14:textId="77777777" w:rsidR="000D5BFD" w:rsidRPr="00907400" w:rsidRDefault="00F75E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Commission considers the abolition of </w:t>
      </w:r>
      <w:r w:rsidR="00B77A3F" w:rsidRPr="00907400">
        <w:rPr>
          <w:rFonts w:asciiTheme="majorHAnsi" w:hAnsiTheme="majorHAnsi"/>
          <w:sz w:val="20"/>
          <w:szCs w:val="20"/>
        </w:rPr>
        <w:t>the "faceless judge</w:t>
      </w:r>
      <w:r w:rsidRPr="00907400">
        <w:rPr>
          <w:rFonts w:asciiTheme="majorHAnsi" w:hAnsiTheme="majorHAnsi"/>
          <w:sz w:val="20"/>
          <w:szCs w:val="20"/>
        </w:rPr>
        <w:t>"</w:t>
      </w:r>
      <w:r w:rsidR="00B77A3F" w:rsidRPr="00907400">
        <w:rPr>
          <w:rFonts w:asciiTheme="majorHAnsi" w:hAnsiTheme="majorHAnsi"/>
          <w:sz w:val="20"/>
          <w:szCs w:val="20"/>
        </w:rPr>
        <w:t xml:space="preserve"> courts to be a </w:t>
      </w:r>
      <w:r w:rsidR="00030CF0" w:rsidRPr="00907400">
        <w:rPr>
          <w:rFonts w:asciiTheme="majorHAnsi" w:hAnsiTheme="majorHAnsi"/>
          <w:sz w:val="20"/>
          <w:szCs w:val="20"/>
        </w:rPr>
        <w:t>positive measure.  In addition</w:t>
      </w:r>
      <w:r w:rsidRPr="00907400">
        <w:rPr>
          <w:rFonts w:asciiTheme="majorHAnsi" w:hAnsiTheme="majorHAnsi"/>
          <w:sz w:val="20"/>
          <w:szCs w:val="20"/>
        </w:rPr>
        <w:t xml:space="preserve">, (...) </w:t>
      </w:r>
      <w:r w:rsidR="00030CF0" w:rsidRPr="00907400">
        <w:rPr>
          <w:rFonts w:asciiTheme="majorHAnsi" w:hAnsiTheme="majorHAnsi"/>
          <w:sz w:val="20"/>
          <w:szCs w:val="20"/>
        </w:rPr>
        <w:t xml:space="preserve">it </w:t>
      </w:r>
      <w:r w:rsidRPr="00907400">
        <w:rPr>
          <w:rFonts w:asciiTheme="majorHAnsi" w:hAnsiTheme="majorHAnsi"/>
          <w:sz w:val="20"/>
          <w:szCs w:val="20"/>
        </w:rPr>
        <w:t xml:space="preserve">is aware of the problems </w:t>
      </w:r>
      <w:r w:rsidR="00030CF0" w:rsidRPr="00907400">
        <w:rPr>
          <w:rFonts w:asciiTheme="majorHAnsi" w:hAnsiTheme="majorHAnsi"/>
          <w:sz w:val="20"/>
          <w:szCs w:val="20"/>
        </w:rPr>
        <w:t xml:space="preserve">associated with protecting </w:t>
      </w:r>
      <w:r w:rsidRPr="00907400">
        <w:rPr>
          <w:rFonts w:asciiTheme="majorHAnsi" w:hAnsiTheme="majorHAnsi"/>
          <w:sz w:val="20"/>
          <w:szCs w:val="20"/>
        </w:rPr>
        <w:t xml:space="preserve">the personal integrity of judicial officers, witnesses and victims who participate in criminal proceedings. </w:t>
      </w:r>
      <w:r w:rsidR="00030CF0" w:rsidRPr="00907400">
        <w:rPr>
          <w:rFonts w:asciiTheme="majorHAnsi" w:hAnsiTheme="majorHAnsi"/>
          <w:sz w:val="20"/>
          <w:szCs w:val="20"/>
        </w:rPr>
        <w:t>Nevertheless</w:t>
      </w:r>
      <w:r w:rsidRPr="00907400">
        <w:rPr>
          <w:rFonts w:asciiTheme="majorHAnsi" w:hAnsiTheme="majorHAnsi"/>
          <w:sz w:val="20"/>
          <w:szCs w:val="20"/>
        </w:rPr>
        <w:t xml:space="preserve">, </w:t>
      </w:r>
      <w:r w:rsidR="00030CF0" w:rsidRPr="00907400">
        <w:rPr>
          <w:rFonts w:asciiTheme="majorHAnsi" w:hAnsiTheme="majorHAnsi"/>
          <w:sz w:val="20"/>
          <w:szCs w:val="20"/>
        </w:rPr>
        <w:t>continuing to retain</w:t>
      </w:r>
      <w:r w:rsidRPr="00907400">
        <w:rPr>
          <w:rFonts w:asciiTheme="majorHAnsi" w:hAnsiTheme="majorHAnsi"/>
          <w:sz w:val="20"/>
          <w:szCs w:val="20"/>
        </w:rPr>
        <w:t xml:space="preserve"> a "special" jurisdiction for the </w:t>
      </w:r>
      <w:r w:rsidR="00030CF0" w:rsidRPr="00907400">
        <w:rPr>
          <w:rFonts w:asciiTheme="majorHAnsi" w:hAnsiTheme="majorHAnsi"/>
          <w:sz w:val="20"/>
          <w:szCs w:val="20"/>
        </w:rPr>
        <w:t>trial</w:t>
      </w:r>
      <w:r w:rsidRPr="00907400">
        <w:rPr>
          <w:rFonts w:asciiTheme="majorHAnsi" w:hAnsiTheme="majorHAnsi"/>
          <w:sz w:val="20"/>
          <w:szCs w:val="20"/>
        </w:rPr>
        <w:t xml:space="preserve"> of certain </w:t>
      </w:r>
      <w:r w:rsidR="00030CF0" w:rsidRPr="00907400">
        <w:rPr>
          <w:rFonts w:asciiTheme="majorHAnsi" w:hAnsiTheme="majorHAnsi"/>
          <w:sz w:val="20"/>
          <w:szCs w:val="20"/>
        </w:rPr>
        <w:t xml:space="preserve">offenses is a source of concern, </w:t>
      </w:r>
      <w:r w:rsidRPr="00907400">
        <w:rPr>
          <w:rFonts w:asciiTheme="majorHAnsi" w:hAnsiTheme="majorHAnsi"/>
          <w:sz w:val="20"/>
          <w:szCs w:val="20"/>
        </w:rPr>
        <w:t>give</w:t>
      </w:r>
      <w:r w:rsidR="00030CF0" w:rsidRPr="00907400">
        <w:rPr>
          <w:rFonts w:asciiTheme="majorHAnsi" w:hAnsiTheme="majorHAnsi"/>
          <w:sz w:val="20"/>
          <w:szCs w:val="20"/>
        </w:rPr>
        <w:t>n the emphasis on the continuing use</w:t>
      </w:r>
      <w:r w:rsidRPr="00907400">
        <w:rPr>
          <w:rFonts w:asciiTheme="majorHAnsi" w:hAnsiTheme="majorHAnsi"/>
          <w:sz w:val="20"/>
          <w:szCs w:val="20"/>
        </w:rPr>
        <w:t xml:space="preserve"> of measures whose effects </w:t>
      </w:r>
      <w:r w:rsidR="00030CF0" w:rsidRPr="00907400">
        <w:rPr>
          <w:rFonts w:asciiTheme="majorHAnsi" w:hAnsiTheme="majorHAnsi"/>
          <w:sz w:val="20"/>
          <w:szCs w:val="20"/>
        </w:rPr>
        <w:t>could limit</w:t>
      </w:r>
      <w:r w:rsidRPr="00907400">
        <w:rPr>
          <w:rFonts w:asciiTheme="majorHAnsi" w:hAnsiTheme="majorHAnsi"/>
          <w:sz w:val="20"/>
          <w:szCs w:val="20"/>
        </w:rPr>
        <w:t xml:space="preserve"> the full enjoyment of guarantees such as equality before the law and the courts, the presumption of innocence, and the right to defense. Therefore, the Commission will continue </w:t>
      </w:r>
      <w:r w:rsidRPr="00907400">
        <w:rPr>
          <w:rFonts w:asciiTheme="majorHAnsi" w:hAnsiTheme="majorHAnsi"/>
          <w:sz w:val="20"/>
          <w:szCs w:val="20"/>
        </w:rPr>
        <w:lastRenderedPageBreak/>
        <w:t xml:space="preserve">to pay </w:t>
      </w:r>
      <w:r w:rsidR="00030CF0" w:rsidRPr="00907400">
        <w:rPr>
          <w:rFonts w:asciiTheme="majorHAnsi" w:hAnsiTheme="majorHAnsi"/>
          <w:sz w:val="20"/>
          <w:szCs w:val="20"/>
        </w:rPr>
        <w:t xml:space="preserve">close </w:t>
      </w:r>
      <w:r w:rsidRPr="00907400">
        <w:rPr>
          <w:rFonts w:asciiTheme="majorHAnsi" w:hAnsiTheme="majorHAnsi"/>
          <w:sz w:val="20"/>
          <w:szCs w:val="20"/>
        </w:rPr>
        <w:t xml:space="preserve">attention to the effects that the interpretation and application of the </w:t>
      </w:r>
      <w:r w:rsidR="00030CF0" w:rsidRPr="00907400">
        <w:rPr>
          <w:rFonts w:asciiTheme="majorHAnsi" w:hAnsiTheme="majorHAnsi"/>
          <w:sz w:val="20"/>
          <w:szCs w:val="20"/>
        </w:rPr>
        <w:t xml:space="preserve">laws providing for keeping the identity of </w:t>
      </w:r>
      <w:r w:rsidRPr="00907400">
        <w:rPr>
          <w:rFonts w:asciiTheme="majorHAnsi" w:hAnsiTheme="majorHAnsi"/>
          <w:sz w:val="20"/>
          <w:szCs w:val="20"/>
        </w:rPr>
        <w:t xml:space="preserve">prosecutors and witnesses </w:t>
      </w:r>
      <w:r w:rsidR="00030CF0" w:rsidRPr="00907400">
        <w:rPr>
          <w:rFonts w:asciiTheme="majorHAnsi" w:hAnsiTheme="majorHAnsi"/>
          <w:sz w:val="20"/>
          <w:szCs w:val="20"/>
        </w:rPr>
        <w:t xml:space="preserve">under seal may have on respect for </w:t>
      </w:r>
      <w:r w:rsidRPr="00907400">
        <w:rPr>
          <w:rFonts w:asciiTheme="majorHAnsi" w:hAnsiTheme="majorHAnsi"/>
          <w:sz w:val="20"/>
          <w:szCs w:val="20"/>
        </w:rPr>
        <w:t>due p</w:t>
      </w:r>
      <w:r w:rsidR="00030CF0" w:rsidRPr="00907400">
        <w:rPr>
          <w:rFonts w:asciiTheme="majorHAnsi" w:hAnsiTheme="majorHAnsi"/>
          <w:sz w:val="20"/>
          <w:szCs w:val="20"/>
        </w:rPr>
        <w:t>rocess guarantees of the defendant in particular cases</w:t>
      </w:r>
      <w:r w:rsidRPr="00907400">
        <w:rPr>
          <w:rFonts w:asciiTheme="majorHAnsi" w:hAnsiTheme="majorHAnsi"/>
          <w:sz w:val="20"/>
          <w:szCs w:val="20"/>
        </w:rPr>
        <w:t>.</w:t>
      </w:r>
      <w:r w:rsidR="00CE6802" w:rsidRPr="00907400">
        <w:rPr>
          <w:rStyle w:val="FootnoteReference"/>
          <w:rFonts w:asciiTheme="majorHAnsi" w:hAnsiTheme="majorHAnsi"/>
          <w:sz w:val="20"/>
          <w:szCs w:val="20"/>
        </w:rPr>
        <w:footnoteReference w:id="22"/>
      </w:r>
    </w:p>
    <w:p w14:paraId="15E2898F"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EC3E394" w14:textId="77777777" w:rsidR="000D5BFD" w:rsidRDefault="00F75E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area of the universal human rights system, the Human Rights Committee indicated in its observations on Colombia in 1997 that the "regional judicial system" allows the existence of </w:t>
      </w:r>
      <w:r w:rsidR="00876701" w:rsidRPr="00907400">
        <w:rPr>
          <w:rFonts w:asciiTheme="majorHAnsi" w:hAnsiTheme="majorHAnsi"/>
          <w:sz w:val="20"/>
          <w:szCs w:val="20"/>
        </w:rPr>
        <w:t>‘</w:t>
      </w:r>
      <w:r w:rsidRPr="00907400">
        <w:rPr>
          <w:rFonts w:asciiTheme="majorHAnsi" w:hAnsiTheme="majorHAnsi"/>
          <w:sz w:val="20"/>
          <w:szCs w:val="20"/>
        </w:rPr>
        <w:t>faceless</w:t>
      </w:r>
      <w:r w:rsidR="00876701" w:rsidRPr="00907400">
        <w:rPr>
          <w:rFonts w:asciiTheme="majorHAnsi" w:hAnsiTheme="majorHAnsi"/>
          <w:sz w:val="20"/>
          <w:szCs w:val="20"/>
        </w:rPr>
        <w:t>’</w:t>
      </w:r>
      <w:r w:rsidRPr="00907400">
        <w:rPr>
          <w:rFonts w:asciiTheme="majorHAnsi" w:hAnsiTheme="majorHAnsi"/>
          <w:sz w:val="20"/>
          <w:szCs w:val="20"/>
        </w:rPr>
        <w:t xml:space="preserve"> judges and anonymous witnesses. </w:t>
      </w:r>
      <w:r w:rsidR="00876701" w:rsidRPr="00907400">
        <w:rPr>
          <w:rFonts w:asciiTheme="majorHAnsi" w:hAnsiTheme="majorHAnsi"/>
          <w:sz w:val="20"/>
          <w:szCs w:val="20"/>
        </w:rPr>
        <w:t>It</w:t>
      </w:r>
      <w:r w:rsidRPr="00907400">
        <w:rPr>
          <w:rFonts w:asciiTheme="majorHAnsi" w:hAnsiTheme="majorHAnsi"/>
          <w:sz w:val="20"/>
          <w:szCs w:val="20"/>
        </w:rPr>
        <w:t xml:space="preserve"> indicated that this "is not in accordan</w:t>
      </w:r>
      <w:r w:rsidR="00D30E63" w:rsidRPr="00907400">
        <w:rPr>
          <w:rFonts w:asciiTheme="majorHAnsi" w:hAnsiTheme="majorHAnsi"/>
          <w:sz w:val="20"/>
          <w:szCs w:val="20"/>
        </w:rPr>
        <w:t>ce with A</w:t>
      </w:r>
      <w:r w:rsidRPr="00907400">
        <w:rPr>
          <w:rFonts w:asciiTheme="majorHAnsi" w:hAnsiTheme="majorHAnsi"/>
          <w:sz w:val="20"/>
          <w:szCs w:val="20"/>
        </w:rPr>
        <w:t>rticle 14 of the Covenant, and in particular paragraphs b) and e) of paragraph 3, nor with General Comment 13 (21) of the Committee". The Committee urged Colombia "to abolish the regional judicial system and to (...) ensure that all trials are conducted with due respect for the safeguards</w:t>
      </w:r>
      <w:r w:rsidR="00D30E63" w:rsidRPr="00907400">
        <w:rPr>
          <w:rFonts w:asciiTheme="majorHAnsi" w:hAnsiTheme="majorHAnsi"/>
          <w:sz w:val="20"/>
          <w:szCs w:val="20"/>
        </w:rPr>
        <w:t xml:space="preserve"> of a fair trial stipulated in A</w:t>
      </w:r>
      <w:r w:rsidRPr="00907400">
        <w:rPr>
          <w:rFonts w:asciiTheme="majorHAnsi" w:hAnsiTheme="majorHAnsi"/>
          <w:sz w:val="20"/>
          <w:szCs w:val="20"/>
        </w:rPr>
        <w:t>rticle 14 of the Covenant."</w:t>
      </w:r>
      <w:r w:rsidR="00201D79" w:rsidRPr="00907400">
        <w:rPr>
          <w:rStyle w:val="FootnoteReference"/>
          <w:rFonts w:asciiTheme="majorHAnsi" w:hAnsiTheme="majorHAnsi"/>
          <w:sz w:val="20"/>
          <w:szCs w:val="20"/>
        </w:rPr>
        <w:footnoteReference w:id="23"/>
      </w:r>
    </w:p>
    <w:p w14:paraId="2BFE7A2F"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CA2399C" w14:textId="77777777" w:rsidR="00907400" w:rsidRPr="00907400" w:rsidRDefault="00F75EDF" w:rsidP="00907400">
      <w:pPr>
        <w:pStyle w:val="Heading2"/>
        <w:spacing w:before="0"/>
        <w:ind w:left="1440" w:hanging="720"/>
        <w:jc w:val="both"/>
        <w:rPr>
          <w:color w:val="auto"/>
          <w:sz w:val="20"/>
          <w:szCs w:val="20"/>
        </w:rPr>
      </w:pPr>
      <w:bookmarkStart w:id="7" w:name="_Toc211249796"/>
      <w:r w:rsidRPr="00907400">
        <w:rPr>
          <w:color w:val="auto"/>
          <w:sz w:val="20"/>
          <w:szCs w:val="20"/>
        </w:rPr>
        <w:t>C.</w:t>
      </w:r>
      <w:r w:rsidRPr="00907400">
        <w:rPr>
          <w:color w:val="auto"/>
          <w:sz w:val="20"/>
          <w:szCs w:val="20"/>
        </w:rPr>
        <w:tab/>
        <w:t>Regarding Gustavo Sastoque’s Detention and the Criminal Proce</w:t>
      </w:r>
      <w:r w:rsidR="006845E9" w:rsidRPr="00907400">
        <w:rPr>
          <w:color w:val="auto"/>
          <w:sz w:val="20"/>
          <w:szCs w:val="20"/>
        </w:rPr>
        <w:t>edings before the Regional Justice System</w:t>
      </w:r>
      <w:bookmarkEnd w:id="7"/>
    </w:p>
    <w:p w14:paraId="5688FC06"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b/>
          <w:sz w:val="20"/>
          <w:szCs w:val="20"/>
        </w:rPr>
      </w:pPr>
    </w:p>
    <w:p w14:paraId="603950AA" w14:textId="77777777" w:rsidR="00F75EDF"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There is no controversy between the parties that at the time of the events, Gustavo Sastoque Alfonso was </w:t>
      </w:r>
      <w:r w:rsidR="004F58BD" w:rsidRPr="00907400">
        <w:rPr>
          <w:rFonts w:asciiTheme="majorHAnsi" w:hAnsiTheme="majorHAnsi"/>
          <w:sz w:val="20"/>
          <w:szCs w:val="20"/>
        </w:rPr>
        <w:t xml:space="preserve">employed as </w:t>
      </w:r>
      <w:r w:rsidRPr="00907400">
        <w:rPr>
          <w:rFonts w:asciiTheme="majorHAnsi" w:hAnsiTheme="majorHAnsi"/>
          <w:sz w:val="20"/>
          <w:szCs w:val="20"/>
        </w:rPr>
        <w:t>an a</w:t>
      </w:r>
      <w:r w:rsidR="006845E9" w:rsidRPr="00907400">
        <w:rPr>
          <w:rFonts w:asciiTheme="majorHAnsi" w:hAnsiTheme="majorHAnsi"/>
          <w:sz w:val="20"/>
          <w:szCs w:val="20"/>
        </w:rPr>
        <w:t>dministrative officer of the CTI</w:t>
      </w:r>
      <w:r w:rsidRPr="00907400">
        <w:rPr>
          <w:rFonts w:asciiTheme="majorHAnsi" w:hAnsiTheme="majorHAnsi"/>
          <w:sz w:val="20"/>
          <w:szCs w:val="20"/>
        </w:rPr>
        <w:t xml:space="preserve"> </w:t>
      </w:r>
      <w:r w:rsidR="004F58BD" w:rsidRPr="00907400">
        <w:rPr>
          <w:rFonts w:asciiTheme="majorHAnsi" w:hAnsiTheme="majorHAnsi"/>
          <w:sz w:val="20"/>
          <w:szCs w:val="20"/>
        </w:rPr>
        <w:t>in</w:t>
      </w:r>
      <w:r w:rsidRPr="00907400">
        <w:rPr>
          <w:rFonts w:asciiTheme="majorHAnsi" w:hAnsiTheme="majorHAnsi"/>
          <w:sz w:val="20"/>
          <w:szCs w:val="20"/>
        </w:rPr>
        <w:t xml:space="preserve"> the </w:t>
      </w:r>
      <w:r w:rsidR="004F58BD" w:rsidRPr="00907400">
        <w:rPr>
          <w:rFonts w:asciiTheme="majorHAnsi" w:hAnsiTheme="majorHAnsi"/>
          <w:sz w:val="20"/>
          <w:szCs w:val="20"/>
        </w:rPr>
        <w:t xml:space="preserve">National </w:t>
      </w:r>
      <w:r w:rsidRPr="00907400">
        <w:rPr>
          <w:rFonts w:asciiTheme="majorHAnsi" w:hAnsiTheme="majorHAnsi"/>
          <w:sz w:val="20"/>
          <w:szCs w:val="20"/>
        </w:rPr>
        <w:t xml:space="preserve">Attorney General's Office. According to the statement of his supervisor, Mr. Sastoque handled the </w:t>
      </w:r>
      <w:r w:rsidR="004F58BD" w:rsidRPr="00907400">
        <w:rPr>
          <w:rFonts w:asciiTheme="majorHAnsi" w:hAnsiTheme="majorHAnsi"/>
          <w:sz w:val="20"/>
          <w:szCs w:val="20"/>
        </w:rPr>
        <w:t>case files</w:t>
      </w:r>
      <w:r w:rsidRPr="00907400">
        <w:rPr>
          <w:rFonts w:asciiTheme="majorHAnsi" w:hAnsiTheme="majorHAnsi"/>
          <w:sz w:val="20"/>
          <w:szCs w:val="20"/>
        </w:rPr>
        <w:t xml:space="preserve"> of </w:t>
      </w:r>
      <w:r w:rsidR="004F58BD" w:rsidRPr="00907400">
        <w:rPr>
          <w:rFonts w:asciiTheme="majorHAnsi" w:hAnsiTheme="majorHAnsi"/>
          <w:sz w:val="20"/>
          <w:szCs w:val="20"/>
        </w:rPr>
        <w:t>the criminal investigation</w:t>
      </w:r>
      <w:r w:rsidRPr="00907400">
        <w:rPr>
          <w:rFonts w:asciiTheme="majorHAnsi" w:hAnsiTheme="majorHAnsi"/>
          <w:sz w:val="20"/>
          <w:szCs w:val="20"/>
        </w:rPr>
        <w:t xml:space="preserve"> section and </w:t>
      </w:r>
      <w:r w:rsidR="00AC1E92" w:rsidRPr="00907400">
        <w:rPr>
          <w:rFonts w:asciiTheme="majorHAnsi" w:hAnsiTheme="majorHAnsi"/>
          <w:sz w:val="20"/>
          <w:szCs w:val="20"/>
        </w:rPr>
        <w:t xml:space="preserve">was </w:t>
      </w:r>
      <w:r w:rsidRPr="00907400">
        <w:rPr>
          <w:rFonts w:asciiTheme="majorHAnsi" w:hAnsiTheme="majorHAnsi"/>
          <w:sz w:val="20"/>
          <w:szCs w:val="20"/>
        </w:rPr>
        <w:t xml:space="preserve">also </w:t>
      </w:r>
      <w:r w:rsidR="00AC1E92" w:rsidRPr="00907400">
        <w:rPr>
          <w:rFonts w:asciiTheme="majorHAnsi" w:hAnsiTheme="majorHAnsi"/>
          <w:sz w:val="20"/>
          <w:szCs w:val="20"/>
        </w:rPr>
        <w:t>in charge of</w:t>
      </w:r>
      <w:r w:rsidRPr="00907400">
        <w:rPr>
          <w:rFonts w:asciiTheme="majorHAnsi" w:hAnsiTheme="majorHAnsi"/>
          <w:sz w:val="20"/>
          <w:szCs w:val="20"/>
        </w:rPr>
        <w:t xml:space="preserve"> correspondence.</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24"/>
      </w:r>
      <w:r w:rsidRPr="00907400">
        <w:rPr>
          <w:rFonts w:asciiTheme="majorHAnsi" w:hAnsiTheme="majorHAnsi"/>
          <w:sz w:val="20"/>
          <w:szCs w:val="20"/>
        </w:rPr>
        <w:t xml:space="preserve"> He added that he wore "informal" clothes because he had not been assigned a uniform or badge of the institution.</w:t>
      </w:r>
      <w:r w:rsidR="00201D79" w:rsidRPr="00907400">
        <w:rPr>
          <w:rStyle w:val="FootnoteReference"/>
          <w:rFonts w:asciiTheme="majorHAnsi" w:hAnsiTheme="majorHAnsi"/>
          <w:sz w:val="20"/>
          <w:szCs w:val="20"/>
        </w:rPr>
        <w:footnoteReference w:id="25"/>
      </w:r>
      <w:r w:rsidRPr="00907400">
        <w:rPr>
          <w:rFonts w:asciiTheme="majorHAnsi" w:hAnsiTheme="majorHAnsi"/>
          <w:sz w:val="20"/>
          <w:szCs w:val="20"/>
        </w:rPr>
        <w:t xml:space="preserve"> </w:t>
      </w:r>
      <w:r w:rsidR="008D1A06" w:rsidRPr="00907400">
        <w:rPr>
          <w:rFonts w:asciiTheme="majorHAnsi" w:hAnsiTheme="majorHAnsi"/>
          <w:sz w:val="20"/>
          <w:szCs w:val="20"/>
        </w:rPr>
        <w:t>In addition</w:t>
      </w:r>
      <w:r w:rsidRPr="00907400">
        <w:rPr>
          <w:rFonts w:asciiTheme="majorHAnsi" w:hAnsiTheme="majorHAnsi"/>
          <w:sz w:val="20"/>
          <w:szCs w:val="20"/>
        </w:rPr>
        <w:t xml:space="preserve">, according to a certificate from the </w:t>
      </w:r>
      <w:r w:rsidR="00A433FF" w:rsidRPr="00907400">
        <w:rPr>
          <w:rFonts w:asciiTheme="majorHAnsi" w:hAnsiTheme="majorHAnsi"/>
          <w:sz w:val="20"/>
          <w:szCs w:val="20"/>
        </w:rPr>
        <w:t>National</w:t>
      </w:r>
      <w:r w:rsidR="008D1A06" w:rsidRPr="00907400">
        <w:rPr>
          <w:rFonts w:asciiTheme="majorHAnsi" w:hAnsiTheme="majorHAnsi"/>
          <w:sz w:val="20"/>
          <w:szCs w:val="20"/>
        </w:rPr>
        <w:t xml:space="preserve"> </w:t>
      </w:r>
      <w:r w:rsidRPr="00907400">
        <w:rPr>
          <w:rFonts w:asciiTheme="majorHAnsi" w:hAnsiTheme="majorHAnsi"/>
          <w:sz w:val="20"/>
          <w:szCs w:val="20"/>
        </w:rPr>
        <w:t>Office of th</w:t>
      </w:r>
      <w:r w:rsidR="008D1A06" w:rsidRPr="00907400">
        <w:rPr>
          <w:rFonts w:asciiTheme="majorHAnsi" w:hAnsiTheme="majorHAnsi"/>
          <w:sz w:val="20"/>
          <w:szCs w:val="20"/>
        </w:rPr>
        <w:t xml:space="preserve">e Attorney General, Mr. Sastoque </w:t>
      </w:r>
      <w:r w:rsidRPr="00907400">
        <w:rPr>
          <w:rFonts w:asciiTheme="majorHAnsi" w:hAnsiTheme="majorHAnsi"/>
          <w:sz w:val="20"/>
          <w:szCs w:val="20"/>
        </w:rPr>
        <w:t>did not have a firearm assigned to him</w:t>
      </w:r>
      <w:r w:rsidR="008D1A06" w:rsidRPr="00907400">
        <w:rPr>
          <w:rFonts w:asciiTheme="majorHAnsi" w:hAnsiTheme="majorHAnsi"/>
          <w:sz w:val="20"/>
          <w:szCs w:val="20"/>
        </w:rPr>
        <w:t xml:space="preserve"> for the duties he had to perform</w:t>
      </w:r>
      <w:r w:rsidRPr="00907400">
        <w:rPr>
          <w:rFonts w:asciiTheme="majorHAnsi" w:hAnsiTheme="majorHAnsi"/>
          <w:sz w:val="20"/>
          <w:szCs w:val="20"/>
        </w:rPr>
        <w:t>.</w:t>
      </w:r>
      <w:r w:rsidR="00201D79" w:rsidRPr="00907400">
        <w:rPr>
          <w:rStyle w:val="FootnoteReference"/>
          <w:rFonts w:asciiTheme="majorHAnsi" w:hAnsiTheme="majorHAnsi"/>
          <w:sz w:val="20"/>
          <w:szCs w:val="20"/>
        </w:rPr>
        <w:footnoteReference w:id="26"/>
      </w:r>
    </w:p>
    <w:p w14:paraId="11D86579"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5B99306" w14:textId="77777777" w:rsidR="000D5BFD" w:rsidRDefault="00B71A79"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As to the</w:t>
      </w:r>
      <w:r w:rsidR="001D375C" w:rsidRPr="00907400">
        <w:rPr>
          <w:rFonts w:asciiTheme="majorHAnsi" w:hAnsiTheme="majorHAnsi"/>
          <w:sz w:val="20"/>
          <w:szCs w:val="20"/>
        </w:rPr>
        <w:t xml:space="preserve"> circumstances surrounding his arrest, Mr. Gustavo Sastoque stated that on March 8, 1995 at 2:00 p.m., he received a message from a colleague </w:t>
      </w:r>
      <w:r w:rsidRPr="00907400">
        <w:rPr>
          <w:rFonts w:asciiTheme="majorHAnsi" w:hAnsiTheme="majorHAnsi"/>
          <w:sz w:val="20"/>
          <w:szCs w:val="20"/>
        </w:rPr>
        <w:t>telling him to go to</w:t>
      </w:r>
      <w:r w:rsidR="001D375C" w:rsidRPr="00907400">
        <w:rPr>
          <w:rFonts w:asciiTheme="majorHAnsi" w:hAnsiTheme="majorHAnsi"/>
          <w:sz w:val="20"/>
          <w:szCs w:val="20"/>
        </w:rPr>
        <w:t xml:space="preserve"> the sixth floor of the Regional Prosecutor's Office to </w:t>
      </w:r>
      <w:r w:rsidR="008303D2" w:rsidRPr="00907400">
        <w:rPr>
          <w:rFonts w:asciiTheme="majorHAnsi" w:hAnsiTheme="majorHAnsi"/>
          <w:sz w:val="20"/>
          <w:szCs w:val="20"/>
        </w:rPr>
        <w:t>enquire</w:t>
      </w:r>
      <w:r w:rsidR="001D375C" w:rsidRPr="00907400">
        <w:rPr>
          <w:rFonts w:asciiTheme="majorHAnsi" w:hAnsiTheme="majorHAnsi"/>
          <w:sz w:val="20"/>
          <w:szCs w:val="20"/>
        </w:rPr>
        <w:t xml:space="preserve"> about </w:t>
      </w:r>
      <w:r w:rsidRPr="00907400">
        <w:rPr>
          <w:rFonts w:asciiTheme="majorHAnsi" w:hAnsiTheme="majorHAnsi"/>
          <w:sz w:val="20"/>
          <w:szCs w:val="20"/>
        </w:rPr>
        <w:t>proceeding</w:t>
      </w:r>
      <w:r w:rsidR="001D375C" w:rsidRPr="00907400">
        <w:rPr>
          <w:rFonts w:asciiTheme="majorHAnsi" w:hAnsiTheme="majorHAnsi"/>
          <w:sz w:val="20"/>
          <w:szCs w:val="20"/>
        </w:rPr>
        <w:t xml:space="preserve"> No. 24.789. He argued that he was not given mor</w:t>
      </w:r>
      <w:r w:rsidRPr="00907400">
        <w:rPr>
          <w:rFonts w:asciiTheme="majorHAnsi" w:hAnsiTheme="majorHAnsi"/>
          <w:sz w:val="20"/>
          <w:szCs w:val="20"/>
        </w:rPr>
        <w:t>e information about this proceeding</w:t>
      </w:r>
      <w:r w:rsidR="001D375C" w:rsidRPr="00907400">
        <w:rPr>
          <w:rFonts w:asciiTheme="majorHAnsi" w:hAnsiTheme="majorHAnsi"/>
          <w:sz w:val="20"/>
          <w:szCs w:val="20"/>
        </w:rPr>
        <w:t xml:space="preserve"> or about the reasons why he should appear. He indicated that he went to </w:t>
      </w:r>
      <w:r w:rsidRPr="00907400">
        <w:rPr>
          <w:rFonts w:asciiTheme="majorHAnsi" w:hAnsiTheme="majorHAnsi"/>
          <w:sz w:val="20"/>
          <w:szCs w:val="20"/>
        </w:rPr>
        <w:t>the sixth floor</w:t>
      </w:r>
      <w:r w:rsidR="001D375C" w:rsidRPr="00907400">
        <w:rPr>
          <w:rFonts w:asciiTheme="majorHAnsi" w:hAnsiTheme="majorHAnsi"/>
          <w:sz w:val="20"/>
          <w:szCs w:val="20"/>
        </w:rPr>
        <w:t xml:space="preserve"> and that after talking to the secretary, a man told him to accompany him to a room. Mr. Sastoque </w:t>
      </w:r>
      <w:r w:rsidRPr="00907400">
        <w:rPr>
          <w:rFonts w:asciiTheme="majorHAnsi" w:hAnsiTheme="majorHAnsi"/>
          <w:sz w:val="20"/>
          <w:szCs w:val="20"/>
        </w:rPr>
        <w:t>stated</w:t>
      </w:r>
      <w:r w:rsidR="001D375C" w:rsidRPr="00907400">
        <w:rPr>
          <w:rFonts w:asciiTheme="majorHAnsi" w:hAnsiTheme="majorHAnsi"/>
          <w:sz w:val="20"/>
          <w:szCs w:val="20"/>
        </w:rPr>
        <w:t xml:space="preserve"> that </w:t>
      </w:r>
      <w:r w:rsidRPr="00907400">
        <w:rPr>
          <w:rFonts w:asciiTheme="majorHAnsi" w:hAnsiTheme="majorHAnsi"/>
          <w:sz w:val="20"/>
          <w:szCs w:val="20"/>
        </w:rPr>
        <w:t>this</w:t>
      </w:r>
      <w:r w:rsidR="001D375C" w:rsidRPr="00907400">
        <w:rPr>
          <w:rFonts w:asciiTheme="majorHAnsi" w:hAnsiTheme="majorHAnsi"/>
          <w:sz w:val="20"/>
          <w:szCs w:val="20"/>
        </w:rPr>
        <w:t xml:space="preserve"> man asked him if he worked in the CTI, to which he replied </w:t>
      </w:r>
      <w:r w:rsidRPr="00907400">
        <w:rPr>
          <w:rFonts w:asciiTheme="majorHAnsi" w:hAnsiTheme="majorHAnsi"/>
          <w:sz w:val="20"/>
          <w:szCs w:val="20"/>
        </w:rPr>
        <w:t>that he did</w:t>
      </w:r>
      <w:r w:rsidR="001D375C" w:rsidRPr="00907400">
        <w:rPr>
          <w:rFonts w:asciiTheme="majorHAnsi" w:hAnsiTheme="majorHAnsi"/>
          <w:sz w:val="20"/>
          <w:szCs w:val="20"/>
        </w:rPr>
        <w:t>. He added that the man told him that "he w</w:t>
      </w:r>
      <w:r w:rsidR="008303D2" w:rsidRPr="00907400">
        <w:rPr>
          <w:rFonts w:asciiTheme="majorHAnsi" w:hAnsiTheme="majorHAnsi"/>
          <w:sz w:val="20"/>
          <w:szCs w:val="20"/>
        </w:rPr>
        <w:t>as going to find out why he had been called</w:t>
      </w:r>
      <w:r w:rsidR="001D375C" w:rsidRPr="00907400">
        <w:rPr>
          <w:rFonts w:asciiTheme="majorHAnsi" w:hAnsiTheme="majorHAnsi"/>
          <w:sz w:val="20"/>
          <w:szCs w:val="20"/>
        </w:rPr>
        <w:t>."</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27"/>
      </w:r>
    </w:p>
    <w:p w14:paraId="2B4A0C45"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2C58AA8"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Mr. Sastoq</w:t>
      </w:r>
      <w:r w:rsidR="007E5B68" w:rsidRPr="00907400">
        <w:rPr>
          <w:rFonts w:asciiTheme="majorHAnsi" w:hAnsiTheme="majorHAnsi"/>
          <w:sz w:val="20"/>
          <w:szCs w:val="20"/>
        </w:rPr>
        <w:t>ue stated that after an hour this</w:t>
      </w:r>
      <w:r w:rsidRPr="00907400">
        <w:rPr>
          <w:rFonts w:asciiTheme="majorHAnsi" w:hAnsiTheme="majorHAnsi"/>
          <w:sz w:val="20"/>
          <w:szCs w:val="20"/>
        </w:rPr>
        <w:t xml:space="preserve"> same man returned and at that </w:t>
      </w:r>
      <w:r w:rsidR="007E5B68" w:rsidRPr="00907400">
        <w:rPr>
          <w:rFonts w:asciiTheme="majorHAnsi" w:hAnsiTheme="majorHAnsi"/>
          <w:sz w:val="20"/>
          <w:szCs w:val="20"/>
        </w:rPr>
        <w:t>point he was transferred to the</w:t>
      </w:r>
      <w:r w:rsidRPr="00907400">
        <w:rPr>
          <w:rFonts w:asciiTheme="majorHAnsi" w:hAnsiTheme="majorHAnsi"/>
          <w:sz w:val="20"/>
          <w:szCs w:val="20"/>
        </w:rPr>
        <w:t xml:space="preserve"> room where </w:t>
      </w:r>
      <w:r w:rsidR="00772594" w:rsidRPr="00907400">
        <w:rPr>
          <w:rFonts w:asciiTheme="majorHAnsi" w:hAnsiTheme="majorHAnsi"/>
          <w:sz w:val="20"/>
          <w:szCs w:val="20"/>
        </w:rPr>
        <w:t xml:space="preserve">witness’ statements were </w:t>
      </w:r>
      <w:r w:rsidR="007E5B68" w:rsidRPr="00907400">
        <w:rPr>
          <w:rFonts w:asciiTheme="majorHAnsi" w:hAnsiTheme="majorHAnsi"/>
          <w:sz w:val="20"/>
          <w:szCs w:val="20"/>
        </w:rPr>
        <w:t>taken</w:t>
      </w:r>
      <w:r w:rsidRPr="00907400">
        <w:rPr>
          <w:rFonts w:asciiTheme="majorHAnsi" w:hAnsiTheme="majorHAnsi"/>
          <w:sz w:val="20"/>
          <w:szCs w:val="20"/>
        </w:rPr>
        <w:t xml:space="preserve"> in the investigations of the Prosecutor's Office. He said that after another hour two different </w:t>
      </w:r>
      <w:r w:rsidR="007E5B68" w:rsidRPr="00907400">
        <w:rPr>
          <w:rFonts w:asciiTheme="majorHAnsi" w:hAnsiTheme="majorHAnsi"/>
          <w:sz w:val="20"/>
          <w:szCs w:val="20"/>
        </w:rPr>
        <w:t>individuals</w:t>
      </w:r>
      <w:r w:rsidRPr="00907400">
        <w:rPr>
          <w:rFonts w:asciiTheme="majorHAnsi" w:hAnsiTheme="majorHAnsi"/>
          <w:sz w:val="20"/>
          <w:szCs w:val="20"/>
        </w:rPr>
        <w:t xml:space="preserve"> handed him a </w:t>
      </w:r>
      <w:r w:rsidR="00772594" w:rsidRPr="00907400">
        <w:rPr>
          <w:rFonts w:asciiTheme="majorHAnsi" w:hAnsiTheme="majorHAnsi"/>
          <w:sz w:val="20"/>
          <w:szCs w:val="20"/>
        </w:rPr>
        <w:t xml:space="preserve">piece of </w:t>
      </w:r>
      <w:r w:rsidRPr="00907400">
        <w:rPr>
          <w:rFonts w:asciiTheme="majorHAnsi" w:hAnsiTheme="majorHAnsi"/>
          <w:sz w:val="20"/>
          <w:szCs w:val="20"/>
        </w:rPr>
        <w:t>paper "</w:t>
      </w:r>
      <w:r w:rsidR="00772594" w:rsidRPr="00907400">
        <w:rPr>
          <w:rFonts w:asciiTheme="majorHAnsi" w:hAnsiTheme="majorHAnsi"/>
          <w:sz w:val="20"/>
          <w:szCs w:val="20"/>
        </w:rPr>
        <w:t xml:space="preserve">that said </w:t>
      </w:r>
      <w:r w:rsidRPr="00907400">
        <w:rPr>
          <w:rFonts w:asciiTheme="majorHAnsi" w:hAnsiTheme="majorHAnsi"/>
          <w:sz w:val="20"/>
          <w:szCs w:val="20"/>
        </w:rPr>
        <w:t>arrest warrant for the crime of murder."</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28"/>
      </w:r>
    </w:p>
    <w:p w14:paraId="7F6535D4"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8CF0E4F"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w:t>
      </w:r>
      <w:r w:rsidR="006109F2" w:rsidRPr="00907400">
        <w:rPr>
          <w:rFonts w:asciiTheme="majorHAnsi" w:hAnsiTheme="majorHAnsi"/>
          <w:sz w:val="20"/>
          <w:szCs w:val="20"/>
        </w:rPr>
        <w:t>observes</w:t>
      </w:r>
      <w:r w:rsidRPr="00907400">
        <w:rPr>
          <w:rFonts w:asciiTheme="majorHAnsi" w:hAnsiTheme="majorHAnsi"/>
          <w:sz w:val="20"/>
          <w:szCs w:val="20"/>
        </w:rPr>
        <w:t xml:space="preserve"> that the arre</w:t>
      </w:r>
      <w:r w:rsidR="006109F2" w:rsidRPr="00907400">
        <w:rPr>
          <w:rFonts w:asciiTheme="majorHAnsi" w:hAnsiTheme="majorHAnsi"/>
          <w:sz w:val="20"/>
          <w:szCs w:val="20"/>
        </w:rPr>
        <w:t>st warrant dated March 8, 1995 wa</w:t>
      </w:r>
      <w:r w:rsidRPr="00907400">
        <w:rPr>
          <w:rFonts w:asciiTheme="majorHAnsi" w:hAnsiTheme="majorHAnsi"/>
          <w:sz w:val="20"/>
          <w:szCs w:val="20"/>
        </w:rPr>
        <w:t xml:space="preserve">s signed by the Head of the Collective Secretariat of the Regional Prosecutor's Office. The </w:t>
      </w:r>
      <w:r w:rsidR="006109F2" w:rsidRPr="00907400">
        <w:rPr>
          <w:rFonts w:asciiTheme="majorHAnsi" w:hAnsiTheme="majorHAnsi"/>
          <w:sz w:val="20"/>
          <w:szCs w:val="20"/>
        </w:rPr>
        <w:t>warrant</w:t>
      </w:r>
      <w:r w:rsidRPr="00907400">
        <w:rPr>
          <w:rFonts w:asciiTheme="majorHAnsi" w:hAnsiTheme="majorHAnsi"/>
          <w:sz w:val="20"/>
          <w:szCs w:val="20"/>
        </w:rPr>
        <w:t xml:space="preserve"> inc</w:t>
      </w:r>
      <w:r w:rsidR="006109F2" w:rsidRPr="00907400">
        <w:rPr>
          <w:rFonts w:asciiTheme="majorHAnsi" w:hAnsiTheme="majorHAnsi"/>
          <w:sz w:val="20"/>
          <w:szCs w:val="20"/>
        </w:rPr>
        <w:t>luded</w:t>
      </w:r>
      <w:r w:rsidRPr="00907400">
        <w:rPr>
          <w:rFonts w:asciiTheme="majorHAnsi" w:hAnsiTheme="majorHAnsi"/>
          <w:sz w:val="20"/>
          <w:szCs w:val="20"/>
        </w:rPr>
        <w:t>: i) his name and identity card (Gustavo Sastoque Alfonso</w:t>
      </w:r>
      <w:r w:rsidR="006109F2" w:rsidRPr="00907400">
        <w:rPr>
          <w:rFonts w:asciiTheme="majorHAnsi" w:hAnsiTheme="majorHAnsi"/>
          <w:sz w:val="20"/>
          <w:szCs w:val="20"/>
        </w:rPr>
        <w:t>); ii) the number of the proceedings</w:t>
      </w:r>
      <w:r w:rsidRPr="00907400">
        <w:rPr>
          <w:rFonts w:asciiTheme="majorHAnsi" w:hAnsiTheme="majorHAnsi"/>
          <w:sz w:val="20"/>
          <w:szCs w:val="20"/>
        </w:rPr>
        <w:t xml:space="preserve"> (24.789 - Homicide); iii) sex (male), and iv) </w:t>
      </w:r>
      <w:r w:rsidR="006109F2" w:rsidRPr="00907400">
        <w:rPr>
          <w:rFonts w:asciiTheme="majorHAnsi" w:hAnsiTheme="majorHAnsi"/>
          <w:sz w:val="20"/>
          <w:szCs w:val="20"/>
        </w:rPr>
        <w:t>part</w:t>
      </w:r>
      <w:r w:rsidRPr="00907400">
        <w:rPr>
          <w:rFonts w:asciiTheme="majorHAnsi" w:hAnsiTheme="majorHAnsi"/>
          <w:sz w:val="20"/>
          <w:szCs w:val="20"/>
        </w:rPr>
        <w:t xml:space="preserve"> of his supposed address (N. 7-55 Puerto Rico, Caquetá). The other boxes (place and date of birth, nationality, name of the parents, physical features, texture and observations) </w:t>
      </w:r>
      <w:r w:rsidR="006109F2" w:rsidRPr="00907400">
        <w:rPr>
          <w:rFonts w:asciiTheme="majorHAnsi" w:hAnsiTheme="majorHAnsi"/>
          <w:sz w:val="20"/>
          <w:szCs w:val="20"/>
        </w:rPr>
        <w:t>were not filled in</w:t>
      </w:r>
      <w:r w:rsidRPr="00907400">
        <w:rPr>
          <w:rFonts w:asciiTheme="majorHAnsi" w:hAnsiTheme="majorHAnsi"/>
          <w:sz w:val="20"/>
          <w:szCs w:val="20"/>
        </w:rPr>
        <w:t>.</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29"/>
      </w:r>
    </w:p>
    <w:p w14:paraId="6A64D61F"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97752E8"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8, 1995, the </w:t>
      </w:r>
      <w:r w:rsidR="00AB3FAF" w:rsidRPr="00907400">
        <w:rPr>
          <w:rFonts w:asciiTheme="majorHAnsi" w:hAnsiTheme="majorHAnsi"/>
          <w:sz w:val="20"/>
          <w:szCs w:val="20"/>
        </w:rPr>
        <w:t xml:space="preserve">National </w:t>
      </w:r>
      <w:r w:rsidRPr="00907400">
        <w:rPr>
          <w:rFonts w:asciiTheme="majorHAnsi" w:hAnsiTheme="majorHAnsi"/>
          <w:sz w:val="20"/>
          <w:szCs w:val="20"/>
        </w:rPr>
        <w:t xml:space="preserve">Attorney General's </w:t>
      </w:r>
      <w:r w:rsidR="00AB3FAF" w:rsidRPr="00907400">
        <w:rPr>
          <w:rFonts w:asciiTheme="majorHAnsi" w:hAnsiTheme="majorHAnsi"/>
          <w:sz w:val="20"/>
          <w:szCs w:val="20"/>
        </w:rPr>
        <w:t xml:space="preserve">Dissemination and Press </w:t>
      </w:r>
      <w:r w:rsidRPr="00907400">
        <w:rPr>
          <w:rFonts w:asciiTheme="majorHAnsi" w:hAnsiTheme="majorHAnsi"/>
          <w:sz w:val="20"/>
          <w:szCs w:val="20"/>
        </w:rPr>
        <w:t xml:space="preserve">Office issued a Public Bulletin </w:t>
      </w:r>
      <w:r w:rsidR="00AB3FAF" w:rsidRPr="00907400">
        <w:rPr>
          <w:rFonts w:asciiTheme="majorHAnsi" w:hAnsiTheme="majorHAnsi"/>
          <w:sz w:val="20"/>
          <w:szCs w:val="20"/>
        </w:rPr>
        <w:t>indicating the following</w:t>
      </w:r>
      <w:r w:rsidRPr="00907400">
        <w:rPr>
          <w:rFonts w:asciiTheme="majorHAnsi" w:hAnsiTheme="majorHAnsi"/>
          <w:sz w:val="20"/>
          <w:szCs w:val="20"/>
        </w:rPr>
        <w:t>:</w:t>
      </w:r>
    </w:p>
    <w:p w14:paraId="31B45A7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F001678" w14:textId="77777777" w:rsidR="000D5BFD"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Special Commission of Regional Prosecutors of Bogotá </w:t>
      </w:r>
      <w:r w:rsidR="00073B8E" w:rsidRPr="00907400">
        <w:rPr>
          <w:rFonts w:asciiTheme="majorHAnsi" w:hAnsiTheme="majorHAnsi"/>
          <w:sz w:val="20"/>
          <w:szCs w:val="20"/>
        </w:rPr>
        <w:t xml:space="preserve">have </w:t>
      </w:r>
      <w:r w:rsidRPr="00907400">
        <w:rPr>
          <w:rFonts w:asciiTheme="majorHAnsi" w:hAnsiTheme="majorHAnsi"/>
          <w:sz w:val="20"/>
          <w:szCs w:val="20"/>
        </w:rPr>
        <w:t xml:space="preserve">found sufficient evidence </w:t>
      </w:r>
      <w:r w:rsidR="00073B8E" w:rsidRPr="00907400">
        <w:rPr>
          <w:rFonts w:asciiTheme="majorHAnsi" w:hAnsiTheme="majorHAnsi"/>
          <w:sz w:val="20"/>
          <w:szCs w:val="20"/>
        </w:rPr>
        <w:t>connecting</w:t>
      </w:r>
      <w:r w:rsidRPr="00907400">
        <w:rPr>
          <w:rFonts w:asciiTheme="majorHAnsi" w:hAnsiTheme="majorHAnsi"/>
          <w:sz w:val="20"/>
          <w:szCs w:val="20"/>
        </w:rPr>
        <w:t xml:space="preserve"> Gustavo Sastoque Alfonso as a possible participant in the homicide. The </w:t>
      </w:r>
      <w:r w:rsidRPr="00907400">
        <w:rPr>
          <w:rFonts w:asciiTheme="majorHAnsi" w:hAnsiTheme="majorHAnsi"/>
          <w:sz w:val="20"/>
          <w:szCs w:val="20"/>
        </w:rPr>
        <w:lastRenderedPageBreak/>
        <w:t xml:space="preserve">Commission designated for the </w:t>
      </w:r>
      <w:r w:rsidR="00073B8E" w:rsidRPr="00907400">
        <w:rPr>
          <w:rFonts w:asciiTheme="majorHAnsi" w:hAnsiTheme="majorHAnsi"/>
          <w:sz w:val="20"/>
          <w:szCs w:val="20"/>
        </w:rPr>
        <w:t xml:space="preserve">joint </w:t>
      </w:r>
      <w:r w:rsidRPr="00907400">
        <w:rPr>
          <w:rFonts w:asciiTheme="majorHAnsi" w:hAnsiTheme="majorHAnsi"/>
          <w:sz w:val="20"/>
          <w:szCs w:val="20"/>
        </w:rPr>
        <w:t>investigation by different bodies of the Judicial Police, that is to say, the DAS, the National Police and the CTI itself</w:t>
      </w:r>
      <w:r w:rsidR="00F043A5" w:rsidRPr="00907400">
        <w:rPr>
          <w:rFonts w:asciiTheme="majorHAnsi" w:hAnsiTheme="majorHAnsi"/>
          <w:sz w:val="20"/>
          <w:szCs w:val="20"/>
        </w:rPr>
        <w:t xml:space="preserve">, detained </w:t>
      </w:r>
      <w:r w:rsidRPr="00907400">
        <w:rPr>
          <w:rFonts w:asciiTheme="majorHAnsi" w:hAnsiTheme="majorHAnsi"/>
          <w:sz w:val="20"/>
          <w:szCs w:val="20"/>
        </w:rPr>
        <w:t>Gustavo (...) who until now has not been able to explain his pre</w:t>
      </w:r>
      <w:r w:rsidR="00073B8E" w:rsidRPr="00907400">
        <w:rPr>
          <w:rFonts w:asciiTheme="majorHAnsi" w:hAnsiTheme="majorHAnsi"/>
          <w:sz w:val="20"/>
          <w:szCs w:val="20"/>
        </w:rPr>
        <w:t>sumed participation in the events</w:t>
      </w:r>
      <w:r w:rsidRPr="00907400">
        <w:rPr>
          <w:rFonts w:asciiTheme="majorHAnsi" w:hAnsiTheme="majorHAnsi"/>
          <w:sz w:val="20"/>
          <w:szCs w:val="20"/>
        </w:rPr>
        <w:t xml:space="preserve">, since his status as an administrative employee prevents him from </w:t>
      </w:r>
      <w:r w:rsidR="00073B8E" w:rsidRPr="00907400">
        <w:rPr>
          <w:rFonts w:asciiTheme="majorHAnsi" w:hAnsiTheme="majorHAnsi"/>
          <w:sz w:val="20"/>
          <w:szCs w:val="20"/>
        </w:rPr>
        <w:t>performing</w:t>
      </w:r>
      <w:r w:rsidRPr="00907400">
        <w:rPr>
          <w:rFonts w:asciiTheme="majorHAnsi" w:hAnsiTheme="majorHAnsi"/>
          <w:sz w:val="20"/>
          <w:szCs w:val="20"/>
        </w:rPr>
        <w:t xml:space="preserve"> operational </w:t>
      </w:r>
      <w:r w:rsidR="00073B8E" w:rsidRPr="00907400">
        <w:rPr>
          <w:rFonts w:asciiTheme="majorHAnsi" w:hAnsiTheme="majorHAnsi"/>
          <w:sz w:val="20"/>
          <w:szCs w:val="20"/>
        </w:rPr>
        <w:t>duties</w:t>
      </w:r>
      <w:r w:rsidRPr="00907400">
        <w:rPr>
          <w:rFonts w:asciiTheme="majorHAnsi" w:hAnsiTheme="majorHAnsi"/>
          <w:sz w:val="20"/>
          <w:szCs w:val="20"/>
        </w:rPr>
        <w:t xml:space="preserve">. It is clear that the death of Pizarro Leongómez was not due to a </w:t>
      </w:r>
      <w:r w:rsidR="00905207" w:rsidRPr="00907400">
        <w:rPr>
          <w:rFonts w:asciiTheme="majorHAnsi" w:hAnsiTheme="majorHAnsi"/>
          <w:sz w:val="20"/>
          <w:szCs w:val="20"/>
        </w:rPr>
        <w:t>lawful</w:t>
      </w:r>
      <w:r w:rsidRPr="00907400">
        <w:rPr>
          <w:rFonts w:asciiTheme="majorHAnsi" w:hAnsiTheme="majorHAnsi"/>
          <w:sz w:val="20"/>
          <w:szCs w:val="20"/>
        </w:rPr>
        <w:t xml:space="preserve"> operation </w:t>
      </w:r>
      <w:r w:rsidR="00905207" w:rsidRPr="00907400">
        <w:rPr>
          <w:rFonts w:asciiTheme="majorHAnsi" w:hAnsiTheme="majorHAnsi"/>
          <w:sz w:val="20"/>
          <w:szCs w:val="20"/>
        </w:rPr>
        <w:t>conducted</w:t>
      </w:r>
      <w:r w:rsidRPr="00907400">
        <w:rPr>
          <w:rFonts w:asciiTheme="majorHAnsi" w:hAnsiTheme="majorHAnsi"/>
          <w:sz w:val="20"/>
          <w:szCs w:val="20"/>
        </w:rPr>
        <w:t xml:space="preserve"> by the </w:t>
      </w:r>
      <w:r w:rsidR="00905207" w:rsidRPr="00907400">
        <w:rPr>
          <w:rFonts w:asciiTheme="majorHAnsi" w:hAnsiTheme="majorHAnsi"/>
          <w:sz w:val="20"/>
          <w:szCs w:val="20"/>
        </w:rPr>
        <w:t xml:space="preserve">National </w:t>
      </w:r>
      <w:r w:rsidRPr="00907400">
        <w:rPr>
          <w:rFonts w:asciiTheme="majorHAnsi" w:hAnsiTheme="majorHAnsi"/>
          <w:sz w:val="20"/>
          <w:szCs w:val="20"/>
        </w:rPr>
        <w:t xml:space="preserve">Attorney General's Office, but to irregular actions of </w:t>
      </w:r>
      <w:r w:rsidR="00905207" w:rsidRPr="00907400">
        <w:rPr>
          <w:rFonts w:asciiTheme="majorHAnsi" w:hAnsiTheme="majorHAnsi"/>
          <w:sz w:val="20"/>
          <w:szCs w:val="20"/>
        </w:rPr>
        <w:t>individuals who are currently under investigation</w:t>
      </w:r>
      <w:r w:rsidRPr="00907400">
        <w:rPr>
          <w:rFonts w:asciiTheme="majorHAnsi" w:hAnsiTheme="majorHAnsi"/>
          <w:sz w:val="20"/>
          <w:szCs w:val="20"/>
        </w:rPr>
        <w:t>.</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30"/>
      </w:r>
    </w:p>
    <w:p w14:paraId="716AE81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p>
    <w:p w14:paraId="2D577761" w14:textId="77777777" w:rsidR="001D375C"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10 and 16, 1995, Mr. Sastoque participated </w:t>
      </w:r>
      <w:r w:rsidR="00471F61" w:rsidRPr="00907400">
        <w:rPr>
          <w:rFonts w:asciiTheme="majorHAnsi" w:hAnsiTheme="majorHAnsi"/>
          <w:sz w:val="20"/>
          <w:szCs w:val="20"/>
        </w:rPr>
        <w:t>in a procedural step involving</w:t>
      </w:r>
      <w:r w:rsidR="006A788B" w:rsidRPr="00907400">
        <w:rPr>
          <w:rFonts w:asciiTheme="majorHAnsi" w:hAnsiTheme="majorHAnsi"/>
          <w:sz w:val="20"/>
          <w:szCs w:val="20"/>
        </w:rPr>
        <w:t xml:space="preserve"> an identity parade</w:t>
      </w:r>
      <w:r w:rsidRPr="00907400">
        <w:rPr>
          <w:rFonts w:asciiTheme="majorHAnsi" w:hAnsiTheme="majorHAnsi"/>
          <w:sz w:val="20"/>
          <w:szCs w:val="20"/>
        </w:rPr>
        <w:t>.</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31"/>
      </w:r>
      <w:r w:rsidRPr="00907400">
        <w:rPr>
          <w:rFonts w:asciiTheme="majorHAnsi" w:hAnsiTheme="majorHAnsi"/>
          <w:sz w:val="20"/>
          <w:szCs w:val="20"/>
        </w:rPr>
        <w:t xml:space="preserve"> Both Mrs. Guevara - known as Witness No. 1 - and Witness No. 2 recognized Gustavo Sastoque as the perpetrator of the homicide.</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32"/>
      </w:r>
    </w:p>
    <w:p w14:paraId="0F8B8BC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77ED67D"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13, 1995, Gustavo Sastoque's defense </w:t>
      </w:r>
      <w:r w:rsidR="00432921" w:rsidRPr="00907400">
        <w:rPr>
          <w:rFonts w:asciiTheme="majorHAnsi" w:hAnsiTheme="majorHAnsi"/>
          <w:sz w:val="20"/>
          <w:szCs w:val="20"/>
        </w:rPr>
        <w:t>attorney</w:t>
      </w:r>
      <w:r w:rsidRPr="00907400">
        <w:rPr>
          <w:rFonts w:asciiTheme="majorHAnsi" w:hAnsiTheme="majorHAnsi"/>
          <w:sz w:val="20"/>
          <w:szCs w:val="20"/>
        </w:rPr>
        <w:t xml:space="preserve"> filed a brief with the Director </w:t>
      </w:r>
      <w:r w:rsidR="00432921" w:rsidRPr="00907400">
        <w:rPr>
          <w:rFonts w:asciiTheme="majorHAnsi" w:hAnsiTheme="majorHAnsi"/>
          <w:sz w:val="20"/>
          <w:szCs w:val="20"/>
        </w:rPr>
        <w:t>of the Regional</w:t>
      </w:r>
      <w:r w:rsidRPr="00907400">
        <w:rPr>
          <w:rFonts w:asciiTheme="majorHAnsi" w:hAnsiTheme="majorHAnsi"/>
          <w:sz w:val="20"/>
          <w:szCs w:val="20"/>
        </w:rPr>
        <w:t xml:space="preserve"> Prosecutor's Office, </w:t>
      </w:r>
      <w:r w:rsidR="00432921" w:rsidRPr="00907400">
        <w:rPr>
          <w:rFonts w:asciiTheme="majorHAnsi" w:hAnsiTheme="majorHAnsi"/>
          <w:sz w:val="20"/>
          <w:szCs w:val="20"/>
        </w:rPr>
        <w:t>indicating</w:t>
      </w:r>
      <w:r w:rsidRPr="00907400">
        <w:rPr>
          <w:rFonts w:asciiTheme="majorHAnsi" w:hAnsiTheme="majorHAnsi"/>
          <w:sz w:val="20"/>
          <w:szCs w:val="20"/>
        </w:rPr>
        <w:t xml:space="preserve"> that the authorities in charge of the </w:t>
      </w:r>
      <w:r w:rsidR="00432921" w:rsidRPr="00907400">
        <w:rPr>
          <w:rFonts w:asciiTheme="majorHAnsi" w:hAnsiTheme="majorHAnsi"/>
          <w:sz w:val="20"/>
          <w:szCs w:val="20"/>
        </w:rPr>
        <w:t>identity parade informed him of its</w:t>
      </w:r>
      <w:r w:rsidRPr="00907400">
        <w:rPr>
          <w:rFonts w:asciiTheme="majorHAnsi" w:hAnsiTheme="majorHAnsi"/>
          <w:sz w:val="20"/>
          <w:szCs w:val="20"/>
        </w:rPr>
        <w:t xml:space="preserve"> time and place "with very little </w:t>
      </w:r>
      <w:r w:rsidR="00471F61" w:rsidRPr="00907400">
        <w:rPr>
          <w:rFonts w:asciiTheme="majorHAnsi" w:hAnsiTheme="majorHAnsi"/>
          <w:sz w:val="20"/>
          <w:szCs w:val="20"/>
        </w:rPr>
        <w:t>time in advance</w:t>
      </w:r>
      <w:r w:rsidR="00432921" w:rsidRPr="00907400">
        <w:rPr>
          <w:rFonts w:asciiTheme="majorHAnsi" w:hAnsiTheme="majorHAnsi"/>
          <w:sz w:val="20"/>
          <w:szCs w:val="20"/>
        </w:rPr>
        <w:t>". He added in the brief</w:t>
      </w:r>
      <w:r w:rsidRPr="00907400">
        <w:rPr>
          <w:rFonts w:asciiTheme="majorHAnsi" w:hAnsiTheme="majorHAnsi"/>
          <w:sz w:val="20"/>
          <w:szCs w:val="20"/>
        </w:rPr>
        <w:t xml:space="preserve"> that the judicial authorities did not allow him to cross-examine or question the statements o</w:t>
      </w:r>
      <w:r w:rsidR="00432921" w:rsidRPr="00907400">
        <w:rPr>
          <w:rFonts w:asciiTheme="majorHAnsi" w:hAnsiTheme="majorHAnsi"/>
          <w:sz w:val="20"/>
          <w:szCs w:val="20"/>
        </w:rPr>
        <w:t xml:space="preserve">f Witness No. 1, which violated </w:t>
      </w:r>
      <w:r w:rsidRPr="00907400">
        <w:rPr>
          <w:rFonts w:asciiTheme="majorHAnsi" w:hAnsiTheme="majorHAnsi"/>
          <w:sz w:val="20"/>
          <w:szCs w:val="20"/>
        </w:rPr>
        <w:t>Mr. Sastoque's right of defense.</w:t>
      </w:r>
      <w:r w:rsidR="00201D79" w:rsidRPr="00907400">
        <w:rPr>
          <w:rStyle w:val="FootnoteReference"/>
          <w:rFonts w:asciiTheme="majorHAnsi" w:hAnsiTheme="majorHAnsi"/>
          <w:sz w:val="20"/>
          <w:szCs w:val="20"/>
        </w:rPr>
        <w:footnoteReference w:id="33"/>
      </w:r>
    </w:p>
    <w:p w14:paraId="57F78141"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D268097"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the same day, a statement was taken </w:t>
      </w:r>
      <w:r w:rsidR="00A22B6A" w:rsidRPr="00907400">
        <w:rPr>
          <w:rFonts w:asciiTheme="majorHAnsi" w:hAnsiTheme="majorHAnsi"/>
          <w:sz w:val="20"/>
          <w:szCs w:val="20"/>
        </w:rPr>
        <w:t xml:space="preserve">before the Regional Prosecutor's Office of Santafé de Bogotá </w:t>
      </w:r>
      <w:r w:rsidRPr="00907400">
        <w:rPr>
          <w:rFonts w:asciiTheme="majorHAnsi" w:hAnsiTheme="majorHAnsi"/>
          <w:sz w:val="20"/>
          <w:szCs w:val="20"/>
        </w:rPr>
        <w:t xml:space="preserve">from </w:t>
      </w:r>
      <w:r w:rsidR="00471F61" w:rsidRPr="00907400">
        <w:rPr>
          <w:rFonts w:asciiTheme="majorHAnsi" w:hAnsiTheme="majorHAnsi"/>
          <w:sz w:val="20"/>
          <w:szCs w:val="20"/>
        </w:rPr>
        <w:t xml:space="preserve">an </w:t>
      </w:r>
      <w:r w:rsidR="00A22B6A" w:rsidRPr="00907400">
        <w:rPr>
          <w:rFonts w:asciiTheme="majorHAnsi" w:hAnsiTheme="majorHAnsi"/>
          <w:sz w:val="20"/>
          <w:szCs w:val="20"/>
        </w:rPr>
        <w:t>individual</w:t>
      </w:r>
      <w:r w:rsidRPr="00907400">
        <w:rPr>
          <w:rFonts w:asciiTheme="majorHAnsi" w:hAnsiTheme="majorHAnsi"/>
          <w:sz w:val="20"/>
          <w:szCs w:val="20"/>
        </w:rPr>
        <w:t xml:space="preserve"> named José Rey, known as "Javier Delga</w:t>
      </w:r>
      <w:r w:rsidR="00A22B6A" w:rsidRPr="00907400">
        <w:rPr>
          <w:rFonts w:asciiTheme="majorHAnsi" w:hAnsiTheme="majorHAnsi"/>
          <w:sz w:val="20"/>
          <w:szCs w:val="20"/>
        </w:rPr>
        <w:t>do"</w:t>
      </w:r>
      <w:r w:rsidRPr="00907400">
        <w:rPr>
          <w:rFonts w:asciiTheme="majorHAnsi" w:hAnsiTheme="majorHAnsi"/>
          <w:sz w:val="20"/>
          <w:szCs w:val="20"/>
        </w:rPr>
        <w:t>. He indicated that he was being detained and maintained that he had known Mr. Pizarro since 1968 when they were members of the guerrilla</w:t>
      </w:r>
      <w:r w:rsidR="00A22B6A" w:rsidRPr="00907400">
        <w:rPr>
          <w:rFonts w:asciiTheme="majorHAnsi" w:hAnsiTheme="majorHAnsi"/>
          <w:sz w:val="20"/>
          <w:szCs w:val="20"/>
        </w:rPr>
        <w:t>s</w:t>
      </w:r>
      <w:r w:rsidRPr="00907400">
        <w:rPr>
          <w:rFonts w:asciiTheme="majorHAnsi" w:hAnsiTheme="majorHAnsi"/>
          <w:sz w:val="20"/>
          <w:szCs w:val="20"/>
        </w:rPr>
        <w:t xml:space="preserve"> and added the following:</w:t>
      </w:r>
    </w:p>
    <w:p w14:paraId="592002D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C1AA23D" w14:textId="77777777" w:rsidR="00907400"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only ones that I see have to do with the death of Hernando Pizarro, and who </w:t>
      </w:r>
      <w:r w:rsidR="00A22B6A" w:rsidRPr="00907400">
        <w:rPr>
          <w:rFonts w:asciiTheme="majorHAnsi" w:hAnsiTheme="majorHAnsi"/>
          <w:sz w:val="20"/>
          <w:szCs w:val="20"/>
        </w:rPr>
        <w:t xml:space="preserve">are and </w:t>
      </w:r>
      <w:r w:rsidRPr="00907400">
        <w:rPr>
          <w:rFonts w:asciiTheme="majorHAnsi" w:hAnsiTheme="majorHAnsi"/>
          <w:sz w:val="20"/>
          <w:szCs w:val="20"/>
        </w:rPr>
        <w:t xml:space="preserve">would be interested in order to silence all </w:t>
      </w:r>
      <w:r w:rsidR="00A22B6A" w:rsidRPr="00907400">
        <w:rPr>
          <w:rFonts w:asciiTheme="majorHAnsi" w:hAnsiTheme="majorHAnsi"/>
          <w:sz w:val="20"/>
          <w:szCs w:val="20"/>
        </w:rPr>
        <w:t>information</w:t>
      </w:r>
      <w:r w:rsidRPr="00907400">
        <w:rPr>
          <w:rFonts w:asciiTheme="majorHAnsi" w:hAnsiTheme="majorHAnsi"/>
          <w:sz w:val="20"/>
          <w:szCs w:val="20"/>
        </w:rPr>
        <w:t xml:space="preserve"> Hernando Pizarro (...) had about the </w:t>
      </w:r>
      <w:r w:rsidR="00A22B6A" w:rsidRPr="00907400">
        <w:rPr>
          <w:rFonts w:asciiTheme="majorHAnsi" w:hAnsiTheme="majorHAnsi"/>
          <w:sz w:val="20"/>
          <w:szCs w:val="20"/>
        </w:rPr>
        <w:t>State terrorism</w:t>
      </w:r>
      <w:r w:rsidRPr="00907400">
        <w:rPr>
          <w:rFonts w:asciiTheme="majorHAnsi" w:hAnsiTheme="majorHAnsi"/>
          <w:sz w:val="20"/>
          <w:szCs w:val="20"/>
        </w:rPr>
        <w:t xml:space="preserve">, about the execution on the part of the military intelligence of </w:t>
      </w:r>
      <w:r w:rsidR="00A22B6A" w:rsidRPr="00907400">
        <w:rPr>
          <w:rFonts w:asciiTheme="majorHAnsi" w:hAnsiTheme="majorHAnsi"/>
          <w:sz w:val="20"/>
          <w:szCs w:val="20"/>
        </w:rPr>
        <w:t>the number</w:t>
      </w:r>
      <w:r w:rsidRPr="00907400">
        <w:rPr>
          <w:rFonts w:asciiTheme="majorHAnsi" w:hAnsiTheme="majorHAnsi"/>
          <w:sz w:val="20"/>
          <w:szCs w:val="20"/>
        </w:rPr>
        <w:t xml:space="preserve"> of missions linked to the dirty war is the military intelligence B-2 of the Army.</w:t>
      </w:r>
      <w:r w:rsidR="00201D79" w:rsidRPr="00907400">
        <w:rPr>
          <w:rStyle w:val="FootnoteReference"/>
          <w:rFonts w:asciiTheme="majorHAnsi" w:hAnsiTheme="majorHAnsi"/>
          <w:sz w:val="20"/>
          <w:szCs w:val="20"/>
        </w:rPr>
        <w:footnoteReference w:id="34"/>
      </w:r>
    </w:p>
    <w:p w14:paraId="64CEE2B6"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6FDC572D" w14:textId="77777777" w:rsidR="001D375C"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14, 1995, the Regional Public Prosecutors </w:t>
      </w:r>
      <w:r w:rsidR="007C417C" w:rsidRPr="00907400">
        <w:rPr>
          <w:rFonts w:asciiTheme="majorHAnsi" w:hAnsiTheme="majorHAnsi"/>
          <w:sz w:val="20"/>
          <w:szCs w:val="20"/>
        </w:rPr>
        <w:t xml:space="preserve">Office </w:t>
      </w:r>
      <w:r w:rsidRPr="00907400">
        <w:rPr>
          <w:rFonts w:asciiTheme="majorHAnsi" w:hAnsiTheme="majorHAnsi"/>
          <w:sz w:val="20"/>
          <w:szCs w:val="20"/>
        </w:rPr>
        <w:t xml:space="preserve">of Santafé de Bogotá issued an interlocutory </w:t>
      </w:r>
      <w:r w:rsidR="007C417C" w:rsidRPr="00907400">
        <w:rPr>
          <w:rFonts w:asciiTheme="majorHAnsi" w:hAnsiTheme="majorHAnsi"/>
          <w:sz w:val="20"/>
          <w:szCs w:val="20"/>
        </w:rPr>
        <w:t xml:space="preserve">resolution ordering </w:t>
      </w:r>
      <w:r w:rsidRPr="00907400">
        <w:rPr>
          <w:rFonts w:asciiTheme="majorHAnsi" w:hAnsiTheme="majorHAnsi"/>
          <w:sz w:val="20"/>
          <w:szCs w:val="20"/>
        </w:rPr>
        <w:t>Mr. Sastoque</w:t>
      </w:r>
      <w:r w:rsidR="007C417C" w:rsidRPr="00907400">
        <w:rPr>
          <w:rFonts w:asciiTheme="majorHAnsi" w:hAnsiTheme="majorHAnsi"/>
          <w:sz w:val="20"/>
          <w:szCs w:val="20"/>
        </w:rPr>
        <w:t>’ detention</w:t>
      </w:r>
      <w:r w:rsidRPr="00907400">
        <w:rPr>
          <w:rFonts w:asciiTheme="majorHAnsi" w:hAnsiTheme="majorHAnsi"/>
          <w:sz w:val="20"/>
          <w:szCs w:val="20"/>
        </w:rPr>
        <w:t xml:space="preserve"> as the alleged perpetrator of the cri</w:t>
      </w:r>
      <w:r w:rsidR="007C417C" w:rsidRPr="00907400">
        <w:rPr>
          <w:rFonts w:asciiTheme="majorHAnsi" w:hAnsiTheme="majorHAnsi"/>
          <w:sz w:val="20"/>
          <w:szCs w:val="20"/>
        </w:rPr>
        <w:t>me of homicide, established in A</w:t>
      </w:r>
      <w:r w:rsidRPr="00907400">
        <w:rPr>
          <w:rFonts w:asciiTheme="majorHAnsi" w:hAnsiTheme="majorHAnsi"/>
          <w:sz w:val="20"/>
          <w:szCs w:val="20"/>
        </w:rPr>
        <w:t>rticle 323 of the Criminal Code,</w:t>
      </w:r>
      <w:r w:rsidR="00201D79" w:rsidRPr="00907400">
        <w:rPr>
          <w:rStyle w:val="FootnoteReference"/>
          <w:rFonts w:asciiTheme="majorHAnsi" w:hAnsiTheme="majorHAnsi"/>
          <w:sz w:val="20"/>
          <w:szCs w:val="20"/>
        </w:rPr>
        <w:footnoteReference w:id="35"/>
      </w:r>
      <w:r w:rsidRPr="00907400">
        <w:rPr>
          <w:rFonts w:asciiTheme="majorHAnsi" w:hAnsiTheme="majorHAnsi"/>
          <w:sz w:val="20"/>
          <w:szCs w:val="20"/>
        </w:rPr>
        <w:t xml:space="preserve"> with aggravating circumstance </w:t>
      </w:r>
      <w:r w:rsidR="007C417C" w:rsidRPr="00907400">
        <w:rPr>
          <w:rFonts w:asciiTheme="majorHAnsi" w:hAnsiTheme="majorHAnsi"/>
          <w:sz w:val="20"/>
          <w:szCs w:val="20"/>
        </w:rPr>
        <w:t>set out in A</w:t>
      </w:r>
      <w:r w:rsidRPr="00907400">
        <w:rPr>
          <w:rFonts w:asciiTheme="majorHAnsi" w:hAnsiTheme="majorHAnsi"/>
          <w:sz w:val="20"/>
          <w:szCs w:val="20"/>
        </w:rPr>
        <w:t xml:space="preserve">rticle 324.8 of the same Code. The IACHR </w:t>
      </w:r>
      <w:r w:rsidR="007C417C" w:rsidRPr="00907400">
        <w:rPr>
          <w:rFonts w:asciiTheme="majorHAnsi" w:hAnsiTheme="majorHAnsi"/>
          <w:sz w:val="20"/>
          <w:szCs w:val="20"/>
        </w:rPr>
        <w:t>observes that this</w:t>
      </w:r>
      <w:r w:rsidRPr="00907400">
        <w:rPr>
          <w:rFonts w:asciiTheme="majorHAnsi" w:hAnsiTheme="majorHAnsi"/>
          <w:sz w:val="20"/>
          <w:szCs w:val="20"/>
        </w:rPr>
        <w:t xml:space="preserve"> document does not include the name of the prosecutor who issued the resolution.</w:t>
      </w:r>
    </w:p>
    <w:p w14:paraId="73094B3C"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6984098"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The Prosecutor indicated the following:</w:t>
      </w:r>
    </w:p>
    <w:p w14:paraId="59F2F48A" w14:textId="77777777" w:rsidR="00907400" w:rsidRPr="00907400" w:rsidRDefault="00907400" w:rsidP="00C956F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89C2C7F" w14:textId="77777777" w:rsidR="001D375C" w:rsidRPr="00907400"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It was not a whim of the officials who </w:t>
      </w:r>
      <w:r w:rsidR="007C417C" w:rsidRPr="00907400">
        <w:rPr>
          <w:rFonts w:asciiTheme="majorHAnsi" w:hAnsiTheme="majorHAnsi"/>
          <w:sz w:val="20"/>
          <w:szCs w:val="20"/>
        </w:rPr>
        <w:t>de</w:t>
      </w:r>
      <w:r w:rsidR="00C93F9E" w:rsidRPr="00907400">
        <w:rPr>
          <w:rFonts w:asciiTheme="majorHAnsi" w:hAnsiTheme="majorHAnsi"/>
          <w:sz w:val="20"/>
          <w:szCs w:val="20"/>
        </w:rPr>
        <w:t>cided to accuse</w:t>
      </w:r>
      <w:r w:rsidR="007C417C" w:rsidRPr="00907400">
        <w:rPr>
          <w:rFonts w:asciiTheme="majorHAnsi" w:hAnsiTheme="majorHAnsi"/>
          <w:sz w:val="20"/>
          <w:szCs w:val="20"/>
        </w:rPr>
        <w:t xml:space="preserve"> this individual merely to find a</w:t>
      </w:r>
      <w:r w:rsidRPr="00907400">
        <w:rPr>
          <w:rFonts w:asciiTheme="majorHAnsi" w:hAnsiTheme="majorHAnsi"/>
          <w:sz w:val="20"/>
          <w:szCs w:val="20"/>
        </w:rPr>
        <w:t xml:space="preserve"> scapegoat (...). It was precisely because of the seriousness of the wi</w:t>
      </w:r>
      <w:r w:rsidR="007C417C" w:rsidRPr="00907400">
        <w:rPr>
          <w:rFonts w:asciiTheme="majorHAnsi" w:hAnsiTheme="majorHAnsi"/>
          <w:sz w:val="20"/>
          <w:szCs w:val="20"/>
        </w:rPr>
        <w:t>tnesses and their statements</w:t>
      </w:r>
      <w:r w:rsidRPr="00907400">
        <w:rPr>
          <w:rFonts w:asciiTheme="majorHAnsi" w:hAnsiTheme="majorHAnsi"/>
          <w:sz w:val="20"/>
          <w:szCs w:val="20"/>
        </w:rPr>
        <w:t xml:space="preserve">. (...) </w:t>
      </w:r>
      <w:r w:rsidR="007C417C" w:rsidRPr="00907400">
        <w:rPr>
          <w:rFonts w:asciiTheme="majorHAnsi" w:hAnsiTheme="majorHAnsi"/>
          <w:sz w:val="20"/>
          <w:szCs w:val="20"/>
        </w:rPr>
        <w:t>My office gives sufficient credibility to these anonymous witnesses’ testimony</w:t>
      </w:r>
      <w:r w:rsidRPr="00907400">
        <w:rPr>
          <w:rFonts w:asciiTheme="majorHAnsi" w:hAnsiTheme="majorHAnsi"/>
          <w:sz w:val="20"/>
          <w:szCs w:val="20"/>
        </w:rPr>
        <w:t xml:space="preserve">. (...) While the witnesses protected by </w:t>
      </w:r>
      <w:r w:rsidR="00BF7E61" w:rsidRPr="00907400">
        <w:rPr>
          <w:rFonts w:asciiTheme="majorHAnsi" w:hAnsiTheme="majorHAnsi"/>
          <w:sz w:val="20"/>
          <w:szCs w:val="20"/>
        </w:rPr>
        <w:t>anonymity</w:t>
      </w:r>
      <w:r w:rsidRPr="00907400">
        <w:rPr>
          <w:rFonts w:asciiTheme="majorHAnsi" w:hAnsiTheme="majorHAnsi"/>
          <w:sz w:val="20"/>
          <w:szCs w:val="20"/>
        </w:rPr>
        <w:t xml:space="preserve"> openly describe the </w:t>
      </w:r>
      <w:r w:rsidR="00BF7E61" w:rsidRPr="00907400">
        <w:rPr>
          <w:rFonts w:asciiTheme="majorHAnsi" w:hAnsiTheme="majorHAnsi"/>
          <w:sz w:val="20"/>
          <w:szCs w:val="20"/>
        </w:rPr>
        <w:t>alleged perpetrators</w:t>
      </w:r>
      <w:r w:rsidRPr="00907400">
        <w:rPr>
          <w:rFonts w:asciiTheme="majorHAnsi" w:hAnsiTheme="majorHAnsi"/>
          <w:sz w:val="20"/>
          <w:szCs w:val="20"/>
        </w:rPr>
        <w:t xml:space="preserve"> of the act, other witnesses refrain from doing so (...). </w:t>
      </w:r>
      <w:r w:rsidR="00BF7E61" w:rsidRPr="00907400">
        <w:rPr>
          <w:rFonts w:asciiTheme="majorHAnsi" w:hAnsiTheme="majorHAnsi"/>
          <w:sz w:val="20"/>
          <w:szCs w:val="20"/>
        </w:rPr>
        <w:t>Any</w:t>
      </w:r>
      <w:r w:rsidRPr="00907400">
        <w:rPr>
          <w:rFonts w:asciiTheme="majorHAnsi" w:hAnsiTheme="majorHAnsi"/>
          <w:sz w:val="20"/>
          <w:szCs w:val="20"/>
        </w:rPr>
        <w:t xml:space="preserve"> unsuspecting reader </w:t>
      </w:r>
      <w:r w:rsidR="00BF7E61" w:rsidRPr="00907400">
        <w:rPr>
          <w:rFonts w:asciiTheme="majorHAnsi" w:hAnsiTheme="majorHAnsi"/>
          <w:sz w:val="20"/>
          <w:szCs w:val="20"/>
        </w:rPr>
        <w:t>can observe</w:t>
      </w:r>
      <w:r w:rsidRPr="00907400">
        <w:rPr>
          <w:rFonts w:asciiTheme="majorHAnsi" w:hAnsiTheme="majorHAnsi"/>
          <w:sz w:val="20"/>
          <w:szCs w:val="20"/>
        </w:rPr>
        <w:t xml:space="preserve"> with </w:t>
      </w:r>
      <w:r w:rsidR="00BF7E61" w:rsidRPr="00907400">
        <w:rPr>
          <w:rFonts w:asciiTheme="majorHAnsi" w:hAnsiTheme="majorHAnsi"/>
          <w:sz w:val="20"/>
          <w:szCs w:val="20"/>
        </w:rPr>
        <w:t>perfect</w:t>
      </w:r>
      <w:r w:rsidRPr="00907400">
        <w:rPr>
          <w:rFonts w:asciiTheme="majorHAnsi" w:hAnsiTheme="majorHAnsi"/>
          <w:sz w:val="20"/>
          <w:szCs w:val="20"/>
        </w:rPr>
        <w:t xml:space="preserve"> clarity that a</w:t>
      </w:r>
      <w:r w:rsidR="00BF7E61" w:rsidRPr="00907400">
        <w:rPr>
          <w:rFonts w:asciiTheme="majorHAnsi" w:hAnsiTheme="majorHAnsi"/>
          <w:sz w:val="20"/>
          <w:szCs w:val="20"/>
        </w:rPr>
        <w:t>ll the testimonies converge in one</w:t>
      </w:r>
      <w:r w:rsidR="00C93F9E" w:rsidRPr="00907400">
        <w:rPr>
          <w:rFonts w:asciiTheme="majorHAnsi" w:hAnsiTheme="majorHAnsi"/>
          <w:sz w:val="20"/>
          <w:szCs w:val="20"/>
        </w:rPr>
        <w:t xml:space="preserve"> point in which circumstances of manner</w:t>
      </w:r>
      <w:r w:rsidRPr="00907400">
        <w:rPr>
          <w:rFonts w:asciiTheme="majorHAnsi" w:hAnsiTheme="majorHAnsi"/>
          <w:sz w:val="20"/>
          <w:szCs w:val="20"/>
        </w:rPr>
        <w:t>, time and place, are almost exact in the description of these circumstanc</w:t>
      </w:r>
      <w:r w:rsidR="00C93F9E" w:rsidRPr="00907400">
        <w:rPr>
          <w:rFonts w:asciiTheme="majorHAnsi" w:hAnsiTheme="majorHAnsi"/>
          <w:sz w:val="20"/>
          <w:szCs w:val="20"/>
        </w:rPr>
        <w:t xml:space="preserve">es, that is to </w:t>
      </w:r>
      <w:r w:rsidR="00C93F9E" w:rsidRPr="00907400">
        <w:rPr>
          <w:rFonts w:asciiTheme="majorHAnsi" w:hAnsiTheme="majorHAnsi"/>
          <w:sz w:val="20"/>
          <w:szCs w:val="20"/>
        </w:rPr>
        <w:lastRenderedPageBreak/>
        <w:t>say they endorse</w:t>
      </w:r>
      <w:r w:rsidRPr="00907400">
        <w:rPr>
          <w:rFonts w:asciiTheme="majorHAnsi" w:hAnsiTheme="majorHAnsi"/>
          <w:sz w:val="20"/>
          <w:szCs w:val="20"/>
        </w:rPr>
        <w:t>, confirm and corroborate each oth</w:t>
      </w:r>
      <w:r w:rsidR="00BF7E61" w:rsidRPr="00907400">
        <w:rPr>
          <w:rFonts w:asciiTheme="majorHAnsi" w:hAnsiTheme="majorHAnsi"/>
          <w:sz w:val="20"/>
          <w:szCs w:val="20"/>
        </w:rPr>
        <w:t>er, that is why for this Office</w:t>
      </w:r>
      <w:r w:rsidRPr="00907400">
        <w:rPr>
          <w:rFonts w:asciiTheme="majorHAnsi" w:hAnsiTheme="majorHAnsi"/>
          <w:sz w:val="20"/>
          <w:szCs w:val="20"/>
        </w:rPr>
        <w:t xml:space="preserve"> these testimonies are credible and as such must </w:t>
      </w:r>
      <w:r w:rsidR="00BF7E61" w:rsidRPr="00907400">
        <w:rPr>
          <w:rFonts w:asciiTheme="majorHAnsi" w:hAnsiTheme="majorHAnsi"/>
          <w:sz w:val="20"/>
          <w:szCs w:val="20"/>
        </w:rPr>
        <w:t>be given their due evidential weight</w:t>
      </w:r>
      <w:r w:rsidRPr="00907400">
        <w:rPr>
          <w:rFonts w:asciiTheme="majorHAnsi" w:hAnsiTheme="majorHAnsi"/>
          <w:sz w:val="20"/>
          <w:szCs w:val="20"/>
        </w:rPr>
        <w:t>.</w:t>
      </w:r>
    </w:p>
    <w:p w14:paraId="7A63E038" w14:textId="77777777" w:rsidR="001D375C" w:rsidRPr="00907400"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649DCD9C" w14:textId="77777777" w:rsidR="000D5BFD" w:rsidRDefault="000478B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Misael Sastoque Alfonso</w:t>
      </w:r>
      <w:r w:rsidR="001D375C" w:rsidRPr="00907400">
        <w:rPr>
          <w:rFonts w:asciiTheme="majorHAnsi" w:hAnsiTheme="majorHAnsi"/>
          <w:sz w:val="20"/>
          <w:szCs w:val="20"/>
        </w:rPr>
        <w:t xml:space="preserve"> corroborated the alibi or </w:t>
      </w:r>
      <w:r w:rsidRPr="00907400">
        <w:rPr>
          <w:rFonts w:asciiTheme="majorHAnsi" w:hAnsiTheme="majorHAnsi"/>
          <w:sz w:val="20"/>
          <w:szCs w:val="20"/>
        </w:rPr>
        <w:t>exoneration statement</w:t>
      </w:r>
      <w:r w:rsidR="001D375C" w:rsidRPr="00907400">
        <w:rPr>
          <w:rFonts w:asciiTheme="majorHAnsi" w:hAnsiTheme="majorHAnsi"/>
          <w:sz w:val="20"/>
          <w:szCs w:val="20"/>
        </w:rPr>
        <w:t xml:space="preserve"> </w:t>
      </w:r>
      <w:r w:rsidRPr="00907400">
        <w:rPr>
          <w:rFonts w:asciiTheme="majorHAnsi" w:hAnsiTheme="majorHAnsi"/>
          <w:sz w:val="20"/>
          <w:szCs w:val="20"/>
        </w:rPr>
        <w:t>put forward</w:t>
      </w:r>
      <w:r w:rsidR="001D375C" w:rsidRPr="00907400">
        <w:rPr>
          <w:rFonts w:asciiTheme="majorHAnsi" w:hAnsiTheme="majorHAnsi"/>
          <w:sz w:val="20"/>
          <w:szCs w:val="20"/>
        </w:rPr>
        <w:t xml:space="preserve"> by Gustavo Sastoque, yes, </w:t>
      </w:r>
      <w:r w:rsidRPr="00907400">
        <w:rPr>
          <w:rFonts w:asciiTheme="majorHAnsi" w:hAnsiTheme="majorHAnsi"/>
          <w:sz w:val="20"/>
          <w:szCs w:val="20"/>
        </w:rPr>
        <w:t xml:space="preserve">as </w:t>
      </w:r>
      <w:r w:rsidR="00C93F9E" w:rsidRPr="00907400">
        <w:rPr>
          <w:rFonts w:asciiTheme="majorHAnsi" w:hAnsiTheme="majorHAnsi"/>
          <w:sz w:val="20"/>
          <w:szCs w:val="20"/>
        </w:rPr>
        <w:t>--</w:t>
      </w:r>
      <w:r w:rsidR="001D375C" w:rsidRPr="00907400">
        <w:rPr>
          <w:rFonts w:asciiTheme="majorHAnsi" w:hAnsiTheme="majorHAnsi"/>
          <w:sz w:val="20"/>
          <w:szCs w:val="20"/>
        </w:rPr>
        <w:t>in part</w:t>
      </w:r>
      <w:r w:rsidR="00C93F9E" w:rsidRPr="00907400">
        <w:rPr>
          <w:rFonts w:asciiTheme="majorHAnsi" w:hAnsiTheme="majorHAnsi"/>
          <w:sz w:val="20"/>
          <w:szCs w:val="20"/>
        </w:rPr>
        <w:t>--</w:t>
      </w:r>
      <w:r w:rsidR="001D375C" w:rsidRPr="00907400">
        <w:rPr>
          <w:rFonts w:asciiTheme="majorHAnsi" w:hAnsiTheme="majorHAnsi"/>
          <w:sz w:val="20"/>
          <w:szCs w:val="20"/>
        </w:rPr>
        <w:t xml:space="preserve"> his partner Roberto</w:t>
      </w:r>
      <w:r w:rsidR="00C93F9E" w:rsidRPr="00907400">
        <w:rPr>
          <w:rFonts w:asciiTheme="majorHAnsi" w:hAnsiTheme="majorHAnsi"/>
          <w:sz w:val="20"/>
          <w:szCs w:val="20"/>
        </w:rPr>
        <w:t xml:space="preserve"> corroborates it</w:t>
      </w:r>
      <w:r w:rsidR="001D375C" w:rsidRPr="00907400">
        <w:rPr>
          <w:rFonts w:asciiTheme="majorHAnsi" w:hAnsiTheme="majorHAnsi"/>
          <w:sz w:val="20"/>
          <w:szCs w:val="20"/>
        </w:rPr>
        <w:t xml:space="preserve">, as well as other </w:t>
      </w:r>
      <w:r w:rsidR="00C93F9E" w:rsidRPr="00907400">
        <w:rPr>
          <w:rFonts w:asciiTheme="majorHAnsi" w:hAnsiTheme="majorHAnsi"/>
          <w:sz w:val="20"/>
          <w:szCs w:val="20"/>
        </w:rPr>
        <w:t>relatives of his. But</w:t>
      </w:r>
      <w:r w:rsidR="001D375C" w:rsidRPr="00907400">
        <w:rPr>
          <w:rFonts w:asciiTheme="majorHAnsi" w:hAnsiTheme="majorHAnsi"/>
          <w:sz w:val="20"/>
          <w:szCs w:val="20"/>
        </w:rPr>
        <w:t xml:space="preserve"> if we analyze all these testimon</w:t>
      </w:r>
      <w:r w:rsidR="00C93F9E" w:rsidRPr="00907400">
        <w:rPr>
          <w:rFonts w:asciiTheme="majorHAnsi" w:hAnsiTheme="majorHAnsi"/>
          <w:sz w:val="20"/>
          <w:szCs w:val="20"/>
        </w:rPr>
        <w:t xml:space="preserve">ies obviously we deduce that there is an interest which to save their relative and friend from this judicial mess in which he is involved and that therefore if there is an interest due to an emotional attachment this evidence </w:t>
      </w:r>
      <w:r w:rsidR="001D375C" w:rsidRPr="00907400">
        <w:rPr>
          <w:rFonts w:asciiTheme="majorHAnsi" w:hAnsiTheme="majorHAnsi"/>
          <w:sz w:val="20"/>
          <w:szCs w:val="20"/>
        </w:rPr>
        <w:t xml:space="preserve">must not be rejected or </w:t>
      </w:r>
      <w:r w:rsidR="00C93F9E" w:rsidRPr="00907400">
        <w:rPr>
          <w:rFonts w:asciiTheme="majorHAnsi" w:hAnsiTheme="majorHAnsi"/>
          <w:sz w:val="20"/>
          <w:szCs w:val="20"/>
        </w:rPr>
        <w:t xml:space="preserve">ignored </w:t>
      </w:r>
      <w:r w:rsidR="001D375C" w:rsidRPr="00907400">
        <w:rPr>
          <w:rFonts w:asciiTheme="majorHAnsi" w:hAnsiTheme="majorHAnsi"/>
          <w:sz w:val="20"/>
          <w:szCs w:val="20"/>
        </w:rPr>
        <w:t xml:space="preserve">but </w:t>
      </w:r>
      <w:r w:rsidR="00C93F9E" w:rsidRPr="00907400">
        <w:rPr>
          <w:rFonts w:asciiTheme="majorHAnsi" w:hAnsiTheme="majorHAnsi"/>
          <w:sz w:val="20"/>
          <w:szCs w:val="20"/>
        </w:rPr>
        <w:t xml:space="preserve">it cannot </w:t>
      </w:r>
      <w:r w:rsidR="0093448E" w:rsidRPr="00907400">
        <w:rPr>
          <w:rFonts w:asciiTheme="majorHAnsi" w:hAnsiTheme="majorHAnsi"/>
          <w:sz w:val="20"/>
          <w:szCs w:val="20"/>
        </w:rPr>
        <w:t>override</w:t>
      </w:r>
      <w:r w:rsidR="001D375C" w:rsidRPr="00907400">
        <w:rPr>
          <w:rFonts w:asciiTheme="majorHAnsi" w:hAnsiTheme="majorHAnsi"/>
          <w:sz w:val="20"/>
          <w:szCs w:val="20"/>
        </w:rPr>
        <w:t xml:space="preserve"> the testimonies </w:t>
      </w:r>
      <w:r w:rsidR="0093448E" w:rsidRPr="00907400">
        <w:rPr>
          <w:rFonts w:asciiTheme="majorHAnsi" w:hAnsiTheme="majorHAnsi"/>
          <w:sz w:val="20"/>
          <w:szCs w:val="20"/>
        </w:rPr>
        <w:t>that point to the</w:t>
      </w:r>
      <w:r w:rsidR="001D375C" w:rsidRPr="00907400">
        <w:rPr>
          <w:rFonts w:asciiTheme="majorHAnsi" w:hAnsiTheme="majorHAnsi"/>
          <w:sz w:val="20"/>
          <w:szCs w:val="20"/>
        </w:rPr>
        <w:t xml:space="preserve"> authorship of the act.</w:t>
      </w:r>
      <w:r w:rsidR="00201D79" w:rsidRPr="00907400">
        <w:rPr>
          <w:rStyle w:val="FootnoteReference"/>
          <w:rFonts w:asciiTheme="majorHAnsi" w:hAnsiTheme="majorHAnsi"/>
          <w:sz w:val="20"/>
          <w:szCs w:val="20"/>
        </w:rPr>
        <w:footnoteReference w:id="36"/>
      </w:r>
    </w:p>
    <w:p w14:paraId="14E5D0E3"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F8B4791" w14:textId="77777777" w:rsidR="001D375C"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May 19, 1995, </w:t>
      </w:r>
      <w:r w:rsidR="0093448E" w:rsidRPr="00907400">
        <w:rPr>
          <w:rFonts w:asciiTheme="majorHAnsi" w:hAnsiTheme="majorHAnsi"/>
          <w:sz w:val="20"/>
          <w:szCs w:val="20"/>
        </w:rPr>
        <w:t>a new identity parade was undertaken</w:t>
      </w:r>
      <w:r w:rsidRPr="00907400">
        <w:rPr>
          <w:rFonts w:asciiTheme="majorHAnsi" w:hAnsiTheme="majorHAnsi"/>
          <w:sz w:val="20"/>
          <w:szCs w:val="20"/>
        </w:rPr>
        <w:t>. On this occasion two police officers, Wander Trullo and Jo</w:t>
      </w:r>
      <w:r w:rsidR="0093448E" w:rsidRPr="00907400">
        <w:rPr>
          <w:rFonts w:asciiTheme="majorHAnsi" w:hAnsiTheme="majorHAnsi"/>
          <w:sz w:val="20"/>
          <w:szCs w:val="20"/>
        </w:rPr>
        <w:t>sé Roncancio, took part</w:t>
      </w:r>
      <w:r w:rsidRPr="00907400">
        <w:rPr>
          <w:rFonts w:asciiTheme="majorHAnsi" w:hAnsiTheme="majorHAnsi"/>
          <w:sz w:val="20"/>
          <w:szCs w:val="20"/>
        </w:rPr>
        <w:t>. Both said t</w:t>
      </w:r>
      <w:r w:rsidR="00794C24" w:rsidRPr="00907400">
        <w:rPr>
          <w:rFonts w:asciiTheme="majorHAnsi" w:hAnsiTheme="majorHAnsi"/>
          <w:sz w:val="20"/>
          <w:szCs w:val="20"/>
        </w:rPr>
        <w:t>hey were on duty when two individuals</w:t>
      </w:r>
      <w:r w:rsidRPr="00907400">
        <w:rPr>
          <w:rFonts w:asciiTheme="majorHAnsi" w:hAnsiTheme="majorHAnsi"/>
          <w:sz w:val="20"/>
          <w:szCs w:val="20"/>
        </w:rPr>
        <w:t xml:space="preserve"> from the Prosecutor'</w:t>
      </w:r>
      <w:r w:rsidR="00794C24" w:rsidRPr="00907400">
        <w:rPr>
          <w:rFonts w:asciiTheme="majorHAnsi" w:hAnsiTheme="majorHAnsi"/>
          <w:sz w:val="20"/>
          <w:szCs w:val="20"/>
        </w:rPr>
        <w:t xml:space="preserve">s Office arrived on February 27, 1995 </w:t>
      </w:r>
      <w:r w:rsidRPr="00907400">
        <w:rPr>
          <w:rFonts w:asciiTheme="majorHAnsi" w:hAnsiTheme="majorHAnsi"/>
          <w:sz w:val="20"/>
          <w:szCs w:val="20"/>
        </w:rPr>
        <w:t>to examine the place where Mr. Pizarro's murder took place.</w:t>
      </w:r>
      <w:r w:rsidR="00201D79" w:rsidRPr="00907400">
        <w:rPr>
          <w:rStyle w:val="FootnoteReference"/>
          <w:rFonts w:asciiTheme="majorHAnsi" w:hAnsiTheme="majorHAnsi"/>
          <w:sz w:val="20"/>
          <w:szCs w:val="20"/>
        </w:rPr>
        <w:footnoteReference w:id="37"/>
      </w:r>
      <w:r w:rsidRPr="00907400">
        <w:rPr>
          <w:rFonts w:asciiTheme="majorHAnsi" w:hAnsiTheme="majorHAnsi"/>
          <w:sz w:val="20"/>
          <w:szCs w:val="20"/>
        </w:rPr>
        <w:t xml:space="preserve"> </w:t>
      </w:r>
      <w:r w:rsidR="00794C24" w:rsidRPr="00907400">
        <w:rPr>
          <w:rFonts w:asciiTheme="majorHAnsi" w:hAnsiTheme="majorHAnsi"/>
          <w:sz w:val="20"/>
          <w:szCs w:val="20"/>
        </w:rPr>
        <w:t xml:space="preserve"> Officer </w:t>
      </w:r>
      <w:r w:rsidRPr="00907400">
        <w:rPr>
          <w:rFonts w:asciiTheme="majorHAnsi" w:hAnsiTheme="majorHAnsi"/>
          <w:sz w:val="20"/>
          <w:szCs w:val="20"/>
        </w:rPr>
        <w:t>Trullo coul</w:t>
      </w:r>
      <w:r w:rsidR="0093448E" w:rsidRPr="00907400">
        <w:rPr>
          <w:rFonts w:asciiTheme="majorHAnsi" w:hAnsiTheme="majorHAnsi"/>
          <w:sz w:val="20"/>
          <w:szCs w:val="20"/>
        </w:rPr>
        <w:t>d not recognize any of the individuals</w:t>
      </w:r>
      <w:r w:rsidR="00201D79" w:rsidRPr="00907400">
        <w:rPr>
          <w:rStyle w:val="FootnoteReference"/>
          <w:rFonts w:asciiTheme="majorHAnsi" w:hAnsiTheme="majorHAnsi"/>
          <w:sz w:val="20"/>
          <w:szCs w:val="20"/>
        </w:rPr>
        <w:footnoteReference w:id="38"/>
      </w:r>
      <w:r w:rsidRPr="00907400">
        <w:rPr>
          <w:rFonts w:asciiTheme="majorHAnsi" w:hAnsiTheme="majorHAnsi"/>
          <w:sz w:val="20"/>
          <w:szCs w:val="20"/>
        </w:rPr>
        <w:t xml:space="preserve"> while </w:t>
      </w:r>
      <w:r w:rsidR="00794C24" w:rsidRPr="00907400">
        <w:rPr>
          <w:rFonts w:asciiTheme="majorHAnsi" w:hAnsiTheme="majorHAnsi"/>
          <w:sz w:val="20"/>
          <w:szCs w:val="20"/>
        </w:rPr>
        <w:t>Officer</w:t>
      </w:r>
      <w:r w:rsidRPr="00907400">
        <w:rPr>
          <w:rFonts w:asciiTheme="majorHAnsi" w:hAnsiTheme="majorHAnsi"/>
          <w:sz w:val="20"/>
          <w:szCs w:val="20"/>
        </w:rPr>
        <w:t xml:space="preserve"> Roncancio did recognize Mr. Sastoque as an </w:t>
      </w:r>
      <w:r w:rsidR="00794C24" w:rsidRPr="00907400">
        <w:rPr>
          <w:rFonts w:asciiTheme="majorHAnsi" w:hAnsiTheme="majorHAnsi"/>
          <w:sz w:val="20"/>
          <w:szCs w:val="20"/>
        </w:rPr>
        <w:t>official</w:t>
      </w:r>
      <w:r w:rsidRPr="00907400">
        <w:rPr>
          <w:rFonts w:asciiTheme="majorHAnsi" w:hAnsiTheme="majorHAnsi"/>
          <w:sz w:val="20"/>
          <w:szCs w:val="20"/>
        </w:rPr>
        <w:t xml:space="preserve"> of the Prosecutor's Office who was at the scene on February 27.</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39"/>
      </w:r>
    </w:p>
    <w:p w14:paraId="2D455ADF"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8BBE4A4"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May 23, 1995, the Regional Prosecutor took the statement </w:t>
      </w:r>
      <w:r w:rsidR="001B4BE8" w:rsidRPr="00907400">
        <w:rPr>
          <w:rFonts w:asciiTheme="majorHAnsi" w:hAnsiTheme="majorHAnsi"/>
          <w:sz w:val="20"/>
          <w:szCs w:val="20"/>
        </w:rPr>
        <w:t>from anonymous</w:t>
      </w:r>
      <w:r w:rsidRPr="00907400">
        <w:rPr>
          <w:rFonts w:asciiTheme="majorHAnsi" w:hAnsiTheme="majorHAnsi"/>
          <w:sz w:val="20"/>
          <w:szCs w:val="20"/>
        </w:rPr>
        <w:t xml:space="preserve"> "Witness No. 4". The IACHR </w:t>
      </w:r>
      <w:r w:rsidR="001B4BE8" w:rsidRPr="00907400">
        <w:rPr>
          <w:rFonts w:asciiTheme="majorHAnsi" w:hAnsiTheme="majorHAnsi"/>
          <w:sz w:val="20"/>
          <w:szCs w:val="20"/>
        </w:rPr>
        <w:t>observes</w:t>
      </w:r>
      <w:r w:rsidRPr="00907400">
        <w:rPr>
          <w:rFonts w:asciiTheme="majorHAnsi" w:hAnsiTheme="majorHAnsi"/>
          <w:sz w:val="20"/>
          <w:szCs w:val="20"/>
        </w:rPr>
        <w:t xml:space="preserve"> that the name of the prosecutor in charge of </w:t>
      </w:r>
      <w:r w:rsidR="001B4BE8" w:rsidRPr="00907400">
        <w:rPr>
          <w:rFonts w:asciiTheme="majorHAnsi" w:hAnsiTheme="majorHAnsi"/>
          <w:sz w:val="20"/>
          <w:szCs w:val="20"/>
        </w:rPr>
        <w:t>this procedural step</w:t>
      </w:r>
      <w:r w:rsidR="00B95CD4" w:rsidRPr="00907400">
        <w:rPr>
          <w:rFonts w:asciiTheme="majorHAnsi" w:hAnsiTheme="majorHAnsi"/>
          <w:sz w:val="20"/>
          <w:szCs w:val="20"/>
        </w:rPr>
        <w:t xml:space="preserve"> has not been provided</w:t>
      </w:r>
      <w:r w:rsidRPr="00907400">
        <w:rPr>
          <w:rFonts w:asciiTheme="majorHAnsi" w:hAnsiTheme="majorHAnsi"/>
          <w:sz w:val="20"/>
          <w:szCs w:val="20"/>
        </w:rPr>
        <w:t>. This person indicated that he knew Hernando Pizarro and that he was living in Carlos Celis</w:t>
      </w:r>
      <w:r w:rsidR="001B4BE8" w:rsidRPr="00907400">
        <w:rPr>
          <w:rFonts w:asciiTheme="majorHAnsi" w:hAnsiTheme="majorHAnsi"/>
          <w:sz w:val="20"/>
          <w:szCs w:val="20"/>
        </w:rPr>
        <w:t>’ house</w:t>
      </w:r>
      <w:r w:rsidRPr="00907400">
        <w:rPr>
          <w:rFonts w:asciiTheme="majorHAnsi" w:hAnsiTheme="majorHAnsi"/>
          <w:sz w:val="20"/>
          <w:szCs w:val="20"/>
        </w:rPr>
        <w:t xml:space="preserve"> for security reasons as they had captured alias "Javier Delgado", who had </w:t>
      </w:r>
      <w:r w:rsidR="00B95CD4" w:rsidRPr="00907400">
        <w:rPr>
          <w:rFonts w:asciiTheme="majorHAnsi" w:hAnsiTheme="majorHAnsi"/>
          <w:sz w:val="20"/>
          <w:szCs w:val="20"/>
        </w:rPr>
        <w:t>been part of</w:t>
      </w:r>
      <w:r w:rsidRPr="00907400">
        <w:rPr>
          <w:rFonts w:asciiTheme="majorHAnsi" w:hAnsiTheme="majorHAnsi"/>
          <w:sz w:val="20"/>
          <w:szCs w:val="20"/>
        </w:rPr>
        <w:t xml:space="preserve"> the guerrilla with him. He </w:t>
      </w:r>
      <w:r w:rsidR="00675238" w:rsidRPr="00907400">
        <w:rPr>
          <w:rFonts w:asciiTheme="majorHAnsi" w:hAnsiTheme="majorHAnsi"/>
          <w:sz w:val="20"/>
          <w:szCs w:val="20"/>
        </w:rPr>
        <w:t>maintained</w:t>
      </w:r>
      <w:r w:rsidRPr="00907400">
        <w:rPr>
          <w:rFonts w:asciiTheme="majorHAnsi" w:hAnsiTheme="majorHAnsi"/>
          <w:sz w:val="20"/>
          <w:szCs w:val="20"/>
        </w:rPr>
        <w:t xml:space="preserve"> that Carlos Celis was aware that Mr. Pizarro was going to receive the sum of two million pesos on February 27, 1995, as he </w:t>
      </w:r>
      <w:r w:rsidR="00675238" w:rsidRPr="00907400">
        <w:rPr>
          <w:rFonts w:asciiTheme="majorHAnsi" w:hAnsiTheme="majorHAnsi"/>
          <w:sz w:val="20"/>
          <w:szCs w:val="20"/>
        </w:rPr>
        <w:t>was planning</w:t>
      </w:r>
      <w:r w:rsidRPr="00907400">
        <w:rPr>
          <w:rFonts w:asciiTheme="majorHAnsi" w:hAnsiTheme="majorHAnsi"/>
          <w:sz w:val="20"/>
          <w:szCs w:val="20"/>
        </w:rPr>
        <w:t xml:space="preserve"> to leave the country. He also stated that Carlos Celis sold a white Toyota van, the same model as that used on Febru</w:t>
      </w:r>
      <w:r w:rsidR="00B95CD4" w:rsidRPr="00907400">
        <w:rPr>
          <w:rFonts w:asciiTheme="majorHAnsi" w:hAnsiTheme="majorHAnsi"/>
          <w:sz w:val="20"/>
          <w:szCs w:val="20"/>
        </w:rPr>
        <w:t xml:space="preserve">ary 26, 1995, to agents of the </w:t>
      </w:r>
      <w:r w:rsidRPr="00907400">
        <w:rPr>
          <w:rFonts w:asciiTheme="majorHAnsi" w:hAnsiTheme="majorHAnsi"/>
          <w:sz w:val="20"/>
          <w:szCs w:val="20"/>
        </w:rPr>
        <w:t>B-2</w:t>
      </w:r>
      <w:r w:rsidR="00B95CD4" w:rsidRPr="00907400">
        <w:rPr>
          <w:rFonts w:asciiTheme="majorHAnsi" w:hAnsiTheme="majorHAnsi"/>
          <w:sz w:val="20"/>
          <w:szCs w:val="20"/>
        </w:rPr>
        <w:t xml:space="preserve"> unit of the Army</w:t>
      </w:r>
      <w:r w:rsidRPr="00907400">
        <w:rPr>
          <w:rFonts w:asciiTheme="majorHAnsi" w:hAnsiTheme="majorHAnsi"/>
          <w:sz w:val="20"/>
          <w:szCs w:val="20"/>
        </w:rPr>
        <w:t>.</w:t>
      </w:r>
      <w:r w:rsidR="00201D79" w:rsidRPr="00907400">
        <w:rPr>
          <w:rStyle w:val="FootnoteReference"/>
          <w:rFonts w:asciiTheme="majorHAnsi" w:hAnsiTheme="majorHAnsi"/>
          <w:sz w:val="20"/>
          <w:szCs w:val="20"/>
        </w:rPr>
        <w:t xml:space="preserve"> </w:t>
      </w:r>
      <w:r w:rsidR="00201D79" w:rsidRPr="00907400">
        <w:rPr>
          <w:rStyle w:val="FootnoteReference"/>
          <w:rFonts w:asciiTheme="majorHAnsi" w:hAnsiTheme="majorHAnsi"/>
          <w:sz w:val="20"/>
          <w:szCs w:val="20"/>
        </w:rPr>
        <w:footnoteReference w:id="40"/>
      </w:r>
    </w:p>
    <w:p w14:paraId="3B3F5A4B"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877CC9C"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August 25, 1995, Witness No. 1 responded to a written questionnaire submitte</w:t>
      </w:r>
      <w:r w:rsidR="00ED5C64" w:rsidRPr="00907400">
        <w:rPr>
          <w:rFonts w:asciiTheme="majorHAnsi" w:hAnsiTheme="majorHAnsi"/>
          <w:sz w:val="20"/>
          <w:szCs w:val="20"/>
        </w:rPr>
        <w:t>d by Mr. Sastoque's defense attorney</w:t>
      </w:r>
      <w:r w:rsidRPr="00907400">
        <w:rPr>
          <w:rFonts w:asciiTheme="majorHAnsi" w:hAnsiTheme="majorHAnsi"/>
          <w:sz w:val="20"/>
          <w:szCs w:val="20"/>
        </w:rPr>
        <w:t xml:space="preserve">. According to the declaration statement, the Prosecutor in charge, who was present during </w:t>
      </w:r>
      <w:r w:rsidR="00ED5C64" w:rsidRPr="00907400">
        <w:rPr>
          <w:rFonts w:asciiTheme="majorHAnsi" w:hAnsiTheme="majorHAnsi"/>
          <w:sz w:val="20"/>
          <w:szCs w:val="20"/>
        </w:rPr>
        <w:t>this procedural step</w:t>
      </w:r>
      <w:r w:rsidRPr="00907400">
        <w:rPr>
          <w:rFonts w:asciiTheme="majorHAnsi" w:hAnsiTheme="majorHAnsi"/>
          <w:sz w:val="20"/>
          <w:szCs w:val="20"/>
        </w:rPr>
        <w:t xml:space="preserve">, told the witness that "at the moment of answering them, </w:t>
      </w:r>
      <w:r w:rsidR="00ED5C64" w:rsidRPr="00907400">
        <w:rPr>
          <w:rFonts w:asciiTheme="majorHAnsi" w:hAnsiTheme="majorHAnsi"/>
          <w:sz w:val="20"/>
          <w:szCs w:val="20"/>
        </w:rPr>
        <w:t xml:space="preserve">take </w:t>
      </w:r>
      <w:r w:rsidRPr="00907400">
        <w:rPr>
          <w:rFonts w:asciiTheme="majorHAnsi" w:hAnsiTheme="majorHAnsi"/>
          <w:sz w:val="20"/>
          <w:szCs w:val="20"/>
        </w:rPr>
        <w:t xml:space="preserve">special care so that </w:t>
      </w:r>
      <w:r w:rsidR="00ED5C64" w:rsidRPr="00907400">
        <w:rPr>
          <w:rFonts w:asciiTheme="majorHAnsi" w:hAnsiTheme="majorHAnsi"/>
          <w:sz w:val="20"/>
          <w:szCs w:val="20"/>
        </w:rPr>
        <w:t>the</w:t>
      </w:r>
      <w:r w:rsidRPr="00907400">
        <w:rPr>
          <w:rFonts w:asciiTheme="majorHAnsi" w:hAnsiTheme="majorHAnsi"/>
          <w:sz w:val="20"/>
          <w:szCs w:val="20"/>
        </w:rPr>
        <w:t xml:space="preserve"> answers do not reveal their identity." Witness No. 1 indicated the following:</w:t>
      </w:r>
    </w:p>
    <w:p w14:paraId="76F13C95"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FAE1E03" w14:textId="77777777" w:rsidR="000D5BFD" w:rsidRPr="00907400" w:rsidRDefault="00ED5C64" w:rsidP="00907400">
      <w:pPr>
        <w:ind w:left="720" w:right="720"/>
        <w:jc w:val="both"/>
        <w:rPr>
          <w:rFonts w:asciiTheme="majorHAnsi" w:hAnsiTheme="majorHAnsi"/>
          <w:sz w:val="20"/>
          <w:szCs w:val="20"/>
        </w:rPr>
      </w:pPr>
      <w:r w:rsidRPr="00907400">
        <w:rPr>
          <w:rFonts w:asciiTheme="majorHAnsi" w:hAnsiTheme="majorHAnsi"/>
          <w:sz w:val="20"/>
          <w:szCs w:val="20"/>
        </w:rPr>
        <w:t>The individual</w:t>
      </w:r>
      <w:r w:rsidR="001D375C" w:rsidRPr="00907400">
        <w:rPr>
          <w:rFonts w:asciiTheme="majorHAnsi" w:hAnsiTheme="majorHAnsi"/>
          <w:sz w:val="20"/>
          <w:szCs w:val="20"/>
        </w:rPr>
        <w:t xml:space="preserve"> that I could see well and that I am d</w:t>
      </w:r>
      <w:r w:rsidRPr="00907400">
        <w:rPr>
          <w:rFonts w:asciiTheme="majorHAnsi" w:hAnsiTheme="majorHAnsi"/>
          <w:sz w:val="20"/>
          <w:szCs w:val="20"/>
        </w:rPr>
        <w:t>escribing is the one that shot</w:t>
      </w:r>
      <w:r w:rsidR="001D375C" w:rsidRPr="00907400">
        <w:rPr>
          <w:rFonts w:asciiTheme="majorHAnsi" w:hAnsiTheme="majorHAnsi"/>
          <w:sz w:val="20"/>
          <w:szCs w:val="20"/>
        </w:rPr>
        <w:t xml:space="preserve"> </w:t>
      </w:r>
      <w:r w:rsidRPr="00907400">
        <w:rPr>
          <w:rFonts w:asciiTheme="majorHAnsi" w:hAnsiTheme="majorHAnsi"/>
          <w:sz w:val="20"/>
          <w:szCs w:val="20"/>
        </w:rPr>
        <w:t xml:space="preserve">Mr. Pizarro. (...) What happened </w:t>
      </w:r>
      <w:r w:rsidR="001D375C" w:rsidRPr="00907400">
        <w:rPr>
          <w:rFonts w:asciiTheme="majorHAnsi" w:hAnsiTheme="majorHAnsi"/>
          <w:sz w:val="20"/>
          <w:szCs w:val="20"/>
        </w:rPr>
        <w:t xml:space="preserve">is that I had </w:t>
      </w:r>
      <w:r w:rsidRPr="00907400">
        <w:rPr>
          <w:rFonts w:asciiTheme="majorHAnsi" w:hAnsiTheme="majorHAnsi"/>
          <w:sz w:val="20"/>
          <w:szCs w:val="20"/>
        </w:rPr>
        <w:t xml:space="preserve">a </w:t>
      </w:r>
      <w:r w:rsidR="001D375C" w:rsidRPr="00907400">
        <w:rPr>
          <w:rFonts w:asciiTheme="majorHAnsi" w:hAnsiTheme="majorHAnsi"/>
          <w:sz w:val="20"/>
          <w:szCs w:val="20"/>
        </w:rPr>
        <w:t xml:space="preserve">good </w:t>
      </w:r>
      <w:r w:rsidRPr="00907400">
        <w:rPr>
          <w:rFonts w:asciiTheme="majorHAnsi" w:hAnsiTheme="majorHAnsi"/>
          <w:sz w:val="20"/>
          <w:szCs w:val="20"/>
        </w:rPr>
        <w:t>view</w:t>
      </w:r>
      <w:r w:rsidR="001D375C" w:rsidRPr="00907400">
        <w:rPr>
          <w:rFonts w:asciiTheme="majorHAnsi" w:hAnsiTheme="majorHAnsi"/>
          <w:sz w:val="20"/>
          <w:szCs w:val="20"/>
        </w:rPr>
        <w:t xml:space="preserve"> [and the one who fired was] just under a </w:t>
      </w:r>
      <w:r w:rsidR="00A433FF" w:rsidRPr="00907400">
        <w:rPr>
          <w:rFonts w:asciiTheme="majorHAnsi" w:hAnsiTheme="majorHAnsi"/>
          <w:sz w:val="20"/>
          <w:szCs w:val="20"/>
        </w:rPr>
        <w:t>streetlight</w:t>
      </w:r>
      <w:r w:rsidR="001D375C" w:rsidRPr="00907400">
        <w:rPr>
          <w:rFonts w:asciiTheme="majorHAnsi" w:hAnsiTheme="majorHAnsi"/>
          <w:sz w:val="20"/>
          <w:szCs w:val="20"/>
        </w:rPr>
        <w:t>, also because I know about weapons and I have good observation</w:t>
      </w:r>
      <w:r w:rsidRPr="00907400">
        <w:rPr>
          <w:rFonts w:asciiTheme="majorHAnsi" w:hAnsiTheme="majorHAnsi"/>
          <w:sz w:val="20"/>
          <w:szCs w:val="20"/>
        </w:rPr>
        <w:t>al</w:t>
      </w:r>
      <w:r w:rsidR="001D375C" w:rsidRPr="00907400">
        <w:rPr>
          <w:rFonts w:asciiTheme="majorHAnsi" w:hAnsiTheme="majorHAnsi"/>
          <w:sz w:val="20"/>
          <w:szCs w:val="20"/>
        </w:rPr>
        <w:t xml:space="preserve"> skills. (...) The [physical] characteristics that I have given have </w:t>
      </w:r>
      <w:r w:rsidRPr="00907400">
        <w:rPr>
          <w:rFonts w:asciiTheme="majorHAnsi" w:hAnsiTheme="majorHAnsi"/>
          <w:sz w:val="20"/>
          <w:szCs w:val="20"/>
        </w:rPr>
        <w:t>remained</w:t>
      </w:r>
      <w:r w:rsidR="001D375C" w:rsidRPr="00907400">
        <w:rPr>
          <w:rFonts w:asciiTheme="majorHAnsi" w:hAnsiTheme="majorHAnsi"/>
          <w:sz w:val="20"/>
          <w:szCs w:val="20"/>
        </w:rPr>
        <w:t xml:space="preserve"> the same.</w:t>
      </w:r>
      <w:r w:rsidR="00486DBF" w:rsidRPr="00907400">
        <w:rPr>
          <w:rStyle w:val="FootnoteReference"/>
          <w:rFonts w:asciiTheme="majorHAnsi" w:hAnsiTheme="majorHAnsi"/>
          <w:sz w:val="20"/>
          <w:szCs w:val="20"/>
        </w:rPr>
        <w:t xml:space="preserve"> </w:t>
      </w:r>
      <w:r w:rsidR="00486DBF" w:rsidRPr="00907400">
        <w:rPr>
          <w:rStyle w:val="FootnoteReference"/>
          <w:rFonts w:asciiTheme="majorHAnsi" w:hAnsiTheme="majorHAnsi"/>
          <w:sz w:val="20"/>
          <w:szCs w:val="20"/>
        </w:rPr>
        <w:footnoteReference w:id="41"/>
      </w:r>
    </w:p>
    <w:p w14:paraId="75C2128F" w14:textId="77777777" w:rsidR="00B95CD4" w:rsidRPr="00907400" w:rsidRDefault="00B95CD4" w:rsidP="00907400">
      <w:pPr>
        <w:ind w:right="1138"/>
        <w:jc w:val="both"/>
        <w:rPr>
          <w:rFonts w:asciiTheme="majorHAnsi" w:hAnsiTheme="majorHAnsi"/>
          <w:sz w:val="20"/>
          <w:szCs w:val="20"/>
        </w:rPr>
      </w:pPr>
    </w:p>
    <w:p w14:paraId="314EDE01" w14:textId="77777777" w:rsidR="001D375C"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October 3, 1995, the Regional Prosecutor sent an official letter to the Regional Director of the Prosecutor's Office indicating that Witness No. 1 presented an "exp</w:t>
      </w:r>
      <w:r w:rsidR="002A4E24" w:rsidRPr="00907400">
        <w:rPr>
          <w:rFonts w:asciiTheme="majorHAnsi" w:hAnsiTheme="majorHAnsi"/>
          <w:sz w:val="20"/>
          <w:szCs w:val="20"/>
        </w:rPr>
        <w:t>ress and voluntary statement</w:t>
      </w:r>
      <w:r w:rsidRPr="00907400">
        <w:rPr>
          <w:rFonts w:asciiTheme="majorHAnsi" w:hAnsiTheme="majorHAnsi"/>
          <w:sz w:val="20"/>
          <w:szCs w:val="20"/>
        </w:rPr>
        <w:t xml:space="preserve">" to have her identity lifted. The IACHR </w:t>
      </w:r>
      <w:r w:rsidR="00CB1B19" w:rsidRPr="00907400">
        <w:rPr>
          <w:rFonts w:asciiTheme="majorHAnsi" w:hAnsiTheme="majorHAnsi"/>
          <w:sz w:val="20"/>
          <w:szCs w:val="20"/>
        </w:rPr>
        <w:t>observes that in said letter</w:t>
      </w:r>
      <w:r w:rsidRPr="00907400">
        <w:rPr>
          <w:rFonts w:asciiTheme="majorHAnsi" w:hAnsiTheme="majorHAnsi"/>
          <w:sz w:val="20"/>
          <w:szCs w:val="20"/>
        </w:rPr>
        <w:t xml:space="preserve"> the name of the prosecutor </w:t>
      </w:r>
      <w:r w:rsidR="00CB1B19" w:rsidRPr="00907400">
        <w:rPr>
          <w:rFonts w:asciiTheme="majorHAnsi" w:hAnsiTheme="majorHAnsi"/>
          <w:sz w:val="20"/>
          <w:szCs w:val="20"/>
        </w:rPr>
        <w:t>is not revealed</w:t>
      </w:r>
      <w:r w:rsidRPr="00907400">
        <w:rPr>
          <w:rFonts w:asciiTheme="majorHAnsi" w:hAnsiTheme="majorHAnsi"/>
          <w:sz w:val="20"/>
          <w:szCs w:val="20"/>
        </w:rPr>
        <w:t xml:space="preserve">. The Regional Prosecutor maintained that an </w:t>
      </w:r>
      <w:r w:rsidR="00CB1B19" w:rsidRPr="00907400">
        <w:rPr>
          <w:rFonts w:asciiTheme="majorHAnsi" w:hAnsiTheme="majorHAnsi"/>
          <w:sz w:val="20"/>
          <w:szCs w:val="20"/>
        </w:rPr>
        <w:t>order</w:t>
      </w:r>
      <w:r w:rsidR="002A4E24" w:rsidRPr="00907400">
        <w:rPr>
          <w:rFonts w:asciiTheme="majorHAnsi" w:hAnsiTheme="majorHAnsi"/>
          <w:sz w:val="20"/>
          <w:szCs w:val="20"/>
        </w:rPr>
        <w:t xml:space="preserve"> was drawn up to carry out</w:t>
      </w:r>
      <w:r w:rsidRPr="00907400">
        <w:rPr>
          <w:rFonts w:asciiTheme="majorHAnsi" w:hAnsiTheme="majorHAnsi"/>
          <w:sz w:val="20"/>
          <w:szCs w:val="20"/>
        </w:rPr>
        <w:t xml:space="preserve"> with the corresponding procedure.</w:t>
      </w:r>
      <w:r w:rsidR="00486DBF" w:rsidRPr="00907400">
        <w:rPr>
          <w:rStyle w:val="FootnoteReference"/>
          <w:rFonts w:asciiTheme="majorHAnsi" w:hAnsiTheme="majorHAnsi"/>
          <w:sz w:val="20"/>
          <w:szCs w:val="20"/>
        </w:rPr>
        <w:footnoteReference w:id="42"/>
      </w:r>
      <w:r w:rsidRPr="00907400">
        <w:rPr>
          <w:rFonts w:asciiTheme="majorHAnsi" w:hAnsiTheme="majorHAnsi"/>
          <w:sz w:val="20"/>
          <w:szCs w:val="20"/>
        </w:rPr>
        <w:t xml:space="preserve"> Three days later, the Regional Prosecutor declared the investigation in which Mr. Sastoque appears as a defendant for the crime of homicide</w:t>
      </w:r>
      <w:r w:rsidR="002A4E24" w:rsidRPr="00907400">
        <w:rPr>
          <w:rFonts w:asciiTheme="majorHAnsi" w:hAnsiTheme="majorHAnsi"/>
          <w:sz w:val="20"/>
          <w:szCs w:val="20"/>
        </w:rPr>
        <w:t>,</w:t>
      </w:r>
      <w:r w:rsidR="00CB1B19" w:rsidRPr="00907400">
        <w:rPr>
          <w:rFonts w:asciiTheme="majorHAnsi" w:hAnsiTheme="majorHAnsi"/>
          <w:sz w:val="20"/>
          <w:szCs w:val="20"/>
        </w:rPr>
        <w:t xml:space="preserve"> closed</w:t>
      </w:r>
      <w:r w:rsidRPr="00907400">
        <w:rPr>
          <w:rFonts w:asciiTheme="majorHAnsi" w:hAnsiTheme="majorHAnsi"/>
          <w:sz w:val="20"/>
          <w:szCs w:val="20"/>
        </w:rPr>
        <w:t>.</w:t>
      </w:r>
      <w:r w:rsidR="00486DBF" w:rsidRPr="00907400">
        <w:rPr>
          <w:rStyle w:val="FootnoteReference"/>
          <w:rFonts w:asciiTheme="majorHAnsi" w:hAnsiTheme="majorHAnsi"/>
          <w:sz w:val="20"/>
          <w:szCs w:val="20"/>
        </w:rPr>
        <w:footnoteReference w:id="43"/>
      </w:r>
      <w:r w:rsidRPr="00907400">
        <w:rPr>
          <w:rFonts w:asciiTheme="majorHAnsi" w:hAnsiTheme="majorHAnsi"/>
          <w:sz w:val="20"/>
          <w:szCs w:val="20"/>
        </w:rPr>
        <w:t xml:space="preserve"> The IACHR </w:t>
      </w:r>
      <w:r w:rsidR="00184174" w:rsidRPr="00907400">
        <w:rPr>
          <w:rFonts w:asciiTheme="majorHAnsi" w:hAnsiTheme="majorHAnsi"/>
          <w:sz w:val="20"/>
          <w:szCs w:val="20"/>
        </w:rPr>
        <w:t>observes</w:t>
      </w:r>
      <w:r w:rsidRPr="00907400">
        <w:rPr>
          <w:rFonts w:asciiTheme="majorHAnsi" w:hAnsiTheme="majorHAnsi"/>
          <w:sz w:val="20"/>
          <w:szCs w:val="20"/>
        </w:rPr>
        <w:t xml:space="preserve"> that on December 16, 1996, </w:t>
      </w:r>
      <w:r w:rsidR="00184174" w:rsidRPr="00907400">
        <w:rPr>
          <w:rFonts w:asciiTheme="majorHAnsi" w:hAnsiTheme="majorHAnsi"/>
          <w:sz w:val="20"/>
          <w:szCs w:val="20"/>
        </w:rPr>
        <w:t>further testimony was given by</w:t>
      </w:r>
      <w:r w:rsidRPr="00907400">
        <w:rPr>
          <w:rFonts w:asciiTheme="majorHAnsi" w:hAnsiTheme="majorHAnsi"/>
          <w:sz w:val="20"/>
          <w:szCs w:val="20"/>
        </w:rPr>
        <w:t xml:space="preserve"> Witness No. 1 whose name, as indicated above, is Olga Esther Guevara Fajardo. On this occasion</w:t>
      </w:r>
      <w:r w:rsidR="00A37FFD" w:rsidRPr="00907400">
        <w:rPr>
          <w:rFonts w:asciiTheme="majorHAnsi" w:hAnsiTheme="majorHAnsi"/>
          <w:sz w:val="20"/>
          <w:szCs w:val="20"/>
        </w:rPr>
        <w:t>,</w:t>
      </w:r>
      <w:r w:rsidRPr="00907400">
        <w:rPr>
          <w:rFonts w:asciiTheme="majorHAnsi" w:hAnsiTheme="majorHAnsi"/>
          <w:sz w:val="20"/>
          <w:szCs w:val="20"/>
        </w:rPr>
        <w:t xml:space="preserve"> Mr. Sastoque's defense </w:t>
      </w:r>
      <w:r w:rsidR="00A37FFD" w:rsidRPr="00907400">
        <w:rPr>
          <w:rFonts w:asciiTheme="majorHAnsi" w:hAnsiTheme="majorHAnsi"/>
          <w:sz w:val="20"/>
          <w:szCs w:val="20"/>
        </w:rPr>
        <w:t>attorney</w:t>
      </w:r>
      <w:r w:rsidRPr="00907400">
        <w:rPr>
          <w:rFonts w:asciiTheme="majorHAnsi" w:hAnsiTheme="majorHAnsi"/>
          <w:sz w:val="20"/>
          <w:szCs w:val="20"/>
        </w:rPr>
        <w:t xml:space="preserve"> was present. The Commission observes that Mrs. G</w:t>
      </w:r>
      <w:r w:rsidR="000B65C2" w:rsidRPr="00907400">
        <w:rPr>
          <w:rFonts w:asciiTheme="majorHAnsi" w:hAnsiTheme="majorHAnsi"/>
          <w:sz w:val="20"/>
          <w:szCs w:val="20"/>
        </w:rPr>
        <w:t>uevara confirmed what was said</w:t>
      </w:r>
      <w:r w:rsidRPr="00907400">
        <w:rPr>
          <w:rFonts w:asciiTheme="majorHAnsi" w:hAnsiTheme="majorHAnsi"/>
          <w:sz w:val="20"/>
          <w:szCs w:val="20"/>
        </w:rPr>
        <w:t xml:space="preserve"> in her previous statements.</w:t>
      </w:r>
      <w:r w:rsidR="00486DBF" w:rsidRPr="00907400">
        <w:rPr>
          <w:rStyle w:val="FootnoteReference"/>
          <w:rFonts w:asciiTheme="majorHAnsi" w:hAnsiTheme="majorHAnsi"/>
          <w:sz w:val="20"/>
          <w:szCs w:val="20"/>
        </w:rPr>
        <w:footnoteReference w:id="44"/>
      </w:r>
    </w:p>
    <w:p w14:paraId="39A78F20"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C2A9264" w14:textId="77777777" w:rsidR="000D5BFD"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October 18, 1995, Custodio Mora, Deputy Prosecutor before the Municipal Criminal Judges, </w:t>
      </w:r>
      <w:r w:rsidR="00F231BF" w:rsidRPr="00907400">
        <w:rPr>
          <w:rFonts w:asciiTheme="majorHAnsi" w:hAnsiTheme="majorHAnsi"/>
          <w:sz w:val="20"/>
          <w:szCs w:val="20"/>
        </w:rPr>
        <w:t>gave an official</w:t>
      </w:r>
      <w:r w:rsidRPr="00907400">
        <w:rPr>
          <w:rFonts w:asciiTheme="majorHAnsi" w:hAnsiTheme="majorHAnsi"/>
          <w:sz w:val="20"/>
          <w:szCs w:val="20"/>
        </w:rPr>
        <w:t xml:space="preserve"> statement before the </w:t>
      </w:r>
      <w:r w:rsidR="00F231BF" w:rsidRPr="00907400">
        <w:rPr>
          <w:rFonts w:asciiTheme="majorHAnsi" w:hAnsiTheme="majorHAnsi"/>
          <w:sz w:val="20"/>
          <w:szCs w:val="20"/>
        </w:rPr>
        <w:t xml:space="preserve">National </w:t>
      </w:r>
      <w:r w:rsidRPr="00907400">
        <w:rPr>
          <w:rFonts w:asciiTheme="majorHAnsi" w:hAnsiTheme="majorHAnsi"/>
          <w:sz w:val="20"/>
          <w:szCs w:val="20"/>
        </w:rPr>
        <w:t xml:space="preserve">Office of the </w:t>
      </w:r>
      <w:r w:rsidR="00F231BF" w:rsidRPr="00907400">
        <w:rPr>
          <w:rFonts w:asciiTheme="majorHAnsi" w:hAnsiTheme="majorHAnsi"/>
          <w:sz w:val="20"/>
          <w:szCs w:val="20"/>
        </w:rPr>
        <w:t>Prosecutor General</w:t>
      </w:r>
      <w:r w:rsidRPr="00907400">
        <w:rPr>
          <w:rFonts w:asciiTheme="majorHAnsi" w:hAnsiTheme="majorHAnsi"/>
          <w:sz w:val="20"/>
          <w:szCs w:val="20"/>
        </w:rPr>
        <w:t xml:space="preserve">. He indicated that he was in charge of the </w:t>
      </w:r>
      <w:r w:rsidR="005D1585" w:rsidRPr="00907400">
        <w:rPr>
          <w:rFonts w:asciiTheme="majorHAnsi" w:hAnsiTheme="majorHAnsi"/>
          <w:sz w:val="20"/>
          <w:szCs w:val="20"/>
        </w:rPr>
        <w:t>procedural step</w:t>
      </w:r>
      <w:r w:rsidRPr="00907400">
        <w:rPr>
          <w:rFonts w:asciiTheme="majorHAnsi" w:hAnsiTheme="majorHAnsi"/>
          <w:sz w:val="20"/>
          <w:szCs w:val="20"/>
        </w:rPr>
        <w:t xml:space="preserve"> for the removal of Mr. Pizarro's body and that he was not aware that Mr. Sastoque had participated. He added that the National Director of the CTI co</w:t>
      </w:r>
      <w:r w:rsidR="00C83545" w:rsidRPr="00907400">
        <w:rPr>
          <w:rFonts w:asciiTheme="majorHAnsi" w:hAnsiTheme="majorHAnsi"/>
          <w:sz w:val="20"/>
          <w:szCs w:val="20"/>
        </w:rPr>
        <w:t>uld provide information about the matter</w:t>
      </w:r>
      <w:r w:rsidRPr="00907400">
        <w:rPr>
          <w:rFonts w:asciiTheme="majorHAnsi" w:hAnsiTheme="majorHAnsi"/>
          <w:sz w:val="20"/>
          <w:szCs w:val="20"/>
        </w:rPr>
        <w:t>.</w:t>
      </w:r>
      <w:r w:rsidR="00486DBF" w:rsidRPr="00907400">
        <w:rPr>
          <w:rStyle w:val="FootnoteReference"/>
          <w:rFonts w:asciiTheme="majorHAnsi" w:hAnsiTheme="majorHAnsi"/>
          <w:sz w:val="20"/>
          <w:szCs w:val="20"/>
        </w:rPr>
        <w:footnoteReference w:id="45"/>
      </w:r>
      <w:r w:rsidRPr="00907400">
        <w:rPr>
          <w:rFonts w:asciiTheme="majorHAnsi" w:hAnsiTheme="majorHAnsi"/>
          <w:sz w:val="20"/>
          <w:szCs w:val="20"/>
        </w:rPr>
        <w:t xml:space="preserve"> This is how Carlos Solórzano, National Director of the CTI, gave his </w:t>
      </w:r>
      <w:r w:rsidR="002A4E24" w:rsidRPr="00907400">
        <w:rPr>
          <w:rFonts w:asciiTheme="majorHAnsi" w:hAnsiTheme="majorHAnsi"/>
          <w:sz w:val="20"/>
          <w:szCs w:val="20"/>
        </w:rPr>
        <w:t>statement and indicati</w:t>
      </w:r>
      <w:r w:rsidR="009B4426" w:rsidRPr="00907400">
        <w:rPr>
          <w:rFonts w:asciiTheme="majorHAnsi" w:hAnsiTheme="majorHAnsi"/>
          <w:sz w:val="20"/>
          <w:szCs w:val="20"/>
        </w:rPr>
        <w:t>n</w:t>
      </w:r>
      <w:r w:rsidR="002A4E24" w:rsidRPr="00907400">
        <w:rPr>
          <w:rFonts w:asciiTheme="majorHAnsi" w:hAnsiTheme="majorHAnsi"/>
          <w:sz w:val="20"/>
          <w:szCs w:val="20"/>
        </w:rPr>
        <w:t>g</w:t>
      </w:r>
      <w:r w:rsidRPr="00907400">
        <w:rPr>
          <w:rFonts w:asciiTheme="majorHAnsi" w:hAnsiTheme="majorHAnsi"/>
          <w:sz w:val="20"/>
          <w:szCs w:val="20"/>
        </w:rPr>
        <w:t xml:space="preserve"> the following:</w:t>
      </w:r>
    </w:p>
    <w:p w14:paraId="383F0961"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5579C3D" w14:textId="77777777" w:rsidR="00907400"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tabs>
          <w:tab w:val="left" w:pos="8640"/>
        </w:tabs>
        <w:suppressAutoHyphens/>
        <w:ind w:left="720" w:right="720"/>
        <w:jc w:val="both"/>
        <w:rPr>
          <w:rFonts w:asciiTheme="majorHAnsi" w:hAnsiTheme="majorHAnsi"/>
          <w:sz w:val="20"/>
          <w:szCs w:val="20"/>
        </w:rPr>
      </w:pPr>
      <w:r w:rsidRPr="00907400">
        <w:rPr>
          <w:rFonts w:asciiTheme="majorHAnsi" w:hAnsiTheme="majorHAnsi"/>
          <w:sz w:val="20"/>
          <w:szCs w:val="20"/>
        </w:rPr>
        <w:t xml:space="preserve">[Gustavo Sastoque] never </w:t>
      </w:r>
      <w:r w:rsidR="00C83545" w:rsidRPr="00907400">
        <w:rPr>
          <w:rFonts w:asciiTheme="majorHAnsi" w:hAnsiTheme="majorHAnsi"/>
          <w:sz w:val="20"/>
          <w:szCs w:val="20"/>
        </w:rPr>
        <w:t>undertook</w:t>
      </w:r>
      <w:r w:rsidRPr="00907400">
        <w:rPr>
          <w:rFonts w:asciiTheme="majorHAnsi" w:hAnsiTheme="majorHAnsi"/>
          <w:sz w:val="20"/>
          <w:szCs w:val="20"/>
        </w:rPr>
        <w:t xml:space="preserve"> intelligence functions since he did not </w:t>
      </w:r>
      <w:r w:rsidR="00C83545" w:rsidRPr="00907400">
        <w:rPr>
          <w:rFonts w:asciiTheme="majorHAnsi" w:hAnsiTheme="majorHAnsi"/>
          <w:sz w:val="20"/>
          <w:szCs w:val="20"/>
        </w:rPr>
        <w:t>carry out</w:t>
      </w:r>
      <w:r w:rsidRPr="00907400">
        <w:rPr>
          <w:rFonts w:asciiTheme="majorHAnsi" w:hAnsiTheme="majorHAnsi"/>
          <w:sz w:val="20"/>
          <w:szCs w:val="20"/>
        </w:rPr>
        <w:t xml:space="preserve"> police </w:t>
      </w:r>
      <w:r w:rsidR="00C83545" w:rsidRPr="00907400">
        <w:rPr>
          <w:rFonts w:asciiTheme="majorHAnsi" w:hAnsiTheme="majorHAnsi"/>
          <w:sz w:val="20"/>
          <w:szCs w:val="20"/>
        </w:rPr>
        <w:t>duties</w:t>
      </w:r>
      <w:r w:rsidRPr="00907400">
        <w:rPr>
          <w:rFonts w:asciiTheme="majorHAnsi" w:hAnsiTheme="majorHAnsi"/>
          <w:sz w:val="20"/>
          <w:szCs w:val="20"/>
        </w:rPr>
        <w:t xml:space="preserve">, </w:t>
      </w:r>
      <w:r w:rsidR="00C83545" w:rsidRPr="00907400">
        <w:rPr>
          <w:rFonts w:asciiTheme="majorHAnsi" w:hAnsiTheme="majorHAnsi"/>
          <w:sz w:val="20"/>
          <w:szCs w:val="20"/>
        </w:rPr>
        <w:t>as</w:t>
      </w:r>
      <w:r w:rsidRPr="00907400">
        <w:rPr>
          <w:rFonts w:asciiTheme="majorHAnsi" w:hAnsiTheme="majorHAnsi"/>
          <w:sz w:val="20"/>
          <w:szCs w:val="20"/>
        </w:rPr>
        <w:t xml:space="preserve"> he was </w:t>
      </w:r>
      <w:r w:rsidR="00C83545" w:rsidRPr="00907400">
        <w:rPr>
          <w:rFonts w:asciiTheme="majorHAnsi" w:hAnsiTheme="majorHAnsi"/>
          <w:sz w:val="20"/>
          <w:szCs w:val="20"/>
        </w:rPr>
        <w:t>merely an</w:t>
      </w:r>
      <w:r w:rsidRPr="00907400">
        <w:rPr>
          <w:rFonts w:asciiTheme="majorHAnsi" w:hAnsiTheme="majorHAnsi"/>
          <w:sz w:val="20"/>
          <w:szCs w:val="20"/>
        </w:rPr>
        <w:t xml:space="preserve"> administrative official, clarifying that no employee can perform intelligence or investigation </w:t>
      </w:r>
      <w:r w:rsidR="00C83545" w:rsidRPr="00907400">
        <w:rPr>
          <w:rFonts w:asciiTheme="majorHAnsi" w:hAnsiTheme="majorHAnsi"/>
          <w:sz w:val="20"/>
          <w:szCs w:val="20"/>
        </w:rPr>
        <w:t>duties</w:t>
      </w:r>
      <w:r w:rsidR="00E00254" w:rsidRPr="00907400">
        <w:rPr>
          <w:rFonts w:asciiTheme="majorHAnsi" w:hAnsiTheme="majorHAnsi"/>
          <w:sz w:val="20"/>
          <w:szCs w:val="20"/>
        </w:rPr>
        <w:t xml:space="preserve"> without a posting</w:t>
      </w:r>
      <w:r w:rsidRPr="00907400">
        <w:rPr>
          <w:rFonts w:asciiTheme="majorHAnsi" w:hAnsiTheme="majorHAnsi"/>
          <w:sz w:val="20"/>
          <w:szCs w:val="20"/>
        </w:rPr>
        <w:t xml:space="preserve"> </w:t>
      </w:r>
      <w:r w:rsidR="00E00254" w:rsidRPr="00907400">
        <w:rPr>
          <w:rFonts w:asciiTheme="majorHAnsi" w:hAnsiTheme="majorHAnsi"/>
          <w:sz w:val="20"/>
          <w:szCs w:val="20"/>
        </w:rPr>
        <w:t xml:space="preserve">given </w:t>
      </w:r>
      <w:r w:rsidRPr="00907400">
        <w:rPr>
          <w:rFonts w:asciiTheme="majorHAnsi" w:hAnsiTheme="majorHAnsi"/>
          <w:sz w:val="20"/>
          <w:szCs w:val="20"/>
        </w:rPr>
        <w:t>by a prosecuto</w:t>
      </w:r>
      <w:r w:rsidR="00486DBF" w:rsidRPr="00907400">
        <w:rPr>
          <w:rFonts w:asciiTheme="majorHAnsi" w:hAnsiTheme="majorHAnsi"/>
          <w:sz w:val="20"/>
          <w:szCs w:val="20"/>
        </w:rPr>
        <w:t>r or a judge of the Republic</w:t>
      </w:r>
      <w:r w:rsidRPr="00907400">
        <w:rPr>
          <w:rFonts w:asciiTheme="majorHAnsi" w:hAnsiTheme="majorHAnsi"/>
          <w:sz w:val="20"/>
          <w:szCs w:val="20"/>
        </w:rPr>
        <w:t>.</w:t>
      </w:r>
      <w:r w:rsidR="00486DBF" w:rsidRPr="00907400">
        <w:rPr>
          <w:rStyle w:val="FootnoteReference"/>
          <w:rFonts w:asciiTheme="majorHAnsi" w:hAnsiTheme="majorHAnsi"/>
          <w:sz w:val="20"/>
          <w:szCs w:val="20"/>
        </w:rPr>
        <w:footnoteReference w:id="46"/>
      </w:r>
    </w:p>
    <w:p w14:paraId="6D11AD5E"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5A34EDDA" w14:textId="77777777" w:rsidR="001D375C" w:rsidRDefault="001D375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August 3, 1996, Gustavo Sastoque </w:t>
      </w:r>
      <w:r w:rsidR="00E00254" w:rsidRPr="00907400">
        <w:rPr>
          <w:rFonts w:asciiTheme="majorHAnsi" w:hAnsiTheme="majorHAnsi"/>
          <w:sz w:val="20"/>
          <w:szCs w:val="20"/>
        </w:rPr>
        <w:t>testified</w:t>
      </w:r>
      <w:r w:rsidRPr="00907400">
        <w:rPr>
          <w:rFonts w:asciiTheme="majorHAnsi" w:hAnsiTheme="majorHAnsi"/>
          <w:sz w:val="20"/>
          <w:szCs w:val="20"/>
        </w:rPr>
        <w:t xml:space="preserve"> before the Regional Courts of Santafé de Bogotá and </w:t>
      </w:r>
      <w:r w:rsidR="00E00254" w:rsidRPr="00907400">
        <w:rPr>
          <w:rFonts w:asciiTheme="majorHAnsi" w:hAnsiTheme="majorHAnsi"/>
          <w:sz w:val="20"/>
          <w:szCs w:val="20"/>
        </w:rPr>
        <w:t>indicated</w:t>
      </w:r>
      <w:r w:rsidRPr="00907400">
        <w:rPr>
          <w:rFonts w:asciiTheme="majorHAnsi" w:hAnsiTheme="majorHAnsi"/>
          <w:sz w:val="20"/>
          <w:szCs w:val="20"/>
        </w:rPr>
        <w:t xml:space="preserve"> the following:</w:t>
      </w:r>
    </w:p>
    <w:p w14:paraId="3B95A407"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6C28698" w14:textId="77777777" w:rsidR="001D375C" w:rsidRPr="00907400" w:rsidRDefault="001D375C" w:rsidP="00907400">
      <w:pPr>
        <w:ind w:left="720" w:right="720"/>
        <w:jc w:val="both"/>
        <w:rPr>
          <w:rFonts w:asciiTheme="majorHAnsi" w:hAnsiTheme="majorHAnsi"/>
          <w:sz w:val="20"/>
          <w:szCs w:val="20"/>
        </w:rPr>
      </w:pPr>
      <w:r w:rsidRPr="00907400">
        <w:rPr>
          <w:rFonts w:asciiTheme="majorHAnsi" w:hAnsiTheme="majorHAnsi"/>
          <w:sz w:val="20"/>
          <w:szCs w:val="20"/>
        </w:rPr>
        <w:t xml:space="preserve">If I were a murderer I would not have </w:t>
      </w:r>
      <w:r w:rsidR="002F4DEB" w:rsidRPr="00907400">
        <w:rPr>
          <w:rFonts w:asciiTheme="majorHAnsi" w:hAnsiTheme="majorHAnsi"/>
          <w:sz w:val="20"/>
          <w:szCs w:val="20"/>
        </w:rPr>
        <w:t>surrendered</w:t>
      </w:r>
      <w:r w:rsidRPr="00907400">
        <w:rPr>
          <w:rFonts w:asciiTheme="majorHAnsi" w:hAnsiTheme="majorHAnsi"/>
          <w:sz w:val="20"/>
          <w:szCs w:val="20"/>
        </w:rPr>
        <w:t xml:space="preserve"> so childishly in such an illogical way (...), what I wonder is why (...) they got me involved in something I never </w:t>
      </w:r>
      <w:r w:rsidR="002F4DEB" w:rsidRPr="00907400">
        <w:rPr>
          <w:rFonts w:asciiTheme="majorHAnsi" w:hAnsiTheme="majorHAnsi"/>
          <w:sz w:val="20"/>
          <w:szCs w:val="20"/>
        </w:rPr>
        <w:t>did</w:t>
      </w:r>
      <w:r w:rsidRPr="00907400">
        <w:rPr>
          <w:rFonts w:asciiTheme="majorHAnsi" w:hAnsiTheme="majorHAnsi"/>
          <w:sz w:val="20"/>
          <w:szCs w:val="20"/>
        </w:rPr>
        <w:t xml:space="preserve">. (...) There was never a preliminary investigation or </w:t>
      </w:r>
      <w:r w:rsidR="002F4DEB" w:rsidRPr="00907400">
        <w:rPr>
          <w:rFonts w:asciiTheme="majorHAnsi" w:hAnsiTheme="majorHAnsi"/>
          <w:sz w:val="20"/>
          <w:szCs w:val="20"/>
        </w:rPr>
        <w:t>perhaps</w:t>
      </w:r>
      <w:r w:rsidRPr="00907400">
        <w:rPr>
          <w:rFonts w:asciiTheme="majorHAnsi" w:hAnsiTheme="majorHAnsi"/>
          <w:sz w:val="20"/>
          <w:szCs w:val="20"/>
        </w:rPr>
        <w:t xml:space="preserve"> reading the </w:t>
      </w:r>
      <w:r w:rsidR="002F4DEB" w:rsidRPr="00907400">
        <w:rPr>
          <w:rFonts w:asciiTheme="majorHAnsi" w:hAnsiTheme="majorHAnsi"/>
          <w:sz w:val="20"/>
          <w:szCs w:val="20"/>
        </w:rPr>
        <w:t>proceedings</w:t>
      </w:r>
      <w:r w:rsidR="00BC414B" w:rsidRPr="00907400">
        <w:rPr>
          <w:rFonts w:asciiTheme="majorHAnsi" w:hAnsiTheme="majorHAnsi"/>
          <w:sz w:val="20"/>
          <w:szCs w:val="20"/>
        </w:rPr>
        <w:t>’</w:t>
      </w:r>
      <w:r w:rsidR="002F4DEB" w:rsidRPr="00907400">
        <w:rPr>
          <w:rFonts w:asciiTheme="majorHAnsi" w:hAnsiTheme="majorHAnsi"/>
          <w:sz w:val="20"/>
          <w:szCs w:val="20"/>
        </w:rPr>
        <w:t xml:space="preserve"> documents</w:t>
      </w:r>
      <w:r w:rsidRPr="00907400">
        <w:rPr>
          <w:rFonts w:asciiTheme="majorHAnsi" w:hAnsiTheme="majorHAnsi"/>
          <w:sz w:val="20"/>
          <w:szCs w:val="20"/>
        </w:rPr>
        <w:t xml:space="preserve"> I understand that the false witness </w:t>
      </w:r>
      <w:r w:rsidR="002F4DEB" w:rsidRPr="00907400">
        <w:rPr>
          <w:rFonts w:asciiTheme="majorHAnsi" w:hAnsiTheme="majorHAnsi"/>
          <w:sz w:val="20"/>
          <w:szCs w:val="20"/>
        </w:rPr>
        <w:t xml:space="preserve">testified </w:t>
      </w:r>
      <w:r w:rsidRPr="00907400">
        <w:rPr>
          <w:rFonts w:asciiTheme="majorHAnsi" w:hAnsiTheme="majorHAnsi"/>
          <w:sz w:val="20"/>
          <w:szCs w:val="20"/>
        </w:rPr>
        <w:t xml:space="preserve">on March 4 and an agent on March 8, the day of my arrest, so I ask myself </w:t>
      </w:r>
      <w:r w:rsidR="002F4DEB" w:rsidRPr="00907400">
        <w:rPr>
          <w:rFonts w:asciiTheme="majorHAnsi" w:hAnsiTheme="majorHAnsi"/>
          <w:sz w:val="20"/>
          <w:szCs w:val="20"/>
        </w:rPr>
        <w:t>whether</w:t>
      </w:r>
      <w:r w:rsidRPr="00907400">
        <w:rPr>
          <w:rFonts w:asciiTheme="majorHAnsi" w:hAnsiTheme="majorHAnsi"/>
          <w:sz w:val="20"/>
          <w:szCs w:val="20"/>
        </w:rPr>
        <w:t xml:space="preserve"> an investigation was conducted</w:t>
      </w:r>
      <w:r w:rsidR="00BC414B" w:rsidRPr="00907400">
        <w:rPr>
          <w:rFonts w:asciiTheme="majorHAnsi" w:hAnsiTheme="majorHAnsi"/>
          <w:sz w:val="20"/>
          <w:szCs w:val="20"/>
        </w:rPr>
        <w:t xml:space="preserve"> in such a</w:t>
      </w:r>
      <w:r w:rsidR="002F4DEB" w:rsidRPr="00907400">
        <w:rPr>
          <w:rFonts w:asciiTheme="majorHAnsi" w:hAnsiTheme="majorHAnsi"/>
          <w:sz w:val="20"/>
          <w:szCs w:val="20"/>
        </w:rPr>
        <w:t xml:space="preserve"> short a time</w:t>
      </w:r>
      <w:r w:rsidRPr="00907400">
        <w:rPr>
          <w:rFonts w:asciiTheme="majorHAnsi" w:hAnsiTheme="majorHAnsi"/>
          <w:sz w:val="20"/>
          <w:szCs w:val="20"/>
        </w:rPr>
        <w:t>? I do not thi</w:t>
      </w:r>
      <w:r w:rsidR="00BC414B" w:rsidRPr="00907400">
        <w:rPr>
          <w:rFonts w:asciiTheme="majorHAnsi" w:hAnsiTheme="majorHAnsi"/>
          <w:sz w:val="20"/>
          <w:szCs w:val="20"/>
        </w:rPr>
        <w:t xml:space="preserve">nk it was done, the only purpose </w:t>
      </w:r>
      <w:r w:rsidRPr="00907400">
        <w:rPr>
          <w:rFonts w:asciiTheme="majorHAnsi" w:hAnsiTheme="majorHAnsi"/>
          <w:sz w:val="20"/>
          <w:szCs w:val="20"/>
        </w:rPr>
        <w:t xml:space="preserve">was </w:t>
      </w:r>
      <w:r w:rsidR="002F4DEB" w:rsidRPr="00907400">
        <w:rPr>
          <w:rFonts w:asciiTheme="majorHAnsi" w:hAnsiTheme="majorHAnsi"/>
          <w:sz w:val="20"/>
          <w:szCs w:val="20"/>
        </w:rPr>
        <w:t>merely to have a scapegoat</w:t>
      </w:r>
      <w:r w:rsidRPr="00907400">
        <w:rPr>
          <w:rFonts w:asciiTheme="majorHAnsi" w:hAnsiTheme="majorHAnsi"/>
          <w:sz w:val="20"/>
          <w:szCs w:val="20"/>
        </w:rPr>
        <w:t xml:space="preserve"> (...) Another question is why I did not have an atomic absorption test (...). Another question is about the man who the Prosecutor </w:t>
      </w:r>
      <w:r w:rsidR="002F4DEB" w:rsidRPr="00907400">
        <w:rPr>
          <w:rFonts w:asciiTheme="majorHAnsi" w:hAnsiTheme="majorHAnsi"/>
          <w:sz w:val="20"/>
          <w:szCs w:val="20"/>
        </w:rPr>
        <w:t>allowed to remain free</w:t>
      </w:r>
      <w:r w:rsidRPr="00907400">
        <w:rPr>
          <w:rFonts w:asciiTheme="majorHAnsi" w:hAnsiTheme="majorHAnsi"/>
          <w:sz w:val="20"/>
          <w:szCs w:val="20"/>
        </w:rPr>
        <w:t xml:space="preserve">, Mr. Celis, I </w:t>
      </w:r>
      <w:r w:rsidR="002F4DEB" w:rsidRPr="00907400">
        <w:rPr>
          <w:rFonts w:asciiTheme="majorHAnsi" w:hAnsiTheme="majorHAnsi"/>
          <w:sz w:val="20"/>
          <w:szCs w:val="20"/>
        </w:rPr>
        <w:t>cannot explain why having searched that man’s</w:t>
      </w:r>
      <w:r w:rsidRPr="00907400">
        <w:rPr>
          <w:rFonts w:asciiTheme="majorHAnsi" w:hAnsiTheme="majorHAnsi"/>
          <w:sz w:val="20"/>
          <w:szCs w:val="20"/>
        </w:rPr>
        <w:t xml:space="preserve"> house </w:t>
      </w:r>
      <w:r w:rsidR="00AD22F5" w:rsidRPr="00907400">
        <w:rPr>
          <w:rFonts w:asciiTheme="majorHAnsi" w:hAnsiTheme="majorHAnsi"/>
          <w:sz w:val="20"/>
          <w:szCs w:val="20"/>
        </w:rPr>
        <w:t xml:space="preserve">and </w:t>
      </w:r>
      <w:r w:rsidRPr="00907400">
        <w:rPr>
          <w:rFonts w:asciiTheme="majorHAnsi" w:hAnsiTheme="majorHAnsi"/>
          <w:sz w:val="20"/>
          <w:szCs w:val="20"/>
        </w:rPr>
        <w:t xml:space="preserve">found </w:t>
      </w:r>
      <w:r w:rsidR="002F4DEB" w:rsidRPr="00907400">
        <w:rPr>
          <w:rFonts w:asciiTheme="majorHAnsi" w:hAnsiTheme="majorHAnsi"/>
          <w:sz w:val="20"/>
          <w:szCs w:val="20"/>
        </w:rPr>
        <w:t xml:space="preserve">compromising </w:t>
      </w:r>
      <w:r w:rsidRPr="00907400">
        <w:rPr>
          <w:rFonts w:asciiTheme="majorHAnsi" w:hAnsiTheme="majorHAnsi"/>
          <w:sz w:val="20"/>
          <w:szCs w:val="20"/>
        </w:rPr>
        <w:t xml:space="preserve">evidence </w:t>
      </w:r>
      <w:r w:rsidR="002F4DEB" w:rsidRPr="00907400">
        <w:rPr>
          <w:rFonts w:asciiTheme="majorHAnsi" w:hAnsiTheme="majorHAnsi"/>
          <w:sz w:val="20"/>
          <w:szCs w:val="20"/>
        </w:rPr>
        <w:t>against</w:t>
      </w:r>
      <w:r w:rsidRPr="00907400">
        <w:rPr>
          <w:rFonts w:asciiTheme="majorHAnsi" w:hAnsiTheme="majorHAnsi"/>
          <w:sz w:val="20"/>
          <w:szCs w:val="20"/>
        </w:rPr>
        <w:t xml:space="preserve"> him, I </w:t>
      </w:r>
      <w:r w:rsidR="00A433FF" w:rsidRPr="00907400">
        <w:rPr>
          <w:rFonts w:asciiTheme="majorHAnsi" w:hAnsiTheme="majorHAnsi"/>
          <w:sz w:val="20"/>
          <w:szCs w:val="20"/>
        </w:rPr>
        <w:t>cannot</w:t>
      </w:r>
      <w:r w:rsidR="002F4DEB" w:rsidRPr="00907400">
        <w:rPr>
          <w:rFonts w:asciiTheme="majorHAnsi" w:hAnsiTheme="majorHAnsi"/>
          <w:sz w:val="20"/>
          <w:szCs w:val="20"/>
        </w:rPr>
        <w:t xml:space="preserve"> explain why the Prosecutor</w:t>
      </w:r>
      <w:r w:rsidRPr="00907400">
        <w:rPr>
          <w:rFonts w:asciiTheme="majorHAnsi" w:hAnsiTheme="majorHAnsi"/>
          <w:sz w:val="20"/>
          <w:szCs w:val="20"/>
        </w:rPr>
        <w:t xml:space="preserve"> let him escape.</w:t>
      </w:r>
      <w:r w:rsidR="00486DBF" w:rsidRPr="00907400">
        <w:rPr>
          <w:rStyle w:val="FootnoteReference"/>
          <w:rFonts w:asciiTheme="majorHAnsi" w:hAnsiTheme="majorHAnsi"/>
          <w:sz w:val="20"/>
          <w:szCs w:val="20"/>
        </w:rPr>
        <w:footnoteReference w:id="47"/>
      </w:r>
    </w:p>
    <w:p w14:paraId="1FB25E32" w14:textId="77777777" w:rsidR="001D375C" w:rsidRPr="00907400" w:rsidRDefault="001D375C"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8D46A13" w14:textId="77777777" w:rsidR="001D375C" w:rsidRDefault="006A21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addition, the IACHR </w:t>
      </w:r>
      <w:r w:rsidR="005475AA" w:rsidRPr="00907400">
        <w:rPr>
          <w:rFonts w:asciiTheme="majorHAnsi" w:hAnsiTheme="majorHAnsi"/>
          <w:sz w:val="20"/>
          <w:szCs w:val="20"/>
        </w:rPr>
        <w:t>observes</w:t>
      </w:r>
      <w:r w:rsidRPr="00907400">
        <w:rPr>
          <w:rFonts w:asciiTheme="majorHAnsi" w:hAnsiTheme="majorHAnsi"/>
          <w:sz w:val="20"/>
          <w:szCs w:val="20"/>
        </w:rPr>
        <w:t xml:space="preserve"> </w:t>
      </w:r>
      <w:r w:rsidR="00BC414B" w:rsidRPr="00907400">
        <w:rPr>
          <w:rFonts w:asciiTheme="majorHAnsi" w:hAnsiTheme="majorHAnsi"/>
          <w:sz w:val="20"/>
          <w:szCs w:val="20"/>
        </w:rPr>
        <w:t xml:space="preserve">that the </w:t>
      </w:r>
      <w:r w:rsidRPr="00907400">
        <w:rPr>
          <w:rFonts w:asciiTheme="majorHAnsi" w:hAnsiTheme="majorHAnsi"/>
          <w:sz w:val="20"/>
          <w:szCs w:val="20"/>
        </w:rPr>
        <w:t>fol</w:t>
      </w:r>
      <w:r w:rsidR="00BC414B" w:rsidRPr="00907400">
        <w:rPr>
          <w:rFonts w:asciiTheme="majorHAnsi" w:hAnsiTheme="majorHAnsi"/>
          <w:sz w:val="20"/>
          <w:szCs w:val="20"/>
        </w:rPr>
        <w:t>lowing</w:t>
      </w:r>
      <w:r w:rsidRPr="00907400">
        <w:rPr>
          <w:rFonts w:asciiTheme="majorHAnsi" w:hAnsiTheme="majorHAnsi"/>
          <w:sz w:val="20"/>
          <w:szCs w:val="20"/>
        </w:rPr>
        <w:t xml:space="preserve"> statements</w:t>
      </w:r>
      <w:r w:rsidR="00BC414B" w:rsidRPr="00907400">
        <w:rPr>
          <w:rFonts w:asciiTheme="majorHAnsi" w:hAnsiTheme="majorHAnsi"/>
          <w:sz w:val="20"/>
          <w:szCs w:val="20"/>
        </w:rPr>
        <w:t xml:space="preserve"> were taken</w:t>
      </w:r>
      <w:r w:rsidRPr="00907400">
        <w:rPr>
          <w:rFonts w:asciiTheme="majorHAnsi" w:hAnsiTheme="majorHAnsi"/>
          <w:sz w:val="20"/>
          <w:szCs w:val="20"/>
        </w:rPr>
        <w:t>, which were referred to in t</w:t>
      </w:r>
      <w:r w:rsidR="005475AA" w:rsidRPr="00907400">
        <w:rPr>
          <w:rFonts w:asciiTheme="majorHAnsi" w:hAnsiTheme="majorHAnsi"/>
          <w:sz w:val="20"/>
          <w:szCs w:val="20"/>
        </w:rPr>
        <w:t>he judgment of first instance on</w:t>
      </w:r>
      <w:r w:rsidR="00BC414B" w:rsidRPr="00907400">
        <w:rPr>
          <w:rFonts w:asciiTheme="majorHAnsi" w:hAnsiTheme="majorHAnsi"/>
          <w:sz w:val="20"/>
          <w:szCs w:val="20"/>
        </w:rPr>
        <w:t xml:space="preserve"> May 26, 1997, as </w:t>
      </w:r>
      <w:r w:rsidRPr="00907400">
        <w:rPr>
          <w:rFonts w:asciiTheme="majorHAnsi" w:hAnsiTheme="majorHAnsi"/>
          <w:sz w:val="20"/>
          <w:szCs w:val="20"/>
        </w:rPr>
        <w:t>detailed below:</w:t>
      </w:r>
      <w:r w:rsidR="00486DBF" w:rsidRPr="00907400">
        <w:rPr>
          <w:rStyle w:val="FootnoteReference"/>
          <w:rFonts w:asciiTheme="majorHAnsi" w:hAnsiTheme="majorHAnsi"/>
          <w:sz w:val="20"/>
          <w:szCs w:val="20"/>
        </w:rPr>
        <w:t xml:space="preserve"> </w:t>
      </w:r>
      <w:r w:rsidR="00486DBF" w:rsidRPr="00907400">
        <w:rPr>
          <w:rStyle w:val="FootnoteReference"/>
          <w:rFonts w:asciiTheme="majorHAnsi" w:hAnsiTheme="majorHAnsi"/>
          <w:sz w:val="20"/>
          <w:szCs w:val="20"/>
        </w:rPr>
        <w:footnoteReference w:id="48"/>
      </w:r>
    </w:p>
    <w:p w14:paraId="27F62070"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84731BF"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Gustavo Sastoque indicated that on the afternoon of February 26, 1995, he was with his brother buying shoes, and that around 6:30 p.m. he arrived at his house and met his colleague Roberto Bermúdez.</w:t>
      </w:r>
    </w:p>
    <w:p w14:paraId="4E4C23AF"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Misael Sastoque, Mr. Sastoque</w:t>
      </w:r>
      <w:r w:rsidR="00F158BA" w:rsidRPr="00907400">
        <w:rPr>
          <w:rFonts w:asciiTheme="majorHAnsi" w:hAnsiTheme="majorHAnsi"/>
          <w:sz w:val="20"/>
          <w:szCs w:val="20"/>
        </w:rPr>
        <w:t>’s brother</w:t>
      </w:r>
      <w:r w:rsidRPr="00907400">
        <w:rPr>
          <w:rFonts w:asciiTheme="majorHAnsi" w:hAnsiTheme="majorHAnsi"/>
          <w:sz w:val="20"/>
          <w:szCs w:val="20"/>
        </w:rPr>
        <w:t>, indicated that he was with Gustavo buying shoes on the afternoon of February 26, 1995.</w:t>
      </w:r>
    </w:p>
    <w:p w14:paraId="5A01CC5C"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María Alfonso, Mr. Sastoque</w:t>
      </w:r>
      <w:r w:rsidR="00F158BA" w:rsidRPr="00907400">
        <w:rPr>
          <w:rFonts w:asciiTheme="majorHAnsi" w:hAnsiTheme="majorHAnsi"/>
          <w:sz w:val="20"/>
          <w:szCs w:val="20"/>
        </w:rPr>
        <w:t>’s</w:t>
      </w:r>
      <w:r w:rsidRPr="00907400">
        <w:rPr>
          <w:rFonts w:asciiTheme="majorHAnsi" w:hAnsiTheme="majorHAnsi"/>
          <w:sz w:val="20"/>
          <w:szCs w:val="20"/>
        </w:rPr>
        <w:t>, indicated that her son was buying shoes on the afternoon of February 26, 1995.</w:t>
      </w:r>
    </w:p>
    <w:p w14:paraId="1209D2D2"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Roberto Bermúdez, an official of the Prosecutor's Office, stated that he was with Mr. Sastoque at his home until 7:30 p.m.</w:t>
      </w:r>
    </w:p>
    <w:p w14:paraId="1DE97D43"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N</w:t>
      </w:r>
      <w:r w:rsidR="00F158BA" w:rsidRPr="00907400">
        <w:rPr>
          <w:rFonts w:asciiTheme="majorHAnsi" w:hAnsiTheme="majorHAnsi"/>
          <w:sz w:val="20"/>
          <w:szCs w:val="20"/>
        </w:rPr>
        <w:t>éstor Sabogal maintained that i</w:t>
      </w:r>
      <w:r w:rsidRPr="00907400">
        <w:rPr>
          <w:rFonts w:asciiTheme="majorHAnsi" w:hAnsiTheme="majorHAnsi"/>
          <w:sz w:val="20"/>
          <w:szCs w:val="20"/>
        </w:rPr>
        <w:t xml:space="preserve">n the afternoon of February 26, 1995, </w:t>
      </w:r>
      <w:r w:rsidR="00F158BA" w:rsidRPr="00907400">
        <w:rPr>
          <w:rFonts w:asciiTheme="majorHAnsi" w:hAnsiTheme="majorHAnsi"/>
          <w:sz w:val="20"/>
          <w:szCs w:val="20"/>
        </w:rPr>
        <w:t xml:space="preserve">an individual came to </w:t>
      </w:r>
      <w:r w:rsidRPr="00907400">
        <w:rPr>
          <w:rFonts w:asciiTheme="majorHAnsi" w:hAnsiTheme="majorHAnsi"/>
          <w:sz w:val="20"/>
          <w:szCs w:val="20"/>
        </w:rPr>
        <w:t xml:space="preserve">the store he owns and bought a pair of shoes with a credit card. When he was shown a photo of Mr. Sastoque he indicated that he was not sure but </w:t>
      </w:r>
      <w:r w:rsidR="00397508" w:rsidRPr="00907400">
        <w:rPr>
          <w:rFonts w:asciiTheme="majorHAnsi" w:hAnsiTheme="majorHAnsi"/>
          <w:sz w:val="20"/>
          <w:szCs w:val="20"/>
        </w:rPr>
        <w:t xml:space="preserve">that </w:t>
      </w:r>
      <w:r w:rsidRPr="00907400">
        <w:rPr>
          <w:rFonts w:asciiTheme="majorHAnsi" w:hAnsiTheme="majorHAnsi"/>
          <w:sz w:val="20"/>
          <w:szCs w:val="20"/>
        </w:rPr>
        <w:t>he looked like that person.</w:t>
      </w:r>
    </w:p>
    <w:p w14:paraId="217724F2"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Hadisolamy Rojas, a worker at Néstor Sabogal's shoe store, did recognize Gustavo Sastoque as the person who bought shoes on the afternoon of February 26, 1995.</w:t>
      </w:r>
    </w:p>
    <w:p w14:paraId="72D114D4" w14:textId="77777777" w:rsidR="000D5BFD"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Gladys Polania de Sastoque an</w:t>
      </w:r>
      <w:r w:rsidR="00BC414B" w:rsidRPr="00907400">
        <w:rPr>
          <w:rFonts w:asciiTheme="majorHAnsi" w:hAnsiTheme="majorHAnsi"/>
          <w:sz w:val="20"/>
          <w:szCs w:val="20"/>
        </w:rPr>
        <w:t xml:space="preserve">d Mayreli Sastoque Polania, mister </w:t>
      </w:r>
      <w:r w:rsidRPr="00907400">
        <w:rPr>
          <w:rFonts w:asciiTheme="majorHAnsi" w:hAnsiTheme="majorHAnsi"/>
          <w:sz w:val="20"/>
          <w:szCs w:val="20"/>
        </w:rPr>
        <w:t xml:space="preserve">Sastoque's sister-in-law and niece, indicated that on the morning of February 26, 1995, they were watching television with Gustavo. They indicated that around 1 pm they left the house to </w:t>
      </w:r>
      <w:r w:rsidR="00DA0D50" w:rsidRPr="00907400">
        <w:rPr>
          <w:rFonts w:asciiTheme="majorHAnsi" w:hAnsiTheme="majorHAnsi"/>
          <w:sz w:val="20"/>
          <w:szCs w:val="20"/>
        </w:rPr>
        <w:t>go shopping</w:t>
      </w:r>
      <w:r w:rsidRPr="00907400">
        <w:rPr>
          <w:rFonts w:asciiTheme="majorHAnsi" w:hAnsiTheme="majorHAnsi"/>
          <w:sz w:val="20"/>
          <w:szCs w:val="20"/>
        </w:rPr>
        <w:t xml:space="preserve"> and returned at</w:t>
      </w:r>
      <w:r w:rsidR="00DA0D50" w:rsidRPr="00907400">
        <w:rPr>
          <w:rFonts w:asciiTheme="majorHAnsi" w:hAnsiTheme="majorHAnsi"/>
          <w:sz w:val="20"/>
          <w:szCs w:val="20"/>
        </w:rPr>
        <w:t xml:space="preserve"> around</w:t>
      </w:r>
      <w:r w:rsidRPr="00907400">
        <w:rPr>
          <w:rFonts w:asciiTheme="majorHAnsi" w:hAnsiTheme="majorHAnsi"/>
          <w:sz w:val="20"/>
          <w:szCs w:val="20"/>
        </w:rPr>
        <w:t xml:space="preserve"> 4:30 pm or 5:00 pm, and saw that Gustavo was there.</w:t>
      </w:r>
    </w:p>
    <w:p w14:paraId="5A18FCB4"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BA3709E" w14:textId="77777777" w:rsidR="006A21DF" w:rsidRPr="00907400" w:rsidRDefault="006A21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lastRenderedPageBreak/>
        <w:t xml:space="preserve">On May 26, 1997, the Regional Court of Santafé de Bogotá issued </w:t>
      </w:r>
      <w:r w:rsidR="00703D0B" w:rsidRPr="00907400">
        <w:rPr>
          <w:rFonts w:asciiTheme="majorHAnsi" w:hAnsiTheme="majorHAnsi"/>
          <w:sz w:val="20"/>
          <w:szCs w:val="20"/>
        </w:rPr>
        <w:t>guilty verdict</w:t>
      </w:r>
      <w:r w:rsidRPr="00907400">
        <w:rPr>
          <w:rFonts w:asciiTheme="majorHAnsi" w:hAnsiTheme="majorHAnsi"/>
          <w:sz w:val="20"/>
          <w:szCs w:val="20"/>
        </w:rPr>
        <w:t xml:space="preserve"> against Gustavo Sastoque as co-author </w:t>
      </w:r>
      <w:r w:rsidR="00703D0B" w:rsidRPr="00907400">
        <w:rPr>
          <w:rFonts w:asciiTheme="majorHAnsi" w:hAnsiTheme="majorHAnsi"/>
          <w:sz w:val="20"/>
          <w:szCs w:val="20"/>
        </w:rPr>
        <w:t>for the offense</w:t>
      </w:r>
      <w:r w:rsidRPr="00907400">
        <w:rPr>
          <w:rFonts w:asciiTheme="majorHAnsi" w:hAnsiTheme="majorHAnsi"/>
          <w:sz w:val="20"/>
          <w:szCs w:val="20"/>
        </w:rPr>
        <w:t xml:space="preserve"> of aggravated homicide of Hernando Pizarro Leongómez. The IACHR </w:t>
      </w:r>
      <w:r w:rsidR="00703D0B" w:rsidRPr="00907400">
        <w:rPr>
          <w:rFonts w:asciiTheme="majorHAnsi" w:hAnsiTheme="majorHAnsi"/>
          <w:sz w:val="20"/>
          <w:szCs w:val="20"/>
        </w:rPr>
        <w:t>observes</w:t>
      </w:r>
      <w:r w:rsidRPr="00907400">
        <w:rPr>
          <w:rFonts w:asciiTheme="majorHAnsi" w:hAnsiTheme="majorHAnsi"/>
          <w:sz w:val="20"/>
          <w:szCs w:val="20"/>
        </w:rPr>
        <w:t xml:space="preserve"> that </w:t>
      </w:r>
      <w:r w:rsidR="00703D0B" w:rsidRPr="00907400">
        <w:rPr>
          <w:rFonts w:asciiTheme="majorHAnsi" w:hAnsiTheme="majorHAnsi"/>
          <w:sz w:val="20"/>
          <w:szCs w:val="20"/>
        </w:rPr>
        <w:t>this</w:t>
      </w:r>
      <w:r w:rsidRPr="00907400">
        <w:rPr>
          <w:rFonts w:asciiTheme="majorHAnsi" w:hAnsiTheme="majorHAnsi"/>
          <w:sz w:val="20"/>
          <w:szCs w:val="20"/>
        </w:rPr>
        <w:t xml:space="preserve"> judgment </w:t>
      </w:r>
      <w:r w:rsidR="00703D0B" w:rsidRPr="00907400">
        <w:rPr>
          <w:rFonts w:asciiTheme="majorHAnsi" w:hAnsiTheme="majorHAnsi"/>
          <w:sz w:val="20"/>
          <w:szCs w:val="20"/>
        </w:rPr>
        <w:t>contains</w:t>
      </w:r>
      <w:r w:rsidRPr="00907400">
        <w:rPr>
          <w:rFonts w:asciiTheme="majorHAnsi" w:hAnsiTheme="majorHAnsi"/>
          <w:sz w:val="20"/>
          <w:szCs w:val="20"/>
        </w:rPr>
        <w:t xml:space="preserve"> no name and </w:t>
      </w:r>
      <w:r w:rsidR="00BC414B" w:rsidRPr="00907400">
        <w:rPr>
          <w:rFonts w:asciiTheme="majorHAnsi" w:hAnsiTheme="majorHAnsi"/>
          <w:sz w:val="20"/>
          <w:szCs w:val="20"/>
        </w:rPr>
        <w:t xml:space="preserve">it </w:t>
      </w:r>
      <w:r w:rsidRPr="00907400">
        <w:rPr>
          <w:rFonts w:asciiTheme="majorHAnsi" w:hAnsiTheme="majorHAnsi"/>
          <w:sz w:val="20"/>
          <w:szCs w:val="20"/>
        </w:rPr>
        <w:t xml:space="preserve">only </w:t>
      </w:r>
      <w:r w:rsidR="00BC414B" w:rsidRPr="00907400">
        <w:rPr>
          <w:rFonts w:asciiTheme="majorHAnsi" w:hAnsiTheme="majorHAnsi"/>
          <w:sz w:val="20"/>
          <w:szCs w:val="20"/>
        </w:rPr>
        <w:t xml:space="preserve">says </w:t>
      </w:r>
      <w:r w:rsidRPr="00907400">
        <w:rPr>
          <w:rFonts w:asciiTheme="majorHAnsi" w:hAnsiTheme="majorHAnsi"/>
          <w:sz w:val="20"/>
          <w:szCs w:val="20"/>
        </w:rPr>
        <w:t>"</w:t>
      </w:r>
      <w:r w:rsidR="00BC414B" w:rsidRPr="00907400">
        <w:rPr>
          <w:rFonts w:asciiTheme="majorHAnsi" w:hAnsiTheme="majorHAnsi"/>
          <w:sz w:val="20"/>
          <w:szCs w:val="20"/>
        </w:rPr>
        <w:t>regional judge"</w:t>
      </w:r>
      <w:r w:rsidRPr="00907400">
        <w:rPr>
          <w:rFonts w:asciiTheme="majorHAnsi" w:hAnsiTheme="majorHAnsi"/>
          <w:sz w:val="20"/>
          <w:szCs w:val="20"/>
        </w:rPr>
        <w:t xml:space="preserve">. The Court imposed a </w:t>
      </w:r>
      <w:r w:rsidR="00703D0B" w:rsidRPr="00907400">
        <w:rPr>
          <w:rFonts w:asciiTheme="majorHAnsi" w:hAnsiTheme="majorHAnsi"/>
          <w:sz w:val="20"/>
          <w:szCs w:val="20"/>
        </w:rPr>
        <w:t xml:space="preserve">prison </w:t>
      </w:r>
      <w:r w:rsidRPr="00907400">
        <w:rPr>
          <w:rFonts w:asciiTheme="majorHAnsi" w:hAnsiTheme="majorHAnsi"/>
          <w:sz w:val="20"/>
          <w:szCs w:val="20"/>
        </w:rPr>
        <w:t xml:space="preserve">sentence of 41 years and an accessory </w:t>
      </w:r>
      <w:r w:rsidR="00703D0B" w:rsidRPr="00907400">
        <w:rPr>
          <w:rFonts w:asciiTheme="majorHAnsi" w:hAnsiTheme="majorHAnsi"/>
          <w:sz w:val="20"/>
          <w:szCs w:val="20"/>
        </w:rPr>
        <w:t>sentence of a prohibition on exercising</w:t>
      </w:r>
      <w:r w:rsidRPr="00907400">
        <w:rPr>
          <w:rFonts w:asciiTheme="majorHAnsi" w:hAnsiTheme="majorHAnsi"/>
          <w:sz w:val="20"/>
          <w:szCs w:val="20"/>
        </w:rPr>
        <w:t xml:space="preserve"> public functions for a period of ten years.</w:t>
      </w:r>
      <w:r w:rsidR="00486DBF" w:rsidRPr="00907400">
        <w:rPr>
          <w:rStyle w:val="FootnoteReference"/>
          <w:rFonts w:asciiTheme="majorHAnsi" w:hAnsiTheme="majorHAnsi"/>
          <w:sz w:val="20"/>
          <w:szCs w:val="20"/>
        </w:rPr>
        <w:t xml:space="preserve"> </w:t>
      </w:r>
      <w:r w:rsidR="00486DBF" w:rsidRPr="00907400">
        <w:rPr>
          <w:rStyle w:val="FootnoteReference"/>
          <w:rFonts w:asciiTheme="majorHAnsi" w:hAnsiTheme="majorHAnsi"/>
          <w:sz w:val="20"/>
          <w:szCs w:val="20"/>
        </w:rPr>
        <w:footnoteReference w:id="49"/>
      </w:r>
      <w:r w:rsidRPr="00907400">
        <w:rPr>
          <w:rFonts w:asciiTheme="majorHAnsi" w:hAnsiTheme="majorHAnsi"/>
          <w:sz w:val="20"/>
          <w:szCs w:val="20"/>
        </w:rPr>
        <w:t xml:space="preserve"> Within the </w:t>
      </w:r>
      <w:r w:rsidR="00703D0B" w:rsidRPr="00907400">
        <w:rPr>
          <w:rFonts w:asciiTheme="majorHAnsi" w:hAnsiTheme="majorHAnsi"/>
          <w:sz w:val="20"/>
          <w:szCs w:val="20"/>
        </w:rPr>
        <w:t>grounds</w:t>
      </w:r>
      <w:r w:rsidRPr="00907400">
        <w:rPr>
          <w:rFonts w:asciiTheme="majorHAnsi" w:hAnsiTheme="majorHAnsi"/>
          <w:sz w:val="20"/>
          <w:szCs w:val="20"/>
        </w:rPr>
        <w:t xml:space="preserve"> of the </w:t>
      </w:r>
      <w:r w:rsidR="00703D0B" w:rsidRPr="00907400">
        <w:rPr>
          <w:rFonts w:asciiTheme="majorHAnsi" w:hAnsiTheme="majorHAnsi"/>
          <w:sz w:val="20"/>
          <w:szCs w:val="20"/>
        </w:rPr>
        <w:t>judgment</w:t>
      </w:r>
      <w:r w:rsidRPr="00907400">
        <w:rPr>
          <w:rFonts w:asciiTheme="majorHAnsi" w:hAnsiTheme="majorHAnsi"/>
          <w:sz w:val="20"/>
          <w:szCs w:val="20"/>
        </w:rPr>
        <w:t xml:space="preserve"> are the following considerations:</w:t>
      </w:r>
    </w:p>
    <w:p w14:paraId="18240E1B"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A3DD7D5"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w:t>
      </w:r>
      <w:r w:rsidR="00BC414B" w:rsidRPr="00907400">
        <w:rPr>
          <w:rFonts w:asciiTheme="majorHAnsi" w:hAnsiTheme="majorHAnsi"/>
          <w:sz w:val="20"/>
          <w:szCs w:val="20"/>
        </w:rPr>
        <w:t>court has</w:t>
      </w:r>
      <w:r w:rsidR="00225068" w:rsidRPr="00907400">
        <w:rPr>
          <w:rFonts w:asciiTheme="majorHAnsi" w:hAnsiTheme="majorHAnsi"/>
          <w:sz w:val="20"/>
          <w:szCs w:val="20"/>
        </w:rPr>
        <w:t xml:space="preserve"> sufficient evidence</w:t>
      </w:r>
      <w:r w:rsidRPr="00907400">
        <w:rPr>
          <w:rFonts w:asciiTheme="majorHAnsi" w:hAnsiTheme="majorHAnsi"/>
          <w:sz w:val="20"/>
          <w:szCs w:val="20"/>
        </w:rPr>
        <w:t xml:space="preserve"> </w:t>
      </w:r>
      <w:r w:rsidR="00BC414B" w:rsidRPr="00907400">
        <w:rPr>
          <w:rFonts w:asciiTheme="majorHAnsi" w:hAnsiTheme="majorHAnsi"/>
          <w:sz w:val="20"/>
          <w:szCs w:val="20"/>
        </w:rPr>
        <w:t xml:space="preserve">to fully satisfy </w:t>
      </w:r>
      <w:r w:rsidRPr="00907400">
        <w:rPr>
          <w:rFonts w:asciiTheme="majorHAnsi" w:hAnsiTheme="majorHAnsi"/>
          <w:sz w:val="20"/>
          <w:szCs w:val="20"/>
        </w:rPr>
        <w:t xml:space="preserve">the requirements of the procedural </w:t>
      </w:r>
      <w:r w:rsidR="00225068" w:rsidRPr="00907400">
        <w:rPr>
          <w:rFonts w:asciiTheme="majorHAnsi" w:hAnsiTheme="majorHAnsi"/>
          <w:sz w:val="20"/>
          <w:szCs w:val="20"/>
        </w:rPr>
        <w:t>rule</w:t>
      </w:r>
      <w:r w:rsidRPr="00907400">
        <w:rPr>
          <w:rFonts w:asciiTheme="majorHAnsi" w:hAnsiTheme="majorHAnsi"/>
          <w:sz w:val="20"/>
          <w:szCs w:val="20"/>
        </w:rPr>
        <w:t xml:space="preserve"> invoked to </w:t>
      </w:r>
      <w:r w:rsidR="00225068" w:rsidRPr="00907400">
        <w:rPr>
          <w:rFonts w:asciiTheme="majorHAnsi" w:hAnsiTheme="majorHAnsi"/>
          <w:sz w:val="20"/>
          <w:szCs w:val="20"/>
        </w:rPr>
        <w:t>find</w:t>
      </w:r>
      <w:r w:rsidRPr="00907400">
        <w:rPr>
          <w:rFonts w:asciiTheme="majorHAnsi" w:hAnsiTheme="majorHAnsi"/>
          <w:sz w:val="20"/>
          <w:szCs w:val="20"/>
        </w:rPr>
        <w:t xml:space="preserve"> Gustavo Sastoque Alfonso </w:t>
      </w:r>
      <w:r w:rsidR="00225068" w:rsidRPr="00907400">
        <w:rPr>
          <w:rFonts w:asciiTheme="majorHAnsi" w:hAnsiTheme="majorHAnsi"/>
          <w:sz w:val="20"/>
          <w:szCs w:val="20"/>
        </w:rPr>
        <w:t>liable to conviction</w:t>
      </w:r>
      <w:r w:rsidR="00845D87" w:rsidRPr="00907400">
        <w:rPr>
          <w:rFonts w:asciiTheme="majorHAnsi" w:hAnsiTheme="majorHAnsi"/>
          <w:sz w:val="20"/>
          <w:szCs w:val="20"/>
        </w:rPr>
        <w:t xml:space="preserve"> since --c</w:t>
      </w:r>
      <w:r w:rsidRPr="00907400">
        <w:rPr>
          <w:rFonts w:asciiTheme="majorHAnsi" w:hAnsiTheme="majorHAnsi"/>
          <w:sz w:val="20"/>
          <w:szCs w:val="20"/>
        </w:rPr>
        <w:t>ontrary to w</w:t>
      </w:r>
      <w:r w:rsidR="00845D87" w:rsidRPr="00907400">
        <w:rPr>
          <w:rFonts w:asciiTheme="majorHAnsi" w:hAnsiTheme="majorHAnsi"/>
          <w:sz w:val="20"/>
          <w:szCs w:val="20"/>
        </w:rPr>
        <w:t xml:space="preserve">hat the defense states—in order </w:t>
      </w:r>
      <w:r w:rsidRPr="00907400">
        <w:rPr>
          <w:rFonts w:asciiTheme="majorHAnsi" w:hAnsiTheme="majorHAnsi"/>
          <w:sz w:val="20"/>
          <w:szCs w:val="20"/>
        </w:rPr>
        <w:t>to reach certainty or the full verification of the punishable acts, as well as the responsibility of the defendant or defendants</w:t>
      </w:r>
      <w:r w:rsidR="00845D87" w:rsidRPr="00907400">
        <w:rPr>
          <w:rFonts w:asciiTheme="majorHAnsi" w:hAnsiTheme="majorHAnsi"/>
          <w:sz w:val="20"/>
          <w:szCs w:val="20"/>
        </w:rPr>
        <w:t>,</w:t>
      </w:r>
      <w:r w:rsidRPr="00907400">
        <w:rPr>
          <w:rFonts w:asciiTheme="majorHAnsi" w:hAnsiTheme="majorHAnsi"/>
          <w:sz w:val="20"/>
          <w:szCs w:val="20"/>
        </w:rPr>
        <w:t xml:space="preserve"> </w:t>
      </w:r>
      <w:r w:rsidR="00845D87" w:rsidRPr="00907400">
        <w:rPr>
          <w:rFonts w:asciiTheme="majorHAnsi" w:hAnsiTheme="majorHAnsi"/>
          <w:sz w:val="20"/>
          <w:szCs w:val="20"/>
        </w:rPr>
        <w:t>it is not always necessary to collect</w:t>
      </w:r>
      <w:r w:rsidRPr="00907400">
        <w:rPr>
          <w:rFonts w:asciiTheme="majorHAnsi" w:hAnsiTheme="majorHAnsi"/>
          <w:sz w:val="20"/>
          <w:szCs w:val="20"/>
        </w:rPr>
        <w:t xml:space="preserve"> a certain amount of evidence, because the i</w:t>
      </w:r>
      <w:r w:rsidR="00845D87" w:rsidRPr="00907400">
        <w:rPr>
          <w:rFonts w:asciiTheme="majorHAnsi" w:hAnsiTheme="majorHAnsi"/>
          <w:sz w:val="20"/>
          <w:szCs w:val="20"/>
        </w:rPr>
        <w:t xml:space="preserve">nteresting thing is whether –either with a large or a small number— after </w:t>
      </w:r>
      <w:r w:rsidRPr="00907400">
        <w:rPr>
          <w:rFonts w:asciiTheme="majorHAnsi" w:hAnsiTheme="majorHAnsi"/>
          <w:sz w:val="20"/>
          <w:szCs w:val="20"/>
        </w:rPr>
        <w:t>their study</w:t>
      </w:r>
      <w:r w:rsidR="00845D87" w:rsidRPr="00907400">
        <w:rPr>
          <w:rFonts w:asciiTheme="majorHAnsi" w:hAnsiTheme="majorHAnsi"/>
          <w:sz w:val="20"/>
          <w:szCs w:val="20"/>
        </w:rPr>
        <w:t xml:space="preserve"> in light of</w:t>
      </w:r>
      <w:r w:rsidRPr="00907400">
        <w:rPr>
          <w:rFonts w:asciiTheme="majorHAnsi" w:hAnsiTheme="majorHAnsi"/>
          <w:sz w:val="20"/>
          <w:szCs w:val="20"/>
        </w:rPr>
        <w:t xml:space="preserve"> sound criticism, </w:t>
      </w:r>
      <w:r w:rsidR="00845D87" w:rsidRPr="00907400">
        <w:rPr>
          <w:rFonts w:asciiTheme="majorHAnsi" w:hAnsiTheme="majorHAnsi"/>
          <w:sz w:val="20"/>
          <w:szCs w:val="20"/>
        </w:rPr>
        <w:t xml:space="preserve">they </w:t>
      </w:r>
      <w:r w:rsidRPr="00907400">
        <w:rPr>
          <w:rFonts w:asciiTheme="majorHAnsi" w:hAnsiTheme="majorHAnsi"/>
          <w:sz w:val="20"/>
          <w:szCs w:val="20"/>
        </w:rPr>
        <w:t>have the virtu</w:t>
      </w:r>
      <w:r w:rsidR="00845D87" w:rsidRPr="00907400">
        <w:rPr>
          <w:rFonts w:asciiTheme="majorHAnsi" w:hAnsiTheme="majorHAnsi"/>
          <w:sz w:val="20"/>
          <w:szCs w:val="20"/>
        </w:rPr>
        <w:t>e</w:t>
      </w:r>
      <w:r w:rsidRPr="00907400">
        <w:rPr>
          <w:rFonts w:asciiTheme="majorHAnsi" w:hAnsiTheme="majorHAnsi"/>
          <w:sz w:val="20"/>
          <w:szCs w:val="20"/>
        </w:rPr>
        <w:t xml:space="preserve"> to lead t</w:t>
      </w:r>
      <w:r w:rsidR="00845D87" w:rsidRPr="00907400">
        <w:rPr>
          <w:rFonts w:asciiTheme="majorHAnsi" w:hAnsiTheme="majorHAnsi"/>
          <w:sz w:val="20"/>
          <w:szCs w:val="20"/>
        </w:rPr>
        <w:t>o the conviction that a conduct</w:t>
      </w:r>
      <w:r w:rsidRPr="00907400">
        <w:rPr>
          <w:rFonts w:asciiTheme="majorHAnsi" w:hAnsiTheme="majorHAnsi"/>
          <w:sz w:val="20"/>
          <w:szCs w:val="20"/>
        </w:rPr>
        <w:t xml:space="preserve"> that was externalized, fully complies wit</w:t>
      </w:r>
      <w:r w:rsidR="00845D87" w:rsidRPr="00907400">
        <w:rPr>
          <w:rFonts w:asciiTheme="majorHAnsi" w:hAnsiTheme="majorHAnsi"/>
          <w:sz w:val="20"/>
          <w:szCs w:val="20"/>
        </w:rPr>
        <w:t xml:space="preserve">h the abstract description </w:t>
      </w:r>
      <w:r w:rsidRPr="00907400">
        <w:rPr>
          <w:rFonts w:asciiTheme="majorHAnsi" w:hAnsiTheme="majorHAnsi"/>
          <w:sz w:val="20"/>
          <w:szCs w:val="20"/>
        </w:rPr>
        <w:t xml:space="preserve">made </w:t>
      </w:r>
      <w:r w:rsidR="00845D87" w:rsidRPr="00907400">
        <w:rPr>
          <w:rFonts w:asciiTheme="majorHAnsi" w:hAnsiTheme="majorHAnsi"/>
          <w:sz w:val="20"/>
          <w:szCs w:val="20"/>
        </w:rPr>
        <w:t xml:space="preserve">by </w:t>
      </w:r>
      <w:r w:rsidRPr="00907400">
        <w:rPr>
          <w:rFonts w:asciiTheme="majorHAnsi" w:hAnsiTheme="majorHAnsi"/>
          <w:sz w:val="20"/>
          <w:szCs w:val="20"/>
        </w:rPr>
        <w:t>the</w:t>
      </w:r>
      <w:r w:rsidR="00845D87" w:rsidRPr="00907400">
        <w:rPr>
          <w:rFonts w:asciiTheme="majorHAnsi" w:hAnsiTheme="majorHAnsi"/>
          <w:sz w:val="20"/>
          <w:szCs w:val="20"/>
        </w:rPr>
        <w:t xml:space="preserve"> legislator in the law and who performed</w:t>
      </w:r>
      <w:r w:rsidRPr="00907400">
        <w:rPr>
          <w:rFonts w:asciiTheme="majorHAnsi" w:hAnsiTheme="majorHAnsi"/>
          <w:sz w:val="20"/>
          <w:szCs w:val="20"/>
        </w:rPr>
        <w:t xml:space="preserve"> it.</w:t>
      </w:r>
    </w:p>
    <w:p w14:paraId="718DDECB"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6AA8F878"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Regarding the subjective aspect or criminal responsibility attributable to the defendant Gustavo Sastoque Alfonso, there is no difficulty in pointing to him as one of the individuals who killed Hernando Pizarro Leong</w:t>
      </w:r>
      <w:r w:rsidR="00845D87" w:rsidRPr="00907400">
        <w:rPr>
          <w:rFonts w:asciiTheme="majorHAnsi" w:hAnsiTheme="majorHAnsi"/>
          <w:sz w:val="20"/>
          <w:szCs w:val="20"/>
        </w:rPr>
        <w:t>ómez, since we rely</w:t>
      </w:r>
      <w:r w:rsidRPr="00907400">
        <w:rPr>
          <w:rFonts w:asciiTheme="majorHAnsi" w:hAnsiTheme="majorHAnsi"/>
          <w:sz w:val="20"/>
          <w:szCs w:val="20"/>
        </w:rPr>
        <w:t xml:space="preserve"> on</w:t>
      </w:r>
      <w:r w:rsidR="00845D87" w:rsidRPr="00907400">
        <w:rPr>
          <w:rFonts w:asciiTheme="majorHAnsi" w:hAnsiTheme="majorHAnsi"/>
          <w:sz w:val="20"/>
          <w:szCs w:val="20"/>
        </w:rPr>
        <w:t xml:space="preserve"> the reiterated version of the Witness No.</w:t>
      </w:r>
      <w:r w:rsidRPr="00907400">
        <w:rPr>
          <w:rFonts w:asciiTheme="majorHAnsi" w:hAnsiTheme="majorHAnsi"/>
          <w:sz w:val="20"/>
          <w:szCs w:val="20"/>
        </w:rPr>
        <w:t xml:space="preserve"> 1 who subsequently decided to </w:t>
      </w:r>
      <w:r w:rsidR="00845D87" w:rsidRPr="00907400">
        <w:rPr>
          <w:rFonts w:asciiTheme="majorHAnsi" w:hAnsiTheme="majorHAnsi"/>
          <w:sz w:val="20"/>
          <w:szCs w:val="20"/>
        </w:rPr>
        <w:t>disclose her identity that</w:t>
      </w:r>
      <w:r w:rsidRPr="00907400">
        <w:rPr>
          <w:rFonts w:asciiTheme="majorHAnsi" w:hAnsiTheme="majorHAnsi"/>
          <w:sz w:val="20"/>
          <w:szCs w:val="20"/>
        </w:rPr>
        <w:t xml:space="preserve"> corresponds to Olga Esther Guevara Fajardo, which leads us to the conviction that he was the one who, </w:t>
      </w:r>
      <w:r w:rsidR="009E7C9D" w:rsidRPr="00907400">
        <w:rPr>
          <w:rFonts w:asciiTheme="majorHAnsi" w:hAnsiTheme="majorHAnsi"/>
          <w:sz w:val="20"/>
          <w:szCs w:val="20"/>
        </w:rPr>
        <w:t>in the company of other individuals</w:t>
      </w:r>
      <w:r w:rsidRPr="00907400">
        <w:rPr>
          <w:rFonts w:asciiTheme="majorHAnsi" w:hAnsiTheme="majorHAnsi"/>
          <w:sz w:val="20"/>
          <w:szCs w:val="20"/>
        </w:rPr>
        <w:t>, took the victim out of his residence and the reluctance to boa</w:t>
      </w:r>
      <w:r w:rsidR="009E7C9D" w:rsidRPr="00907400">
        <w:rPr>
          <w:rFonts w:asciiTheme="majorHAnsi" w:hAnsiTheme="majorHAnsi"/>
          <w:sz w:val="20"/>
          <w:szCs w:val="20"/>
        </w:rPr>
        <w:t>rd the Toyota exclaiming that he</w:t>
      </w:r>
      <w:r w:rsidRPr="00907400">
        <w:rPr>
          <w:rFonts w:asciiTheme="majorHAnsi" w:hAnsiTheme="majorHAnsi"/>
          <w:sz w:val="20"/>
          <w:szCs w:val="20"/>
        </w:rPr>
        <w:t xml:space="preserve"> was Hernando Pizarro Leongómez, </w:t>
      </w:r>
      <w:r w:rsidR="009E7C9D" w:rsidRPr="00907400">
        <w:rPr>
          <w:rFonts w:asciiTheme="majorHAnsi" w:hAnsiTheme="majorHAnsi"/>
          <w:sz w:val="20"/>
          <w:szCs w:val="20"/>
        </w:rPr>
        <w:t>that he would</w:t>
      </w:r>
      <w:r w:rsidRPr="00907400">
        <w:rPr>
          <w:rFonts w:asciiTheme="majorHAnsi" w:hAnsiTheme="majorHAnsi"/>
          <w:sz w:val="20"/>
          <w:szCs w:val="20"/>
        </w:rPr>
        <w:t xml:space="preserve"> not get into the car, </w:t>
      </w:r>
      <w:r w:rsidR="009E7C9D" w:rsidRPr="00907400">
        <w:rPr>
          <w:rFonts w:asciiTheme="majorHAnsi" w:hAnsiTheme="majorHAnsi"/>
          <w:sz w:val="20"/>
          <w:szCs w:val="20"/>
        </w:rPr>
        <w:t xml:space="preserve">that </w:t>
      </w:r>
      <w:r w:rsidRPr="00907400">
        <w:rPr>
          <w:rFonts w:asciiTheme="majorHAnsi" w:hAnsiTheme="majorHAnsi"/>
          <w:sz w:val="20"/>
          <w:szCs w:val="20"/>
        </w:rPr>
        <w:t xml:space="preserve">they </w:t>
      </w:r>
      <w:r w:rsidR="009E7C9D" w:rsidRPr="00907400">
        <w:rPr>
          <w:rFonts w:asciiTheme="majorHAnsi" w:hAnsiTheme="majorHAnsi"/>
          <w:sz w:val="20"/>
          <w:szCs w:val="20"/>
        </w:rPr>
        <w:t>should call the P</w:t>
      </w:r>
      <w:r w:rsidRPr="00907400">
        <w:rPr>
          <w:rFonts w:asciiTheme="majorHAnsi" w:hAnsiTheme="majorHAnsi"/>
          <w:sz w:val="20"/>
          <w:szCs w:val="20"/>
        </w:rPr>
        <w:t xml:space="preserve">olice, the journalists, as well as his lawyer </w:t>
      </w:r>
      <w:r w:rsidR="009E7C9D" w:rsidRPr="00907400">
        <w:rPr>
          <w:rFonts w:asciiTheme="majorHAnsi" w:hAnsiTheme="majorHAnsi"/>
          <w:sz w:val="20"/>
          <w:szCs w:val="20"/>
        </w:rPr>
        <w:t>so that it was known that the people was being killed</w:t>
      </w:r>
      <w:r w:rsidRPr="00907400">
        <w:rPr>
          <w:rFonts w:asciiTheme="majorHAnsi" w:hAnsiTheme="majorHAnsi"/>
          <w:sz w:val="20"/>
          <w:szCs w:val="20"/>
        </w:rPr>
        <w:t xml:space="preserve">, </w:t>
      </w:r>
      <w:r w:rsidR="009E7C9D" w:rsidRPr="00907400">
        <w:rPr>
          <w:rFonts w:asciiTheme="majorHAnsi" w:hAnsiTheme="majorHAnsi"/>
          <w:sz w:val="20"/>
          <w:szCs w:val="20"/>
        </w:rPr>
        <w:t xml:space="preserve">and he shot him </w:t>
      </w:r>
      <w:r w:rsidRPr="00907400">
        <w:rPr>
          <w:rFonts w:asciiTheme="majorHAnsi" w:hAnsiTheme="majorHAnsi"/>
          <w:sz w:val="20"/>
          <w:szCs w:val="20"/>
        </w:rPr>
        <w:t xml:space="preserve">five </w:t>
      </w:r>
      <w:r w:rsidR="009E7C9D" w:rsidRPr="00907400">
        <w:rPr>
          <w:rFonts w:asciiTheme="majorHAnsi" w:hAnsiTheme="majorHAnsi"/>
          <w:sz w:val="20"/>
          <w:szCs w:val="20"/>
        </w:rPr>
        <w:t>times in the</w:t>
      </w:r>
      <w:r w:rsidRPr="00907400">
        <w:rPr>
          <w:rFonts w:asciiTheme="majorHAnsi" w:hAnsiTheme="majorHAnsi"/>
          <w:sz w:val="20"/>
          <w:szCs w:val="20"/>
        </w:rPr>
        <w:t xml:space="preserve"> head, causing his death instantly.</w:t>
      </w:r>
    </w:p>
    <w:p w14:paraId="6F5114FE"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149F48B7" w14:textId="77777777" w:rsidR="006A21DF" w:rsidRPr="00907400" w:rsidRDefault="00EE6E03"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This version, that</w:t>
      </w:r>
      <w:r w:rsidR="006A21DF" w:rsidRPr="00907400">
        <w:rPr>
          <w:rFonts w:asciiTheme="majorHAnsi" w:hAnsiTheme="majorHAnsi"/>
          <w:sz w:val="20"/>
          <w:szCs w:val="20"/>
        </w:rPr>
        <w:t xml:space="preserve"> as analyzed by the prosecutor</w:t>
      </w:r>
      <w:r w:rsidRPr="00907400">
        <w:rPr>
          <w:rFonts w:asciiTheme="majorHAnsi" w:hAnsiTheme="majorHAnsi"/>
          <w:sz w:val="20"/>
          <w:szCs w:val="20"/>
        </w:rPr>
        <w:t>,</w:t>
      </w:r>
      <w:r w:rsidR="006A21DF" w:rsidRPr="00907400">
        <w:rPr>
          <w:rFonts w:asciiTheme="majorHAnsi" w:hAnsiTheme="majorHAnsi"/>
          <w:sz w:val="20"/>
          <w:szCs w:val="20"/>
        </w:rPr>
        <w:t xml:space="preserve"> (...) is </w:t>
      </w:r>
      <w:r w:rsidRPr="00907400">
        <w:rPr>
          <w:rFonts w:asciiTheme="majorHAnsi" w:hAnsiTheme="majorHAnsi"/>
          <w:sz w:val="20"/>
          <w:szCs w:val="20"/>
        </w:rPr>
        <w:t xml:space="preserve">from </w:t>
      </w:r>
      <w:r w:rsidR="006A21DF" w:rsidRPr="00907400">
        <w:rPr>
          <w:rFonts w:asciiTheme="majorHAnsi" w:hAnsiTheme="majorHAnsi"/>
          <w:sz w:val="20"/>
          <w:szCs w:val="20"/>
        </w:rPr>
        <w:t>an exceptional witness, who in a coherent, clear, emphatic way has narrated in detail the facts that he was able to perceive by his senses on the night of February 2</w:t>
      </w:r>
      <w:r w:rsidRPr="00907400">
        <w:rPr>
          <w:rFonts w:asciiTheme="majorHAnsi" w:hAnsiTheme="majorHAnsi"/>
          <w:sz w:val="20"/>
          <w:szCs w:val="20"/>
        </w:rPr>
        <w:t>6, 1995 and the morning of the s</w:t>
      </w:r>
      <w:r w:rsidR="006A21DF" w:rsidRPr="00907400">
        <w:rPr>
          <w:rFonts w:asciiTheme="majorHAnsi" w:hAnsiTheme="majorHAnsi"/>
          <w:sz w:val="20"/>
          <w:szCs w:val="20"/>
        </w:rPr>
        <w:t>ame month and year, po</w:t>
      </w:r>
      <w:r w:rsidRPr="00907400">
        <w:rPr>
          <w:rFonts w:asciiTheme="majorHAnsi" w:hAnsiTheme="majorHAnsi"/>
          <w:sz w:val="20"/>
          <w:szCs w:val="20"/>
        </w:rPr>
        <w:t>inting to who has said to be</w:t>
      </w:r>
      <w:r w:rsidR="006A21DF" w:rsidRPr="00907400">
        <w:rPr>
          <w:rFonts w:asciiTheme="majorHAnsi" w:hAnsiTheme="majorHAnsi"/>
          <w:sz w:val="20"/>
          <w:szCs w:val="20"/>
        </w:rPr>
        <w:t xml:space="preserve"> Gustavo Sastoque Alfonso, as the person who </w:t>
      </w:r>
      <w:r w:rsidRPr="00907400">
        <w:rPr>
          <w:rFonts w:asciiTheme="majorHAnsi" w:hAnsiTheme="majorHAnsi"/>
          <w:sz w:val="20"/>
          <w:szCs w:val="20"/>
        </w:rPr>
        <w:t xml:space="preserve">shot </w:t>
      </w:r>
      <w:r w:rsidR="006A21DF" w:rsidRPr="00907400">
        <w:rPr>
          <w:rFonts w:asciiTheme="majorHAnsi" w:hAnsiTheme="majorHAnsi"/>
          <w:sz w:val="20"/>
          <w:szCs w:val="20"/>
        </w:rPr>
        <w:t>the defenseless body of Pizarro Leongómez.</w:t>
      </w:r>
    </w:p>
    <w:p w14:paraId="3DB55272"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7028C191"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 testimony of Mrs. Guevara Fajardo has become a</w:t>
      </w:r>
      <w:r w:rsidR="00EE6E03" w:rsidRPr="00907400">
        <w:rPr>
          <w:rFonts w:asciiTheme="majorHAnsi" w:hAnsiTheme="majorHAnsi"/>
          <w:sz w:val="20"/>
          <w:szCs w:val="20"/>
        </w:rPr>
        <w:t xml:space="preserve"> fundamental piece of the indictment</w:t>
      </w:r>
      <w:r w:rsidRPr="00907400">
        <w:rPr>
          <w:rFonts w:asciiTheme="majorHAnsi" w:hAnsiTheme="majorHAnsi"/>
          <w:sz w:val="20"/>
          <w:szCs w:val="20"/>
        </w:rPr>
        <w:t xml:space="preserve">, not only because of its precision </w:t>
      </w:r>
      <w:r w:rsidR="00EE6E03" w:rsidRPr="00907400">
        <w:rPr>
          <w:rFonts w:asciiTheme="majorHAnsi" w:hAnsiTheme="majorHAnsi"/>
          <w:sz w:val="20"/>
          <w:szCs w:val="20"/>
        </w:rPr>
        <w:t>and because of its</w:t>
      </w:r>
      <w:r w:rsidRPr="00907400">
        <w:rPr>
          <w:rFonts w:asciiTheme="majorHAnsi" w:hAnsiTheme="majorHAnsi"/>
          <w:sz w:val="20"/>
          <w:szCs w:val="20"/>
        </w:rPr>
        <w:t xml:space="preserve"> d</w:t>
      </w:r>
      <w:r w:rsidR="00EE6E03" w:rsidRPr="00907400">
        <w:rPr>
          <w:rFonts w:asciiTheme="majorHAnsi" w:hAnsiTheme="majorHAnsi"/>
          <w:sz w:val="20"/>
          <w:szCs w:val="20"/>
        </w:rPr>
        <w:t>etailed nature</w:t>
      </w:r>
      <w:r w:rsidRPr="00907400">
        <w:rPr>
          <w:rFonts w:asciiTheme="majorHAnsi" w:hAnsiTheme="majorHAnsi"/>
          <w:sz w:val="20"/>
          <w:szCs w:val="20"/>
        </w:rPr>
        <w:t xml:space="preserve">, but also because the facts she </w:t>
      </w:r>
      <w:r w:rsidR="00EE6E03" w:rsidRPr="00907400">
        <w:rPr>
          <w:rFonts w:asciiTheme="majorHAnsi" w:hAnsiTheme="majorHAnsi"/>
          <w:sz w:val="20"/>
          <w:szCs w:val="20"/>
        </w:rPr>
        <w:t>perceived</w:t>
      </w:r>
      <w:r w:rsidRPr="00907400">
        <w:rPr>
          <w:rFonts w:asciiTheme="majorHAnsi" w:hAnsiTheme="majorHAnsi"/>
          <w:sz w:val="20"/>
          <w:szCs w:val="20"/>
        </w:rPr>
        <w:t xml:space="preserve"> thanks to her privilege</w:t>
      </w:r>
      <w:r w:rsidR="00EE6E03" w:rsidRPr="00907400">
        <w:rPr>
          <w:rFonts w:asciiTheme="majorHAnsi" w:hAnsiTheme="majorHAnsi"/>
          <w:sz w:val="20"/>
          <w:szCs w:val="20"/>
        </w:rPr>
        <w:t>d location at the moment of the events</w:t>
      </w:r>
      <w:r w:rsidRPr="00907400">
        <w:rPr>
          <w:rFonts w:asciiTheme="majorHAnsi" w:hAnsiTheme="majorHAnsi"/>
          <w:sz w:val="20"/>
          <w:szCs w:val="20"/>
        </w:rPr>
        <w:t>.</w:t>
      </w:r>
    </w:p>
    <w:p w14:paraId="6696D5EE"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4399E7D9"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w:t>
      </w:r>
      <w:r w:rsidR="00EE6E03" w:rsidRPr="00907400">
        <w:rPr>
          <w:rFonts w:asciiTheme="majorHAnsi" w:hAnsiTheme="majorHAnsi"/>
          <w:sz w:val="20"/>
          <w:szCs w:val="20"/>
        </w:rPr>
        <w:t>attribution of the criminal action made</w:t>
      </w:r>
      <w:r w:rsidRPr="00907400">
        <w:rPr>
          <w:rFonts w:asciiTheme="majorHAnsi" w:hAnsiTheme="majorHAnsi"/>
          <w:sz w:val="20"/>
          <w:szCs w:val="20"/>
        </w:rPr>
        <w:t xml:space="preserve"> </w:t>
      </w:r>
      <w:r w:rsidR="00EE6E03" w:rsidRPr="00907400">
        <w:rPr>
          <w:rFonts w:asciiTheme="majorHAnsi" w:hAnsiTheme="majorHAnsi"/>
          <w:sz w:val="20"/>
          <w:szCs w:val="20"/>
        </w:rPr>
        <w:t>by the witness against Sastoque is free from</w:t>
      </w:r>
      <w:r w:rsidRPr="00907400">
        <w:rPr>
          <w:rFonts w:asciiTheme="majorHAnsi" w:hAnsiTheme="majorHAnsi"/>
          <w:sz w:val="20"/>
          <w:szCs w:val="20"/>
        </w:rPr>
        <w:t xml:space="preserve"> any pr</w:t>
      </w:r>
      <w:r w:rsidR="00EE6E03" w:rsidRPr="00907400">
        <w:rPr>
          <w:rFonts w:asciiTheme="majorHAnsi" w:hAnsiTheme="majorHAnsi"/>
          <w:sz w:val="20"/>
          <w:szCs w:val="20"/>
        </w:rPr>
        <w:t xml:space="preserve">essure of any harmful </w:t>
      </w:r>
      <w:r w:rsidRPr="00907400">
        <w:rPr>
          <w:rFonts w:asciiTheme="majorHAnsi" w:hAnsiTheme="majorHAnsi"/>
          <w:sz w:val="20"/>
          <w:szCs w:val="20"/>
        </w:rPr>
        <w:t>or unhealthy</w:t>
      </w:r>
      <w:r w:rsidR="00EE6E03" w:rsidRPr="00907400">
        <w:rPr>
          <w:rFonts w:asciiTheme="majorHAnsi" w:hAnsiTheme="majorHAnsi"/>
          <w:sz w:val="20"/>
          <w:szCs w:val="20"/>
        </w:rPr>
        <w:t xml:space="preserve"> intent and</w:t>
      </w:r>
      <w:r w:rsidRPr="00907400">
        <w:rPr>
          <w:rFonts w:asciiTheme="majorHAnsi" w:hAnsiTheme="majorHAnsi"/>
          <w:sz w:val="20"/>
          <w:szCs w:val="20"/>
        </w:rPr>
        <w:t xml:space="preserve"> </w:t>
      </w:r>
      <w:r w:rsidR="00EE6E03" w:rsidRPr="00907400">
        <w:rPr>
          <w:rFonts w:asciiTheme="majorHAnsi" w:hAnsiTheme="majorHAnsi"/>
          <w:sz w:val="20"/>
          <w:szCs w:val="20"/>
        </w:rPr>
        <w:t xml:space="preserve">is lacking of any </w:t>
      </w:r>
      <w:r w:rsidRPr="00907400">
        <w:rPr>
          <w:rFonts w:asciiTheme="majorHAnsi" w:hAnsiTheme="majorHAnsi"/>
          <w:sz w:val="20"/>
          <w:szCs w:val="20"/>
        </w:rPr>
        <w:t>desire to harm or blame an innocent. There is not the sligh</w:t>
      </w:r>
      <w:r w:rsidR="00EE6E03" w:rsidRPr="00907400">
        <w:rPr>
          <w:rFonts w:asciiTheme="majorHAnsi" w:hAnsiTheme="majorHAnsi"/>
          <w:sz w:val="20"/>
          <w:szCs w:val="20"/>
        </w:rPr>
        <w:t>test evidence that it is a false</w:t>
      </w:r>
      <w:r w:rsidRPr="00907400">
        <w:rPr>
          <w:rFonts w:asciiTheme="majorHAnsi" w:hAnsiTheme="majorHAnsi"/>
          <w:sz w:val="20"/>
          <w:szCs w:val="20"/>
        </w:rPr>
        <w:t xml:space="preserve"> statement, on the contrary, it is the reflection of a real perception of what happened, there was consideration of the privileged location of</w:t>
      </w:r>
      <w:r w:rsidR="00EE6E03" w:rsidRPr="00907400">
        <w:rPr>
          <w:rFonts w:asciiTheme="majorHAnsi" w:hAnsiTheme="majorHAnsi"/>
          <w:sz w:val="20"/>
          <w:szCs w:val="20"/>
        </w:rPr>
        <w:t xml:space="preserve"> the witness in the crime scene t</w:t>
      </w:r>
      <w:r w:rsidRPr="00907400">
        <w:rPr>
          <w:rFonts w:asciiTheme="majorHAnsi" w:hAnsiTheme="majorHAnsi"/>
          <w:sz w:val="20"/>
          <w:szCs w:val="20"/>
        </w:rPr>
        <w:t>h</w:t>
      </w:r>
      <w:r w:rsidR="00EE6E03" w:rsidRPr="00907400">
        <w:rPr>
          <w:rFonts w:asciiTheme="majorHAnsi" w:hAnsiTheme="majorHAnsi"/>
          <w:sz w:val="20"/>
          <w:szCs w:val="20"/>
        </w:rPr>
        <w:t>at as shown in the record,</w:t>
      </w:r>
      <w:r w:rsidRPr="00907400">
        <w:rPr>
          <w:rFonts w:asciiTheme="majorHAnsi" w:hAnsiTheme="majorHAnsi"/>
          <w:sz w:val="20"/>
          <w:szCs w:val="20"/>
        </w:rPr>
        <w:t xml:space="preserve"> was less than a meter away from the place. (...) On the other hand, the personality of the d</w:t>
      </w:r>
      <w:r w:rsidR="00EE6E03" w:rsidRPr="00907400">
        <w:rPr>
          <w:rFonts w:asciiTheme="majorHAnsi" w:hAnsiTheme="majorHAnsi"/>
          <w:sz w:val="20"/>
          <w:szCs w:val="20"/>
        </w:rPr>
        <w:t>eponent, his cultural level, her capacity of observation, her</w:t>
      </w:r>
      <w:r w:rsidRPr="00907400">
        <w:rPr>
          <w:rFonts w:asciiTheme="majorHAnsi" w:hAnsiTheme="majorHAnsi"/>
          <w:sz w:val="20"/>
          <w:szCs w:val="20"/>
        </w:rPr>
        <w:t xml:space="preserve"> degree of perception, allow this office to affirm that </w:t>
      </w:r>
      <w:r w:rsidR="00754CAA" w:rsidRPr="00907400">
        <w:rPr>
          <w:rFonts w:asciiTheme="majorHAnsi" w:hAnsiTheme="majorHAnsi"/>
          <w:sz w:val="20"/>
          <w:szCs w:val="20"/>
        </w:rPr>
        <w:t>s</w:t>
      </w:r>
      <w:r w:rsidRPr="00907400">
        <w:rPr>
          <w:rFonts w:asciiTheme="majorHAnsi" w:hAnsiTheme="majorHAnsi"/>
          <w:sz w:val="20"/>
          <w:szCs w:val="20"/>
        </w:rPr>
        <w:t>he is a serious, objective witness, w</w:t>
      </w:r>
      <w:r w:rsidR="00754CAA" w:rsidRPr="00907400">
        <w:rPr>
          <w:rFonts w:asciiTheme="majorHAnsi" w:hAnsiTheme="majorHAnsi"/>
          <w:sz w:val="20"/>
          <w:szCs w:val="20"/>
        </w:rPr>
        <w:t>ith credibility in her statements</w:t>
      </w:r>
      <w:r w:rsidRPr="00907400">
        <w:rPr>
          <w:rFonts w:asciiTheme="majorHAnsi" w:hAnsiTheme="majorHAnsi"/>
          <w:sz w:val="20"/>
          <w:szCs w:val="20"/>
        </w:rPr>
        <w:t xml:space="preserve">. (...) </w:t>
      </w:r>
      <w:r w:rsidR="00754CAA" w:rsidRPr="00907400">
        <w:rPr>
          <w:rFonts w:asciiTheme="majorHAnsi" w:hAnsiTheme="majorHAnsi"/>
          <w:sz w:val="20"/>
          <w:szCs w:val="20"/>
        </w:rPr>
        <w:t>The file of the cases includes (...) testimonies</w:t>
      </w:r>
      <w:r w:rsidRPr="00907400">
        <w:rPr>
          <w:rFonts w:asciiTheme="majorHAnsi" w:hAnsiTheme="majorHAnsi"/>
          <w:sz w:val="20"/>
          <w:szCs w:val="20"/>
        </w:rPr>
        <w:t xml:space="preserve"> of </w:t>
      </w:r>
      <w:r w:rsidR="00754CAA" w:rsidRPr="00907400">
        <w:rPr>
          <w:rFonts w:asciiTheme="majorHAnsi" w:hAnsiTheme="majorHAnsi"/>
          <w:sz w:val="20"/>
          <w:szCs w:val="20"/>
        </w:rPr>
        <w:t xml:space="preserve">a plurality </w:t>
      </w:r>
      <w:r w:rsidRPr="00907400">
        <w:rPr>
          <w:rFonts w:asciiTheme="majorHAnsi" w:hAnsiTheme="majorHAnsi"/>
          <w:sz w:val="20"/>
          <w:szCs w:val="20"/>
        </w:rPr>
        <w:t xml:space="preserve">people who in one way or another were aware of the occurrence of events, such as (...) </w:t>
      </w:r>
      <w:r w:rsidR="00754CAA" w:rsidRPr="00907400">
        <w:rPr>
          <w:rFonts w:asciiTheme="majorHAnsi" w:hAnsiTheme="majorHAnsi"/>
          <w:sz w:val="20"/>
          <w:szCs w:val="20"/>
        </w:rPr>
        <w:t xml:space="preserve">the </w:t>
      </w:r>
      <w:r w:rsidRPr="00907400">
        <w:rPr>
          <w:rFonts w:asciiTheme="majorHAnsi" w:hAnsiTheme="majorHAnsi"/>
          <w:sz w:val="20"/>
          <w:szCs w:val="20"/>
        </w:rPr>
        <w:t>statements with reservation of identity, numbers 2,</w:t>
      </w:r>
      <w:r w:rsidR="00754CAA" w:rsidRPr="00907400">
        <w:rPr>
          <w:rFonts w:asciiTheme="majorHAnsi" w:hAnsiTheme="majorHAnsi"/>
          <w:sz w:val="20"/>
          <w:szCs w:val="20"/>
        </w:rPr>
        <w:t xml:space="preserve"> 3 and 4, which as a whole coincide in the description of</w:t>
      </w:r>
      <w:r w:rsidRPr="00907400">
        <w:rPr>
          <w:rFonts w:asciiTheme="majorHAnsi" w:hAnsiTheme="majorHAnsi"/>
          <w:sz w:val="20"/>
          <w:szCs w:val="20"/>
        </w:rPr>
        <w:t xml:space="preserve"> the tragic episode. (...)</w:t>
      </w:r>
    </w:p>
    <w:p w14:paraId="02604840" w14:textId="77777777" w:rsidR="006A21DF" w:rsidRPr="00907400"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It is a </w:t>
      </w:r>
      <w:r w:rsidR="00754CAA" w:rsidRPr="00907400">
        <w:rPr>
          <w:rFonts w:asciiTheme="majorHAnsi" w:hAnsiTheme="majorHAnsi"/>
          <w:sz w:val="20"/>
          <w:szCs w:val="20"/>
        </w:rPr>
        <w:t xml:space="preserve">true </w:t>
      </w:r>
      <w:r w:rsidRPr="00907400">
        <w:rPr>
          <w:rFonts w:asciiTheme="majorHAnsi" w:hAnsiTheme="majorHAnsi"/>
          <w:sz w:val="20"/>
          <w:szCs w:val="20"/>
        </w:rPr>
        <w:t xml:space="preserve">fact </w:t>
      </w:r>
      <w:r w:rsidR="00754CAA" w:rsidRPr="00907400">
        <w:rPr>
          <w:rFonts w:asciiTheme="majorHAnsi" w:hAnsiTheme="majorHAnsi"/>
          <w:sz w:val="20"/>
          <w:szCs w:val="20"/>
        </w:rPr>
        <w:t>--</w:t>
      </w:r>
      <w:r w:rsidRPr="00907400">
        <w:rPr>
          <w:rFonts w:asciiTheme="majorHAnsi" w:hAnsiTheme="majorHAnsi"/>
          <w:sz w:val="20"/>
          <w:szCs w:val="20"/>
        </w:rPr>
        <w:t>a</w:t>
      </w:r>
      <w:r w:rsidR="00754CAA" w:rsidRPr="00907400">
        <w:rPr>
          <w:rFonts w:asciiTheme="majorHAnsi" w:hAnsiTheme="majorHAnsi"/>
          <w:sz w:val="20"/>
          <w:szCs w:val="20"/>
        </w:rPr>
        <w:t>nd the court does not ignore it-- that as argued by the defense other</w:t>
      </w:r>
      <w:r w:rsidRPr="00907400">
        <w:rPr>
          <w:rFonts w:asciiTheme="majorHAnsi" w:hAnsiTheme="majorHAnsi"/>
          <w:sz w:val="20"/>
          <w:szCs w:val="20"/>
        </w:rPr>
        <w:t xml:space="preserve"> evidence</w:t>
      </w:r>
      <w:r w:rsidR="00754CAA" w:rsidRPr="00907400">
        <w:rPr>
          <w:rFonts w:asciiTheme="majorHAnsi" w:hAnsiTheme="majorHAnsi"/>
          <w:sz w:val="20"/>
          <w:szCs w:val="20"/>
        </w:rPr>
        <w:t xml:space="preserve"> was attached to the file</w:t>
      </w:r>
      <w:r w:rsidRPr="00907400">
        <w:rPr>
          <w:rFonts w:asciiTheme="majorHAnsi" w:hAnsiTheme="majorHAnsi"/>
          <w:sz w:val="20"/>
          <w:szCs w:val="20"/>
        </w:rPr>
        <w:t>, specifically</w:t>
      </w:r>
      <w:r w:rsidR="00754CAA" w:rsidRPr="00907400">
        <w:rPr>
          <w:rFonts w:asciiTheme="majorHAnsi" w:hAnsiTheme="majorHAnsi"/>
          <w:sz w:val="20"/>
          <w:szCs w:val="20"/>
        </w:rPr>
        <w:t>,</w:t>
      </w:r>
      <w:r w:rsidRPr="00907400">
        <w:rPr>
          <w:rFonts w:asciiTheme="majorHAnsi" w:hAnsiTheme="majorHAnsi"/>
          <w:sz w:val="20"/>
          <w:szCs w:val="20"/>
        </w:rPr>
        <w:t xml:space="preserve"> testimony that try to corroborate with Sastoque Alfonso that at the time the events occurred </w:t>
      </w:r>
      <w:r w:rsidR="00754CAA" w:rsidRPr="00907400">
        <w:rPr>
          <w:rFonts w:asciiTheme="majorHAnsi" w:hAnsiTheme="majorHAnsi"/>
          <w:sz w:val="20"/>
          <w:szCs w:val="20"/>
        </w:rPr>
        <w:t xml:space="preserve">he </w:t>
      </w:r>
      <w:r w:rsidRPr="00907400">
        <w:rPr>
          <w:rFonts w:asciiTheme="majorHAnsi" w:hAnsiTheme="majorHAnsi"/>
          <w:sz w:val="20"/>
          <w:szCs w:val="20"/>
        </w:rPr>
        <w:t xml:space="preserve">was </w:t>
      </w:r>
      <w:r w:rsidR="00754CAA" w:rsidRPr="00907400">
        <w:rPr>
          <w:rFonts w:asciiTheme="majorHAnsi" w:hAnsiTheme="majorHAnsi"/>
          <w:sz w:val="20"/>
          <w:szCs w:val="20"/>
        </w:rPr>
        <w:t xml:space="preserve">at a </w:t>
      </w:r>
      <w:r w:rsidRPr="00907400">
        <w:rPr>
          <w:rFonts w:asciiTheme="majorHAnsi" w:hAnsiTheme="majorHAnsi"/>
          <w:sz w:val="20"/>
          <w:szCs w:val="20"/>
        </w:rPr>
        <w:t xml:space="preserve">distant </w:t>
      </w:r>
      <w:r w:rsidR="00754CAA" w:rsidRPr="00907400">
        <w:rPr>
          <w:rFonts w:asciiTheme="majorHAnsi" w:hAnsiTheme="majorHAnsi"/>
          <w:sz w:val="20"/>
          <w:szCs w:val="20"/>
        </w:rPr>
        <w:t xml:space="preserve">location </w:t>
      </w:r>
      <w:r w:rsidRPr="00907400">
        <w:rPr>
          <w:rFonts w:asciiTheme="majorHAnsi" w:hAnsiTheme="majorHAnsi"/>
          <w:sz w:val="20"/>
          <w:szCs w:val="20"/>
        </w:rPr>
        <w:t xml:space="preserve">from where </w:t>
      </w:r>
      <w:r w:rsidR="00754CAA" w:rsidRPr="00907400">
        <w:rPr>
          <w:rFonts w:asciiTheme="majorHAnsi" w:hAnsiTheme="majorHAnsi"/>
          <w:sz w:val="20"/>
          <w:szCs w:val="20"/>
        </w:rPr>
        <w:t>they took place, in his</w:t>
      </w:r>
      <w:r w:rsidRPr="00907400">
        <w:rPr>
          <w:rFonts w:asciiTheme="majorHAnsi" w:hAnsiTheme="majorHAnsi"/>
          <w:sz w:val="20"/>
          <w:szCs w:val="20"/>
        </w:rPr>
        <w:t xml:space="preserve"> own residence. However, weighing this body of evidence and confronting it with the position of charge, </w:t>
      </w:r>
      <w:r w:rsidR="00754CAA" w:rsidRPr="00907400">
        <w:rPr>
          <w:rFonts w:asciiTheme="majorHAnsi" w:hAnsiTheme="majorHAnsi"/>
          <w:sz w:val="20"/>
          <w:szCs w:val="20"/>
        </w:rPr>
        <w:t xml:space="preserve">it </w:t>
      </w:r>
      <w:r w:rsidRPr="00907400">
        <w:rPr>
          <w:rFonts w:asciiTheme="majorHAnsi" w:hAnsiTheme="majorHAnsi"/>
          <w:sz w:val="20"/>
          <w:szCs w:val="20"/>
        </w:rPr>
        <w:t>does not have the potential to weake</w:t>
      </w:r>
      <w:r w:rsidR="00754CAA" w:rsidRPr="00907400">
        <w:rPr>
          <w:rFonts w:asciiTheme="majorHAnsi" w:hAnsiTheme="majorHAnsi"/>
          <w:sz w:val="20"/>
          <w:szCs w:val="20"/>
        </w:rPr>
        <w:t>n it or, as it were, make it uncertain</w:t>
      </w:r>
      <w:r w:rsidRPr="00907400">
        <w:rPr>
          <w:rFonts w:asciiTheme="majorHAnsi" w:hAnsiTheme="majorHAnsi"/>
          <w:sz w:val="20"/>
          <w:szCs w:val="20"/>
        </w:rPr>
        <w:t>; because all these attestations in the first place come from people</w:t>
      </w:r>
      <w:r w:rsidR="00754CAA" w:rsidRPr="00907400">
        <w:rPr>
          <w:rFonts w:asciiTheme="majorHAnsi" w:hAnsiTheme="majorHAnsi"/>
          <w:sz w:val="20"/>
          <w:szCs w:val="20"/>
        </w:rPr>
        <w:t xml:space="preserve"> with an interest in favoring </w:t>
      </w:r>
      <w:r w:rsidR="00754CAA" w:rsidRPr="00907400">
        <w:rPr>
          <w:rFonts w:asciiTheme="majorHAnsi" w:hAnsiTheme="majorHAnsi"/>
          <w:sz w:val="20"/>
          <w:szCs w:val="20"/>
        </w:rPr>
        <w:lastRenderedPageBreak/>
        <w:t>him</w:t>
      </w:r>
      <w:r w:rsidRPr="00907400">
        <w:rPr>
          <w:rFonts w:asciiTheme="majorHAnsi" w:hAnsiTheme="majorHAnsi"/>
          <w:sz w:val="20"/>
          <w:szCs w:val="20"/>
        </w:rPr>
        <w:t xml:space="preserve">, </w:t>
      </w:r>
      <w:r w:rsidR="00754CAA" w:rsidRPr="00907400">
        <w:rPr>
          <w:rFonts w:asciiTheme="majorHAnsi" w:hAnsiTheme="majorHAnsi"/>
          <w:sz w:val="20"/>
          <w:szCs w:val="20"/>
        </w:rPr>
        <w:t xml:space="preserve">because of </w:t>
      </w:r>
      <w:r w:rsidRPr="00907400">
        <w:rPr>
          <w:rFonts w:asciiTheme="majorHAnsi" w:hAnsiTheme="majorHAnsi"/>
          <w:sz w:val="20"/>
          <w:szCs w:val="20"/>
        </w:rPr>
        <w:t>their own bond of consanguinity with some and friendship with others (...); the versions are somewhat suspicious, to the point that t</w:t>
      </w:r>
      <w:r w:rsidR="00754CAA" w:rsidRPr="00907400">
        <w:rPr>
          <w:rFonts w:asciiTheme="majorHAnsi" w:hAnsiTheme="majorHAnsi"/>
          <w:sz w:val="20"/>
          <w:szCs w:val="20"/>
        </w:rPr>
        <w:t>hey do not have the potential</w:t>
      </w:r>
      <w:r w:rsidRPr="00907400">
        <w:rPr>
          <w:rFonts w:asciiTheme="majorHAnsi" w:hAnsiTheme="majorHAnsi"/>
          <w:sz w:val="20"/>
          <w:szCs w:val="20"/>
        </w:rPr>
        <w:t xml:space="preserve"> to distort the testimonial evidence of charges that incriminate Sastoque.</w:t>
      </w:r>
      <w:r w:rsidR="00486DBF" w:rsidRPr="00907400">
        <w:rPr>
          <w:rStyle w:val="FootnoteReference"/>
          <w:rFonts w:asciiTheme="majorHAnsi" w:hAnsiTheme="majorHAnsi"/>
          <w:sz w:val="20"/>
          <w:szCs w:val="20"/>
        </w:rPr>
        <w:t xml:space="preserve"> </w:t>
      </w:r>
      <w:r w:rsidR="00486DBF" w:rsidRPr="00907400">
        <w:rPr>
          <w:rStyle w:val="FootnoteReference"/>
          <w:rFonts w:asciiTheme="majorHAnsi" w:hAnsiTheme="majorHAnsi"/>
          <w:sz w:val="20"/>
          <w:szCs w:val="20"/>
        </w:rPr>
        <w:footnoteReference w:id="50"/>
      </w:r>
    </w:p>
    <w:p w14:paraId="42C07F9D"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DEC84FF" w14:textId="77777777" w:rsidR="006A21DF" w:rsidRPr="00907400" w:rsidRDefault="006A21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w:t>
      </w:r>
      <w:r w:rsidR="009D78F0" w:rsidRPr="00907400">
        <w:rPr>
          <w:rFonts w:asciiTheme="majorHAnsi" w:hAnsiTheme="majorHAnsi"/>
          <w:sz w:val="20"/>
          <w:szCs w:val="20"/>
        </w:rPr>
        <w:t>an undated brief</w:t>
      </w:r>
      <w:r w:rsidRPr="00907400">
        <w:rPr>
          <w:rFonts w:asciiTheme="majorHAnsi" w:hAnsiTheme="majorHAnsi"/>
          <w:sz w:val="20"/>
          <w:szCs w:val="20"/>
        </w:rPr>
        <w:t xml:space="preserve">, a special agent of the Public Prosecutor's Office filed an appeal against the </w:t>
      </w:r>
      <w:r w:rsidR="009D78F0" w:rsidRPr="00907400">
        <w:rPr>
          <w:rFonts w:asciiTheme="majorHAnsi" w:hAnsiTheme="majorHAnsi"/>
          <w:sz w:val="20"/>
          <w:szCs w:val="20"/>
        </w:rPr>
        <w:t xml:space="preserve">first instance </w:t>
      </w:r>
      <w:r w:rsidRPr="00907400">
        <w:rPr>
          <w:rFonts w:asciiTheme="majorHAnsi" w:hAnsiTheme="majorHAnsi"/>
          <w:sz w:val="20"/>
          <w:szCs w:val="20"/>
        </w:rPr>
        <w:t xml:space="preserve">judgment. The IACHR </w:t>
      </w:r>
      <w:r w:rsidR="009B2370" w:rsidRPr="00907400">
        <w:rPr>
          <w:rFonts w:asciiTheme="majorHAnsi" w:hAnsiTheme="majorHAnsi"/>
          <w:sz w:val="20"/>
          <w:szCs w:val="20"/>
        </w:rPr>
        <w:t>observes</w:t>
      </w:r>
      <w:r w:rsidRPr="00907400">
        <w:rPr>
          <w:rFonts w:asciiTheme="majorHAnsi" w:hAnsiTheme="majorHAnsi"/>
          <w:sz w:val="20"/>
          <w:szCs w:val="20"/>
        </w:rPr>
        <w:t xml:space="preserve"> that </w:t>
      </w:r>
      <w:r w:rsidR="009D78F0" w:rsidRPr="00907400">
        <w:rPr>
          <w:rFonts w:asciiTheme="majorHAnsi" w:hAnsiTheme="majorHAnsi"/>
          <w:sz w:val="20"/>
          <w:szCs w:val="20"/>
        </w:rPr>
        <w:t>this</w:t>
      </w:r>
      <w:r w:rsidRPr="00907400">
        <w:rPr>
          <w:rFonts w:asciiTheme="majorHAnsi" w:hAnsiTheme="majorHAnsi"/>
          <w:sz w:val="20"/>
          <w:szCs w:val="20"/>
        </w:rPr>
        <w:t xml:space="preserve"> document does not include the name of said agent who </w:t>
      </w:r>
      <w:r w:rsidR="009D78F0" w:rsidRPr="00907400">
        <w:rPr>
          <w:rFonts w:asciiTheme="majorHAnsi" w:hAnsiTheme="majorHAnsi"/>
          <w:sz w:val="20"/>
          <w:szCs w:val="20"/>
        </w:rPr>
        <w:t>believed</w:t>
      </w:r>
      <w:r w:rsidRPr="00907400">
        <w:rPr>
          <w:rFonts w:asciiTheme="majorHAnsi" w:hAnsiTheme="majorHAnsi"/>
          <w:sz w:val="20"/>
          <w:szCs w:val="20"/>
        </w:rPr>
        <w:t xml:space="preserve"> that the conviction was based exclusively on the testimony of a</w:t>
      </w:r>
      <w:r w:rsidR="009D78F0" w:rsidRPr="00907400">
        <w:rPr>
          <w:rFonts w:asciiTheme="majorHAnsi" w:hAnsiTheme="majorHAnsi"/>
          <w:sz w:val="20"/>
          <w:szCs w:val="20"/>
        </w:rPr>
        <w:t>n anonymous</w:t>
      </w:r>
      <w:r w:rsidRPr="00907400">
        <w:rPr>
          <w:rFonts w:asciiTheme="majorHAnsi" w:hAnsiTheme="majorHAnsi"/>
          <w:sz w:val="20"/>
          <w:szCs w:val="20"/>
        </w:rPr>
        <w:t xml:space="preserve"> witness </w:t>
      </w:r>
      <w:r w:rsidR="009D78F0" w:rsidRPr="00907400">
        <w:rPr>
          <w:rFonts w:asciiTheme="majorHAnsi" w:hAnsiTheme="majorHAnsi"/>
          <w:sz w:val="20"/>
          <w:szCs w:val="20"/>
        </w:rPr>
        <w:t>and that multiple statements or testimony</w:t>
      </w:r>
      <w:r w:rsidRPr="00907400">
        <w:rPr>
          <w:rFonts w:asciiTheme="majorHAnsi" w:hAnsiTheme="majorHAnsi"/>
          <w:sz w:val="20"/>
          <w:szCs w:val="20"/>
        </w:rPr>
        <w:t xml:space="preserve"> were not taken </w:t>
      </w:r>
      <w:r w:rsidR="009D78F0" w:rsidRPr="00907400">
        <w:rPr>
          <w:rFonts w:asciiTheme="majorHAnsi" w:hAnsiTheme="majorHAnsi"/>
          <w:sz w:val="20"/>
          <w:szCs w:val="20"/>
        </w:rPr>
        <w:t xml:space="preserve">in account </w:t>
      </w:r>
      <w:r w:rsidRPr="00907400">
        <w:rPr>
          <w:rFonts w:asciiTheme="majorHAnsi" w:hAnsiTheme="majorHAnsi"/>
          <w:sz w:val="20"/>
          <w:szCs w:val="20"/>
        </w:rPr>
        <w:t>to discard the possibility that Mr. Sastoque was present at the scene on February 26, 1995 and shot Mr. Pizarro. He added the following:</w:t>
      </w:r>
    </w:p>
    <w:p w14:paraId="25B72F1D" w14:textId="77777777" w:rsid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7F972467" w14:textId="77777777" w:rsidR="007A744E" w:rsidRDefault="006A21DF"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 revoke the condemnatory sentence (...) </w:t>
      </w:r>
      <w:r w:rsidR="009D78F0" w:rsidRPr="00907400">
        <w:rPr>
          <w:rFonts w:asciiTheme="majorHAnsi" w:hAnsiTheme="majorHAnsi"/>
          <w:sz w:val="20"/>
          <w:szCs w:val="20"/>
        </w:rPr>
        <w:t>because, thanks to the interrogations, the questioning</w:t>
      </w:r>
      <w:r w:rsidRPr="00907400">
        <w:rPr>
          <w:rFonts w:asciiTheme="majorHAnsi" w:hAnsiTheme="majorHAnsi"/>
          <w:sz w:val="20"/>
          <w:szCs w:val="20"/>
        </w:rPr>
        <w:t xml:space="preserve">, </w:t>
      </w:r>
      <w:r w:rsidR="009D78F0" w:rsidRPr="00907400">
        <w:rPr>
          <w:rFonts w:asciiTheme="majorHAnsi" w:hAnsiTheme="majorHAnsi"/>
          <w:sz w:val="20"/>
          <w:szCs w:val="20"/>
        </w:rPr>
        <w:t xml:space="preserve">to </w:t>
      </w:r>
      <w:r w:rsidRPr="00907400">
        <w:rPr>
          <w:rFonts w:asciiTheme="majorHAnsi" w:hAnsiTheme="majorHAnsi"/>
          <w:sz w:val="20"/>
          <w:szCs w:val="20"/>
        </w:rPr>
        <w:t xml:space="preserve">the contradictions that exist in the criminal </w:t>
      </w:r>
      <w:r w:rsidR="009D78F0" w:rsidRPr="00907400">
        <w:rPr>
          <w:rFonts w:asciiTheme="majorHAnsi" w:hAnsiTheme="majorHAnsi"/>
          <w:sz w:val="20"/>
          <w:szCs w:val="20"/>
        </w:rPr>
        <w:t>indictment</w:t>
      </w:r>
      <w:r w:rsidRPr="00907400">
        <w:rPr>
          <w:rFonts w:asciiTheme="majorHAnsi" w:hAnsiTheme="majorHAnsi"/>
          <w:sz w:val="20"/>
          <w:szCs w:val="20"/>
        </w:rPr>
        <w:t xml:space="preserve">, there is a doubt that until now it has been possible to eliminate </w:t>
      </w:r>
      <w:r w:rsidR="00754CAA" w:rsidRPr="00907400">
        <w:rPr>
          <w:rFonts w:asciiTheme="majorHAnsi" w:hAnsiTheme="majorHAnsi"/>
          <w:sz w:val="20"/>
          <w:szCs w:val="20"/>
        </w:rPr>
        <w:t xml:space="preserve">(sic) </w:t>
      </w:r>
      <w:r w:rsidRPr="00907400">
        <w:rPr>
          <w:rFonts w:asciiTheme="majorHAnsi" w:hAnsiTheme="majorHAnsi"/>
          <w:sz w:val="20"/>
          <w:szCs w:val="20"/>
        </w:rPr>
        <w:t xml:space="preserve">and the </w:t>
      </w:r>
      <w:r w:rsidRPr="00907400">
        <w:rPr>
          <w:rFonts w:asciiTheme="majorHAnsi" w:hAnsiTheme="majorHAnsi"/>
          <w:i/>
          <w:sz w:val="20"/>
          <w:szCs w:val="20"/>
        </w:rPr>
        <w:t>indubio pro reo</w:t>
      </w:r>
      <w:r w:rsidRPr="00907400">
        <w:rPr>
          <w:rFonts w:asciiTheme="majorHAnsi" w:hAnsiTheme="majorHAnsi"/>
          <w:sz w:val="20"/>
          <w:szCs w:val="20"/>
        </w:rPr>
        <w:t xml:space="preserve"> </w:t>
      </w:r>
      <w:r w:rsidR="009D78F0" w:rsidRPr="00907400">
        <w:rPr>
          <w:rFonts w:asciiTheme="majorHAnsi" w:hAnsiTheme="majorHAnsi"/>
          <w:sz w:val="20"/>
          <w:szCs w:val="20"/>
        </w:rPr>
        <w:t xml:space="preserve">principle </w:t>
      </w:r>
      <w:r w:rsidRPr="00907400">
        <w:rPr>
          <w:rFonts w:asciiTheme="majorHAnsi" w:hAnsiTheme="majorHAnsi"/>
          <w:sz w:val="20"/>
          <w:szCs w:val="20"/>
        </w:rPr>
        <w:t xml:space="preserve">must be applied </w:t>
      </w:r>
      <w:r w:rsidR="009D78F0" w:rsidRPr="00907400">
        <w:rPr>
          <w:rFonts w:asciiTheme="majorHAnsi" w:hAnsiTheme="majorHAnsi"/>
          <w:sz w:val="20"/>
          <w:szCs w:val="20"/>
        </w:rPr>
        <w:t>in favor of</w:t>
      </w:r>
      <w:r w:rsidRPr="00907400">
        <w:rPr>
          <w:rFonts w:asciiTheme="majorHAnsi" w:hAnsiTheme="majorHAnsi"/>
          <w:sz w:val="20"/>
          <w:szCs w:val="20"/>
        </w:rPr>
        <w:t xml:space="preserve"> the accused.</w:t>
      </w:r>
      <w:r w:rsidR="00486DBF" w:rsidRPr="00907400">
        <w:rPr>
          <w:rStyle w:val="FootnoteReference"/>
          <w:rFonts w:asciiTheme="majorHAnsi" w:hAnsiTheme="majorHAnsi"/>
          <w:sz w:val="20"/>
          <w:szCs w:val="20"/>
        </w:rPr>
        <w:footnoteReference w:id="51"/>
      </w:r>
    </w:p>
    <w:p w14:paraId="645C7E73" w14:textId="77777777" w:rsidR="00907400" w:rsidRPr="00907400" w:rsidRDefault="0090740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4B6BE582" w14:textId="77777777" w:rsidR="006A21DF" w:rsidRDefault="006A21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March 6, 1998, the Decision </w:t>
      </w:r>
      <w:r w:rsidR="00603F49" w:rsidRPr="00907400">
        <w:rPr>
          <w:rFonts w:asciiTheme="majorHAnsi" w:hAnsiTheme="majorHAnsi"/>
          <w:sz w:val="20"/>
          <w:szCs w:val="20"/>
        </w:rPr>
        <w:t>Chamber</w:t>
      </w:r>
      <w:r w:rsidRPr="00907400">
        <w:rPr>
          <w:rFonts w:asciiTheme="majorHAnsi" w:hAnsiTheme="majorHAnsi"/>
          <w:sz w:val="20"/>
          <w:szCs w:val="20"/>
        </w:rPr>
        <w:t xml:space="preserve"> of the National Court issued a judgment </w:t>
      </w:r>
      <w:r w:rsidR="00603F49" w:rsidRPr="00907400">
        <w:rPr>
          <w:rFonts w:asciiTheme="majorHAnsi" w:hAnsiTheme="majorHAnsi"/>
          <w:sz w:val="20"/>
          <w:szCs w:val="20"/>
        </w:rPr>
        <w:t>upholding</w:t>
      </w:r>
      <w:r w:rsidRPr="00907400">
        <w:rPr>
          <w:rFonts w:asciiTheme="majorHAnsi" w:hAnsiTheme="majorHAnsi"/>
          <w:sz w:val="20"/>
          <w:szCs w:val="20"/>
        </w:rPr>
        <w:t xml:space="preserve"> the </w:t>
      </w:r>
      <w:r w:rsidR="00603F49" w:rsidRPr="00907400">
        <w:rPr>
          <w:rFonts w:asciiTheme="majorHAnsi" w:hAnsiTheme="majorHAnsi"/>
          <w:sz w:val="20"/>
          <w:szCs w:val="20"/>
        </w:rPr>
        <w:t xml:space="preserve">first instance </w:t>
      </w:r>
      <w:r w:rsidRPr="00907400">
        <w:rPr>
          <w:rFonts w:asciiTheme="majorHAnsi" w:hAnsiTheme="majorHAnsi"/>
          <w:sz w:val="20"/>
          <w:szCs w:val="20"/>
        </w:rPr>
        <w:t>decision and only modified Gustavo Sastoque Alfonso's main sentence to 40 years and 6 months in prison. The Court held the following:</w:t>
      </w:r>
    </w:p>
    <w:p w14:paraId="05507D01"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BD83B7E" w14:textId="77777777" w:rsidR="006A21DF" w:rsidRPr="00907400" w:rsidRDefault="006A21DF"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As for Olga Esther, </w:t>
      </w:r>
      <w:r w:rsidR="00603F49" w:rsidRPr="00907400">
        <w:rPr>
          <w:rFonts w:asciiTheme="majorHAnsi" w:hAnsiTheme="majorHAnsi"/>
          <w:sz w:val="20"/>
          <w:szCs w:val="20"/>
        </w:rPr>
        <w:t>this is a case of</w:t>
      </w:r>
      <w:r w:rsidRPr="00907400">
        <w:rPr>
          <w:rFonts w:asciiTheme="majorHAnsi" w:hAnsiTheme="majorHAnsi"/>
          <w:sz w:val="20"/>
          <w:szCs w:val="20"/>
        </w:rPr>
        <w:t xml:space="preserve"> a normal person without visual or auditory alterations, she does not suffer from physical or mental illnesses that prevent or hinder her fro</w:t>
      </w:r>
      <w:r w:rsidR="00603F49" w:rsidRPr="00907400">
        <w:rPr>
          <w:rFonts w:asciiTheme="majorHAnsi" w:hAnsiTheme="majorHAnsi"/>
          <w:sz w:val="20"/>
          <w:szCs w:val="20"/>
        </w:rPr>
        <w:t>m appreciating the events.  Her</w:t>
      </w:r>
      <w:r w:rsidRPr="00907400">
        <w:rPr>
          <w:rFonts w:asciiTheme="majorHAnsi" w:hAnsiTheme="majorHAnsi"/>
          <w:sz w:val="20"/>
          <w:szCs w:val="20"/>
        </w:rPr>
        <w:t xml:space="preserve"> statements are clear, serious, concrete</w:t>
      </w:r>
      <w:r w:rsidR="00603F49" w:rsidRPr="00907400">
        <w:rPr>
          <w:rFonts w:asciiTheme="majorHAnsi" w:hAnsiTheme="majorHAnsi"/>
          <w:sz w:val="20"/>
          <w:szCs w:val="20"/>
        </w:rPr>
        <w:t>,</w:t>
      </w:r>
      <w:r w:rsidRPr="00907400">
        <w:rPr>
          <w:rFonts w:asciiTheme="majorHAnsi" w:hAnsiTheme="majorHAnsi"/>
          <w:sz w:val="20"/>
          <w:szCs w:val="20"/>
        </w:rPr>
        <w:t xml:space="preserve"> coherent and reliable; </w:t>
      </w:r>
      <w:r w:rsidR="00603F49" w:rsidRPr="00907400">
        <w:rPr>
          <w:rFonts w:asciiTheme="majorHAnsi" w:hAnsiTheme="majorHAnsi"/>
          <w:sz w:val="20"/>
          <w:szCs w:val="20"/>
        </w:rPr>
        <w:t>moreover</w:t>
      </w:r>
      <w:r w:rsidRPr="00907400">
        <w:rPr>
          <w:rFonts w:asciiTheme="majorHAnsi" w:hAnsiTheme="majorHAnsi"/>
          <w:sz w:val="20"/>
          <w:szCs w:val="20"/>
        </w:rPr>
        <w:t xml:space="preserve">, there are no indications of having any specific interest in being untruthful or in harming innocent people. (...) The </w:t>
      </w:r>
      <w:r w:rsidR="00A433FF" w:rsidRPr="00907400">
        <w:rPr>
          <w:rFonts w:asciiTheme="majorHAnsi" w:hAnsiTheme="majorHAnsi"/>
          <w:sz w:val="20"/>
          <w:szCs w:val="20"/>
        </w:rPr>
        <w:t>testimony</w:t>
      </w:r>
      <w:r w:rsidRPr="00907400">
        <w:rPr>
          <w:rFonts w:asciiTheme="majorHAnsi" w:hAnsiTheme="majorHAnsi"/>
          <w:sz w:val="20"/>
          <w:szCs w:val="20"/>
        </w:rPr>
        <w:t xml:space="preserve"> of Olga Esther Guevara Fajardo found full support in other means of proof, since much of her story was corroborated by other eyewitnesses, which is more important, people other than herself also recognized Gustavo Sastoque Alfonso as a one of the members of the group of individuals.</w:t>
      </w:r>
    </w:p>
    <w:p w14:paraId="316F5074" w14:textId="77777777" w:rsidR="006A21DF" w:rsidRPr="00907400" w:rsidRDefault="006A21DF"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166E3966" w14:textId="77777777" w:rsidR="006A21DF" w:rsidRPr="00907400" w:rsidRDefault="006A21DF"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 here is no inconsistency on the subject, because if the witnesses were located in different places it is obvious that not all were able to see the totality of what happened.</w:t>
      </w:r>
      <w:r w:rsidR="00486DBF" w:rsidRPr="00907400">
        <w:rPr>
          <w:rStyle w:val="FootnoteReference"/>
          <w:rFonts w:asciiTheme="majorHAnsi" w:hAnsiTheme="majorHAnsi"/>
          <w:sz w:val="20"/>
          <w:szCs w:val="20"/>
        </w:rPr>
        <w:footnoteReference w:id="52"/>
      </w:r>
    </w:p>
    <w:p w14:paraId="1D9CCDEE"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394EF11" w14:textId="77777777" w:rsidR="006A21DF" w:rsidRPr="00907400" w:rsidRDefault="006A21D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July 29, 1998, Mr. Sastoque's defense </w:t>
      </w:r>
      <w:r w:rsidR="004801E6" w:rsidRPr="00907400">
        <w:rPr>
          <w:rFonts w:asciiTheme="majorHAnsi" w:hAnsiTheme="majorHAnsi"/>
          <w:sz w:val="20"/>
          <w:szCs w:val="20"/>
        </w:rPr>
        <w:t xml:space="preserve">attorney filed a </w:t>
      </w:r>
      <w:r w:rsidR="004801E6" w:rsidRPr="00907400">
        <w:rPr>
          <w:rFonts w:asciiTheme="majorHAnsi" w:hAnsiTheme="majorHAnsi"/>
          <w:i/>
          <w:sz w:val="20"/>
          <w:szCs w:val="20"/>
        </w:rPr>
        <w:t>cassation</w:t>
      </w:r>
      <w:r w:rsidRPr="00907400">
        <w:rPr>
          <w:rFonts w:asciiTheme="majorHAnsi" w:hAnsiTheme="majorHAnsi"/>
          <w:sz w:val="20"/>
          <w:szCs w:val="20"/>
        </w:rPr>
        <w:t xml:space="preserve"> appeal against the </w:t>
      </w:r>
      <w:r w:rsidR="004801E6" w:rsidRPr="00907400">
        <w:rPr>
          <w:rFonts w:asciiTheme="majorHAnsi" w:hAnsiTheme="majorHAnsi"/>
          <w:sz w:val="20"/>
          <w:szCs w:val="20"/>
        </w:rPr>
        <w:t xml:space="preserve">second instance </w:t>
      </w:r>
      <w:r w:rsidRPr="00907400">
        <w:rPr>
          <w:rFonts w:asciiTheme="majorHAnsi" w:hAnsiTheme="majorHAnsi"/>
          <w:sz w:val="20"/>
          <w:szCs w:val="20"/>
        </w:rPr>
        <w:t xml:space="preserve">judgment. </w:t>
      </w:r>
      <w:r w:rsidR="002B77D7" w:rsidRPr="00907400">
        <w:rPr>
          <w:rFonts w:asciiTheme="majorHAnsi" w:hAnsiTheme="majorHAnsi"/>
          <w:sz w:val="20"/>
          <w:szCs w:val="20"/>
        </w:rPr>
        <w:t>The appeal</w:t>
      </w:r>
      <w:r w:rsidR="004801E6" w:rsidRPr="00907400">
        <w:rPr>
          <w:rFonts w:asciiTheme="majorHAnsi" w:hAnsiTheme="majorHAnsi"/>
          <w:sz w:val="20"/>
          <w:szCs w:val="20"/>
        </w:rPr>
        <w:t xml:space="preserve"> once again </w:t>
      </w:r>
      <w:r w:rsidR="00A433FF" w:rsidRPr="00907400">
        <w:rPr>
          <w:rFonts w:asciiTheme="majorHAnsi" w:hAnsiTheme="majorHAnsi"/>
          <w:sz w:val="20"/>
          <w:szCs w:val="20"/>
        </w:rPr>
        <w:t>reiterated</w:t>
      </w:r>
      <w:r w:rsidR="004801E6" w:rsidRPr="00907400">
        <w:rPr>
          <w:rFonts w:asciiTheme="majorHAnsi" w:hAnsiTheme="majorHAnsi"/>
          <w:sz w:val="20"/>
          <w:szCs w:val="20"/>
        </w:rPr>
        <w:t xml:space="preserve"> </w:t>
      </w:r>
      <w:r w:rsidRPr="00907400">
        <w:rPr>
          <w:rFonts w:asciiTheme="majorHAnsi" w:hAnsiTheme="majorHAnsi"/>
          <w:sz w:val="20"/>
          <w:szCs w:val="20"/>
        </w:rPr>
        <w:t xml:space="preserve">Mr. Sastoque's </w:t>
      </w:r>
      <w:r w:rsidR="004801E6" w:rsidRPr="00907400">
        <w:rPr>
          <w:rFonts w:asciiTheme="majorHAnsi" w:hAnsiTheme="majorHAnsi"/>
          <w:sz w:val="20"/>
          <w:szCs w:val="20"/>
        </w:rPr>
        <w:t xml:space="preserve">lack of involvement in </w:t>
      </w:r>
      <w:r w:rsidRPr="00907400">
        <w:rPr>
          <w:rFonts w:asciiTheme="majorHAnsi" w:hAnsiTheme="majorHAnsi"/>
          <w:sz w:val="20"/>
          <w:szCs w:val="20"/>
        </w:rPr>
        <w:t>Hernando Pizarro</w:t>
      </w:r>
      <w:r w:rsidR="004801E6" w:rsidRPr="00907400">
        <w:rPr>
          <w:rFonts w:asciiTheme="majorHAnsi" w:hAnsiTheme="majorHAnsi"/>
          <w:sz w:val="20"/>
          <w:szCs w:val="20"/>
        </w:rPr>
        <w:t>’s death</w:t>
      </w:r>
      <w:r w:rsidRPr="00907400">
        <w:rPr>
          <w:rFonts w:asciiTheme="majorHAnsi" w:hAnsiTheme="majorHAnsi"/>
          <w:sz w:val="20"/>
          <w:szCs w:val="20"/>
        </w:rPr>
        <w:t xml:space="preserve">. It was alleged, without prejudice to this, that the case should have been </w:t>
      </w:r>
      <w:r w:rsidR="001C22AE" w:rsidRPr="00907400">
        <w:rPr>
          <w:rFonts w:asciiTheme="majorHAnsi" w:hAnsiTheme="majorHAnsi"/>
          <w:sz w:val="20"/>
          <w:szCs w:val="20"/>
        </w:rPr>
        <w:t>subject to the</w:t>
      </w:r>
      <w:r w:rsidRPr="00907400">
        <w:rPr>
          <w:rFonts w:asciiTheme="majorHAnsi" w:hAnsiTheme="majorHAnsi"/>
          <w:sz w:val="20"/>
          <w:szCs w:val="20"/>
        </w:rPr>
        <w:t xml:space="preserve"> ordinary criminal jurisdict</w:t>
      </w:r>
      <w:r w:rsidR="002B77D7" w:rsidRPr="00907400">
        <w:rPr>
          <w:rFonts w:asciiTheme="majorHAnsi" w:hAnsiTheme="majorHAnsi"/>
          <w:sz w:val="20"/>
          <w:szCs w:val="20"/>
        </w:rPr>
        <w:t>ion and not to that of the Regional J</w:t>
      </w:r>
      <w:r w:rsidR="001C22AE" w:rsidRPr="00907400">
        <w:rPr>
          <w:rFonts w:asciiTheme="majorHAnsi" w:hAnsiTheme="majorHAnsi"/>
          <w:sz w:val="20"/>
          <w:szCs w:val="20"/>
        </w:rPr>
        <w:t>ustice</w:t>
      </w:r>
      <w:r w:rsidR="002B77D7" w:rsidRPr="00907400">
        <w:rPr>
          <w:rFonts w:asciiTheme="majorHAnsi" w:hAnsiTheme="majorHAnsi"/>
          <w:sz w:val="20"/>
          <w:szCs w:val="20"/>
        </w:rPr>
        <w:t xml:space="preserve"> System</w:t>
      </w:r>
      <w:r w:rsidR="001C22AE" w:rsidRPr="00907400">
        <w:rPr>
          <w:rFonts w:asciiTheme="majorHAnsi" w:hAnsiTheme="majorHAnsi"/>
          <w:sz w:val="20"/>
          <w:szCs w:val="20"/>
        </w:rPr>
        <w:t xml:space="preserve">, </w:t>
      </w:r>
      <w:r w:rsidRPr="00907400">
        <w:rPr>
          <w:rFonts w:asciiTheme="majorHAnsi" w:hAnsiTheme="majorHAnsi"/>
          <w:sz w:val="20"/>
          <w:szCs w:val="20"/>
        </w:rPr>
        <w:t xml:space="preserve">because one of the </w:t>
      </w:r>
      <w:r w:rsidR="001C22AE" w:rsidRPr="00907400">
        <w:rPr>
          <w:rFonts w:asciiTheme="majorHAnsi" w:hAnsiTheme="majorHAnsi"/>
          <w:sz w:val="20"/>
          <w:szCs w:val="20"/>
        </w:rPr>
        <w:t>reasons</w:t>
      </w:r>
      <w:r w:rsidRPr="00907400">
        <w:rPr>
          <w:rFonts w:asciiTheme="majorHAnsi" w:hAnsiTheme="majorHAnsi"/>
          <w:sz w:val="20"/>
          <w:szCs w:val="20"/>
        </w:rPr>
        <w:t xml:space="preserve"> for apply</w:t>
      </w:r>
      <w:r w:rsidR="001C22AE" w:rsidRPr="00907400">
        <w:rPr>
          <w:rFonts w:asciiTheme="majorHAnsi" w:hAnsiTheme="majorHAnsi"/>
          <w:sz w:val="20"/>
          <w:szCs w:val="20"/>
        </w:rPr>
        <w:t xml:space="preserve">ing </w:t>
      </w:r>
      <w:r w:rsidR="002B77D7" w:rsidRPr="00907400">
        <w:rPr>
          <w:rFonts w:asciiTheme="majorHAnsi" w:hAnsiTheme="majorHAnsi"/>
          <w:sz w:val="20"/>
          <w:szCs w:val="20"/>
        </w:rPr>
        <w:t xml:space="preserve">the latter </w:t>
      </w:r>
      <w:r w:rsidR="001C22AE" w:rsidRPr="00907400">
        <w:rPr>
          <w:rFonts w:asciiTheme="majorHAnsi" w:hAnsiTheme="majorHAnsi"/>
          <w:sz w:val="20"/>
          <w:szCs w:val="20"/>
        </w:rPr>
        <w:t>is that a</w:t>
      </w:r>
      <w:r w:rsidRPr="00907400">
        <w:rPr>
          <w:rFonts w:asciiTheme="majorHAnsi" w:hAnsiTheme="majorHAnsi"/>
          <w:sz w:val="20"/>
          <w:szCs w:val="20"/>
        </w:rPr>
        <w:t xml:space="preserve"> murder is motivated by </w:t>
      </w:r>
      <w:r w:rsidR="001C22AE" w:rsidRPr="00907400">
        <w:rPr>
          <w:rFonts w:asciiTheme="majorHAnsi" w:hAnsiTheme="majorHAnsi"/>
          <w:sz w:val="20"/>
          <w:szCs w:val="20"/>
        </w:rPr>
        <w:t xml:space="preserve">the </w:t>
      </w:r>
      <w:r w:rsidRPr="00907400">
        <w:rPr>
          <w:rFonts w:asciiTheme="majorHAnsi" w:hAnsiTheme="majorHAnsi"/>
          <w:sz w:val="20"/>
          <w:szCs w:val="20"/>
        </w:rPr>
        <w:t xml:space="preserve">political beliefs of the victim, which </w:t>
      </w:r>
      <w:r w:rsidR="001C22AE" w:rsidRPr="00907400">
        <w:rPr>
          <w:rFonts w:asciiTheme="majorHAnsi" w:hAnsiTheme="majorHAnsi"/>
          <w:sz w:val="20"/>
          <w:szCs w:val="20"/>
        </w:rPr>
        <w:t>was absent in this</w:t>
      </w:r>
      <w:r w:rsidRPr="00907400">
        <w:rPr>
          <w:rFonts w:asciiTheme="majorHAnsi" w:hAnsiTheme="majorHAnsi"/>
          <w:sz w:val="20"/>
          <w:szCs w:val="20"/>
        </w:rPr>
        <w:t xml:space="preserve"> case. The defense</w:t>
      </w:r>
      <w:r w:rsidR="007C47B1" w:rsidRPr="00907400">
        <w:rPr>
          <w:rFonts w:asciiTheme="majorHAnsi" w:hAnsiTheme="majorHAnsi"/>
          <w:sz w:val="20"/>
          <w:szCs w:val="20"/>
        </w:rPr>
        <w:t xml:space="preserve"> attorney</w:t>
      </w:r>
      <w:r w:rsidRPr="00907400">
        <w:rPr>
          <w:rFonts w:asciiTheme="majorHAnsi" w:hAnsiTheme="majorHAnsi"/>
          <w:sz w:val="20"/>
          <w:szCs w:val="20"/>
        </w:rPr>
        <w:t xml:space="preserve"> explained that the case did not </w:t>
      </w:r>
      <w:r w:rsidR="007C47B1" w:rsidRPr="00907400">
        <w:rPr>
          <w:rFonts w:asciiTheme="majorHAnsi" w:hAnsiTheme="majorHAnsi"/>
          <w:sz w:val="20"/>
          <w:szCs w:val="20"/>
        </w:rPr>
        <w:t>involve such an</w:t>
      </w:r>
      <w:r w:rsidRPr="00907400">
        <w:rPr>
          <w:rFonts w:asciiTheme="majorHAnsi" w:hAnsiTheme="majorHAnsi"/>
          <w:sz w:val="20"/>
          <w:szCs w:val="20"/>
        </w:rPr>
        <w:t xml:space="preserve"> element </w:t>
      </w:r>
      <w:r w:rsidR="007C47B1" w:rsidRPr="00907400">
        <w:rPr>
          <w:rFonts w:asciiTheme="majorHAnsi" w:hAnsiTheme="majorHAnsi"/>
          <w:sz w:val="20"/>
          <w:szCs w:val="20"/>
        </w:rPr>
        <w:t>given that</w:t>
      </w:r>
      <w:r w:rsidRPr="00907400">
        <w:rPr>
          <w:rFonts w:asciiTheme="majorHAnsi" w:hAnsiTheme="majorHAnsi"/>
          <w:sz w:val="20"/>
          <w:szCs w:val="20"/>
        </w:rPr>
        <w:t xml:space="preserve"> Mr. Pizarro had withdrawn from </w:t>
      </w:r>
      <w:r w:rsidR="007C47B1" w:rsidRPr="00907400">
        <w:rPr>
          <w:rFonts w:asciiTheme="majorHAnsi" w:hAnsiTheme="majorHAnsi"/>
          <w:sz w:val="20"/>
          <w:szCs w:val="20"/>
        </w:rPr>
        <w:t>politics</w:t>
      </w:r>
      <w:r w:rsidRPr="00907400">
        <w:rPr>
          <w:rFonts w:asciiTheme="majorHAnsi" w:hAnsiTheme="majorHAnsi"/>
          <w:sz w:val="20"/>
          <w:szCs w:val="20"/>
        </w:rPr>
        <w:t xml:space="preserve"> eight years before his murder. Additionally, </w:t>
      </w:r>
      <w:r w:rsidR="002B77D7" w:rsidRPr="00907400">
        <w:rPr>
          <w:rFonts w:asciiTheme="majorHAnsi" w:hAnsiTheme="majorHAnsi"/>
          <w:sz w:val="20"/>
          <w:szCs w:val="20"/>
        </w:rPr>
        <w:t>the</w:t>
      </w:r>
      <w:r w:rsidRPr="00907400">
        <w:rPr>
          <w:rFonts w:asciiTheme="majorHAnsi" w:hAnsiTheme="majorHAnsi"/>
          <w:sz w:val="20"/>
          <w:szCs w:val="20"/>
        </w:rPr>
        <w:t xml:space="preserve"> defense </w:t>
      </w:r>
      <w:r w:rsidR="007C47B1" w:rsidRPr="00907400">
        <w:rPr>
          <w:rFonts w:asciiTheme="majorHAnsi" w:hAnsiTheme="majorHAnsi"/>
          <w:sz w:val="20"/>
          <w:szCs w:val="20"/>
        </w:rPr>
        <w:t xml:space="preserve">attorney </w:t>
      </w:r>
      <w:r w:rsidRPr="00907400">
        <w:rPr>
          <w:rFonts w:asciiTheme="majorHAnsi" w:hAnsiTheme="majorHAnsi"/>
          <w:sz w:val="20"/>
          <w:szCs w:val="20"/>
        </w:rPr>
        <w:t xml:space="preserve">argued that the conviction was based exclusively on the testimony of </w:t>
      </w:r>
      <w:r w:rsidR="007C47B1" w:rsidRPr="00907400">
        <w:rPr>
          <w:rFonts w:asciiTheme="majorHAnsi" w:hAnsiTheme="majorHAnsi"/>
          <w:sz w:val="20"/>
          <w:szCs w:val="20"/>
        </w:rPr>
        <w:t>anonymous witnesses</w:t>
      </w:r>
      <w:r w:rsidRPr="00907400">
        <w:rPr>
          <w:rFonts w:asciiTheme="majorHAnsi" w:hAnsiTheme="majorHAnsi"/>
          <w:sz w:val="20"/>
          <w:szCs w:val="20"/>
        </w:rPr>
        <w:t xml:space="preserve">. He added that "there was never any real procedural opportunity to </w:t>
      </w:r>
      <w:r w:rsidR="00195F71" w:rsidRPr="00907400">
        <w:rPr>
          <w:rFonts w:asciiTheme="majorHAnsi" w:hAnsiTheme="majorHAnsi"/>
          <w:sz w:val="20"/>
          <w:szCs w:val="20"/>
        </w:rPr>
        <w:t>cross-examine</w:t>
      </w:r>
      <w:r w:rsidRPr="00907400">
        <w:rPr>
          <w:rFonts w:asciiTheme="majorHAnsi" w:hAnsiTheme="majorHAnsi"/>
          <w:sz w:val="20"/>
          <w:szCs w:val="20"/>
        </w:rPr>
        <w:t xml:space="preserve"> the testimony of Olga Esther Guevara Fajardo."</w:t>
      </w:r>
      <w:r w:rsidR="00486DBF" w:rsidRPr="00907400">
        <w:rPr>
          <w:rStyle w:val="FootnoteReference"/>
          <w:rFonts w:asciiTheme="majorHAnsi" w:hAnsiTheme="majorHAnsi"/>
          <w:sz w:val="20"/>
          <w:szCs w:val="20"/>
        </w:rPr>
        <w:footnoteReference w:id="53"/>
      </w:r>
    </w:p>
    <w:p w14:paraId="23A41D38"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A01B01A" w14:textId="77777777" w:rsidR="006A21DF"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February 22, 2000, Gustavo Sastoque filed a complaint with the Deputy Prosecutor of the Specialized Criminal Circuit Judges</w:t>
      </w:r>
      <w:r w:rsidR="00E04ACA" w:rsidRPr="00907400">
        <w:rPr>
          <w:rFonts w:asciiTheme="majorHAnsi" w:hAnsiTheme="majorHAnsi"/>
          <w:sz w:val="20"/>
          <w:szCs w:val="20"/>
        </w:rPr>
        <w:t xml:space="preserve"> that Eduardo Umaña Mendoza, his private defense attorney</w:t>
      </w:r>
      <w:r w:rsidRPr="00907400">
        <w:rPr>
          <w:rFonts w:asciiTheme="majorHAnsi" w:hAnsiTheme="majorHAnsi"/>
          <w:sz w:val="20"/>
          <w:szCs w:val="20"/>
        </w:rPr>
        <w:t xml:space="preserve">, </w:t>
      </w:r>
      <w:r w:rsidR="00E04ACA" w:rsidRPr="00907400">
        <w:rPr>
          <w:rFonts w:asciiTheme="majorHAnsi" w:hAnsiTheme="majorHAnsi"/>
          <w:sz w:val="20"/>
          <w:szCs w:val="20"/>
        </w:rPr>
        <w:t xml:space="preserve">had been </w:t>
      </w:r>
      <w:r w:rsidRPr="00907400">
        <w:rPr>
          <w:rFonts w:asciiTheme="majorHAnsi" w:hAnsiTheme="majorHAnsi"/>
          <w:sz w:val="20"/>
          <w:szCs w:val="20"/>
        </w:rPr>
        <w:t xml:space="preserve">murdered on July 18, 1998, after </w:t>
      </w:r>
      <w:r w:rsidR="00E467AB" w:rsidRPr="00907400">
        <w:rPr>
          <w:rFonts w:asciiTheme="majorHAnsi" w:hAnsiTheme="majorHAnsi"/>
          <w:sz w:val="20"/>
          <w:szCs w:val="20"/>
        </w:rPr>
        <w:t>his conviction in the f</w:t>
      </w:r>
      <w:r w:rsidRPr="00907400">
        <w:rPr>
          <w:rFonts w:asciiTheme="majorHAnsi" w:hAnsiTheme="majorHAnsi"/>
          <w:sz w:val="20"/>
          <w:szCs w:val="20"/>
        </w:rPr>
        <w:t>irst instance. Mr. Sastoque explained the following:</w:t>
      </w:r>
    </w:p>
    <w:p w14:paraId="5DCDCF94" w14:textId="77777777" w:rsidR="00C27451"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3BA13D74" w14:textId="77777777" w:rsidR="006A21DF" w:rsidRPr="00907400" w:rsidRDefault="0070717E"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[Mr. Umaña told me] I know that you were not the one who mu</w:t>
      </w:r>
      <w:r w:rsidR="00577BF8" w:rsidRPr="00907400">
        <w:rPr>
          <w:rFonts w:asciiTheme="majorHAnsi" w:hAnsiTheme="majorHAnsi"/>
          <w:sz w:val="20"/>
          <w:szCs w:val="20"/>
        </w:rPr>
        <w:t>rdered Hernando, I'm sure of your</w:t>
      </w:r>
      <w:r w:rsidRPr="00907400">
        <w:rPr>
          <w:rFonts w:asciiTheme="majorHAnsi" w:hAnsiTheme="majorHAnsi"/>
          <w:sz w:val="20"/>
          <w:szCs w:val="20"/>
        </w:rPr>
        <w:t xml:space="preserve"> innocence, we kept talking and he told me that behind the death of Mr. Pizarro there were </w:t>
      </w:r>
      <w:r w:rsidR="00577BF8" w:rsidRPr="00907400">
        <w:rPr>
          <w:rFonts w:asciiTheme="majorHAnsi" w:hAnsiTheme="majorHAnsi"/>
          <w:sz w:val="20"/>
          <w:szCs w:val="20"/>
        </w:rPr>
        <w:t xml:space="preserve">powerful </w:t>
      </w:r>
      <w:r w:rsidR="00E467AB" w:rsidRPr="00907400">
        <w:rPr>
          <w:rFonts w:asciiTheme="majorHAnsi" w:hAnsiTheme="majorHAnsi"/>
          <w:sz w:val="20"/>
          <w:szCs w:val="20"/>
        </w:rPr>
        <w:t xml:space="preserve">people </w:t>
      </w:r>
      <w:r w:rsidR="00577BF8" w:rsidRPr="00907400">
        <w:rPr>
          <w:rFonts w:asciiTheme="majorHAnsi" w:hAnsiTheme="majorHAnsi"/>
          <w:sz w:val="20"/>
          <w:szCs w:val="20"/>
        </w:rPr>
        <w:t>in</w:t>
      </w:r>
      <w:r w:rsidR="00E467AB" w:rsidRPr="00907400">
        <w:rPr>
          <w:rFonts w:asciiTheme="majorHAnsi" w:hAnsiTheme="majorHAnsi"/>
          <w:sz w:val="20"/>
          <w:szCs w:val="20"/>
        </w:rPr>
        <w:t>volved in</w:t>
      </w:r>
      <w:r w:rsidR="00577BF8" w:rsidRPr="00907400">
        <w:rPr>
          <w:rFonts w:asciiTheme="majorHAnsi" w:hAnsiTheme="majorHAnsi"/>
          <w:sz w:val="20"/>
          <w:szCs w:val="20"/>
        </w:rPr>
        <w:t xml:space="preserve"> </w:t>
      </w:r>
      <w:r w:rsidRPr="00907400">
        <w:rPr>
          <w:rFonts w:asciiTheme="majorHAnsi" w:hAnsiTheme="majorHAnsi"/>
          <w:sz w:val="20"/>
          <w:szCs w:val="20"/>
        </w:rPr>
        <w:t xml:space="preserve">military intelligence and </w:t>
      </w:r>
      <w:r w:rsidR="00577BF8" w:rsidRPr="00907400">
        <w:rPr>
          <w:rFonts w:asciiTheme="majorHAnsi" w:hAnsiTheme="majorHAnsi"/>
          <w:sz w:val="20"/>
          <w:szCs w:val="20"/>
        </w:rPr>
        <w:t>that t</w:t>
      </w:r>
      <w:r w:rsidRPr="00907400">
        <w:rPr>
          <w:rFonts w:asciiTheme="majorHAnsi" w:hAnsiTheme="majorHAnsi"/>
          <w:sz w:val="20"/>
          <w:szCs w:val="20"/>
        </w:rPr>
        <w:t xml:space="preserve">he witness </w:t>
      </w:r>
      <w:r w:rsidR="00E467AB" w:rsidRPr="00907400">
        <w:rPr>
          <w:rFonts w:asciiTheme="majorHAnsi" w:hAnsiTheme="majorHAnsi"/>
          <w:sz w:val="20"/>
          <w:szCs w:val="20"/>
        </w:rPr>
        <w:t>that pointed</w:t>
      </w:r>
      <w:r w:rsidRPr="00907400">
        <w:rPr>
          <w:rFonts w:asciiTheme="majorHAnsi" w:hAnsiTheme="majorHAnsi"/>
          <w:sz w:val="20"/>
          <w:szCs w:val="20"/>
        </w:rPr>
        <w:t xml:space="preserve"> to me, that is, Mrs. Olga Esther Guevara, was a member of military intelligence. The day that the Court </w:t>
      </w:r>
      <w:r w:rsidR="00042A1A" w:rsidRPr="00907400">
        <w:rPr>
          <w:rFonts w:asciiTheme="majorHAnsi" w:hAnsiTheme="majorHAnsi"/>
          <w:sz w:val="20"/>
          <w:szCs w:val="20"/>
        </w:rPr>
        <w:t>issued the guilty verdict</w:t>
      </w:r>
      <w:r w:rsidRPr="00907400">
        <w:rPr>
          <w:rFonts w:asciiTheme="majorHAnsi" w:hAnsiTheme="majorHAnsi"/>
          <w:sz w:val="20"/>
          <w:szCs w:val="20"/>
        </w:rPr>
        <w:t xml:space="preserve">, Dr. Umaña </w:t>
      </w:r>
      <w:r w:rsidR="00E467AB" w:rsidRPr="00907400">
        <w:rPr>
          <w:rFonts w:asciiTheme="majorHAnsi" w:hAnsiTheme="majorHAnsi"/>
          <w:sz w:val="20"/>
          <w:szCs w:val="20"/>
        </w:rPr>
        <w:t xml:space="preserve">came here to La Picota </w:t>
      </w:r>
      <w:r w:rsidRPr="00907400">
        <w:rPr>
          <w:rFonts w:asciiTheme="majorHAnsi" w:hAnsiTheme="majorHAnsi"/>
          <w:sz w:val="20"/>
          <w:szCs w:val="20"/>
        </w:rPr>
        <w:t xml:space="preserve">(...), I spoke with him that day and he told me not to worry, that he was already tired of so much injustice and that </w:t>
      </w:r>
      <w:r w:rsidR="00042A1A" w:rsidRPr="00907400">
        <w:rPr>
          <w:rFonts w:asciiTheme="majorHAnsi" w:hAnsiTheme="majorHAnsi"/>
          <w:sz w:val="20"/>
          <w:szCs w:val="20"/>
        </w:rPr>
        <w:t xml:space="preserve">it would all </w:t>
      </w:r>
      <w:r w:rsidR="00042A1A" w:rsidRPr="00907400">
        <w:rPr>
          <w:rFonts w:asciiTheme="majorHAnsi" w:hAnsiTheme="majorHAnsi"/>
          <w:sz w:val="20"/>
          <w:szCs w:val="20"/>
        </w:rPr>
        <w:lastRenderedPageBreak/>
        <w:t>come out in</w:t>
      </w:r>
      <w:r w:rsidRPr="00907400">
        <w:rPr>
          <w:rFonts w:asciiTheme="majorHAnsi" w:hAnsiTheme="majorHAnsi"/>
          <w:sz w:val="20"/>
          <w:szCs w:val="20"/>
        </w:rPr>
        <w:t xml:space="preserve"> the Supreme Court, that was the last thing we talked about, and then they murdered him.</w:t>
      </w:r>
      <w:r w:rsidR="00C4732D" w:rsidRPr="00907400">
        <w:rPr>
          <w:rStyle w:val="FootnoteReference"/>
          <w:rFonts w:asciiTheme="majorHAnsi" w:hAnsiTheme="majorHAnsi"/>
          <w:sz w:val="20"/>
          <w:szCs w:val="20"/>
        </w:rPr>
        <w:footnoteReference w:id="54"/>
      </w:r>
    </w:p>
    <w:p w14:paraId="33BF5911"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EC8B76B" w14:textId="77777777" w:rsidR="0070717E"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does not have information </w:t>
      </w:r>
      <w:r w:rsidR="0004290E" w:rsidRPr="00907400">
        <w:rPr>
          <w:rFonts w:asciiTheme="majorHAnsi" w:hAnsiTheme="majorHAnsi"/>
          <w:sz w:val="20"/>
          <w:szCs w:val="20"/>
        </w:rPr>
        <w:t>on the investigation carried out</w:t>
      </w:r>
      <w:r w:rsidRPr="00907400">
        <w:rPr>
          <w:rFonts w:asciiTheme="majorHAnsi" w:hAnsiTheme="majorHAnsi"/>
          <w:sz w:val="20"/>
          <w:szCs w:val="20"/>
        </w:rPr>
        <w:t xml:space="preserve"> into Mr. Umaña's death.</w:t>
      </w:r>
    </w:p>
    <w:p w14:paraId="05316056"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2497C43"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July 5, 2</w:t>
      </w:r>
      <w:r w:rsidR="00966EE4" w:rsidRPr="00907400">
        <w:rPr>
          <w:rFonts w:asciiTheme="majorHAnsi" w:hAnsiTheme="majorHAnsi"/>
          <w:sz w:val="20"/>
          <w:szCs w:val="20"/>
        </w:rPr>
        <w:t>000, the CTI’s Special Prosecutor</w:t>
      </w:r>
      <w:r w:rsidRPr="00907400">
        <w:rPr>
          <w:rFonts w:asciiTheme="majorHAnsi" w:hAnsiTheme="majorHAnsi"/>
          <w:sz w:val="20"/>
          <w:szCs w:val="20"/>
        </w:rPr>
        <w:t xml:space="preserve"> sent an official </w:t>
      </w:r>
      <w:r w:rsidR="00966EE4" w:rsidRPr="00907400">
        <w:rPr>
          <w:rFonts w:asciiTheme="majorHAnsi" w:hAnsiTheme="majorHAnsi"/>
          <w:sz w:val="20"/>
          <w:szCs w:val="20"/>
        </w:rPr>
        <w:t>brief</w:t>
      </w:r>
      <w:r w:rsidRPr="00907400">
        <w:rPr>
          <w:rFonts w:asciiTheme="majorHAnsi" w:hAnsiTheme="majorHAnsi"/>
          <w:sz w:val="20"/>
          <w:szCs w:val="20"/>
        </w:rPr>
        <w:t xml:space="preserve"> to the Criminal Cassation Chamber of</w:t>
      </w:r>
      <w:r w:rsidR="00530CC7" w:rsidRPr="00907400">
        <w:rPr>
          <w:rFonts w:asciiTheme="majorHAnsi" w:hAnsiTheme="majorHAnsi"/>
          <w:sz w:val="20"/>
          <w:szCs w:val="20"/>
        </w:rPr>
        <w:t xml:space="preserve"> the Supreme Court of Justice –</w:t>
      </w:r>
      <w:r w:rsidRPr="00907400">
        <w:rPr>
          <w:rFonts w:asciiTheme="majorHAnsi" w:hAnsiTheme="majorHAnsi"/>
          <w:sz w:val="20"/>
          <w:szCs w:val="20"/>
        </w:rPr>
        <w:t xml:space="preserve">which, at that time, had yet to rule on the </w:t>
      </w:r>
      <w:r w:rsidRPr="00907400">
        <w:rPr>
          <w:rFonts w:asciiTheme="majorHAnsi" w:hAnsiTheme="majorHAnsi"/>
          <w:i/>
          <w:sz w:val="20"/>
          <w:szCs w:val="20"/>
        </w:rPr>
        <w:t>cassation</w:t>
      </w:r>
      <w:r w:rsidRPr="00907400">
        <w:rPr>
          <w:rFonts w:asciiTheme="majorHAnsi" w:hAnsiTheme="majorHAnsi"/>
          <w:sz w:val="20"/>
          <w:szCs w:val="20"/>
        </w:rPr>
        <w:t xml:space="preserve"> </w:t>
      </w:r>
      <w:r w:rsidR="00966EE4" w:rsidRPr="00907400">
        <w:rPr>
          <w:rFonts w:asciiTheme="majorHAnsi" w:hAnsiTheme="majorHAnsi"/>
          <w:sz w:val="20"/>
          <w:szCs w:val="20"/>
        </w:rPr>
        <w:t>appeal filed</w:t>
      </w:r>
      <w:r w:rsidRPr="00907400">
        <w:rPr>
          <w:rFonts w:asciiTheme="majorHAnsi" w:hAnsiTheme="majorHAnsi"/>
          <w:sz w:val="20"/>
          <w:szCs w:val="20"/>
        </w:rPr>
        <w:t xml:space="preserve"> against the sec</w:t>
      </w:r>
      <w:r w:rsidR="00530CC7" w:rsidRPr="00907400">
        <w:rPr>
          <w:rFonts w:asciiTheme="majorHAnsi" w:hAnsiTheme="majorHAnsi"/>
          <w:sz w:val="20"/>
          <w:szCs w:val="20"/>
        </w:rPr>
        <w:t xml:space="preserve">ond instance conviction— </w:t>
      </w:r>
      <w:r w:rsidRPr="00907400">
        <w:rPr>
          <w:rFonts w:asciiTheme="majorHAnsi" w:hAnsiTheme="majorHAnsi"/>
          <w:sz w:val="20"/>
          <w:szCs w:val="20"/>
        </w:rPr>
        <w:t xml:space="preserve">enclosing a statement by Mercedes Yolima Guaqueta Hernandez. Mrs. Guaqueta indicated that she had worked in the National Army for fourteen years and stated that she </w:t>
      </w:r>
      <w:r w:rsidR="00966EE4" w:rsidRPr="00907400">
        <w:rPr>
          <w:rFonts w:asciiTheme="majorHAnsi" w:hAnsiTheme="majorHAnsi"/>
          <w:sz w:val="20"/>
          <w:szCs w:val="20"/>
        </w:rPr>
        <w:t>ha</w:t>
      </w:r>
      <w:r w:rsidR="00A433FF" w:rsidRPr="00907400">
        <w:rPr>
          <w:rFonts w:asciiTheme="majorHAnsi" w:hAnsiTheme="majorHAnsi"/>
          <w:sz w:val="20"/>
          <w:szCs w:val="20"/>
        </w:rPr>
        <w:t>d</w:t>
      </w:r>
      <w:r w:rsidR="00966EE4" w:rsidRPr="00907400">
        <w:rPr>
          <w:rFonts w:asciiTheme="majorHAnsi" w:hAnsiTheme="majorHAnsi"/>
          <w:sz w:val="20"/>
          <w:szCs w:val="20"/>
        </w:rPr>
        <w:t xml:space="preserve"> </w:t>
      </w:r>
      <w:r w:rsidRPr="00907400">
        <w:rPr>
          <w:rFonts w:asciiTheme="majorHAnsi" w:hAnsiTheme="majorHAnsi"/>
          <w:sz w:val="20"/>
          <w:szCs w:val="20"/>
        </w:rPr>
        <w:t xml:space="preserve">participated in the operation </w:t>
      </w:r>
      <w:r w:rsidR="00966EE4" w:rsidRPr="00907400">
        <w:rPr>
          <w:rFonts w:asciiTheme="majorHAnsi" w:hAnsiTheme="majorHAnsi"/>
          <w:sz w:val="20"/>
          <w:szCs w:val="20"/>
        </w:rPr>
        <w:t>culminating in</w:t>
      </w:r>
      <w:r w:rsidRPr="00907400">
        <w:rPr>
          <w:rFonts w:asciiTheme="majorHAnsi" w:hAnsiTheme="majorHAnsi"/>
          <w:sz w:val="20"/>
          <w:szCs w:val="20"/>
        </w:rPr>
        <w:t xml:space="preserve"> Mr. Pizarro</w:t>
      </w:r>
      <w:r w:rsidR="00966EE4" w:rsidRPr="00907400">
        <w:rPr>
          <w:rFonts w:asciiTheme="majorHAnsi" w:hAnsiTheme="majorHAnsi"/>
          <w:sz w:val="20"/>
          <w:szCs w:val="20"/>
        </w:rPr>
        <w:t>’s death</w:t>
      </w:r>
      <w:r w:rsidRPr="00907400">
        <w:rPr>
          <w:rFonts w:asciiTheme="majorHAnsi" w:hAnsiTheme="majorHAnsi"/>
          <w:sz w:val="20"/>
          <w:szCs w:val="20"/>
        </w:rPr>
        <w:t xml:space="preserve">. </w:t>
      </w:r>
      <w:r w:rsidR="00966EE4" w:rsidRPr="00907400">
        <w:rPr>
          <w:rFonts w:asciiTheme="majorHAnsi" w:hAnsiTheme="majorHAnsi"/>
          <w:sz w:val="20"/>
          <w:szCs w:val="20"/>
        </w:rPr>
        <w:t>She stated that</w:t>
      </w:r>
      <w:r w:rsidRPr="00907400">
        <w:rPr>
          <w:rFonts w:asciiTheme="majorHAnsi" w:hAnsiTheme="majorHAnsi"/>
          <w:sz w:val="20"/>
          <w:szCs w:val="20"/>
        </w:rPr>
        <w:t xml:space="preserve"> six public agents participated in the operation and that the person who shot Mr. Pizarro was an official of the Prosecutor's Office, whom </w:t>
      </w:r>
      <w:r w:rsidR="00966EE4" w:rsidRPr="00907400">
        <w:rPr>
          <w:rFonts w:asciiTheme="majorHAnsi" w:hAnsiTheme="majorHAnsi"/>
          <w:sz w:val="20"/>
          <w:szCs w:val="20"/>
        </w:rPr>
        <w:t>she described physically. Sh</w:t>
      </w:r>
      <w:r w:rsidRPr="00907400">
        <w:rPr>
          <w:rFonts w:asciiTheme="majorHAnsi" w:hAnsiTheme="majorHAnsi"/>
          <w:sz w:val="20"/>
          <w:szCs w:val="20"/>
        </w:rPr>
        <w:t xml:space="preserve">e added that </w:t>
      </w:r>
      <w:r w:rsidR="00966EE4" w:rsidRPr="00907400">
        <w:rPr>
          <w:rFonts w:asciiTheme="majorHAnsi" w:hAnsiTheme="majorHAnsi"/>
          <w:sz w:val="20"/>
          <w:szCs w:val="20"/>
        </w:rPr>
        <w:t>s</w:t>
      </w:r>
      <w:r w:rsidRPr="00907400">
        <w:rPr>
          <w:rFonts w:asciiTheme="majorHAnsi" w:hAnsiTheme="majorHAnsi"/>
          <w:sz w:val="20"/>
          <w:szCs w:val="20"/>
        </w:rPr>
        <w:t>he did not know the name of that person but that his nickname was "Hermes" and he worked with the Director of the CTI, Hernán Jiménez.</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55"/>
      </w:r>
    </w:p>
    <w:p w14:paraId="6830F8F1"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9CB3741"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Mrs. Guaqueta reported that the purpose of the operation was to capture Hernando Pizarro and obtain a </w:t>
      </w:r>
      <w:r w:rsidR="00B0231C" w:rsidRPr="00907400">
        <w:rPr>
          <w:rFonts w:asciiTheme="majorHAnsi" w:hAnsiTheme="majorHAnsi"/>
          <w:sz w:val="20"/>
          <w:szCs w:val="20"/>
        </w:rPr>
        <w:t>journal</w:t>
      </w:r>
      <w:r w:rsidRPr="00907400">
        <w:rPr>
          <w:rFonts w:asciiTheme="majorHAnsi" w:hAnsiTheme="majorHAnsi"/>
          <w:sz w:val="20"/>
          <w:szCs w:val="20"/>
        </w:rPr>
        <w:t xml:space="preserve"> in which he had evidence against the Army</w:t>
      </w:r>
      <w:r w:rsidR="001A151E" w:rsidRPr="00907400">
        <w:rPr>
          <w:rFonts w:asciiTheme="majorHAnsi" w:hAnsiTheme="majorHAnsi"/>
          <w:sz w:val="20"/>
          <w:szCs w:val="20"/>
        </w:rPr>
        <w:t xml:space="preserve"> and the Prosecutor's Office. She</w:t>
      </w:r>
      <w:r w:rsidRPr="00907400">
        <w:rPr>
          <w:rFonts w:asciiTheme="majorHAnsi" w:hAnsiTheme="majorHAnsi"/>
          <w:sz w:val="20"/>
          <w:szCs w:val="20"/>
        </w:rPr>
        <w:t xml:space="preserve"> maintained that Carlos Celis was </w:t>
      </w:r>
      <w:r w:rsidR="001A151E" w:rsidRPr="00907400">
        <w:rPr>
          <w:rFonts w:asciiTheme="majorHAnsi" w:hAnsiTheme="majorHAnsi"/>
          <w:sz w:val="20"/>
          <w:szCs w:val="20"/>
        </w:rPr>
        <w:t xml:space="preserve">an Army informant </w:t>
      </w:r>
      <w:r w:rsidRPr="00907400">
        <w:rPr>
          <w:rFonts w:asciiTheme="majorHAnsi" w:hAnsiTheme="majorHAnsi"/>
          <w:sz w:val="20"/>
          <w:szCs w:val="20"/>
        </w:rPr>
        <w:t xml:space="preserve">who </w:t>
      </w:r>
      <w:r w:rsidR="001A151E" w:rsidRPr="00907400">
        <w:rPr>
          <w:rFonts w:asciiTheme="majorHAnsi" w:hAnsiTheme="majorHAnsi"/>
          <w:sz w:val="20"/>
          <w:szCs w:val="20"/>
        </w:rPr>
        <w:t>was aware</w:t>
      </w:r>
      <w:r w:rsidRPr="00907400">
        <w:rPr>
          <w:rFonts w:asciiTheme="majorHAnsi" w:hAnsiTheme="majorHAnsi"/>
          <w:sz w:val="20"/>
          <w:szCs w:val="20"/>
        </w:rPr>
        <w:t xml:space="preserve"> that Mr. Pizarro had such documentation. </w:t>
      </w:r>
      <w:r w:rsidR="00B0231C" w:rsidRPr="00907400">
        <w:rPr>
          <w:rFonts w:asciiTheme="majorHAnsi" w:hAnsiTheme="majorHAnsi"/>
          <w:sz w:val="20"/>
          <w:szCs w:val="20"/>
        </w:rPr>
        <w:t>She confirmed</w:t>
      </w:r>
      <w:r w:rsidR="00530CC7" w:rsidRPr="00907400">
        <w:rPr>
          <w:rFonts w:asciiTheme="majorHAnsi" w:hAnsiTheme="majorHAnsi"/>
          <w:sz w:val="20"/>
          <w:szCs w:val="20"/>
        </w:rPr>
        <w:t xml:space="preserve"> that the Director of the CTI </w:t>
      </w:r>
      <w:r w:rsidR="00B0231C" w:rsidRPr="00907400">
        <w:rPr>
          <w:rFonts w:asciiTheme="majorHAnsi" w:hAnsiTheme="majorHAnsi"/>
          <w:sz w:val="20"/>
          <w:szCs w:val="20"/>
        </w:rPr>
        <w:t>chose</w:t>
      </w:r>
      <w:r w:rsidRPr="00907400">
        <w:rPr>
          <w:rFonts w:asciiTheme="majorHAnsi" w:hAnsiTheme="majorHAnsi"/>
          <w:sz w:val="20"/>
          <w:szCs w:val="20"/>
        </w:rPr>
        <w:t xml:space="preserve"> three workers </w:t>
      </w:r>
      <w:r w:rsidR="00B0231C" w:rsidRPr="00907400">
        <w:rPr>
          <w:rFonts w:asciiTheme="majorHAnsi" w:hAnsiTheme="majorHAnsi"/>
          <w:sz w:val="20"/>
          <w:szCs w:val="20"/>
        </w:rPr>
        <w:t xml:space="preserve">from the Prosecutor's Office </w:t>
      </w:r>
      <w:r w:rsidRPr="00907400">
        <w:rPr>
          <w:rFonts w:asciiTheme="majorHAnsi" w:hAnsiTheme="majorHAnsi"/>
          <w:sz w:val="20"/>
          <w:szCs w:val="20"/>
        </w:rPr>
        <w:t xml:space="preserve">"of limited resources (...) so that they </w:t>
      </w:r>
      <w:r w:rsidR="00B0231C" w:rsidRPr="00907400">
        <w:rPr>
          <w:rFonts w:asciiTheme="majorHAnsi" w:hAnsiTheme="majorHAnsi"/>
          <w:sz w:val="20"/>
          <w:szCs w:val="20"/>
        </w:rPr>
        <w:t>could have no</w:t>
      </w:r>
      <w:r w:rsidRPr="00907400">
        <w:rPr>
          <w:rFonts w:asciiTheme="majorHAnsi" w:hAnsiTheme="majorHAnsi"/>
          <w:sz w:val="20"/>
          <w:szCs w:val="20"/>
        </w:rPr>
        <w:t xml:space="preserve"> defense" and finally Gustavo Sastoque was chosen to be prosecuted in order to hold him responsible for the murder of Pizarro.</w:t>
      </w:r>
      <w:r w:rsidR="00C4732D" w:rsidRPr="00907400">
        <w:rPr>
          <w:rStyle w:val="FootnoteReference"/>
          <w:rFonts w:asciiTheme="majorHAnsi" w:hAnsiTheme="majorHAnsi"/>
          <w:sz w:val="20"/>
          <w:szCs w:val="20"/>
        </w:rPr>
        <w:footnoteReference w:id="56"/>
      </w:r>
    </w:p>
    <w:p w14:paraId="44137C33"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A908439" w14:textId="77777777" w:rsidR="0070717E" w:rsidRPr="00907400" w:rsidRDefault="008B0F0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Sh</w:t>
      </w:r>
      <w:r w:rsidR="0070717E" w:rsidRPr="00907400">
        <w:rPr>
          <w:rFonts w:asciiTheme="majorHAnsi" w:hAnsiTheme="majorHAnsi"/>
          <w:sz w:val="20"/>
          <w:szCs w:val="20"/>
        </w:rPr>
        <w:t xml:space="preserve">e also stated that the Army paid 20 million pesos to Olga Esther Guevara, known as Witness No. 1, to memorize Sastoque's features and </w:t>
      </w:r>
      <w:r w:rsidRPr="00907400">
        <w:rPr>
          <w:rFonts w:asciiTheme="majorHAnsi" w:hAnsiTheme="majorHAnsi"/>
          <w:sz w:val="20"/>
          <w:szCs w:val="20"/>
        </w:rPr>
        <w:t>to state</w:t>
      </w:r>
      <w:r w:rsidR="0070717E" w:rsidRPr="00907400">
        <w:rPr>
          <w:rFonts w:asciiTheme="majorHAnsi" w:hAnsiTheme="majorHAnsi"/>
          <w:sz w:val="20"/>
          <w:szCs w:val="20"/>
        </w:rPr>
        <w:t xml:space="preserve"> that he was</w:t>
      </w:r>
      <w:r w:rsidRPr="00907400">
        <w:rPr>
          <w:rFonts w:asciiTheme="majorHAnsi" w:hAnsiTheme="majorHAnsi"/>
          <w:sz w:val="20"/>
          <w:szCs w:val="20"/>
        </w:rPr>
        <w:t xml:space="preserve"> the one who shot Mr. Pizarro. Sh</w:t>
      </w:r>
      <w:r w:rsidR="0070717E" w:rsidRPr="00907400">
        <w:rPr>
          <w:rFonts w:asciiTheme="majorHAnsi" w:hAnsiTheme="majorHAnsi"/>
          <w:sz w:val="20"/>
          <w:szCs w:val="20"/>
        </w:rPr>
        <w:t xml:space="preserve">e indicated that the Army undertook to provide protection to Mrs. Guevara. </w:t>
      </w:r>
      <w:r w:rsidRPr="00907400">
        <w:rPr>
          <w:rFonts w:asciiTheme="majorHAnsi" w:hAnsiTheme="majorHAnsi"/>
          <w:sz w:val="20"/>
          <w:szCs w:val="20"/>
        </w:rPr>
        <w:t>She</w:t>
      </w:r>
      <w:r w:rsidR="0070717E" w:rsidRPr="00907400">
        <w:rPr>
          <w:rFonts w:asciiTheme="majorHAnsi" w:hAnsiTheme="majorHAnsi"/>
          <w:sz w:val="20"/>
          <w:szCs w:val="20"/>
        </w:rPr>
        <w:t xml:space="preserve"> added that the Army gave the order to assassinate Mr. Sastoque's lawyer, Eduardo Umaña, since he had "a lot of information".</w:t>
      </w:r>
      <w:r w:rsidR="00C4732D" w:rsidRPr="00907400">
        <w:rPr>
          <w:rStyle w:val="FootnoteReference"/>
          <w:rFonts w:asciiTheme="majorHAnsi" w:hAnsiTheme="majorHAnsi"/>
          <w:sz w:val="20"/>
          <w:szCs w:val="20"/>
        </w:rPr>
        <w:footnoteReference w:id="57"/>
      </w:r>
      <w:r w:rsidR="0070717E" w:rsidRPr="00907400">
        <w:rPr>
          <w:rFonts w:asciiTheme="majorHAnsi" w:hAnsiTheme="majorHAnsi"/>
          <w:sz w:val="20"/>
          <w:szCs w:val="20"/>
        </w:rPr>
        <w:t xml:space="preserve"> The IACHR does not have information on whether an investigation was initiated in this regard.</w:t>
      </w:r>
    </w:p>
    <w:p w14:paraId="552D546D"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70CABA5"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November 9, 2000, Ángel Junca gave a statement before the </w:t>
      </w:r>
      <w:r w:rsidR="00C0415B" w:rsidRPr="00907400">
        <w:rPr>
          <w:rFonts w:asciiTheme="majorHAnsi" w:hAnsiTheme="majorHAnsi"/>
          <w:sz w:val="20"/>
          <w:szCs w:val="20"/>
        </w:rPr>
        <w:t xml:space="preserve">National </w:t>
      </w:r>
      <w:r w:rsidRPr="00907400">
        <w:rPr>
          <w:rFonts w:asciiTheme="majorHAnsi" w:hAnsiTheme="majorHAnsi"/>
          <w:sz w:val="20"/>
          <w:szCs w:val="20"/>
        </w:rPr>
        <w:t xml:space="preserve">Attorney General's Office. He indicated that at the time of Mr. Pizarro's death he was </w:t>
      </w:r>
      <w:r w:rsidR="00C0415B" w:rsidRPr="00907400">
        <w:rPr>
          <w:rFonts w:asciiTheme="majorHAnsi" w:hAnsiTheme="majorHAnsi"/>
          <w:sz w:val="20"/>
          <w:szCs w:val="20"/>
        </w:rPr>
        <w:t>employed</w:t>
      </w:r>
      <w:r w:rsidRPr="00907400">
        <w:rPr>
          <w:rFonts w:asciiTheme="majorHAnsi" w:hAnsiTheme="majorHAnsi"/>
          <w:sz w:val="20"/>
          <w:szCs w:val="20"/>
        </w:rPr>
        <w:t xml:space="preserve"> as a local prosecutor. He </w:t>
      </w:r>
      <w:r w:rsidR="00C0415B" w:rsidRPr="00907400">
        <w:rPr>
          <w:rFonts w:asciiTheme="majorHAnsi" w:hAnsiTheme="majorHAnsi"/>
          <w:sz w:val="20"/>
          <w:szCs w:val="20"/>
        </w:rPr>
        <w:t>stated</w:t>
      </w:r>
      <w:r w:rsidRPr="00907400">
        <w:rPr>
          <w:rFonts w:asciiTheme="majorHAnsi" w:hAnsiTheme="majorHAnsi"/>
          <w:sz w:val="20"/>
          <w:szCs w:val="20"/>
        </w:rPr>
        <w:t xml:space="preserve"> that two days before Mr. Pizarro's death, he handed over a white Toyota truck</w:t>
      </w:r>
      <w:r w:rsidR="00C0415B" w:rsidRPr="00907400">
        <w:rPr>
          <w:rFonts w:asciiTheme="majorHAnsi" w:hAnsiTheme="majorHAnsi"/>
          <w:sz w:val="20"/>
          <w:szCs w:val="20"/>
        </w:rPr>
        <w:t xml:space="preserve"> to the Director of the CTI, Hernán Jiménez</w:t>
      </w:r>
      <w:r w:rsidR="00185798" w:rsidRPr="00907400">
        <w:rPr>
          <w:rFonts w:asciiTheme="majorHAnsi" w:hAnsiTheme="majorHAnsi"/>
          <w:sz w:val="20"/>
          <w:szCs w:val="20"/>
        </w:rPr>
        <w:t>.  This was the</w:t>
      </w:r>
      <w:r w:rsidR="00530CC7" w:rsidRPr="00907400">
        <w:rPr>
          <w:rFonts w:asciiTheme="majorHAnsi" w:hAnsiTheme="majorHAnsi"/>
          <w:sz w:val="20"/>
          <w:szCs w:val="20"/>
        </w:rPr>
        <w:t xml:space="preserve"> same model used by the individuals</w:t>
      </w:r>
      <w:r w:rsidRPr="00907400">
        <w:rPr>
          <w:rFonts w:asciiTheme="majorHAnsi" w:hAnsiTheme="majorHAnsi"/>
          <w:sz w:val="20"/>
          <w:szCs w:val="20"/>
        </w:rPr>
        <w:t xml:space="preserve"> who murdered </w:t>
      </w:r>
      <w:r w:rsidR="00C0415B" w:rsidRPr="00907400">
        <w:rPr>
          <w:rFonts w:asciiTheme="majorHAnsi" w:hAnsiTheme="majorHAnsi"/>
          <w:sz w:val="20"/>
          <w:szCs w:val="20"/>
        </w:rPr>
        <w:t>Mr. Pizarro</w:t>
      </w:r>
      <w:r w:rsidRPr="00907400">
        <w:rPr>
          <w:rFonts w:asciiTheme="majorHAnsi" w:hAnsiTheme="majorHAnsi"/>
          <w:sz w:val="20"/>
          <w:szCs w:val="20"/>
        </w:rPr>
        <w:t>.</w:t>
      </w:r>
      <w:r w:rsidR="00C4732D" w:rsidRPr="00907400">
        <w:rPr>
          <w:rStyle w:val="FootnoteReference"/>
          <w:rFonts w:asciiTheme="majorHAnsi" w:hAnsiTheme="majorHAnsi"/>
          <w:sz w:val="20"/>
          <w:szCs w:val="20"/>
        </w:rPr>
        <w:footnoteReference w:id="58"/>
      </w:r>
    </w:p>
    <w:p w14:paraId="4C21AECF"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33C1B2F"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February 13, 2003, the Criminal </w:t>
      </w:r>
      <w:r w:rsidRPr="00907400">
        <w:rPr>
          <w:rFonts w:asciiTheme="majorHAnsi" w:hAnsiTheme="majorHAnsi"/>
          <w:i/>
          <w:sz w:val="20"/>
          <w:szCs w:val="20"/>
        </w:rPr>
        <w:t>Cassation</w:t>
      </w:r>
      <w:r w:rsidRPr="00907400">
        <w:rPr>
          <w:rFonts w:asciiTheme="majorHAnsi" w:hAnsiTheme="majorHAnsi"/>
          <w:sz w:val="20"/>
          <w:szCs w:val="20"/>
        </w:rPr>
        <w:t xml:space="preserve"> Chamber of the Supreme Court of Justice </w:t>
      </w:r>
      <w:r w:rsidR="00110807" w:rsidRPr="00907400">
        <w:rPr>
          <w:rFonts w:asciiTheme="majorHAnsi" w:hAnsiTheme="majorHAnsi"/>
          <w:sz w:val="20"/>
          <w:szCs w:val="20"/>
        </w:rPr>
        <w:t>decided</w:t>
      </w:r>
      <w:r w:rsidRPr="00907400">
        <w:rPr>
          <w:rFonts w:asciiTheme="majorHAnsi" w:hAnsiTheme="majorHAnsi"/>
          <w:sz w:val="20"/>
          <w:szCs w:val="20"/>
        </w:rPr>
        <w:t xml:space="preserve"> the </w:t>
      </w:r>
      <w:r w:rsidRPr="00907400">
        <w:rPr>
          <w:rFonts w:asciiTheme="majorHAnsi" w:hAnsiTheme="majorHAnsi"/>
          <w:i/>
          <w:sz w:val="20"/>
          <w:szCs w:val="20"/>
        </w:rPr>
        <w:t>cassation</w:t>
      </w:r>
      <w:r w:rsidRPr="00907400">
        <w:rPr>
          <w:rFonts w:asciiTheme="majorHAnsi" w:hAnsiTheme="majorHAnsi"/>
          <w:sz w:val="20"/>
          <w:szCs w:val="20"/>
        </w:rPr>
        <w:t xml:space="preserve"> appeal filed by Mr. Sastoque's defense</w:t>
      </w:r>
      <w:r w:rsidR="00110807" w:rsidRPr="00907400">
        <w:rPr>
          <w:rFonts w:asciiTheme="majorHAnsi" w:hAnsiTheme="majorHAnsi"/>
          <w:sz w:val="20"/>
          <w:szCs w:val="20"/>
        </w:rPr>
        <w:t xml:space="preserve"> attorney</w:t>
      </w:r>
      <w:r w:rsidR="00530CC7" w:rsidRPr="00907400">
        <w:rPr>
          <w:rFonts w:asciiTheme="majorHAnsi" w:hAnsiTheme="majorHAnsi"/>
          <w:sz w:val="20"/>
          <w:szCs w:val="20"/>
        </w:rPr>
        <w:t xml:space="preserve"> and decided </w:t>
      </w:r>
      <w:r w:rsidR="00110807" w:rsidRPr="00907400">
        <w:rPr>
          <w:rFonts w:asciiTheme="majorHAnsi" w:hAnsiTheme="majorHAnsi"/>
          <w:sz w:val="20"/>
          <w:szCs w:val="20"/>
        </w:rPr>
        <w:t xml:space="preserve"> "</w:t>
      </w:r>
      <w:r w:rsidR="00530CC7" w:rsidRPr="00907400">
        <w:rPr>
          <w:rFonts w:asciiTheme="majorHAnsi" w:hAnsiTheme="majorHAnsi"/>
          <w:sz w:val="20"/>
          <w:szCs w:val="20"/>
        </w:rPr>
        <w:t>not to</w:t>
      </w:r>
      <w:r w:rsidRPr="00907400">
        <w:rPr>
          <w:rFonts w:asciiTheme="majorHAnsi" w:hAnsiTheme="majorHAnsi"/>
          <w:sz w:val="20"/>
          <w:szCs w:val="20"/>
        </w:rPr>
        <w:t xml:space="preserve"> </w:t>
      </w:r>
      <w:r w:rsidR="00530CC7" w:rsidRPr="00907400">
        <w:rPr>
          <w:rFonts w:asciiTheme="majorHAnsi" w:hAnsiTheme="majorHAnsi"/>
          <w:sz w:val="20"/>
          <w:szCs w:val="20"/>
        </w:rPr>
        <w:t>review</w:t>
      </w:r>
      <w:r w:rsidRPr="00907400">
        <w:rPr>
          <w:rFonts w:asciiTheme="majorHAnsi" w:hAnsiTheme="majorHAnsi"/>
          <w:sz w:val="20"/>
          <w:szCs w:val="20"/>
        </w:rPr>
        <w:t xml:space="preserve"> the contested judgment." The Chamber indicated the following:</w:t>
      </w:r>
    </w:p>
    <w:p w14:paraId="73EBA7B2" w14:textId="77777777" w:rsidR="00C27451"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28D5EC3" w14:textId="77777777" w:rsidR="0070717E" w:rsidRPr="00907400" w:rsidRDefault="00530CC7"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 appel</w:t>
      </w:r>
      <w:r w:rsidR="00EA3DFE" w:rsidRPr="00907400">
        <w:rPr>
          <w:rFonts w:asciiTheme="majorHAnsi" w:hAnsiTheme="majorHAnsi"/>
          <w:sz w:val="20"/>
          <w:szCs w:val="20"/>
        </w:rPr>
        <w:t>l</w:t>
      </w:r>
      <w:r w:rsidRPr="00907400">
        <w:rPr>
          <w:rFonts w:asciiTheme="majorHAnsi" w:hAnsiTheme="majorHAnsi"/>
          <w:sz w:val="20"/>
          <w:szCs w:val="20"/>
        </w:rPr>
        <w:t>ant</w:t>
      </w:r>
      <w:r w:rsidR="0070717E" w:rsidRPr="00907400">
        <w:rPr>
          <w:rFonts w:asciiTheme="majorHAnsi" w:hAnsiTheme="majorHAnsi"/>
          <w:sz w:val="20"/>
          <w:szCs w:val="20"/>
        </w:rPr>
        <w:t xml:space="preserve"> </w:t>
      </w:r>
      <w:r w:rsidR="00EA3DFE" w:rsidRPr="00907400">
        <w:rPr>
          <w:rFonts w:asciiTheme="majorHAnsi" w:hAnsiTheme="majorHAnsi"/>
          <w:sz w:val="20"/>
          <w:szCs w:val="20"/>
        </w:rPr>
        <w:t>should not only have</w:t>
      </w:r>
      <w:r w:rsidR="0070717E" w:rsidRPr="00907400">
        <w:rPr>
          <w:rFonts w:asciiTheme="majorHAnsi" w:hAnsiTheme="majorHAnsi"/>
          <w:sz w:val="20"/>
          <w:szCs w:val="20"/>
        </w:rPr>
        <w:t xml:space="preserve"> to id</w:t>
      </w:r>
      <w:r w:rsidR="00EA3DFE" w:rsidRPr="00907400">
        <w:rPr>
          <w:rFonts w:asciiTheme="majorHAnsi" w:hAnsiTheme="majorHAnsi"/>
          <w:sz w:val="20"/>
          <w:szCs w:val="20"/>
        </w:rPr>
        <w:t>entified the evidence and made</w:t>
      </w:r>
      <w:r w:rsidR="0070717E" w:rsidRPr="00907400">
        <w:rPr>
          <w:rFonts w:asciiTheme="majorHAnsi" w:hAnsiTheme="majorHAnsi"/>
          <w:sz w:val="20"/>
          <w:szCs w:val="20"/>
        </w:rPr>
        <w:t xml:space="preserve"> reference to its content, but also, in order for the substitution decision to be issued, </w:t>
      </w:r>
      <w:r w:rsidR="00EA3DFE" w:rsidRPr="00907400">
        <w:rPr>
          <w:rFonts w:asciiTheme="majorHAnsi" w:hAnsiTheme="majorHAnsi"/>
          <w:sz w:val="20"/>
          <w:szCs w:val="20"/>
        </w:rPr>
        <w:t xml:space="preserve">he should have </w:t>
      </w:r>
      <w:r w:rsidR="0070717E" w:rsidRPr="00907400">
        <w:rPr>
          <w:rFonts w:asciiTheme="majorHAnsi" w:hAnsiTheme="majorHAnsi"/>
          <w:sz w:val="20"/>
          <w:szCs w:val="20"/>
        </w:rPr>
        <w:t>provide</w:t>
      </w:r>
      <w:r w:rsidR="00EA3DFE" w:rsidRPr="00907400">
        <w:rPr>
          <w:rFonts w:asciiTheme="majorHAnsi" w:hAnsiTheme="majorHAnsi"/>
          <w:sz w:val="20"/>
          <w:szCs w:val="20"/>
        </w:rPr>
        <w:t>d</w:t>
      </w:r>
      <w:r w:rsidR="0070717E" w:rsidRPr="00907400">
        <w:rPr>
          <w:rFonts w:asciiTheme="majorHAnsi" w:hAnsiTheme="majorHAnsi"/>
          <w:sz w:val="20"/>
          <w:szCs w:val="20"/>
        </w:rPr>
        <w:t xml:space="preserve"> the truth </w:t>
      </w:r>
      <w:r w:rsidR="00EA3DFE" w:rsidRPr="00907400">
        <w:rPr>
          <w:rFonts w:asciiTheme="majorHAnsi" w:hAnsiTheme="majorHAnsi"/>
          <w:sz w:val="20"/>
          <w:szCs w:val="20"/>
        </w:rPr>
        <w:t xml:space="preserve">as </w:t>
      </w:r>
      <w:r w:rsidR="0070717E" w:rsidRPr="00907400">
        <w:rPr>
          <w:rFonts w:asciiTheme="majorHAnsi" w:hAnsiTheme="majorHAnsi"/>
          <w:sz w:val="20"/>
          <w:szCs w:val="20"/>
        </w:rPr>
        <w:t xml:space="preserve">established with the effectiveness of the omitted or alleged evidence </w:t>
      </w:r>
      <w:r w:rsidR="00EA3DFE" w:rsidRPr="00907400">
        <w:rPr>
          <w:rFonts w:asciiTheme="majorHAnsi" w:hAnsiTheme="majorHAnsi"/>
          <w:sz w:val="20"/>
          <w:szCs w:val="20"/>
        </w:rPr>
        <w:t>and the ineffectiveness of the evidence that</w:t>
      </w:r>
      <w:r w:rsidR="0070717E" w:rsidRPr="00907400">
        <w:rPr>
          <w:rFonts w:asciiTheme="majorHAnsi" w:hAnsiTheme="majorHAnsi"/>
          <w:sz w:val="20"/>
          <w:szCs w:val="20"/>
        </w:rPr>
        <w:t xml:space="preserve"> determined the orientation of the contested judgment.</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59"/>
      </w:r>
    </w:p>
    <w:p w14:paraId="7479257F"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6A05DFD" w14:textId="77777777" w:rsidR="0070717E"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On August 8, 2003, the Civil </w:t>
      </w:r>
      <w:r w:rsidRPr="00907400">
        <w:rPr>
          <w:rFonts w:asciiTheme="majorHAnsi" w:hAnsiTheme="majorHAnsi"/>
          <w:i/>
          <w:sz w:val="20"/>
          <w:szCs w:val="20"/>
        </w:rPr>
        <w:t>Cassation</w:t>
      </w:r>
      <w:r w:rsidRPr="00907400">
        <w:rPr>
          <w:rFonts w:asciiTheme="majorHAnsi" w:hAnsiTheme="majorHAnsi"/>
          <w:sz w:val="20"/>
          <w:szCs w:val="20"/>
        </w:rPr>
        <w:t xml:space="preserve"> Chamber of the Supreme Court of Justice decided a </w:t>
      </w:r>
      <w:r w:rsidR="00110807" w:rsidRPr="00907400">
        <w:rPr>
          <w:rFonts w:asciiTheme="majorHAnsi" w:hAnsiTheme="majorHAnsi"/>
          <w:i/>
          <w:sz w:val="20"/>
          <w:szCs w:val="20"/>
        </w:rPr>
        <w:t>tutela</w:t>
      </w:r>
      <w:r w:rsidR="008A7C1C" w:rsidRPr="00907400">
        <w:rPr>
          <w:rFonts w:asciiTheme="majorHAnsi" w:hAnsiTheme="majorHAnsi"/>
          <w:sz w:val="20"/>
          <w:szCs w:val="20"/>
        </w:rPr>
        <w:t xml:space="preserve"> remedy</w:t>
      </w:r>
      <w:r w:rsidRPr="00907400">
        <w:rPr>
          <w:rFonts w:asciiTheme="majorHAnsi" w:hAnsiTheme="majorHAnsi"/>
          <w:sz w:val="20"/>
          <w:szCs w:val="20"/>
        </w:rPr>
        <w:t xml:space="preserve"> filed by Mr. Sastoque. The Chamber </w:t>
      </w:r>
      <w:r w:rsidR="008A7C1C" w:rsidRPr="00907400">
        <w:rPr>
          <w:rFonts w:asciiTheme="majorHAnsi" w:hAnsiTheme="majorHAnsi"/>
          <w:sz w:val="20"/>
          <w:szCs w:val="20"/>
        </w:rPr>
        <w:t>highlighted</w:t>
      </w:r>
      <w:r w:rsidRPr="00907400">
        <w:rPr>
          <w:rFonts w:asciiTheme="majorHAnsi" w:hAnsiTheme="majorHAnsi"/>
          <w:sz w:val="20"/>
          <w:szCs w:val="20"/>
        </w:rPr>
        <w:t xml:space="preserve"> the following allegations </w:t>
      </w:r>
      <w:r w:rsidR="00110807" w:rsidRPr="00907400">
        <w:rPr>
          <w:rFonts w:asciiTheme="majorHAnsi" w:hAnsiTheme="majorHAnsi"/>
          <w:sz w:val="20"/>
          <w:szCs w:val="20"/>
        </w:rPr>
        <w:t xml:space="preserve">made </w:t>
      </w:r>
      <w:r w:rsidRPr="00907400">
        <w:rPr>
          <w:rFonts w:asciiTheme="majorHAnsi" w:hAnsiTheme="majorHAnsi"/>
          <w:sz w:val="20"/>
          <w:szCs w:val="20"/>
        </w:rPr>
        <w:t>by Mr. Sastoque:</w:t>
      </w:r>
    </w:p>
    <w:p w14:paraId="31429FA2"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3F2D2D4" w14:textId="77777777" w:rsidR="0070717E" w:rsidRPr="00907400" w:rsidRDefault="006F5EF6"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 appellant</w:t>
      </w:r>
      <w:r w:rsidR="0070717E" w:rsidRPr="00907400">
        <w:rPr>
          <w:rFonts w:asciiTheme="majorHAnsi" w:hAnsiTheme="majorHAnsi"/>
          <w:sz w:val="20"/>
          <w:szCs w:val="20"/>
        </w:rPr>
        <w:t xml:space="preserve"> in summary argues that the convictio</w:t>
      </w:r>
      <w:r w:rsidR="002854BF" w:rsidRPr="00907400">
        <w:rPr>
          <w:rFonts w:asciiTheme="majorHAnsi" w:hAnsiTheme="majorHAnsi"/>
          <w:sz w:val="20"/>
          <w:szCs w:val="20"/>
        </w:rPr>
        <w:t>n is arbitrary and ignores his</w:t>
      </w:r>
      <w:r w:rsidR="0070717E" w:rsidRPr="00907400">
        <w:rPr>
          <w:rFonts w:asciiTheme="majorHAnsi" w:hAnsiTheme="majorHAnsi"/>
          <w:sz w:val="20"/>
          <w:szCs w:val="20"/>
        </w:rPr>
        <w:t xml:space="preserve"> fundamental rights, since it was based on irregularly </w:t>
      </w:r>
      <w:r w:rsidR="002854BF" w:rsidRPr="00907400">
        <w:rPr>
          <w:rFonts w:asciiTheme="majorHAnsi" w:hAnsiTheme="majorHAnsi"/>
          <w:sz w:val="20"/>
          <w:szCs w:val="20"/>
        </w:rPr>
        <w:t xml:space="preserve">obtained evidence </w:t>
      </w:r>
      <w:r w:rsidR="008A7C1C" w:rsidRPr="00907400">
        <w:rPr>
          <w:rFonts w:asciiTheme="majorHAnsi" w:hAnsiTheme="majorHAnsi"/>
          <w:sz w:val="20"/>
          <w:szCs w:val="20"/>
        </w:rPr>
        <w:t>and as a result of a framing</w:t>
      </w:r>
      <w:r w:rsidR="0070717E" w:rsidRPr="00907400">
        <w:rPr>
          <w:rFonts w:asciiTheme="majorHAnsi" w:hAnsiTheme="majorHAnsi"/>
          <w:sz w:val="20"/>
          <w:szCs w:val="20"/>
        </w:rPr>
        <w:t xml:space="preserve"> against him in the previous investigation, </w:t>
      </w:r>
      <w:r w:rsidR="008A7C1C" w:rsidRPr="00907400">
        <w:rPr>
          <w:rFonts w:asciiTheme="majorHAnsi" w:hAnsiTheme="majorHAnsi"/>
          <w:sz w:val="20"/>
          <w:szCs w:val="20"/>
        </w:rPr>
        <w:t>with the regional prosecutor omitting the legality review</w:t>
      </w:r>
      <w:r w:rsidR="0070717E" w:rsidRPr="00907400">
        <w:rPr>
          <w:rFonts w:asciiTheme="majorHAnsi" w:hAnsiTheme="majorHAnsi"/>
          <w:sz w:val="20"/>
          <w:szCs w:val="20"/>
        </w:rPr>
        <w:t xml:space="preserve"> </w:t>
      </w:r>
      <w:r w:rsidR="008A7C1C" w:rsidRPr="00907400">
        <w:rPr>
          <w:rFonts w:asciiTheme="majorHAnsi" w:hAnsiTheme="majorHAnsi"/>
          <w:sz w:val="20"/>
          <w:szCs w:val="20"/>
        </w:rPr>
        <w:t>on</w:t>
      </w:r>
      <w:r w:rsidR="0070717E" w:rsidRPr="00907400">
        <w:rPr>
          <w:rFonts w:asciiTheme="majorHAnsi" w:hAnsiTheme="majorHAnsi"/>
          <w:sz w:val="20"/>
          <w:szCs w:val="20"/>
        </w:rPr>
        <w:t xml:space="preserve"> the testimonies </w:t>
      </w:r>
      <w:r w:rsidR="002854BF" w:rsidRPr="00907400">
        <w:rPr>
          <w:rFonts w:asciiTheme="majorHAnsi" w:hAnsiTheme="majorHAnsi"/>
          <w:sz w:val="20"/>
          <w:szCs w:val="20"/>
        </w:rPr>
        <w:t>obtained</w:t>
      </w:r>
      <w:r w:rsidR="0070717E" w:rsidRPr="00907400">
        <w:rPr>
          <w:rFonts w:asciiTheme="majorHAnsi" w:hAnsiTheme="majorHAnsi"/>
          <w:sz w:val="20"/>
          <w:szCs w:val="20"/>
        </w:rPr>
        <w:t xml:space="preserve"> and </w:t>
      </w:r>
      <w:r w:rsidR="008A7C1C" w:rsidRPr="00907400">
        <w:rPr>
          <w:rFonts w:asciiTheme="majorHAnsi" w:hAnsiTheme="majorHAnsi"/>
          <w:sz w:val="20"/>
          <w:szCs w:val="20"/>
        </w:rPr>
        <w:t>failing to consider</w:t>
      </w:r>
      <w:r w:rsidR="0070717E" w:rsidRPr="00907400">
        <w:rPr>
          <w:rFonts w:asciiTheme="majorHAnsi" w:hAnsiTheme="majorHAnsi"/>
          <w:sz w:val="20"/>
          <w:szCs w:val="20"/>
        </w:rPr>
        <w:t xml:space="preserve"> the reports </w:t>
      </w:r>
      <w:r w:rsidR="002854BF" w:rsidRPr="00907400">
        <w:rPr>
          <w:rFonts w:asciiTheme="majorHAnsi" w:hAnsiTheme="majorHAnsi"/>
          <w:sz w:val="20"/>
          <w:szCs w:val="20"/>
        </w:rPr>
        <w:t>concluding</w:t>
      </w:r>
      <w:r w:rsidR="0070717E" w:rsidRPr="00907400">
        <w:rPr>
          <w:rFonts w:asciiTheme="majorHAnsi" w:hAnsiTheme="majorHAnsi"/>
          <w:sz w:val="20"/>
          <w:szCs w:val="20"/>
        </w:rPr>
        <w:t xml:space="preserve"> that he had no relationship whatsoever with the facts investigated, as well </w:t>
      </w:r>
      <w:r w:rsidR="002854BF" w:rsidRPr="00907400">
        <w:rPr>
          <w:rFonts w:asciiTheme="majorHAnsi" w:hAnsiTheme="majorHAnsi"/>
          <w:sz w:val="20"/>
          <w:szCs w:val="20"/>
        </w:rPr>
        <w:t>not acting</w:t>
      </w:r>
      <w:r w:rsidR="0070717E" w:rsidRPr="00907400">
        <w:rPr>
          <w:rFonts w:asciiTheme="majorHAnsi" w:hAnsiTheme="majorHAnsi"/>
          <w:sz w:val="20"/>
          <w:szCs w:val="20"/>
        </w:rPr>
        <w:t xml:space="preserve"> with impartiality to </w:t>
      </w:r>
      <w:r w:rsidR="0070717E" w:rsidRPr="00907400">
        <w:rPr>
          <w:rFonts w:asciiTheme="majorHAnsi" w:hAnsiTheme="majorHAnsi"/>
          <w:sz w:val="20"/>
          <w:szCs w:val="20"/>
        </w:rPr>
        <w:lastRenderedPageBreak/>
        <w:t xml:space="preserve">establish the motives and material and intellectual authors of the homicide </w:t>
      </w:r>
      <w:r w:rsidR="002854BF" w:rsidRPr="00907400">
        <w:rPr>
          <w:rFonts w:asciiTheme="majorHAnsi" w:hAnsiTheme="majorHAnsi"/>
          <w:sz w:val="20"/>
          <w:szCs w:val="20"/>
        </w:rPr>
        <w:t>under investigation</w:t>
      </w:r>
      <w:r w:rsidR="0070717E" w:rsidRPr="00907400">
        <w:rPr>
          <w:rFonts w:asciiTheme="majorHAnsi" w:hAnsiTheme="majorHAnsi"/>
          <w:sz w:val="20"/>
          <w:szCs w:val="20"/>
        </w:rPr>
        <w:t xml:space="preserve">. He also </w:t>
      </w:r>
      <w:r w:rsidRPr="00907400">
        <w:rPr>
          <w:rFonts w:asciiTheme="majorHAnsi" w:hAnsiTheme="majorHAnsi"/>
          <w:sz w:val="20"/>
          <w:szCs w:val="20"/>
        </w:rPr>
        <w:t>complains that</w:t>
      </w:r>
      <w:r w:rsidR="008A7C1C" w:rsidRPr="00907400">
        <w:rPr>
          <w:rFonts w:asciiTheme="majorHAnsi" w:hAnsiTheme="majorHAnsi"/>
          <w:sz w:val="20"/>
          <w:szCs w:val="20"/>
        </w:rPr>
        <w:t xml:space="preserve"> the judgment fails</w:t>
      </w:r>
      <w:r w:rsidRPr="00907400">
        <w:rPr>
          <w:rFonts w:asciiTheme="majorHAnsi" w:hAnsiTheme="majorHAnsi"/>
          <w:sz w:val="20"/>
          <w:szCs w:val="20"/>
        </w:rPr>
        <w:t xml:space="preserve"> </w:t>
      </w:r>
      <w:r w:rsidR="008A7C1C" w:rsidRPr="00907400">
        <w:rPr>
          <w:rFonts w:asciiTheme="majorHAnsi" w:hAnsiTheme="majorHAnsi"/>
          <w:sz w:val="20"/>
          <w:szCs w:val="20"/>
        </w:rPr>
        <w:t>to</w:t>
      </w:r>
      <w:r w:rsidRPr="00907400">
        <w:rPr>
          <w:rFonts w:asciiTheme="majorHAnsi" w:hAnsiTheme="majorHAnsi"/>
          <w:sz w:val="20"/>
          <w:szCs w:val="20"/>
        </w:rPr>
        <w:t xml:space="preserve"> analyze or deepen</w:t>
      </w:r>
      <w:r w:rsidR="0070717E" w:rsidRPr="00907400">
        <w:rPr>
          <w:rFonts w:asciiTheme="majorHAnsi" w:hAnsiTheme="majorHAnsi"/>
          <w:sz w:val="20"/>
          <w:szCs w:val="20"/>
        </w:rPr>
        <w:t xml:space="preserve"> the assessment of the </w:t>
      </w:r>
      <w:r w:rsidR="008A7C1C" w:rsidRPr="00907400">
        <w:rPr>
          <w:rFonts w:asciiTheme="majorHAnsi" w:hAnsiTheme="majorHAnsi"/>
          <w:sz w:val="20"/>
          <w:szCs w:val="20"/>
        </w:rPr>
        <w:t xml:space="preserve">evidence submitted by the defense, </w:t>
      </w:r>
      <w:r w:rsidR="007D773A" w:rsidRPr="00907400">
        <w:rPr>
          <w:rFonts w:asciiTheme="majorHAnsi" w:hAnsiTheme="majorHAnsi"/>
          <w:sz w:val="20"/>
          <w:szCs w:val="20"/>
        </w:rPr>
        <w:t>especially the testimonies produced</w:t>
      </w:r>
      <w:r w:rsidR="0070717E" w:rsidRPr="00907400">
        <w:rPr>
          <w:rFonts w:asciiTheme="majorHAnsi" w:hAnsiTheme="majorHAnsi"/>
          <w:sz w:val="20"/>
          <w:szCs w:val="20"/>
        </w:rPr>
        <w:t>, which were disqualified</w:t>
      </w:r>
      <w:r w:rsidRPr="00907400">
        <w:rPr>
          <w:rFonts w:asciiTheme="majorHAnsi" w:hAnsiTheme="majorHAnsi"/>
          <w:sz w:val="20"/>
          <w:szCs w:val="20"/>
        </w:rPr>
        <w:t>, and</w:t>
      </w:r>
      <w:r w:rsidR="0070717E" w:rsidRPr="00907400">
        <w:rPr>
          <w:rFonts w:asciiTheme="majorHAnsi" w:hAnsiTheme="majorHAnsi"/>
          <w:sz w:val="20"/>
          <w:szCs w:val="20"/>
        </w:rPr>
        <w:t xml:space="preserve"> giving credibility to the </w:t>
      </w:r>
      <w:r w:rsidRPr="00907400">
        <w:rPr>
          <w:rFonts w:asciiTheme="majorHAnsi" w:hAnsiTheme="majorHAnsi"/>
          <w:sz w:val="20"/>
          <w:szCs w:val="20"/>
        </w:rPr>
        <w:t xml:space="preserve">anonymous </w:t>
      </w:r>
      <w:r w:rsidR="0070717E" w:rsidRPr="00907400">
        <w:rPr>
          <w:rFonts w:asciiTheme="majorHAnsi" w:hAnsiTheme="majorHAnsi"/>
          <w:sz w:val="20"/>
          <w:szCs w:val="20"/>
        </w:rPr>
        <w:t>deponents.</w:t>
      </w:r>
    </w:p>
    <w:p w14:paraId="758F0C11"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BCEEE73"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The Chamber concluded the following:</w:t>
      </w:r>
    </w:p>
    <w:p w14:paraId="1C9E7870" w14:textId="77777777" w:rsidR="00C27451"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067F1F2E" w14:textId="77777777" w:rsidR="0070717E" w:rsidRPr="00907400" w:rsidRDefault="007D773A" w:rsidP="00C27451">
      <w:pPr>
        <w:pBdr>
          <w:top w:val="none" w:sz="0" w:space="0" w:color="auto"/>
          <w:left w:val="none" w:sz="0" w:space="0" w:color="auto"/>
          <w:bottom w:val="none" w:sz="0" w:space="0" w:color="auto"/>
          <w:right w:val="none" w:sz="0" w:space="0" w:color="auto"/>
          <w:between w:val="none" w:sz="0" w:space="0" w:color="auto"/>
          <w:bar w:val="none" w:sz="0" w:color="auto"/>
        </w:pBdr>
        <w:tabs>
          <w:tab w:val="left" w:pos="8640"/>
        </w:tabs>
        <w:suppressAutoHyphens/>
        <w:ind w:left="720" w:right="720"/>
        <w:jc w:val="both"/>
        <w:rPr>
          <w:rFonts w:asciiTheme="majorHAnsi" w:hAnsiTheme="majorHAnsi"/>
          <w:sz w:val="20"/>
          <w:szCs w:val="20"/>
        </w:rPr>
      </w:pPr>
      <w:r w:rsidRPr="00907400">
        <w:rPr>
          <w:rFonts w:asciiTheme="majorHAnsi" w:hAnsiTheme="majorHAnsi"/>
          <w:sz w:val="20"/>
          <w:szCs w:val="20"/>
        </w:rPr>
        <w:t>Subjecting</w:t>
      </w:r>
      <w:r w:rsidR="0070717E" w:rsidRPr="00907400">
        <w:rPr>
          <w:rFonts w:asciiTheme="majorHAnsi" w:hAnsiTheme="majorHAnsi"/>
          <w:sz w:val="20"/>
          <w:szCs w:val="20"/>
        </w:rPr>
        <w:t xml:space="preserve"> a resolution issued by the supreme body of the ordinary jurisdiction, within a judicial </w:t>
      </w:r>
      <w:r w:rsidR="008560F9" w:rsidRPr="00907400">
        <w:rPr>
          <w:rFonts w:asciiTheme="majorHAnsi" w:hAnsiTheme="majorHAnsi"/>
          <w:sz w:val="20"/>
          <w:szCs w:val="20"/>
        </w:rPr>
        <w:t>proceeding</w:t>
      </w:r>
      <w:r w:rsidRPr="00907400">
        <w:rPr>
          <w:rFonts w:asciiTheme="majorHAnsi" w:hAnsiTheme="majorHAnsi"/>
          <w:sz w:val="20"/>
          <w:szCs w:val="20"/>
        </w:rPr>
        <w:t>,</w:t>
      </w:r>
      <w:r w:rsidR="0070717E" w:rsidRPr="00907400">
        <w:rPr>
          <w:rFonts w:asciiTheme="majorHAnsi" w:hAnsiTheme="majorHAnsi"/>
          <w:sz w:val="20"/>
          <w:szCs w:val="20"/>
        </w:rPr>
        <w:t xml:space="preserve"> to a new examination by a different jurisdiction, generates legal uncertainty (...). In short, </w:t>
      </w:r>
      <w:r w:rsidR="008560F9" w:rsidRPr="00907400">
        <w:rPr>
          <w:rFonts w:asciiTheme="majorHAnsi" w:hAnsiTheme="majorHAnsi"/>
          <w:sz w:val="20"/>
          <w:szCs w:val="20"/>
        </w:rPr>
        <w:t xml:space="preserve">it would render nugatory </w:t>
      </w:r>
      <w:r w:rsidR="0070717E" w:rsidRPr="00907400">
        <w:rPr>
          <w:rFonts w:asciiTheme="majorHAnsi" w:hAnsiTheme="majorHAnsi"/>
          <w:sz w:val="20"/>
          <w:szCs w:val="20"/>
        </w:rPr>
        <w:t xml:space="preserve">the constitutional and legal postulates of due process, </w:t>
      </w:r>
      <w:r w:rsidR="008560F9" w:rsidRPr="00907400">
        <w:rPr>
          <w:rFonts w:asciiTheme="majorHAnsi" w:hAnsiTheme="majorHAnsi"/>
          <w:sz w:val="20"/>
          <w:szCs w:val="20"/>
        </w:rPr>
        <w:t>including</w:t>
      </w:r>
      <w:r w:rsidR="0070717E" w:rsidRPr="00907400">
        <w:rPr>
          <w:rFonts w:asciiTheme="majorHAnsi" w:hAnsiTheme="majorHAnsi"/>
          <w:sz w:val="20"/>
          <w:szCs w:val="20"/>
        </w:rPr>
        <w:t xml:space="preserve"> the fundamental guarant</w:t>
      </w:r>
      <w:r w:rsidR="008560F9" w:rsidRPr="00907400">
        <w:rPr>
          <w:rFonts w:asciiTheme="majorHAnsi" w:hAnsiTheme="majorHAnsi"/>
          <w:sz w:val="20"/>
          <w:szCs w:val="20"/>
        </w:rPr>
        <w:t>ee of res judicata</w:t>
      </w:r>
      <w:r w:rsidR="0070717E" w:rsidRPr="00907400">
        <w:rPr>
          <w:rFonts w:asciiTheme="majorHAnsi" w:hAnsiTheme="majorHAnsi"/>
          <w:sz w:val="20"/>
          <w:szCs w:val="20"/>
        </w:rPr>
        <w:t xml:space="preserve"> (...). Hence, the foregoing allows </w:t>
      </w:r>
      <w:r w:rsidR="008560F9" w:rsidRPr="00907400">
        <w:rPr>
          <w:rFonts w:asciiTheme="majorHAnsi" w:hAnsiTheme="majorHAnsi"/>
          <w:sz w:val="20"/>
          <w:szCs w:val="20"/>
        </w:rPr>
        <w:t>us to conclude</w:t>
      </w:r>
      <w:r w:rsidR="0070717E" w:rsidRPr="00907400">
        <w:rPr>
          <w:rFonts w:asciiTheme="majorHAnsi" w:hAnsiTheme="majorHAnsi"/>
          <w:sz w:val="20"/>
          <w:szCs w:val="20"/>
        </w:rPr>
        <w:t xml:space="preserve"> that the ruling issued by the Criminal Cassation Chamber of the Supreme Court of Justice (...) can not be challenged by way </w:t>
      </w:r>
      <w:r w:rsidR="008560F9" w:rsidRPr="00907400">
        <w:rPr>
          <w:rFonts w:asciiTheme="majorHAnsi" w:hAnsiTheme="majorHAnsi"/>
          <w:sz w:val="20"/>
          <w:szCs w:val="20"/>
        </w:rPr>
        <w:t>a tutela action</w:t>
      </w:r>
      <w:r w:rsidR="0070717E" w:rsidRPr="00907400">
        <w:rPr>
          <w:rFonts w:asciiTheme="majorHAnsi" w:hAnsiTheme="majorHAnsi"/>
          <w:sz w:val="20"/>
          <w:szCs w:val="20"/>
        </w:rPr>
        <w:t xml:space="preserve"> (...).</w:t>
      </w:r>
    </w:p>
    <w:p w14:paraId="55DBEDEB"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14331C6"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September 3, 2003, the Fifth Court</w:t>
      </w:r>
      <w:r w:rsidR="007D773A" w:rsidRPr="00907400">
        <w:rPr>
          <w:rFonts w:asciiTheme="majorHAnsi" w:hAnsiTheme="majorHAnsi"/>
          <w:sz w:val="20"/>
          <w:szCs w:val="20"/>
        </w:rPr>
        <w:t xml:space="preserve"> for the Execution of Penalties</w:t>
      </w:r>
      <w:r w:rsidRPr="00907400">
        <w:rPr>
          <w:rFonts w:asciiTheme="majorHAnsi" w:hAnsiTheme="majorHAnsi"/>
          <w:sz w:val="20"/>
          <w:szCs w:val="20"/>
        </w:rPr>
        <w:t xml:space="preserve"> and Securi</w:t>
      </w:r>
      <w:r w:rsidR="007D773A" w:rsidRPr="00907400">
        <w:rPr>
          <w:rFonts w:asciiTheme="majorHAnsi" w:hAnsiTheme="majorHAnsi"/>
          <w:sz w:val="20"/>
          <w:szCs w:val="20"/>
        </w:rPr>
        <w:t>ty Measures of Bogotá "reduced</w:t>
      </w:r>
      <w:r w:rsidRPr="00907400">
        <w:rPr>
          <w:rFonts w:asciiTheme="majorHAnsi" w:hAnsiTheme="majorHAnsi"/>
          <w:sz w:val="20"/>
          <w:szCs w:val="20"/>
        </w:rPr>
        <w:t xml:space="preserve"> the sentence of impr</w:t>
      </w:r>
      <w:r w:rsidR="007D773A" w:rsidRPr="00907400">
        <w:rPr>
          <w:rFonts w:asciiTheme="majorHAnsi" w:hAnsiTheme="majorHAnsi"/>
          <w:sz w:val="20"/>
          <w:szCs w:val="20"/>
        </w:rPr>
        <w:t>isonment" on</w:t>
      </w:r>
      <w:r w:rsidRPr="00907400">
        <w:rPr>
          <w:rFonts w:asciiTheme="majorHAnsi" w:hAnsiTheme="majorHAnsi"/>
          <w:sz w:val="20"/>
          <w:szCs w:val="20"/>
        </w:rPr>
        <w:t xml:space="preserve"> Mr. Sastoque </w:t>
      </w:r>
      <w:r w:rsidR="007F559D" w:rsidRPr="00907400">
        <w:rPr>
          <w:rFonts w:asciiTheme="majorHAnsi" w:hAnsiTheme="majorHAnsi"/>
          <w:sz w:val="20"/>
          <w:szCs w:val="20"/>
        </w:rPr>
        <w:t>to</w:t>
      </w:r>
      <w:r w:rsidRPr="00907400">
        <w:rPr>
          <w:rFonts w:asciiTheme="majorHAnsi" w:hAnsiTheme="majorHAnsi"/>
          <w:sz w:val="20"/>
          <w:szCs w:val="20"/>
        </w:rPr>
        <w:t xml:space="preserve"> 25 years and three months in prison.</w:t>
      </w:r>
      <w:r w:rsidR="00C4732D" w:rsidRPr="00907400">
        <w:rPr>
          <w:rStyle w:val="FootnoteReference"/>
          <w:rFonts w:asciiTheme="majorHAnsi" w:hAnsiTheme="majorHAnsi"/>
          <w:sz w:val="20"/>
          <w:szCs w:val="20"/>
        </w:rPr>
        <w:footnoteReference w:id="60"/>
      </w:r>
      <w:r w:rsidRPr="00907400">
        <w:rPr>
          <w:rFonts w:asciiTheme="majorHAnsi" w:hAnsiTheme="majorHAnsi"/>
          <w:sz w:val="20"/>
          <w:szCs w:val="20"/>
        </w:rPr>
        <w:t xml:space="preserve"> On October 27, 2005, </w:t>
      </w:r>
      <w:r w:rsidR="007D773A" w:rsidRPr="00907400">
        <w:rPr>
          <w:rFonts w:asciiTheme="majorHAnsi" w:hAnsiTheme="majorHAnsi"/>
          <w:sz w:val="20"/>
          <w:szCs w:val="20"/>
        </w:rPr>
        <w:t>the</w:t>
      </w:r>
      <w:r w:rsidR="007F559D" w:rsidRPr="00907400">
        <w:rPr>
          <w:rFonts w:asciiTheme="majorHAnsi" w:hAnsiTheme="majorHAnsi"/>
          <w:sz w:val="20"/>
          <w:szCs w:val="20"/>
        </w:rPr>
        <w:t xml:space="preserve"> prison sentence </w:t>
      </w:r>
      <w:r w:rsidR="007D773A" w:rsidRPr="00907400">
        <w:rPr>
          <w:rFonts w:asciiTheme="majorHAnsi" w:hAnsiTheme="majorHAnsi"/>
          <w:sz w:val="20"/>
          <w:szCs w:val="20"/>
        </w:rPr>
        <w:t xml:space="preserve">was reduced in </w:t>
      </w:r>
      <w:r w:rsidRPr="00907400">
        <w:rPr>
          <w:rFonts w:asciiTheme="majorHAnsi" w:hAnsiTheme="majorHAnsi"/>
          <w:sz w:val="20"/>
          <w:szCs w:val="20"/>
        </w:rPr>
        <w:t>two years, six months and nine days.</w:t>
      </w:r>
      <w:r w:rsidR="00C4732D" w:rsidRPr="00907400">
        <w:rPr>
          <w:rStyle w:val="FootnoteReference"/>
          <w:rFonts w:asciiTheme="majorHAnsi" w:hAnsiTheme="majorHAnsi"/>
          <w:sz w:val="20"/>
          <w:szCs w:val="20"/>
        </w:rPr>
        <w:footnoteReference w:id="61"/>
      </w:r>
    </w:p>
    <w:p w14:paraId="39D97E3A"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7CC564D"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November 30, 2005, the Fifth Co</w:t>
      </w:r>
      <w:r w:rsidR="00D42DDD" w:rsidRPr="00907400">
        <w:rPr>
          <w:rFonts w:asciiTheme="majorHAnsi" w:hAnsiTheme="majorHAnsi"/>
          <w:sz w:val="20"/>
          <w:szCs w:val="20"/>
        </w:rPr>
        <w:t>urt for the Execution of Penalties</w:t>
      </w:r>
      <w:r w:rsidRPr="00907400">
        <w:rPr>
          <w:rFonts w:asciiTheme="majorHAnsi" w:hAnsiTheme="majorHAnsi"/>
          <w:sz w:val="20"/>
          <w:szCs w:val="20"/>
        </w:rPr>
        <w:t xml:space="preserve"> and Security Measures of Bogotá issued an order granting Mr. Sastoque conditional </w:t>
      </w:r>
      <w:r w:rsidR="00D42DDD" w:rsidRPr="00907400">
        <w:rPr>
          <w:rFonts w:asciiTheme="majorHAnsi" w:hAnsiTheme="majorHAnsi"/>
          <w:sz w:val="20"/>
          <w:szCs w:val="20"/>
        </w:rPr>
        <w:t>release</w:t>
      </w:r>
      <w:r w:rsidRPr="00907400">
        <w:rPr>
          <w:rFonts w:asciiTheme="majorHAnsi" w:hAnsiTheme="majorHAnsi"/>
          <w:sz w:val="20"/>
          <w:szCs w:val="20"/>
        </w:rPr>
        <w:t>.</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62"/>
      </w:r>
      <w:r w:rsidR="007D773A" w:rsidRPr="00907400">
        <w:rPr>
          <w:rFonts w:asciiTheme="majorHAnsi" w:hAnsiTheme="majorHAnsi"/>
          <w:sz w:val="20"/>
          <w:szCs w:val="20"/>
        </w:rPr>
        <w:t xml:space="preserve"> The C</w:t>
      </w:r>
      <w:r w:rsidRPr="00907400">
        <w:rPr>
          <w:rFonts w:asciiTheme="majorHAnsi" w:hAnsiTheme="majorHAnsi"/>
          <w:sz w:val="20"/>
          <w:szCs w:val="20"/>
        </w:rPr>
        <w:t>ourt indicated the following:</w:t>
      </w:r>
    </w:p>
    <w:p w14:paraId="2517C302" w14:textId="77777777" w:rsidR="00C27451" w:rsidRDefault="00C27451" w:rsidP="00907400">
      <w:pPr>
        <w:ind w:right="855"/>
        <w:jc w:val="both"/>
        <w:rPr>
          <w:rFonts w:asciiTheme="majorHAnsi" w:hAnsiTheme="majorHAnsi"/>
          <w:sz w:val="20"/>
          <w:szCs w:val="20"/>
        </w:rPr>
      </w:pPr>
    </w:p>
    <w:p w14:paraId="1BA0E0F2" w14:textId="77777777" w:rsidR="0070717E" w:rsidRPr="00907400" w:rsidRDefault="0070717E" w:rsidP="00C27451">
      <w:pPr>
        <w:ind w:left="720" w:right="720"/>
        <w:jc w:val="both"/>
        <w:rPr>
          <w:rFonts w:asciiTheme="majorHAnsi" w:hAnsiTheme="majorHAnsi"/>
          <w:sz w:val="20"/>
          <w:szCs w:val="20"/>
        </w:rPr>
      </w:pPr>
      <w:r w:rsidRPr="00907400">
        <w:rPr>
          <w:rFonts w:asciiTheme="majorHAnsi" w:hAnsiTheme="majorHAnsi"/>
          <w:sz w:val="20"/>
          <w:szCs w:val="20"/>
        </w:rPr>
        <w:t xml:space="preserve">Due to the facts </w:t>
      </w:r>
      <w:r w:rsidR="00D42DDD" w:rsidRPr="00907400">
        <w:rPr>
          <w:rFonts w:asciiTheme="majorHAnsi" w:hAnsiTheme="majorHAnsi"/>
          <w:sz w:val="20"/>
          <w:szCs w:val="20"/>
        </w:rPr>
        <w:t>underlying</w:t>
      </w:r>
      <w:r w:rsidRPr="00907400">
        <w:rPr>
          <w:rFonts w:asciiTheme="majorHAnsi" w:hAnsiTheme="majorHAnsi"/>
          <w:sz w:val="20"/>
          <w:szCs w:val="20"/>
        </w:rPr>
        <w:t xml:space="preserve"> the conviction, the inmate has been deprived of his liberty since March 8, 1995, a total of 10 years, 8 months and 21 days in prison, plus 2 years, 6 months and 9 days</w:t>
      </w:r>
      <w:r w:rsidR="00D42DDD" w:rsidRPr="00907400">
        <w:rPr>
          <w:rFonts w:asciiTheme="majorHAnsi" w:hAnsiTheme="majorHAnsi"/>
          <w:sz w:val="20"/>
          <w:szCs w:val="20"/>
        </w:rPr>
        <w:t xml:space="preserve"> for the</w:t>
      </w:r>
      <w:r w:rsidRPr="00907400">
        <w:rPr>
          <w:rFonts w:asciiTheme="majorHAnsi" w:hAnsiTheme="majorHAnsi"/>
          <w:sz w:val="20"/>
          <w:szCs w:val="20"/>
        </w:rPr>
        <w:t xml:space="preserve"> aforementioned reduction, </w:t>
      </w:r>
      <w:r w:rsidR="00D42DDD" w:rsidRPr="00907400">
        <w:rPr>
          <w:rFonts w:asciiTheme="majorHAnsi" w:hAnsiTheme="majorHAnsi"/>
          <w:sz w:val="20"/>
          <w:szCs w:val="20"/>
        </w:rPr>
        <w:t>making</w:t>
      </w:r>
      <w:r w:rsidRPr="00907400">
        <w:rPr>
          <w:rFonts w:asciiTheme="majorHAnsi" w:hAnsiTheme="majorHAnsi"/>
          <w:sz w:val="20"/>
          <w:szCs w:val="20"/>
        </w:rPr>
        <w:t xml:space="preserve"> a total of 13 years, 3 months in prison (...). The sentenced person has maintained good relations with the prison authorities and with the other convicts, which has allowed him to be recognized for his good behavior (...).</w:t>
      </w:r>
      <w:r w:rsidR="00C4732D" w:rsidRPr="00907400">
        <w:rPr>
          <w:rStyle w:val="FootnoteReference"/>
          <w:rFonts w:asciiTheme="majorHAnsi" w:hAnsiTheme="majorHAnsi"/>
          <w:sz w:val="20"/>
          <w:szCs w:val="20"/>
        </w:rPr>
        <w:footnoteReference w:id="63"/>
      </w:r>
    </w:p>
    <w:p w14:paraId="05E266C1" w14:textId="77777777" w:rsidR="0070717E" w:rsidRPr="00907400" w:rsidRDefault="0070717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98CAE7D" w14:textId="77777777" w:rsidR="0070717E" w:rsidRPr="00C27451" w:rsidRDefault="0070717E" w:rsidP="00C27451">
      <w:pPr>
        <w:pStyle w:val="Heading2"/>
        <w:spacing w:before="0"/>
        <w:ind w:left="1440" w:hanging="720"/>
        <w:jc w:val="both"/>
        <w:rPr>
          <w:color w:val="auto"/>
          <w:sz w:val="20"/>
          <w:szCs w:val="20"/>
        </w:rPr>
      </w:pPr>
      <w:bookmarkStart w:id="8" w:name="_Toc211249797"/>
      <w:r w:rsidRPr="00C27451">
        <w:rPr>
          <w:color w:val="auto"/>
          <w:sz w:val="20"/>
          <w:szCs w:val="20"/>
        </w:rPr>
        <w:t>D.</w:t>
      </w:r>
      <w:r w:rsidRPr="00C27451">
        <w:rPr>
          <w:color w:val="auto"/>
          <w:sz w:val="20"/>
          <w:szCs w:val="20"/>
        </w:rPr>
        <w:tab/>
        <w:t>Regarding the trial for perjury and procedural fraud</w:t>
      </w:r>
      <w:bookmarkEnd w:id="8"/>
    </w:p>
    <w:p w14:paraId="050EC9FB"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3674A1F"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June 2</w:t>
      </w:r>
      <w:r w:rsidR="00410767" w:rsidRPr="00907400">
        <w:rPr>
          <w:rFonts w:asciiTheme="majorHAnsi" w:hAnsiTheme="majorHAnsi"/>
          <w:sz w:val="20"/>
          <w:szCs w:val="20"/>
        </w:rPr>
        <w:t>0, 1999, while in custody at</w:t>
      </w:r>
      <w:r w:rsidRPr="00907400">
        <w:rPr>
          <w:rFonts w:asciiTheme="majorHAnsi" w:hAnsiTheme="majorHAnsi"/>
          <w:sz w:val="20"/>
          <w:szCs w:val="20"/>
        </w:rPr>
        <w:t xml:space="preserve"> La Picota prison, </w:t>
      </w:r>
      <w:r w:rsidR="00D42DDD" w:rsidRPr="00907400">
        <w:rPr>
          <w:rFonts w:asciiTheme="majorHAnsi" w:hAnsiTheme="majorHAnsi"/>
          <w:sz w:val="20"/>
          <w:szCs w:val="20"/>
        </w:rPr>
        <w:t xml:space="preserve">Mr. Sastoque </w:t>
      </w:r>
      <w:r w:rsidRPr="00907400">
        <w:rPr>
          <w:rFonts w:asciiTheme="majorHAnsi" w:hAnsiTheme="majorHAnsi"/>
          <w:sz w:val="20"/>
          <w:szCs w:val="20"/>
        </w:rPr>
        <w:t xml:space="preserve">filed a complaint against </w:t>
      </w:r>
      <w:r w:rsidR="00D42DDD" w:rsidRPr="00907400">
        <w:rPr>
          <w:rFonts w:asciiTheme="majorHAnsi" w:hAnsiTheme="majorHAnsi"/>
          <w:sz w:val="20"/>
          <w:szCs w:val="20"/>
        </w:rPr>
        <w:t>Olga Esther Guevara Fajardo, her</w:t>
      </w:r>
      <w:r w:rsidRPr="00907400">
        <w:rPr>
          <w:rFonts w:asciiTheme="majorHAnsi" w:hAnsiTheme="majorHAnsi"/>
          <w:sz w:val="20"/>
          <w:szCs w:val="20"/>
        </w:rPr>
        <w:t xml:space="preserve"> sister Claudia, and Germán Ramírez, who he considered to have been Witness No .2, for the </w:t>
      </w:r>
      <w:r w:rsidR="00D42DDD" w:rsidRPr="00907400">
        <w:rPr>
          <w:rFonts w:asciiTheme="majorHAnsi" w:hAnsiTheme="majorHAnsi"/>
          <w:sz w:val="20"/>
          <w:szCs w:val="20"/>
        </w:rPr>
        <w:t>offenses of perjury</w:t>
      </w:r>
      <w:r w:rsidRPr="00907400">
        <w:rPr>
          <w:rFonts w:asciiTheme="majorHAnsi" w:hAnsiTheme="majorHAnsi"/>
          <w:sz w:val="20"/>
          <w:szCs w:val="20"/>
        </w:rPr>
        <w:t xml:space="preserve"> and procedural fraud.</w:t>
      </w:r>
      <w:r w:rsidR="00C4732D" w:rsidRPr="00907400">
        <w:rPr>
          <w:rStyle w:val="FootnoteReference"/>
          <w:rFonts w:asciiTheme="majorHAnsi" w:hAnsiTheme="majorHAnsi"/>
          <w:sz w:val="20"/>
          <w:szCs w:val="20"/>
        </w:rPr>
        <w:footnoteReference w:id="64"/>
      </w:r>
      <w:r w:rsidRPr="00907400">
        <w:rPr>
          <w:rFonts w:asciiTheme="majorHAnsi" w:hAnsiTheme="majorHAnsi"/>
          <w:sz w:val="20"/>
          <w:szCs w:val="20"/>
        </w:rPr>
        <w:t xml:space="preserve"> The IACHR </w:t>
      </w:r>
      <w:r w:rsidR="00D42DDD" w:rsidRPr="00907400">
        <w:rPr>
          <w:rFonts w:asciiTheme="majorHAnsi" w:hAnsiTheme="majorHAnsi"/>
          <w:sz w:val="20"/>
          <w:szCs w:val="20"/>
        </w:rPr>
        <w:t>observes</w:t>
      </w:r>
      <w:r w:rsidRPr="00907400">
        <w:rPr>
          <w:rFonts w:asciiTheme="majorHAnsi" w:hAnsiTheme="majorHAnsi"/>
          <w:sz w:val="20"/>
          <w:szCs w:val="20"/>
        </w:rPr>
        <w:t xml:space="preserve"> th</w:t>
      </w:r>
      <w:r w:rsidR="00D42DDD" w:rsidRPr="00907400">
        <w:rPr>
          <w:rFonts w:asciiTheme="majorHAnsi" w:hAnsiTheme="majorHAnsi"/>
          <w:sz w:val="20"/>
          <w:szCs w:val="20"/>
        </w:rPr>
        <w:t xml:space="preserve">at the investigation </w:t>
      </w:r>
      <w:r w:rsidR="00410767" w:rsidRPr="00907400">
        <w:rPr>
          <w:rFonts w:asciiTheme="majorHAnsi" w:hAnsiTheme="majorHAnsi"/>
          <w:sz w:val="20"/>
          <w:szCs w:val="20"/>
        </w:rPr>
        <w:t>was taken up</w:t>
      </w:r>
      <w:r w:rsidRPr="00907400">
        <w:rPr>
          <w:rFonts w:asciiTheme="majorHAnsi" w:hAnsiTheme="majorHAnsi"/>
          <w:sz w:val="20"/>
          <w:szCs w:val="20"/>
        </w:rPr>
        <w:t xml:space="preserve"> by i) the Office of the </w:t>
      </w:r>
      <w:r w:rsidR="00D42DDD" w:rsidRPr="00907400">
        <w:rPr>
          <w:rFonts w:asciiTheme="majorHAnsi" w:hAnsiTheme="majorHAnsi"/>
          <w:sz w:val="20"/>
          <w:szCs w:val="20"/>
        </w:rPr>
        <w:t>Deputy Prosecutor</w:t>
      </w:r>
      <w:r w:rsidRPr="00907400">
        <w:rPr>
          <w:rFonts w:asciiTheme="majorHAnsi" w:hAnsiTheme="majorHAnsi"/>
          <w:sz w:val="20"/>
          <w:szCs w:val="20"/>
        </w:rPr>
        <w:t xml:space="preserve"> before the Supreme Court of Justice on August 24, 2000; ii) the </w:t>
      </w:r>
      <w:r w:rsidR="00D42DDD" w:rsidRPr="00907400">
        <w:rPr>
          <w:rFonts w:asciiTheme="majorHAnsi" w:hAnsiTheme="majorHAnsi"/>
          <w:sz w:val="20"/>
          <w:szCs w:val="20"/>
        </w:rPr>
        <w:t xml:space="preserve">Terrorism </w:t>
      </w:r>
      <w:r w:rsidRPr="00907400">
        <w:rPr>
          <w:rFonts w:asciiTheme="majorHAnsi" w:hAnsiTheme="majorHAnsi"/>
          <w:sz w:val="20"/>
          <w:szCs w:val="20"/>
        </w:rPr>
        <w:t>Subunit on June 21, 2001; and iii) the National Human Rights and International Humanitarian Law Unit on January 27, 2006.</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65"/>
      </w:r>
    </w:p>
    <w:p w14:paraId="4C9359FB"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BEFE067" w14:textId="77777777" w:rsidR="0070717E"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According to </w:t>
      </w:r>
      <w:r w:rsidR="00410767" w:rsidRPr="00907400">
        <w:rPr>
          <w:rFonts w:asciiTheme="majorHAnsi" w:hAnsiTheme="majorHAnsi"/>
          <w:sz w:val="20"/>
          <w:szCs w:val="20"/>
        </w:rPr>
        <w:t xml:space="preserve">a report </w:t>
      </w:r>
      <w:r w:rsidRPr="00907400">
        <w:rPr>
          <w:rFonts w:asciiTheme="majorHAnsi" w:hAnsiTheme="majorHAnsi"/>
          <w:sz w:val="20"/>
          <w:szCs w:val="20"/>
        </w:rPr>
        <w:t xml:space="preserve">from the </w:t>
      </w:r>
      <w:r w:rsidR="00FF6AE9" w:rsidRPr="00907400">
        <w:rPr>
          <w:rFonts w:asciiTheme="majorHAnsi" w:hAnsiTheme="majorHAnsi"/>
          <w:sz w:val="20"/>
          <w:szCs w:val="20"/>
        </w:rPr>
        <w:t>28</w:t>
      </w:r>
      <w:r w:rsidR="00FF6AE9" w:rsidRPr="00907400">
        <w:rPr>
          <w:rFonts w:asciiTheme="majorHAnsi" w:hAnsiTheme="majorHAnsi"/>
          <w:sz w:val="20"/>
          <w:szCs w:val="20"/>
          <w:vertAlign w:val="superscript"/>
        </w:rPr>
        <w:t>th</w:t>
      </w:r>
      <w:r w:rsidR="00FF6AE9" w:rsidRPr="00907400">
        <w:rPr>
          <w:rFonts w:asciiTheme="majorHAnsi" w:hAnsiTheme="majorHAnsi"/>
          <w:sz w:val="20"/>
          <w:szCs w:val="20"/>
        </w:rPr>
        <w:t xml:space="preserve"> </w:t>
      </w:r>
      <w:r w:rsidRPr="00907400">
        <w:rPr>
          <w:rFonts w:asciiTheme="majorHAnsi" w:hAnsiTheme="majorHAnsi"/>
          <w:sz w:val="20"/>
          <w:szCs w:val="20"/>
        </w:rPr>
        <w:t xml:space="preserve">Specialized Prosecutor's Office of the </w:t>
      </w:r>
      <w:r w:rsidR="00FF6AE9" w:rsidRPr="00907400">
        <w:rPr>
          <w:rFonts w:asciiTheme="majorHAnsi" w:hAnsiTheme="majorHAnsi"/>
          <w:sz w:val="20"/>
          <w:szCs w:val="20"/>
        </w:rPr>
        <w:t xml:space="preserve">National </w:t>
      </w:r>
      <w:r w:rsidRPr="00907400">
        <w:rPr>
          <w:rFonts w:asciiTheme="majorHAnsi" w:hAnsiTheme="majorHAnsi"/>
          <w:sz w:val="20"/>
          <w:szCs w:val="20"/>
        </w:rPr>
        <w:t>Office of th</w:t>
      </w:r>
      <w:r w:rsidR="00FF6AE9" w:rsidRPr="00907400">
        <w:rPr>
          <w:rFonts w:asciiTheme="majorHAnsi" w:hAnsiTheme="majorHAnsi"/>
          <w:sz w:val="20"/>
          <w:szCs w:val="20"/>
        </w:rPr>
        <w:t>e Attorney General</w:t>
      </w:r>
      <w:r w:rsidRPr="00907400">
        <w:rPr>
          <w:rFonts w:asciiTheme="majorHAnsi" w:hAnsiTheme="majorHAnsi"/>
          <w:sz w:val="20"/>
          <w:szCs w:val="20"/>
        </w:rPr>
        <w:t>, "</w:t>
      </w:r>
      <w:r w:rsidR="00FF6AE9" w:rsidRPr="00907400">
        <w:rPr>
          <w:rFonts w:asciiTheme="majorHAnsi" w:hAnsiTheme="majorHAnsi"/>
          <w:sz w:val="20"/>
          <w:szCs w:val="20"/>
        </w:rPr>
        <w:t xml:space="preserve">it was only on September 1, 2006, </w:t>
      </w:r>
      <w:r w:rsidR="008273EF" w:rsidRPr="00907400">
        <w:rPr>
          <w:rFonts w:asciiTheme="majorHAnsi" w:hAnsiTheme="majorHAnsi"/>
          <w:sz w:val="20"/>
          <w:szCs w:val="20"/>
        </w:rPr>
        <w:t>that the production of</w:t>
      </w:r>
      <w:r w:rsidR="00FF6AE9" w:rsidRPr="00907400">
        <w:rPr>
          <w:rFonts w:asciiTheme="majorHAnsi" w:hAnsiTheme="majorHAnsi"/>
          <w:sz w:val="20"/>
          <w:szCs w:val="20"/>
        </w:rPr>
        <w:t xml:space="preserve"> </w:t>
      </w:r>
      <w:r w:rsidR="008273EF" w:rsidRPr="00907400">
        <w:rPr>
          <w:rFonts w:asciiTheme="majorHAnsi" w:hAnsiTheme="majorHAnsi"/>
          <w:sz w:val="20"/>
          <w:szCs w:val="20"/>
        </w:rPr>
        <w:t>testimony</w:t>
      </w:r>
      <w:r w:rsidR="00BD3BAC" w:rsidRPr="00907400">
        <w:rPr>
          <w:rFonts w:asciiTheme="majorHAnsi" w:hAnsiTheme="majorHAnsi"/>
          <w:sz w:val="20"/>
          <w:szCs w:val="20"/>
        </w:rPr>
        <w:t xml:space="preserve"> was ordered -</w:t>
      </w:r>
      <w:r w:rsidRPr="00907400">
        <w:rPr>
          <w:rFonts w:asciiTheme="majorHAnsi" w:hAnsiTheme="majorHAnsi"/>
          <w:sz w:val="20"/>
          <w:szCs w:val="20"/>
        </w:rPr>
        <w:t xml:space="preserve"> among them those of Olga Esther Guevara, the judicial officers who participated in </w:t>
      </w:r>
      <w:r w:rsidR="00BD3BAC" w:rsidRPr="00907400">
        <w:rPr>
          <w:rFonts w:asciiTheme="majorHAnsi" w:hAnsiTheme="majorHAnsi"/>
          <w:sz w:val="20"/>
          <w:szCs w:val="20"/>
        </w:rPr>
        <w:t xml:space="preserve">the </w:t>
      </w:r>
      <w:r w:rsidRPr="00907400">
        <w:rPr>
          <w:rFonts w:asciiTheme="majorHAnsi" w:hAnsiTheme="majorHAnsi"/>
          <w:sz w:val="20"/>
          <w:szCs w:val="20"/>
        </w:rPr>
        <w:t>removal operation</w:t>
      </w:r>
      <w:r w:rsidR="00BD3BAC" w:rsidRPr="00907400">
        <w:rPr>
          <w:rFonts w:asciiTheme="majorHAnsi" w:hAnsiTheme="majorHAnsi"/>
          <w:sz w:val="20"/>
          <w:szCs w:val="20"/>
        </w:rPr>
        <w:t xml:space="preserve"> of the corpse</w:t>
      </w:r>
      <w:r w:rsidRPr="00907400">
        <w:rPr>
          <w:rFonts w:asciiTheme="majorHAnsi" w:hAnsiTheme="majorHAnsi"/>
          <w:sz w:val="20"/>
          <w:szCs w:val="20"/>
        </w:rPr>
        <w:t xml:space="preserve">, the </w:t>
      </w:r>
      <w:r w:rsidR="00BD3BAC" w:rsidRPr="00907400">
        <w:rPr>
          <w:rFonts w:asciiTheme="majorHAnsi" w:hAnsiTheme="majorHAnsi"/>
          <w:sz w:val="20"/>
          <w:szCs w:val="20"/>
        </w:rPr>
        <w:t>complainant’</w:t>
      </w:r>
      <w:r w:rsidRPr="00907400">
        <w:rPr>
          <w:rFonts w:asciiTheme="majorHAnsi" w:hAnsiTheme="majorHAnsi"/>
          <w:sz w:val="20"/>
          <w:szCs w:val="20"/>
        </w:rPr>
        <w:t>s co</w:t>
      </w:r>
      <w:r w:rsidR="00BD3BAC" w:rsidRPr="00907400">
        <w:rPr>
          <w:rFonts w:asciiTheme="majorHAnsi" w:hAnsiTheme="majorHAnsi"/>
          <w:sz w:val="20"/>
          <w:szCs w:val="20"/>
        </w:rPr>
        <w:t>-workers.</w:t>
      </w:r>
      <w:r w:rsidR="008273EF" w:rsidRPr="00907400">
        <w:rPr>
          <w:rFonts w:asciiTheme="majorHAnsi" w:hAnsiTheme="majorHAnsi"/>
          <w:sz w:val="20"/>
          <w:szCs w:val="20"/>
        </w:rPr>
        <w:t>" O</w:t>
      </w:r>
      <w:r w:rsidRPr="00907400">
        <w:rPr>
          <w:rFonts w:asciiTheme="majorHAnsi" w:hAnsiTheme="majorHAnsi"/>
          <w:sz w:val="20"/>
          <w:szCs w:val="20"/>
        </w:rPr>
        <w:t xml:space="preserve">n August 10, 2007, the investigation </w:t>
      </w:r>
      <w:r w:rsidR="00BD3BAC" w:rsidRPr="00907400">
        <w:rPr>
          <w:rFonts w:asciiTheme="majorHAnsi" w:hAnsiTheme="majorHAnsi"/>
          <w:sz w:val="20"/>
          <w:szCs w:val="20"/>
        </w:rPr>
        <w:t>cam</w:t>
      </w:r>
      <w:r w:rsidR="008273EF" w:rsidRPr="00907400">
        <w:rPr>
          <w:rFonts w:asciiTheme="majorHAnsi" w:hAnsiTheme="majorHAnsi"/>
          <w:sz w:val="20"/>
          <w:szCs w:val="20"/>
        </w:rPr>
        <w:t>e under the jurisdiction of the above mentioned</w:t>
      </w:r>
      <w:r w:rsidRPr="00907400">
        <w:rPr>
          <w:rFonts w:asciiTheme="majorHAnsi" w:hAnsiTheme="majorHAnsi"/>
          <w:sz w:val="20"/>
          <w:szCs w:val="20"/>
        </w:rPr>
        <w:t xml:space="preserve"> Specialized Prosecutor's Office and that </w:t>
      </w:r>
      <w:r w:rsidR="00BD3BAC" w:rsidRPr="00907400">
        <w:rPr>
          <w:rFonts w:asciiTheme="majorHAnsi" w:hAnsiTheme="majorHAnsi"/>
          <w:sz w:val="20"/>
          <w:szCs w:val="20"/>
        </w:rPr>
        <w:t>production of the said procedural steps was again requested</w:t>
      </w:r>
      <w:r w:rsidRPr="00907400">
        <w:rPr>
          <w:rFonts w:asciiTheme="majorHAnsi" w:hAnsiTheme="majorHAnsi"/>
          <w:sz w:val="20"/>
          <w:szCs w:val="20"/>
        </w:rPr>
        <w:t>. Likewise, in thi</w:t>
      </w:r>
      <w:r w:rsidR="00B01BAD" w:rsidRPr="00907400">
        <w:rPr>
          <w:rFonts w:asciiTheme="majorHAnsi" w:hAnsiTheme="majorHAnsi"/>
          <w:sz w:val="20"/>
          <w:szCs w:val="20"/>
        </w:rPr>
        <w:t>s brief</w:t>
      </w:r>
      <w:r w:rsidRPr="00907400">
        <w:rPr>
          <w:rFonts w:asciiTheme="majorHAnsi" w:hAnsiTheme="majorHAnsi"/>
          <w:sz w:val="20"/>
          <w:szCs w:val="20"/>
        </w:rPr>
        <w:t xml:space="preserve">, he requested </w:t>
      </w:r>
      <w:r w:rsidR="00B01BAD" w:rsidRPr="00907400">
        <w:rPr>
          <w:rFonts w:asciiTheme="majorHAnsi" w:hAnsiTheme="majorHAnsi"/>
          <w:sz w:val="20"/>
          <w:szCs w:val="20"/>
        </w:rPr>
        <w:t xml:space="preserve">an inquiry be made as to whether </w:t>
      </w:r>
      <w:r w:rsidRPr="00907400">
        <w:rPr>
          <w:rFonts w:asciiTheme="majorHAnsi" w:hAnsiTheme="majorHAnsi"/>
          <w:sz w:val="20"/>
          <w:szCs w:val="20"/>
        </w:rPr>
        <w:t xml:space="preserve">a disciplinary </w:t>
      </w:r>
      <w:r w:rsidR="00B01BAD" w:rsidRPr="00907400">
        <w:rPr>
          <w:rFonts w:asciiTheme="majorHAnsi" w:hAnsiTheme="majorHAnsi"/>
          <w:sz w:val="20"/>
          <w:szCs w:val="20"/>
        </w:rPr>
        <w:t>investigation was carried out against</w:t>
      </w:r>
      <w:r w:rsidRPr="00907400">
        <w:rPr>
          <w:rFonts w:asciiTheme="majorHAnsi" w:hAnsiTheme="majorHAnsi"/>
          <w:sz w:val="20"/>
          <w:szCs w:val="20"/>
        </w:rPr>
        <w:t xml:space="preserve"> the personnel of the National Army and Brigade 20 involved </w:t>
      </w:r>
      <w:r w:rsidR="00B01BAD" w:rsidRPr="00907400">
        <w:rPr>
          <w:rFonts w:asciiTheme="majorHAnsi" w:hAnsiTheme="majorHAnsi"/>
          <w:sz w:val="20"/>
          <w:szCs w:val="20"/>
        </w:rPr>
        <w:t>in the events</w:t>
      </w:r>
      <w:r w:rsidRPr="00907400">
        <w:rPr>
          <w:rFonts w:asciiTheme="majorHAnsi" w:hAnsiTheme="majorHAnsi"/>
          <w:sz w:val="20"/>
          <w:szCs w:val="20"/>
        </w:rPr>
        <w:t xml:space="preserve"> and that Germán Ramírez's whereabouts </w:t>
      </w:r>
      <w:r w:rsidR="00B01BAD" w:rsidRPr="00907400">
        <w:rPr>
          <w:rFonts w:asciiTheme="majorHAnsi" w:hAnsiTheme="majorHAnsi"/>
          <w:sz w:val="20"/>
          <w:szCs w:val="20"/>
        </w:rPr>
        <w:t>be ascertained</w:t>
      </w:r>
      <w:r w:rsidRPr="00907400">
        <w:rPr>
          <w:rFonts w:asciiTheme="majorHAnsi" w:hAnsiTheme="majorHAnsi"/>
          <w:sz w:val="20"/>
          <w:szCs w:val="20"/>
        </w:rPr>
        <w:t xml:space="preserve">, </w:t>
      </w:r>
      <w:r w:rsidR="00B01BAD" w:rsidRPr="00907400">
        <w:rPr>
          <w:rFonts w:asciiTheme="majorHAnsi" w:hAnsiTheme="majorHAnsi"/>
          <w:sz w:val="20"/>
          <w:szCs w:val="20"/>
        </w:rPr>
        <w:t>which had not been done</w:t>
      </w:r>
      <w:r w:rsidRPr="00907400">
        <w:rPr>
          <w:rFonts w:asciiTheme="majorHAnsi" w:hAnsiTheme="majorHAnsi"/>
          <w:sz w:val="20"/>
          <w:szCs w:val="20"/>
        </w:rPr>
        <w:t>. The Office of the Prosecutor added the following:</w:t>
      </w:r>
    </w:p>
    <w:p w14:paraId="4C80B0AD"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006ADD9" w14:textId="77777777" w:rsidR="0070717E" w:rsidRPr="00907400" w:rsidRDefault="002233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Taking into account the</w:t>
      </w:r>
      <w:r w:rsidR="0070717E" w:rsidRPr="00907400">
        <w:rPr>
          <w:rFonts w:asciiTheme="majorHAnsi" w:hAnsiTheme="majorHAnsi"/>
          <w:sz w:val="20"/>
          <w:szCs w:val="20"/>
        </w:rPr>
        <w:t xml:space="preserve"> chronological events that have led this preliminary investigation, </w:t>
      </w:r>
      <w:r w:rsidRPr="00907400">
        <w:rPr>
          <w:rFonts w:asciiTheme="majorHAnsi" w:hAnsiTheme="majorHAnsi"/>
          <w:sz w:val="20"/>
          <w:szCs w:val="20"/>
        </w:rPr>
        <w:t xml:space="preserve">it has been </w:t>
      </w:r>
      <w:r w:rsidR="008273EF" w:rsidRPr="00907400">
        <w:rPr>
          <w:rFonts w:asciiTheme="majorHAnsi" w:hAnsiTheme="majorHAnsi"/>
          <w:sz w:val="20"/>
          <w:szCs w:val="20"/>
        </w:rPr>
        <w:t xml:space="preserve">on going for </w:t>
      </w:r>
      <w:r w:rsidR="0070717E" w:rsidRPr="00907400">
        <w:rPr>
          <w:rFonts w:asciiTheme="majorHAnsi" w:hAnsiTheme="majorHAnsi"/>
          <w:sz w:val="20"/>
          <w:szCs w:val="20"/>
        </w:rPr>
        <w:t xml:space="preserve">more than eight years (...) without any of the prosecutors </w:t>
      </w:r>
      <w:r w:rsidRPr="00907400">
        <w:rPr>
          <w:rFonts w:asciiTheme="majorHAnsi" w:hAnsiTheme="majorHAnsi"/>
          <w:sz w:val="20"/>
          <w:szCs w:val="20"/>
        </w:rPr>
        <w:t xml:space="preserve">in charge making a decision on the merits </w:t>
      </w:r>
      <w:r w:rsidR="0070717E" w:rsidRPr="00907400">
        <w:rPr>
          <w:rFonts w:asciiTheme="majorHAnsi" w:hAnsiTheme="majorHAnsi"/>
          <w:sz w:val="20"/>
          <w:szCs w:val="20"/>
        </w:rPr>
        <w:t xml:space="preserve">to opt for a formal opening of </w:t>
      </w:r>
      <w:r w:rsidRPr="00907400">
        <w:rPr>
          <w:rFonts w:asciiTheme="majorHAnsi" w:hAnsiTheme="majorHAnsi"/>
          <w:sz w:val="20"/>
          <w:szCs w:val="20"/>
        </w:rPr>
        <w:t xml:space="preserve">an </w:t>
      </w:r>
      <w:r w:rsidR="0070717E" w:rsidRPr="00907400">
        <w:rPr>
          <w:rFonts w:asciiTheme="majorHAnsi" w:hAnsiTheme="majorHAnsi"/>
          <w:sz w:val="20"/>
          <w:szCs w:val="20"/>
        </w:rPr>
        <w:t xml:space="preserve">investigation, or by the </w:t>
      </w:r>
      <w:r w:rsidR="00911455" w:rsidRPr="00907400">
        <w:rPr>
          <w:rFonts w:asciiTheme="majorHAnsi" w:hAnsiTheme="majorHAnsi"/>
          <w:sz w:val="20"/>
          <w:szCs w:val="20"/>
        </w:rPr>
        <w:t>issuance</w:t>
      </w:r>
      <w:r w:rsidR="0070717E" w:rsidRPr="00907400">
        <w:rPr>
          <w:rFonts w:asciiTheme="majorHAnsi" w:hAnsiTheme="majorHAnsi"/>
          <w:sz w:val="20"/>
          <w:szCs w:val="20"/>
        </w:rPr>
        <w:t xml:space="preserve"> of an inhibitory resolution, </w:t>
      </w:r>
      <w:r w:rsidR="008273EF" w:rsidRPr="00907400">
        <w:rPr>
          <w:rFonts w:asciiTheme="majorHAnsi" w:hAnsiTheme="majorHAnsi"/>
          <w:sz w:val="20"/>
          <w:szCs w:val="20"/>
        </w:rPr>
        <w:t>and given the silence in connection with the production of evidence (...)</w:t>
      </w:r>
      <w:r w:rsidR="0070717E" w:rsidRPr="00907400">
        <w:rPr>
          <w:rFonts w:asciiTheme="majorHAnsi" w:hAnsiTheme="majorHAnsi"/>
          <w:sz w:val="20"/>
          <w:szCs w:val="20"/>
        </w:rPr>
        <w:t xml:space="preserve"> the veracity of </w:t>
      </w:r>
      <w:r w:rsidR="008273EF" w:rsidRPr="00907400">
        <w:rPr>
          <w:rFonts w:asciiTheme="majorHAnsi" w:hAnsiTheme="majorHAnsi"/>
          <w:sz w:val="20"/>
          <w:szCs w:val="20"/>
        </w:rPr>
        <w:t>the statement by the witnesses of the</w:t>
      </w:r>
      <w:r w:rsidR="0070717E" w:rsidRPr="00907400">
        <w:rPr>
          <w:rFonts w:asciiTheme="majorHAnsi" w:hAnsiTheme="majorHAnsi"/>
          <w:sz w:val="20"/>
          <w:szCs w:val="20"/>
        </w:rPr>
        <w:t xml:space="preserve"> charge </w:t>
      </w:r>
      <w:r w:rsidR="008273EF" w:rsidRPr="00907400">
        <w:rPr>
          <w:rFonts w:asciiTheme="majorHAnsi" w:hAnsiTheme="majorHAnsi"/>
          <w:sz w:val="20"/>
          <w:szCs w:val="20"/>
        </w:rPr>
        <w:t>was not truly verified (...)</w:t>
      </w:r>
      <w:r w:rsidR="0070717E" w:rsidRPr="00907400">
        <w:rPr>
          <w:rFonts w:asciiTheme="majorHAnsi" w:hAnsiTheme="majorHAnsi"/>
          <w:sz w:val="20"/>
          <w:szCs w:val="20"/>
        </w:rPr>
        <w:t xml:space="preserve">. The criminal action </w:t>
      </w:r>
      <w:r w:rsidR="008273EF" w:rsidRPr="00907400">
        <w:rPr>
          <w:rFonts w:asciiTheme="majorHAnsi" w:hAnsiTheme="majorHAnsi"/>
          <w:sz w:val="20"/>
          <w:szCs w:val="20"/>
        </w:rPr>
        <w:t xml:space="preserve">is </w:t>
      </w:r>
      <w:r w:rsidR="007563AD" w:rsidRPr="00907400">
        <w:rPr>
          <w:rFonts w:asciiTheme="majorHAnsi" w:hAnsiTheme="majorHAnsi"/>
          <w:sz w:val="20"/>
          <w:szCs w:val="20"/>
        </w:rPr>
        <w:t xml:space="preserve">time </w:t>
      </w:r>
      <w:r w:rsidR="008273EF" w:rsidRPr="00907400">
        <w:rPr>
          <w:rFonts w:asciiTheme="majorHAnsi" w:hAnsiTheme="majorHAnsi"/>
          <w:sz w:val="20"/>
          <w:szCs w:val="20"/>
        </w:rPr>
        <w:t>bar</w:t>
      </w:r>
      <w:r w:rsidR="007563AD" w:rsidRPr="00907400">
        <w:rPr>
          <w:rFonts w:asciiTheme="majorHAnsi" w:hAnsiTheme="majorHAnsi"/>
          <w:sz w:val="20"/>
          <w:szCs w:val="20"/>
        </w:rPr>
        <w:t>red but the application of this</w:t>
      </w:r>
      <w:r w:rsidR="0070717E" w:rsidRPr="00907400">
        <w:rPr>
          <w:rFonts w:asciiTheme="majorHAnsi" w:hAnsiTheme="majorHAnsi"/>
          <w:sz w:val="20"/>
          <w:szCs w:val="20"/>
        </w:rPr>
        <w:t xml:space="preserve"> legal fiction </w:t>
      </w:r>
      <w:r w:rsidR="007563AD" w:rsidRPr="00907400">
        <w:rPr>
          <w:rFonts w:asciiTheme="majorHAnsi" w:hAnsiTheme="majorHAnsi"/>
          <w:sz w:val="20"/>
          <w:szCs w:val="20"/>
        </w:rPr>
        <w:t xml:space="preserve">cannot be blamed on </w:t>
      </w:r>
      <w:r w:rsidR="0070717E" w:rsidRPr="00907400">
        <w:rPr>
          <w:rFonts w:asciiTheme="majorHAnsi" w:hAnsiTheme="majorHAnsi"/>
          <w:sz w:val="20"/>
          <w:szCs w:val="20"/>
        </w:rPr>
        <w:t>the complainant, who</w:t>
      </w:r>
      <w:r w:rsidR="007563AD" w:rsidRPr="00907400">
        <w:rPr>
          <w:rFonts w:asciiTheme="majorHAnsi" w:hAnsiTheme="majorHAnsi"/>
          <w:sz w:val="20"/>
          <w:szCs w:val="20"/>
        </w:rPr>
        <w:t xml:space="preserve"> has always or regularly (...) protested </w:t>
      </w:r>
      <w:r w:rsidR="0070717E" w:rsidRPr="00907400">
        <w:rPr>
          <w:rFonts w:asciiTheme="majorHAnsi" w:hAnsiTheme="majorHAnsi"/>
          <w:sz w:val="20"/>
          <w:szCs w:val="20"/>
        </w:rPr>
        <w:t xml:space="preserve">his </w:t>
      </w:r>
      <w:r w:rsidR="007563AD" w:rsidRPr="00907400">
        <w:rPr>
          <w:rFonts w:asciiTheme="majorHAnsi" w:hAnsiTheme="majorHAnsi"/>
          <w:sz w:val="20"/>
          <w:szCs w:val="20"/>
        </w:rPr>
        <w:t xml:space="preserve">innocence </w:t>
      </w:r>
      <w:r w:rsidR="0070717E" w:rsidRPr="00907400">
        <w:rPr>
          <w:rFonts w:asciiTheme="majorHAnsi" w:hAnsiTheme="majorHAnsi"/>
          <w:sz w:val="20"/>
          <w:szCs w:val="20"/>
        </w:rPr>
        <w:t xml:space="preserve">(...). We must not forget that </w:t>
      </w:r>
      <w:r w:rsidR="007563AD" w:rsidRPr="00907400">
        <w:rPr>
          <w:rFonts w:asciiTheme="majorHAnsi" w:hAnsiTheme="majorHAnsi"/>
          <w:sz w:val="20"/>
          <w:szCs w:val="20"/>
        </w:rPr>
        <w:t xml:space="preserve">due to </w:t>
      </w:r>
      <w:r w:rsidR="0070717E" w:rsidRPr="00907400">
        <w:rPr>
          <w:rFonts w:asciiTheme="majorHAnsi" w:hAnsiTheme="majorHAnsi"/>
          <w:sz w:val="20"/>
          <w:szCs w:val="20"/>
        </w:rPr>
        <w:t>these all</w:t>
      </w:r>
      <w:r w:rsidR="007563AD" w:rsidRPr="00907400">
        <w:rPr>
          <w:rFonts w:asciiTheme="majorHAnsi" w:hAnsiTheme="majorHAnsi"/>
          <w:sz w:val="20"/>
          <w:szCs w:val="20"/>
        </w:rPr>
        <w:t xml:space="preserve">eged false testimonies, </w:t>
      </w:r>
      <w:r w:rsidR="0070717E" w:rsidRPr="00907400">
        <w:rPr>
          <w:rFonts w:asciiTheme="majorHAnsi" w:hAnsiTheme="majorHAnsi"/>
          <w:sz w:val="20"/>
          <w:szCs w:val="20"/>
        </w:rPr>
        <w:t>one of the most fundamental universal right</w:t>
      </w:r>
      <w:r w:rsidR="007563AD" w:rsidRPr="00907400">
        <w:rPr>
          <w:rFonts w:asciiTheme="majorHAnsi" w:hAnsiTheme="majorHAnsi"/>
          <w:sz w:val="20"/>
          <w:szCs w:val="20"/>
        </w:rPr>
        <w:t>s was violated, that is, a person’s liberty and his</w:t>
      </w:r>
      <w:r w:rsidR="0070717E" w:rsidRPr="00907400">
        <w:rPr>
          <w:rFonts w:asciiTheme="majorHAnsi" w:hAnsiTheme="majorHAnsi"/>
          <w:sz w:val="20"/>
          <w:szCs w:val="20"/>
        </w:rPr>
        <w:t xml:space="preserve"> human dignity, </w:t>
      </w:r>
      <w:r w:rsidR="007563AD" w:rsidRPr="00907400">
        <w:rPr>
          <w:rFonts w:asciiTheme="majorHAnsi" w:hAnsiTheme="majorHAnsi"/>
          <w:sz w:val="20"/>
          <w:szCs w:val="20"/>
        </w:rPr>
        <w:t>as principles above</w:t>
      </w:r>
      <w:r w:rsidR="0070717E" w:rsidRPr="00907400">
        <w:rPr>
          <w:rFonts w:asciiTheme="majorHAnsi" w:hAnsiTheme="majorHAnsi"/>
          <w:sz w:val="20"/>
          <w:szCs w:val="20"/>
        </w:rPr>
        <w:t xml:space="preserve"> our constitutional order.</w:t>
      </w:r>
      <w:r w:rsidR="00C4732D" w:rsidRPr="00907400">
        <w:rPr>
          <w:rStyle w:val="FootnoteReference"/>
          <w:rFonts w:asciiTheme="majorHAnsi" w:hAnsiTheme="majorHAnsi"/>
          <w:sz w:val="20"/>
          <w:szCs w:val="20"/>
        </w:rPr>
        <w:footnoteReference w:id="66"/>
      </w:r>
    </w:p>
    <w:p w14:paraId="1B481EDF"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8D51DF7"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Based on the foregoing, the </w:t>
      </w:r>
      <w:r w:rsidR="007563AD" w:rsidRPr="00907400">
        <w:rPr>
          <w:rFonts w:asciiTheme="majorHAnsi" w:hAnsiTheme="majorHAnsi"/>
          <w:sz w:val="20"/>
          <w:szCs w:val="20"/>
        </w:rPr>
        <w:t>General Attorney’s Office</w:t>
      </w:r>
      <w:r w:rsidRPr="00907400">
        <w:rPr>
          <w:rFonts w:asciiTheme="majorHAnsi" w:hAnsiTheme="majorHAnsi"/>
          <w:sz w:val="20"/>
          <w:szCs w:val="20"/>
        </w:rPr>
        <w:t xml:space="preserve"> issued a formal order </w:t>
      </w:r>
      <w:r w:rsidR="00911455" w:rsidRPr="00907400">
        <w:rPr>
          <w:rFonts w:asciiTheme="majorHAnsi" w:hAnsiTheme="majorHAnsi"/>
          <w:sz w:val="20"/>
          <w:szCs w:val="20"/>
        </w:rPr>
        <w:t>opening</w:t>
      </w:r>
      <w:r w:rsidRPr="00907400">
        <w:rPr>
          <w:rFonts w:asciiTheme="majorHAnsi" w:hAnsiTheme="majorHAnsi"/>
          <w:sz w:val="20"/>
          <w:szCs w:val="20"/>
        </w:rPr>
        <w:t xml:space="preserve"> an investigation for the crime of </w:t>
      </w:r>
      <w:r w:rsidR="00911455" w:rsidRPr="00907400">
        <w:rPr>
          <w:rFonts w:asciiTheme="majorHAnsi" w:hAnsiTheme="majorHAnsi"/>
          <w:sz w:val="20"/>
          <w:szCs w:val="20"/>
        </w:rPr>
        <w:t>perjury</w:t>
      </w:r>
      <w:r w:rsidRPr="00907400">
        <w:rPr>
          <w:rFonts w:asciiTheme="majorHAnsi" w:hAnsiTheme="majorHAnsi"/>
          <w:sz w:val="20"/>
          <w:szCs w:val="20"/>
        </w:rPr>
        <w:t xml:space="preserve"> and procedural fraud, and requested that the three persons </w:t>
      </w:r>
      <w:r w:rsidR="00911455" w:rsidRPr="00907400">
        <w:rPr>
          <w:rFonts w:asciiTheme="majorHAnsi" w:hAnsiTheme="majorHAnsi"/>
          <w:sz w:val="20"/>
          <w:szCs w:val="20"/>
        </w:rPr>
        <w:t>under</w:t>
      </w:r>
      <w:r w:rsidR="007563AD" w:rsidRPr="00907400">
        <w:rPr>
          <w:rFonts w:asciiTheme="majorHAnsi" w:hAnsiTheme="majorHAnsi"/>
          <w:sz w:val="20"/>
          <w:szCs w:val="20"/>
        </w:rPr>
        <w:t xml:space="preserve"> investigation</w:t>
      </w:r>
      <w:r w:rsidR="00911455" w:rsidRPr="00907400">
        <w:rPr>
          <w:rFonts w:asciiTheme="majorHAnsi" w:hAnsiTheme="majorHAnsi"/>
          <w:sz w:val="20"/>
          <w:szCs w:val="20"/>
        </w:rPr>
        <w:t xml:space="preserve"> be indicted</w:t>
      </w:r>
      <w:r w:rsidRPr="00907400">
        <w:rPr>
          <w:rFonts w:asciiTheme="majorHAnsi" w:hAnsiTheme="majorHAnsi"/>
          <w:sz w:val="20"/>
          <w:szCs w:val="20"/>
        </w:rPr>
        <w:t>.</w:t>
      </w:r>
      <w:r w:rsidR="00C4732D" w:rsidRPr="00907400">
        <w:rPr>
          <w:rStyle w:val="FootnoteReference"/>
          <w:rFonts w:asciiTheme="majorHAnsi" w:hAnsiTheme="majorHAnsi"/>
          <w:sz w:val="20"/>
          <w:szCs w:val="20"/>
        </w:rPr>
        <w:footnoteReference w:id="67"/>
      </w:r>
    </w:p>
    <w:p w14:paraId="62EB62BF"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B38274E"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On July 1, 2010, Special Prosecutor's Office 28 decided t</w:t>
      </w:r>
      <w:r w:rsidR="007563AD" w:rsidRPr="00907400">
        <w:rPr>
          <w:rFonts w:asciiTheme="majorHAnsi" w:hAnsiTheme="majorHAnsi"/>
          <w:sz w:val="20"/>
          <w:szCs w:val="20"/>
        </w:rPr>
        <w:t xml:space="preserve">o preclude the investigation </w:t>
      </w:r>
      <w:r w:rsidRPr="00907400">
        <w:rPr>
          <w:rFonts w:asciiTheme="majorHAnsi" w:hAnsiTheme="majorHAnsi"/>
          <w:sz w:val="20"/>
          <w:szCs w:val="20"/>
        </w:rPr>
        <w:t>indicating the following:</w:t>
      </w:r>
    </w:p>
    <w:p w14:paraId="3448C715" w14:textId="77777777" w:rsidR="00C27451"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855"/>
        <w:jc w:val="both"/>
        <w:rPr>
          <w:rFonts w:asciiTheme="majorHAnsi" w:hAnsiTheme="majorHAnsi"/>
          <w:sz w:val="20"/>
          <w:szCs w:val="20"/>
        </w:rPr>
      </w:pPr>
    </w:p>
    <w:p w14:paraId="670A5242" w14:textId="77777777" w:rsidR="0070717E" w:rsidRPr="00907400" w:rsidRDefault="0070717E"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Article 232 of Law 600 of 2000 requires, for a possible transcendence at the trial stage and subsequent conviction, the existence of evidence that leads to the certainty of the punishable conduct (...) and the respo</w:t>
      </w:r>
      <w:r w:rsidR="007563AD" w:rsidRPr="00907400">
        <w:rPr>
          <w:rFonts w:asciiTheme="majorHAnsi" w:hAnsiTheme="majorHAnsi"/>
          <w:sz w:val="20"/>
          <w:szCs w:val="20"/>
        </w:rPr>
        <w:t xml:space="preserve">nsibility of the individuals under process, as </w:t>
      </w:r>
      <w:r w:rsidRPr="00907400">
        <w:rPr>
          <w:rFonts w:asciiTheme="majorHAnsi" w:hAnsiTheme="majorHAnsi"/>
          <w:sz w:val="20"/>
          <w:szCs w:val="20"/>
        </w:rPr>
        <w:t>objective requirement</w:t>
      </w:r>
      <w:r w:rsidR="007563AD" w:rsidRPr="00907400">
        <w:rPr>
          <w:rFonts w:asciiTheme="majorHAnsi" w:hAnsiTheme="majorHAnsi"/>
          <w:sz w:val="20"/>
          <w:szCs w:val="20"/>
        </w:rPr>
        <w:t>s</w:t>
      </w:r>
      <w:r w:rsidRPr="00907400">
        <w:rPr>
          <w:rFonts w:asciiTheme="majorHAnsi" w:hAnsiTheme="majorHAnsi"/>
          <w:sz w:val="20"/>
          <w:szCs w:val="20"/>
        </w:rPr>
        <w:t xml:space="preserve"> (...) </w:t>
      </w:r>
      <w:r w:rsidR="007563AD" w:rsidRPr="00907400">
        <w:rPr>
          <w:rFonts w:asciiTheme="majorHAnsi" w:hAnsiTheme="majorHAnsi"/>
          <w:sz w:val="20"/>
          <w:szCs w:val="20"/>
        </w:rPr>
        <w:t>which have not proven before</w:t>
      </w:r>
      <w:r w:rsidRPr="00907400">
        <w:rPr>
          <w:rFonts w:asciiTheme="majorHAnsi" w:hAnsiTheme="majorHAnsi"/>
          <w:sz w:val="20"/>
          <w:szCs w:val="20"/>
        </w:rPr>
        <w:t xml:space="preserve"> this plenary. That is, neither the innocence of the complainant, nor the responsibility of the (...) accused (...), coupled with the legal phenomenon of the statute of limitations for criminal action, provide sufficient grounds for the adoption of this determination.</w:t>
      </w:r>
    </w:p>
    <w:p w14:paraId="1202A1D2"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A06A1BA" w14:textId="77777777" w:rsidR="0070717E" w:rsidRPr="00907400" w:rsidRDefault="0070717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State </w:t>
      </w:r>
      <w:r w:rsidR="003030E5" w:rsidRPr="00907400">
        <w:rPr>
          <w:rFonts w:asciiTheme="majorHAnsi" w:hAnsiTheme="majorHAnsi"/>
          <w:sz w:val="20"/>
          <w:szCs w:val="20"/>
        </w:rPr>
        <w:t>made it clear</w:t>
      </w:r>
      <w:r w:rsidRPr="00907400">
        <w:rPr>
          <w:rFonts w:asciiTheme="majorHAnsi" w:hAnsiTheme="majorHAnsi"/>
          <w:sz w:val="20"/>
          <w:szCs w:val="20"/>
        </w:rPr>
        <w:t xml:space="preserve"> that said decision was appealed by Mr. Sastoque</w:t>
      </w:r>
      <w:r w:rsidR="003030E5" w:rsidRPr="00907400">
        <w:rPr>
          <w:rFonts w:asciiTheme="majorHAnsi" w:hAnsiTheme="majorHAnsi"/>
          <w:sz w:val="20"/>
          <w:szCs w:val="20"/>
        </w:rPr>
        <w:t>’s defense attorney</w:t>
      </w:r>
      <w:r w:rsidRPr="00907400">
        <w:rPr>
          <w:rFonts w:asciiTheme="majorHAnsi" w:hAnsiTheme="majorHAnsi"/>
          <w:sz w:val="20"/>
          <w:szCs w:val="20"/>
        </w:rPr>
        <w:t xml:space="preserve"> and that it was sent to the </w:t>
      </w:r>
      <w:r w:rsidR="003030E5" w:rsidRPr="00907400">
        <w:rPr>
          <w:rFonts w:asciiTheme="majorHAnsi" w:hAnsiTheme="majorHAnsi"/>
          <w:sz w:val="20"/>
          <w:szCs w:val="20"/>
        </w:rPr>
        <w:t>Deputy</w:t>
      </w:r>
      <w:r w:rsidRPr="00907400">
        <w:rPr>
          <w:rFonts w:asciiTheme="majorHAnsi" w:hAnsiTheme="majorHAnsi"/>
          <w:sz w:val="20"/>
          <w:szCs w:val="20"/>
        </w:rPr>
        <w:t xml:space="preserve"> Prosecutor's Office before the Court of Bogotá to be resolved.</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68"/>
      </w:r>
    </w:p>
    <w:p w14:paraId="3B770508"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008E10A" w14:textId="77777777" w:rsidR="0070717E" w:rsidRPr="00907400" w:rsidRDefault="008F6CB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According to a press release, at the beginning of 2011 the Office of the Deputy Prosecutor before the Superior Court of Bogotá </w:t>
      </w:r>
      <w:r w:rsidR="00E81558" w:rsidRPr="00907400">
        <w:rPr>
          <w:rFonts w:asciiTheme="majorHAnsi" w:hAnsiTheme="majorHAnsi"/>
          <w:sz w:val="20"/>
          <w:szCs w:val="20"/>
        </w:rPr>
        <w:t>reversed the decision to</w:t>
      </w:r>
      <w:r w:rsidRPr="00907400">
        <w:rPr>
          <w:rFonts w:asciiTheme="majorHAnsi" w:hAnsiTheme="majorHAnsi"/>
          <w:sz w:val="20"/>
          <w:szCs w:val="20"/>
        </w:rPr>
        <w:t xml:space="preserve"> </w:t>
      </w:r>
      <w:r w:rsidR="00E81558" w:rsidRPr="00907400">
        <w:rPr>
          <w:rFonts w:asciiTheme="majorHAnsi" w:hAnsiTheme="majorHAnsi"/>
          <w:sz w:val="20"/>
          <w:szCs w:val="20"/>
        </w:rPr>
        <w:t>terminate</w:t>
      </w:r>
      <w:r w:rsidRPr="00907400">
        <w:rPr>
          <w:rFonts w:asciiTheme="majorHAnsi" w:hAnsiTheme="majorHAnsi"/>
          <w:sz w:val="20"/>
          <w:szCs w:val="20"/>
        </w:rPr>
        <w:t xml:space="preserve"> the investigation and issued an indictment agai</w:t>
      </w:r>
      <w:r w:rsidR="00E81558" w:rsidRPr="00907400">
        <w:rPr>
          <w:rFonts w:asciiTheme="majorHAnsi" w:hAnsiTheme="majorHAnsi"/>
          <w:sz w:val="20"/>
          <w:szCs w:val="20"/>
        </w:rPr>
        <w:t>nst the three persons under investigation</w:t>
      </w:r>
      <w:r w:rsidRPr="00907400">
        <w:rPr>
          <w:rFonts w:asciiTheme="majorHAnsi" w:hAnsiTheme="majorHAnsi"/>
          <w:sz w:val="20"/>
          <w:szCs w:val="20"/>
        </w:rPr>
        <w:t>.</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69"/>
      </w:r>
      <w:r w:rsidRPr="00907400">
        <w:rPr>
          <w:rFonts w:asciiTheme="majorHAnsi" w:hAnsiTheme="majorHAnsi"/>
          <w:sz w:val="20"/>
          <w:szCs w:val="20"/>
        </w:rPr>
        <w:t xml:space="preserve"> According to another press release, on October 4, 2012, the trial against the aforementioned persons</w:t>
      </w:r>
      <w:r w:rsidR="00E81558" w:rsidRPr="00907400">
        <w:rPr>
          <w:rFonts w:asciiTheme="majorHAnsi" w:hAnsiTheme="majorHAnsi"/>
          <w:sz w:val="20"/>
          <w:szCs w:val="20"/>
        </w:rPr>
        <w:t xml:space="preserve"> began before the Fi</w:t>
      </w:r>
      <w:r w:rsidR="0064793B" w:rsidRPr="00907400">
        <w:rPr>
          <w:rFonts w:asciiTheme="majorHAnsi" w:hAnsiTheme="majorHAnsi"/>
          <w:sz w:val="20"/>
          <w:szCs w:val="20"/>
        </w:rPr>
        <w:t>fth Criminal Court of the Adjunct</w:t>
      </w:r>
      <w:r w:rsidR="00E81558" w:rsidRPr="00907400">
        <w:rPr>
          <w:rFonts w:asciiTheme="majorHAnsi" w:hAnsiTheme="majorHAnsi"/>
          <w:sz w:val="20"/>
          <w:szCs w:val="20"/>
        </w:rPr>
        <w:t xml:space="preserve"> Circuit of Bogotá. This</w:t>
      </w:r>
      <w:r w:rsidRPr="00907400">
        <w:rPr>
          <w:rFonts w:asciiTheme="majorHAnsi" w:hAnsiTheme="majorHAnsi"/>
          <w:sz w:val="20"/>
          <w:szCs w:val="20"/>
        </w:rPr>
        <w:t xml:space="preserve"> press release</w:t>
      </w:r>
      <w:r w:rsidR="00E81558" w:rsidRPr="00907400">
        <w:rPr>
          <w:rFonts w:asciiTheme="majorHAnsi" w:hAnsiTheme="majorHAnsi"/>
          <w:sz w:val="20"/>
          <w:szCs w:val="20"/>
        </w:rPr>
        <w:t xml:space="preserve"> also</w:t>
      </w:r>
      <w:r w:rsidRPr="00907400">
        <w:rPr>
          <w:rFonts w:asciiTheme="majorHAnsi" w:hAnsiTheme="majorHAnsi"/>
          <w:sz w:val="20"/>
          <w:szCs w:val="20"/>
        </w:rPr>
        <w:t xml:space="preserve"> indicated that the Guevara sisters had fled and that Mr. Ramírez </w:t>
      </w:r>
      <w:r w:rsidR="00E81558" w:rsidRPr="00907400">
        <w:rPr>
          <w:rFonts w:asciiTheme="majorHAnsi" w:hAnsiTheme="majorHAnsi"/>
          <w:sz w:val="20"/>
          <w:szCs w:val="20"/>
        </w:rPr>
        <w:t>admitted</w:t>
      </w:r>
      <w:r w:rsidRPr="00907400">
        <w:rPr>
          <w:rFonts w:asciiTheme="majorHAnsi" w:hAnsiTheme="majorHAnsi"/>
          <w:sz w:val="20"/>
          <w:szCs w:val="20"/>
        </w:rPr>
        <w:t xml:space="preserve"> that he was threatened by agents </w:t>
      </w:r>
      <w:r w:rsidR="00E81558" w:rsidRPr="00907400">
        <w:rPr>
          <w:rFonts w:asciiTheme="majorHAnsi" w:hAnsiTheme="majorHAnsi"/>
          <w:sz w:val="20"/>
          <w:szCs w:val="20"/>
        </w:rPr>
        <w:t>said to be</w:t>
      </w:r>
      <w:r w:rsidRPr="00907400">
        <w:rPr>
          <w:rFonts w:asciiTheme="majorHAnsi" w:hAnsiTheme="majorHAnsi"/>
          <w:sz w:val="20"/>
          <w:szCs w:val="20"/>
        </w:rPr>
        <w:t xml:space="preserve"> from the Prosecutor's Office </w:t>
      </w:r>
      <w:r w:rsidR="0064793B" w:rsidRPr="00907400">
        <w:rPr>
          <w:rFonts w:asciiTheme="majorHAnsi" w:hAnsiTheme="majorHAnsi"/>
          <w:sz w:val="20"/>
          <w:szCs w:val="20"/>
        </w:rPr>
        <w:t>in order that he identify</w:t>
      </w:r>
      <w:r w:rsidRPr="00907400">
        <w:rPr>
          <w:rFonts w:asciiTheme="majorHAnsi" w:hAnsiTheme="majorHAnsi"/>
          <w:sz w:val="20"/>
          <w:szCs w:val="20"/>
        </w:rPr>
        <w:t xml:space="preserve"> Gustavo Sastoque </w:t>
      </w:r>
      <w:r w:rsidR="006D362B" w:rsidRPr="00907400">
        <w:rPr>
          <w:rFonts w:asciiTheme="majorHAnsi" w:hAnsiTheme="majorHAnsi"/>
          <w:sz w:val="20"/>
          <w:szCs w:val="20"/>
        </w:rPr>
        <w:t>as</w:t>
      </w:r>
      <w:r w:rsidRPr="00907400">
        <w:rPr>
          <w:rFonts w:asciiTheme="majorHAnsi" w:hAnsiTheme="majorHAnsi"/>
          <w:sz w:val="20"/>
          <w:szCs w:val="20"/>
        </w:rPr>
        <w:t xml:space="preserve"> the person who shot Hernando Pizarro.</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70"/>
      </w:r>
    </w:p>
    <w:p w14:paraId="4FAE345E" w14:textId="77777777" w:rsidR="00C27451" w:rsidRP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91BDE07" w14:textId="77777777" w:rsidR="0070717E" w:rsidRPr="00C27451" w:rsidRDefault="008F6CB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C27451">
        <w:rPr>
          <w:rFonts w:asciiTheme="majorHAnsi" w:hAnsiTheme="majorHAnsi"/>
          <w:sz w:val="20"/>
          <w:szCs w:val="20"/>
        </w:rPr>
        <w:t>The IACHR does not have information on the current status of s</w:t>
      </w:r>
      <w:r w:rsidR="00CD31CA" w:rsidRPr="00C27451">
        <w:rPr>
          <w:rFonts w:asciiTheme="majorHAnsi" w:hAnsiTheme="majorHAnsi"/>
          <w:sz w:val="20"/>
          <w:szCs w:val="20"/>
        </w:rPr>
        <w:t>aid proceedings</w:t>
      </w:r>
      <w:r w:rsidRPr="00C27451">
        <w:rPr>
          <w:rFonts w:asciiTheme="majorHAnsi" w:hAnsiTheme="majorHAnsi"/>
          <w:sz w:val="20"/>
          <w:szCs w:val="20"/>
        </w:rPr>
        <w:t>.</w:t>
      </w:r>
    </w:p>
    <w:p w14:paraId="6D219140" w14:textId="77777777" w:rsidR="0070717E" w:rsidRPr="00C27451" w:rsidRDefault="0070717E"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BCE34DE" w14:textId="77777777" w:rsidR="00E81706" w:rsidRPr="00C27451" w:rsidRDefault="00E81706" w:rsidP="00C27451">
      <w:pPr>
        <w:pStyle w:val="Heading1"/>
        <w:spacing w:before="0"/>
        <w:ind w:firstLine="0"/>
        <w:rPr>
          <w:color w:val="auto"/>
          <w:sz w:val="20"/>
          <w:szCs w:val="20"/>
        </w:rPr>
      </w:pPr>
      <w:bookmarkStart w:id="9" w:name="_Toc211249798"/>
      <w:r w:rsidRPr="00C27451">
        <w:rPr>
          <w:color w:val="auto"/>
          <w:sz w:val="20"/>
          <w:szCs w:val="20"/>
        </w:rPr>
        <w:t>LEGAL ANALYSIS</w:t>
      </w:r>
      <w:bookmarkEnd w:id="9"/>
    </w:p>
    <w:p w14:paraId="70CF02C9" w14:textId="77777777" w:rsidR="00C27451" w:rsidRP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440" w:hanging="720"/>
        <w:jc w:val="both"/>
        <w:rPr>
          <w:rFonts w:asciiTheme="majorHAnsi" w:hAnsiTheme="majorHAnsi"/>
          <w:sz w:val="20"/>
          <w:szCs w:val="20"/>
        </w:rPr>
      </w:pPr>
    </w:p>
    <w:p w14:paraId="50AAC690" w14:textId="77777777" w:rsidR="00E81706" w:rsidRPr="00C27451" w:rsidRDefault="00E81706" w:rsidP="00C27451">
      <w:pPr>
        <w:pStyle w:val="Heading2"/>
        <w:spacing w:before="0"/>
        <w:ind w:left="1440" w:hanging="720"/>
        <w:rPr>
          <w:color w:val="auto"/>
          <w:sz w:val="20"/>
          <w:szCs w:val="20"/>
        </w:rPr>
      </w:pPr>
      <w:bookmarkStart w:id="10" w:name="_Toc211249799"/>
      <w:r w:rsidRPr="00C27451">
        <w:rPr>
          <w:color w:val="auto"/>
          <w:sz w:val="20"/>
          <w:szCs w:val="20"/>
        </w:rPr>
        <w:t>A.</w:t>
      </w:r>
      <w:r w:rsidRPr="00C27451">
        <w:rPr>
          <w:color w:val="auto"/>
          <w:sz w:val="20"/>
          <w:szCs w:val="20"/>
        </w:rPr>
        <w:tab/>
      </w:r>
      <w:r w:rsidR="00BD7692" w:rsidRPr="00C27451">
        <w:rPr>
          <w:color w:val="auto"/>
          <w:sz w:val="20"/>
          <w:szCs w:val="20"/>
        </w:rPr>
        <w:t>The Right to P</w:t>
      </w:r>
      <w:r w:rsidRPr="00C27451">
        <w:rPr>
          <w:color w:val="auto"/>
          <w:sz w:val="20"/>
          <w:szCs w:val="20"/>
        </w:rPr>
        <w:t>erson</w:t>
      </w:r>
      <w:r w:rsidR="00BD7692" w:rsidRPr="00C27451">
        <w:rPr>
          <w:color w:val="auto"/>
          <w:sz w:val="20"/>
          <w:szCs w:val="20"/>
        </w:rPr>
        <w:t>al L</w:t>
      </w:r>
      <w:r w:rsidRPr="00C27451">
        <w:rPr>
          <w:color w:val="auto"/>
          <w:sz w:val="20"/>
          <w:szCs w:val="20"/>
        </w:rPr>
        <w:t>iberty (Article 7</w:t>
      </w:r>
      <w:r w:rsidR="00C4732D" w:rsidRPr="00C27451">
        <w:rPr>
          <w:rStyle w:val="FootnoteReference"/>
          <w:color w:val="auto"/>
          <w:sz w:val="20"/>
          <w:szCs w:val="20"/>
        </w:rPr>
        <w:footnoteReference w:id="71"/>
      </w:r>
      <w:r w:rsidRPr="00C27451">
        <w:rPr>
          <w:color w:val="auto"/>
          <w:sz w:val="20"/>
          <w:szCs w:val="20"/>
        </w:rPr>
        <w:t xml:space="preserve"> of the American Convention, in </w:t>
      </w:r>
      <w:r w:rsidR="00BD7692" w:rsidRPr="00C27451">
        <w:rPr>
          <w:color w:val="auto"/>
          <w:sz w:val="20"/>
          <w:szCs w:val="20"/>
        </w:rPr>
        <w:t>relation to Article 1.1 of the Same I</w:t>
      </w:r>
      <w:r w:rsidRPr="00C27451">
        <w:rPr>
          <w:color w:val="auto"/>
          <w:sz w:val="20"/>
          <w:szCs w:val="20"/>
        </w:rPr>
        <w:t>nstrument)</w:t>
      </w:r>
      <w:bookmarkEnd w:id="10"/>
    </w:p>
    <w:p w14:paraId="429071BB" w14:textId="77777777" w:rsidR="00C27451" w:rsidRP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440" w:hanging="720"/>
        <w:jc w:val="both"/>
        <w:rPr>
          <w:rFonts w:asciiTheme="majorHAnsi" w:hAnsiTheme="majorHAnsi"/>
          <w:b/>
          <w:sz w:val="20"/>
          <w:szCs w:val="20"/>
        </w:rPr>
      </w:pPr>
    </w:p>
    <w:p w14:paraId="3A67F098" w14:textId="77777777" w:rsidR="00E81706" w:rsidRPr="00C27451" w:rsidRDefault="00BD7692"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440" w:hanging="720"/>
        <w:jc w:val="both"/>
        <w:rPr>
          <w:rFonts w:asciiTheme="majorHAnsi" w:hAnsiTheme="majorHAnsi"/>
          <w:b/>
          <w:sz w:val="20"/>
          <w:szCs w:val="20"/>
        </w:rPr>
      </w:pPr>
      <w:r w:rsidRPr="00C27451">
        <w:rPr>
          <w:rFonts w:asciiTheme="majorHAnsi" w:hAnsiTheme="majorHAnsi"/>
          <w:b/>
          <w:sz w:val="20"/>
          <w:szCs w:val="20"/>
        </w:rPr>
        <w:lastRenderedPageBreak/>
        <w:t>1.</w:t>
      </w:r>
      <w:r w:rsidRPr="00C27451">
        <w:rPr>
          <w:rFonts w:asciiTheme="majorHAnsi" w:hAnsiTheme="majorHAnsi"/>
          <w:b/>
          <w:sz w:val="20"/>
          <w:szCs w:val="20"/>
        </w:rPr>
        <w:tab/>
        <w:t>The Right not to Be U</w:t>
      </w:r>
      <w:r w:rsidR="00E81706" w:rsidRPr="00C27451">
        <w:rPr>
          <w:rFonts w:asciiTheme="majorHAnsi" w:hAnsiTheme="majorHAnsi"/>
          <w:b/>
          <w:sz w:val="20"/>
          <w:szCs w:val="20"/>
        </w:rPr>
        <w:t xml:space="preserve">nlawfully </w:t>
      </w:r>
      <w:r w:rsidRPr="00C27451">
        <w:rPr>
          <w:rFonts w:asciiTheme="majorHAnsi" w:hAnsiTheme="majorHAnsi"/>
          <w:b/>
          <w:sz w:val="20"/>
          <w:szCs w:val="20"/>
        </w:rPr>
        <w:t>D</w:t>
      </w:r>
      <w:r w:rsidR="004E099D" w:rsidRPr="00C27451">
        <w:rPr>
          <w:rFonts w:asciiTheme="majorHAnsi" w:hAnsiTheme="majorHAnsi"/>
          <w:b/>
          <w:sz w:val="20"/>
          <w:szCs w:val="20"/>
        </w:rPr>
        <w:t>etained</w:t>
      </w:r>
      <w:r w:rsidRPr="00C27451">
        <w:rPr>
          <w:rFonts w:asciiTheme="majorHAnsi" w:hAnsiTheme="majorHAnsi"/>
          <w:b/>
          <w:sz w:val="20"/>
          <w:szCs w:val="20"/>
        </w:rPr>
        <w:t xml:space="preserve"> and to Know the Grounds for D</w:t>
      </w:r>
      <w:r w:rsidR="00E81706" w:rsidRPr="00C27451">
        <w:rPr>
          <w:rFonts w:asciiTheme="majorHAnsi" w:hAnsiTheme="majorHAnsi"/>
          <w:b/>
          <w:sz w:val="20"/>
          <w:szCs w:val="20"/>
        </w:rPr>
        <w:t>etention</w:t>
      </w:r>
    </w:p>
    <w:p w14:paraId="4085D302" w14:textId="77777777" w:rsidR="00C27451" w:rsidRP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8FCBAC2" w14:textId="77777777" w:rsidR="00E81706" w:rsidRDefault="00DF731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C27451">
        <w:rPr>
          <w:rFonts w:asciiTheme="majorHAnsi" w:hAnsiTheme="majorHAnsi"/>
          <w:sz w:val="20"/>
          <w:szCs w:val="20"/>
        </w:rPr>
        <w:t>The Inter-American Court has indicated that Article 7.2 of the American Co</w:t>
      </w:r>
      <w:r w:rsidR="00AF0A75" w:rsidRPr="00C27451">
        <w:rPr>
          <w:rFonts w:asciiTheme="majorHAnsi" w:hAnsiTheme="majorHAnsi"/>
          <w:sz w:val="20"/>
          <w:szCs w:val="20"/>
        </w:rPr>
        <w:t>nvention "recognizes the main</w:t>
      </w:r>
      <w:r w:rsidRPr="00C27451">
        <w:rPr>
          <w:rFonts w:asciiTheme="majorHAnsi" w:hAnsiTheme="majorHAnsi"/>
          <w:sz w:val="20"/>
          <w:szCs w:val="20"/>
        </w:rPr>
        <w:t xml:space="preserve"> guarantee of the right to physical liberty: the </w:t>
      </w:r>
      <w:r w:rsidR="00AF0A75" w:rsidRPr="00C27451">
        <w:rPr>
          <w:rFonts w:asciiTheme="majorHAnsi" w:hAnsiTheme="majorHAnsi"/>
          <w:sz w:val="20"/>
          <w:szCs w:val="20"/>
        </w:rPr>
        <w:t>legal exception</w:t>
      </w:r>
      <w:r w:rsidRPr="00C27451">
        <w:rPr>
          <w:rFonts w:asciiTheme="majorHAnsi" w:hAnsiTheme="majorHAnsi"/>
          <w:sz w:val="20"/>
          <w:szCs w:val="20"/>
        </w:rPr>
        <w:t>, according to which</w:t>
      </w:r>
      <w:r w:rsidR="00AF0A75" w:rsidRPr="00C27451">
        <w:rPr>
          <w:rFonts w:asciiTheme="majorHAnsi" w:hAnsiTheme="majorHAnsi"/>
          <w:sz w:val="20"/>
          <w:szCs w:val="20"/>
        </w:rPr>
        <w:t xml:space="preserve"> the right to person liberty can </w:t>
      </w:r>
      <w:r w:rsidR="00AF0A75" w:rsidRPr="00907400">
        <w:rPr>
          <w:rFonts w:asciiTheme="majorHAnsi" w:hAnsiTheme="majorHAnsi"/>
          <w:sz w:val="20"/>
          <w:szCs w:val="20"/>
        </w:rPr>
        <w:t>only be affected by a law.</w:t>
      </w:r>
      <w:r w:rsidRPr="00907400">
        <w:rPr>
          <w:rFonts w:asciiTheme="majorHAnsi" w:hAnsiTheme="majorHAnsi"/>
          <w:sz w:val="20"/>
          <w:szCs w:val="20"/>
        </w:rPr>
        <w:t>"</w:t>
      </w:r>
      <w:r w:rsidR="00C4732D" w:rsidRPr="00907400">
        <w:rPr>
          <w:rStyle w:val="FootnoteReference"/>
          <w:rFonts w:asciiTheme="majorHAnsi" w:hAnsiTheme="majorHAnsi"/>
          <w:sz w:val="20"/>
          <w:szCs w:val="20"/>
        </w:rPr>
        <w:footnoteReference w:id="72"/>
      </w:r>
      <w:r w:rsidRPr="00907400">
        <w:rPr>
          <w:rFonts w:asciiTheme="majorHAnsi" w:hAnsiTheme="majorHAnsi"/>
          <w:sz w:val="20"/>
          <w:szCs w:val="20"/>
        </w:rPr>
        <w:t xml:space="preserve"> The </w:t>
      </w:r>
      <w:r w:rsidR="00AF0A75" w:rsidRPr="00907400">
        <w:rPr>
          <w:rFonts w:asciiTheme="majorHAnsi" w:hAnsiTheme="majorHAnsi"/>
          <w:sz w:val="20"/>
          <w:szCs w:val="20"/>
        </w:rPr>
        <w:t>legal exception</w:t>
      </w:r>
      <w:r w:rsidRPr="00907400">
        <w:rPr>
          <w:rFonts w:asciiTheme="majorHAnsi" w:hAnsiTheme="majorHAnsi"/>
          <w:sz w:val="20"/>
          <w:szCs w:val="20"/>
        </w:rPr>
        <w:t xml:space="preserve"> that is required to affect the right to perso</w:t>
      </w:r>
      <w:r w:rsidR="00AF0A75" w:rsidRPr="00907400">
        <w:rPr>
          <w:rFonts w:asciiTheme="majorHAnsi" w:hAnsiTheme="majorHAnsi"/>
          <w:sz w:val="20"/>
          <w:szCs w:val="20"/>
        </w:rPr>
        <w:t>nal liberty in accordance with A</w:t>
      </w:r>
      <w:r w:rsidRPr="00907400">
        <w:rPr>
          <w:rFonts w:asciiTheme="majorHAnsi" w:hAnsiTheme="majorHAnsi"/>
          <w:sz w:val="20"/>
          <w:szCs w:val="20"/>
        </w:rPr>
        <w:t>rticle 7.2 of the Convention is that it must necessarily be accompanied by</w:t>
      </w:r>
      <w:r w:rsidR="007467E5" w:rsidRPr="00907400">
        <w:rPr>
          <w:rFonts w:asciiTheme="majorHAnsi" w:hAnsiTheme="majorHAnsi"/>
          <w:sz w:val="20"/>
          <w:szCs w:val="20"/>
        </w:rPr>
        <w:t xml:space="preserve"> the principle of specificity</w:t>
      </w:r>
      <w:r w:rsidRPr="00907400">
        <w:rPr>
          <w:rFonts w:asciiTheme="majorHAnsi" w:hAnsiTheme="majorHAnsi"/>
          <w:sz w:val="20"/>
          <w:szCs w:val="20"/>
        </w:rPr>
        <w:t xml:space="preserve">, which obliges States to establish, </w:t>
      </w:r>
      <w:r w:rsidR="007F0F5A" w:rsidRPr="00907400">
        <w:rPr>
          <w:rFonts w:asciiTheme="majorHAnsi" w:hAnsiTheme="majorHAnsi"/>
          <w:sz w:val="20"/>
          <w:szCs w:val="20"/>
        </w:rPr>
        <w:t>as concretely as possible and "beforehand", the "causes</w:t>
      </w:r>
      <w:r w:rsidRPr="00907400">
        <w:rPr>
          <w:rFonts w:asciiTheme="majorHAnsi" w:hAnsiTheme="majorHAnsi"/>
          <w:sz w:val="20"/>
          <w:szCs w:val="20"/>
        </w:rPr>
        <w:t>"</w:t>
      </w:r>
      <w:r w:rsidR="007F0F5A" w:rsidRPr="00907400">
        <w:rPr>
          <w:rFonts w:asciiTheme="majorHAnsi" w:hAnsiTheme="majorHAnsi"/>
          <w:sz w:val="20"/>
          <w:szCs w:val="20"/>
        </w:rPr>
        <w:t xml:space="preserve"> </w:t>
      </w:r>
      <w:r w:rsidRPr="00907400">
        <w:rPr>
          <w:rFonts w:asciiTheme="majorHAnsi" w:hAnsiTheme="majorHAnsi"/>
          <w:sz w:val="20"/>
          <w:szCs w:val="20"/>
        </w:rPr>
        <w:t>and</w:t>
      </w:r>
      <w:r w:rsidR="007F0F5A" w:rsidRPr="00907400">
        <w:rPr>
          <w:rFonts w:asciiTheme="majorHAnsi" w:hAnsiTheme="majorHAnsi"/>
          <w:sz w:val="20"/>
          <w:szCs w:val="20"/>
        </w:rPr>
        <w:t xml:space="preserve"> "conditions</w:t>
      </w:r>
      <w:r w:rsidRPr="00907400">
        <w:rPr>
          <w:rFonts w:asciiTheme="majorHAnsi" w:hAnsiTheme="majorHAnsi"/>
          <w:sz w:val="20"/>
          <w:szCs w:val="20"/>
        </w:rPr>
        <w:t>"</w:t>
      </w:r>
      <w:r w:rsidR="00C27451">
        <w:rPr>
          <w:rFonts w:asciiTheme="majorHAnsi" w:hAnsiTheme="majorHAnsi"/>
          <w:sz w:val="20"/>
          <w:szCs w:val="20"/>
        </w:rPr>
        <w:t xml:space="preserve"> </w:t>
      </w:r>
      <w:r w:rsidRPr="00907400">
        <w:rPr>
          <w:rFonts w:asciiTheme="majorHAnsi" w:hAnsiTheme="majorHAnsi"/>
          <w:sz w:val="20"/>
          <w:szCs w:val="20"/>
        </w:rPr>
        <w:t>of the</w:t>
      </w:r>
      <w:r w:rsidR="00AF0A75" w:rsidRPr="00907400">
        <w:rPr>
          <w:rFonts w:asciiTheme="majorHAnsi" w:hAnsiTheme="majorHAnsi"/>
          <w:sz w:val="20"/>
          <w:szCs w:val="20"/>
        </w:rPr>
        <w:t xml:space="preserve"> deprivation of physical liberty</w:t>
      </w:r>
      <w:r w:rsidRPr="00907400">
        <w:rPr>
          <w:rFonts w:asciiTheme="majorHAnsi" w:hAnsiTheme="majorHAnsi"/>
          <w:sz w:val="20"/>
          <w:szCs w:val="20"/>
        </w:rPr>
        <w:t>.</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73"/>
      </w:r>
    </w:p>
    <w:p w14:paraId="429585CF"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D3B2E29" w14:textId="77777777" w:rsidR="00C27451" w:rsidRPr="00C27451" w:rsidRDefault="00DF731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With regard to Article 7.4 of the</w:t>
      </w:r>
      <w:r w:rsidR="00547DFD" w:rsidRPr="00907400">
        <w:rPr>
          <w:rFonts w:asciiTheme="majorHAnsi" w:hAnsiTheme="majorHAnsi"/>
          <w:sz w:val="20"/>
          <w:szCs w:val="20"/>
        </w:rPr>
        <w:t xml:space="preserve"> Convention, the organs of the I</w:t>
      </w:r>
      <w:r w:rsidRPr="00907400">
        <w:rPr>
          <w:rFonts w:asciiTheme="majorHAnsi" w:hAnsiTheme="majorHAnsi"/>
          <w:sz w:val="20"/>
          <w:szCs w:val="20"/>
        </w:rPr>
        <w:t xml:space="preserve">nter-American system have indicated that information </w:t>
      </w:r>
      <w:r w:rsidR="00624856" w:rsidRPr="00907400">
        <w:rPr>
          <w:rFonts w:asciiTheme="majorHAnsi" w:hAnsiTheme="majorHAnsi"/>
          <w:sz w:val="20"/>
          <w:szCs w:val="20"/>
        </w:rPr>
        <w:t>about</w:t>
      </w:r>
      <w:r w:rsidRPr="00907400">
        <w:rPr>
          <w:rFonts w:asciiTheme="majorHAnsi" w:hAnsiTheme="majorHAnsi"/>
          <w:sz w:val="20"/>
          <w:szCs w:val="20"/>
        </w:rPr>
        <w:t xml:space="preserve"> "</w:t>
      </w:r>
      <w:r w:rsidR="00624856" w:rsidRPr="00907400">
        <w:rPr>
          <w:rFonts w:asciiTheme="majorHAnsi" w:hAnsiTheme="majorHAnsi"/>
          <w:sz w:val="20"/>
          <w:szCs w:val="20"/>
        </w:rPr>
        <w:t>motives</w:t>
      </w:r>
      <w:r w:rsidRPr="00907400">
        <w:rPr>
          <w:rFonts w:asciiTheme="majorHAnsi" w:hAnsiTheme="majorHAnsi"/>
          <w:sz w:val="20"/>
          <w:szCs w:val="20"/>
        </w:rPr>
        <w:t xml:space="preserve"> and reasons" fo</w:t>
      </w:r>
      <w:r w:rsidR="00624856" w:rsidRPr="00907400">
        <w:rPr>
          <w:rFonts w:asciiTheme="majorHAnsi" w:hAnsiTheme="majorHAnsi"/>
          <w:sz w:val="20"/>
          <w:szCs w:val="20"/>
        </w:rPr>
        <w:t>r arrest must be provided "once</w:t>
      </w:r>
      <w:r w:rsidRPr="00907400">
        <w:rPr>
          <w:rFonts w:asciiTheme="majorHAnsi" w:hAnsiTheme="majorHAnsi"/>
          <w:sz w:val="20"/>
          <w:szCs w:val="20"/>
        </w:rPr>
        <w:t xml:space="preserve"> it occurs," </w:t>
      </w:r>
      <w:r w:rsidR="00231C67" w:rsidRPr="00907400">
        <w:rPr>
          <w:rFonts w:asciiTheme="majorHAnsi" w:hAnsiTheme="majorHAnsi"/>
          <w:sz w:val="20"/>
          <w:szCs w:val="20"/>
        </w:rPr>
        <w:t>thereby constituting</w:t>
      </w:r>
      <w:r w:rsidRPr="00907400">
        <w:rPr>
          <w:rFonts w:asciiTheme="majorHAnsi" w:hAnsiTheme="majorHAnsi"/>
          <w:sz w:val="20"/>
          <w:szCs w:val="20"/>
        </w:rPr>
        <w:t xml:space="preserve"> a mechanism </w:t>
      </w:r>
      <w:r w:rsidR="00231C67" w:rsidRPr="00907400">
        <w:rPr>
          <w:rFonts w:asciiTheme="majorHAnsi" w:hAnsiTheme="majorHAnsi"/>
          <w:sz w:val="20"/>
          <w:szCs w:val="20"/>
        </w:rPr>
        <w:t>for</w:t>
      </w:r>
      <w:r w:rsidRPr="00907400">
        <w:rPr>
          <w:rFonts w:asciiTheme="majorHAnsi" w:hAnsiTheme="majorHAnsi"/>
          <w:sz w:val="20"/>
          <w:szCs w:val="20"/>
        </w:rPr>
        <w:t xml:space="preserve"> avoid</w:t>
      </w:r>
      <w:r w:rsidR="00231C67" w:rsidRPr="00907400">
        <w:rPr>
          <w:rFonts w:asciiTheme="majorHAnsi" w:hAnsiTheme="majorHAnsi"/>
          <w:sz w:val="20"/>
          <w:szCs w:val="20"/>
        </w:rPr>
        <w:t>ing</w:t>
      </w:r>
      <w:r w:rsidRPr="00907400">
        <w:rPr>
          <w:rFonts w:asciiTheme="majorHAnsi" w:hAnsiTheme="majorHAnsi"/>
          <w:sz w:val="20"/>
          <w:szCs w:val="20"/>
        </w:rPr>
        <w:t xml:space="preserve"> illegal </w:t>
      </w:r>
      <w:r w:rsidR="00231C67" w:rsidRPr="00907400">
        <w:rPr>
          <w:rFonts w:asciiTheme="majorHAnsi" w:hAnsiTheme="majorHAnsi"/>
          <w:sz w:val="20"/>
          <w:szCs w:val="20"/>
        </w:rPr>
        <w:t xml:space="preserve">or </w:t>
      </w:r>
      <w:r w:rsidRPr="00907400">
        <w:rPr>
          <w:rFonts w:asciiTheme="majorHAnsi" w:hAnsiTheme="majorHAnsi"/>
          <w:sz w:val="20"/>
          <w:szCs w:val="20"/>
        </w:rPr>
        <w:t>arbitrary</w:t>
      </w:r>
      <w:r w:rsidR="00231C67" w:rsidRPr="00907400">
        <w:rPr>
          <w:rFonts w:asciiTheme="majorHAnsi" w:hAnsiTheme="majorHAnsi"/>
          <w:sz w:val="20"/>
          <w:szCs w:val="20"/>
        </w:rPr>
        <w:t xml:space="preserve"> detentions</w:t>
      </w:r>
      <w:r w:rsidRPr="00907400">
        <w:rPr>
          <w:rFonts w:asciiTheme="majorHAnsi" w:hAnsiTheme="majorHAnsi"/>
          <w:sz w:val="20"/>
          <w:szCs w:val="20"/>
        </w:rPr>
        <w:t xml:space="preserve"> from the </w:t>
      </w:r>
      <w:r w:rsidR="00231C67" w:rsidRPr="00907400">
        <w:rPr>
          <w:rFonts w:asciiTheme="majorHAnsi" w:hAnsiTheme="majorHAnsi"/>
          <w:sz w:val="20"/>
          <w:szCs w:val="20"/>
        </w:rPr>
        <w:t xml:space="preserve">very </w:t>
      </w:r>
      <w:r w:rsidRPr="00907400">
        <w:rPr>
          <w:rFonts w:asciiTheme="majorHAnsi" w:hAnsiTheme="majorHAnsi"/>
          <w:sz w:val="20"/>
          <w:szCs w:val="20"/>
        </w:rPr>
        <w:t xml:space="preserve">moment of deprivation of </w:t>
      </w:r>
      <w:r w:rsidR="00231C67" w:rsidRPr="00907400">
        <w:rPr>
          <w:rFonts w:asciiTheme="majorHAnsi" w:hAnsiTheme="majorHAnsi"/>
          <w:sz w:val="20"/>
          <w:szCs w:val="20"/>
        </w:rPr>
        <w:t xml:space="preserve">liberty and, in turn, </w:t>
      </w:r>
      <w:r w:rsidR="00624856" w:rsidRPr="00907400">
        <w:rPr>
          <w:rFonts w:asciiTheme="majorHAnsi" w:hAnsiTheme="majorHAnsi"/>
          <w:sz w:val="20"/>
          <w:szCs w:val="20"/>
        </w:rPr>
        <w:t>ensuring</w:t>
      </w:r>
      <w:r w:rsidRPr="00907400">
        <w:rPr>
          <w:rFonts w:asciiTheme="majorHAnsi" w:hAnsiTheme="majorHAnsi"/>
          <w:sz w:val="20"/>
          <w:szCs w:val="20"/>
        </w:rPr>
        <w:t xml:space="preserve"> the </w:t>
      </w:r>
      <w:r w:rsidR="00231C67" w:rsidRPr="00907400">
        <w:rPr>
          <w:rFonts w:asciiTheme="majorHAnsi" w:hAnsiTheme="majorHAnsi"/>
          <w:sz w:val="20"/>
          <w:szCs w:val="20"/>
        </w:rPr>
        <w:t xml:space="preserve">individual’s </w:t>
      </w:r>
      <w:r w:rsidRPr="00907400">
        <w:rPr>
          <w:rFonts w:asciiTheme="majorHAnsi" w:hAnsiTheme="majorHAnsi"/>
          <w:sz w:val="20"/>
          <w:szCs w:val="20"/>
        </w:rPr>
        <w:t>ri</w:t>
      </w:r>
      <w:r w:rsidR="007F0F5A" w:rsidRPr="00907400">
        <w:rPr>
          <w:rFonts w:asciiTheme="majorHAnsi" w:hAnsiTheme="majorHAnsi"/>
          <w:sz w:val="20"/>
          <w:szCs w:val="20"/>
        </w:rPr>
        <w:t>ght to a</w:t>
      </w:r>
      <w:r w:rsidR="00231C67" w:rsidRPr="00907400">
        <w:rPr>
          <w:rFonts w:asciiTheme="majorHAnsi" w:hAnsiTheme="majorHAnsi"/>
          <w:sz w:val="20"/>
          <w:szCs w:val="20"/>
        </w:rPr>
        <w:t xml:space="preserve"> defense</w:t>
      </w:r>
      <w:r w:rsidRPr="00907400">
        <w:rPr>
          <w:rFonts w:asciiTheme="majorHAnsi" w:hAnsiTheme="majorHAnsi"/>
          <w:sz w:val="20"/>
          <w:szCs w:val="20"/>
        </w:rPr>
        <w:t>.</w:t>
      </w:r>
      <w:r w:rsidR="00C4732D" w:rsidRPr="00907400">
        <w:rPr>
          <w:rStyle w:val="FootnoteReference"/>
          <w:rFonts w:asciiTheme="majorHAnsi" w:hAnsiTheme="majorHAnsi"/>
          <w:sz w:val="20"/>
          <w:szCs w:val="20"/>
        </w:rPr>
        <w:footnoteReference w:id="74"/>
      </w:r>
      <w:r w:rsidRPr="00907400">
        <w:rPr>
          <w:rFonts w:asciiTheme="majorHAnsi" w:hAnsiTheme="majorHAnsi"/>
          <w:sz w:val="20"/>
          <w:szCs w:val="20"/>
        </w:rPr>
        <w:t xml:space="preserve"> Likewise, the Court has indicated that the agent who carries out the </w:t>
      </w:r>
      <w:r w:rsidR="00624856" w:rsidRPr="00907400">
        <w:rPr>
          <w:rFonts w:asciiTheme="majorHAnsi" w:hAnsiTheme="majorHAnsi"/>
          <w:sz w:val="20"/>
          <w:szCs w:val="20"/>
        </w:rPr>
        <w:t>arrest</w:t>
      </w:r>
      <w:r w:rsidRPr="00907400">
        <w:rPr>
          <w:rFonts w:asciiTheme="majorHAnsi" w:hAnsiTheme="majorHAnsi"/>
          <w:sz w:val="20"/>
          <w:szCs w:val="20"/>
        </w:rPr>
        <w:t xml:space="preserve"> must inform </w:t>
      </w:r>
      <w:r w:rsidR="00624856" w:rsidRPr="00907400">
        <w:rPr>
          <w:rFonts w:asciiTheme="majorHAnsi" w:hAnsiTheme="majorHAnsi"/>
          <w:sz w:val="20"/>
          <w:szCs w:val="20"/>
        </w:rPr>
        <w:t xml:space="preserve">the individual </w:t>
      </w:r>
      <w:r w:rsidRPr="00907400">
        <w:rPr>
          <w:rFonts w:asciiTheme="majorHAnsi" w:hAnsiTheme="majorHAnsi"/>
          <w:sz w:val="20"/>
          <w:szCs w:val="20"/>
        </w:rPr>
        <w:t xml:space="preserve">in simple </w:t>
      </w:r>
      <w:r w:rsidR="00624856" w:rsidRPr="00907400">
        <w:rPr>
          <w:rFonts w:asciiTheme="majorHAnsi" w:hAnsiTheme="majorHAnsi"/>
          <w:sz w:val="20"/>
          <w:szCs w:val="20"/>
        </w:rPr>
        <w:t>language, free of technical terms</w:t>
      </w:r>
      <w:r w:rsidRPr="00907400">
        <w:rPr>
          <w:rFonts w:asciiTheme="majorHAnsi" w:hAnsiTheme="majorHAnsi"/>
          <w:sz w:val="20"/>
          <w:szCs w:val="20"/>
        </w:rPr>
        <w:t xml:space="preserve">, </w:t>
      </w:r>
      <w:r w:rsidR="00624856" w:rsidRPr="00907400">
        <w:rPr>
          <w:rFonts w:asciiTheme="majorHAnsi" w:hAnsiTheme="majorHAnsi"/>
          <w:sz w:val="20"/>
          <w:szCs w:val="20"/>
        </w:rPr>
        <w:t>about the essential legal reasons and facts on which the arrest is based</w:t>
      </w:r>
      <w:r w:rsidRPr="00907400">
        <w:rPr>
          <w:rFonts w:asciiTheme="majorHAnsi" w:hAnsiTheme="majorHAnsi"/>
          <w:sz w:val="20"/>
          <w:szCs w:val="20"/>
        </w:rPr>
        <w:t>.</w:t>
      </w:r>
      <w:r w:rsidR="00C4732D" w:rsidRPr="00907400">
        <w:rPr>
          <w:rStyle w:val="FootnoteReference"/>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75"/>
      </w:r>
      <w:r w:rsidRPr="00907400">
        <w:rPr>
          <w:rFonts w:asciiTheme="majorHAnsi" w:hAnsiTheme="majorHAnsi"/>
          <w:sz w:val="20"/>
          <w:szCs w:val="20"/>
        </w:rPr>
        <w:t xml:space="preserve"> The Inter-American Court has specified </w:t>
      </w:r>
      <w:r w:rsidR="00624856" w:rsidRPr="00907400">
        <w:rPr>
          <w:rFonts w:asciiTheme="majorHAnsi" w:hAnsiTheme="majorHAnsi"/>
          <w:sz w:val="20"/>
          <w:szCs w:val="20"/>
        </w:rPr>
        <w:t>that</w:t>
      </w:r>
      <w:r w:rsidRPr="00907400">
        <w:rPr>
          <w:rFonts w:asciiTheme="majorHAnsi" w:hAnsiTheme="majorHAnsi"/>
          <w:sz w:val="20"/>
          <w:szCs w:val="20"/>
        </w:rPr>
        <w:t xml:space="preserve"> Article 7.4 of the Convention refers to two aspects: i) information in oral or written form about the reasons for the detention, and ii) the notification, which mus</w:t>
      </w:r>
      <w:r w:rsidR="00C4732D" w:rsidRPr="00907400">
        <w:rPr>
          <w:rFonts w:asciiTheme="majorHAnsi" w:hAnsiTheme="majorHAnsi"/>
          <w:sz w:val="20"/>
          <w:szCs w:val="20"/>
        </w:rPr>
        <w:t xml:space="preserve">t be </w:t>
      </w:r>
      <w:r w:rsidR="00624856" w:rsidRPr="00907400">
        <w:rPr>
          <w:rFonts w:asciiTheme="majorHAnsi" w:hAnsiTheme="majorHAnsi"/>
          <w:sz w:val="20"/>
          <w:szCs w:val="20"/>
        </w:rPr>
        <w:t xml:space="preserve">served </w:t>
      </w:r>
      <w:r w:rsidR="00C4732D" w:rsidRPr="00907400">
        <w:rPr>
          <w:rFonts w:asciiTheme="majorHAnsi" w:hAnsiTheme="majorHAnsi"/>
          <w:sz w:val="20"/>
          <w:szCs w:val="20"/>
        </w:rPr>
        <w:t>in writing, of the charges</w:t>
      </w:r>
      <w:r w:rsidRPr="00907400">
        <w:rPr>
          <w:rFonts w:asciiTheme="majorHAnsi" w:hAnsiTheme="majorHAnsi"/>
          <w:sz w:val="20"/>
          <w:szCs w:val="20"/>
        </w:rPr>
        <w:t>.</w:t>
      </w:r>
      <w:r w:rsidR="00C27451">
        <w:rPr>
          <w:rFonts w:asciiTheme="majorHAnsi" w:hAnsiTheme="majorHAnsi"/>
          <w:sz w:val="20"/>
          <w:szCs w:val="20"/>
        </w:rPr>
        <w:t xml:space="preserve"> </w:t>
      </w:r>
      <w:r w:rsidR="00C4732D" w:rsidRPr="00907400">
        <w:rPr>
          <w:rStyle w:val="FootnoteReference"/>
          <w:rFonts w:asciiTheme="majorHAnsi" w:hAnsiTheme="majorHAnsi"/>
          <w:sz w:val="20"/>
          <w:szCs w:val="20"/>
        </w:rPr>
        <w:footnoteReference w:id="76"/>
      </w:r>
    </w:p>
    <w:p w14:paraId="6266E489"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05A4F89" w14:textId="77777777" w:rsidR="0070717E" w:rsidRPr="00907400" w:rsidRDefault="00963F1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Applying </w:t>
      </w:r>
      <w:r w:rsidR="00DF731A" w:rsidRPr="00907400">
        <w:rPr>
          <w:rFonts w:asciiTheme="majorHAnsi" w:hAnsiTheme="majorHAnsi"/>
          <w:sz w:val="20"/>
          <w:szCs w:val="20"/>
        </w:rPr>
        <w:t>the above standards to the present case, Article 28 of the Political Constituti</w:t>
      </w:r>
      <w:r w:rsidR="007F0F5A" w:rsidRPr="00907400">
        <w:rPr>
          <w:rFonts w:asciiTheme="majorHAnsi" w:hAnsiTheme="majorHAnsi"/>
          <w:sz w:val="20"/>
          <w:szCs w:val="20"/>
        </w:rPr>
        <w:t>on of Colombia states: "Every person</w:t>
      </w:r>
      <w:r w:rsidR="00DF731A" w:rsidRPr="00907400">
        <w:rPr>
          <w:rFonts w:asciiTheme="majorHAnsi" w:hAnsiTheme="majorHAnsi"/>
          <w:sz w:val="20"/>
          <w:szCs w:val="20"/>
        </w:rPr>
        <w:t xml:space="preserve"> is free. No one </w:t>
      </w:r>
      <w:r w:rsidRPr="00907400">
        <w:rPr>
          <w:rFonts w:asciiTheme="majorHAnsi" w:hAnsiTheme="majorHAnsi"/>
          <w:sz w:val="20"/>
          <w:szCs w:val="20"/>
        </w:rPr>
        <w:t>shall</w:t>
      </w:r>
      <w:r w:rsidR="00DF731A" w:rsidRPr="00907400">
        <w:rPr>
          <w:rFonts w:asciiTheme="majorHAnsi" w:hAnsiTheme="majorHAnsi"/>
          <w:sz w:val="20"/>
          <w:szCs w:val="20"/>
        </w:rPr>
        <w:t xml:space="preserve"> be </w:t>
      </w:r>
      <w:r w:rsidR="00BF548C" w:rsidRPr="00907400">
        <w:rPr>
          <w:rFonts w:asciiTheme="majorHAnsi" w:hAnsiTheme="majorHAnsi"/>
          <w:sz w:val="20"/>
          <w:szCs w:val="20"/>
        </w:rPr>
        <w:t>disturbed</w:t>
      </w:r>
      <w:r w:rsidR="00DF731A" w:rsidRPr="00907400">
        <w:rPr>
          <w:rFonts w:asciiTheme="majorHAnsi" w:hAnsiTheme="majorHAnsi"/>
          <w:sz w:val="20"/>
          <w:szCs w:val="20"/>
        </w:rPr>
        <w:t xml:space="preserve"> in his person or family, or </w:t>
      </w:r>
      <w:r w:rsidR="00BF548C" w:rsidRPr="00907400">
        <w:rPr>
          <w:rFonts w:asciiTheme="majorHAnsi" w:hAnsiTheme="majorHAnsi"/>
          <w:sz w:val="20"/>
          <w:szCs w:val="20"/>
        </w:rPr>
        <w:t>be subjected to imprisonment or arrest, or detained</w:t>
      </w:r>
      <w:r w:rsidR="00DF731A" w:rsidRPr="00907400">
        <w:rPr>
          <w:rFonts w:asciiTheme="majorHAnsi" w:hAnsiTheme="majorHAnsi"/>
          <w:sz w:val="20"/>
          <w:szCs w:val="20"/>
        </w:rPr>
        <w:t xml:space="preserve">, or his </w:t>
      </w:r>
      <w:r w:rsidR="00BF548C" w:rsidRPr="00907400">
        <w:rPr>
          <w:rFonts w:asciiTheme="majorHAnsi" w:hAnsiTheme="majorHAnsi"/>
          <w:sz w:val="20"/>
          <w:szCs w:val="20"/>
        </w:rPr>
        <w:t>address registered</w:t>
      </w:r>
      <w:r w:rsidR="00DF731A" w:rsidRPr="00907400">
        <w:rPr>
          <w:rFonts w:asciiTheme="majorHAnsi" w:hAnsiTheme="majorHAnsi"/>
          <w:sz w:val="20"/>
          <w:szCs w:val="20"/>
        </w:rPr>
        <w:t xml:space="preserve">, but by virtue of a written order from a competent judicial authority, with the legal formalities and for </w:t>
      </w:r>
      <w:r w:rsidR="00BF548C" w:rsidRPr="00907400">
        <w:rPr>
          <w:rFonts w:asciiTheme="majorHAnsi" w:hAnsiTheme="majorHAnsi"/>
          <w:sz w:val="20"/>
          <w:szCs w:val="20"/>
        </w:rPr>
        <w:t>a reason</w:t>
      </w:r>
      <w:r w:rsidR="00DF731A" w:rsidRPr="00907400">
        <w:rPr>
          <w:rFonts w:asciiTheme="majorHAnsi" w:hAnsiTheme="majorHAnsi"/>
          <w:sz w:val="20"/>
          <w:szCs w:val="20"/>
        </w:rPr>
        <w:t xml:space="preserve"> previously defined in the law (... )."</w:t>
      </w:r>
    </w:p>
    <w:p w14:paraId="43AA0699"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CCBEE86" w14:textId="77777777" w:rsidR="0070717E" w:rsidRPr="00907400" w:rsidRDefault="00377F6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present case, there is no dispute </w:t>
      </w:r>
      <w:r w:rsidR="0079626C" w:rsidRPr="00907400">
        <w:rPr>
          <w:rFonts w:asciiTheme="majorHAnsi" w:hAnsiTheme="majorHAnsi"/>
          <w:sz w:val="20"/>
          <w:szCs w:val="20"/>
        </w:rPr>
        <w:t>that</w:t>
      </w:r>
      <w:r w:rsidRPr="00907400">
        <w:rPr>
          <w:rFonts w:asciiTheme="majorHAnsi" w:hAnsiTheme="majorHAnsi"/>
          <w:sz w:val="20"/>
          <w:szCs w:val="20"/>
        </w:rPr>
        <w:t xml:space="preserve"> Mr. Sastoque was arrested on March 8, 1995, by state agents. The IACHR </w:t>
      </w:r>
      <w:r w:rsidR="0079626C" w:rsidRPr="00907400">
        <w:rPr>
          <w:rFonts w:asciiTheme="majorHAnsi" w:hAnsiTheme="majorHAnsi"/>
          <w:sz w:val="20"/>
          <w:szCs w:val="20"/>
        </w:rPr>
        <w:t>observes</w:t>
      </w:r>
      <w:r w:rsidRPr="00907400">
        <w:rPr>
          <w:rFonts w:asciiTheme="majorHAnsi" w:hAnsiTheme="majorHAnsi"/>
          <w:sz w:val="20"/>
          <w:szCs w:val="20"/>
        </w:rPr>
        <w:t xml:space="preserve"> that Mr. Sastoque was informally </w:t>
      </w:r>
      <w:r w:rsidR="00AA0598" w:rsidRPr="00907400">
        <w:rPr>
          <w:rFonts w:asciiTheme="majorHAnsi" w:hAnsiTheme="majorHAnsi"/>
          <w:sz w:val="20"/>
          <w:szCs w:val="20"/>
        </w:rPr>
        <w:t>summoned</w:t>
      </w:r>
      <w:r w:rsidRPr="00907400">
        <w:rPr>
          <w:rFonts w:asciiTheme="majorHAnsi" w:hAnsiTheme="majorHAnsi"/>
          <w:sz w:val="20"/>
          <w:szCs w:val="20"/>
        </w:rPr>
        <w:t xml:space="preserve"> by a colleague </w:t>
      </w:r>
      <w:r w:rsidR="009B2370" w:rsidRPr="00907400">
        <w:rPr>
          <w:rFonts w:asciiTheme="majorHAnsi" w:hAnsiTheme="majorHAnsi"/>
          <w:sz w:val="20"/>
          <w:szCs w:val="20"/>
        </w:rPr>
        <w:t xml:space="preserve">and </w:t>
      </w:r>
      <w:r w:rsidRPr="00907400">
        <w:rPr>
          <w:rFonts w:asciiTheme="majorHAnsi" w:hAnsiTheme="majorHAnsi"/>
          <w:sz w:val="20"/>
          <w:szCs w:val="20"/>
        </w:rPr>
        <w:t xml:space="preserve">detained for at least three hours in two rooms of the Regional Prosecutor's Office, without being informed during that period of time of the reasons why he was </w:t>
      </w:r>
      <w:r w:rsidR="009B2370" w:rsidRPr="00907400">
        <w:rPr>
          <w:rFonts w:asciiTheme="majorHAnsi" w:hAnsiTheme="majorHAnsi"/>
          <w:sz w:val="20"/>
          <w:szCs w:val="20"/>
        </w:rPr>
        <w:t xml:space="preserve">being held there.  He was not </w:t>
      </w:r>
      <w:r w:rsidRPr="00907400">
        <w:rPr>
          <w:rFonts w:asciiTheme="majorHAnsi" w:hAnsiTheme="majorHAnsi"/>
          <w:sz w:val="20"/>
          <w:szCs w:val="20"/>
        </w:rPr>
        <w:t xml:space="preserve">shown an arrest warrant issued by a competent authority. </w:t>
      </w:r>
      <w:r w:rsidR="009B2370" w:rsidRPr="00907400">
        <w:rPr>
          <w:rFonts w:asciiTheme="majorHAnsi" w:hAnsiTheme="majorHAnsi"/>
          <w:sz w:val="20"/>
          <w:szCs w:val="20"/>
        </w:rPr>
        <w:t>After three hours</w:t>
      </w:r>
      <w:r w:rsidRPr="00907400">
        <w:rPr>
          <w:rFonts w:asciiTheme="majorHAnsi" w:hAnsiTheme="majorHAnsi"/>
          <w:sz w:val="20"/>
          <w:szCs w:val="20"/>
        </w:rPr>
        <w:t xml:space="preserve"> Mr. Sastoque received a document called </w:t>
      </w:r>
      <w:r w:rsidR="009B2370" w:rsidRPr="00907400">
        <w:rPr>
          <w:rFonts w:asciiTheme="majorHAnsi" w:hAnsiTheme="majorHAnsi"/>
          <w:sz w:val="20"/>
          <w:szCs w:val="20"/>
        </w:rPr>
        <w:t xml:space="preserve">a </w:t>
      </w:r>
      <w:r w:rsidR="00E504E7" w:rsidRPr="00907400">
        <w:rPr>
          <w:rFonts w:asciiTheme="majorHAnsi" w:hAnsiTheme="majorHAnsi"/>
          <w:sz w:val="20"/>
          <w:szCs w:val="20"/>
        </w:rPr>
        <w:t>"arrest warrant</w:t>
      </w:r>
      <w:r w:rsidRPr="00907400">
        <w:rPr>
          <w:rFonts w:asciiTheme="majorHAnsi" w:hAnsiTheme="majorHAnsi"/>
          <w:sz w:val="20"/>
          <w:szCs w:val="20"/>
        </w:rPr>
        <w:t>" date</w:t>
      </w:r>
      <w:r w:rsidR="009B2370" w:rsidRPr="00907400">
        <w:rPr>
          <w:rFonts w:asciiTheme="majorHAnsi" w:hAnsiTheme="majorHAnsi"/>
          <w:sz w:val="20"/>
          <w:szCs w:val="20"/>
        </w:rPr>
        <w:t>d</w:t>
      </w:r>
      <w:r w:rsidRPr="00907400">
        <w:rPr>
          <w:rFonts w:asciiTheme="majorHAnsi" w:hAnsiTheme="majorHAnsi"/>
          <w:sz w:val="20"/>
          <w:szCs w:val="20"/>
        </w:rPr>
        <w:t xml:space="preserve"> the same day. The Commission observes that said order </w:t>
      </w:r>
      <w:r w:rsidR="009B2370" w:rsidRPr="00907400">
        <w:rPr>
          <w:rFonts w:asciiTheme="majorHAnsi" w:hAnsiTheme="majorHAnsi"/>
          <w:sz w:val="20"/>
          <w:szCs w:val="20"/>
        </w:rPr>
        <w:t>only contains</w:t>
      </w:r>
      <w:r w:rsidRPr="00907400">
        <w:rPr>
          <w:rFonts w:asciiTheme="majorHAnsi" w:hAnsiTheme="majorHAnsi"/>
          <w:sz w:val="20"/>
          <w:szCs w:val="20"/>
        </w:rPr>
        <w:t xml:space="preserve"> </w:t>
      </w:r>
      <w:r w:rsidR="00E504E7" w:rsidRPr="00907400">
        <w:rPr>
          <w:rFonts w:asciiTheme="majorHAnsi" w:hAnsiTheme="majorHAnsi"/>
          <w:sz w:val="20"/>
          <w:szCs w:val="20"/>
        </w:rPr>
        <w:t>Mr. Sastoque’s</w:t>
      </w:r>
      <w:r w:rsidRPr="00907400">
        <w:rPr>
          <w:rFonts w:asciiTheme="majorHAnsi" w:hAnsiTheme="majorHAnsi"/>
          <w:sz w:val="20"/>
          <w:szCs w:val="20"/>
        </w:rPr>
        <w:t xml:space="preserve"> name and identity card and </w:t>
      </w:r>
      <w:r w:rsidR="00E504E7" w:rsidRPr="00907400">
        <w:rPr>
          <w:rFonts w:asciiTheme="majorHAnsi" w:hAnsiTheme="majorHAnsi"/>
          <w:sz w:val="20"/>
          <w:szCs w:val="20"/>
        </w:rPr>
        <w:t xml:space="preserve">the indication </w:t>
      </w:r>
      <w:r w:rsidRPr="00907400">
        <w:rPr>
          <w:rFonts w:asciiTheme="majorHAnsi" w:hAnsiTheme="majorHAnsi"/>
          <w:sz w:val="20"/>
          <w:szCs w:val="20"/>
        </w:rPr>
        <w:t xml:space="preserve">that he was being </w:t>
      </w:r>
      <w:r w:rsidR="009B2370" w:rsidRPr="00907400">
        <w:rPr>
          <w:rFonts w:asciiTheme="majorHAnsi" w:hAnsiTheme="majorHAnsi"/>
          <w:sz w:val="20"/>
          <w:szCs w:val="20"/>
        </w:rPr>
        <w:t>charged</w:t>
      </w:r>
      <w:r w:rsidRPr="00907400">
        <w:rPr>
          <w:rFonts w:asciiTheme="majorHAnsi" w:hAnsiTheme="majorHAnsi"/>
          <w:sz w:val="20"/>
          <w:szCs w:val="20"/>
        </w:rPr>
        <w:t xml:space="preserve"> for the crime of homicide, with several sections </w:t>
      </w:r>
      <w:r w:rsidR="009B2370" w:rsidRPr="00907400">
        <w:rPr>
          <w:rFonts w:asciiTheme="majorHAnsi" w:hAnsiTheme="majorHAnsi"/>
          <w:sz w:val="20"/>
          <w:szCs w:val="20"/>
        </w:rPr>
        <w:t>left blank</w:t>
      </w:r>
      <w:r w:rsidRPr="00907400">
        <w:rPr>
          <w:rFonts w:asciiTheme="majorHAnsi" w:hAnsiTheme="majorHAnsi"/>
          <w:sz w:val="20"/>
          <w:szCs w:val="20"/>
        </w:rPr>
        <w:t>, as indicated in the proven facts.</w:t>
      </w:r>
    </w:p>
    <w:p w14:paraId="668A8DCD"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C6EECE1" w14:textId="77777777" w:rsidR="0070717E" w:rsidRPr="00907400" w:rsidRDefault="00377F6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Commission emphasizes </w:t>
      </w:r>
      <w:r w:rsidR="002E693A" w:rsidRPr="00907400">
        <w:rPr>
          <w:rFonts w:asciiTheme="majorHAnsi" w:hAnsiTheme="majorHAnsi"/>
          <w:sz w:val="20"/>
          <w:szCs w:val="20"/>
        </w:rPr>
        <w:t>that States must</w:t>
      </w:r>
      <w:r w:rsidRPr="00907400">
        <w:rPr>
          <w:rFonts w:asciiTheme="majorHAnsi" w:hAnsiTheme="majorHAnsi"/>
          <w:sz w:val="20"/>
          <w:szCs w:val="20"/>
        </w:rPr>
        <w:t xml:space="preserve"> demonstrate that the actions of their agents </w:t>
      </w:r>
      <w:r w:rsidR="00E16F08" w:rsidRPr="00907400">
        <w:rPr>
          <w:rFonts w:asciiTheme="majorHAnsi" w:hAnsiTheme="majorHAnsi"/>
          <w:sz w:val="20"/>
          <w:szCs w:val="20"/>
        </w:rPr>
        <w:t>affecting an individual’s liberty fit</w:t>
      </w:r>
      <w:r w:rsidRPr="00907400">
        <w:rPr>
          <w:rFonts w:asciiTheme="majorHAnsi" w:hAnsiTheme="majorHAnsi"/>
          <w:sz w:val="20"/>
          <w:szCs w:val="20"/>
        </w:rPr>
        <w:t xml:space="preserve"> the parameters established </w:t>
      </w:r>
      <w:r w:rsidR="00E16F08" w:rsidRPr="00907400">
        <w:rPr>
          <w:rFonts w:asciiTheme="majorHAnsi" w:hAnsiTheme="majorHAnsi"/>
          <w:sz w:val="20"/>
          <w:szCs w:val="20"/>
        </w:rPr>
        <w:t>by domestic law</w:t>
      </w:r>
      <w:r w:rsidRPr="00907400">
        <w:rPr>
          <w:rFonts w:asciiTheme="majorHAnsi" w:hAnsiTheme="majorHAnsi"/>
          <w:sz w:val="20"/>
          <w:szCs w:val="20"/>
        </w:rPr>
        <w:t xml:space="preserve">. This is especially relevant in this case, </w:t>
      </w:r>
      <w:r w:rsidR="00E16F08" w:rsidRPr="00907400">
        <w:rPr>
          <w:rFonts w:asciiTheme="majorHAnsi" w:hAnsiTheme="majorHAnsi"/>
          <w:sz w:val="20"/>
          <w:szCs w:val="20"/>
        </w:rPr>
        <w:t>where</w:t>
      </w:r>
      <w:r w:rsidRPr="00907400">
        <w:rPr>
          <w:rFonts w:asciiTheme="majorHAnsi" w:hAnsiTheme="majorHAnsi"/>
          <w:sz w:val="20"/>
          <w:szCs w:val="20"/>
        </w:rPr>
        <w:t xml:space="preserve"> the deprivation of liberty in the terms described by Mr. Sastoque and in the light of an assessment of the entire file, shows signs of irregularity.</w:t>
      </w:r>
    </w:p>
    <w:p w14:paraId="768253CB"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0D58DDC" w14:textId="77777777" w:rsidR="0070717E" w:rsidRPr="00907400" w:rsidRDefault="00377F6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w:t>
      </w:r>
      <w:r w:rsidR="009B2370" w:rsidRPr="00907400">
        <w:rPr>
          <w:rFonts w:asciiTheme="majorHAnsi" w:hAnsiTheme="majorHAnsi"/>
          <w:sz w:val="20"/>
          <w:szCs w:val="20"/>
        </w:rPr>
        <w:t>observes</w:t>
      </w:r>
      <w:r w:rsidRPr="00907400">
        <w:rPr>
          <w:rFonts w:asciiTheme="majorHAnsi" w:hAnsiTheme="majorHAnsi"/>
          <w:sz w:val="20"/>
          <w:szCs w:val="20"/>
        </w:rPr>
        <w:t xml:space="preserve"> that the State has not satisfactorily explained the reasons why Mr. Sastoque was informally summoned to the offices of the Regional Prosecutor's Office, and why he was held for three hours in </w:t>
      </w:r>
      <w:r w:rsidR="007A5C45" w:rsidRPr="00907400">
        <w:rPr>
          <w:rFonts w:asciiTheme="majorHAnsi" w:hAnsiTheme="majorHAnsi"/>
          <w:sz w:val="20"/>
          <w:szCs w:val="20"/>
        </w:rPr>
        <w:t>such a</w:t>
      </w:r>
      <w:r w:rsidR="00AA0598" w:rsidRPr="00907400">
        <w:rPr>
          <w:rFonts w:asciiTheme="majorHAnsi" w:hAnsiTheme="majorHAnsi"/>
          <w:sz w:val="20"/>
          <w:szCs w:val="20"/>
        </w:rPr>
        <w:t xml:space="preserve"> </w:t>
      </w:r>
      <w:r w:rsidRPr="00907400">
        <w:rPr>
          <w:rFonts w:asciiTheme="majorHAnsi" w:hAnsiTheme="majorHAnsi"/>
          <w:sz w:val="20"/>
          <w:szCs w:val="20"/>
        </w:rPr>
        <w:t xml:space="preserve">situation </w:t>
      </w:r>
      <w:r w:rsidR="00AA0598" w:rsidRPr="00907400">
        <w:rPr>
          <w:rFonts w:asciiTheme="majorHAnsi" w:hAnsiTheme="majorHAnsi"/>
          <w:sz w:val="20"/>
          <w:szCs w:val="20"/>
        </w:rPr>
        <w:t xml:space="preserve">of </w:t>
      </w:r>
      <w:r w:rsidRPr="00907400">
        <w:rPr>
          <w:rFonts w:asciiTheme="majorHAnsi" w:hAnsiTheme="majorHAnsi"/>
          <w:sz w:val="20"/>
          <w:szCs w:val="20"/>
        </w:rPr>
        <w:t>uncertainty</w:t>
      </w:r>
      <w:r w:rsidR="00AA0598" w:rsidRPr="00907400">
        <w:rPr>
          <w:rFonts w:asciiTheme="majorHAnsi" w:hAnsiTheme="majorHAnsi"/>
          <w:sz w:val="20"/>
          <w:szCs w:val="20"/>
        </w:rPr>
        <w:t xml:space="preserve"> and without any information</w:t>
      </w:r>
      <w:r w:rsidRPr="00907400">
        <w:rPr>
          <w:rFonts w:asciiTheme="majorHAnsi" w:hAnsiTheme="majorHAnsi"/>
          <w:sz w:val="20"/>
          <w:szCs w:val="20"/>
        </w:rPr>
        <w:t xml:space="preserve">. Likewise, the Commission considers that the Colombian State has also failed to demonstrate that the document presented to Mr. Sastoque three </w:t>
      </w:r>
      <w:r w:rsidRPr="00907400">
        <w:rPr>
          <w:rFonts w:asciiTheme="majorHAnsi" w:hAnsiTheme="majorHAnsi"/>
          <w:sz w:val="20"/>
          <w:szCs w:val="20"/>
        </w:rPr>
        <w:lastRenderedPageBreak/>
        <w:t xml:space="preserve">hours after being </w:t>
      </w:r>
      <w:r w:rsidR="00917077" w:rsidRPr="00907400">
        <w:rPr>
          <w:rFonts w:asciiTheme="majorHAnsi" w:hAnsiTheme="majorHAnsi"/>
          <w:sz w:val="20"/>
          <w:szCs w:val="20"/>
        </w:rPr>
        <w:t>detained</w:t>
      </w:r>
      <w:r w:rsidRPr="00907400">
        <w:rPr>
          <w:rFonts w:asciiTheme="majorHAnsi" w:hAnsiTheme="majorHAnsi"/>
          <w:sz w:val="20"/>
          <w:szCs w:val="20"/>
        </w:rPr>
        <w:t xml:space="preserve"> was </w:t>
      </w:r>
      <w:r w:rsidR="00917077" w:rsidRPr="00907400">
        <w:rPr>
          <w:rFonts w:asciiTheme="majorHAnsi" w:hAnsiTheme="majorHAnsi"/>
          <w:sz w:val="20"/>
          <w:szCs w:val="20"/>
        </w:rPr>
        <w:t>actually an arrest warrant</w:t>
      </w:r>
      <w:r w:rsidRPr="00907400">
        <w:rPr>
          <w:rFonts w:asciiTheme="majorHAnsi" w:hAnsiTheme="majorHAnsi"/>
          <w:sz w:val="20"/>
          <w:szCs w:val="20"/>
        </w:rPr>
        <w:t xml:space="preserve"> issued by a competent authority </w:t>
      </w:r>
      <w:r w:rsidR="00917077" w:rsidRPr="00907400">
        <w:rPr>
          <w:rFonts w:asciiTheme="majorHAnsi" w:hAnsiTheme="majorHAnsi"/>
          <w:sz w:val="20"/>
          <w:szCs w:val="20"/>
        </w:rPr>
        <w:t>complying</w:t>
      </w:r>
      <w:r w:rsidRPr="00907400">
        <w:rPr>
          <w:rFonts w:asciiTheme="majorHAnsi" w:hAnsiTheme="majorHAnsi"/>
          <w:sz w:val="20"/>
          <w:szCs w:val="20"/>
        </w:rPr>
        <w:t xml:space="preserve"> with all lega</w:t>
      </w:r>
      <w:r w:rsidR="00917077" w:rsidRPr="00907400">
        <w:rPr>
          <w:rFonts w:asciiTheme="majorHAnsi" w:hAnsiTheme="majorHAnsi"/>
          <w:sz w:val="20"/>
          <w:szCs w:val="20"/>
        </w:rPr>
        <w:t xml:space="preserve">l and conventional requirements </w:t>
      </w:r>
      <w:r w:rsidR="00E504E7" w:rsidRPr="00907400">
        <w:rPr>
          <w:rFonts w:asciiTheme="majorHAnsi" w:hAnsiTheme="majorHAnsi"/>
          <w:sz w:val="20"/>
          <w:szCs w:val="20"/>
        </w:rPr>
        <w:t>on</w:t>
      </w:r>
      <w:r w:rsidRPr="00907400">
        <w:rPr>
          <w:rFonts w:asciiTheme="majorHAnsi" w:hAnsiTheme="majorHAnsi"/>
          <w:sz w:val="20"/>
          <w:szCs w:val="20"/>
        </w:rPr>
        <w:t xml:space="preserve"> information </w:t>
      </w:r>
      <w:r w:rsidR="00917077" w:rsidRPr="00907400">
        <w:rPr>
          <w:rFonts w:asciiTheme="majorHAnsi" w:hAnsiTheme="majorHAnsi"/>
          <w:sz w:val="20"/>
          <w:szCs w:val="20"/>
        </w:rPr>
        <w:t>as to</w:t>
      </w:r>
      <w:r w:rsidRPr="00907400">
        <w:rPr>
          <w:rFonts w:asciiTheme="majorHAnsi" w:hAnsiTheme="majorHAnsi"/>
          <w:sz w:val="20"/>
          <w:szCs w:val="20"/>
        </w:rPr>
        <w:t xml:space="preserve"> the reasons</w:t>
      </w:r>
      <w:r w:rsidR="007A5C45" w:rsidRPr="00907400">
        <w:rPr>
          <w:rFonts w:asciiTheme="majorHAnsi" w:hAnsiTheme="majorHAnsi"/>
          <w:sz w:val="20"/>
          <w:szCs w:val="20"/>
        </w:rPr>
        <w:t xml:space="preserve"> for arrest</w:t>
      </w:r>
      <w:r w:rsidRPr="00907400">
        <w:rPr>
          <w:rFonts w:asciiTheme="majorHAnsi" w:hAnsiTheme="majorHAnsi"/>
          <w:sz w:val="20"/>
          <w:szCs w:val="20"/>
        </w:rPr>
        <w:t xml:space="preserve"> and the respective charges. The State </w:t>
      </w:r>
      <w:r w:rsidR="007A5C45" w:rsidRPr="00907400">
        <w:rPr>
          <w:rFonts w:asciiTheme="majorHAnsi" w:hAnsiTheme="majorHAnsi"/>
          <w:sz w:val="20"/>
          <w:szCs w:val="20"/>
        </w:rPr>
        <w:t xml:space="preserve">has </w:t>
      </w:r>
      <w:r w:rsidRPr="00907400">
        <w:rPr>
          <w:rFonts w:asciiTheme="majorHAnsi" w:hAnsiTheme="majorHAnsi"/>
          <w:sz w:val="20"/>
          <w:szCs w:val="20"/>
        </w:rPr>
        <w:t xml:space="preserve">also </w:t>
      </w:r>
      <w:r w:rsidR="007A5C45" w:rsidRPr="00907400">
        <w:rPr>
          <w:rFonts w:asciiTheme="majorHAnsi" w:hAnsiTheme="majorHAnsi"/>
          <w:sz w:val="20"/>
          <w:szCs w:val="20"/>
        </w:rPr>
        <w:t>failed to explain</w:t>
      </w:r>
      <w:r w:rsidRPr="00907400">
        <w:rPr>
          <w:rFonts w:asciiTheme="majorHAnsi" w:hAnsiTheme="majorHAnsi"/>
          <w:sz w:val="20"/>
          <w:szCs w:val="20"/>
        </w:rPr>
        <w:t xml:space="preserve"> the various empty sections in said document. In this regard, the IACHR recalls that in</w:t>
      </w:r>
      <w:r w:rsidR="007A5C45" w:rsidRPr="00907400">
        <w:rPr>
          <w:rFonts w:asciiTheme="majorHAnsi" w:hAnsiTheme="majorHAnsi"/>
          <w:sz w:val="20"/>
          <w:szCs w:val="20"/>
        </w:rPr>
        <w:t xml:space="preserve"> similar circumstances, in the </w:t>
      </w:r>
      <w:r w:rsidR="007A5C45" w:rsidRPr="00907400">
        <w:rPr>
          <w:rFonts w:asciiTheme="majorHAnsi" w:hAnsiTheme="majorHAnsi"/>
          <w:i/>
          <w:sz w:val="20"/>
          <w:szCs w:val="20"/>
        </w:rPr>
        <w:t>C</w:t>
      </w:r>
      <w:r w:rsidRPr="00907400">
        <w:rPr>
          <w:rFonts w:asciiTheme="majorHAnsi" w:hAnsiTheme="majorHAnsi"/>
          <w:i/>
          <w:sz w:val="20"/>
          <w:szCs w:val="20"/>
        </w:rPr>
        <w:t>ase of Chaparro Álvarez and Lapo Iñiguez v. Ecuador</w:t>
      </w:r>
      <w:r w:rsidR="007A5C45" w:rsidRPr="00907400">
        <w:rPr>
          <w:rFonts w:asciiTheme="majorHAnsi" w:hAnsiTheme="majorHAnsi"/>
          <w:sz w:val="20"/>
          <w:szCs w:val="20"/>
        </w:rPr>
        <w:t xml:space="preserve"> t</w:t>
      </w:r>
      <w:r w:rsidRPr="00907400">
        <w:rPr>
          <w:rFonts w:asciiTheme="majorHAnsi" w:hAnsiTheme="majorHAnsi"/>
          <w:sz w:val="20"/>
          <w:szCs w:val="20"/>
        </w:rPr>
        <w:t xml:space="preserve">he Court considered that Mr. Lapo's detention was illegal despite the existence of a </w:t>
      </w:r>
      <w:r w:rsidR="007A5C45" w:rsidRPr="00907400">
        <w:rPr>
          <w:rFonts w:asciiTheme="majorHAnsi" w:hAnsiTheme="majorHAnsi"/>
          <w:sz w:val="20"/>
          <w:szCs w:val="20"/>
        </w:rPr>
        <w:t>warrant for his detention</w:t>
      </w:r>
      <w:r w:rsidRPr="00907400">
        <w:rPr>
          <w:rFonts w:asciiTheme="majorHAnsi" w:hAnsiTheme="majorHAnsi"/>
          <w:sz w:val="20"/>
          <w:szCs w:val="20"/>
        </w:rPr>
        <w:t xml:space="preserve">. The Court noted that </w:t>
      </w:r>
      <w:r w:rsidR="001A1041" w:rsidRPr="00907400">
        <w:rPr>
          <w:rFonts w:asciiTheme="majorHAnsi" w:hAnsiTheme="majorHAnsi"/>
          <w:sz w:val="20"/>
          <w:szCs w:val="20"/>
        </w:rPr>
        <w:t>this warrant</w:t>
      </w:r>
      <w:r w:rsidRPr="00907400">
        <w:rPr>
          <w:rFonts w:asciiTheme="majorHAnsi" w:hAnsiTheme="majorHAnsi"/>
          <w:sz w:val="20"/>
          <w:szCs w:val="20"/>
        </w:rPr>
        <w:t xml:space="preserve"> w</w:t>
      </w:r>
      <w:r w:rsidR="001A1041" w:rsidRPr="00907400">
        <w:rPr>
          <w:rFonts w:asciiTheme="majorHAnsi" w:hAnsiTheme="majorHAnsi"/>
          <w:sz w:val="20"/>
          <w:szCs w:val="20"/>
        </w:rPr>
        <w:t>as issued on the same day of his arrest and that the State had not "provided</w:t>
      </w:r>
      <w:r w:rsidRPr="00907400">
        <w:rPr>
          <w:rFonts w:asciiTheme="majorHAnsi" w:hAnsiTheme="majorHAnsi"/>
          <w:sz w:val="20"/>
          <w:szCs w:val="20"/>
        </w:rPr>
        <w:t xml:space="preserve"> a reasonable explan</w:t>
      </w:r>
      <w:r w:rsidR="001A1041" w:rsidRPr="00907400">
        <w:rPr>
          <w:rFonts w:asciiTheme="majorHAnsi" w:hAnsiTheme="majorHAnsi"/>
          <w:sz w:val="20"/>
          <w:szCs w:val="20"/>
        </w:rPr>
        <w:t>ation" about "the existence of</w:t>
      </w:r>
      <w:r w:rsidRPr="00907400">
        <w:rPr>
          <w:rFonts w:asciiTheme="majorHAnsi" w:hAnsiTheme="majorHAnsi"/>
          <w:sz w:val="20"/>
          <w:szCs w:val="20"/>
        </w:rPr>
        <w:t xml:space="preserve"> judicial authorization prior to Mr. Lapo</w:t>
      </w:r>
      <w:r w:rsidR="001A1041" w:rsidRPr="00907400">
        <w:rPr>
          <w:rFonts w:asciiTheme="majorHAnsi" w:hAnsiTheme="majorHAnsi"/>
          <w:sz w:val="20"/>
          <w:szCs w:val="20"/>
        </w:rPr>
        <w:t>’s arrest that would comply with domestic laws</w:t>
      </w:r>
      <w:r w:rsidRPr="00907400">
        <w:rPr>
          <w:rFonts w:asciiTheme="majorHAnsi" w:hAnsiTheme="majorHAnsi"/>
          <w:sz w:val="20"/>
          <w:szCs w:val="20"/>
        </w:rPr>
        <w:t>."</w:t>
      </w:r>
      <w:r w:rsidR="00C1166B" w:rsidRPr="00907400">
        <w:rPr>
          <w:rStyle w:val="FootnoteReference"/>
          <w:rFonts w:asciiTheme="majorHAnsi" w:hAnsiTheme="majorHAnsi"/>
          <w:sz w:val="20"/>
          <w:szCs w:val="20"/>
        </w:rPr>
        <w:t xml:space="preserve"> </w:t>
      </w:r>
      <w:r w:rsidR="00C1166B" w:rsidRPr="00907400">
        <w:rPr>
          <w:rStyle w:val="FootnoteReference"/>
          <w:rFonts w:asciiTheme="majorHAnsi" w:hAnsiTheme="majorHAnsi"/>
          <w:sz w:val="20"/>
          <w:szCs w:val="20"/>
        </w:rPr>
        <w:footnoteReference w:id="77"/>
      </w:r>
    </w:p>
    <w:p w14:paraId="1BAFCED2"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29E13F9" w14:textId="77777777" w:rsidR="0070717E" w:rsidRPr="00907400" w:rsidRDefault="00377F6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Based on the foregoing, the Commission considers that </w:t>
      </w:r>
      <w:r w:rsidR="00FA28D3" w:rsidRPr="00907400">
        <w:rPr>
          <w:rFonts w:asciiTheme="majorHAnsi" w:hAnsiTheme="majorHAnsi"/>
          <w:sz w:val="20"/>
          <w:szCs w:val="20"/>
        </w:rPr>
        <w:t xml:space="preserve">Mr. Gustavo Sastoque Alfonso’s deprivation of liberty </w:t>
      </w:r>
      <w:r w:rsidRPr="00907400">
        <w:rPr>
          <w:rFonts w:asciiTheme="majorHAnsi" w:hAnsiTheme="majorHAnsi"/>
          <w:sz w:val="20"/>
          <w:szCs w:val="20"/>
        </w:rPr>
        <w:t xml:space="preserve">was illegal and that he was not duly informed of the reasons for his detention. Consequently, the State of Colombia </w:t>
      </w:r>
      <w:r w:rsidR="00913F59" w:rsidRPr="00907400">
        <w:rPr>
          <w:rFonts w:asciiTheme="majorHAnsi" w:hAnsiTheme="majorHAnsi"/>
          <w:sz w:val="20"/>
          <w:szCs w:val="20"/>
        </w:rPr>
        <w:t xml:space="preserve">has </w:t>
      </w:r>
      <w:r w:rsidRPr="00907400">
        <w:rPr>
          <w:rFonts w:asciiTheme="majorHAnsi" w:hAnsiTheme="majorHAnsi"/>
          <w:sz w:val="20"/>
          <w:szCs w:val="20"/>
        </w:rPr>
        <w:t xml:space="preserve">violated </w:t>
      </w:r>
      <w:r w:rsidR="00FA28D3" w:rsidRPr="00907400">
        <w:rPr>
          <w:rFonts w:asciiTheme="majorHAnsi" w:hAnsiTheme="majorHAnsi"/>
          <w:sz w:val="20"/>
          <w:szCs w:val="20"/>
        </w:rPr>
        <w:t>the guarantees relating</w:t>
      </w:r>
      <w:r w:rsidRPr="00907400">
        <w:rPr>
          <w:rFonts w:asciiTheme="majorHAnsi" w:hAnsiTheme="majorHAnsi"/>
          <w:sz w:val="20"/>
          <w:szCs w:val="20"/>
        </w:rPr>
        <w:t xml:space="preserve"> to the right to personal liberty established in Articles 7.1, 7.2 and 7.4 of the American Convention, in </w:t>
      </w:r>
      <w:r w:rsidR="00FA28D3" w:rsidRPr="00907400">
        <w:rPr>
          <w:rFonts w:asciiTheme="majorHAnsi" w:hAnsiTheme="majorHAnsi"/>
          <w:sz w:val="20"/>
          <w:szCs w:val="20"/>
        </w:rPr>
        <w:t>connection with</w:t>
      </w:r>
      <w:r w:rsidRPr="00907400">
        <w:rPr>
          <w:rFonts w:asciiTheme="majorHAnsi" w:hAnsiTheme="majorHAnsi"/>
          <w:sz w:val="20"/>
          <w:szCs w:val="20"/>
        </w:rPr>
        <w:t xml:space="preserve"> the obligations established in Article 1.1 of the same instrument</w:t>
      </w:r>
      <w:r w:rsidR="00FA28D3" w:rsidRPr="00907400">
        <w:rPr>
          <w:rFonts w:asciiTheme="majorHAnsi" w:hAnsiTheme="majorHAnsi"/>
          <w:sz w:val="20"/>
          <w:szCs w:val="20"/>
        </w:rPr>
        <w:t>, to the detriment of Mr. Sastoque</w:t>
      </w:r>
      <w:r w:rsidRPr="00907400">
        <w:rPr>
          <w:rFonts w:asciiTheme="majorHAnsi" w:hAnsiTheme="majorHAnsi"/>
          <w:sz w:val="20"/>
          <w:szCs w:val="20"/>
        </w:rPr>
        <w:t>.</w:t>
      </w:r>
    </w:p>
    <w:p w14:paraId="457119F3" w14:textId="77777777" w:rsidR="0070717E" w:rsidRPr="00907400" w:rsidRDefault="0070717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EFD6362" w14:textId="77777777" w:rsidR="0070717E" w:rsidRPr="00907400"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rPr>
      </w:pPr>
      <w:r>
        <w:rPr>
          <w:rFonts w:asciiTheme="majorHAnsi" w:hAnsiTheme="majorHAnsi"/>
          <w:b/>
          <w:sz w:val="20"/>
          <w:szCs w:val="20"/>
        </w:rPr>
        <w:t xml:space="preserve">2. </w:t>
      </w:r>
      <w:r>
        <w:rPr>
          <w:rFonts w:asciiTheme="majorHAnsi" w:hAnsiTheme="majorHAnsi"/>
          <w:b/>
          <w:sz w:val="20"/>
          <w:szCs w:val="20"/>
        </w:rPr>
        <w:tab/>
        <w:t>The r</w:t>
      </w:r>
      <w:r w:rsidR="00E504E7" w:rsidRPr="00907400">
        <w:rPr>
          <w:rFonts w:asciiTheme="majorHAnsi" w:hAnsiTheme="majorHAnsi"/>
          <w:b/>
          <w:sz w:val="20"/>
          <w:szCs w:val="20"/>
        </w:rPr>
        <w:t>ight n</w:t>
      </w:r>
      <w:r w:rsidR="00C1166B" w:rsidRPr="00907400">
        <w:rPr>
          <w:rFonts w:asciiTheme="majorHAnsi" w:hAnsiTheme="majorHAnsi"/>
          <w:b/>
          <w:sz w:val="20"/>
          <w:szCs w:val="20"/>
        </w:rPr>
        <w:t>ot to</w:t>
      </w:r>
      <w:r w:rsidR="003007EB" w:rsidRPr="00907400">
        <w:rPr>
          <w:rFonts w:asciiTheme="majorHAnsi" w:hAnsiTheme="majorHAnsi"/>
          <w:b/>
          <w:sz w:val="20"/>
          <w:szCs w:val="20"/>
        </w:rPr>
        <w:t xml:space="preserve"> </w:t>
      </w:r>
      <w:r>
        <w:rPr>
          <w:rFonts w:asciiTheme="majorHAnsi" w:hAnsiTheme="majorHAnsi"/>
          <w:b/>
          <w:sz w:val="20"/>
          <w:szCs w:val="20"/>
        </w:rPr>
        <w:t>b</w:t>
      </w:r>
      <w:r w:rsidR="005063A6" w:rsidRPr="00907400">
        <w:rPr>
          <w:rFonts w:asciiTheme="majorHAnsi" w:hAnsiTheme="majorHAnsi"/>
          <w:b/>
          <w:sz w:val="20"/>
          <w:szCs w:val="20"/>
        </w:rPr>
        <w:t>e</w:t>
      </w:r>
      <w:r w:rsidR="003007EB" w:rsidRPr="00907400">
        <w:rPr>
          <w:rFonts w:asciiTheme="majorHAnsi" w:hAnsiTheme="majorHAnsi"/>
          <w:b/>
          <w:sz w:val="20"/>
          <w:szCs w:val="20"/>
        </w:rPr>
        <w:t xml:space="preserve"> </w:t>
      </w:r>
      <w:r>
        <w:rPr>
          <w:rFonts w:asciiTheme="majorHAnsi" w:hAnsiTheme="majorHAnsi"/>
          <w:b/>
          <w:sz w:val="20"/>
          <w:szCs w:val="20"/>
        </w:rPr>
        <w:t>a</w:t>
      </w:r>
      <w:r w:rsidR="00913F59" w:rsidRPr="00907400">
        <w:rPr>
          <w:rFonts w:asciiTheme="majorHAnsi" w:hAnsiTheme="majorHAnsi"/>
          <w:b/>
          <w:sz w:val="20"/>
          <w:szCs w:val="20"/>
        </w:rPr>
        <w:t>rbitra</w:t>
      </w:r>
      <w:r>
        <w:rPr>
          <w:rFonts w:asciiTheme="majorHAnsi" w:hAnsiTheme="majorHAnsi"/>
          <w:b/>
          <w:sz w:val="20"/>
          <w:szCs w:val="20"/>
        </w:rPr>
        <w:t>rily d</w:t>
      </w:r>
      <w:r w:rsidR="00913F59" w:rsidRPr="00907400">
        <w:rPr>
          <w:rFonts w:asciiTheme="majorHAnsi" w:hAnsiTheme="majorHAnsi"/>
          <w:b/>
          <w:sz w:val="20"/>
          <w:szCs w:val="20"/>
        </w:rPr>
        <w:t>etained</w:t>
      </w:r>
    </w:p>
    <w:p w14:paraId="79DA73D9"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C9B5673" w14:textId="77777777" w:rsidR="00377F68" w:rsidRDefault="00C1166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Commission and the Court have </w:t>
      </w:r>
      <w:r w:rsidR="00913F59" w:rsidRPr="00907400">
        <w:rPr>
          <w:rFonts w:asciiTheme="majorHAnsi" w:hAnsiTheme="majorHAnsi"/>
          <w:sz w:val="20"/>
          <w:szCs w:val="20"/>
        </w:rPr>
        <w:t>emphasized</w:t>
      </w:r>
      <w:r w:rsidRPr="00907400">
        <w:rPr>
          <w:rFonts w:asciiTheme="majorHAnsi" w:hAnsiTheme="majorHAnsi"/>
          <w:sz w:val="20"/>
          <w:szCs w:val="20"/>
        </w:rPr>
        <w:t xml:space="preserve"> that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is limited by the principles of legality, presumption of innocence, necessity and proportionality.</w:t>
      </w:r>
      <w:r w:rsidRPr="00907400">
        <w:rPr>
          <w:rStyle w:val="FootnoteReference"/>
          <w:rFonts w:asciiTheme="majorHAnsi" w:hAnsiTheme="majorHAnsi"/>
          <w:sz w:val="20"/>
          <w:szCs w:val="20"/>
        </w:rPr>
        <w:t xml:space="preserve"> </w:t>
      </w:r>
      <w:r w:rsidRPr="00907400">
        <w:rPr>
          <w:rStyle w:val="FootnoteReference"/>
          <w:rFonts w:asciiTheme="majorHAnsi" w:hAnsiTheme="majorHAnsi"/>
          <w:sz w:val="20"/>
          <w:szCs w:val="20"/>
        </w:rPr>
        <w:footnoteReference w:id="78"/>
      </w:r>
      <w:r w:rsidR="00913F59" w:rsidRPr="00907400">
        <w:rPr>
          <w:rFonts w:asciiTheme="majorHAnsi" w:hAnsiTheme="majorHAnsi"/>
          <w:sz w:val="20"/>
          <w:szCs w:val="20"/>
        </w:rPr>
        <w:t xml:space="preserve"> They have</w:t>
      </w:r>
      <w:r w:rsidRPr="00907400">
        <w:rPr>
          <w:rFonts w:asciiTheme="majorHAnsi" w:hAnsiTheme="majorHAnsi"/>
          <w:sz w:val="20"/>
          <w:szCs w:val="20"/>
        </w:rPr>
        <w:t xml:space="preserve"> also indicated that it is a precautionary measure and not </w:t>
      </w:r>
      <w:r w:rsidR="00913F59" w:rsidRPr="00907400">
        <w:rPr>
          <w:rFonts w:asciiTheme="majorHAnsi" w:hAnsiTheme="majorHAnsi"/>
          <w:sz w:val="20"/>
          <w:szCs w:val="20"/>
        </w:rPr>
        <w:t xml:space="preserve">a </w:t>
      </w:r>
      <w:r w:rsidRPr="00907400">
        <w:rPr>
          <w:rFonts w:asciiTheme="majorHAnsi" w:hAnsiTheme="majorHAnsi"/>
          <w:sz w:val="20"/>
          <w:szCs w:val="20"/>
        </w:rPr>
        <w:t>punitive</w:t>
      </w:r>
      <w:r w:rsidR="00913F59" w:rsidRPr="00907400">
        <w:rPr>
          <w:rFonts w:asciiTheme="majorHAnsi" w:hAnsiTheme="majorHAnsi"/>
          <w:sz w:val="20"/>
          <w:szCs w:val="20"/>
        </w:rPr>
        <w:t xml:space="preserve"> one</w:t>
      </w:r>
      <w:r w:rsidRPr="00907400">
        <w:rPr>
          <w:rStyle w:val="FootnoteReference"/>
          <w:rFonts w:asciiTheme="majorHAnsi" w:hAnsiTheme="majorHAnsi"/>
          <w:sz w:val="20"/>
          <w:szCs w:val="20"/>
        </w:rPr>
        <w:footnoteReference w:id="79"/>
      </w:r>
      <w:r w:rsidRPr="00907400">
        <w:rPr>
          <w:rFonts w:asciiTheme="majorHAnsi" w:hAnsiTheme="majorHAnsi"/>
          <w:sz w:val="20"/>
          <w:szCs w:val="20"/>
        </w:rPr>
        <w:t xml:space="preserve"> and is the most severe that can be imposed on </w:t>
      </w:r>
      <w:r w:rsidR="003870A7" w:rsidRPr="00907400">
        <w:rPr>
          <w:rFonts w:asciiTheme="majorHAnsi" w:hAnsiTheme="majorHAnsi"/>
          <w:sz w:val="20"/>
          <w:szCs w:val="20"/>
        </w:rPr>
        <w:t>an</w:t>
      </w:r>
      <w:r w:rsidRPr="00907400">
        <w:rPr>
          <w:rFonts w:asciiTheme="majorHAnsi" w:hAnsiTheme="majorHAnsi"/>
          <w:sz w:val="20"/>
          <w:szCs w:val="20"/>
        </w:rPr>
        <w:t xml:space="preserve"> accused </w:t>
      </w:r>
      <w:r w:rsidR="003870A7" w:rsidRPr="00907400">
        <w:rPr>
          <w:rFonts w:asciiTheme="majorHAnsi" w:hAnsiTheme="majorHAnsi"/>
          <w:sz w:val="20"/>
          <w:szCs w:val="20"/>
        </w:rPr>
        <w:t>and should be applied only in exceptional circumstances</w:t>
      </w:r>
      <w:r w:rsidRPr="00907400">
        <w:rPr>
          <w:rFonts w:asciiTheme="majorHAnsi" w:hAnsiTheme="majorHAnsi"/>
          <w:sz w:val="20"/>
          <w:szCs w:val="20"/>
        </w:rPr>
        <w:t xml:space="preserve">. </w:t>
      </w:r>
      <w:r w:rsidR="003870A7" w:rsidRPr="00907400">
        <w:rPr>
          <w:rFonts w:asciiTheme="majorHAnsi" w:hAnsiTheme="majorHAnsi"/>
          <w:sz w:val="20"/>
          <w:szCs w:val="20"/>
        </w:rPr>
        <w:t>In the views of both organs of the I</w:t>
      </w:r>
      <w:r w:rsidRPr="00907400">
        <w:rPr>
          <w:rFonts w:asciiTheme="majorHAnsi" w:hAnsiTheme="majorHAnsi"/>
          <w:sz w:val="20"/>
          <w:szCs w:val="20"/>
        </w:rPr>
        <w:t xml:space="preserve">nter-American system, the rule must be the freedom of the accused while </w:t>
      </w:r>
      <w:r w:rsidR="007060D7" w:rsidRPr="00907400">
        <w:rPr>
          <w:rFonts w:asciiTheme="majorHAnsi" w:hAnsiTheme="majorHAnsi"/>
          <w:sz w:val="20"/>
          <w:szCs w:val="20"/>
        </w:rPr>
        <w:t>his or her criminal responsibility is decided</w:t>
      </w:r>
      <w:r w:rsidRPr="00907400">
        <w:rPr>
          <w:rFonts w:asciiTheme="majorHAnsi" w:hAnsiTheme="majorHAnsi"/>
          <w:sz w:val="20"/>
          <w:szCs w:val="20"/>
        </w:rPr>
        <w:t>.</w:t>
      </w:r>
      <w:r w:rsidRPr="00907400">
        <w:rPr>
          <w:rStyle w:val="FootnoteReference"/>
          <w:rFonts w:asciiTheme="majorHAnsi" w:hAnsiTheme="majorHAnsi"/>
          <w:sz w:val="20"/>
          <w:szCs w:val="20"/>
        </w:rPr>
        <w:t xml:space="preserve"> </w:t>
      </w:r>
      <w:r w:rsidRPr="00907400">
        <w:rPr>
          <w:rStyle w:val="FootnoteReference"/>
          <w:rFonts w:asciiTheme="majorHAnsi" w:hAnsiTheme="majorHAnsi"/>
          <w:sz w:val="20"/>
          <w:szCs w:val="20"/>
        </w:rPr>
        <w:footnoteReference w:id="80"/>
      </w:r>
    </w:p>
    <w:p w14:paraId="7E50551D"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ADE237B" w14:textId="77777777" w:rsidR="00377F68" w:rsidRPr="00907400" w:rsidRDefault="005063A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Both bodies of the system have emphasized that the personal circumstances of the alleged perpetrator and the seriousness of the </w:t>
      </w:r>
      <w:r w:rsidR="005325BF" w:rsidRPr="00907400">
        <w:rPr>
          <w:rFonts w:asciiTheme="majorHAnsi" w:hAnsiTheme="majorHAnsi"/>
          <w:sz w:val="20"/>
          <w:szCs w:val="20"/>
        </w:rPr>
        <w:t>offenses</w:t>
      </w:r>
      <w:r w:rsidRPr="00907400">
        <w:rPr>
          <w:rFonts w:asciiTheme="majorHAnsi" w:hAnsiTheme="majorHAnsi"/>
          <w:sz w:val="20"/>
          <w:szCs w:val="20"/>
        </w:rPr>
        <w:t xml:space="preserve"> against him are not, in themselves, s</w:t>
      </w:r>
      <w:r w:rsidR="005325BF" w:rsidRPr="00907400">
        <w:rPr>
          <w:rFonts w:asciiTheme="majorHAnsi" w:hAnsiTheme="majorHAnsi"/>
          <w:sz w:val="20"/>
          <w:szCs w:val="20"/>
        </w:rPr>
        <w:t>ufficient justification for pretrial imprisonment</w:t>
      </w:r>
      <w:r w:rsidRPr="00907400">
        <w:rPr>
          <w:rFonts w:asciiTheme="majorHAnsi" w:hAnsiTheme="majorHAnsi"/>
          <w:sz w:val="20"/>
          <w:szCs w:val="20"/>
        </w:rPr>
        <w:t>.</w:t>
      </w:r>
      <w:r w:rsidR="00C1166B" w:rsidRPr="00907400">
        <w:rPr>
          <w:rStyle w:val="FootnoteReference"/>
          <w:rFonts w:asciiTheme="majorHAnsi" w:eastAsia="MS Gothic" w:hAnsiTheme="majorHAnsi"/>
          <w:sz w:val="20"/>
          <w:szCs w:val="20"/>
        </w:rPr>
        <w:footnoteReference w:id="81"/>
      </w:r>
      <w:r w:rsidRPr="00907400">
        <w:rPr>
          <w:rFonts w:asciiTheme="majorHAnsi" w:hAnsiTheme="majorHAnsi"/>
          <w:sz w:val="20"/>
          <w:szCs w:val="20"/>
        </w:rPr>
        <w:t xml:space="preserve"> Regarding the reasons that may justify </w:t>
      </w:r>
      <w:r w:rsidR="005325BF" w:rsidRPr="00907400">
        <w:rPr>
          <w:rFonts w:asciiTheme="majorHAnsi" w:hAnsiTheme="majorHAnsi"/>
          <w:sz w:val="20"/>
          <w:szCs w:val="20"/>
        </w:rPr>
        <w:t>such detention</w:t>
      </w:r>
      <w:r w:rsidRPr="00907400">
        <w:rPr>
          <w:rFonts w:asciiTheme="majorHAnsi" w:hAnsiTheme="majorHAnsi"/>
          <w:sz w:val="20"/>
          <w:szCs w:val="20"/>
        </w:rPr>
        <w:t>, the organs of the system have interpreted Article 7.3 of the American Convention to the effect that the indications of responsibility are a necessary but not sufficient condition to impose such a measure. In the words of the Court:</w:t>
      </w:r>
    </w:p>
    <w:p w14:paraId="67041FE4" w14:textId="77777777" w:rsidR="00C27451" w:rsidRDefault="00C27451"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right="855"/>
        <w:jc w:val="both"/>
        <w:rPr>
          <w:rFonts w:asciiTheme="majorHAnsi" w:hAnsiTheme="majorHAnsi"/>
          <w:sz w:val="20"/>
          <w:szCs w:val="20"/>
        </w:rPr>
      </w:pPr>
    </w:p>
    <w:p w14:paraId="2448518F" w14:textId="77777777" w:rsidR="00377F68" w:rsidRPr="00907400" w:rsidRDefault="005063A6"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right="720"/>
        <w:jc w:val="both"/>
        <w:rPr>
          <w:rFonts w:asciiTheme="majorHAnsi" w:hAnsiTheme="majorHAnsi"/>
          <w:sz w:val="20"/>
          <w:szCs w:val="20"/>
        </w:rPr>
      </w:pPr>
      <w:r w:rsidRPr="00907400">
        <w:rPr>
          <w:rFonts w:asciiTheme="majorHAnsi" w:hAnsiTheme="majorHAnsi"/>
          <w:sz w:val="20"/>
          <w:szCs w:val="20"/>
        </w:rPr>
        <w:t xml:space="preserve">(...) there must be sufficient evidence to </w:t>
      </w:r>
      <w:r w:rsidR="00DA2E98" w:rsidRPr="00907400">
        <w:rPr>
          <w:rFonts w:asciiTheme="majorHAnsi" w:hAnsiTheme="majorHAnsi"/>
          <w:sz w:val="20"/>
          <w:szCs w:val="20"/>
        </w:rPr>
        <w:t>allow reasonable suspicion that the person committed to trial has taken part in the criminal offense under investigation</w:t>
      </w:r>
      <w:r w:rsidRPr="00907400">
        <w:rPr>
          <w:rFonts w:asciiTheme="majorHAnsi" w:hAnsiTheme="majorHAnsi"/>
          <w:sz w:val="20"/>
          <w:szCs w:val="20"/>
        </w:rPr>
        <w:t>.</w:t>
      </w:r>
      <w:bookmarkStart w:id="11" w:name="_Ref247965465"/>
      <w:r w:rsidR="00572CFB" w:rsidRPr="00907400">
        <w:rPr>
          <w:rStyle w:val="FootnoteReference"/>
          <w:rFonts w:asciiTheme="majorHAnsi" w:hAnsiTheme="majorHAnsi"/>
          <w:sz w:val="20"/>
          <w:szCs w:val="20"/>
        </w:rPr>
        <w:t xml:space="preserve"> </w:t>
      </w:r>
      <w:r w:rsidR="00572CFB" w:rsidRPr="00907400">
        <w:rPr>
          <w:rStyle w:val="FootnoteReference"/>
          <w:rFonts w:asciiTheme="majorHAnsi" w:hAnsiTheme="majorHAnsi"/>
          <w:sz w:val="20"/>
          <w:szCs w:val="20"/>
        </w:rPr>
        <w:footnoteReference w:id="82"/>
      </w:r>
      <w:bookmarkEnd w:id="11"/>
      <w:r w:rsidR="00DA2E98" w:rsidRPr="00907400">
        <w:rPr>
          <w:rFonts w:asciiTheme="majorHAnsi" w:hAnsiTheme="majorHAnsi"/>
          <w:sz w:val="20"/>
          <w:szCs w:val="20"/>
        </w:rPr>
        <w:t xml:space="preserve"> Nevertheless, even in these circumstances, the deprivation of liberty of the accused cannot be based on general preventive or special preventive purposes, which could be attributed to the punishment, </w:t>
      </w:r>
      <w:r w:rsidRPr="00907400">
        <w:rPr>
          <w:rFonts w:asciiTheme="majorHAnsi" w:hAnsiTheme="majorHAnsi"/>
          <w:sz w:val="20"/>
          <w:szCs w:val="20"/>
        </w:rPr>
        <w:t xml:space="preserve">but can only be based (...) on a legitimate purpose, </w:t>
      </w:r>
      <w:r w:rsidR="00DA2E98" w:rsidRPr="00907400">
        <w:rPr>
          <w:rFonts w:asciiTheme="majorHAnsi" w:hAnsiTheme="majorHAnsi"/>
          <w:sz w:val="20"/>
          <w:szCs w:val="20"/>
        </w:rPr>
        <w:t>which is</w:t>
      </w:r>
      <w:r w:rsidRPr="00907400">
        <w:rPr>
          <w:rFonts w:asciiTheme="majorHAnsi" w:hAnsiTheme="majorHAnsi"/>
          <w:sz w:val="20"/>
          <w:szCs w:val="20"/>
        </w:rPr>
        <w:t xml:space="preserve">: to ensure that the accused </w:t>
      </w:r>
      <w:r w:rsidR="00DA2E98" w:rsidRPr="00907400">
        <w:rPr>
          <w:rFonts w:asciiTheme="majorHAnsi" w:hAnsiTheme="majorHAnsi"/>
          <w:sz w:val="20"/>
          <w:szCs w:val="20"/>
        </w:rPr>
        <w:t>does not prevent the proceedings from being conducted or elude the system of justice</w:t>
      </w:r>
      <w:r w:rsidRPr="00907400">
        <w:rPr>
          <w:rFonts w:asciiTheme="majorHAnsi" w:hAnsiTheme="majorHAnsi"/>
          <w:sz w:val="20"/>
          <w:szCs w:val="20"/>
        </w:rPr>
        <w:t>.</w:t>
      </w:r>
      <w:r w:rsidR="00572CFB" w:rsidRPr="00907400">
        <w:rPr>
          <w:rStyle w:val="FootnoteReference"/>
          <w:rFonts w:asciiTheme="majorHAnsi" w:hAnsiTheme="majorHAnsi"/>
          <w:sz w:val="20"/>
          <w:szCs w:val="20"/>
        </w:rPr>
        <w:t xml:space="preserve"> </w:t>
      </w:r>
      <w:r w:rsidR="00572CFB" w:rsidRPr="00907400">
        <w:rPr>
          <w:rStyle w:val="FootnoteReference"/>
          <w:rFonts w:asciiTheme="majorHAnsi" w:hAnsiTheme="majorHAnsi"/>
          <w:sz w:val="20"/>
          <w:szCs w:val="20"/>
        </w:rPr>
        <w:footnoteReference w:id="83"/>
      </w:r>
    </w:p>
    <w:p w14:paraId="056DABBA"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B61AAB4" w14:textId="77777777" w:rsidR="005063A6" w:rsidRPr="00907400" w:rsidRDefault="005325B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Accordingly</w:t>
      </w:r>
      <w:r w:rsidR="005063A6" w:rsidRPr="00907400">
        <w:rPr>
          <w:rFonts w:asciiTheme="majorHAnsi" w:hAnsiTheme="majorHAnsi"/>
          <w:sz w:val="20"/>
          <w:szCs w:val="20"/>
        </w:rPr>
        <w:t xml:space="preserve">, any decision </w:t>
      </w:r>
      <w:r w:rsidRPr="00907400">
        <w:rPr>
          <w:rFonts w:asciiTheme="majorHAnsi" w:hAnsiTheme="majorHAnsi"/>
          <w:sz w:val="20"/>
          <w:szCs w:val="20"/>
        </w:rPr>
        <w:t>restricting</w:t>
      </w:r>
      <w:r w:rsidR="005063A6" w:rsidRPr="00907400">
        <w:rPr>
          <w:rFonts w:asciiTheme="majorHAnsi" w:hAnsiTheme="majorHAnsi"/>
          <w:sz w:val="20"/>
          <w:szCs w:val="20"/>
        </w:rPr>
        <w:t xml:space="preserve"> the right to personal liberty through the application of pretrial detention must contain sufficient and </w:t>
      </w:r>
      <w:r w:rsidRPr="00907400">
        <w:rPr>
          <w:rFonts w:asciiTheme="majorHAnsi" w:hAnsiTheme="majorHAnsi"/>
          <w:sz w:val="20"/>
          <w:szCs w:val="20"/>
        </w:rPr>
        <w:t>particularized grounds</w:t>
      </w:r>
      <w:r w:rsidR="005063A6" w:rsidRPr="00907400">
        <w:rPr>
          <w:rFonts w:asciiTheme="majorHAnsi" w:hAnsiTheme="majorHAnsi"/>
          <w:sz w:val="20"/>
          <w:szCs w:val="20"/>
        </w:rPr>
        <w:t xml:space="preserve"> to assess whether such detention </w:t>
      </w:r>
      <w:r w:rsidRPr="00907400">
        <w:rPr>
          <w:rFonts w:asciiTheme="majorHAnsi" w:hAnsiTheme="majorHAnsi"/>
          <w:sz w:val="20"/>
          <w:szCs w:val="20"/>
        </w:rPr>
        <w:t>fulfills</w:t>
      </w:r>
      <w:r w:rsidR="005063A6" w:rsidRPr="00907400">
        <w:rPr>
          <w:rFonts w:asciiTheme="majorHAnsi" w:hAnsiTheme="majorHAnsi"/>
          <w:sz w:val="20"/>
          <w:szCs w:val="20"/>
        </w:rPr>
        <w:t xml:space="preserve"> the necessary</w:t>
      </w:r>
      <w:r w:rsidR="00572CFB" w:rsidRPr="00907400">
        <w:rPr>
          <w:rFonts w:asciiTheme="majorHAnsi" w:hAnsiTheme="majorHAnsi"/>
          <w:sz w:val="20"/>
          <w:szCs w:val="20"/>
        </w:rPr>
        <w:t xml:space="preserve"> </w:t>
      </w:r>
      <w:r w:rsidRPr="00907400">
        <w:rPr>
          <w:rFonts w:asciiTheme="majorHAnsi" w:hAnsiTheme="majorHAnsi"/>
          <w:sz w:val="20"/>
          <w:szCs w:val="20"/>
        </w:rPr>
        <w:t>preconditions for its application</w:t>
      </w:r>
      <w:r w:rsidR="005063A6" w:rsidRPr="00907400">
        <w:rPr>
          <w:rFonts w:asciiTheme="majorHAnsi" w:hAnsiTheme="majorHAnsi"/>
          <w:sz w:val="20"/>
          <w:szCs w:val="20"/>
        </w:rPr>
        <w:t>.</w:t>
      </w:r>
      <w:r w:rsidR="00572CFB" w:rsidRPr="00907400">
        <w:rPr>
          <w:rStyle w:val="FootnoteReference"/>
          <w:rFonts w:asciiTheme="majorHAnsi" w:eastAsia="MS Gothic" w:hAnsiTheme="majorHAnsi" w:cs="Calibri"/>
          <w:sz w:val="20"/>
          <w:szCs w:val="20"/>
        </w:rPr>
        <w:t xml:space="preserve"> </w:t>
      </w:r>
      <w:r w:rsidR="00572CFB" w:rsidRPr="00907400">
        <w:rPr>
          <w:rStyle w:val="FootnoteReference"/>
          <w:rFonts w:asciiTheme="majorHAnsi" w:eastAsia="MS Gothic" w:hAnsiTheme="majorHAnsi" w:cs="Calibri"/>
          <w:sz w:val="20"/>
          <w:szCs w:val="20"/>
        </w:rPr>
        <w:footnoteReference w:id="84"/>
      </w:r>
    </w:p>
    <w:p w14:paraId="4CDE94B4"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1FBAB04" w14:textId="77777777" w:rsidR="005063A6" w:rsidRPr="00C27451" w:rsidRDefault="005063A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addition to its effects on the exercise of the right to personal liberty, both the Commission and the Court have indicated that the improper use of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may have an impact on the principle of</w:t>
      </w:r>
      <w:r w:rsidR="0076027C" w:rsidRPr="00907400">
        <w:rPr>
          <w:rFonts w:asciiTheme="majorHAnsi" w:hAnsiTheme="majorHAnsi"/>
          <w:sz w:val="20"/>
          <w:szCs w:val="20"/>
        </w:rPr>
        <w:t xml:space="preserve"> the</w:t>
      </w:r>
      <w:r w:rsidRPr="00907400">
        <w:rPr>
          <w:rFonts w:asciiTheme="majorHAnsi" w:hAnsiTheme="majorHAnsi"/>
          <w:sz w:val="20"/>
          <w:szCs w:val="20"/>
        </w:rPr>
        <w:t xml:space="preserve"> presumption of innocence contained in Article 8.2 of the American Convention. Respect for the right to the presumption of innocence requires the State to </w:t>
      </w:r>
      <w:r w:rsidR="0076027C" w:rsidRPr="00907400">
        <w:rPr>
          <w:rFonts w:asciiTheme="majorHAnsi" w:hAnsiTheme="majorHAnsi"/>
          <w:sz w:val="20"/>
          <w:szCs w:val="20"/>
        </w:rPr>
        <w:t>support and provide evidence</w:t>
      </w:r>
      <w:r w:rsidRPr="00907400">
        <w:rPr>
          <w:rFonts w:asciiTheme="majorHAnsi" w:hAnsiTheme="majorHAnsi"/>
          <w:sz w:val="20"/>
          <w:szCs w:val="20"/>
        </w:rPr>
        <w:t xml:space="preserve"> in a clear and motivated manner, according to each specific case, </w:t>
      </w:r>
      <w:r w:rsidR="00326092" w:rsidRPr="00907400">
        <w:rPr>
          <w:rFonts w:asciiTheme="majorHAnsi" w:hAnsiTheme="majorHAnsi"/>
          <w:sz w:val="20"/>
          <w:szCs w:val="20"/>
        </w:rPr>
        <w:t xml:space="preserve">on </w:t>
      </w:r>
      <w:r w:rsidRPr="00907400">
        <w:rPr>
          <w:rFonts w:asciiTheme="majorHAnsi" w:hAnsiTheme="majorHAnsi"/>
          <w:sz w:val="20"/>
          <w:szCs w:val="20"/>
        </w:rPr>
        <w:t xml:space="preserve">the existence of valid requirements for the </w:t>
      </w:r>
      <w:r w:rsidR="0076027C" w:rsidRPr="00907400">
        <w:rPr>
          <w:rFonts w:asciiTheme="majorHAnsi" w:hAnsiTheme="majorHAnsi"/>
          <w:sz w:val="20"/>
          <w:szCs w:val="20"/>
        </w:rPr>
        <w:t>imposition</w:t>
      </w:r>
      <w:r w:rsidRPr="00907400">
        <w:rPr>
          <w:rFonts w:asciiTheme="majorHAnsi" w:hAnsiTheme="majorHAnsi"/>
          <w:sz w:val="20"/>
          <w:szCs w:val="20"/>
        </w:rPr>
        <w:t xml:space="preserve"> of </w:t>
      </w:r>
      <w:r w:rsidR="005325BF" w:rsidRPr="00907400">
        <w:rPr>
          <w:rFonts w:asciiTheme="majorHAnsi" w:hAnsiTheme="majorHAnsi"/>
          <w:sz w:val="20"/>
          <w:szCs w:val="20"/>
        </w:rPr>
        <w:t>pretrial detention</w:t>
      </w:r>
      <w:r w:rsidRPr="00907400">
        <w:rPr>
          <w:rFonts w:asciiTheme="majorHAnsi" w:hAnsiTheme="majorHAnsi"/>
          <w:sz w:val="20"/>
          <w:szCs w:val="20"/>
        </w:rPr>
        <w:t>.</w:t>
      </w:r>
      <w:r w:rsidR="00572CFB" w:rsidRPr="00907400">
        <w:rPr>
          <w:rStyle w:val="FootnoteReference"/>
          <w:rFonts w:asciiTheme="majorHAnsi" w:eastAsia="MS Gothic" w:hAnsiTheme="majorHAnsi" w:cs="Calibri"/>
          <w:sz w:val="20"/>
          <w:szCs w:val="20"/>
        </w:rPr>
        <w:t xml:space="preserve"> </w:t>
      </w:r>
      <w:r w:rsidR="00572CFB" w:rsidRPr="00907400">
        <w:rPr>
          <w:rStyle w:val="FootnoteReference"/>
          <w:rFonts w:asciiTheme="majorHAnsi" w:eastAsia="MS Gothic" w:hAnsiTheme="majorHAnsi" w:cs="Calibri"/>
          <w:sz w:val="20"/>
          <w:szCs w:val="20"/>
        </w:rPr>
        <w:footnoteReference w:id="85"/>
      </w:r>
      <w:r w:rsidRPr="00907400">
        <w:rPr>
          <w:rFonts w:asciiTheme="majorHAnsi" w:hAnsiTheme="majorHAnsi"/>
          <w:sz w:val="20"/>
          <w:szCs w:val="20"/>
        </w:rPr>
        <w:t xml:space="preserve"> Therefore, the principle of presumption of innocence is also violated when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is imposed arbitrarily; or, when its application is essentially determined, for example, by the </w:t>
      </w:r>
      <w:r w:rsidR="0076027C" w:rsidRPr="00907400">
        <w:rPr>
          <w:rFonts w:asciiTheme="majorHAnsi" w:hAnsiTheme="majorHAnsi"/>
          <w:sz w:val="20"/>
          <w:szCs w:val="20"/>
        </w:rPr>
        <w:t>nature of the crime, the expected</w:t>
      </w:r>
      <w:r w:rsidRPr="00907400">
        <w:rPr>
          <w:rFonts w:asciiTheme="majorHAnsi" w:hAnsiTheme="majorHAnsi"/>
          <w:sz w:val="20"/>
          <w:szCs w:val="20"/>
        </w:rPr>
        <w:t xml:space="preserve"> punishment or the mere existence of reasonable </w:t>
      </w:r>
      <w:r w:rsidR="0076027C" w:rsidRPr="00907400">
        <w:rPr>
          <w:rFonts w:asciiTheme="majorHAnsi" w:hAnsiTheme="majorHAnsi"/>
          <w:sz w:val="20"/>
          <w:szCs w:val="20"/>
        </w:rPr>
        <w:t>indications</w:t>
      </w:r>
      <w:r w:rsidRPr="00907400">
        <w:rPr>
          <w:rFonts w:asciiTheme="majorHAnsi" w:hAnsiTheme="majorHAnsi"/>
          <w:sz w:val="20"/>
          <w:szCs w:val="20"/>
        </w:rPr>
        <w:t xml:space="preserve"> linking the accused person</w:t>
      </w:r>
      <w:r w:rsidR="0076027C" w:rsidRPr="00907400">
        <w:rPr>
          <w:rFonts w:asciiTheme="majorHAnsi" w:hAnsiTheme="majorHAnsi"/>
          <w:sz w:val="20"/>
          <w:szCs w:val="20"/>
        </w:rPr>
        <w:t xml:space="preserve"> to the offense</w:t>
      </w:r>
      <w:r w:rsidRPr="00907400">
        <w:rPr>
          <w:rFonts w:asciiTheme="majorHAnsi" w:hAnsiTheme="majorHAnsi"/>
          <w:sz w:val="20"/>
          <w:szCs w:val="20"/>
        </w:rPr>
        <w:t>.</w:t>
      </w:r>
      <w:r w:rsidR="00572CFB" w:rsidRPr="00907400">
        <w:rPr>
          <w:rStyle w:val="FootnoteReference"/>
          <w:rFonts w:asciiTheme="majorHAnsi" w:eastAsia="MS Gothic" w:hAnsiTheme="majorHAnsi" w:cs="Calibri"/>
          <w:sz w:val="20"/>
          <w:szCs w:val="20"/>
        </w:rPr>
        <w:t xml:space="preserve"> </w:t>
      </w:r>
      <w:r w:rsidR="00572CFB" w:rsidRPr="00907400">
        <w:rPr>
          <w:rStyle w:val="FootnoteReference"/>
          <w:rFonts w:asciiTheme="majorHAnsi" w:eastAsia="MS Gothic" w:hAnsiTheme="majorHAnsi" w:cs="Calibri"/>
          <w:sz w:val="20"/>
          <w:szCs w:val="20"/>
        </w:rPr>
        <w:footnoteReference w:id="86"/>
      </w:r>
    </w:p>
    <w:p w14:paraId="7EDC61F6"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7A70C55" w14:textId="77777777" w:rsidR="0070717E" w:rsidRDefault="005063A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present case, </w:t>
      </w:r>
      <w:r w:rsidR="00326092" w:rsidRPr="00907400">
        <w:rPr>
          <w:rFonts w:asciiTheme="majorHAnsi" w:hAnsiTheme="majorHAnsi"/>
          <w:sz w:val="20"/>
          <w:szCs w:val="20"/>
        </w:rPr>
        <w:t xml:space="preserve">the Commission observes that </w:t>
      </w:r>
      <w:r w:rsidRPr="00907400">
        <w:rPr>
          <w:rFonts w:asciiTheme="majorHAnsi" w:hAnsiTheme="majorHAnsi"/>
          <w:sz w:val="20"/>
          <w:szCs w:val="20"/>
        </w:rPr>
        <w:t xml:space="preserve">the document </w:t>
      </w:r>
      <w:r w:rsidR="00326092" w:rsidRPr="00907400">
        <w:rPr>
          <w:rFonts w:asciiTheme="majorHAnsi" w:hAnsiTheme="majorHAnsi"/>
          <w:sz w:val="20"/>
          <w:szCs w:val="20"/>
        </w:rPr>
        <w:t>presented</w:t>
      </w:r>
      <w:r w:rsidRPr="00907400">
        <w:rPr>
          <w:rFonts w:asciiTheme="majorHAnsi" w:hAnsiTheme="majorHAnsi"/>
          <w:sz w:val="20"/>
          <w:szCs w:val="20"/>
        </w:rPr>
        <w:t xml:space="preserve"> to Mr. Sastoque Alonso three hours after being </w:t>
      </w:r>
      <w:r w:rsidR="00D418C6" w:rsidRPr="00907400">
        <w:rPr>
          <w:rFonts w:asciiTheme="majorHAnsi" w:hAnsiTheme="majorHAnsi"/>
          <w:sz w:val="20"/>
          <w:szCs w:val="20"/>
        </w:rPr>
        <w:t>detained</w:t>
      </w:r>
      <w:r w:rsidRPr="00907400">
        <w:rPr>
          <w:rFonts w:asciiTheme="majorHAnsi" w:hAnsiTheme="majorHAnsi"/>
          <w:sz w:val="20"/>
          <w:szCs w:val="20"/>
        </w:rPr>
        <w:t xml:space="preserve"> on March 8, 1995, </w:t>
      </w:r>
      <w:r w:rsidR="00326092" w:rsidRPr="00907400">
        <w:rPr>
          <w:rFonts w:asciiTheme="majorHAnsi" w:hAnsiTheme="majorHAnsi"/>
          <w:sz w:val="20"/>
          <w:szCs w:val="20"/>
        </w:rPr>
        <w:t xml:space="preserve">lacks an indication of </w:t>
      </w:r>
      <w:r w:rsidRPr="00907400">
        <w:rPr>
          <w:rFonts w:asciiTheme="majorHAnsi" w:hAnsiTheme="majorHAnsi"/>
          <w:sz w:val="20"/>
          <w:szCs w:val="20"/>
        </w:rPr>
        <w:t xml:space="preserve">the procedural purposes </w:t>
      </w:r>
      <w:r w:rsidR="00D418C6" w:rsidRPr="00907400">
        <w:rPr>
          <w:rFonts w:asciiTheme="majorHAnsi" w:hAnsiTheme="majorHAnsi"/>
          <w:sz w:val="20"/>
          <w:szCs w:val="20"/>
        </w:rPr>
        <w:t>justifying his</w:t>
      </w:r>
      <w:r w:rsidR="00326092" w:rsidRPr="00907400">
        <w:rPr>
          <w:rFonts w:asciiTheme="majorHAnsi" w:hAnsiTheme="majorHAnsi"/>
          <w:sz w:val="20"/>
          <w:szCs w:val="20"/>
        </w:rPr>
        <w:t xml:space="preserve"> deprivation of liberty</w:t>
      </w:r>
      <w:r w:rsidRPr="00907400">
        <w:rPr>
          <w:rFonts w:asciiTheme="majorHAnsi" w:hAnsiTheme="majorHAnsi"/>
          <w:sz w:val="20"/>
          <w:szCs w:val="20"/>
        </w:rPr>
        <w:t xml:space="preserve">. The IACHR </w:t>
      </w:r>
      <w:r w:rsidR="009B2370" w:rsidRPr="00907400">
        <w:rPr>
          <w:rFonts w:asciiTheme="majorHAnsi" w:hAnsiTheme="majorHAnsi"/>
          <w:sz w:val="20"/>
          <w:szCs w:val="20"/>
        </w:rPr>
        <w:t>observes</w:t>
      </w:r>
      <w:r w:rsidRPr="00907400">
        <w:rPr>
          <w:rFonts w:asciiTheme="majorHAnsi" w:hAnsiTheme="majorHAnsi"/>
          <w:sz w:val="20"/>
          <w:szCs w:val="20"/>
        </w:rPr>
        <w:t xml:space="preserve"> that on </w:t>
      </w:r>
      <w:r w:rsidR="00437ACA" w:rsidRPr="00907400">
        <w:rPr>
          <w:rFonts w:asciiTheme="majorHAnsi" w:hAnsiTheme="majorHAnsi"/>
          <w:sz w:val="20"/>
          <w:szCs w:val="20"/>
        </w:rPr>
        <w:t>the same</w:t>
      </w:r>
      <w:r w:rsidRPr="00907400">
        <w:rPr>
          <w:rFonts w:asciiTheme="majorHAnsi" w:hAnsiTheme="majorHAnsi"/>
          <w:sz w:val="20"/>
          <w:szCs w:val="20"/>
        </w:rPr>
        <w:t xml:space="preserve"> day, the Office of Dissemination and Press of the Office of the Attorney General of the Nation issued a </w:t>
      </w:r>
      <w:r w:rsidR="00A433FF" w:rsidRPr="00907400">
        <w:rPr>
          <w:rFonts w:asciiTheme="majorHAnsi" w:hAnsiTheme="majorHAnsi"/>
          <w:sz w:val="20"/>
          <w:szCs w:val="20"/>
        </w:rPr>
        <w:t>communiqué</w:t>
      </w:r>
      <w:r w:rsidR="00437ACA" w:rsidRPr="00907400">
        <w:rPr>
          <w:rFonts w:asciiTheme="majorHAnsi" w:hAnsiTheme="majorHAnsi"/>
          <w:sz w:val="20"/>
          <w:szCs w:val="20"/>
        </w:rPr>
        <w:t xml:space="preserve"> indicating</w:t>
      </w:r>
      <w:r w:rsidRPr="00907400">
        <w:rPr>
          <w:rFonts w:asciiTheme="majorHAnsi" w:hAnsiTheme="majorHAnsi"/>
          <w:sz w:val="20"/>
          <w:szCs w:val="20"/>
        </w:rPr>
        <w:t xml:space="preserve"> that Mr. Sastoque was </w:t>
      </w:r>
      <w:r w:rsidR="00437ACA" w:rsidRPr="00907400">
        <w:rPr>
          <w:rFonts w:asciiTheme="majorHAnsi" w:hAnsiTheme="majorHAnsi"/>
          <w:sz w:val="20"/>
          <w:szCs w:val="20"/>
        </w:rPr>
        <w:t>under arrest</w:t>
      </w:r>
      <w:r w:rsidRPr="00907400">
        <w:rPr>
          <w:rFonts w:asciiTheme="majorHAnsi" w:hAnsiTheme="majorHAnsi"/>
          <w:sz w:val="20"/>
          <w:szCs w:val="20"/>
        </w:rPr>
        <w:t xml:space="preserve"> as the alleged perpetrator of the murder of Hernando Pizarro. </w:t>
      </w:r>
      <w:r w:rsidR="001A0F5C" w:rsidRPr="00907400">
        <w:rPr>
          <w:rFonts w:asciiTheme="majorHAnsi" w:hAnsiTheme="majorHAnsi"/>
          <w:sz w:val="20"/>
          <w:szCs w:val="20"/>
        </w:rPr>
        <w:t xml:space="preserve">This </w:t>
      </w:r>
      <w:r w:rsidR="00A433FF" w:rsidRPr="00907400">
        <w:rPr>
          <w:rFonts w:asciiTheme="majorHAnsi" w:hAnsiTheme="majorHAnsi"/>
          <w:sz w:val="20"/>
          <w:szCs w:val="20"/>
        </w:rPr>
        <w:t>communiqué</w:t>
      </w:r>
      <w:r w:rsidRPr="00907400">
        <w:rPr>
          <w:rFonts w:asciiTheme="majorHAnsi" w:hAnsiTheme="majorHAnsi"/>
          <w:sz w:val="20"/>
          <w:szCs w:val="20"/>
        </w:rPr>
        <w:t xml:space="preserve"> indicated that "</w:t>
      </w:r>
      <w:r w:rsidR="001A0F5C" w:rsidRPr="00907400">
        <w:rPr>
          <w:rFonts w:asciiTheme="majorHAnsi" w:hAnsiTheme="majorHAnsi"/>
          <w:sz w:val="20"/>
          <w:szCs w:val="20"/>
        </w:rPr>
        <w:t xml:space="preserve">there was </w:t>
      </w:r>
      <w:r w:rsidR="00326092" w:rsidRPr="00907400">
        <w:rPr>
          <w:rFonts w:asciiTheme="majorHAnsi" w:hAnsiTheme="majorHAnsi"/>
          <w:sz w:val="20"/>
          <w:szCs w:val="20"/>
        </w:rPr>
        <w:t>sufficient evidence to indict</w:t>
      </w:r>
      <w:r w:rsidRPr="00907400">
        <w:rPr>
          <w:rFonts w:asciiTheme="majorHAnsi" w:hAnsiTheme="majorHAnsi"/>
          <w:sz w:val="20"/>
          <w:szCs w:val="20"/>
        </w:rPr>
        <w:t xml:space="preserve"> Gustavo (...) Sastoque (...) who until now </w:t>
      </w:r>
      <w:r w:rsidR="00326092" w:rsidRPr="00907400">
        <w:rPr>
          <w:rFonts w:asciiTheme="majorHAnsi" w:hAnsiTheme="majorHAnsi"/>
          <w:sz w:val="20"/>
          <w:szCs w:val="20"/>
        </w:rPr>
        <w:t xml:space="preserve">has </w:t>
      </w:r>
      <w:r w:rsidR="001A0F5C" w:rsidRPr="00907400">
        <w:rPr>
          <w:rFonts w:asciiTheme="majorHAnsi" w:hAnsiTheme="majorHAnsi"/>
          <w:sz w:val="20"/>
          <w:szCs w:val="20"/>
        </w:rPr>
        <w:t>failed</w:t>
      </w:r>
      <w:r w:rsidRPr="00907400">
        <w:rPr>
          <w:rFonts w:asciiTheme="majorHAnsi" w:hAnsiTheme="majorHAnsi"/>
          <w:sz w:val="20"/>
          <w:szCs w:val="20"/>
        </w:rPr>
        <w:t xml:space="preserve"> to explain his </w:t>
      </w:r>
      <w:r w:rsidR="001A0F5C" w:rsidRPr="00907400">
        <w:rPr>
          <w:rFonts w:asciiTheme="majorHAnsi" w:hAnsiTheme="majorHAnsi"/>
          <w:sz w:val="20"/>
          <w:szCs w:val="20"/>
        </w:rPr>
        <w:t>alleged</w:t>
      </w:r>
      <w:r w:rsidRPr="00907400">
        <w:rPr>
          <w:rFonts w:asciiTheme="majorHAnsi" w:hAnsiTheme="majorHAnsi"/>
          <w:sz w:val="20"/>
          <w:szCs w:val="20"/>
        </w:rPr>
        <w:t xml:space="preserve"> participation in the events".</w:t>
      </w:r>
    </w:p>
    <w:p w14:paraId="0E90FD5C" w14:textId="77777777" w:rsidR="00C27451" w:rsidRPr="00907400"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B547C26" w14:textId="77777777" w:rsidR="0070717E" w:rsidRPr="00907400" w:rsidRDefault="005063A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Likewise, on Mar</w:t>
      </w:r>
      <w:r w:rsidR="00326092" w:rsidRPr="00907400">
        <w:rPr>
          <w:rFonts w:asciiTheme="majorHAnsi" w:hAnsiTheme="majorHAnsi"/>
          <w:sz w:val="20"/>
          <w:szCs w:val="20"/>
        </w:rPr>
        <w:t xml:space="preserve">ch 14, 1995, the Regional Directorate of </w:t>
      </w:r>
      <w:r w:rsidRPr="00907400">
        <w:rPr>
          <w:rFonts w:asciiTheme="majorHAnsi" w:hAnsiTheme="majorHAnsi"/>
          <w:sz w:val="20"/>
          <w:szCs w:val="20"/>
        </w:rPr>
        <w:t xml:space="preserve">Prosecutors of Santafé de Bogotá issued a </w:t>
      </w:r>
      <w:r w:rsidR="00267F43" w:rsidRPr="00907400">
        <w:rPr>
          <w:rFonts w:asciiTheme="majorHAnsi" w:hAnsiTheme="majorHAnsi"/>
          <w:sz w:val="20"/>
          <w:szCs w:val="20"/>
        </w:rPr>
        <w:t>decision</w:t>
      </w:r>
      <w:r w:rsidRPr="00907400">
        <w:rPr>
          <w:rFonts w:asciiTheme="majorHAnsi" w:hAnsiTheme="majorHAnsi"/>
          <w:sz w:val="20"/>
          <w:szCs w:val="20"/>
        </w:rPr>
        <w:t xml:space="preserve"> </w:t>
      </w:r>
      <w:r w:rsidR="00267F43" w:rsidRPr="00907400">
        <w:rPr>
          <w:rFonts w:asciiTheme="majorHAnsi" w:hAnsiTheme="majorHAnsi"/>
          <w:sz w:val="20"/>
          <w:szCs w:val="20"/>
        </w:rPr>
        <w:t>imposing a custodial measure</w:t>
      </w:r>
      <w:r w:rsidRPr="00907400">
        <w:rPr>
          <w:rFonts w:asciiTheme="majorHAnsi" w:hAnsiTheme="majorHAnsi"/>
          <w:sz w:val="20"/>
          <w:szCs w:val="20"/>
        </w:rPr>
        <w:t xml:space="preserve"> against Mr. Sastoque. </w:t>
      </w:r>
      <w:r w:rsidR="00267F43" w:rsidRPr="00907400">
        <w:rPr>
          <w:rFonts w:asciiTheme="majorHAnsi" w:hAnsiTheme="majorHAnsi"/>
          <w:sz w:val="20"/>
          <w:szCs w:val="20"/>
        </w:rPr>
        <w:t>This decision</w:t>
      </w:r>
      <w:r w:rsidRPr="00907400">
        <w:rPr>
          <w:rFonts w:asciiTheme="majorHAnsi" w:hAnsiTheme="majorHAnsi"/>
          <w:sz w:val="20"/>
          <w:szCs w:val="20"/>
        </w:rPr>
        <w:t xml:space="preserve"> indicated that the measure was based "on the seriousness of the witnesses and their statements." This</w:t>
      </w:r>
      <w:r w:rsidR="00801395" w:rsidRPr="00907400">
        <w:rPr>
          <w:rFonts w:asciiTheme="majorHAnsi" w:hAnsiTheme="majorHAnsi"/>
          <w:sz w:val="20"/>
          <w:szCs w:val="20"/>
        </w:rPr>
        <w:t>,</w:t>
      </w:r>
      <w:r w:rsidRPr="00907400">
        <w:rPr>
          <w:rFonts w:asciiTheme="majorHAnsi" w:hAnsiTheme="majorHAnsi"/>
          <w:sz w:val="20"/>
          <w:szCs w:val="20"/>
        </w:rPr>
        <w:t xml:space="preserve"> in as much </w:t>
      </w:r>
      <w:r w:rsidR="00801395" w:rsidRPr="00907400">
        <w:rPr>
          <w:rFonts w:asciiTheme="majorHAnsi" w:hAnsiTheme="majorHAnsi"/>
          <w:sz w:val="20"/>
          <w:szCs w:val="20"/>
        </w:rPr>
        <w:t xml:space="preserve">as </w:t>
      </w:r>
      <w:r w:rsidRPr="00907400">
        <w:rPr>
          <w:rFonts w:asciiTheme="majorHAnsi" w:hAnsiTheme="majorHAnsi"/>
          <w:sz w:val="20"/>
          <w:szCs w:val="20"/>
        </w:rPr>
        <w:t xml:space="preserve">the </w:t>
      </w:r>
      <w:r w:rsidR="00A433FF" w:rsidRPr="00907400">
        <w:rPr>
          <w:rFonts w:asciiTheme="majorHAnsi" w:hAnsiTheme="majorHAnsi"/>
          <w:sz w:val="20"/>
          <w:szCs w:val="20"/>
        </w:rPr>
        <w:t>anonymous</w:t>
      </w:r>
      <w:r w:rsidR="00F2499A" w:rsidRPr="00907400">
        <w:rPr>
          <w:rFonts w:asciiTheme="majorHAnsi" w:hAnsiTheme="majorHAnsi"/>
          <w:sz w:val="20"/>
          <w:szCs w:val="20"/>
        </w:rPr>
        <w:t xml:space="preserve"> </w:t>
      </w:r>
      <w:r w:rsidRPr="00907400">
        <w:rPr>
          <w:rFonts w:asciiTheme="majorHAnsi" w:hAnsiTheme="majorHAnsi"/>
          <w:sz w:val="20"/>
          <w:szCs w:val="20"/>
        </w:rPr>
        <w:t>testimonies "</w:t>
      </w:r>
      <w:r w:rsidR="00326092" w:rsidRPr="00907400">
        <w:rPr>
          <w:rFonts w:asciiTheme="majorHAnsi" w:hAnsiTheme="majorHAnsi"/>
          <w:sz w:val="20"/>
          <w:szCs w:val="20"/>
        </w:rPr>
        <w:t xml:space="preserve">converge </w:t>
      </w:r>
      <w:r w:rsidRPr="00907400">
        <w:rPr>
          <w:rFonts w:asciiTheme="majorHAnsi" w:hAnsiTheme="majorHAnsi"/>
          <w:sz w:val="20"/>
          <w:szCs w:val="20"/>
        </w:rPr>
        <w:t>i</w:t>
      </w:r>
      <w:r w:rsidR="00326092" w:rsidRPr="00907400">
        <w:rPr>
          <w:rFonts w:asciiTheme="majorHAnsi" w:hAnsiTheme="majorHAnsi"/>
          <w:sz w:val="20"/>
          <w:szCs w:val="20"/>
        </w:rPr>
        <w:t xml:space="preserve">n (...) </w:t>
      </w:r>
      <w:r w:rsidR="00F2499A" w:rsidRPr="00907400">
        <w:rPr>
          <w:rFonts w:asciiTheme="majorHAnsi" w:hAnsiTheme="majorHAnsi"/>
          <w:sz w:val="20"/>
          <w:szCs w:val="20"/>
        </w:rPr>
        <w:t xml:space="preserve">terms of </w:t>
      </w:r>
      <w:r w:rsidR="00326092" w:rsidRPr="00907400">
        <w:rPr>
          <w:rFonts w:asciiTheme="majorHAnsi" w:hAnsiTheme="majorHAnsi"/>
          <w:sz w:val="20"/>
          <w:szCs w:val="20"/>
        </w:rPr>
        <w:t>circumstances of manner</w:t>
      </w:r>
      <w:r w:rsidRPr="00907400">
        <w:rPr>
          <w:rFonts w:asciiTheme="majorHAnsi" w:hAnsiTheme="majorHAnsi"/>
          <w:sz w:val="20"/>
          <w:szCs w:val="20"/>
        </w:rPr>
        <w:t>, time and p</w:t>
      </w:r>
      <w:r w:rsidR="00F2499A" w:rsidRPr="00907400">
        <w:rPr>
          <w:rFonts w:asciiTheme="majorHAnsi" w:hAnsiTheme="majorHAnsi"/>
          <w:sz w:val="20"/>
          <w:szCs w:val="20"/>
        </w:rPr>
        <w:t>lace". Regarding the testimony</w:t>
      </w:r>
      <w:r w:rsidRPr="00907400">
        <w:rPr>
          <w:rFonts w:asciiTheme="majorHAnsi" w:hAnsiTheme="majorHAnsi"/>
          <w:sz w:val="20"/>
          <w:szCs w:val="20"/>
        </w:rPr>
        <w:t xml:space="preserve"> of Mr. Sastoque's relatives and other witnesses </w:t>
      </w:r>
      <w:r w:rsidR="00396A24" w:rsidRPr="00907400">
        <w:rPr>
          <w:rFonts w:asciiTheme="majorHAnsi" w:hAnsiTheme="majorHAnsi"/>
          <w:sz w:val="20"/>
          <w:szCs w:val="20"/>
        </w:rPr>
        <w:t>indicating</w:t>
      </w:r>
      <w:r w:rsidRPr="00907400">
        <w:rPr>
          <w:rFonts w:asciiTheme="majorHAnsi" w:hAnsiTheme="majorHAnsi"/>
          <w:sz w:val="20"/>
          <w:szCs w:val="20"/>
        </w:rPr>
        <w:t xml:space="preserve"> that he was buying shoes </w:t>
      </w:r>
      <w:r w:rsidR="00396A24" w:rsidRPr="00907400">
        <w:rPr>
          <w:rFonts w:asciiTheme="majorHAnsi" w:hAnsiTheme="majorHAnsi"/>
          <w:sz w:val="20"/>
          <w:szCs w:val="20"/>
        </w:rPr>
        <w:t>during the events</w:t>
      </w:r>
      <w:r w:rsidRPr="00907400">
        <w:rPr>
          <w:rFonts w:asciiTheme="majorHAnsi" w:hAnsiTheme="majorHAnsi"/>
          <w:sz w:val="20"/>
          <w:szCs w:val="20"/>
        </w:rPr>
        <w:t xml:space="preserve">, the </w:t>
      </w:r>
      <w:r w:rsidR="00396A24" w:rsidRPr="00907400">
        <w:rPr>
          <w:rFonts w:asciiTheme="majorHAnsi" w:hAnsiTheme="majorHAnsi"/>
          <w:sz w:val="20"/>
          <w:szCs w:val="20"/>
        </w:rPr>
        <w:t>decision</w:t>
      </w:r>
      <w:r w:rsidRPr="00907400">
        <w:rPr>
          <w:rFonts w:asciiTheme="majorHAnsi" w:hAnsiTheme="majorHAnsi"/>
          <w:sz w:val="20"/>
          <w:szCs w:val="20"/>
        </w:rPr>
        <w:t xml:space="preserve"> </w:t>
      </w:r>
      <w:r w:rsidR="00396A24" w:rsidRPr="00907400">
        <w:rPr>
          <w:rFonts w:asciiTheme="majorHAnsi" w:hAnsiTheme="majorHAnsi"/>
          <w:sz w:val="20"/>
          <w:szCs w:val="20"/>
        </w:rPr>
        <w:t>observed</w:t>
      </w:r>
      <w:r w:rsidRPr="00907400">
        <w:rPr>
          <w:rFonts w:asciiTheme="majorHAnsi" w:hAnsiTheme="majorHAnsi"/>
          <w:sz w:val="20"/>
          <w:szCs w:val="20"/>
        </w:rPr>
        <w:t xml:space="preserve"> that "obviously [it] is inferred that there is an interest </w:t>
      </w:r>
      <w:r w:rsidR="00326092" w:rsidRPr="00907400">
        <w:rPr>
          <w:rFonts w:asciiTheme="majorHAnsi" w:hAnsiTheme="majorHAnsi"/>
          <w:sz w:val="20"/>
          <w:szCs w:val="20"/>
        </w:rPr>
        <w:t>which is to save their relative and friend from the judicial mess in which he is</w:t>
      </w:r>
      <w:r w:rsidR="00801395" w:rsidRPr="00907400">
        <w:rPr>
          <w:rFonts w:asciiTheme="majorHAnsi" w:hAnsiTheme="majorHAnsi"/>
          <w:sz w:val="20"/>
          <w:szCs w:val="20"/>
        </w:rPr>
        <w:t xml:space="preserve"> involved</w:t>
      </w:r>
      <w:r w:rsidRPr="00907400">
        <w:rPr>
          <w:rFonts w:asciiTheme="majorHAnsi" w:hAnsiTheme="majorHAnsi"/>
          <w:sz w:val="20"/>
          <w:szCs w:val="20"/>
        </w:rPr>
        <w:t>".</w:t>
      </w:r>
    </w:p>
    <w:p w14:paraId="232BB3D2"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E9E360F" w14:textId="77777777" w:rsidR="0070717E" w:rsidRPr="00907400" w:rsidRDefault="00801395"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w:t>
      </w:r>
      <w:r w:rsidR="005063A6" w:rsidRPr="00907400">
        <w:rPr>
          <w:rFonts w:asciiTheme="majorHAnsi" w:hAnsiTheme="majorHAnsi"/>
          <w:sz w:val="20"/>
          <w:szCs w:val="20"/>
        </w:rPr>
        <w:t>he</w:t>
      </w:r>
      <w:r w:rsidR="00396A24" w:rsidRPr="00907400">
        <w:rPr>
          <w:rFonts w:asciiTheme="majorHAnsi" w:hAnsiTheme="majorHAnsi"/>
          <w:sz w:val="20"/>
          <w:szCs w:val="20"/>
        </w:rPr>
        <w:t xml:space="preserve"> Commission emphasizes that neither</w:t>
      </w:r>
      <w:r w:rsidR="005063A6" w:rsidRPr="00907400">
        <w:rPr>
          <w:rFonts w:asciiTheme="majorHAnsi" w:hAnsiTheme="majorHAnsi"/>
          <w:sz w:val="20"/>
          <w:szCs w:val="20"/>
        </w:rPr>
        <w:t xml:space="preserve"> </w:t>
      </w:r>
      <w:r w:rsidR="00396A24" w:rsidRPr="00907400">
        <w:rPr>
          <w:rFonts w:asciiTheme="majorHAnsi" w:hAnsiTheme="majorHAnsi"/>
          <w:sz w:val="20"/>
          <w:szCs w:val="20"/>
        </w:rPr>
        <w:t>o</w:t>
      </w:r>
      <w:r w:rsidRPr="00907400">
        <w:rPr>
          <w:rFonts w:asciiTheme="majorHAnsi" w:hAnsiTheme="majorHAnsi"/>
          <w:sz w:val="20"/>
          <w:szCs w:val="20"/>
        </w:rPr>
        <w:t>f the two documents ordering –</w:t>
      </w:r>
      <w:r w:rsidR="005063A6" w:rsidRPr="00907400">
        <w:rPr>
          <w:rFonts w:asciiTheme="majorHAnsi" w:hAnsiTheme="majorHAnsi"/>
          <w:sz w:val="20"/>
          <w:szCs w:val="20"/>
        </w:rPr>
        <w:t>first</w:t>
      </w:r>
      <w:r w:rsidRPr="00907400">
        <w:rPr>
          <w:rFonts w:asciiTheme="majorHAnsi" w:hAnsiTheme="majorHAnsi"/>
          <w:sz w:val="20"/>
          <w:szCs w:val="20"/>
        </w:rPr>
        <w:t xml:space="preserve"> </w:t>
      </w:r>
      <w:r w:rsidR="005063A6" w:rsidRPr="00907400">
        <w:rPr>
          <w:rFonts w:asciiTheme="majorHAnsi" w:hAnsiTheme="majorHAnsi"/>
          <w:sz w:val="20"/>
          <w:szCs w:val="20"/>
        </w:rPr>
        <w:t>the arrest</w:t>
      </w:r>
      <w:r w:rsidRPr="00907400">
        <w:rPr>
          <w:rFonts w:asciiTheme="majorHAnsi" w:hAnsiTheme="majorHAnsi"/>
          <w:sz w:val="20"/>
          <w:szCs w:val="20"/>
        </w:rPr>
        <w:t xml:space="preserve"> and second</w:t>
      </w:r>
      <w:r w:rsidR="005063A6" w:rsidRPr="00907400">
        <w:rPr>
          <w:rFonts w:asciiTheme="majorHAnsi" w:hAnsiTheme="majorHAnsi"/>
          <w:sz w:val="20"/>
          <w:szCs w:val="20"/>
        </w:rPr>
        <w:t xml:space="preserve"> the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w:t>
      </w:r>
      <w:r w:rsidR="005063A6" w:rsidRPr="00907400">
        <w:rPr>
          <w:rFonts w:asciiTheme="majorHAnsi" w:hAnsiTheme="majorHAnsi"/>
          <w:sz w:val="20"/>
          <w:szCs w:val="20"/>
        </w:rPr>
        <w:t>indicate</w:t>
      </w:r>
      <w:r w:rsidRPr="00907400">
        <w:rPr>
          <w:rFonts w:asciiTheme="majorHAnsi" w:hAnsiTheme="majorHAnsi"/>
          <w:sz w:val="20"/>
          <w:szCs w:val="20"/>
        </w:rPr>
        <w:t xml:space="preserve"> </w:t>
      </w:r>
      <w:r w:rsidR="005063A6" w:rsidRPr="00907400">
        <w:rPr>
          <w:rFonts w:asciiTheme="majorHAnsi" w:hAnsiTheme="majorHAnsi"/>
          <w:sz w:val="20"/>
          <w:szCs w:val="20"/>
        </w:rPr>
        <w:t xml:space="preserve">the procedural purposes </w:t>
      </w:r>
      <w:r w:rsidR="00396A24" w:rsidRPr="00907400">
        <w:rPr>
          <w:rFonts w:asciiTheme="majorHAnsi" w:hAnsiTheme="majorHAnsi"/>
          <w:sz w:val="20"/>
          <w:szCs w:val="20"/>
        </w:rPr>
        <w:t>justifying</w:t>
      </w:r>
      <w:r w:rsidR="005063A6" w:rsidRPr="00907400">
        <w:rPr>
          <w:rFonts w:asciiTheme="majorHAnsi" w:hAnsiTheme="majorHAnsi"/>
          <w:sz w:val="20"/>
          <w:szCs w:val="20"/>
        </w:rPr>
        <w:t xml:space="preserve"> Mr. Sastoque </w:t>
      </w:r>
      <w:r w:rsidR="00396A24" w:rsidRPr="00907400">
        <w:rPr>
          <w:rFonts w:asciiTheme="majorHAnsi" w:hAnsiTheme="majorHAnsi"/>
          <w:sz w:val="20"/>
          <w:szCs w:val="20"/>
        </w:rPr>
        <w:t>deprivation of liberty</w:t>
      </w:r>
      <w:r w:rsidR="005063A6" w:rsidRPr="00907400">
        <w:rPr>
          <w:rFonts w:asciiTheme="majorHAnsi" w:hAnsiTheme="majorHAnsi"/>
          <w:sz w:val="20"/>
          <w:szCs w:val="20"/>
        </w:rPr>
        <w:t xml:space="preserve">. On the contrary, the Commission emphasizes that </w:t>
      </w:r>
      <w:r w:rsidR="005A4889" w:rsidRPr="00907400">
        <w:rPr>
          <w:rFonts w:asciiTheme="majorHAnsi" w:hAnsiTheme="majorHAnsi"/>
          <w:sz w:val="20"/>
          <w:szCs w:val="20"/>
        </w:rPr>
        <w:t>above quoted</w:t>
      </w:r>
      <w:r w:rsidR="005063A6" w:rsidRPr="00907400">
        <w:rPr>
          <w:rFonts w:asciiTheme="majorHAnsi" w:hAnsiTheme="majorHAnsi"/>
          <w:sz w:val="20"/>
          <w:szCs w:val="20"/>
        </w:rPr>
        <w:t xml:space="preserve"> considerations refer to the</w:t>
      </w:r>
      <w:r w:rsidR="005A4889" w:rsidRPr="00907400">
        <w:rPr>
          <w:rFonts w:asciiTheme="majorHAnsi" w:hAnsiTheme="majorHAnsi"/>
          <w:sz w:val="20"/>
          <w:szCs w:val="20"/>
        </w:rPr>
        <w:t xml:space="preserve"> credibility of the testimony</w:t>
      </w:r>
      <w:r w:rsidR="005063A6" w:rsidRPr="00907400">
        <w:rPr>
          <w:rFonts w:asciiTheme="majorHAnsi" w:hAnsiTheme="majorHAnsi"/>
          <w:sz w:val="20"/>
          <w:szCs w:val="20"/>
        </w:rPr>
        <w:t xml:space="preserve"> in the proceeding</w:t>
      </w:r>
      <w:r w:rsidR="005A4889" w:rsidRPr="00907400">
        <w:rPr>
          <w:rFonts w:asciiTheme="majorHAnsi" w:hAnsiTheme="majorHAnsi"/>
          <w:sz w:val="20"/>
          <w:szCs w:val="20"/>
        </w:rPr>
        <w:t>s</w:t>
      </w:r>
      <w:r w:rsidR="005063A6" w:rsidRPr="00907400">
        <w:rPr>
          <w:rFonts w:asciiTheme="majorHAnsi" w:hAnsiTheme="majorHAnsi"/>
          <w:sz w:val="20"/>
          <w:szCs w:val="20"/>
        </w:rPr>
        <w:t xml:space="preserve"> and Mr. Sastoque</w:t>
      </w:r>
      <w:r w:rsidRPr="00907400">
        <w:rPr>
          <w:rFonts w:asciiTheme="majorHAnsi" w:hAnsiTheme="majorHAnsi"/>
          <w:sz w:val="20"/>
          <w:szCs w:val="20"/>
        </w:rPr>
        <w:t>’s alleged responsibility</w:t>
      </w:r>
      <w:r w:rsidR="005063A6" w:rsidRPr="00907400">
        <w:rPr>
          <w:rFonts w:asciiTheme="majorHAnsi" w:hAnsiTheme="majorHAnsi"/>
          <w:sz w:val="20"/>
          <w:szCs w:val="20"/>
        </w:rPr>
        <w:t>. I</w:t>
      </w:r>
      <w:r w:rsidRPr="00907400">
        <w:rPr>
          <w:rFonts w:asciiTheme="majorHAnsi" w:hAnsiTheme="majorHAnsi"/>
          <w:sz w:val="20"/>
          <w:szCs w:val="20"/>
        </w:rPr>
        <w:t>n addition, the testimonies taken into account</w:t>
      </w:r>
      <w:r w:rsidR="005063A6" w:rsidRPr="00907400">
        <w:rPr>
          <w:rFonts w:asciiTheme="majorHAnsi" w:hAnsiTheme="majorHAnsi"/>
          <w:sz w:val="20"/>
          <w:szCs w:val="20"/>
        </w:rPr>
        <w:t xml:space="preserve"> were anonymous</w:t>
      </w:r>
      <w:r w:rsidR="00094B32" w:rsidRPr="00907400">
        <w:rPr>
          <w:rFonts w:asciiTheme="majorHAnsi" w:hAnsiTheme="majorHAnsi"/>
          <w:sz w:val="20"/>
          <w:szCs w:val="20"/>
        </w:rPr>
        <w:t>,</w:t>
      </w:r>
      <w:r w:rsidR="005063A6" w:rsidRPr="00907400">
        <w:rPr>
          <w:rFonts w:asciiTheme="majorHAnsi" w:hAnsiTheme="majorHAnsi"/>
          <w:sz w:val="20"/>
          <w:szCs w:val="20"/>
        </w:rPr>
        <w:t xml:space="preserve"> and the March 14 </w:t>
      </w:r>
      <w:r w:rsidR="005A4889" w:rsidRPr="00907400">
        <w:rPr>
          <w:rFonts w:asciiTheme="majorHAnsi" w:hAnsiTheme="majorHAnsi"/>
          <w:sz w:val="20"/>
          <w:szCs w:val="20"/>
        </w:rPr>
        <w:t xml:space="preserve">decision </w:t>
      </w:r>
      <w:r w:rsidRPr="00907400">
        <w:rPr>
          <w:rFonts w:asciiTheme="majorHAnsi" w:hAnsiTheme="majorHAnsi"/>
          <w:sz w:val="20"/>
          <w:szCs w:val="20"/>
        </w:rPr>
        <w:t>was issued by a P</w:t>
      </w:r>
      <w:r w:rsidR="005063A6" w:rsidRPr="00907400">
        <w:rPr>
          <w:rFonts w:asciiTheme="majorHAnsi" w:hAnsiTheme="majorHAnsi"/>
          <w:sz w:val="20"/>
          <w:szCs w:val="20"/>
        </w:rPr>
        <w:t>r</w:t>
      </w:r>
      <w:r w:rsidR="005A4889" w:rsidRPr="00907400">
        <w:rPr>
          <w:rFonts w:asciiTheme="majorHAnsi" w:hAnsiTheme="majorHAnsi"/>
          <w:sz w:val="20"/>
          <w:szCs w:val="20"/>
        </w:rPr>
        <w:t>o</w:t>
      </w:r>
      <w:r w:rsidRPr="00907400">
        <w:rPr>
          <w:rFonts w:asciiTheme="majorHAnsi" w:hAnsiTheme="majorHAnsi"/>
          <w:sz w:val="20"/>
          <w:szCs w:val="20"/>
        </w:rPr>
        <w:t>secutor whose name was not disclosed</w:t>
      </w:r>
      <w:r w:rsidR="005063A6" w:rsidRPr="00907400">
        <w:rPr>
          <w:rFonts w:asciiTheme="majorHAnsi" w:hAnsiTheme="majorHAnsi"/>
          <w:sz w:val="20"/>
          <w:szCs w:val="20"/>
        </w:rPr>
        <w:t>.</w:t>
      </w:r>
    </w:p>
    <w:p w14:paraId="768CD52E" w14:textId="77777777" w:rsidR="00C27451" w:rsidRDefault="00C27451" w:rsidP="00C274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3DB4FF5" w14:textId="77777777" w:rsidR="006A21DF" w:rsidRPr="00907400" w:rsidRDefault="005063A6"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light of the foregoing, the Commission concludes that Mr. Sastoque's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was arbitrary and </w:t>
      </w:r>
      <w:r w:rsidR="001F5F9F" w:rsidRPr="00907400">
        <w:rPr>
          <w:rFonts w:asciiTheme="majorHAnsi" w:hAnsiTheme="majorHAnsi"/>
          <w:sz w:val="20"/>
          <w:szCs w:val="20"/>
        </w:rPr>
        <w:t>failed to have non-</w:t>
      </w:r>
      <w:r w:rsidRPr="00907400">
        <w:rPr>
          <w:rFonts w:asciiTheme="majorHAnsi" w:hAnsiTheme="majorHAnsi"/>
          <w:sz w:val="20"/>
          <w:szCs w:val="20"/>
        </w:rPr>
        <w:t xml:space="preserve">procedural purposes, </w:t>
      </w:r>
      <w:r w:rsidR="001F5F9F" w:rsidRPr="00907400">
        <w:rPr>
          <w:rFonts w:asciiTheme="majorHAnsi" w:hAnsiTheme="majorHAnsi"/>
          <w:sz w:val="20"/>
          <w:szCs w:val="20"/>
        </w:rPr>
        <w:t>thus violati</w:t>
      </w:r>
      <w:r w:rsidR="00094B32" w:rsidRPr="00907400">
        <w:rPr>
          <w:rFonts w:asciiTheme="majorHAnsi" w:hAnsiTheme="majorHAnsi"/>
          <w:sz w:val="20"/>
          <w:szCs w:val="20"/>
        </w:rPr>
        <w:t>n</w:t>
      </w:r>
      <w:r w:rsidR="001F5F9F" w:rsidRPr="00907400">
        <w:rPr>
          <w:rFonts w:asciiTheme="majorHAnsi" w:hAnsiTheme="majorHAnsi"/>
          <w:sz w:val="20"/>
          <w:szCs w:val="20"/>
        </w:rPr>
        <w:t>g</w:t>
      </w:r>
      <w:r w:rsidR="00094B32" w:rsidRPr="00907400">
        <w:rPr>
          <w:rFonts w:asciiTheme="majorHAnsi" w:hAnsiTheme="majorHAnsi"/>
          <w:sz w:val="20"/>
          <w:szCs w:val="20"/>
        </w:rPr>
        <w:t xml:space="preserve"> the</w:t>
      </w:r>
      <w:r w:rsidRPr="00907400">
        <w:rPr>
          <w:rFonts w:asciiTheme="majorHAnsi" w:hAnsiTheme="majorHAnsi"/>
          <w:sz w:val="20"/>
          <w:szCs w:val="20"/>
        </w:rPr>
        <w:t xml:space="preserve"> principle of the presu</w:t>
      </w:r>
      <w:r w:rsidR="00094B32" w:rsidRPr="00907400">
        <w:rPr>
          <w:rFonts w:asciiTheme="majorHAnsi" w:hAnsiTheme="majorHAnsi"/>
          <w:sz w:val="20"/>
          <w:szCs w:val="20"/>
        </w:rPr>
        <w:t>mption of innocence</w:t>
      </w:r>
      <w:r w:rsidRPr="00907400">
        <w:rPr>
          <w:rFonts w:asciiTheme="majorHAnsi" w:hAnsiTheme="majorHAnsi"/>
          <w:sz w:val="20"/>
          <w:szCs w:val="20"/>
        </w:rPr>
        <w:t xml:space="preserve">. Consequently, the State of Colombia is responsible for the violation of Articles 7.1, 7.3, and 8.2 of the American Convention, in relation to Article 1.1 of the same instrument, to the detriment of Gustavo Sastoque Alfonso. The Commission emphasizes that this violation began with the </w:t>
      </w:r>
      <w:r w:rsidR="002069BD" w:rsidRPr="00907400">
        <w:rPr>
          <w:rFonts w:asciiTheme="majorHAnsi" w:hAnsiTheme="majorHAnsi"/>
          <w:sz w:val="20"/>
          <w:szCs w:val="20"/>
        </w:rPr>
        <w:t xml:space="preserve">victim’s </w:t>
      </w:r>
      <w:r w:rsidRPr="00907400">
        <w:rPr>
          <w:rFonts w:asciiTheme="majorHAnsi" w:hAnsiTheme="majorHAnsi"/>
          <w:sz w:val="20"/>
          <w:szCs w:val="20"/>
        </w:rPr>
        <w:t xml:space="preserve">deprivation of liberty and </w:t>
      </w:r>
      <w:r w:rsidR="002069BD" w:rsidRPr="00907400">
        <w:rPr>
          <w:rFonts w:asciiTheme="majorHAnsi" w:hAnsiTheme="majorHAnsi"/>
          <w:sz w:val="20"/>
          <w:szCs w:val="20"/>
        </w:rPr>
        <w:t>continued</w:t>
      </w:r>
      <w:r w:rsidRPr="00907400">
        <w:rPr>
          <w:rFonts w:asciiTheme="majorHAnsi" w:hAnsiTheme="majorHAnsi"/>
          <w:sz w:val="20"/>
          <w:szCs w:val="20"/>
        </w:rPr>
        <w:t xml:space="preserve"> throughout the time </w:t>
      </w:r>
      <w:r w:rsidR="002069BD" w:rsidRPr="00907400">
        <w:rPr>
          <w:rFonts w:asciiTheme="majorHAnsi" w:hAnsiTheme="majorHAnsi"/>
          <w:sz w:val="20"/>
          <w:szCs w:val="20"/>
        </w:rPr>
        <w:t>while he was in pretrial detention</w:t>
      </w:r>
      <w:r w:rsidR="00832E0A" w:rsidRPr="00907400">
        <w:rPr>
          <w:rFonts w:asciiTheme="majorHAnsi" w:hAnsiTheme="majorHAnsi"/>
          <w:sz w:val="20"/>
          <w:szCs w:val="20"/>
        </w:rPr>
        <w:t>; the case file does not show any periodic review for continuing with this</w:t>
      </w:r>
      <w:r w:rsidR="001F5F9F" w:rsidRPr="00907400">
        <w:rPr>
          <w:rFonts w:asciiTheme="majorHAnsi" w:hAnsiTheme="majorHAnsi"/>
          <w:sz w:val="20"/>
          <w:szCs w:val="20"/>
        </w:rPr>
        <w:t xml:space="preserve"> measure, nor that at any later time </w:t>
      </w:r>
      <w:r w:rsidR="00832E0A" w:rsidRPr="00907400">
        <w:rPr>
          <w:rFonts w:asciiTheme="majorHAnsi" w:hAnsiTheme="majorHAnsi"/>
          <w:sz w:val="20"/>
          <w:szCs w:val="20"/>
        </w:rPr>
        <w:t xml:space="preserve">the lack of procedural purposes </w:t>
      </w:r>
      <w:r w:rsidR="001F5F9F" w:rsidRPr="00907400">
        <w:rPr>
          <w:rFonts w:asciiTheme="majorHAnsi" w:hAnsiTheme="majorHAnsi"/>
          <w:sz w:val="20"/>
          <w:szCs w:val="20"/>
        </w:rPr>
        <w:t xml:space="preserve">was </w:t>
      </w:r>
      <w:r w:rsidR="00832E0A" w:rsidRPr="00907400">
        <w:rPr>
          <w:rFonts w:asciiTheme="majorHAnsi" w:hAnsiTheme="majorHAnsi"/>
          <w:sz w:val="20"/>
          <w:szCs w:val="20"/>
        </w:rPr>
        <w:t>rectified.</w:t>
      </w:r>
    </w:p>
    <w:p w14:paraId="5F97226C" w14:textId="77777777" w:rsidR="006A21DF" w:rsidRPr="00DB6B7E" w:rsidRDefault="006A21DF"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41080D2" w14:textId="77777777" w:rsidR="005063A6" w:rsidRPr="00DB6B7E" w:rsidRDefault="005063A6" w:rsidP="00DB6B7E">
      <w:pPr>
        <w:pStyle w:val="Heading2"/>
        <w:spacing w:before="0"/>
        <w:ind w:left="1440" w:hanging="720"/>
        <w:jc w:val="both"/>
        <w:rPr>
          <w:color w:val="auto"/>
          <w:sz w:val="20"/>
          <w:szCs w:val="20"/>
        </w:rPr>
      </w:pPr>
      <w:bookmarkStart w:id="12" w:name="_Toc211249800"/>
      <w:r w:rsidRPr="00DB6B7E">
        <w:rPr>
          <w:color w:val="auto"/>
          <w:sz w:val="20"/>
          <w:szCs w:val="20"/>
        </w:rPr>
        <w:lastRenderedPageBreak/>
        <w:t>B.</w:t>
      </w:r>
      <w:r w:rsidRPr="00DB6B7E">
        <w:rPr>
          <w:color w:val="auto"/>
          <w:sz w:val="20"/>
          <w:szCs w:val="20"/>
        </w:rPr>
        <w:tab/>
      </w:r>
      <w:r w:rsidR="00F15B71" w:rsidRPr="00DB6B7E">
        <w:rPr>
          <w:color w:val="auto"/>
          <w:sz w:val="20"/>
          <w:szCs w:val="20"/>
        </w:rPr>
        <w:t>The Rights to due Process</w:t>
      </w:r>
      <w:r w:rsidRPr="00DB6B7E">
        <w:rPr>
          <w:color w:val="auto"/>
          <w:sz w:val="20"/>
          <w:szCs w:val="20"/>
        </w:rPr>
        <w:t xml:space="preserve"> and Judicial Protection (Articles 8</w:t>
      </w:r>
      <w:r w:rsidR="00572CFB" w:rsidRPr="00DB6B7E">
        <w:rPr>
          <w:rStyle w:val="FootnoteReference"/>
          <w:color w:val="auto"/>
          <w:sz w:val="20"/>
          <w:szCs w:val="20"/>
        </w:rPr>
        <w:footnoteReference w:id="87"/>
      </w:r>
      <w:r w:rsidRPr="00DB6B7E">
        <w:rPr>
          <w:color w:val="auto"/>
          <w:sz w:val="20"/>
          <w:szCs w:val="20"/>
        </w:rPr>
        <w:t xml:space="preserve"> and 25</w:t>
      </w:r>
      <w:r w:rsidR="00572CFB" w:rsidRPr="00DB6B7E">
        <w:rPr>
          <w:rStyle w:val="FootnoteReference"/>
          <w:color w:val="auto"/>
          <w:sz w:val="20"/>
          <w:szCs w:val="20"/>
        </w:rPr>
        <w:footnoteReference w:id="88"/>
      </w:r>
      <w:r w:rsidR="00572CFB" w:rsidRPr="00DB6B7E">
        <w:rPr>
          <w:color w:val="auto"/>
          <w:sz w:val="20"/>
          <w:szCs w:val="20"/>
        </w:rPr>
        <w:t xml:space="preserve"> </w:t>
      </w:r>
      <w:r w:rsidRPr="00DB6B7E">
        <w:rPr>
          <w:color w:val="auto"/>
          <w:sz w:val="20"/>
          <w:szCs w:val="20"/>
        </w:rPr>
        <w:t xml:space="preserve"> of the American Convention in relatio</w:t>
      </w:r>
      <w:r w:rsidR="00F15B71" w:rsidRPr="00DB6B7E">
        <w:rPr>
          <w:color w:val="auto"/>
          <w:sz w:val="20"/>
          <w:szCs w:val="20"/>
        </w:rPr>
        <w:t>n to Articles 1.1 and 2 of the Same I</w:t>
      </w:r>
      <w:r w:rsidRPr="00DB6B7E">
        <w:rPr>
          <w:color w:val="auto"/>
          <w:sz w:val="20"/>
          <w:szCs w:val="20"/>
        </w:rPr>
        <w:t>nstrument)</w:t>
      </w:r>
      <w:bookmarkEnd w:id="12"/>
    </w:p>
    <w:p w14:paraId="482ACE3B" w14:textId="77777777" w:rsidR="00C27451" w:rsidRPr="00DB6B7E" w:rsidRDefault="00C27451"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rPr>
      </w:pPr>
    </w:p>
    <w:p w14:paraId="2D369463" w14:textId="77777777" w:rsidR="005063A6" w:rsidRPr="00DB6B7E" w:rsidRDefault="005063A6" w:rsidP="00DB6B7E">
      <w:pPr>
        <w:pStyle w:val="Heading3"/>
        <w:spacing w:before="0"/>
        <w:ind w:firstLine="720"/>
        <w:rPr>
          <w:color w:val="auto"/>
          <w:sz w:val="20"/>
          <w:szCs w:val="20"/>
        </w:rPr>
      </w:pPr>
      <w:bookmarkStart w:id="13" w:name="_Toc513023533"/>
      <w:bookmarkStart w:id="14" w:name="_Toc211249801"/>
      <w:r w:rsidRPr="00DB6B7E">
        <w:rPr>
          <w:color w:val="auto"/>
          <w:sz w:val="20"/>
          <w:szCs w:val="20"/>
        </w:rPr>
        <w:t>1.</w:t>
      </w:r>
      <w:r w:rsidRPr="00DB6B7E">
        <w:rPr>
          <w:color w:val="auto"/>
          <w:sz w:val="20"/>
          <w:szCs w:val="20"/>
        </w:rPr>
        <w:tab/>
        <w:t>Right to Competent, Independent and Impartial Judges and Prosecutors</w:t>
      </w:r>
      <w:bookmarkEnd w:id="13"/>
      <w:bookmarkEnd w:id="14"/>
    </w:p>
    <w:p w14:paraId="21E76379" w14:textId="77777777" w:rsidR="00C27451" w:rsidRPr="00DB6B7E" w:rsidRDefault="00C27451"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4DFD3B3" w14:textId="77777777" w:rsidR="005063A6"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DB6B7E">
        <w:rPr>
          <w:rFonts w:asciiTheme="majorHAnsi" w:hAnsiTheme="majorHAnsi"/>
          <w:sz w:val="20"/>
          <w:szCs w:val="20"/>
        </w:rPr>
        <w:t xml:space="preserve">In the </w:t>
      </w:r>
      <w:r w:rsidR="00B02254" w:rsidRPr="00DB6B7E">
        <w:rPr>
          <w:rFonts w:asciiTheme="majorHAnsi" w:hAnsiTheme="majorHAnsi"/>
          <w:sz w:val="20"/>
          <w:szCs w:val="20"/>
        </w:rPr>
        <w:t>present</w:t>
      </w:r>
      <w:r w:rsidRPr="00DB6B7E">
        <w:rPr>
          <w:rFonts w:asciiTheme="majorHAnsi" w:hAnsiTheme="majorHAnsi"/>
          <w:sz w:val="20"/>
          <w:szCs w:val="20"/>
        </w:rPr>
        <w:t xml:space="preserve"> case, the IACHR observes that </w:t>
      </w:r>
      <w:r w:rsidR="00900B26" w:rsidRPr="00DB6B7E">
        <w:rPr>
          <w:rFonts w:asciiTheme="majorHAnsi" w:hAnsiTheme="majorHAnsi"/>
          <w:sz w:val="20"/>
          <w:szCs w:val="20"/>
        </w:rPr>
        <w:t xml:space="preserve">the </w:t>
      </w:r>
      <w:r w:rsidR="00B02254" w:rsidRPr="00DB6B7E">
        <w:rPr>
          <w:rFonts w:asciiTheme="majorHAnsi" w:hAnsiTheme="majorHAnsi"/>
          <w:sz w:val="20"/>
          <w:szCs w:val="20"/>
        </w:rPr>
        <w:t>trial</w:t>
      </w:r>
      <w:r w:rsidR="00900B26" w:rsidRPr="00DB6B7E">
        <w:rPr>
          <w:rFonts w:asciiTheme="majorHAnsi" w:hAnsiTheme="majorHAnsi"/>
          <w:sz w:val="20"/>
          <w:szCs w:val="20"/>
        </w:rPr>
        <w:t xml:space="preserve"> of</w:t>
      </w:r>
      <w:r w:rsidRPr="00DB6B7E">
        <w:rPr>
          <w:rFonts w:asciiTheme="majorHAnsi" w:hAnsiTheme="majorHAnsi"/>
          <w:sz w:val="20"/>
          <w:szCs w:val="20"/>
        </w:rPr>
        <w:t xml:space="preserve"> Mr. </w:t>
      </w:r>
      <w:r w:rsidR="00900B26" w:rsidRPr="00DB6B7E">
        <w:rPr>
          <w:rFonts w:asciiTheme="majorHAnsi" w:hAnsiTheme="majorHAnsi"/>
          <w:sz w:val="20"/>
          <w:szCs w:val="20"/>
        </w:rPr>
        <w:t>Sastoque took place before the Regional Justice S</w:t>
      </w:r>
      <w:r w:rsidRPr="00DB6B7E">
        <w:rPr>
          <w:rFonts w:asciiTheme="majorHAnsi" w:hAnsiTheme="majorHAnsi"/>
          <w:sz w:val="20"/>
          <w:szCs w:val="20"/>
        </w:rPr>
        <w:t xml:space="preserve">ystem. As indicated in the section on </w:t>
      </w:r>
      <w:r w:rsidR="00900B26" w:rsidRPr="00DB6B7E">
        <w:rPr>
          <w:rFonts w:asciiTheme="majorHAnsi" w:hAnsiTheme="majorHAnsi"/>
          <w:sz w:val="20"/>
          <w:szCs w:val="20"/>
        </w:rPr>
        <w:t xml:space="preserve">the </w:t>
      </w:r>
      <w:r w:rsidRPr="00DB6B7E">
        <w:rPr>
          <w:rFonts w:asciiTheme="majorHAnsi" w:hAnsiTheme="majorHAnsi"/>
          <w:sz w:val="20"/>
          <w:szCs w:val="20"/>
        </w:rPr>
        <w:t>F</w:t>
      </w:r>
      <w:r w:rsidR="00B02254" w:rsidRPr="00DB6B7E">
        <w:rPr>
          <w:rFonts w:asciiTheme="majorHAnsi" w:hAnsiTheme="majorHAnsi"/>
          <w:sz w:val="20"/>
          <w:szCs w:val="20"/>
        </w:rPr>
        <w:t>inding</w:t>
      </w:r>
      <w:r w:rsidR="00900B26" w:rsidRPr="00DB6B7E">
        <w:rPr>
          <w:rFonts w:asciiTheme="majorHAnsi" w:hAnsiTheme="majorHAnsi"/>
          <w:sz w:val="20"/>
          <w:szCs w:val="20"/>
        </w:rPr>
        <w:t>s</w:t>
      </w:r>
      <w:r w:rsidR="00B02254" w:rsidRPr="00DB6B7E">
        <w:rPr>
          <w:rFonts w:asciiTheme="majorHAnsi" w:hAnsiTheme="majorHAnsi"/>
          <w:sz w:val="20"/>
          <w:szCs w:val="20"/>
        </w:rPr>
        <w:t xml:space="preserve"> of Fact</w:t>
      </w:r>
      <w:r w:rsidRPr="00DB6B7E">
        <w:rPr>
          <w:rFonts w:asciiTheme="majorHAnsi" w:hAnsiTheme="majorHAnsi"/>
          <w:sz w:val="20"/>
          <w:szCs w:val="20"/>
        </w:rPr>
        <w:t xml:space="preserve">, both the Commission and </w:t>
      </w:r>
      <w:r w:rsidR="001436BF" w:rsidRPr="00DB6B7E">
        <w:rPr>
          <w:rFonts w:asciiTheme="majorHAnsi" w:hAnsiTheme="majorHAnsi"/>
          <w:sz w:val="20"/>
          <w:szCs w:val="20"/>
        </w:rPr>
        <w:t xml:space="preserve">organs of the </w:t>
      </w:r>
      <w:r w:rsidRPr="00DB6B7E">
        <w:rPr>
          <w:rFonts w:asciiTheme="majorHAnsi" w:hAnsiTheme="majorHAnsi"/>
          <w:sz w:val="20"/>
          <w:szCs w:val="20"/>
        </w:rPr>
        <w:t>United Nations</w:t>
      </w:r>
      <w:r w:rsidRPr="00907400">
        <w:rPr>
          <w:rFonts w:asciiTheme="majorHAnsi" w:hAnsiTheme="majorHAnsi"/>
          <w:sz w:val="20"/>
          <w:szCs w:val="20"/>
        </w:rPr>
        <w:t xml:space="preserve"> have expressed their concern about the application of said jurisdiction, </w:t>
      </w:r>
      <w:r w:rsidR="001436BF" w:rsidRPr="00907400">
        <w:rPr>
          <w:rFonts w:asciiTheme="majorHAnsi" w:hAnsiTheme="majorHAnsi"/>
          <w:sz w:val="20"/>
          <w:szCs w:val="20"/>
        </w:rPr>
        <w:t xml:space="preserve">due in large part </w:t>
      </w:r>
      <w:r w:rsidRPr="00907400">
        <w:rPr>
          <w:rFonts w:asciiTheme="majorHAnsi" w:hAnsiTheme="majorHAnsi"/>
          <w:sz w:val="20"/>
          <w:szCs w:val="20"/>
        </w:rPr>
        <w:t xml:space="preserve">to the use of </w:t>
      </w:r>
      <w:r w:rsidR="00900B26" w:rsidRPr="00907400">
        <w:rPr>
          <w:rFonts w:asciiTheme="majorHAnsi" w:hAnsiTheme="majorHAnsi"/>
          <w:sz w:val="20"/>
          <w:szCs w:val="20"/>
        </w:rPr>
        <w:t>anonymous</w:t>
      </w:r>
      <w:r w:rsidR="001436BF" w:rsidRPr="00907400">
        <w:rPr>
          <w:rFonts w:asciiTheme="majorHAnsi" w:hAnsiTheme="majorHAnsi"/>
          <w:sz w:val="20"/>
          <w:szCs w:val="20"/>
        </w:rPr>
        <w:t xml:space="preserve"> </w:t>
      </w:r>
      <w:r w:rsidRPr="00907400">
        <w:rPr>
          <w:rFonts w:asciiTheme="majorHAnsi" w:hAnsiTheme="majorHAnsi"/>
          <w:sz w:val="20"/>
          <w:szCs w:val="20"/>
        </w:rPr>
        <w:t>judges and prosecutors.</w:t>
      </w:r>
    </w:p>
    <w:p w14:paraId="59C96373"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DF9226C" w14:textId="77777777" w:rsidR="005063A6"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Commission has repeatedly </w:t>
      </w:r>
      <w:r w:rsidR="001B66BA" w:rsidRPr="00907400">
        <w:rPr>
          <w:rFonts w:asciiTheme="majorHAnsi" w:hAnsiTheme="majorHAnsi"/>
          <w:sz w:val="20"/>
          <w:szCs w:val="20"/>
        </w:rPr>
        <w:t>pointed out</w:t>
      </w:r>
      <w:r w:rsidRPr="00907400">
        <w:rPr>
          <w:rFonts w:asciiTheme="majorHAnsi" w:hAnsiTheme="majorHAnsi"/>
          <w:sz w:val="20"/>
          <w:szCs w:val="20"/>
        </w:rPr>
        <w:t xml:space="preserve"> that the trial by "faceless courts" </w:t>
      </w:r>
      <w:r w:rsidR="001B66BA" w:rsidRPr="00907400">
        <w:rPr>
          <w:rFonts w:asciiTheme="majorHAnsi" w:hAnsiTheme="majorHAnsi"/>
          <w:sz w:val="20"/>
          <w:szCs w:val="20"/>
        </w:rPr>
        <w:t>violates</w:t>
      </w:r>
      <w:r w:rsidRPr="00907400">
        <w:rPr>
          <w:rFonts w:asciiTheme="majorHAnsi" w:hAnsiTheme="majorHAnsi"/>
          <w:sz w:val="20"/>
          <w:szCs w:val="20"/>
        </w:rPr>
        <w:t xml:space="preserve"> the right of every individual to know </w:t>
      </w:r>
      <w:r w:rsidR="001B66BA" w:rsidRPr="00907400">
        <w:rPr>
          <w:rFonts w:asciiTheme="majorHAnsi" w:hAnsiTheme="majorHAnsi"/>
          <w:sz w:val="20"/>
          <w:szCs w:val="20"/>
        </w:rPr>
        <w:t>the identify of the judge or judges who</w:t>
      </w:r>
      <w:r w:rsidRPr="00907400">
        <w:rPr>
          <w:rFonts w:asciiTheme="majorHAnsi" w:hAnsiTheme="majorHAnsi"/>
          <w:sz w:val="20"/>
          <w:szCs w:val="20"/>
        </w:rPr>
        <w:t xml:space="preserve"> are going to hear their case, whether o</w:t>
      </w:r>
      <w:r w:rsidR="001B66BA" w:rsidRPr="00907400">
        <w:rPr>
          <w:rFonts w:asciiTheme="majorHAnsi" w:hAnsiTheme="majorHAnsi"/>
          <w:sz w:val="20"/>
          <w:szCs w:val="20"/>
        </w:rPr>
        <w:t xml:space="preserve">r not they are competent to try it; and </w:t>
      </w:r>
      <w:r w:rsidRPr="00907400">
        <w:rPr>
          <w:rFonts w:asciiTheme="majorHAnsi" w:hAnsiTheme="majorHAnsi"/>
          <w:sz w:val="20"/>
          <w:szCs w:val="20"/>
        </w:rPr>
        <w:t xml:space="preserve">whether or not they have any interest </w:t>
      </w:r>
      <w:r w:rsidR="001B66BA" w:rsidRPr="00907400">
        <w:rPr>
          <w:rFonts w:asciiTheme="majorHAnsi" w:hAnsiTheme="majorHAnsi"/>
          <w:sz w:val="20"/>
          <w:szCs w:val="20"/>
        </w:rPr>
        <w:t>in its outcome</w:t>
      </w:r>
      <w:r w:rsidRPr="00907400">
        <w:rPr>
          <w:rFonts w:asciiTheme="majorHAnsi" w:hAnsiTheme="majorHAnsi"/>
          <w:sz w:val="20"/>
          <w:szCs w:val="20"/>
        </w:rPr>
        <w:t xml:space="preserve">, in such a way that it may affect the right to be </w:t>
      </w:r>
      <w:r w:rsidR="001B66BA" w:rsidRPr="00907400">
        <w:rPr>
          <w:rFonts w:asciiTheme="majorHAnsi" w:hAnsiTheme="majorHAnsi"/>
          <w:sz w:val="20"/>
          <w:szCs w:val="20"/>
        </w:rPr>
        <w:t>tried</w:t>
      </w:r>
      <w:r w:rsidRPr="00907400">
        <w:rPr>
          <w:rFonts w:asciiTheme="majorHAnsi" w:hAnsiTheme="majorHAnsi"/>
          <w:sz w:val="20"/>
          <w:szCs w:val="20"/>
        </w:rPr>
        <w:t xml:space="preserve"> by an impartial judge. When the identity of the judge is not known, the possibility of </w:t>
      </w:r>
      <w:r w:rsidR="001B66BA" w:rsidRPr="00907400">
        <w:rPr>
          <w:rFonts w:asciiTheme="majorHAnsi" w:hAnsiTheme="majorHAnsi"/>
          <w:sz w:val="20"/>
          <w:szCs w:val="20"/>
        </w:rPr>
        <w:t>ascertaining</w:t>
      </w:r>
      <w:r w:rsidRPr="00907400">
        <w:rPr>
          <w:rFonts w:asciiTheme="majorHAnsi" w:hAnsiTheme="majorHAnsi"/>
          <w:sz w:val="20"/>
          <w:szCs w:val="20"/>
        </w:rPr>
        <w:t xml:space="preserve"> their independence and impartiality is compromised.</w:t>
      </w:r>
      <w:r w:rsidR="00572CFB" w:rsidRPr="00907400">
        <w:rPr>
          <w:rStyle w:val="FootnoteReference"/>
          <w:rFonts w:asciiTheme="majorHAnsi" w:hAnsiTheme="majorHAnsi"/>
          <w:sz w:val="20"/>
          <w:szCs w:val="20"/>
        </w:rPr>
        <w:footnoteReference w:id="89"/>
      </w:r>
      <w:r w:rsidRPr="00907400">
        <w:rPr>
          <w:rFonts w:asciiTheme="majorHAnsi" w:hAnsiTheme="majorHAnsi"/>
          <w:sz w:val="20"/>
          <w:szCs w:val="20"/>
        </w:rPr>
        <w:t xml:space="preserve"> In the words of the IACHR:</w:t>
      </w:r>
    </w:p>
    <w:p w14:paraId="79AA556F" w14:textId="77777777" w:rsidR="00ED6F2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69C791D" w14:textId="77777777" w:rsidR="005063A6" w:rsidRPr="00907400" w:rsidRDefault="002B72BF"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Keeping secret the identity of the ‘faceless’ judges and prosecutors prevents them from guaranteeing the </w:t>
      </w:r>
      <w:r w:rsidR="00421DAD" w:rsidRPr="00907400">
        <w:rPr>
          <w:rFonts w:asciiTheme="majorHAnsi" w:hAnsiTheme="majorHAnsi"/>
          <w:sz w:val="20"/>
          <w:szCs w:val="20"/>
        </w:rPr>
        <w:t xml:space="preserve">independence and impartiality of the courts. The anonymity of the </w:t>
      </w:r>
      <w:r w:rsidRPr="00907400">
        <w:rPr>
          <w:rFonts w:asciiTheme="majorHAnsi" w:hAnsiTheme="majorHAnsi"/>
          <w:sz w:val="20"/>
          <w:szCs w:val="20"/>
        </w:rPr>
        <w:t>judges</w:t>
      </w:r>
      <w:r w:rsidR="00421DAD" w:rsidRPr="00907400">
        <w:rPr>
          <w:rFonts w:asciiTheme="majorHAnsi" w:hAnsiTheme="majorHAnsi"/>
          <w:sz w:val="20"/>
          <w:szCs w:val="20"/>
        </w:rPr>
        <w:t xml:space="preserve"> deprives the defendant of </w:t>
      </w:r>
      <w:r w:rsidRPr="00907400">
        <w:rPr>
          <w:rFonts w:asciiTheme="majorHAnsi" w:hAnsiTheme="majorHAnsi"/>
          <w:sz w:val="20"/>
          <w:szCs w:val="20"/>
        </w:rPr>
        <w:t>the basic guarantees of justice.  He does not know who is judging him or whether that person is qualified to do so. Thus the defendant is prevented</w:t>
      </w:r>
      <w:r w:rsidR="00421DAD" w:rsidRPr="00907400">
        <w:rPr>
          <w:rFonts w:asciiTheme="majorHAnsi" w:hAnsiTheme="majorHAnsi"/>
          <w:sz w:val="20"/>
          <w:szCs w:val="20"/>
        </w:rPr>
        <w:t xml:space="preserve"> from </w:t>
      </w:r>
      <w:r w:rsidRPr="00907400">
        <w:rPr>
          <w:rFonts w:asciiTheme="majorHAnsi" w:hAnsiTheme="majorHAnsi"/>
          <w:sz w:val="20"/>
          <w:szCs w:val="20"/>
        </w:rPr>
        <w:t>having</w:t>
      </w:r>
      <w:r w:rsidR="00421DAD" w:rsidRPr="00907400">
        <w:rPr>
          <w:rFonts w:asciiTheme="majorHAnsi" w:hAnsiTheme="majorHAnsi"/>
          <w:sz w:val="20"/>
          <w:szCs w:val="20"/>
        </w:rPr>
        <w:t xml:space="preserve"> a trial by a competent, in</w:t>
      </w:r>
      <w:r w:rsidRPr="00907400">
        <w:rPr>
          <w:rFonts w:asciiTheme="majorHAnsi" w:hAnsiTheme="majorHAnsi"/>
          <w:sz w:val="20"/>
          <w:szCs w:val="20"/>
        </w:rPr>
        <w:t>dependent and impartial court</w:t>
      </w:r>
      <w:r w:rsidR="00421DAD" w:rsidRPr="00907400">
        <w:rPr>
          <w:rFonts w:asciiTheme="majorHAnsi" w:hAnsiTheme="majorHAnsi"/>
          <w:sz w:val="20"/>
          <w:szCs w:val="20"/>
        </w:rPr>
        <w:t xml:space="preserve">, as </w:t>
      </w:r>
      <w:r w:rsidRPr="00907400">
        <w:rPr>
          <w:rFonts w:asciiTheme="majorHAnsi" w:hAnsiTheme="majorHAnsi"/>
          <w:sz w:val="20"/>
          <w:szCs w:val="20"/>
        </w:rPr>
        <w:t>guaranteed by</w:t>
      </w:r>
      <w:r w:rsidR="00421DAD" w:rsidRPr="00907400">
        <w:rPr>
          <w:rFonts w:asciiTheme="majorHAnsi" w:hAnsiTheme="majorHAnsi"/>
          <w:sz w:val="20"/>
          <w:szCs w:val="20"/>
        </w:rPr>
        <w:t xml:space="preserve"> Article 8 of the American Convention.</w:t>
      </w:r>
      <w:r w:rsidR="00572CFB" w:rsidRPr="00907400">
        <w:rPr>
          <w:rStyle w:val="FootnoteReference"/>
          <w:rFonts w:asciiTheme="majorHAnsi" w:hAnsiTheme="majorHAnsi" w:cs="Arial"/>
          <w:sz w:val="20"/>
          <w:szCs w:val="20"/>
        </w:rPr>
        <w:t xml:space="preserve"> </w:t>
      </w:r>
      <w:r w:rsidR="00572CFB" w:rsidRPr="00907400">
        <w:rPr>
          <w:rStyle w:val="FootnoteReference"/>
          <w:rFonts w:asciiTheme="majorHAnsi" w:hAnsiTheme="majorHAnsi" w:cs="Arial"/>
          <w:sz w:val="20"/>
          <w:szCs w:val="20"/>
        </w:rPr>
        <w:footnoteReference w:id="90"/>
      </w:r>
    </w:p>
    <w:p w14:paraId="0BDF15B2"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84FFE12" w14:textId="77777777" w:rsidR="005063A6"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For its part, the Court has also indicated that trials before "faceless" or reserved identity judges violate Article</w:t>
      </w:r>
      <w:r w:rsidR="006A734F" w:rsidRPr="00907400">
        <w:rPr>
          <w:rFonts w:asciiTheme="majorHAnsi" w:hAnsiTheme="majorHAnsi"/>
          <w:sz w:val="20"/>
          <w:szCs w:val="20"/>
        </w:rPr>
        <w:t xml:space="preserve"> 8.1 of the American Convention, as t</w:t>
      </w:r>
      <w:r w:rsidRPr="00907400">
        <w:rPr>
          <w:rFonts w:asciiTheme="majorHAnsi" w:hAnsiTheme="majorHAnsi"/>
          <w:sz w:val="20"/>
          <w:szCs w:val="20"/>
        </w:rPr>
        <w:t>his prevents defendants from knowing the identi</w:t>
      </w:r>
      <w:r w:rsidR="006A734F" w:rsidRPr="00907400">
        <w:rPr>
          <w:rFonts w:asciiTheme="majorHAnsi" w:hAnsiTheme="majorHAnsi"/>
          <w:sz w:val="20"/>
          <w:szCs w:val="20"/>
        </w:rPr>
        <w:t>ty of the judges and, therefore from</w:t>
      </w:r>
      <w:r w:rsidRPr="00907400">
        <w:rPr>
          <w:rFonts w:asciiTheme="majorHAnsi" w:hAnsiTheme="majorHAnsi"/>
          <w:sz w:val="20"/>
          <w:szCs w:val="20"/>
        </w:rPr>
        <w:t xml:space="preserve"> assessing their suitability and competence, as well as determining if grounds </w:t>
      </w:r>
      <w:r w:rsidR="006A734F" w:rsidRPr="00907400">
        <w:rPr>
          <w:rFonts w:asciiTheme="majorHAnsi" w:hAnsiTheme="majorHAnsi"/>
          <w:sz w:val="20"/>
          <w:szCs w:val="20"/>
        </w:rPr>
        <w:t xml:space="preserve">exist </w:t>
      </w:r>
      <w:r w:rsidRPr="00907400">
        <w:rPr>
          <w:rFonts w:asciiTheme="majorHAnsi" w:hAnsiTheme="majorHAnsi"/>
          <w:sz w:val="20"/>
          <w:szCs w:val="20"/>
        </w:rPr>
        <w:t xml:space="preserve">for </w:t>
      </w:r>
      <w:r w:rsidR="006A734F" w:rsidRPr="00907400">
        <w:rPr>
          <w:rFonts w:asciiTheme="majorHAnsi" w:hAnsiTheme="majorHAnsi"/>
          <w:sz w:val="20"/>
          <w:szCs w:val="20"/>
        </w:rPr>
        <w:t xml:space="preserve">a </w:t>
      </w:r>
      <w:r w:rsidRPr="00907400">
        <w:rPr>
          <w:rFonts w:asciiTheme="majorHAnsi" w:hAnsiTheme="majorHAnsi"/>
          <w:sz w:val="20"/>
          <w:szCs w:val="20"/>
        </w:rPr>
        <w:t xml:space="preserve">recusal, in order </w:t>
      </w:r>
      <w:r w:rsidR="006A734F" w:rsidRPr="00907400">
        <w:rPr>
          <w:rFonts w:asciiTheme="majorHAnsi" w:hAnsiTheme="majorHAnsi"/>
          <w:sz w:val="20"/>
          <w:szCs w:val="20"/>
        </w:rPr>
        <w:t>to exercise their defense</w:t>
      </w:r>
      <w:r w:rsidRPr="00907400">
        <w:rPr>
          <w:rFonts w:asciiTheme="majorHAnsi" w:hAnsiTheme="majorHAnsi"/>
          <w:sz w:val="20"/>
          <w:szCs w:val="20"/>
        </w:rPr>
        <w:t xml:space="preserve"> before an independent and impartial tribunal.</w:t>
      </w:r>
      <w:r w:rsidR="00572CFB" w:rsidRPr="00907400">
        <w:rPr>
          <w:rFonts w:asciiTheme="majorHAnsi" w:hAnsiTheme="majorHAnsi" w:cs="Verdana"/>
          <w:spacing w:val="-2"/>
          <w:sz w:val="20"/>
          <w:szCs w:val="20"/>
          <w:vertAlign w:val="superscript"/>
        </w:rPr>
        <w:t xml:space="preserve"> </w:t>
      </w:r>
      <w:r w:rsidR="00572CFB" w:rsidRPr="00907400">
        <w:rPr>
          <w:rFonts w:asciiTheme="majorHAnsi" w:hAnsiTheme="majorHAnsi" w:cs="Verdana"/>
          <w:spacing w:val="-2"/>
          <w:sz w:val="20"/>
          <w:szCs w:val="20"/>
          <w:vertAlign w:val="superscript"/>
        </w:rPr>
        <w:footnoteReference w:id="91"/>
      </w:r>
      <w:r w:rsidRPr="00907400">
        <w:rPr>
          <w:rFonts w:asciiTheme="majorHAnsi" w:hAnsiTheme="majorHAnsi"/>
          <w:sz w:val="20"/>
          <w:szCs w:val="20"/>
        </w:rPr>
        <w:t xml:space="preserve"> The IACHR emphasizes that the guarantees of independence and impartiality extend to other non-judicial officials who </w:t>
      </w:r>
      <w:r w:rsidR="006A734F" w:rsidRPr="00907400">
        <w:rPr>
          <w:rFonts w:asciiTheme="majorHAnsi" w:hAnsiTheme="majorHAnsi"/>
          <w:sz w:val="20"/>
          <w:szCs w:val="20"/>
        </w:rPr>
        <w:t>are involved in the trial</w:t>
      </w:r>
      <w:r w:rsidRPr="00907400">
        <w:rPr>
          <w:rFonts w:asciiTheme="majorHAnsi" w:hAnsiTheme="majorHAnsi"/>
          <w:sz w:val="20"/>
          <w:szCs w:val="20"/>
        </w:rPr>
        <w:t>, such as prosecutors.</w:t>
      </w:r>
      <w:r w:rsidR="00572CFB" w:rsidRPr="00907400">
        <w:rPr>
          <w:rStyle w:val="FootnoteReference"/>
          <w:rFonts w:asciiTheme="majorHAnsi" w:hAnsiTheme="majorHAnsi" w:cs="Verdana"/>
          <w:spacing w:val="-2"/>
          <w:sz w:val="20"/>
          <w:szCs w:val="20"/>
        </w:rPr>
        <w:t xml:space="preserve"> </w:t>
      </w:r>
      <w:r w:rsidR="00572CFB" w:rsidRPr="00907400">
        <w:rPr>
          <w:rStyle w:val="FootnoteReference"/>
          <w:rFonts w:asciiTheme="majorHAnsi" w:hAnsiTheme="majorHAnsi" w:cs="Verdana"/>
          <w:spacing w:val="-2"/>
          <w:sz w:val="20"/>
          <w:szCs w:val="20"/>
        </w:rPr>
        <w:footnoteReference w:id="92"/>
      </w:r>
    </w:p>
    <w:p w14:paraId="7FD2B90C"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212109F" w14:textId="77777777" w:rsidR="007A744E"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Based on the foregoing, the Commission considers that the prosecution and trial of Gustavo Sastoque Alfonso by "faceless" judges and prosecutors in the criminal proceeding</w:t>
      </w:r>
      <w:r w:rsidR="00605ECB" w:rsidRPr="00907400">
        <w:rPr>
          <w:rFonts w:asciiTheme="majorHAnsi" w:hAnsiTheme="majorHAnsi"/>
          <w:sz w:val="20"/>
          <w:szCs w:val="20"/>
        </w:rPr>
        <w:t>s</w:t>
      </w:r>
      <w:r w:rsidRPr="00907400">
        <w:rPr>
          <w:rFonts w:asciiTheme="majorHAnsi" w:hAnsiTheme="majorHAnsi"/>
          <w:sz w:val="20"/>
          <w:szCs w:val="20"/>
        </w:rPr>
        <w:t xml:space="preserve"> </w:t>
      </w:r>
      <w:r w:rsidR="00605ECB" w:rsidRPr="00907400">
        <w:rPr>
          <w:rFonts w:asciiTheme="majorHAnsi" w:hAnsiTheme="majorHAnsi"/>
          <w:sz w:val="20"/>
          <w:szCs w:val="20"/>
        </w:rPr>
        <w:t>conducted before the</w:t>
      </w:r>
      <w:r w:rsidRPr="00907400">
        <w:rPr>
          <w:rFonts w:asciiTheme="majorHAnsi" w:hAnsiTheme="majorHAnsi"/>
          <w:sz w:val="20"/>
          <w:szCs w:val="20"/>
        </w:rPr>
        <w:t xml:space="preserve"> regional justice </w:t>
      </w:r>
      <w:r w:rsidR="00605ECB" w:rsidRPr="00907400">
        <w:rPr>
          <w:rFonts w:asciiTheme="majorHAnsi" w:hAnsiTheme="majorHAnsi"/>
          <w:sz w:val="20"/>
          <w:szCs w:val="20"/>
        </w:rPr>
        <w:t xml:space="preserve">then in force </w:t>
      </w:r>
      <w:r w:rsidRPr="00907400">
        <w:rPr>
          <w:rFonts w:asciiTheme="majorHAnsi" w:hAnsiTheme="majorHAnsi"/>
          <w:sz w:val="20"/>
          <w:szCs w:val="20"/>
        </w:rPr>
        <w:t>constituted a violation of his right to be judged by a competent, independent and impartial tribunal provided for in Article 8.1 of the American Convention, in relation to the obligations established in Articles 1.1 and 2 of the same instrument.</w:t>
      </w:r>
    </w:p>
    <w:p w14:paraId="1A1488FE" w14:textId="77777777" w:rsidR="007A744E" w:rsidRPr="00907400"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0D83AF6" w14:textId="77777777" w:rsidR="00421DAD" w:rsidRPr="00DB6B7E" w:rsidRDefault="00421DAD" w:rsidP="00DB6B7E">
      <w:pPr>
        <w:pStyle w:val="Heading3"/>
        <w:spacing w:before="0"/>
        <w:ind w:firstLine="720"/>
        <w:rPr>
          <w:color w:val="auto"/>
          <w:sz w:val="20"/>
          <w:szCs w:val="20"/>
        </w:rPr>
      </w:pPr>
      <w:bookmarkStart w:id="15" w:name="_Toc513023534"/>
      <w:bookmarkStart w:id="16" w:name="_Toc211249802"/>
      <w:r w:rsidRPr="00DB6B7E">
        <w:rPr>
          <w:color w:val="auto"/>
          <w:sz w:val="20"/>
          <w:szCs w:val="20"/>
        </w:rPr>
        <w:t>2.</w:t>
      </w:r>
      <w:r w:rsidRPr="00DB6B7E">
        <w:rPr>
          <w:color w:val="auto"/>
          <w:sz w:val="20"/>
          <w:szCs w:val="20"/>
        </w:rPr>
        <w:tab/>
        <w:t>Right to Prior and Detailed Information of the Charges</w:t>
      </w:r>
      <w:bookmarkEnd w:id="15"/>
      <w:bookmarkEnd w:id="16"/>
    </w:p>
    <w:p w14:paraId="225ABC2C"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DF19E6F" w14:textId="77777777" w:rsidR="00421DAD"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general terms, the Court has pointed out that the right to defense must </w:t>
      </w:r>
      <w:r w:rsidR="00843E89" w:rsidRPr="00907400">
        <w:rPr>
          <w:rFonts w:asciiTheme="majorHAnsi" w:hAnsiTheme="majorHAnsi"/>
          <w:sz w:val="20"/>
          <w:szCs w:val="20"/>
        </w:rPr>
        <w:t xml:space="preserve">be </w:t>
      </w:r>
      <w:r w:rsidRPr="00907400">
        <w:rPr>
          <w:rFonts w:asciiTheme="majorHAnsi" w:hAnsiTheme="majorHAnsi"/>
          <w:sz w:val="20"/>
          <w:szCs w:val="20"/>
        </w:rPr>
        <w:t xml:space="preserve">necessarily exercised </w:t>
      </w:r>
      <w:r w:rsidR="00706988" w:rsidRPr="00907400">
        <w:rPr>
          <w:rFonts w:asciiTheme="majorHAnsi" w:hAnsiTheme="majorHAnsi"/>
          <w:sz w:val="20"/>
          <w:szCs w:val="20"/>
        </w:rPr>
        <w:t xml:space="preserve">from the </w:t>
      </w:r>
      <w:r w:rsidR="00843E89" w:rsidRPr="00907400">
        <w:rPr>
          <w:rFonts w:asciiTheme="majorHAnsi" w:hAnsiTheme="majorHAnsi"/>
          <w:sz w:val="20"/>
          <w:szCs w:val="20"/>
        </w:rPr>
        <w:t xml:space="preserve">moment </w:t>
      </w:r>
      <w:r w:rsidR="00900B26" w:rsidRPr="00907400">
        <w:rPr>
          <w:rFonts w:asciiTheme="majorHAnsi" w:hAnsiTheme="majorHAnsi"/>
          <w:sz w:val="20"/>
          <w:szCs w:val="20"/>
        </w:rPr>
        <w:t>a person is accused of being</w:t>
      </w:r>
      <w:r w:rsidR="00843E89" w:rsidRPr="00907400">
        <w:rPr>
          <w:rFonts w:asciiTheme="majorHAnsi" w:hAnsiTheme="majorHAnsi"/>
          <w:sz w:val="20"/>
          <w:szCs w:val="20"/>
        </w:rPr>
        <w:t xml:space="preserve"> </w:t>
      </w:r>
      <w:r w:rsidRPr="00907400">
        <w:rPr>
          <w:rFonts w:asciiTheme="majorHAnsi" w:hAnsiTheme="majorHAnsi"/>
          <w:sz w:val="20"/>
          <w:szCs w:val="20"/>
        </w:rPr>
        <w:t xml:space="preserve">a possible perpetrator or participant of a </w:t>
      </w:r>
      <w:r w:rsidR="00843E89" w:rsidRPr="00907400">
        <w:rPr>
          <w:rFonts w:asciiTheme="majorHAnsi" w:hAnsiTheme="majorHAnsi"/>
          <w:sz w:val="20"/>
          <w:szCs w:val="20"/>
        </w:rPr>
        <w:t>illegal</w:t>
      </w:r>
      <w:r w:rsidRPr="00907400">
        <w:rPr>
          <w:rFonts w:asciiTheme="majorHAnsi" w:hAnsiTheme="majorHAnsi"/>
          <w:sz w:val="20"/>
          <w:szCs w:val="20"/>
        </w:rPr>
        <w:t xml:space="preserve"> act and</w:t>
      </w:r>
      <w:r w:rsidR="00843E89" w:rsidRPr="00907400">
        <w:rPr>
          <w:rFonts w:asciiTheme="majorHAnsi" w:hAnsiTheme="majorHAnsi"/>
          <w:sz w:val="20"/>
          <w:szCs w:val="20"/>
        </w:rPr>
        <w:t xml:space="preserve"> </w:t>
      </w:r>
      <w:r w:rsidR="00000BC6" w:rsidRPr="00907400">
        <w:rPr>
          <w:rFonts w:asciiTheme="majorHAnsi" w:hAnsiTheme="majorHAnsi"/>
          <w:sz w:val="20"/>
          <w:szCs w:val="20"/>
        </w:rPr>
        <w:t xml:space="preserve">that it </w:t>
      </w:r>
      <w:r w:rsidR="00843E89" w:rsidRPr="00907400">
        <w:rPr>
          <w:rFonts w:asciiTheme="majorHAnsi" w:hAnsiTheme="majorHAnsi"/>
          <w:sz w:val="20"/>
          <w:szCs w:val="20"/>
        </w:rPr>
        <w:t xml:space="preserve">only ends when </w:t>
      </w:r>
      <w:r w:rsidR="00000BC6" w:rsidRPr="00907400">
        <w:rPr>
          <w:rFonts w:asciiTheme="majorHAnsi" w:hAnsiTheme="majorHAnsi"/>
          <w:sz w:val="20"/>
          <w:szCs w:val="20"/>
        </w:rPr>
        <w:t>the proceedings are finished</w:t>
      </w:r>
      <w:r w:rsidRPr="00907400">
        <w:rPr>
          <w:rFonts w:asciiTheme="majorHAnsi" w:hAnsiTheme="majorHAnsi"/>
          <w:sz w:val="20"/>
          <w:szCs w:val="20"/>
        </w:rPr>
        <w:t>.</w:t>
      </w:r>
      <w:r w:rsidR="00572CFB" w:rsidRPr="00907400">
        <w:rPr>
          <w:rStyle w:val="FootnoteReference"/>
          <w:rFonts w:asciiTheme="majorHAnsi" w:hAnsiTheme="majorHAnsi"/>
          <w:sz w:val="20"/>
          <w:szCs w:val="20"/>
        </w:rPr>
        <w:footnoteReference w:id="93"/>
      </w:r>
    </w:p>
    <w:p w14:paraId="0957AF84"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3F50E5C" w14:textId="77777777" w:rsidR="00421DAD"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Specifically</w:t>
      </w:r>
      <w:r w:rsidR="0020069E" w:rsidRPr="00907400">
        <w:rPr>
          <w:rFonts w:asciiTheme="majorHAnsi" w:hAnsiTheme="majorHAnsi"/>
          <w:sz w:val="20"/>
          <w:szCs w:val="20"/>
        </w:rPr>
        <w:t>,</w:t>
      </w:r>
      <w:r w:rsidRPr="00907400">
        <w:rPr>
          <w:rFonts w:asciiTheme="majorHAnsi" w:hAnsiTheme="majorHAnsi"/>
          <w:sz w:val="20"/>
          <w:szCs w:val="20"/>
        </w:rPr>
        <w:t xml:space="preserve"> regarding the guar</w:t>
      </w:r>
      <w:r w:rsidR="003623A6" w:rsidRPr="00907400">
        <w:rPr>
          <w:rFonts w:asciiTheme="majorHAnsi" w:hAnsiTheme="majorHAnsi"/>
          <w:sz w:val="20"/>
          <w:szCs w:val="20"/>
        </w:rPr>
        <w:t>antee enshrined in Article 8.2.b</w:t>
      </w:r>
      <w:r w:rsidRPr="00907400">
        <w:rPr>
          <w:rFonts w:asciiTheme="majorHAnsi" w:hAnsiTheme="majorHAnsi"/>
          <w:sz w:val="20"/>
          <w:szCs w:val="20"/>
        </w:rPr>
        <w:t xml:space="preserve"> of the American Convention, the Court has established that in order to </w:t>
      </w:r>
      <w:r w:rsidR="0020069E" w:rsidRPr="00907400">
        <w:rPr>
          <w:rFonts w:asciiTheme="majorHAnsi" w:hAnsiTheme="majorHAnsi"/>
          <w:sz w:val="20"/>
          <w:szCs w:val="20"/>
        </w:rPr>
        <w:t>be satisfied</w:t>
      </w:r>
      <w:r w:rsidRPr="00907400">
        <w:rPr>
          <w:rFonts w:asciiTheme="majorHAnsi" w:hAnsiTheme="majorHAnsi"/>
          <w:sz w:val="20"/>
          <w:szCs w:val="20"/>
        </w:rPr>
        <w:t>:</w:t>
      </w:r>
    </w:p>
    <w:p w14:paraId="6B3483C3" w14:textId="77777777" w:rsidR="00ED6F2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8AFAD59" w14:textId="77777777" w:rsidR="007A744E" w:rsidRDefault="00421DAD"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 the State must </w:t>
      </w:r>
      <w:r w:rsidR="00560443" w:rsidRPr="00907400">
        <w:rPr>
          <w:rFonts w:asciiTheme="majorHAnsi" w:hAnsiTheme="majorHAnsi"/>
          <w:sz w:val="20"/>
          <w:szCs w:val="20"/>
        </w:rPr>
        <w:t>notify the accused on only of the charges against him, that is, the crimes of offenses he is charged with, but also the reasons for them, and the evidence for such charges and the legal definition of the facts.</w:t>
      </w:r>
      <w:r w:rsidR="00D4692B" w:rsidRPr="00907400">
        <w:rPr>
          <w:rFonts w:asciiTheme="majorHAnsi" w:hAnsiTheme="majorHAnsi"/>
          <w:sz w:val="20"/>
          <w:szCs w:val="20"/>
        </w:rPr>
        <w:t xml:space="preserve">  The defendant has the right to know, through a clear, detailed and precise description, all the information of the facts in order to fully exercise his right to defense and prove to the judge his version of the facts </w:t>
      </w:r>
      <w:r w:rsidRPr="00907400">
        <w:rPr>
          <w:rFonts w:asciiTheme="majorHAnsi" w:hAnsiTheme="majorHAnsi"/>
          <w:sz w:val="20"/>
          <w:szCs w:val="20"/>
        </w:rPr>
        <w:t>(...)</w:t>
      </w:r>
      <w:r w:rsidR="00D4692B" w:rsidRPr="00907400">
        <w:rPr>
          <w:rFonts w:asciiTheme="majorHAnsi" w:hAnsiTheme="majorHAnsi"/>
          <w:sz w:val="20"/>
          <w:szCs w:val="20"/>
        </w:rPr>
        <w:t xml:space="preserve"> timely compliance with Article 8(</w:t>
      </w:r>
      <w:r w:rsidRPr="00907400">
        <w:rPr>
          <w:rFonts w:asciiTheme="majorHAnsi" w:hAnsiTheme="majorHAnsi"/>
          <w:sz w:val="20"/>
          <w:szCs w:val="20"/>
        </w:rPr>
        <w:t>2</w:t>
      </w:r>
      <w:r w:rsidR="00D4692B" w:rsidRPr="00907400">
        <w:rPr>
          <w:rFonts w:asciiTheme="majorHAnsi" w:hAnsiTheme="majorHAnsi"/>
          <w:sz w:val="20"/>
          <w:szCs w:val="20"/>
        </w:rPr>
        <w:t>)(</w:t>
      </w:r>
      <w:r w:rsidRPr="00907400">
        <w:rPr>
          <w:rFonts w:asciiTheme="majorHAnsi" w:hAnsiTheme="majorHAnsi"/>
          <w:sz w:val="20"/>
          <w:szCs w:val="20"/>
        </w:rPr>
        <w:t>b</w:t>
      </w:r>
      <w:r w:rsidR="00D4692B" w:rsidRPr="00907400">
        <w:rPr>
          <w:rFonts w:asciiTheme="majorHAnsi" w:hAnsiTheme="majorHAnsi"/>
          <w:sz w:val="20"/>
          <w:szCs w:val="20"/>
        </w:rPr>
        <w:t>)</w:t>
      </w:r>
      <w:r w:rsidRPr="00907400">
        <w:rPr>
          <w:rFonts w:asciiTheme="majorHAnsi" w:hAnsiTheme="majorHAnsi"/>
          <w:sz w:val="20"/>
          <w:szCs w:val="20"/>
        </w:rPr>
        <w:t xml:space="preserve"> is essential for the </w:t>
      </w:r>
      <w:r w:rsidR="00D4692B" w:rsidRPr="00907400">
        <w:rPr>
          <w:rFonts w:asciiTheme="majorHAnsi" w:hAnsiTheme="majorHAnsi"/>
          <w:sz w:val="20"/>
          <w:szCs w:val="20"/>
        </w:rPr>
        <w:t>effective exercise</w:t>
      </w:r>
      <w:r w:rsidRPr="00907400">
        <w:rPr>
          <w:rFonts w:asciiTheme="majorHAnsi" w:hAnsiTheme="majorHAnsi"/>
          <w:sz w:val="20"/>
          <w:szCs w:val="20"/>
        </w:rPr>
        <w:t xml:space="preserve"> of the right to defense.</w:t>
      </w:r>
      <w:r w:rsidR="00572CFB" w:rsidRPr="00907400">
        <w:rPr>
          <w:rStyle w:val="FootnoteReference"/>
          <w:rFonts w:asciiTheme="majorHAnsi" w:hAnsiTheme="majorHAnsi"/>
          <w:sz w:val="20"/>
          <w:szCs w:val="20"/>
        </w:rPr>
        <w:t xml:space="preserve"> </w:t>
      </w:r>
      <w:r w:rsidR="00572CFB" w:rsidRPr="00907400">
        <w:rPr>
          <w:rStyle w:val="FootnoteReference"/>
          <w:rFonts w:asciiTheme="majorHAnsi" w:hAnsiTheme="majorHAnsi"/>
          <w:sz w:val="20"/>
          <w:szCs w:val="20"/>
        </w:rPr>
        <w:footnoteReference w:id="94"/>
      </w:r>
    </w:p>
    <w:p w14:paraId="669A238B" w14:textId="77777777" w:rsidR="00ED6F20" w:rsidRPr="0090740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2528122" w14:textId="77777777" w:rsidR="00421DAD"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 Regarding strict compliance with this guarantee from the moment a person is considered </w:t>
      </w:r>
      <w:r w:rsidR="003623A6" w:rsidRPr="00907400">
        <w:rPr>
          <w:rFonts w:asciiTheme="majorHAnsi" w:hAnsiTheme="majorHAnsi"/>
          <w:sz w:val="20"/>
          <w:szCs w:val="20"/>
        </w:rPr>
        <w:t xml:space="preserve">to be under suspicion </w:t>
      </w:r>
      <w:r w:rsidRPr="00907400">
        <w:rPr>
          <w:rFonts w:asciiTheme="majorHAnsi" w:hAnsiTheme="majorHAnsi"/>
          <w:sz w:val="20"/>
          <w:szCs w:val="20"/>
        </w:rPr>
        <w:t>of having committed a crime, the Inter-American Court has indicated that:</w:t>
      </w:r>
    </w:p>
    <w:p w14:paraId="7230D5EE" w14:textId="77777777" w:rsidR="00ED6F2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68C10D5" w14:textId="77777777" w:rsidR="00421DAD" w:rsidRPr="00907400" w:rsidRDefault="00802E13"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The</w:t>
      </w:r>
      <w:r w:rsidR="00421DAD" w:rsidRPr="00907400">
        <w:rPr>
          <w:rFonts w:asciiTheme="majorHAnsi" w:hAnsiTheme="majorHAnsi"/>
          <w:sz w:val="20"/>
          <w:szCs w:val="20"/>
        </w:rPr>
        <w:t xml:space="preserve"> opposite would imply </w:t>
      </w:r>
      <w:r w:rsidRPr="00907400">
        <w:rPr>
          <w:rFonts w:asciiTheme="majorHAnsi" w:hAnsiTheme="majorHAnsi"/>
          <w:sz w:val="20"/>
          <w:szCs w:val="20"/>
        </w:rPr>
        <w:t>to subordinate the</w:t>
      </w:r>
      <w:r w:rsidR="00421DAD" w:rsidRPr="00907400">
        <w:rPr>
          <w:rFonts w:asciiTheme="majorHAnsi" w:hAnsiTheme="majorHAnsi"/>
          <w:sz w:val="20"/>
          <w:szCs w:val="20"/>
        </w:rPr>
        <w:t xml:space="preserve"> conventional guarantees that protect the right </w:t>
      </w:r>
      <w:r w:rsidRPr="00907400">
        <w:rPr>
          <w:rFonts w:asciiTheme="majorHAnsi" w:hAnsiTheme="majorHAnsi"/>
          <w:sz w:val="20"/>
          <w:szCs w:val="20"/>
        </w:rPr>
        <w:t>to defense, including Article 8(2)(b), to that the person under investigation finds, at certain procedural [sic] allowing the possibility that, previously, part of his rights be violated by acts of the authority that he disregards or which he cannot control or effectively object to, which is evidently contrary to the Convention.   In fact, to prevent a person from exercising his right to defense from the moment the investigation begins and the authority in charge orders or executes actions entailing an infringement of rights is to magnify the investigative powers of the State to the detriment of the fundamental rights of the person under investigation.</w:t>
      </w:r>
      <w:r w:rsidR="00572CFB" w:rsidRPr="00907400">
        <w:rPr>
          <w:rStyle w:val="FootnoteReference"/>
          <w:rFonts w:asciiTheme="majorHAnsi" w:eastAsia="MS Mincho" w:hAnsiTheme="majorHAnsi"/>
          <w:sz w:val="20"/>
          <w:szCs w:val="20"/>
        </w:rPr>
        <w:t xml:space="preserve"> </w:t>
      </w:r>
      <w:r w:rsidR="00572CFB" w:rsidRPr="00907400">
        <w:rPr>
          <w:rStyle w:val="FootnoteReference"/>
          <w:rFonts w:asciiTheme="majorHAnsi" w:eastAsia="MS Mincho" w:hAnsiTheme="majorHAnsi"/>
          <w:sz w:val="20"/>
          <w:szCs w:val="20"/>
        </w:rPr>
        <w:footnoteReference w:id="95"/>
      </w:r>
    </w:p>
    <w:p w14:paraId="566EA181"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D36C1CE" w14:textId="77777777" w:rsidR="00421DAD" w:rsidRPr="00907400" w:rsidRDefault="00421D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present case, it is not </w:t>
      </w:r>
      <w:r w:rsidR="003623A6" w:rsidRPr="00907400">
        <w:rPr>
          <w:rFonts w:asciiTheme="majorHAnsi" w:hAnsiTheme="majorHAnsi"/>
          <w:sz w:val="20"/>
          <w:szCs w:val="20"/>
        </w:rPr>
        <w:t>disputed</w:t>
      </w:r>
      <w:r w:rsidRPr="00907400">
        <w:rPr>
          <w:rFonts w:asciiTheme="majorHAnsi" w:hAnsiTheme="majorHAnsi"/>
          <w:sz w:val="20"/>
          <w:szCs w:val="20"/>
        </w:rPr>
        <w:t xml:space="preserve"> that Mr. Sastoque Alfonso </w:t>
      </w:r>
      <w:r w:rsidR="003623A6" w:rsidRPr="00907400">
        <w:rPr>
          <w:rFonts w:asciiTheme="majorHAnsi" w:hAnsiTheme="majorHAnsi"/>
          <w:sz w:val="20"/>
          <w:szCs w:val="20"/>
        </w:rPr>
        <w:t>became</w:t>
      </w:r>
      <w:r w:rsidRPr="00907400">
        <w:rPr>
          <w:rFonts w:asciiTheme="majorHAnsi" w:hAnsiTheme="majorHAnsi"/>
          <w:sz w:val="20"/>
          <w:szCs w:val="20"/>
        </w:rPr>
        <w:t xml:space="preserve"> aware for the first time that he was a suspect in the murder of Mr. Pizarro, in the context of his detention on March 8, 1995. However, from the sequence </w:t>
      </w:r>
      <w:r w:rsidR="003623A6" w:rsidRPr="00907400">
        <w:rPr>
          <w:rFonts w:asciiTheme="majorHAnsi" w:hAnsiTheme="majorHAnsi"/>
          <w:sz w:val="20"/>
          <w:szCs w:val="20"/>
        </w:rPr>
        <w:t xml:space="preserve">of events </w:t>
      </w:r>
      <w:r w:rsidRPr="00907400">
        <w:rPr>
          <w:rFonts w:asciiTheme="majorHAnsi" w:hAnsiTheme="majorHAnsi"/>
          <w:sz w:val="20"/>
          <w:szCs w:val="20"/>
        </w:rPr>
        <w:t xml:space="preserve">described in the findings of fact, it is clear that the investigative authorities already </w:t>
      </w:r>
      <w:r w:rsidR="003623A6" w:rsidRPr="00907400">
        <w:rPr>
          <w:rFonts w:asciiTheme="majorHAnsi" w:hAnsiTheme="majorHAnsi"/>
          <w:sz w:val="20"/>
          <w:szCs w:val="20"/>
        </w:rPr>
        <w:t>considered him</w:t>
      </w:r>
      <w:r w:rsidRPr="00907400">
        <w:rPr>
          <w:rFonts w:asciiTheme="majorHAnsi" w:hAnsiTheme="majorHAnsi"/>
          <w:sz w:val="20"/>
          <w:szCs w:val="20"/>
        </w:rPr>
        <w:t xml:space="preserve"> a suspect </w:t>
      </w:r>
      <w:r w:rsidR="003623A6" w:rsidRPr="00907400">
        <w:rPr>
          <w:rFonts w:asciiTheme="majorHAnsi" w:hAnsiTheme="majorHAnsi"/>
          <w:sz w:val="20"/>
          <w:szCs w:val="20"/>
        </w:rPr>
        <w:t>days before</w:t>
      </w:r>
      <w:r w:rsidRPr="00907400">
        <w:rPr>
          <w:rFonts w:asciiTheme="majorHAnsi" w:hAnsiTheme="majorHAnsi"/>
          <w:sz w:val="20"/>
          <w:szCs w:val="20"/>
        </w:rPr>
        <w:t xml:space="preserve"> and that statements were received from witnesses who referred to Mr. Sastoque Afonso, as well as other </w:t>
      </w:r>
      <w:r w:rsidR="003623A6" w:rsidRPr="00907400">
        <w:rPr>
          <w:rFonts w:asciiTheme="majorHAnsi" w:hAnsiTheme="majorHAnsi"/>
          <w:sz w:val="20"/>
          <w:szCs w:val="20"/>
        </w:rPr>
        <w:t>procedural steps</w:t>
      </w:r>
      <w:r w:rsidRPr="00907400">
        <w:rPr>
          <w:rFonts w:asciiTheme="majorHAnsi" w:hAnsiTheme="majorHAnsi"/>
          <w:sz w:val="20"/>
          <w:szCs w:val="20"/>
        </w:rPr>
        <w:t xml:space="preserve"> such as </w:t>
      </w:r>
      <w:r w:rsidR="003623A6" w:rsidRPr="00907400">
        <w:rPr>
          <w:rFonts w:asciiTheme="majorHAnsi" w:hAnsiTheme="majorHAnsi"/>
          <w:sz w:val="20"/>
          <w:szCs w:val="20"/>
        </w:rPr>
        <w:t>photo recognition</w:t>
      </w:r>
      <w:r w:rsidRPr="00907400">
        <w:rPr>
          <w:rFonts w:asciiTheme="majorHAnsi" w:hAnsiTheme="majorHAnsi"/>
          <w:sz w:val="20"/>
          <w:szCs w:val="20"/>
        </w:rPr>
        <w:t xml:space="preserve"> in wh</w:t>
      </w:r>
      <w:r w:rsidR="003623A6" w:rsidRPr="00907400">
        <w:rPr>
          <w:rFonts w:asciiTheme="majorHAnsi" w:hAnsiTheme="majorHAnsi"/>
          <w:sz w:val="20"/>
          <w:szCs w:val="20"/>
        </w:rPr>
        <w:t>ich he was allegedly identified</w:t>
      </w:r>
      <w:r w:rsidRPr="00907400">
        <w:rPr>
          <w:rFonts w:asciiTheme="majorHAnsi" w:hAnsiTheme="majorHAnsi"/>
          <w:sz w:val="20"/>
          <w:szCs w:val="20"/>
        </w:rPr>
        <w:t xml:space="preserve">. These </w:t>
      </w:r>
      <w:r w:rsidR="003623A6" w:rsidRPr="00907400">
        <w:rPr>
          <w:rFonts w:asciiTheme="majorHAnsi" w:hAnsiTheme="majorHAnsi"/>
          <w:sz w:val="20"/>
          <w:szCs w:val="20"/>
        </w:rPr>
        <w:t>steps relating</w:t>
      </w:r>
      <w:r w:rsidRPr="00907400">
        <w:rPr>
          <w:rFonts w:asciiTheme="majorHAnsi" w:hAnsiTheme="majorHAnsi"/>
          <w:sz w:val="20"/>
          <w:szCs w:val="20"/>
        </w:rPr>
        <w:t xml:space="preserve"> to his alleged participation in the crime </w:t>
      </w:r>
      <w:r w:rsidR="003623A6" w:rsidRPr="00907400">
        <w:rPr>
          <w:rFonts w:asciiTheme="majorHAnsi" w:hAnsiTheme="majorHAnsi"/>
          <w:sz w:val="20"/>
          <w:szCs w:val="20"/>
        </w:rPr>
        <w:t>under investigation</w:t>
      </w:r>
      <w:r w:rsidRPr="00907400">
        <w:rPr>
          <w:rFonts w:asciiTheme="majorHAnsi" w:hAnsiTheme="majorHAnsi"/>
          <w:sz w:val="20"/>
          <w:szCs w:val="20"/>
        </w:rPr>
        <w:t xml:space="preserve"> were carried out without Mr. Sastoque knowing that he was a suspect or, consequently, having the opportunity to defend himself in these i</w:t>
      </w:r>
      <w:r w:rsidR="006C4D51" w:rsidRPr="00907400">
        <w:rPr>
          <w:rFonts w:asciiTheme="majorHAnsi" w:hAnsiTheme="majorHAnsi"/>
          <w:sz w:val="20"/>
          <w:szCs w:val="20"/>
        </w:rPr>
        <w:t>nitial investigative steps</w:t>
      </w:r>
      <w:r w:rsidRPr="00907400">
        <w:rPr>
          <w:rFonts w:asciiTheme="majorHAnsi" w:hAnsiTheme="majorHAnsi"/>
          <w:sz w:val="20"/>
          <w:szCs w:val="20"/>
        </w:rPr>
        <w:t>.</w:t>
      </w:r>
    </w:p>
    <w:p w14:paraId="68B5E3E9"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4F54706" w14:textId="77777777" w:rsidR="00421DAD" w:rsidRPr="0090740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Based on the foregoing, the Commission concludes that the Colombian State is responsible for the violation of the r</w:t>
      </w:r>
      <w:r w:rsidR="00036E91" w:rsidRPr="00907400">
        <w:rPr>
          <w:rFonts w:asciiTheme="majorHAnsi" w:hAnsiTheme="majorHAnsi"/>
          <w:sz w:val="20"/>
          <w:szCs w:val="20"/>
        </w:rPr>
        <w:t>ight established in Article 8.2.b</w:t>
      </w:r>
      <w:r w:rsidRPr="00907400">
        <w:rPr>
          <w:rFonts w:asciiTheme="majorHAnsi" w:hAnsiTheme="majorHAnsi"/>
          <w:sz w:val="20"/>
          <w:szCs w:val="20"/>
        </w:rPr>
        <w:t xml:space="preserve"> of the American Convention, in relation to the obligations established in Article 1.1 of the same instrument, to the detriment of Gustavo Sastoque Alfonso.</w:t>
      </w:r>
    </w:p>
    <w:p w14:paraId="70B281CD" w14:textId="77777777" w:rsidR="00421DAD" w:rsidRPr="00907400" w:rsidRDefault="00421DAD"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B2A8066" w14:textId="77777777" w:rsidR="000A4C42" w:rsidRPr="00DB6B7E" w:rsidRDefault="00C956F7" w:rsidP="00DB6B7E">
      <w:pPr>
        <w:pStyle w:val="Heading3"/>
        <w:spacing w:before="0"/>
        <w:ind w:firstLine="720"/>
        <w:rPr>
          <w:color w:val="auto"/>
          <w:sz w:val="20"/>
          <w:szCs w:val="20"/>
        </w:rPr>
      </w:pPr>
      <w:bookmarkStart w:id="17" w:name="_Toc513023535"/>
      <w:bookmarkStart w:id="18" w:name="_Toc211249803"/>
      <w:r>
        <w:rPr>
          <w:color w:val="auto"/>
          <w:sz w:val="20"/>
          <w:szCs w:val="20"/>
        </w:rPr>
        <w:t>3.</w:t>
      </w:r>
      <w:r>
        <w:rPr>
          <w:color w:val="auto"/>
          <w:sz w:val="20"/>
          <w:szCs w:val="20"/>
        </w:rPr>
        <w:tab/>
        <w:t>Right to</w:t>
      </w:r>
      <w:r w:rsidR="000A4C42" w:rsidRPr="00DB6B7E">
        <w:rPr>
          <w:color w:val="auto"/>
          <w:sz w:val="20"/>
          <w:szCs w:val="20"/>
        </w:rPr>
        <w:t xml:space="preserve"> Defense and to Question Witnesses</w:t>
      </w:r>
      <w:bookmarkEnd w:id="17"/>
      <w:bookmarkEnd w:id="18"/>
    </w:p>
    <w:p w14:paraId="788C8452" w14:textId="77777777" w:rsidR="000A4C42" w:rsidRPr="00907400" w:rsidRDefault="000A4C42"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1BD31A1" w14:textId="77777777" w:rsidR="000A4C42" w:rsidRPr="00ED6F2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lastRenderedPageBreak/>
        <w:t>The Commission has indicated that the right to judicial guarantees includes the right to have adequa</w:t>
      </w:r>
      <w:r w:rsidR="001A0337" w:rsidRPr="00907400">
        <w:rPr>
          <w:rFonts w:asciiTheme="majorHAnsi" w:hAnsiTheme="majorHAnsi"/>
          <w:sz w:val="20"/>
          <w:szCs w:val="20"/>
        </w:rPr>
        <w:t>te time and means to prepare a</w:t>
      </w:r>
      <w:r w:rsidRPr="00907400">
        <w:rPr>
          <w:rFonts w:asciiTheme="majorHAnsi" w:hAnsiTheme="majorHAnsi"/>
          <w:sz w:val="20"/>
          <w:szCs w:val="20"/>
        </w:rPr>
        <w:t xml:space="preserve"> defense, which is established in</w:t>
      </w:r>
      <w:r w:rsidR="001A0337" w:rsidRPr="00907400">
        <w:rPr>
          <w:rFonts w:asciiTheme="majorHAnsi" w:hAnsiTheme="majorHAnsi"/>
          <w:sz w:val="20"/>
          <w:szCs w:val="20"/>
        </w:rPr>
        <w:t xml:space="preserve"> general terms in Article 8.2.c</w:t>
      </w:r>
      <w:r w:rsidRPr="00907400">
        <w:rPr>
          <w:rFonts w:asciiTheme="majorHAnsi" w:hAnsiTheme="majorHAnsi"/>
          <w:sz w:val="20"/>
          <w:szCs w:val="20"/>
        </w:rPr>
        <w:t xml:space="preserve"> of the Convention.</w:t>
      </w:r>
      <w:r w:rsidR="001366E0" w:rsidRPr="00907400">
        <w:rPr>
          <w:rStyle w:val="FootnoteReference"/>
          <w:rFonts w:asciiTheme="majorHAnsi" w:hAnsiTheme="majorHAnsi" w:cs="TimesNewRoman"/>
          <w:sz w:val="20"/>
          <w:szCs w:val="20"/>
          <w:lang w:eastAsia="es-ES_tradnl"/>
        </w:rPr>
        <w:t xml:space="preserve"> </w:t>
      </w:r>
      <w:r w:rsidR="001366E0" w:rsidRPr="00907400">
        <w:rPr>
          <w:rStyle w:val="FootnoteReference"/>
          <w:rFonts w:asciiTheme="majorHAnsi" w:hAnsiTheme="majorHAnsi" w:cs="TimesNewRoman"/>
          <w:sz w:val="20"/>
          <w:szCs w:val="20"/>
          <w:lang w:eastAsia="es-ES_tradnl"/>
        </w:rPr>
        <w:footnoteReference w:id="96"/>
      </w:r>
    </w:p>
    <w:p w14:paraId="1225C070"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D543F16" w14:textId="77777777" w:rsidR="000A4C42"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Likewise, one of the </w:t>
      </w:r>
      <w:r w:rsidR="00934AEA" w:rsidRPr="00907400">
        <w:rPr>
          <w:rFonts w:asciiTheme="majorHAnsi" w:hAnsiTheme="majorHAnsi"/>
          <w:sz w:val="20"/>
          <w:szCs w:val="20"/>
        </w:rPr>
        <w:t>specific</w:t>
      </w:r>
      <w:r w:rsidRPr="00907400">
        <w:rPr>
          <w:rFonts w:asciiTheme="majorHAnsi" w:hAnsiTheme="majorHAnsi"/>
          <w:sz w:val="20"/>
          <w:szCs w:val="20"/>
        </w:rPr>
        <w:t xml:space="preserve"> manifestations of this right is </w:t>
      </w:r>
      <w:r w:rsidR="00934AEA" w:rsidRPr="00907400">
        <w:rPr>
          <w:rFonts w:asciiTheme="majorHAnsi" w:hAnsiTheme="majorHAnsi"/>
          <w:sz w:val="20"/>
          <w:szCs w:val="20"/>
        </w:rPr>
        <w:t>set out in Article 8.2.f of the Convention, relating</w:t>
      </w:r>
      <w:r w:rsidRPr="00907400">
        <w:rPr>
          <w:rFonts w:asciiTheme="majorHAnsi" w:hAnsiTheme="majorHAnsi"/>
          <w:sz w:val="20"/>
          <w:szCs w:val="20"/>
        </w:rPr>
        <w:t xml:space="preserve"> to the right of the defense to question witnesses present in court and to </w:t>
      </w:r>
      <w:r w:rsidR="00934AEA" w:rsidRPr="00907400">
        <w:rPr>
          <w:rFonts w:asciiTheme="majorHAnsi" w:hAnsiTheme="majorHAnsi"/>
          <w:sz w:val="20"/>
          <w:szCs w:val="20"/>
        </w:rPr>
        <w:t>compel</w:t>
      </w:r>
      <w:r w:rsidRPr="00907400">
        <w:rPr>
          <w:rFonts w:asciiTheme="majorHAnsi" w:hAnsiTheme="majorHAnsi"/>
          <w:sz w:val="20"/>
          <w:szCs w:val="20"/>
        </w:rPr>
        <w:t xml:space="preserve"> the appearance, as witnesses or experts, other </w:t>
      </w:r>
      <w:r w:rsidR="00934AEA" w:rsidRPr="00907400">
        <w:rPr>
          <w:rFonts w:asciiTheme="majorHAnsi" w:hAnsiTheme="majorHAnsi"/>
          <w:sz w:val="20"/>
          <w:szCs w:val="20"/>
        </w:rPr>
        <w:t>individuals</w:t>
      </w:r>
      <w:r w:rsidRPr="00907400">
        <w:rPr>
          <w:rFonts w:asciiTheme="majorHAnsi" w:hAnsiTheme="majorHAnsi"/>
          <w:sz w:val="20"/>
          <w:szCs w:val="20"/>
        </w:rPr>
        <w:t xml:space="preserve"> who c</w:t>
      </w:r>
      <w:r w:rsidR="00934AEA" w:rsidRPr="00907400">
        <w:rPr>
          <w:rFonts w:asciiTheme="majorHAnsi" w:hAnsiTheme="majorHAnsi"/>
          <w:sz w:val="20"/>
          <w:szCs w:val="20"/>
        </w:rPr>
        <w:t>an shed light on the events</w:t>
      </w:r>
      <w:r w:rsidRPr="00907400">
        <w:rPr>
          <w:rFonts w:asciiTheme="majorHAnsi" w:hAnsiTheme="majorHAnsi"/>
          <w:sz w:val="20"/>
          <w:szCs w:val="20"/>
        </w:rPr>
        <w:t xml:space="preserve">. The IACHR has emphasized that the guarantee </w:t>
      </w:r>
      <w:r w:rsidR="00934AEA" w:rsidRPr="00907400">
        <w:rPr>
          <w:rFonts w:asciiTheme="majorHAnsi" w:hAnsiTheme="majorHAnsi"/>
          <w:sz w:val="20"/>
          <w:szCs w:val="20"/>
        </w:rPr>
        <w:t>enshrined in this</w:t>
      </w:r>
      <w:r w:rsidRPr="00907400">
        <w:rPr>
          <w:rFonts w:asciiTheme="majorHAnsi" w:hAnsiTheme="majorHAnsi"/>
          <w:sz w:val="20"/>
          <w:szCs w:val="20"/>
        </w:rPr>
        <w:t xml:space="preserve"> article constitutes one of the </w:t>
      </w:r>
      <w:r w:rsidR="00934AEA" w:rsidRPr="00907400">
        <w:rPr>
          <w:rFonts w:asciiTheme="majorHAnsi" w:hAnsiTheme="majorHAnsi"/>
          <w:sz w:val="20"/>
          <w:szCs w:val="20"/>
        </w:rPr>
        <w:t>basic</w:t>
      </w:r>
      <w:r w:rsidRPr="00907400">
        <w:rPr>
          <w:rFonts w:asciiTheme="majorHAnsi" w:hAnsiTheme="majorHAnsi"/>
          <w:sz w:val="20"/>
          <w:szCs w:val="20"/>
        </w:rPr>
        <w:t xml:space="preserve"> guarantees to which </w:t>
      </w:r>
      <w:r w:rsidR="00934AEA" w:rsidRPr="00907400">
        <w:rPr>
          <w:rFonts w:asciiTheme="majorHAnsi" w:hAnsiTheme="majorHAnsi"/>
          <w:sz w:val="20"/>
          <w:szCs w:val="20"/>
        </w:rPr>
        <w:t xml:space="preserve">all persons are </w:t>
      </w:r>
      <w:r w:rsidRPr="00907400">
        <w:rPr>
          <w:rFonts w:asciiTheme="majorHAnsi" w:hAnsiTheme="majorHAnsi"/>
          <w:sz w:val="20"/>
          <w:szCs w:val="20"/>
        </w:rPr>
        <w:t xml:space="preserve">entitled, </w:t>
      </w:r>
      <w:r w:rsidR="00934AEA" w:rsidRPr="00907400">
        <w:rPr>
          <w:rFonts w:asciiTheme="majorHAnsi" w:hAnsiTheme="majorHAnsi"/>
          <w:sz w:val="20"/>
          <w:szCs w:val="20"/>
        </w:rPr>
        <w:t>with full equality</w:t>
      </w:r>
      <w:r w:rsidRPr="00907400">
        <w:rPr>
          <w:rFonts w:asciiTheme="majorHAnsi" w:hAnsiTheme="majorHAnsi"/>
          <w:sz w:val="20"/>
          <w:szCs w:val="20"/>
        </w:rPr>
        <w:t xml:space="preserve">, </w:t>
      </w:r>
      <w:r w:rsidR="00934AEA" w:rsidRPr="00907400">
        <w:rPr>
          <w:rFonts w:asciiTheme="majorHAnsi" w:hAnsiTheme="majorHAnsi"/>
          <w:sz w:val="20"/>
          <w:szCs w:val="20"/>
        </w:rPr>
        <w:t>in</w:t>
      </w:r>
      <w:r w:rsidRPr="00907400">
        <w:rPr>
          <w:rFonts w:asciiTheme="majorHAnsi" w:hAnsiTheme="majorHAnsi"/>
          <w:sz w:val="20"/>
          <w:szCs w:val="20"/>
        </w:rPr>
        <w:t xml:space="preserve"> any criminal </w:t>
      </w:r>
      <w:r w:rsidR="00934AEA" w:rsidRPr="00907400">
        <w:rPr>
          <w:rFonts w:asciiTheme="majorHAnsi" w:hAnsiTheme="majorHAnsi"/>
          <w:sz w:val="20"/>
          <w:szCs w:val="20"/>
        </w:rPr>
        <w:t>case prosecuted against him/her</w:t>
      </w:r>
      <w:r w:rsidRPr="00907400">
        <w:rPr>
          <w:rFonts w:asciiTheme="majorHAnsi" w:hAnsiTheme="majorHAnsi"/>
          <w:sz w:val="20"/>
          <w:szCs w:val="20"/>
        </w:rPr>
        <w:t xml:space="preserve">, as it is directly related to the </w:t>
      </w:r>
      <w:r w:rsidR="00934AEA" w:rsidRPr="00907400">
        <w:rPr>
          <w:rFonts w:asciiTheme="majorHAnsi" w:hAnsiTheme="majorHAnsi"/>
          <w:sz w:val="20"/>
          <w:szCs w:val="20"/>
        </w:rPr>
        <w:t>adequate time and means</w:t>
      </w:r>
      <w:r w:rsidRPr="00907400">
        <w:rPr>
          <w:rFonts w:asciiTheme="majorHAnsi" w:hAnsiTheme="majorHAnsi"/>
          <w:sz w:val="20"/>
          <w:szCs w:val="20"/>
        </w:rPr>
        <w:t xml:space="preserve"> to defend against the charges against him</w:t>
      </w:r>
      <w:r w:rsidR="00934AEA" w:rsidRPr="00907400">
        <w:rPr>
          <w:rFonts w:asciiTheme="majorHAnsi" w:hAnsiTheme="majorHAnsi"/>
          <w:sz w:val="20"/>
          <w:szCs w:val="20"/>
        </w:rPr>
        <w:t>/her, which is essential to ensuring a fair trial</w:t>
      </w:r>
      <w:r w:rsidRPr="00907400">
        <w:rPr>
          <w:rFonts w:asciiTheme="majorHAnsi" w:hAnsiTheme="majorHAnsi"/>
          <w:sz w:val="20"/>
          <w:szCs w:val="20"/>
        </w:rPr>
        <w:t>.</w:t>
      </w:r>
      <w:r w:rsidR="001366E0" w:rsidRPr="00907400">
        <w:rPr>
          <w:rStyle w:val="FootnoteReference"/>
          <w:rFonts w:asciiTheme="majorHAnsi" w:hAnsiTheme="majorHAnsi"/>
          <w:sz w:val="20"/>
          <w:szCs w:val="20"/>
        </w:rPr>
        <w:t xml:space="preserve"> </w:t>
      </w:r>
      <w:r w:rsidR="001366E0" w:rsidRPr="00907400">
        <w:rPr>
          <w:rStyle w:val="FootnoteReference"/>
          <w:rFonts w:asciiTheme="majorHAnsi" w:hAnsiTheme="majorHAnsi"/>
          <w:sz w:val="20"/>
          <w:szCs w:val="20"/>
        </w:rPr>
        <w:footnoteReference w:id="97"/>
      </w:r>
    </w:p>
    <w:p w14:paraId="340503E3"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F72ED96" w14:textId="77777777" w:rsidR="000A4C42"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Specifically, referring to regional justice in Colombia, the IACHR indicated the following in its Third Report on the Human Rights Situation in Colombia:</w:t>
      </w:r>
    </w:p>
    <w:p w14:paraId="37117054"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30F2261" w14:textId="77777777" w:rsidR="000A4C42" w:rsidRPr="00907400" w:rsidRDefault="003B509E"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The defendant is also prevented from carrying out any effective examination of the witnesses against him.  The </w:t>
      </w:r>
      <w:r w:rsidR="00F7077E" w:rsidRPr="00907400">
        <w:rPr>
          <w:rFonts w:asciiTheme="majorHAnsi" w:hAnsiTheme="majorHAnsi"/>
          <w:sz w:val="20"/>
          <w:szCs w:val="20"/>
        </w:rPr>
        <w:t>defendant cannot adequately examine a witness if he does not possess any information regarding the witness’s background or motivations and does not know how the witness obtained information about the facts in question. The ‘faceless’ justice system thus also leads to the violation of Article 8(2)(f) of the American Convention, guaranteeing the right of the defense to examine witnesses</w:t>
      </w:r>
      <w:r w:rsidR="000A4C42" w:rsidRPr="00907400">
        <w:rPr>
          <w:rFonts w:asciiTheme="majorHAnsi" w:hAnsiTheme="majorHAnsi"/>
          <w:sz w:val="20"/>
          <w:szCs w:val="20"/>
        </w:rPr>
        <w:t>.</w:t>
      </w:r>
      <w:r w:rsidR="001366E0" w:rsidRPr="00907400">
        <w:rPr>
          <w:rStyle w:val="FootnoteReference"/>
          <w:rFonts w:asciiTheme="majorHAnsi" w:eastAsia="MS Mincho" w:hAnsiTheme="majorHAnsi" w:cs="Helvetica"/>
          <w:sz w:val="20"/>
          <w:szCs w:val="20"/>
        </w:rPr>
        <w:t xml:space="preserve"> </w:t>
      </w:r>
      <w:r w:rsidR="001366E0" w:rsidRPr="00907400">
        <w:rPr>
          <w:rStyle w:val="FootnoteReference"/>
          <w:rFonts w:asciiTheme="majorHAnsi" w:eastAsia="MS Mincho" w:hAnsiTheme="majorHAnsi" w:cs="Helvetica"/>
          <w:sz w:val="20"/>
          <w:szCs w:val="20"/>
        </w:rPr>
        <w:footnoteReference w:id="98"/>
      </w:r>
    </w:p>
    <w:p w14:paraId="66A6B13D"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3EA4E5F" w14:textId="77777777" w:rsidR="00421DAD" w:rsidRPr="0090740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IACHR has indicated that recourse to secret judicial systems, including recourse to </w:t>
      </w:r>
      <w:r w:rsidR="00FA6071" w:rsidRPr="00907400">
        <w:rPr>
          <w:rFonts w:asciiTheme="majorHAnsi" w:hAnsiTheme="majorHAnsi"/>
          <w:sz w:val="20"/>
          <w:szCs w:val="20"/>
        </w:rPr>
        <w:t xml:space="preserve">anonymous </w:t>
      </w:r>
      <w:r w:rsidRPr="00907400">
        <w:rPr>
          <w:rFonts w:asciiTheme="majorHAnsi" w:hAnsiTheme="majorHAnsi"/>
          <w:sz w:val="20"/>
          <w:szCs w:val="20"/>
        </w:rPr>
        <w:t>witnesses, constitutes, in principle,</w:t>
      </w:r>
      <w:r w:rsidR="006C4D51" w:rsidRPr="00907400">
        <w:rPr>
          <w:rFonts w:asciiTheme="majorHAnsi" w:hAnsiTheme="majorHAnsi"/>
          <w:sz w:val="20"/>
          <w:szCs w:val="20"/>
        </w:rPr>
        <w:t xml:space="preserve"> a violation of the</w:t>
      </w:r>
      <w:r w:rsidRPr="00907400">
        <w:rPr>
          <w:rFonts w:asciiTheme="majorHAnsi" w:hAnsiTheme="majorHAnsi"/>
          <w:sz w:val="20"/>
          <w:szCs w:val="20"/>
        </w:rPr>
        <w:t xml:space="preserve"> due process </w:t>
      </w:r>
      <w:r w:rsidR="006C4D51" w:rsidRPr="00907400">
        <w:rPr>
          <w:rFonts w:asciiTheme="majorHAnsi" w:hAnsiTheme="majorHAnsi"/>
          <w:sz w:val="20"/>
          <w:szCs w:val="20"/>
        </w:rPr>
        <w:t xml:space="preserve">guarantee </w:t>
      </w:r>
      <w:r w:rsidRPr="00907400">
        <w:rPr>
          <w:rFonts w:asciiTheme="majorHAnsi" w:hAnsiTheme="majorHAnsi"/>
          <w:sz w:val="20"/>
          <w:szCs w:val="20"/>
        </w:rPr>
        <w:t>to question witnesses.</w:t>
      </w:r>
      <w:r w:rsidR="001366E0" w:rsidRPr="00907400">
        <w:rPr>
          <w:rStyle w:val="FootnoteReference"/>
          <w:rFonts w:asciiTheme="majorHAnsi" w:eastAsia="Batang" w:hAnsiTheme="majorHAnsi"/>
          <w:sz w:val="20"/>
          <w:szCs w:val="20"/>
        </w:rPr>
        <w:footnoteReference w:id="99"/>
      </w:r>
      <w:r w:rsidRPr="00907400">
        <w:rPr>
          <w:rFonts w:asciiTheme="majorHAnsi" w:hAnsiTheme="majorHAnsi"/>
          <w:sz w:val="20"/>
          <w:szCs w:val="20"/>
        </w:rPr>
        <w:t xml:space="preserve"> For its part, the Inter-American Court has indicated that among the guarantees granted to </w:t>
      </w:r>
      <w:r w:rsidR="00B66428" w:rsidRPr="00907400">
        <w:rPr>
          <w:rFonts w:asciiTheme="majorHAnsi" w:hAnsiTheme="majorHAnsi"/>
          <w:sz w:val="20"/>
          <w:szCs w:val="20"/>
        </w:rPr>
        <w:t>the accused</w:t>
      </w:r>
      <w:r w:rsidRPr="00907400">
        <w:rPr>
          <w:rFonts w:asciiTheme="majorHAnsi" w:hAnsiTheme="majorHAnsi"/>
          <w:sz w:val="20"/>
          <w:szCs w:val="20"/>
        </w:rPr>
        <w:t xml:space="preserve"> is that of examining the witnesses </w:t>
      </w:r>
      <w:r w:rsidR="00B66428" w:rsidRPr="00907400">
        <w:rPr>
          <w:rFonts w:asciiTheme="majorHAnsi" w:hAnsiTheme="majorHAnsi"/>
          <w:sz w:val="20"/>
          <w:szCs w:val="20"/>
        </w:rPr>
        <w:t>for and against them, under the same conditions in order to defend themselves</w:t>
      </w:r>
      <w:r w:rsidRPr="00907400">
        <w:rPr>
          <w:rFonts w:asciiTheme="majorHAnsi" w:hAnsiTheme="majorHAnsi"/>
          <w:sz w:val="20"/>
          <w:szCs w:val="20"/>
        </w:rPr>
        <w:t>.</w:t>
      </w:r>
      <w:r w:rsidR="001366E0" w:rsidRPr="00907400">
        <w:rPr>
          <w:rStyle w:val="FootnoteReference"/>
          <w:rFonts w:asciiTheme="majorHAnsi" w:hAnsiTheme="majorHAnsi" w:cs="TimesNewRoman"/>
          <w:sz w:val="20"/>
          <w:szCs w:val="20"/>
          <w:lang w:eastAsia="es-ES_tradnl"/>
        </w:rPr>
        <w:footnoteReference w:id="100"/>
      </w:r>
      <w:r w:rsidRPr="00907400">
        <w:rPr>
          <w:rFonts w:asciiTheme="majorHAnsi" w:hAnsiTheme="majorHAnsi"/>
          <w:sz w:val="20"/>
          <w:szCs w:val="20"/>
        </w:rPr>
        <w:t xml:space="preserve"> </w:t>
      </w:r>
      <w:r w:rsidR="006C4D51" w:rsidRPr="00907400">
        <w:rPr>
          <w:rFonts w:asciiTheme="majorHAnsi" w:hAnsiTheme="majorHAnsi"/>
          <w:sz w:val="20"/>
          <w:szCs w:val="20"/>
        </w:rPr>
        <w:t xml:space="preserve"> </w:t>
      </w:r>
      <w:r w:rsidR="00B66428" w:rsidRPr="00907400">
        <w:rPr>
          <w:rFonts w:asciiTheme="majorHAnsi" w:hAnsiTheme="majorHAnsi"/>
          <w:sz w:val="20"/>
          <w:szCs w:val="20"/>
        </w:rPr>
        <w:t>I</w:t>
      </w:r>
      <w:r w:rsidRPr="00907400">
        <w:rPr>
          <w:rFonts w:asciiTheme="majorHAnsi" w:hAnsiTheme="majorHAnsi"/>
          <w:sz w:val="20"/>
          <w:szCs w:val="20"/>
        </w:rPr>
        <w:t xml:space="preserve">n each case </w:t>
      </w:r>
      <w:r w:rsidR="00B66428" w:rsidRPr="00907400">
        <w:rPr>
          <w:rFonts w:asciiTheme="majorHAnsi" w:hAnsiTheme="majorHAnsi"/>
          <w:sz w:val="20"/>
          <w:szCs w:val="20"/>
        </w:rPr>
        <w:t xml:space="preserve">there should be an analysis as to whether </w:t>
      </w:r>
      <w:r w:rsidRPr="00907400">
        <w:rPr>
          <w:rFonts w:asciiTheme="majorHAnsi" w:hAnsiTheme="majorHAnsi"/>
          <w:sz w:val="20"/>
          <w:szCs w:val="20"/>
        </w:rPr>
        <w:t xml:space="preserve">the measures of </w:t>
      </w:r>
      <w:r w:rsidR="00B66428" w:rsidRPr="00907400">
        <w:rPr>
          <w:rFonts w:asciiTheme="majorHAnsi" w:hAnsiTheme="majorHAnsi"/>
          <w:sz w:val="20"/>
          <w:szCs w:val="20"/>
        </w:rPr>
        <w:t>preserving witness</w:t>
      </w:r>
      <w:r w:rsidRPr="00907400">
        <w:rPr>
          <w:rFonts w:asciiTheme="majorHAnsi" w:hAnsiTheme="majorHAnsi"/>
          <w:sz w:val="20"/>
          <w:szCs w:val="20"/>
        </w:rPr>
        <w:t xml:space="preserve"> </w:t>
      </w:r>
      <w:r w:rsidR="00B66428" w:rsidRPr="00907400">
        <w:rPr>
          <w:rFonts w:asciiTheme="majorHAnsi" w:hAnsiTheme="majorHAnsi"/>
          <w:sz w:val="20"/>
          <w:szCs w:val="20"/>
        </w:rPr>
        <w:t>anonymity was ado</w:t>
      </w:r>
      <w:r w:rsidR="006C4D51" w:rsidRPr="00907400">
        <w:rPr>
          <w:rFonts w:asciiTheme="majorHAnsi" w:hAnsiTheme="majorHAnsi"/>
          <w:sz w:val="20"/>
          <w:szCs w:val="20"/>
        </w:rPr>
        <w:t>pted subject to judicial review</w:t>
      </w:r>
      <w:r w:rsidR="00B66428" w:rsidRPr="00907400">
        <w:rPr>
          <w:rFonts w:asciiTheme="majorHAnsi" w:hAnsiTheme="majorHAnsi"/>
          <w:sz w:val="20"/>
          <w:szCs w:val="20"/>
        </w:rPr>
        <w:t xml:space="preserve">, based on the principles of </w:t>
      </w:r>
      <w:r w:rsidRPr="00907400">
        <w:rPr>
          <w:rFonts w:asciiTheme="majorHAnsi" w:hAnsiTheme="majorHAnsi"/>
          <w:sz w:val="20"/>
          <w:szCs w:val="20"/>
        </w:rPr>
        <w:t xml:space="preserve">necessity and proportionality, taking into account that </w:t>
      </w:r>
      <w:r w:rsidR="00B66428" w:rsidRPr="00907400">
        <w:rPr>
          <w:rFonts w:asciiTheme="majorHAnsi" w:hAnsiTheme="majorHAnsi"/>
          <w:sz w:val="20"/>
          <w:szCs w:val="20"/>
        </w:rPr>
        <w:t>this is</w:t>
      </w:r>
      <w:r w:rsidRPr="00907400">
        <w:rPr>
          <w:rFonts w:asciiTheme="majorHAnsi" w:hAnsiTheme="majorHAnsi"/>
          <w:sz w:val="20"/>
          <w:szCs w:val="20"/>
        </w:rPr>
        <w:t xml:space="preserve"> an exceptional measure and verifying the existence of a </w:t>
      </w:r>
      <w:r w:rsidR="00B66428" w:rsidRPr="00907400">
        <w:rPr>
          <w:rFonts w:asciiTheme="majorHAnsi" w:hAnsiTheme="majorHAnsi"/>
          <w:sz w:val="20"/>
          <w:szCs w:val="20"/>
        </w:rPr>
        <w:t>situation of risk</w:t>
      </w:r>
      <w:r w:rsidRPr="00907400">
        <w:rPr>
          <w:rFonts w:asciiTheme="majorHAnsi" w:hAnsiTheme="majorHAnsi"/>
          <w:sz w:val="20"/>
          <w:szCs w:val="20"/>
        </w:rPr>
        <w:t xml:space="preserve"> for the witness.</w:t>
      </w:r>
      <w:r w:rsidR="001366E0" w:rsidRPr="00907400">
        <w:rPr>
          <w:rStyle w:val="FootnoteReference"/>
          <w:rFonts w:asciiTheme="majorHAnsi" w:hAnsiTheme="majorHAnsi" w:cs="TimesNewRoman"/>
          <w:sz w:val="20"/>
          <w:szCs w:val="20"/>
          <w:lang w:eastAsia="es-ES_tradnl"/>
        </w:rPr>
        <w:t xml:space="preserve"> </w:t>
      </w:r>
      <w:r w:rsidR="001366E0" w:rsidRPr="00907400">
        <w:rPr>
          <w:rStyle w:val="FootnoteReference"/>
          <w:rFonts w:asciiTheme="majorHAnsi" w:hAnsiTheme="majorHAnsi" w:cs="TimesNewRoman"/>
          <w:sz w:val="20"/>
          <w:szCs w:val="20"/>
          <w:lang w:eastAsia="es-ES_tradnl"/>
        </w:rPr>
        <w:footnoteReference w:id="101"/>
      </w:r>
      <w:r w:rsidRPr="00907400">
        <w:rPr>
          <w:rFonts w:asciiTheme="majorHAnsi" w:hAnsiTheme="majorHAnsi"/>
          <w:sz w:val="20"/>
          <w:szCs w:val="20"/>
        </w:rPr>
        <w:t xml:space="preserve"> The IACHR has indicated that in certain circumstances the identity of the witnesses can be protected, provided that this does </w:t>
      </w:r>
      <w:r w:rsidR="0033132E" w:rsidRPr="00907400">
        <w:rPr>
          <w:rFonts w:asciiTheme="majorHAnsi" w:hAnsiTheme="majorHAnsi"/>
          <w:sz w:val="20"/>
          <w:szCs w:val="20"/>
        </w:rPr>
        <w:t>not adversely affect</w:t>
      </w:r>
      <w:r w:rsidRPr="00907400">
        <w:rPr>
          <w:rFonts w:asciiTheme="majorHAnsi" w:hAnsiTheme="majorHAnsi"/>
          <w:sz w:val="20"/>
          <w:szCs w:val="20"/>
        </w:rPr>
        <w:t xml:space="preserve"> the judicial guarantees of the accused.</w:t>
      </w:r>
      <w:r w:rsidR="001366E0" w:rsidRPr="00907400">
        <w:rPr>
          <w:rStyle w:val="FootnoteReference"/>
          <w:rFonts w:asciiTheme="majorHAnsi" w:hAnsiTheme="majorHAnsi"/>
          <w:sz w:val="20"/>
          <w:szCs w:val="20"/>
        </w:rPr>
        <w:t xml:space="preserve"> </w:t>
      </w:r>
      <w:r w:rsidR="001366E0" w:rsidRPr="00907400">
        <w:rPr>
          <w:rStyle w:val="FootnoteReference"/>
          <w:rFonts w:asciiTheme="majorHAnsi" w:hAnsiTheme="majorHAnsi"/>
          <w:sz w:val="20"/>
          <w:szCs w:val="20"/>
        </w:rPr>
        <w:footnoteReference w:id="102"/>
      </w:r>
    </w:p>
    <w:p w14:paraId="6ECD6ADA"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9890CF4" w14:textId="77777777" w:rsidR="007A744E" w:rsidRPr="0090740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this regard, with respect to the safeguards required in these exceptional cases, the Court, taking into account </w:t>
      </w:r>
      <w:r w:rsidR="0031660F" w:rsidRPr="00907400">
        <w:rPr>
          <w:rFonts w:asciiTheme="majorHAnsi" w:hAnsiTheme="majorHAnsi"/>
          <w:sz w:val="20"/>
          <w:szCs w:val="20"/>
        </w:rPr>
        <w:t>case-law</w:t>
      </w:r>
      <w:r w:rsidRPr="00907400">
        <w:rPr>
          <w:rFonts w:asciiTheme="majorHAnsi" w:hAnsiTheme="majorHAnsi"/>
          <w:sz w:val="20"/>
          <w:szCs w:val="20"/>
        </w:rPr>
        <w:t xml:space="preserve"> of the European Court of Human Rights, has maintained that such reservation must be sufficiently offset by counterbalancing measures, such as:</w:t>
      </w:r>
    </w:p>
    <w:p w14:paraId="79C2CBDF" w14:textId="77777777" w:rsidR="00ED6F2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114250B" w14:textId="77777777" w:rsidR="000A4C42" w:rsidRPr="00907400" w:rsidRDefault="000A4C42"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xml:space="preserve">a) the judicial authority must </w:t>
      </w:r>
      <w:r w:rsidR="00A02642" w:rsidRPr="00907400">
        <w:rPr>
          <w:rFonts w:asciiTheme="majorHAnsi" w:hAnsiTheme="majorHAnsi"/>
          <w:sz w:val="20"/>
          <w:szCs w:val="20"/>
        </w:rPr>
        <w:t>be aware of</w:t>
      </w:r>
      <w:r w:rsidRPr="00907400">
        <w:rPr>
          <w:rFonts w:asciiTheme="majorHAnsi" w:hAnsiTheme="majorHAnsi"/>
          <w:sz w:val="20"/>
          <w:szCs w:val="20"/>
        </w:rPr>
        <w:t xml:space="preserve"> the identity of the witness and be able to observe his </w:t>
      </w:r>
      <w:r w:rsidR="00A02642" w:rsidRPr="00907400">
        <w:rPr>
          <w:rFonts w:asciiTheme="majorHAnsi" w:hAnsiTheme="majorHAnsi"/>
          <w:sz w:val="20"/>
          <w:szCs w:val="20"/>
        </w:rPr>
        <w:t>demeanor</w:t>
      </w:r>
      <w:r w:rsidRPr="00907400">
        <w:rPr>
          <w:rFonts w:asciiTheme="majorHAnsi" w:hAnsiTheme="majorHAnsi"/>
          <w:sz w:val="20"/>
          <w:szCs w:val="20"/>
        </w:rPr>
        <w:t xml:space="preserve"> </w:t>
      </w:r>
      <w:r w:rsidR="00A02642" w:rsidRPr="00907400">
        <w:rPr>
          <w:rFonts w:asciiTheme="majorHAnsi" w:hAnsiTheme="majorHAnsi"/>
          <w:sz w:val="20"/>
          <w:szCs w:val="20"/>
        </w:rPr>
        <w:t>under questioning</w:t>
      </w:r>
      <w:r w:rsidRPr="00907400">
        <w:rPr>
          <w:rFonts w:asciiTheme="majorHAnsi" w:hAnsiTheme="majorHAnsi"/>
          <w:sz w:val="20"/>
          <w:szCs w:val="20"/>
        </w:rPr>
        <w:t xml:space="preserve"> in order </w:t>
      </w:r>
      <w:r w:rsidR="00C82D20" w:rsidRPr="00907400">
        <w:rPr>
          <w:rFonts w:asciiTheme="majorHAnsi" w:hAnsiTheme="majorHAnsi"/>
          <w:sz w:val="20"/>
          <w:szCs w:val="20"/>
        </w:rPr>
        <w:t>to</w:t>
      </w:r>
      <w:r w:rsidRPr="00907400">
        <w:rPr>
          <w:rFonts w:asciiTheme="majorHAnsi" w:hAnsiTheme="majorHAnsi"/>
          <w:sz w:val="20"/>
          <w:szCs w:val="20"/>
        </w:rPr>
        <w:t xml:space="preserve"> form </w:t>
      </w:r>
      <w:r w:rsidR="00C82D20" w:rsidRPr="00907400">
        <w:rPr>
          <w:rFonts w:asciiTheme="majorHAnsi" w:hAnsiTheme="majorHAnsi"/>
          <w:sz w:val="20"/>
          <w:szCs w:val="20"/>
        </w:rPr>
        <w:t>its</w:t>
      </w:r>
      <w:r w:rsidRPr="00907400">
        <w:rPr>
          <w:rFonts w:asciiTheme="majorHAnsi" w:hAnsiTheme="majorHAnsi"/>
          <w:sz w:val="20"/>
          <w:szCs w:val="20"/>
        </w:rPr>
        <w:t xml:space="preserve"> own impression of the reliability of </w:t>
      </w:r>
      <w:r w:rsidR="00C82D20" w:rsidRPr="00907400">
        <w:rPr>
          <w:rFonts w:asciiTheme="majorHAnsi" w:hAnsiTheme="majorHAnsi"/>
          <w:sz w:val="20"/>
          <w:szCs w:val="20"/>
        </w:rPr>
        <w:t>the witness and of his testimony</w:t>
      </w:r>
      <w:r w:rsidRPr="00907400">
        <w:rPr>
          <w:rFonts w:asciiTheme="majorHAnsi" w:hAnsiTheme="majorHAnsi"/>
          <w:sz w:val="20"/>
          <w:szCs w:val="20"/>
        </w:rPr>
        <w:t xml:space="preserve">, and b) the defense must be granted </w:t>
      </w:r>
      <w:r w:rsidR="00C82D20" w:rsidRPr="00907400">
        <w:rPr>
          <w:rFonts w:asciiTheme="majorHAnsi" w:hAnsiTheme="majorHAnsi"/>
          <w:sz w:val="20"/>
          <w:szCs w:val="20"/>
        </w:rPr>
        <w:t>every</w:t>
      </w:r>
      <w:r w:rsidRPr="00907400">
        <w:rPr>
          <w:rFonts w:asciiTheme="majorHAnsi" w:hAnsiTheme="majorHAnsi"/>
          <w:sz w:val="20"/>
          <w:szCs w:val="20"/>
        </w:rPr>
        <w:t xml:space="preserve"> opportunity to </w:t>
      </w:r>
      <w:r w:rsidR="00C82D20" w:rsidRPr="00907400">
        <w:rPr>
          <w:rFonts w:asciiTheme="majorHAnsi" w:hAnsiTheme="majorHAnsi"/>
          <w:sz w:val="20"/>
          <w:szCs w:val="20"/>
        </w:rPr>
        <w:t xml:space="preserve">examine the witness </w:t>
      </w:r>
      <w:r w:rsidRPr="00907400">
        <w:rPr>
          <w:rFonts w:asciiTheme="majorHAnsi" w:hAnsiTheme="majorHAnsi"/>
          <w:sz w:val="20"/>
          <w:szCs w:val="20"/>
        </w:rPr>
        <w:t xml:space="preserve">directly </w:t>
      </w:r>
      <w:r w:rsidR="00C82D20" w:rsidRPr="00907400">
        <w:rPr>
          <w:rFonts w:asciiTheme="majorHAnsi" w:hAnsiTheme="majorHAnsi"/>
          <w:sz w:val="20"/>
          <w:szCs w:val="20"/>
        </w:rPr>
        <w:t>at some stage of the proceedings on matters</w:t>
      </w:r>
      <w:r w:rsidRPr="00907400">
        <w:rPr>
          <w:rFonts w:asciiTheme="majorHAnsi" w:hAnsiTheme="majorHAnsi"/>
          <w:sz w:val="20"/>
          <w:szCs w:val="20"/>
        </w:rPr>
        <w:t xml:space="preserve"> that are not related to his identity or </w:t>
      </w:r>
      <w:r w:rsidR="00C82D20" w:rsidRPr="00907400">
        <w:rPr>
          <w:rFonts w:asciiTheme="majorHAnsi" w:hAnsiTheme="majorHAnsi"/>
          <w:sz w:val="20"/>
          <w:szCs w:val="20"/>
        </w:rPr>
        <w:t>actual residence</w:t>
      </w:r>
      <w:r w:rsidR="004D163E" w:rsidRPr="00907400">
        <w:rPr>
          <w:rFonts w:asciiTheme="majorHAnsi" w:hAnsiTheme="majorHAnsi"/>
          <w:sz w:val="20"/>
          <w:szCs w:val="20"/>
        </w:rPr>
        <w:t xml:space="preserve">; this is so that the defense may assess the demeanor of the </w:t>
      </w:r>
      <w:r w:rsidRPr="00907400">
        <w:rPr>
          <w:rFonts w:asciiTheme="majorHAnsi" w:hAnsiTheme="majorHAnsi"/>
          <w:sz w:val="20"/>
          <w:szCs w:val="20"/>
        </w:rPr>
        <w:t xml:space="preserve">witness </w:t>
      </w:r>
      <w:r w:rsidR="004D163E" w:rsidRPr="00907400">
        <w:rPr>
          <w:rFonts w:asciiTheme="majorHAnsi" w:hAnsiTheme="majorHAnsi"/>
          <w:sz w:val="20"/>
          <w:szCs w:val="20"/>
        </w:rPr>
        <w:t>while under cross-examination in order to be able to dispute his version or, at least, raise doubts about the reliability of the testimony.</w:t>
      </w:r>
    </w:p>
    <w:p w14:paraId="3CDDFABA" w14:textId="77777777" w:rsidR="000A4C42" w:rsidRPr="00907400" w:rsidRDefault="000A4C42"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t>
      </w:r>
    </w:p>
    <w:p w14:paraId="2AE88258" w14:textId="77777777" w:rsidR="007A744E" w:rsidRPr="00907400" w:rsidRDefault="000A4C42"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lastRenderedPageBreak/>
        <w:t xml:space="preserve">Even when counterbalancing </w:t>
      </w:r>
      <w:r w:rsidR="004D163E" w:rsidRPr="00907400">
        <w:rPr>
          <w:rFonts w:asciiTheme="majorHAnsi" w:hAnsiTheme="majorHAnsi"/>
          <w:sz w:val="20"/>
          <w:szCs w:val="20"/>
        </w:rPr>
        <w:t>procedures</w:t>
      </w:r>
      <w:r w:rsidRPr="00907400">
        <w:rPr>
          <w:rFonts w:asciiTheme="majorHAnsi" w:hAnsiTheme="majorHAnsi"/>
          <w:sz w:val="20"/>
          <w:szCs w:val="20"/>
        </w:rPr>
        <w:t xml:space="preserve"> have been </w:t>
      </w:r>
      <w:r w:rsidR="004D163E" w:rsidRPr="00907400">
        <w:rPr>
          <w:rFonts w:asciiTheme="majorHAnsi" w:hAnsiTheme="majorHAnsi"/>
          <w:sz w:val="20"/>
          <w:szCs w:val="20"/>
        </w:rPr>
        <w:t xml:space="preserve">adopted that appear to be </w:t>
      </w:r>
      <w:r w:rsidRPr="00907400">
        <w:rPr>
          <w:rFonts w:asciiTheme="majorHAnsi" w:hAnsiTheme="majorHAnsi"/>
          <w:sz w:val="20"/>
          <w:szCs w:val="20"/>
        </w:rPr>
        <w:t xml:space="preserve">sufficient, </w:t>
      </w:r>
      <w:r w:rsidR="004D163E" w:rsidRPr="00907400">
        <w:rPr>
          <w:rFonts w:asciiTheme="majorHAnsi" w:hAnsiTheme="majorHAnsi"/>
          <w:sz w:val="20"/>
          <w:szCs w:val="20"/>
        </w:rPr>
        <w:t>a</w:t>
      </w:r>
      <w:r w:rsidRPr="00907400">
        <w:rPr>
          <w:rFonts w:asciiTheme="majorHAnsi" w:hAnsiTheme="majorHAnsi"/>
          <w:sz w:val="20"/>
          <w:szCs w:val="20"/>
        </w:rPr>
        <w:t xml:space="preserve"> conviction </w:t>
      </w:r>
      <w:r w:rsidR="004D163E" w:rsidRPr="00907400">
        <w:rPr>
          <w:rFonts w:asciiTheme="majorHAnsi" w:hAnsiTheme="majorHAnsi"/>
          <w:sz w:val="20"/>
          <w:szCs w:val="20"/>
        </w:rPr>
        <w:t>should not</w:t>
      </w:r>
      <w:r w:rsidRPr="00907400">
        <w:rPr>
          <w:rFonts w:asciiTheme="majorHAnsi" w:hAnsiTheme="majorHAnsi"/>
          <w:sz w:val="20"/>
          <w:szCs w:val="20"/>
        </w:rPr>
        <w:t xml:space="preserve"> be based </w:t>
      </w:r>
      <w:r w:rsidR="004D163E" w:rsidRPr="00907400">
        <w:rPr>
          <w:rFonts w:asciiTheme="majorHAnsi" w:hAnsiTheme="majorHAnsi"/>
          <w:sz w:val="20"/>
          <w:szCs w:val="20"/>
        </w:rPr>
        <w:t xml:space="preserve">either </w:t>
      </w:r>
      <w:r w:rsidRPr="00907400">
        <w:rPr>
          <w:rFonts w:asciiTheme="majorHAnsi" w:hAnsiTheme="majorHAnsi"/>
          <w:sz w:val="20"/>
          <w:szCs w:val="20"/>
        </w:rPr>
        <w:t xml:space="preserve">solely or </w:t>
      </w:r>
      <w:r w:rsidR="004D163E" w:rsidRPr="00907400">
        <w:rPr>
          <w:rFonts w:asciiTheme="majorHAnsi" w:hAnsiTheme="majorHAnsi"/>
          <w:sz w:val="20"/>
          <w:szCs w:val="20"/>
        </w:rPr>
        <w:t>to a decisive extent on anonymous statements</w:t>
      </w:r>
      <w:r w:rsidRPr="00907400">
        <w:rPr>
          <w:rFonts w:asciiTheme="majorHAnsi" w:hAnsiTheme="majorHAnsi"/>
          <w:sz w:val="20"/>
          <w:szCs w:val="20"/>
        </w:rPr>
        <w:t xml:space="preserve">. </w:t>
      </w:r>
      <w:r w:rsidR="004D163E" w:rsidRPr="00907400">
        <w:rPr>
          <w:rFonts w:asciiTheme="majorHAnsi" w:hAnsiTheme="majorHAnsi"/>
          <w:sz w:val="20"/>
          <w:szCs w:val="20"/>
        </w:rPr>
        <w:t>To the contrary</w:t>
      </w:r>
      <w:r w:rsidRPr="00907400">
        <w:rPr>
          <w:rFonts w:asciiTheme="majorHAnsi" w:hAnsiTheme="majorHAnsi"/>
          <w:sz w:val="20"/>
          <w:szCs w:val="20"/>
        </w:rPr>
        <w:t xml:space="preserve">, </w:t>
      </w:r>
      <w:r w:rsidR="004D163E" w:rsidRPr="00907400">
        <w:rPr>
          <w:rFonts w:asciiTheme="majorHAnsi" w:hAnsiTheme="majorHAnsi"/>
          <w:sz w:val="20"/>
          <w:szCs w:val="20"/>
        </w:rPr>
        <w:t xml:space="preserve">it would be possible to convict the accused by the disproportionate use of a probative measure that was obtained while impairing this right of defense.  </w:t>
      </w:r>
      <w:r w:rsidRPr="00907400">
        <w:rPr>
          <w:rFonts w:asciiTheme="majorHAnsi" w:hAnsiTheme="majorHAnsi"/>
          <w:sz w:val="20"/>
          <w:szCs w:val="20"/>
        </w:rPr>
        <w:t xml:space="preserve">Since this is evidence obtained </w:t>
      </w:r>
      <w:r w:rsidR="004D163E" w:rsidRPr="00907400">
        <w:rPr>
          <w:rFonts w:asciiTheme="majorHAnsi" w:hAnsiTheme="majorHAnsi"/>
          <w:sz w:val="20"/>
          <w:szCs w:val="20"/>
        </w:rPr>
        <w:t>in</w:t>
      </w:r>
      <w:r w:rsidRPr="00907400">
        <w:rPr>
          <w:rFonts w:asciiTheme="majorHAnsi" w:hAnsiTheme="majorHAnsi"/>
          <w:sz w:val="20"/>
          <w:szCs w:val="20"/>
        </w:rPr>
        <w:t xml:space="preserve"> conditions in which the rights of the accused have been limited, </w:t>
      </w:r>
      <w:r w:rsidR="004D163E" w:rsidRPr="00907400">
        <w:rPr>
          <w:rFonts w:asciiTheme="majorHAnsi" w:hAnsiTheme="majorHAnsi"/>
          <w:sz w:val="20"/>
          <w:szCs w:val="20"/>
        </w:rPr>
        <w:t>the testimony of anonymous witnesses must be used</w:t>
      </w:r>
      <w:r w:rsidRPr="00907400">
        <w:rPr>
          <w:rFonts w:asciiTheme="majorHAnsi" w:hAnsiTheme="majorHAnsi"/>
          <w:sz w:val="20"/>
          <w:szCs w:val="20"/>
        </w:rPr>
        <w:t xml:space="preserve"> with extreme caution, </w:t>
      </w:r>
      <w:r w:rsidR="004D163E" w:rsidRPr="00907400">
        <w:rPr>
          <w:rFonts w:asciiTheme="majorHAnsi" w:hAnsiTheme="majorHAnsi"/>
          <w:sz w:val="20"/>
          <w:szCs w:val="20"/>
        </w:rPr>
        <w:t xml:space="preserve">must </w:t>
      </w:r>
      <w:r w:rsidRPr="00907400">
        <w:rPr>
          <w:rFonts w:asciiTheme="majorHAnsi" w:hAnsiTheme="majorHAnsi"/>
          <w:sz w:val="20"/>
          <w:szCs w:val="20"/>
        </w:rPr>
        <w:t xml:space="preserve">be assessed </w:t>
      </w:r>
      <w:r w:rsidR="004D163E" w:rsidRPr="00907400">
        <w:rPr>
          <w:rFonts w:asciiTheme="majorHAnsi" w:hAnsiTheme="majorHAnsi"/>
          <w:sz w:val="20"/>
          <w:szCs w:val="20"/>
        </w:rPr>
        <w:t>together</w:t>
      </w:r>
      <w:r w:rsidRPr="00907400">
        <w:rPr>
          <w:rFonts w:asciiTheme="majorHAnsi" w:hAnsiTheme="majorHAnsi"/>
          <w:sz w:val="20"/>
          <w:szCs w:val="20"/>
        </w:rPr>
        <w:t xml:space="preserve"> with the body of evidence, </w:t>
      </w:r>
      <w:r w:rsidR="004D163E" w:rsidRPr="00907400">
        <w:rPr>
          <w:rFonts w:asciiTheme="majorHAnsi" w:hAnsiTheme="majorHAnsi"/>
          <w:sz w:val="20"/>
          <w:szCs w:val="20"/>
        </w:rPr>
        <w:t xml:space="preserve">the </w:t>
      </w:r>
      <w:r w:rsidRPr="00907400">
        <w:rPr>
          <w:rFonts w:asciiTheme="majorHAnsi" w:hAnsiTheme="majorHAnsi"/>
          <w:sz w:val="20"/>
          <w:szCs w:val="20"/>
        </w:rPr>
        <w:t xml:space="preserve">observations </w:t>
      </w:r>
      <w:r w:rsidR="004D163E" w:rsidRPr="00907400">
        <w:rPr>
          <w:rFonts w:asciiTheme="majorHAnsi" w:hAnsiTheme="majorHAnsi"/>
          <w:sz w:val="20"/>
          <w:szCs w:val="20"/>
        </w:rPr>
        <w:t>and</w:t>
      </w:r>
      <w:r w:rsidRPr="00907400">
        <w:rPr>
          <w:rFonts w:asciiTheme="majorHAnsi" w:hAnsiTheme="majorHAnsi"/>
          <w:sz w:val="20"/>
          <w:szCs w:val="20"/>
        </w:rPr>
        <w:t xml:space="preserve"> objections of the defense</w:t>
      </w:r>
      <w:r w:rsidR="004D163E" w:rsidRPr="00907400">
        <w:rPr>
          <w:rFonts w:asciiTheme="majorHAnsi" w:hAnsiTheme="majorHAnsi"/>
          <w:sz w:val="20"/>
          <w:szCs w:val="20"/>
        </w:rPr>
        <w:t>,</w:t>
      </w:r>
      <w:r w:rsidRPr="00907400">
        <w:rPr>
          <w:rFonts w:asciiTheme="majorHAnsi" w:hAnsiTheme="majorHAnsi"/>
          <w:sz w:val="20"/>
          <w:szCs w:val="20"/>
        </w:rPr>
        <w:t xml:space="preserve"> and </w:t>
      </w:r>
      <w:r w:rsidR="004D163E" w:rsidRPr="00907400">
        <w:rPr>
          <w:rFonts w:asciiTheme="majorHAnsi" w:hAnsiTheme="majorHAnsi"/>
          <w:sz w:val="20"/>
          <w:szCs w:val="20"/>
        </w:rPr>
        <w:t>the rules of sound judicial discretion</w:t>
      </w:r>
      <w:r w:rsidRPr="00907400">
        <w:rPr>
          <w:rFonts w:asciiTheme="majorHAnsi" w:hAnsiTheme="majorHAnsi"/>
          <w:sz w:val="20"/>
          <w:szCs w:val="20"/>
        </w:rPr>
        <w:t>.</w:t>
      </w:r>
      <w:r w:rsidR="001366E0" w:rsidRPr="00907400">
        <w:rPr>
          <w:rStyle w:val="FootnoteReference"/>
          <w:rFonts w:asciiTheme="majorHAnsi" w:hAnsiTheme="majorHAnsi" w:cs="TimesNewRoman"/>
          <w:sz w:val="20"/>
          <w:szCs w:val="20"/>
          <w:lang w:eastAsia="es-ES_tradnl"/>
        </w:rPr>
        <w:t xml:space="preserve"> </w:t>
      </w:r>
      <w:r w:rsidR="001366E0" w:rsidRPr="00907400">
        <w:rPr>
          <w:rStyle w:val="FootnoteReference"/>
          <w:rFonts w:asciiTheme="majorHAnsi" w:hAnsiTheme="majorHAnsi" w:cs="TimesNewRoman"/>
          <w:sz w:val="20"/>
          <w:szCs w:val="20"/>
          <w:lang w:eastAsia="es-ES_tradnl"/>
        </w:rPr>
        <w:footnoteReference w:id="103"/>
      </w:r>
    </w:p>
    <w:p w14:paraId="34DD3C77"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6657A8C" w14:textId="77777777" w:rsidR="007A744E"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instant case, the IACHR observes that during the proceedings against Mr. Sastoque, the statements of up to four anonymous witnesses </w:t>
      </w:r>
      <w:r w:rsidR="0031660F" w:rsidRPr="00907400">
        <w:rPr>
          <w:rFonts w:asciiTheme="majorHAnsi" w:hAnsiTheme="majorHAnsi"/>
          <w:sz w:val="20"/>
          <w:szCs w:val="20"/>
        </w:rPr>
        <w:t>were taken. Of these four individuals</w:t>
      </w:r>
      <w:r w:rsidRPr="00907400">
        <w:rPr>
          <w:rFonts w:asciiTheme="majorHAnsi" w:hAnsiTheme="majorHAnsi"/>
          <w:sz w:val="20"/>
          <w:szCs w:val="20"/>
        </w:rPr>
        <w:t xml:space="preserve">, two identified him </w:t>
      </w:r>
      <w:r w:rsidR="006C4D51" w:rsidRPr="00907400">
        <w:rPr>
          <w:rFonts w:asciiTheme="majorHAnsi" w:hAnsiTheme="majorHAnsi"/>
          <w:sz w:val="20"/>
          <w:szCs w:val="20"/>
        </w:rPr>
        <w:t>as the person who shot</w:t>
      </w:r>
      <w:r w:rsidRPr="00907400">
        <w:rPr>
          <w:rFonts w:asciiTheme="majorHAnsi" w:hAnsiTheme="majorHAnsi"/>
          <w:sz w:val="20"/>
          <w:szCs w:val="20"/>
        </w:rPr>
        <w:t xml:space="preserve"> Hernando Pizarro and one</w:t>
      </w:r>
      <w:r w:rsidR="0031660F" w:rsidRPr="00907400">
        <w:rPr>
          <w:rFonts w:asciiTheme="majorHAnsi" w:hAnsiTheme="majorHAnsi"/>
          <w:sz w:val="20"/>
          <w:szCs w:val="20"/>
        </w:rPr>
        <w:t xml:space="preserve"> did not recognize him at first,</w:t>
      </w:r>
      <w:r w:rsidRPr="00907400">
        <w:rPr>
          <w:rFonts w:asciiTheme="majorHAnsi" w:hAnsiTheme="majorHAnsi"/>
          <w:sz w:val="20"/>
          <w:szCs w:val="20"/>
        </w:rPr>
        <w:t xml:space="preserve"> but later identified him "by references".</w:t>
      </w:r>
    </w:p>
    <w:p w14:paraId="1E1B141E"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FDF92C6" w14:textId="77777777" w:rsidR="007A744E" w:rsidRPr="0090740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w:t>
      </w:r>
      <w:r w:rsidR="008A65CF" w:rsidRPr="00907400">
        <w:rPr>
          <w:rFonts w:asciiTheme="majorHAnsi" w:hAnsiTheme="majorHAnsi"/>
          <w:sz w:val="20"/>
          <w:szCs w:val="20"/>
        </w:rPr>
        <w:t>present case, firstly</w:t>
      </w:r>
      <w:r w:rsidRPr="00907400">
        <w:rPr>
          <w:rFonts w:asciiTheme="majorHAnsi" w:hAnsiTheme="majorHAnsi"/>
          <w:sz w:val="20"/>
          <w:szCs w:val="20"/>
        </w:rPr>
        <w:t xml:space="preserve">, the use of </w:t>
      </w:r>
      <w:r w:rsidR="008A65CF" w:rsidRPr="00907400">
        <w:rPr>
          <w:rFonts w:asciiTheme="majorHAnsi" w:hAnsiTheme="majorHAnsi"/>
          <w:sz w:val="20"/>
          <w:szCs w:val="20"/>
        </w:rPr>
        <w:t xml:space="preserve">anonymous </w:t>
      </w:r>
      <w:r w:rsidRPr="00907400">
        <w:rPr>
          <w:rFonts w:asciiTheme="majorHAnsi" w:hAnsiTheme="majorHAnsi"/>
          <w:sz w:val="20"/>
          <w:szCs w:val="20"/>
        </w:rPr>
        <w:t xml:space="preserve">witnesses was established in the legislation </w:t>
      </w:r>
      <w:r w:rsidR="008A65CF" w:rsidRPr="00907400">
        <w:rPr>
          <w:rFonts w:asciiTheme="majorHAnsi" w:hAnsiTheme="majorHAnsi"/>
          <w:sz w:val="20"/>
          <w:szCs w:val="20"/>
        </w:rPr>
        <w:t xml:space="preserve">governing </w:t>
      </w:r>
      <w:r w:rsidR="006C4D51" w:rsidRPr="00907400">
        <w:rPr>
          <w:rFonts w:asciiTheme="majorHAnsi" w:hAnsiTheme="majorHAnsi"/>
          <w:sz w:val="20"/>
          <w:szCs w:val="20"/>
        </w:rPr>
        <w:t>the Regional J</w:t>
      </w:r>
      <w:r w:rsidRPr="00907400">
        <w:rPr>
          <w:rFonts w:asciiTheme="majorHAnsi" w:hAnsiTheme="majorHAnsi"/>
          <w:sz w:val="20"/>
          <w:szCs w:val="20"/>
        </w:rPr>
        <w:t>ustice</w:t>
      </w:r>
      <w:r w:rsidR="006C4D51" w:rsidRPr="00907400">
        <w:rPr>
          <w:rFonts w:asciiTheme="majorHAnsi" w:hAnsiTheme="majorHAnsi"/>
          <w:sz w:val="20"/>
          <w:szCs w:val="20"/>
        </w:rPr>
        <w:t xml:space="preserve"> System</w:t>
      </w:r>
      <w:r w:rsidRPr="00907400">
        <w:rPr>
          <w:rFonts w:asciiTheme="majorHAnsi" w:hAnsiTheme="majorHAnsi"/>
          <w:sz w:val="20"/>
          <w:szCs w:val="20"/>
        </w:rPr>
        <w:t>, without major safeguards to ensure that their use was compatible with the international standards d</w:t>
      </w:r>
      <w:r w:rsidR="008A65CF" w:rsidRPr="00907400">
        <w:rPr>
          <w:rFonts w:asciiTheme="majorHAnsi" w:hAnsiTheme="majorHAnsi"/>
          <w:sz w:val="20"/>
          <w:szCs w:val="20"/>
        </w:rPr>
        <w:t xml:space="preserve">escribed. In fact, in this case, neither has </w:t>
      </w:r>
      <w:r w:rsidRPr="00907400">
        <w:rPr>
          <w:rFonts w:asciiTheme="majorHAnsi" w:hAnsiTheme="majorHAnsi"/>
          <w:sz w:val="20"/>
          <w:szCs w:val="20"/>
        </w:rPr>
        <w:t>the State justified before the IACHR</w:t>
      </w:r>
      <w:r w:rsidR="008A65CF" w:rsidRPr="00907400">
        <w:rPr>
          <w:rFonts w:asciiTheme="majorHAnsi" w:hAnsiTheme="majorHAnsi"/>
          <w:sz w:val="20"/>
          <w:szCs w:val="20"/>
        </w:rPr>
        <w:t>,</w:t>
      </w:r>
      <w:r w:rsidRPr="00907400">
        <w:rPr>
          <w:rFonts w:asciiTheme="majorHAnsi" w:hAnsiTheme="majorHAnsi"/>
          <w:sz w:val="20"/>
          <w:szCs w:val="20"/>
        </w:rPr>
        <w:t xml:space="preserve"> nor the judicial authorities explained in an individualized manner</w:t>
      </w:r>
      <w:r w:rsidR="008A65CF" w:rsidRPr="00907400">
        <w:rPr>
          <w:rFonts w:asciiTheme="majorHAnsi" w:hAnsiTheme="majorHAnsi"/>
          <w:sz w:val="20"/>
          <w:szCs w:val="20"/>
        </w:rPr>
        <w:t>,</w:t>
      </w:r>
      <w:r w:rsidRPr="00907400">
        <w:rPr>
          <w:rFonts w:asciiTheme="majorHAnsi" w:hAnsiTheme="majorHAnsi"/>
          <w:sz w:val="20"/>
          <w:szCs w:val="20"/>
        </w:rPr>
        <w:t xml:space="preserve"> the overriding reasons </w:t>
      </w:r>
      <w:r w:rsidR="008A65CF" w:rsidRPr="00907400">
        <w:rPr>
          <w:rFonts w:asciiTheme="majorHAnsi" w:hAnsiTheme="majorHAnsi"/>
          <w:sz w:val="20"/>
          <w:szCs w:val="20"/>
        </w:rPr>
        <w:t xml:space="preserve">for the use of anonymity for </w:t>
      </w:r>
      <w:r w:rsidRPr="00907400">
        <w:rPr>
          <w:rFonts w:asciiTheme="majorHAnsi" w:hAnsiTheme="majorHAnsi"/>
          <w:sz w:val="20"/>
          <w:szCs w:val="20"/>
        </w:rPr>
        <w:t xml:space="preserve">said persons or </w:t>
      </w:r>
      <w:r w:rsidR="008A65CF" w:rsidRPr="00907400">
        <w:rPr>
          <w:rFonts w:asciiTheme="majorHAnsi" w:hAnsiTheme="majorHAnsi"/>
          <w:sz w:val="20"/>
          <w:szCs w:val="20"/>
        </w:rPr>
        <w:t>why</w:t>
      </w:r>
      <w:r w:rsidRPr="00907400">
        <w:rPr>
          <w:rFonts w:asciiTheme="majorHAnsi" w:hAnsiTheme="majorHAnsi"/>
          <w:sz w:val="20"/>
          <w:szCs w:val="20"/>
        </w:rPr>
        <w:t xml:space="preserve"> such </w:t>
      </w:r>
      <w:r w:rsidR="008A65CF" w:rsidRPr="00907400">
        <w:rPr>
          <w:rFonts w:asciiTheme="majorHAnsi" w:hAnsiTheme="majorHAnsi"/>
          <w:sz w:val="20"/>
          <w:szCs w:val="20"/>
        </w:rPr>
        <w:t xml:space="preserve">a </w:t>
      </w:r>
      <w:r w:rsidRPr="00907400">
        <w:rPr>
          <w:rFonts w:asciiTheme="majorHAnsi" w:hAnsiTheme="majorHAnsi"/>
          <w:sz w:val="20"/>
          <w:szCs w:val="20"/>
        </w:rPr>
        <w:t xml:space="preserve">measure was the least harmful to </w:t>
      </w:r>
      <w:r w:rsidR="008A65CF" w:rsidRPr="00907400">
        <w:rPr>
          <w:rFonts w:asciiTheme="majorHAnsi" w:hAnsiTheme="majorHAnsi"/>
          <w:sz w:val="20"/>
          <w:szCs w:val="20"/>
        </w:rPr>
        <w:t>Mr. Sastoque’s</w:t>
      </w:r>
      <w:r w:rsidRPr="00907400">
        <w:rPr>
          <w:rFonts w:asciiTheme="majorHAnsi" w:hAnsiTheme="majorHAnsi"/>
          <w:sz w:val="20"/>
          <w:szCs w:val="20"/>
        </w:rPr>
        <w:t xml:space="preserve"> right to defense.</w:t>
      </w:r>
    </w:p>
    <w:p w14:paraId="0F0E8189"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A8C22D0" w14:textId="77777777" w:rsidR="007A744E" w:rsidRPr="00907400"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Second</w:t>
      </w:r>
      <w:r w:rsidR="001772C2" w:rsidRPr="00907400">
        <w:rPr>
          <w:rFonts w:asciiTheme="majorHAnsi" w:hAnsiTheme="majorHAnsi"/>
          <w:sz w:val="20"/>
          <w:szCs w:val="20"/>
        </w:rPr>
        <w:t>ly</w:t>
      </w:r>
      <w:r w:rsidRPr="00907400">
        <w:rPr>
          <w:rFonts w:asciiTheme="majorHAnsi" w:hAnsiTheme="majorHAnsi"/>
          <w:sz w:val="20"/>
          <w:szCs w:val="20"/>
        </w:rPr>
        <w:t xml:space="preserve">, it is not apparent from the decisions </w:t>
      </w:r>
      <w:r w:rsidR="006C4D51" w:rsidRPr="00907400">
        <w:rPr>
          <w:rFonts w:asciiTheme="majorHAnsi" w:hAnsiTheme="majorHAnsi"/>
          <w:sz w:val="20"/>
          <w:szCs w:val="20"/>
        </w:rPr>
        <w:t>relying</w:t>
      </w:r>
      <w:r w:rsidR="001772C2" w:rsidRPr="00907400">
        <w:rPr>
          <w:rFonts w:asciiTheme="majorHAnsi" w:hAnsiTheme="majorHAnsi"/>
          <w:sz w:val="20"/>
          <w:szCs w:val="20"/>
        </w:rPr>
        <w:t xml:space="preserve"> anonymity</w:t>
      </w:r>
      <w:r w:rsidRPr="00907400">
        <w:rPr>
          <w:rFonts w:asciiTheme="majorHAnsi" w:hAnsiTheme="majorHAnsi"/>
          <w:sz w:val="20"/>
          <w:szCs w:val="20"/>
        </w:rPr>
        <w:t xml:space="preserve"> that the respective counterweight measures were adopted. The Commission considers that </w:t>
      </w:r>
      <w:r w:rsidR="001772C2" w:rsidRPr="00907400">
        <w:rPr>
          <w:rFonts w:asciiTheme="majorHAnsi" w:hAnsiTheme="majorHAnsi"/>
          <w:sz w:val="20"/>
          <w:szCs w:val="20"/>
        </w:rPr>
        <w:t xml:space="preserve">the written questioning </w:t>
      </w:r>
      <w:r w:rsidRPr="00907400">
        <w:rPr>
          <w:rFonts w:asciiTheme="majorHAnsi" w:hAnsiTheme="majorHAnsi"/>
          <w:sz w:val="20"/>
          <w:szCs w:val="20"/>
        </w:rPr>
        <w:t xml:space="preserve">of </w:t>
      </w:r>
      <w:r w:rsidR="001772C2" w:rsidRPr="00907400">
        <w:rPr>
          <w:rFonts w:asciiTheme="majorHAnsi" w:hAnsiTheme="majorHAnsi"/>
          <w:sz w:val="20"/>
          <w:szCs w:val="20"/>
        </w:rPr>
        <w:t xml:space="preserve">one of </w:t>
      </w:r>
      <w:r w:rsidRPr="00907400">
        <w:rPr>
          <w:rFonts w:asciiTheme="majorHAnsi" w:hAnsiTheme="majorHAnsi"/>
          <w:sz w:val="20"/>
          <w:szCs w:val="20"/>
        </w:rPr>
        <w:t xml:space="preserve">the </w:t>
      </w:r>
      <w:r w:rsidR="001772C2" w:rsidRPr="00907400">
        <w:rPr>
          <w:rFonts w:asciiTheme="majorHAnsi" w:hAnsiTheme="majorHAnsi"/>
          <w:sz w:val="20"/>
          <w:szCs w:val="20"/>
        </w:rPr>
        <w:t>anonymous</w:t>
      </w:r>
      <w:r w:rsidRPr="00907400">
        <w:rPr>
          <w:rFonts w:asciiTheme="majorHAnsi" w:hAnsiTheme="majorHAnsi"/>
          <w:sz w:val="20"/>
          <w:szCs w:val="20"/>
        </w:rPr>
        <w:t xml:space="preserve"> witnesses fails to compensate </w:t>
      </w:r>
      <w:r w:rsidR="006C4D51" w:rsidRPr="00907400">
        <w:rPr>
          <w:rFonts w:asciiTheme="majorHAnsi" w:hAnsiTheme="majorHAnsi"/>
          <w:sz w:val="20"/>
          <w:szCs w:val="20"/>
        </w:rPr>
        <w:t>the impact</w:t>
      </w:r>
      <w:r w:rsidR="001772C2" w:rsidRPr="00907400">
        <w:rPr>
          <w:rFonts w:asciiTheme="majorHAnsi" w:hAnsiTheme="majorHAnsi"/>
          <w:sz w:val="20"/>
          <w:szCs w:val="20"/>
        </w:rPr>
        <w:t xml:space="preserve"> on</w:t>
      </w:r>
      <w:r w:rsidRPr="00907400">
        <w:rPr>
          <w:rFonts w:asciiTheme="majorHAnsi" w:hAnsiTheme="majorHAnsi"/>
          <w:sz w:val="20"/>
          <w:szCs w:val="20"/>
        </w:rPr>
        <w:t xml:space="preserve"> the right of defense, particularly taking into account</w:t>
      </w:r>
      <w:r w:rsidR="001772C2" w:rsidRPr="00907400">
        <w:rPr>
          <w:rFonts w:asciiTheme="majorHAnsi" w:hAnsiTheme="majorHAnsi"/>
          <w:sz w:val="20"/>
          <w:szCs w:val="20"/>
        </w:rPr>
        <w:t xml:space="preserve"> that the identity of the prosecutorial</w:t>
      </w:r>
      <w:r w:rsidRPr="00907400">
        <w:rPr>
          <w:rFonts w:asciiTheme="majorHAnsi" w:hAnsiTheme="majorHAnsi"/>
          <w:sz w:val="20"/>
          <w:szCs w:val="20"/>
        </w:rPr>
        <w:t xml:space="preserve"> and judicial authorities</w:t>
      </w:r>
      <w:r w:rsidR="001772C2" w:rsidRPr="00907400">
        <w:rPr>
          <w:rFonts w:asciiTheme="majorHAnsi" w:hAnsiTheme="majorHAnsi"/>
          <w:sz w:val="20"/>
          <w:szCs w:val="20"/>
        </w:rPr>
        <w:t xml:space="preserve"> remained anonymous</w:t>
      </w:r>
      <w:r w:rsidRPr="00907400">
        <w:rPr>
          <w:rFonts w:asciiTheme="majorHAnsi" w:hAnsiTheme="majorHAnsi"/>
          <w:sz w:val="20"/>
          <w:szCs w:val="20"/>
        </w:rPr>
        <w:t>, in the terms already analyzed.</w:t>
      </w:r>
    </w:p>
    <w:p w14:paraId="2D204853" w14:textId="77777777" w:rsidR="00ED6F2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A836BEC" w14:textId="77777777" w:rsidR="007A744E"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Third</w:t>
      </w:r>
      <w:r w:rsidR="00EA57BD" w:rsidRPr="00907400">
        <w:rPr>
          <w:rFonts w:asciiTheme="majorHAnsi" w:hAnsiTheme="majorHAnsi"/>
          <w:sz w:val="20"/>
          <w:szCs w:val="20"/>
        </w:rPr>
        <w:t>ly</w:t>
      </w:r>
      <w:r w:rsidRPr="00907400">
        <w:rPr>
          <w:rFonts w:asciiTheme="majorHAnsi" w:hAnsiTheme="majorHAnsi"/>
          <w:sz w:val="20"/>
          <w:szCs w:val="20"/>
        </w:rPr>
        <w:t>, as will be developed in the next section, Mr. Sastoque</w:t>
      </w:r>
      <w:r w:rsidR="00CE209F" w:rsidRPr="00907400">
        <w:rPr>
          <w:rFonts w:asciiTheme="majorHAnsi" w:hAnsiTheme="majorHAnsi"/>
          <w:sz w:val="20"/>
          <w:szCs w:val="20"/>
        </w:rPr>
        <w:t>’s conviction</w:t>
      </w:r>
      <w:r w:rsidR="006C4D51" w:rsidRPr="00907400">
        <w:rPr>
          <w:rFonts w:asciiTheme="majorHAnsi" w:hAnsiTheme="majorHAnsi"/>
          <w:sz w:val="20"/>
          <w:szCs w:val="20"/>
        </w:rPr>
        <w:t xml:space="preserve"> was grounded</w:t>
      </w:r>
      <w:r w:rsidRPr="00907400">
        <w:rPr>
          <w:rFonts w:asciiTheme="majorHAnsi" w:hAnsiTheme="majorHAnsi"/>
          <w:sz w:val="20"/>
          <w:szCs w:val="20"/>
        </w:rPr>
        <w:t xml:space="preserve"> almost exclusively on the statements of the </w:t>
      </w:r>
      <w:r w:rsidR="00EA57BD" w:rsidRPr="00907400">
        <w:rPr>
          <w:rFonts w:asciiTheme="majorHAnsi" w:hAnsiTheme="majorHAnsi"/>
          <w:sz w:val="20"/>
          <w:szCs w:val="20"/>
        </w:rPr>
        <w:t>anonymous</w:t>
      </w:r>
      <w:r w:rsidRPr="00907400">
        <w:rPr>
          <w:rFonts w:asciiTheme="majorHAnsi" w:hAnsiTheme="majorHAnsi"/>
          <w:sz w:val="20"/>
          <w:szCs w:val="20"/>
        </w:rPr>
        <w:t xml:space="preserve"> witnesses. Although Witness No. 1</w:t>
      </w:r>
      <w:r w:rsidR="00CE209F" w:rsidRPr="00907400">
        <w:rPr>
          <w:rFonts w:asciiTheme="majorHAnsi" w:hAnsiTheme="majorHAnsi"/>
          <w:sz w:val="20"/>
          <w:szCs w:val="20"/>
        </w:rPr>
        <w:t>’s anonymity</w:t>
      </w:r>
      <w:r w:rsidRPr="00907400">
        <w:rPr>
          <w:rFonts w:asciiTheme="majorHAnsi" w:hAnsiTheme="majorHAnsi"/>
          <w:sz w:val="20"/>
          <w:szCs w:val="20"/>
        </w:rPr>
        <w:t xml:space="preserve"> was lifted, th</w:t>
      </w:r>
      <w:r w:rsidR="000E43DF" w:rsidRPr="00907400">
        <w:rPr>
          <w:rFonts w:asciiTheme="majorHAnsi" w:hAnsiTheme="majorHAnsi"/>
          <w:sz w:val="20"/>
          <w:szCs w:val="20"/>
        </w:rPr>
        <w:t>is occurred</w:t>
      </w:r>
      <w:r w:rsidRPr="00907400">
        <w:rPr>
          <w:rFonts w:asciiTheme="majorHAnsi" w:hAnsiTheme="majorHAnsi"/>
          <w:sz w:val="20"/>
          <w:szCs w:val="20"/>
        </w:rPr>
        <w:t xml:space="preserve"> with respect to one person</w:t>
      </w:r>
      <w:r w:rsidR="000E43DF" w:rsidRPr="00907400">
        <w:rPr>
          <w:rFonts w:asciiTheme="majorHAnsi" w:hAnsiTheme="majorHAnsi"/>
          <w:sz w:val="20"/>
          <w:szCs w:val="20"/>
        </w:rPr>
        <w:t xml:space="preserve"> only and the State </w:t>
      </w:r>
      <w:r w:rsidR="00CE209F" w:rsidRPr="00907400">
        <w:rPr>
          <w:rFonts w:asciiTheme="majorHAnsi" w:hAnsiTheme="majorHAnsi"/>
          <w:sz w:val="20"/>
          <w:szCs w:val="20"/>
        </w:rPr>
        <w:t>failed to show</w:t>
      </w:r>
      <w:r w:rsidRPr="00907400">
        <w:rPr>
          <w:rFonts w:asciiTheme="majorHAnsi" w:hAnsiTheme="majorHAnsi"/>
          <w:sz w:val="20"/>
          <w:szCs w:val="20"/>
        </w:rPr>
        <w:t xml:space="preserve"> how </w:t>
      </w:r>
      <w:r w:rsidR="000E43DF" w:rsidRPr="00907400">
        <w:rPr>
          <w:rFonts w:asciiTheme="majorHAnsi" w:hAnsiTheme="majorHAnsi"/>
          <w:sz w:val="20"/>
          <w:szCs w:val="20"/>
        </w:rPr>
        <w:t>the impact on the right of defense was subsequently compensated due to</w:t>
      </w:r>
      <w:r w:rsidRPr="00907400">
        <w:rPr>
          <w:rFonts w:asciiTheme="majorHAnsi" w:hAnsiTheme="majorHAnsi"/>
          <w:sz w:val="20"/>
          <w:szCs w:val="20"/>
        </w:rPr>
        <w:t xml:space="preserve"> the </w:t>
      </w:r>
      <w:r w:rsidR="00E431EC" w:rsidRPr="00907400">
        <w:rPr>
          <w:rFonts w:asciiTheme="majorHAnsi" w:hAnsiTheme="majorHAnsi"/>
          <w:sz w:val="20"/>
          <w:szCs w:val="20"/>
        </w:rPr>
        <w:t>anonymity</w:t>
      </w:r>
      <w:r w:rsidRPr="00907400">
        <w:rPr>
          <w:rFonts w:asciiTheme="majorHAnsi" w:hAnsiTheme="majorHAnsi"/>
          <w:sz w:val="20"/>
          <w:szCs w:val="20"/>
        </w:rPr>
        <w:t xml:space="preserve">. In effect, Mr. Sastoque's defense </w:t>
      </w:r>
      <w:r w:rsidR="00E431EC" w:rsidRPr="00907400">
        <w:rPr>
          <w:rFonts w:asciiTheme="majorHAnsi" w:hAnsiTheme="majorHAnsi"/>
          <w:sz w:val="20"/>
          <w:szCs w:val="20"/>
        </w:rPr>
        <w:t xml:space="preserve">attorneys </w:t>
      </w:r>
      <w:r w:rsidRPr="00907400">
        <w:rPr>
          <w:rFonts w:asciiTheme="majorHAnsi" w:hAnsiTheme="majorHAnsi"/>
          <w:sz w:val="20"/>
          <w:szCs w:val="20"/>
        </w:rPr>
        <w:t xml:space="preserve">argued that there was no real opportunity to </w:t>
      </w:r>
      <w:r w:rsidR="00E431EC" w:rsidRPr="00907400">
        <w:rPr>
          <w:rFonts w:asciiTheme="majorHAnsi" w:hAnsiTheme="majorHAnsi"/>
          <w:sz w:val="20"/>
          <w:szCs w:val="20"/>
        </w:rPr>
        <w:t>cross-examine</w:t>
      </w:r>
      <w:r w:rsidRPr="00907400">
        <w:rPr>
          <w:rFonts w:asciiTheme="majorHAnsi" w:hAnsiTheme="majorHAnsi"/>
          <w:sz w:val="20"/>
          <w:szCs w:val="20"/>
        </w:rPr>
        <w:t xml:space="preserve"> this person's statements and the State has not demonstrated otherwise.</w:t>
      </w:r>
    </w:p>
    <w:p w14:paraId="2ED0196C"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06C122A" w14:textId="77777777" w:rsidR="007A744E" w:rsidRDefault="000A4C4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Based on the foregoing, the Commission considers that the situation in this case </w:t>
      </w:r>
      <w:r w:rsidR="00240730" w:rsidRPr="00907400">
        <w:rPr>
          <w:rFonts w:asciiTheme="majorHAnsi" w:hAnsiTheme="majorHAnsi"/>
          <w:sz w:val="20"/>
          <w:szCs w:val="20"/>
        </w:rPr>
        <w:t>fits squarely with</w:t>
      </w:r>
      <w:r w:rsidRPr="00907400">
        <w:rPr>
          <w:rFonts w:asciiTheme="majorHAnsi" w:hAnsiTheme="majorHAnsi"/>
          <w:sz w:val="20"/>
          <w:szCs w:val="20"/>
        </w:rPr>
        <w:t xml:space="preserve"> </w:t>
      </w:r>
      <w:r w:rsidR="000E43DF" w:rsidRPr="00907400">
        <w:rPr>
          <w:rFonts w:asciiTheme="majorHAnsi" w:hAnsiTheme="majorHAnsi"/>
          <w:sz w:val="20"/>
          <w:szCs w:val="20"/>
        </w:rPr>
        <w:t xml:space="preserve">the </w:t>
      </w:r>
      <w:r w:rsidRPr="00907400">
        <w:rPr>
          <w:rFonts w:asciiTheme="majorHAnsi" w:hAnsiTheme="majorHAnsi"/>
          <w:sz w:val="20"/>
          <w:szCs w:val="20"/>
        </w:rPr>
        <w:t>pre</w:t>
      </w:r>
      <w:r w:rsidR="000E43DF" w:rsidRPr="00907400">
        <w:rPr>
          <w:rFonts w:asciiTheme="majorHAnsi" w:hAnsiTheme="majorHAnsi"/>
          <w:sz w:val="20"/>
          <w:szCs w:val="20"/>
        </w:rPr>
        <w:t>vious section on the use</w:t>
      </w:r>
      <w:r w:rsidRPr="00907400">
        <w:rPr>
          <w:rFonts w:asciiTheme="majorHAnsi" w:hAnsiTheme="majorHAnsi"/>
          <w:sz w:val="20"/>
          <w:szCs w:val="20"/>
        </w:rPr>
        <w:t xml:space="preserve"> of </w:t>
      </w:r>
      <w:r w:rsidR="00240730" w:rsidRPr="00907400">
        <w:rPr>
          <w:rFonts w:asciiTheme="majorHAnsi" w:hAnsiTheme="majorHAnsi"/>
          <w:sz w:val="20"/>
          <w:szCs w:val="20"/>
        </w:rPr>
        <w:t xml:space="preserve">anonymous </w:t>
      </w:r>
      <w:r w:rsidRPr="00907400">
        <w:rPr>
          <w:rFonts w:asciiTheme="majorHAnsi" w:hAnsiTheme="majorHAnsi"/>
          <w:sz w:val="20"/>
          <w:szCs w:val="20"/>
        </w:rPr>
        <w:t xml:space="preserve">witnesses </w:t>
      </w:r>
      <w:r w:rsidR="000E43DF" w:rsidRPr="00907400">
        <w:rPr>
          <w:rFonts w:asciiTheme="majorHAnsi" w:hAnsiTheme="majorHAnsi"/>
          <w:sz w:val="20"/>
          <w:szCs w:val="20"/>
        </w:rPr>
        <w:t>with</w:t>
      </w:r>
      <w:r w:rsidRPr="00907400">
        <w:rPr>
          <w:rFonts w:asciiTheme="majorHAnsi" w:hAnsiTheme="majorHAnsi"/>
          <w:sz w:val="20"/>
          <w:szCs w:val="20"/>
        </w:rPr>
        <w:t>in t</w:t>
      </w:r>
      <w:r w:rsidR="000E43DF" w:rsidRPr="00907400">
        <w:rPr>
          <w:rFonts w:asciiTheme="majorHAnsi" w:hAnsiTheme="majorHAnsi"/>
          <w:sz w:val="20"/>
          <w:szCs w:val="20"/>
        </w:rPr>
        <w:t>he framework of Regional J</w:t>
      </w:r>
      <w:r w:rsidRPr="00907400">
        <w:rPr>
          <w:rFonts w:asciiTheme="majorHAnsi" w:hAnsiTheme="majorHAnsi"/>
          <w:sz w:val="20"/>
          <w:szCs w:val="20"/>
        </w:rPr>
        <w:t xml:space="preserve">ustice </w:t>
      </w:r>
      <w:r w:rsidR="000E43DF" w:rsidRPr="00907400">
        <w:rPr>
          <w:rFonts w:asciiTheme="majorHAnsi" w:hAnsiTheme="majorHAnsi"/>
          <w:sz w:val="20"/>
          <w:szCs w:val="20"/>
        </w:rPr>
        <w:t xml:space="preserve">System </w:t>
      </w:r>
      <w:r w:rsidRPr="00907400">
        <w:rPr>
          <w:rFonts w:asciiTheme="majorHAnsi" w:hAnsiTheme="majorHAnsi"/>
          <w:sz w:val="20"/>
          <w:szCs w:val="20"/>
        </w:rPr>
        <w:t>in Colombia, which is a violation of the right of defense established in the American Convention. Consequently, the IACHR concludes that the State is responsible for the violati</w:t>
      </w:r>
      <w:r w:rsidR="00240730" w:rsidRPr="00907400">
        <w:rPr>
          <w:rFonts w:asciiTheme="majorHAnsi" w:hAnsiTheme="majorHAnsi"/>
          <w:sz w:val="20"/>
          <w:szCs w:val="20"/>
        </w:rPr>
        <w:t>on of the right established in Articles 8.2.c and 8.2.f</w:t>
      </w:r>
      <w:r w:rsidRPr="00907400">
        <w:rPr>
          <w:rFonts w:asciiTheme="majorHAnsi" w:hAnsiTheme="majorHAnsi"/>
          <w:sz w:val="20"/>
          <w:szCs w:val="20"/>
        </w:rPr>
        <w:t xml:space="preserve"> of the Ameri</w:t>
      </w:r>
      <w:r w:rsidR="00240730" w:rsidRPr="00907400">
        <w:rPr>
          <w:rFonts w:asciiTheme="majorHAnsi" w:hAnsiTheme="majorHAnsi"/>
          <w:sz w:val="20"/>
          <w:szCs w:val="20"/>
        </w:rPr>
        <w:t>can Convention, in relation to A</w:t>
      </w:r>
      <w:r w:rsidRPr="00907400">
        <w:rPr>
          <w:rFonts w:asciiTheme="majorHAnsi" w:hAnsiTheme="majorHAnsi"/>
          <w:sz w:val="20"/>
          <w:szCs w:val="20"/>
        </w:rPr>
        <w:t>rticles 1.1 and 2 of the same instrument, to the detriment of Gustavo Sastoque Alfonso.</w:t>
      </w:r>
    </w:p>
    <w:p w14:paraId="4D018523" w14:textId="77777777" w:rsidR="00ED6F20" w:rsidRPr="00907400" w:rsidRDefault="00ED6F20" w:rsidP="00ED6F2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E5D6C2D" w14:textId="77777777" w:rsidR="007A744E" w:rsidRPr="00DB6B7E" w:rsidRDefault="00DB6B7E" w:rsidP="00DB6B7E">
      <w:pPr>
        <w:pStyle w:val="Heading3"/>
        <w:spacing w:before="0"/>
        <w:ind w:left="1440" w:hanging="720"/>
        <w:jc w:val="both"/>
        <w:rPr>
          <w:color w:val="auto"/>
          <w:sz w:val="20"/>
          <w:szCs w:val="20"/>
        </w:rPr>
      </w:pPr>
      <w:bookmarkStart w:id="19" w:name="_Toc513023536"/>
      <w:bookmarkStart w:id="20" w:name="_Toc211249804"/>
      <w:r w:rsidRPr="00DB6B7E">
        <w:rPr>
          <w:color w:val="auto"/>
          <w:sz w:val="20"/>
          <w:szCs w:val="20"/>
        </w:rPr>
        <w:t>4</w:t>
      </w:r>
      <w:r w:rsidR="004A2775" w:rsidRPr="00DB6B7E">
        <w:rPr>
          <w:color w:val="auto"/>
          <w:sz w:val="20"/>
          <w:szCs w:val="20"/>
        </w:rPr>
        <w:t>.</w:t>
      </w:r>
      <w:r w:rsidR="004A2775" w:rsidRPr="00DB6B7E">
        <w:rPr>
          <w:color w:val="auto"/>
          <w:sz w:val="20"/>
          <w:szCs w:val="20"/>
        </w:rPr>
        <w:tab/>
        <w:t>P</w:t>
      </w:r>
      <w:r w:rsidR="006E3D2C" w:rsidRPr="00DB6B7E">
        <w:rPr>
          <w:color w:val="auto"/>
          <w:sz w:val="20"/>
          <w:szCs w:val="20"/>
        </w:rPr>
        <w:t xml:space="preserve">rinciple of </w:t>
      </w:r>
      <w:r w:rsidR="004A2775" w:rsidRPr="00DB6B7E">
        <w:rPr>
          <w:color w:val="auto"/>
          <w:sz w:val="20"/>
          <w:szCs w:val="20"/>
        </w:rPr>
        <w:t xml:space="preserve">the </w:t>
      </w:r>
      <w:r w:rsidR="006E3D2C" w:rsidRPr="00DB6B7E">
        <w:rPr>
          <w:color w:val="auto"/>
          <w:sz w:val="20"/>
          <w:szCs w:val="20"/>
        </w:rPr>
        <w:t>Presump</w:t>
      </w:r>
      <w:r w:rsidR="007A0517" w:rsidRPr="00DB6B7E">
        <w:rPr>
          <w:color w:val="auto"/>
          <w:sz w:val="20"/>
          <w:szCs w:val="20"/>
        </w:rPr>
        <w:t xml:space="preserve">tion of Innocence, </w:t>
      </w:r>
      <w:r w:rsidR="006E3D2C" w:rsidRPr="00DB6B7E">
        <w:rPr>
          <w:color w:val="auto"/>
          <w:sz w:val="20"/>
          <w:szCs w:val="20"/>
        </w:rPr>
        <w:t>Reason</w:t>
      </w:r>
      <w:r w:rsidR="007A0517" w:rsidRPr="00DB6B7E">
        <w:rPr>
          <w:color w:val="auto"/>
          <w:sz w:val="20"/>
          <w:szCs w:val="20"/>
        </w:rPr>
        <w:t>ed Decisions</w:t>
      </w:r>
      <w:r w:rsidR="006E3D2C" w:rsidRPr="00DB6B7E">
        <w:rPr>
          <w:color w:val="auto"/>
          <w:sz w:val="20"/>
          <w:szCs w:val="20"/>
        </w:rPr>
        <w:t xml:space="preserve"> and Judicial Protection</w:t>
      </w:r>
      <w:bookmarkEnd w:id="19"/>
      <w:bookmarkEnd w:id="20"/>
    </w:p>
    <w:p w14:paraId="710BE531" w14:textId="77777777" w:rsidR="00ED6F20" w:rsidRPr="00907400" w:rsidRDefault="00ED6F20"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rPr>
      </w:pPr>
    </w:p>
    <w:p w14:paraId="706489C0" w14:textId="77777777" w:rsidR="006E3D2C"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Another fundamental element of due process is the principle of </w:t>
      </w:r>
      <w:r w:rsidR="004A2775" w:rsidRPr="00907400">
        <w:rPr>
          <w:rFonts w:asciiTheme="majorHAnsi" w:hAnsiTheme="majorHAnsi"/>
          <w:sz w:val="20"/>
          <w:szCs w:val="20"/>
        </w:rPr>
        <w:t xml:space="preserve">the </w:t>
      </w:r>
      <w:r w:rsidRPr="00907400">
        <w:rPr>
          <w:rFonts w:asciiTheme="majorHAnsi" w:hAnsiTheme="majorHAnsi"/>
          <w:sz w:val="20"/>
          <w:szCs w:val="20"/>
        </w:rPr>
        <w:t xml:space="preserve">presumption of innocence, which is closely related to the right to have duly </w:t>
      </w:r>
      <w:r w:rsidR="004A2775" w:rsidRPr="00907400">
        <w:rPr>
          <w:rFonts w:asciiTheme="majorHAnsi" w:hAnsiTheme="majorHAnsi"/>
          <w:sz w:val="20"/>
          <w:szCs w:val="20"/>
        </w:rPr>
        <w:t>reasoned</w:t>
      </w:r>
      <w:r w:rsidRPr="00907400">
        <w:rPr>
          <w:rFonts w:asciiTheme="majorHAnsi" w:hAnsiTheme="majorHAnsi"/>
          <w:sz w:val="20"/>
          <w:szCs w:val="20"/>
        </w:rPr>
        <w:t xml:space="preserve"> decisions.</w:t>
      </w:r>
    </w:p>
    <w:p w14:paraId="5C057BD1"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96BDE83" w14:textId="77777777" w:rsidR="006E3D2C"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presumption of innocence implies that the accused enjoys a </w:t>
      </w:r>
      <w:r w:rsidR="00AA05AF" w:rsidRPr="00907400">
        <w:rPr>
          <w:rFonts w:asciiTheme="majorHAnsi" w:hAnsiTheme="majorHAnsi"/>
          <w:sz w:val="20"/>
          <w:szCs w:val="20"/>
        </w:rPr>
        <w:t>legal status of innocence or of lack of guilt</w:t>
      </w:r>
      <w:r w:rsidRPr="00907400">
        <w:rPr>
          <w:rFonts w:asciiTheme="majorHAnsi" w:hAnsiTheme="majorHAnsi"/>
          <w:sz w:val="20"/>
          <w:szCs w:val="20"/>
        </w:rPr>
        <w:t xml:space="preserve"> </w:t>
      </w:r>
      <w:r w:rsidR="00AA05AF" w:rsidRPr="00907400">
        <w:rPr>
          <w:rFonts w:asciiTheme="majorHAnsi" w:hAnsiTheme="majorHAnsi"/>
          <w:sz w:val="20"/>
          <w:szCs w:val="20"/>
        </w:rPr>
        <w:t>while his cri</w:t>
      </w:r>
      <w:r w:rsidR="002663D4" w:rsidRPr="00907400">
        <w:rPr>
          <w:rFonts w:asciiTheme="majorHAnsi" w:hAnsiTheme="majorHAnsi"/>
          <w:sz w:val="20"/>
          <w:szCs w:val="20"/>
        </w:rPr>
        <w:t>minal liability is being established</w:t>
      </w:r>
      <w:r w:rsidRPr="00907400">
        <w:rPr>
          <w:rFonts w:asciiTheme="majorHAnsi" w:hAnsiTheme="majorHAnsi"/>
          <w:sz w:val="20"/>
          <w:szCs w:val="20"/>
        </w:rPr>
        <w:t xml:space="preserve">, in such a way </w:t>
      </w:r>
      <w:r w:rsidR="00AA05AF" w:rsidRPr="00907400">
        <w:rPr>
          <w:rFonts w:asciiTheme="majorHAnsi" w:hAnsiTheme="majorHAnsi"/>
          <w:sz w:val="20"/>
          <w:szCs w:val="20"/>
        </w:rPr>
        <w:t xml:space="preserve">that </w:t>
      </w:r>
      <w:r w:rsidRPr="00907400">
        <w:rPr>
          <w:rFonts w:asciiTheme="majorHAnsi" w:hAnsiTheme="majorHAnsi"/>
          <w:sz w:val="20"/>
          <w:szCs w:val="20"/>
        </w:rPr>
        <w:t xml:space="preserve">the State </w:t>
      </w:r>
      <w:r w:rsidR="00AA05AF" w:rsidRPr="00907400">
        <w:rPr>
          <w:rFonts w:asciiTheme="majorHAnsi" w:hAnsiTheme="majorHAnsi"/>
          <w:sz w:val="20"/>
          <w:szCs w:val="20"/>
        </w:rPr>
        <w:t xml:space="preserve">must treat him </w:t>
      </w:r>
      <w:r w:rsidRPr="00907400">
        <w:rPr>
          <w:rFonts w:asciiTheme="majorHAnsi" w:hAnsiTheme="majorHAnsi"/>
          <w:sz w:val="20"/>
          <w:szCs w:val="20"/>
        </w:rPr>
        <w:t>in accordance with his status as an un</w:t>
      </w:r>
      <w:r w:rsidR="00AA05AF" w:rsidRPr="00907400">
        <w:rPr>
          <w:rFonts w:asciiTheme="majorHAnsi" w:hAnsiTheme="majorHAnsi"/>
          <w:sz w:val="20"/>
          <w:szCs w:val="20"/>
        </w:rPr>
        <w:t>-</w:t>
      </w:r>
      <w:r w:rsidRPr="00907400">
        <w:rPr>
          <w:rFonts w:asciiTheme="majorHAnsi" w:hAnsiTheme="majorHAnsi"/>
          <w:sz w:val="20"/>
          <w:szCs w:val="20"/>
        </w:rPr>
        <w:t>convicted person.</w:t>
      </w:r>
      <w:r w:rsidR="001366E0" w:rsidRPr="00907400">
        <w:rPr>
          <w:rStyle w:val="FootnoteReference"/>
          <w:rFonts w:asciiTheme="majorHAnsi" w:hAnsiTheme="majorHAnsi"/>
          <w:sz w:val="20"/>
          <w:szCs w:val="20"/>
        </w:rPr>
        <w:footnoteReference w:id="104"/>
      </w:r>
      <w:r w:rsidRPr="00907400">
        <w:rPr>
          <w:rFonts w:asciiTheme="majorHAnsi" w:hAnsiTheme="majorHAnsi"/>
          <w:sz w:val="20"/>
          <w:szCs w:val="20"/>
        </w:rPr>
        <w:t xml:space="preserve"> The Court has held that this implies that the accused </w:t>
      </w:r>
      <w:r w:rsidR="00391FB8" w:rsidRPr="00907400">
        <w:rPr>
          <w:rFonts w:asciiTheme="majorHAnsi" w:hAnsiTheme="majorHAnsi"/>
          <w:sz w:val="20"/>
          <w:szCs w:val="20"/>
        </w:rPr>
        <w:t xml:space="preserve">does not have to prove that he has not committed the offense of which he is accused, because </w:t>
      </w:r>
      <w:r w:rsidRPr="00907400">
        <w:rPr>
          <w:rFonts w:asciiTheme="majorHAnsi" w:hAnsiTheme="majorHAnsi"/>
          <w:sz w:val="20"/>
          <w:szCs w:val="20"/>
        </w:rPr>
        <w:t xml:space="preserve">the </w:t>
      </w:r>
      <w:r w:rsidRPr="00907400">
        <w:rPr>
          <w:rFonts w:asciiTheme="majorHAnsi" w:hAnsiTheme="majorHAnsi"/>
          <w:i/>
          <w:sz w:val="20"/>
          <w:szCs w:val="20"/>
        </w:rPr>
        <w:t>onus probandi</w:t>
      </w:r>
      <w:r w:rsidRPr="00907400">
        <w:rPr>
          <w:rFonts w:asciiTheme="majorHAnsi" w:hAnsiTheme="majorHAnsi"/>
          <w:sz w:val="20"/>
          <w:szCs w:val="20"/>
        </w:rPr>
        <w:t xml:space="preserve"> </w:t>
      </w:r>
      <w:r w:rsidR="00391FB8" w:rsidRPr="00907400">
        <w:rPr>
          <w:rFonts w:asciiTheme="majorHAnsi" w:hAnsiTheme="majorHAnsi"/>
          <w:sz w:val="20"/>
          <w:szCs w:val="20"/>
        </w:rPr>
        <w:t>is on those who have made the accusation</w:t>
      </w:r>
      <w:r w:rsidRPr="00907400">
        <w:rPr>
          <w:rFonts w:asciiTheme="majorHAnsi" w:hAnsiTheme="majorHAnsi"/>
          <w:sz w:val="20"/>
          <w:szCs w:val="20"/>
        </w:rPr>
        <w:t>.</w:t>
      </w:r>
      <w:r w:rsidR="001366E0" w:rsidRPr="00907400">
        <w:rPr>
          <w:rStyle w:val="FootnoteReference"/>
          <w:rFonts w:asciiTheme="majorHAnsi" w:hAnsiTheme="majorHAnsi"/>
          <w:sz w:val="20"/>
          <w:szCs w:val="20"/>
        </w:rPr>
        <w:t xml:space="preserve"> </w:t>
      </w:r>
      <w:r w:rsidR="001366E0" w:rsidRPr="00907400">
        <w:rPr>
          <w:rStyle w:val="FootnoteReference"/>
          <w:rFonts w:asciiTheme="majorHAnsi" w:hAnsiTheme="majorHAnsi"/>
          <w:sz w:val="20"/>
          <w:szCs w:val="20"/>
        </w:rPr>
        <w:footnoteReference w:id="105"/>
      </w:r>
      <w:r w:rsidRPr="00907400">
        <w:rPr>
          <w:rFonts w:asciiTheme="majorHAnsi" w:hAnsiTheme="majorHAnsi"/>
          <w:sz w:val="20"/>
          <w:szCs w:val="20"/>
        </w:rPr>
        <w:t xml:space="preserve"> In this way, the IACHR has emphasized that an authentic </w:t>
      </w:r>
      <w:r w:rsidRPr="00907400">
        <w:rPr>
          <w:rFonts w:asciiTheme="majorHAnsi" w:hAnsiTheme="majorHAnsi"/>
          <w:sz w:val="20"/>
          <w:szCs w:val="20"/>
        </w:rPr>
        <w:lastRenderedPageBreak/>
        <w:t xml:space="preserve">demonstration of guilt constitutes an indispensable requirement for criminal sanctions, so that the burden of proof rests with </w:t>
      </w:r>
      <w:r w:rsidR="00391FB8" w:rsidRPr="00907400">
        <w:rPr>
          <w:rFonts w:asciiTheme="majorHAnsi" w:hAnsiTheme="majorHAnsi"/>
          <w:sz w:val="20"/>
          <w:szCs w:val="20"/>
        </w:rPr>
        <w:t>those making the accusation and not with the accused</w:t>
      </w:r>
      <w:r w:rsidRPr="00907400">
        <w:rPr>
          <w:rFonts w:asciiTheme="majorHAnsi" w:hAnsiTheme="majorHAnsi"/>
          <w:sz w:val="20"/>
          <w:szCs w:val="20"/>
        </w:rPr>
        <w:t>.</w:t>
      </w:r>
      <w:r w:rsidR="001366E0" w:rsidRPr="00907400">
        <w:rPr>
          <w:rStyle w:val="FootnoteReference"/>
          <w:rFonts w:asciiTheme="majorHAnsi" w:hAnsiTheme="majorHAnsi"/>
          <w:sz w:val="20"/>
          <w:szCs w:val="20"/>
        </w:rPr>
        <w:t xml:space="preserve"> </w:t>
      </w:r>
      <w:r w:rsidR="001366E0" w:rsidRPr="00907400">
        <w:rPr>
          <w:rStyle w:val="FootnoteReference"/>
          <w:rFonts w:asciiTheme="majorHAnsi" w:hAnsiTheme="majorHAnsi"/>
          <w:sz w:val="20"/>
          <w:szCs w:val="20"/>
        </w:rPr>
        <w:footnoteReference w:id="106"/>
      </w:r>
    </w:p>
    <w:p w14:paraId="1A441C69"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202B34C" w14:textId="77777777" w:rsidR="006E3D2C"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accordance with the foregoing, international human rights law establishes that no person can be sentenced until there is </w:t>
      </w:r>
      <w:r w:rsidR="00420675" w:rsidRPr="00907400">
        <w:rPr>
          <w:rFonts w:asciiTheme="majorHAnsi" w:hAnsiTheme="majorHAnsi"/>
          <w:sz w:val="20"/>
          <w:szCs w:val="20"/>
        </w:rPr>
        <w:t>clear</w:t>
      </w:r>
      <w:r w:rsidRPr="00907400">
        <w:rPr>
          <w:rFonts w:asciiTheme="majorHAnsi" w:hAnsiTheme="majorHAnsi"/>
          <w:sz w:val="20"/>
          <w:szCs w:val="20"/>
        </w:rPr>
        <w:t xml:space="preserve"> proof of his criminal responsibility. In the words of the Court, "if </w:t>
      </w:r>
      <w:r w:rsidR="00420675" w:rsidRPr="00907400">
        <w:rPr>
          <w:rFonts w:asciiTheme="majorHAnsi" w:hAnsiTheme="majorHAnsi"/>
          <w:sz w:val="20"/>
          <w:szCs w:val="20"/>
        </w:rPr>
        <w:t>the evidence presented i</w:t>
      </w:r>
      <w:r w:rsidR="002663D4" w:rsidRPr="00907400">
        <w:rPr>
          <w:rFonts w:asciiTheme="majorHAnsi" w:hAnsiTheme="majorHAnsi"/>
          <w:sz w:val="20"/>
          <w:szCs w:val="20"/>
        </w:rPr>
        <w:t>s incomplete or insufficient, he/she</w:t>
      </w:r>
      <w:r w:rsidR="00420675" w:rsidRPr="00907400">
        <w:rPr>
          <w:rFonts w:asciiTheme="majorHAnsi" w:hAnsiTheme="majorHAnsi"/>
          <w:sz w:val="20"/>
          <w:szCs w:val="20"/>
        </w:rPr>
        <w:t xml:space="preserve"> must be acquitted, not convicted</w:t>
      </w:r>
      <w:r w:rsidRPr="00907400">
        <w:rPr>
          <w:rFonts w:asciiTheme="majorHAnsi" w:hAnsiTheme="majorHAnsi"/>
          <w:sz w:val="20"/>
          <w:szCs w:val="20"/>
        </w:rPr>
        <w:t>".</w:t>
      </w:r>
      <w:r w:rsidR="001366E0" w:rsidRPr="00907400">
        <w:rPr>
          <w:rStyle w:val="FootnoteReference"/>
          <w:rFonts w:asciiTheme="majorHAnsi" w:hAnsiTheme="majorHAnsi"/>
          <w:sz w:val="20"/>
          <w:szCs w:val="20"/>
        </w:rPr>
        <w:footnoteReference w:id="107"/>
      </w:r>
      <w:r w:rsidRPr="00907400">
        <w:rPr>
          <w:rFonts w:asciiTheme="majorHAnsi" w:hAnsiTheme="majorHAnsi"/>
          <w:sz w:val="20"/>
          <w:szCs w:val="20"/>
        </w:rPr>
        <w:t xml:space="preserve"> In the same sense, the Commission has considered that the lack of </w:t>
      </w:r>
      <w:r w:rsidR="00420675" w:rsidRPr="00907400">
        <w:rPr>
          <w:rFonts w:asciiTheme="majorHAnsi" w:hAnsiTheme="majorHAnsi"/>
          <w:sz w:val="20"/>
          <w:szCs w:val="20"/>
        </w:rPr>
        <w:t>clear</w:t>
      </w:r>
      <w:r w:rsidRPr="00907400">
        <w:rPr>
          <w:rFonts w:asciiTheme="majorHAnsi" w:hAnsiTheme="majorHAnsi"/>
          <w:sz w:val="20"/>
          <w:szCs w:val="20"/>
        </w:rPr>
        <w:t xml:space="preserve"> proof of criminal responsibility in a conviction constitutes a violation of the principle of </w:t>
      </w:r>
      <w:r w:rsidR="00420675" w:rsidRPr="00907400">
        <w:rPr>
          <w:rFonts w:asciiTheme="majorHAnsi" w:hAnsiTheme="majorHAnsi"/>
          <w:sz w:val="20"/>
          <w:szCs w:val="20"/>
        </w:rPr>
        <w:t xml:space="preserve">the </w:t>
      </w:r>
      <w:r w:rsidRPr="00907400">
        <w:rPr>
          <w:rFonts w:asciiTheme="majorHAnsi" w:hAnsiTheme="majorHAnsi"/>
          <w:sz w:val="20"/>
          <w:szCs w:val="20"/>
        </w:rPr>
        <w:t>presumption of innocence.</w:t>
      </w:r>
      <w:r w:rsidR="001366E0" w:rsidRPr="00907400">
        <w:rPr>
          <w:rStyle w:val="FootnoteReference"/>
          <w:rFonts w:asciiTheme="majorHAnsi" w:hAnsiTheme="majorHAnsi"/>
          <w:sz w:val="20"/>
          <w:szCs w:val="20"/>
        </w:rPr>
        <w:t xml:space="preserve"> </w:t>
      </w:r>
      <w:r w:rsidR="001366E0" w:rsidRPr="00907400">
        <w:rPr>
          <w:rStyle w:val="FootnoteReference"/>
          <w:rFonts w:asciiTheme="majorHAnsi" w:hAnsiTheme="majorHAnsi"/>
          <w:sz w:val="20"/>
          <w:szCs w:val="20"/>
        </w:rPr>
        <w:footnoteReference w:id="108"/>
      </w:r>
    </w:p>
    <w:p w14:paraId="7CA54B90"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C50D529" w14:textId="77777777" w:rsidR="007A744E"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w:t>
      </w:r>
      <w:r w:rsidR="00D66462" w:rsidRPr="00907400">
        <w:rPr>
          <w:rFonts w:asciiTheme="majorHAnsi" w:hAnsiTheme="majorHAnsi"/>
          <w:sz w:val="20"/>
          <w:szCs w:val="20"/>
        </w:rPr>
        <w:t>its</w:t>
      </w:r>
      <w:r w:rsidRPr="00907400">
        <w:rPr>
          <w:rFonts w:asciiTheme="majorHAnsi" w:hAnsiTheme="majorHAnsi"/>
          <w:sz w:val="20"/>
          <w:szCs w:val="20"/>
        </w:rPr>
        <w:t xml:space="preserve"> recent ruling in the </w:t>
      </w:r>
      <w:r w:rsidRPr="00907400">
        <w:rPr>
          <w:rFonts w:asciiTheme="majorHAnsi" w:hAnsiTheme="majorHAnsi"/>
          <w:i/>
          <w:sz w:val="20"/>
          <w:szCs w:val="20"/>
        </w:rPr>
        <w:t>Case of Zegarra Marín v. Peru</w:t>
      </w:r>
      <w:r w:rsidRPr="00907400">
        <w:rPr>
          <w:rFonts w:asciiTheme="majorHAnsi" w:hAnsiTheme="majorHAnsi"/>
          <w:sz w:val="20"/>
          <w:szCs w:val="20"/>
        </w:rPr>
        <w:t xml:space="preserve">, the Court referred to the guarantee of </w:t>
      </w:r>
      <w:r w:rsidR="002663D4" w:rsidRPr="00907400">
        <w:rPr>
          <w:rFonts w:asciiTheme="majorHAnsi" w:hAnsiTheme="majorHAnsi"/>
          <w:sz w:val="20"/>
          <w:szCs w:val="20"/>
        </w:rPr>
        <w:t>reasoned decisions</w:t>
      </w:r>
      <w:r w:rsidRPr="00907400">
        <w:rPr>
          <w:rFonts w:asciiTheme="majorHAnsi" w:hAnsiTheme="majorHAnsi"/>
          <w:sz w:val="20"/>
          <w:szCs w:val="20"/>
        </w:rPr>
        <w:t xml:space="preserve"> in relation to the principle of </w:t>
      </w:r>
      <w:r w:rsidR="00D66462" w:rsidRPr="00907400">
        <w:rPr>
          <w:rFonts w:asciiTheme="majorHAnsi" w:hAnsiTheme="majorHAnsi"/>
          <w:sz w:val="20"/>
          <w:szCs w:val="20"/>
        </w:rPr>
        <w:t xml:space="preserve">the </w:t>
      </w:r>
      <w:r w:rsidRPr="00907400">
        <w:rPr>
          <w:rFonts w:asciiTheme="majorHAnsi" w:hAnsiTheme="majorHAnsi"/>
          <w:sz w:val="20"/>
          <w:szCs w:val="20"/>
        </w:rPr>
        <w:t>presumption of innocence, in the following terms:</w:t>
      </w:r>
    </w:p>
    <w:p w14:paraId="740E7DDA"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AFF0D0D" w14:textId="77777777" w:rsidR="007A744E" w:rsidRDefault="00431337"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 the re</w:t>
      </w:r>
      <w:r w:rsidR="002663D4" w:rsidRPr="00907400">
        <w:rPr>
          <w:rFonts w:asciiTheme="majorHAnsi" w:hAnsiTheme="majorHAnsi"/>
          <w:sz w:val="20"/>
          <w:szCs w:val="20"/>
        </w:rPr>
        <w:t>levance of reasoning</w:t>
      </w:r>
      <w:r w:rsidRPr="00907400">
        <w:rPr>
          <w:rFonts w:asciiTheme="majorHAnsi" w:hAnsiTheme="majorHAnsi"/>
          <w:sz w:val="20"/>
          <w:szCs w:val="20"/>
        </w:rPr>
        <w:t>, in order to guarantee the principle of presumption of innocence, mainly in a condemnatory sentence, which must express the sufficiency of proof of charge to confirm the accusatory hypothesis; the observance of the rules of sound criticism in the assessment of the evidence, including those that could raise questions of criminal responsibility; and the final judgment that derive</w:t>
      </w:r>
      <w:r w:rsidR="002663D4" w:rsidRPr="00907400">
        <w:rPr>
          <w:rFonts w:asciiTheme="majorHAnsi" w:hAnsiTheme="majorHAnsi"/>
          <w:sz w:val="20"/>
          <w:szCs w:val="20"/>
        </w:rPr>
        <w:t xml:space="preserve">s from this assessment. In each </w:t>
      </w:r>
      <w:r w:rsidRPr="00907400">
        <w:rPr>
          <w:rFonts w:asciiTheme="majorHAnsi" w:hAnsiTheme="majorHAnsi"/>
          <w:sz w:val="20"/>
          <w:szCs w:val="20"/>
        </w:rPr>
        <w:t>case, it must reflect the reasons why it w</w:t>
      </w:r>
      <w:r w:rsidR="002663D4" w:rsidRPr="00907400">
        <w:rPr>
          <w:rFonts w:asciiTheme="majorHAnsi" w:hAnsiTheme="majorHAnsi"/>
          <w:sz w:val="20"/>
          <w:szCs w:val="20"/>
        </w:rPr>
        <w:t xml:space="preserve">as possible to ascertain the </w:t>
      </w:r>
      <w:r w:rsidRPr="00907400">
        <w:rPr>
          <w:rFonts w:asciiTheme="majorHAnsi" w:hAnsiTheme="majorHAnsi"/>
          <w:sz w:val="20"/>
          <w:szCs w:val="20"/>
        </w:rPr>
        <w:t xml:space="preserve">imputation and </w:t>
      </w:r>
      <w:r w:rsidR="002663D4" w:rsidRPr="00907400">
        <w:rPr>
          <w:rFonts w:asciiTheme="majorHAnsi" w:hAnsiTheme="majorHAnsi"/>
          <w:sz w:val="20"/>
          <w:szCs w:val="20"/>
        </w:rPr>
        <w:t xml:space="preserve">the </w:t>
      </w:r>
      <w:r w:rsidRPr="00907400">
        <w:rPr>
          <w:rFonts w:asciiTheme="majorHAnsi" w:hAnsiTheme="majorHAnsi"/>
          <w:sz w:val="20"/>
          <w:szCs w:val="20"/>
        </w:rPr>
        <w:t>criminal responsibility, as well as the evaluation of the evidence to distort any hypothesis of innocence, and only in this way to confirm or refute the accusatory hypothesis. The foregoing would allow to disprove the presumption of innocence and determine criminal liability beyond any reasonable doubt. When in doubt, the presumption of innocence and the principle in dubio pro reo, operate as a decision criterion at the moment of issuing the judgment.</w:t>
      </w:r>
      <w:r w:rsidR="001366E0" w:rsidRPr="00907400">
        <w:rPr>
          <w:rStyle w:val="FootnoteReference"/>
          <w:rFonts w:asciiTheme="majorHAnsi" w:hAnsiTheme="majorHAnsi"/>
          <w:sz w:val="20"/>
          <w:szCs w:val="20"/>
        </w:rPr>
        <w:footnoteReference w:id="109"/>
      </w:r>
    </w:p>
    <w:p w14:paraId="55A4AB79"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p>
    <w:p w14:paraId="2953359F" w14:textId="77777777" w:rsidR="007A744E" w:rsidRDefault="006F3581"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In the present</w:t>
      </w:r>
      <w:r w:rsidR="00431337" w:rsidRPr="00907400">
        <w:rPr>
          <w:rFonts w:asciiTheme="majorHAnsi" w:hAnsiTheme="majorHAnsi"/>
          <w:sz w:val="20"/>
          <w:szCs w:val="20"/>
        </w:rPr>
        <w:t xml:space="preserve"> case, the IACHR </w:t>
      </w:r>
      <w:r w:rsidR="001975C2" w:rsidRPr="00907400">
        <w:rPr>
          <w:rFonts w:asciiTheme="majorHAnsi" w:hAnsiTheme="majorHAnsi"/>
          <w:sz w:val="20"/>
          <w:szCs w:val="20"/>
        </w:rPr>
        <w:t>emphasizes firstly</w:t>
      </w:r>
      <w:r w:rsidR="00431337" w:rsidRPr="00907400">
        <w:rPr>
          <w:rFonts w:asciiTheme="majorHAnsi" w:hAnsiTheme="majorHAnsi"/>
          <w:sz w:val="20"/>
          <w:szCs w:val="20"/>
        </w:rPr>
        <w:t xml:space="preserve"> that the </w:t>
      </w:r>
      <w:r w:rsidR="001975C2" w:rsidRPr="00907400">
        <w:rPr>
          <w:rFonts w:asciiTheme="majorHAnsi" w:hAnsiTheme="majorHAnsi"/>
          <w:sz w:val="20"/>
          <w:szCs w:val="20"/>
        </w:rPr>
        <w:t>first instance judgment</w:t>
      </w:r>
      <w:r w:rsidR="00431337" w:rsidRPr="00907400">
        <w:rPr>
          <w:rFonts w:asciiTheme="majorHAnsi" w:hAnsiTheme="majorHAnsi"/>
          <w:sz w:val="20"/>
          <w:szCs w:val="20"/>
        </w:rPr>
        <w:t xml:space="preserve"> was based almost exclusively on the statements of </w:t>
      </w:r>
      <w:r w:rsidR="001975C2" w:rsidRPr="00907400">
        <w:rPr>
          <w:rFonts w:asciiTheme="majorHAnsi" w:hAnsiTheme="majorHAnsi"/>
          <w:sz w:val="20"/>
          <w:szCs w:val="20"/>
        </w:rPr>
        <w:t>anonymous witnesses, in particular on</w:t>
      </w:r>
      <w:r w:rsidR="002663D4" w:rsidRPr="00907400">
        <w:rPr>
          <w:rFonts w:asciiTheme="majorHAnsi" w:hAnsiTheme="majorHAnsi"/>
          <w:sz w:val="20"/>
          <w:szCs w:val="20"/>
        </w:rPr>
        <w:t xml:space="preserve"> those of W</w:t>
      </w:r>
      <w:r w:rsidR="00431337" w:rsidRPr="00907400">
        <w:rPr>
          <w:rFonts w:asciiTheme="majorHAnsi" w:hAnsiTheme="majorHAnsi"/>
          <w:sz w:val="20"/>
          <w:szCs w:val="20"/>
        </w:rPr>
        <w:t xml:space="preserve">itness No. 1. In this regard, the Commission </w:t>
      </w:r>
      <w:r w:rsidR="001975C2" w:rsidRPr="00907400">
        <w:rPr>
          <w:rFonts w:asciiTheme="majorHAnsi" w:hAnsiTheme="majorHAnsi"/>
          <w:sz w:val="20"/>
          <w:szCs w:val="20"/>
        </w:rPr>
        <w:t>points out</w:t>
      </w:r>
      <w:r w:rsidR="00431337" w:rsidRPr="00907400">
        <w:rPr>
          <w:rFonts w:asciiTheme="majorHAnsi" w:hAnsiTheme="majorHAnsi"/>
          <w:sz w:val="20"/>
          <w:szCs w:val="20"/>
        </w:rPr>
        <w:t xml:space="preserve"> that the court of fir</w:t>
      </w:r>
      <w:r w:rsidR="001975C2" w:rsidRPr="00907400">
        <w:rPr>
          <w:rFonts w:asciiTheme="majorHAnsi" w:hAnsiTheme="majorHAnsi"/>
          <w:sz w:val="20"/>
          <w:szCs w:val="20"/>
        </w:rPr>
        <w:t>st instance considered that these</w:t>
      </w:r>
      <w:r w:rsidR="00431337" w:rsidRPr="00907400">
        <w:rPr>
          <w:rFonts w:asciiTheme="majorHAnsi" w:hAnsiTheme="majorHAnsi"/>
          <w:sz w:val="20"/>
          <w:szCs w:val="20"/>
        </w:rPr>
        <w:t xml:space="preserve"> statement</w:t>
      </w:r>
      <w:r w:rsidR="001975C2" w:rsidRPr="00907400">
        <w:rPr>
          <w:rFonts w:asciiTheme="majorHAnsi" w:hAnsiTheme="majorHAnsi"/>
          <w:sz w:val="20"/>
          <w:szCs w:val="20"/>
        </w:rPr>
        <w:t>s</w:t>
      </w:r>
      <w:r w:rsidR="00431337" w:rsidRPr="00907400">
        <w:rPr>
          <w:rFonts w:asciiTheme="majorHAnsi" w:hAnsiTheme="majorHAnsi"/>
          <w:sz w:val="20"/>
          <w:szCs w:val="20"/>
        </w:rPr>
        <w:t xml:space="preserve"> had credibility </w:t>
      </w:r>
      <w:r w:rsidR="001975C2" w:rsidRPr="00907400">
        <w:rPr>
          <w:rFonts w:asciiTheme="majorHAnsi" w:hAnsiTheme="majorHAnsi"/>
          <w:sz w:val="20"/>
          <w:szCs w:val="20"/>
        </w:rPr>
        <w:t>on the grounds</w:t>
      </w:r>
      <w:r w:rsidR="00431337" w:rsidRPr="00907400">
        <w:rPr>
          <w:rFonts w:asciiTheme="majorHAnsi" w:hAnsiTheme="majorHAnsi"/>
          <w:sz w:val="20"/>
          <w:szCs w:val="20"/>
        </w:rPr>
        <w:t xml:space="preserve"> that "</w:t>
      </w:r>
      <w:r w:rsidR="001975C2" w:rsidRPr="00907400">
        <w:rPr>
          <w:rFonts w:asciiTheme="majorHAnsi" w:hAnsiTheme="majorHAnsi"/>
          <w:sz w:val="20"/>
          <w:szCs w:val="20"/>
        </w:rPr>
        <w:t>there is not the least evidence</w:t>
      </w:r>
      <w:r w:rsidR="00431337" w:rsidRPr="00907400">
        <w:rPr>
          <w:rFonts w:asciiTheme="majorHAnsi" w:hAnsiTheme="majorHAnsi"/>
          <w:sz w:val="20"/>
          <w:szCs w:val="20"/>
        </w:rPr>
        <w:t xml:space="preserve"> </w:t>
      </w:r>
      <w:r w:rsidR="001975C2" w:rsidRPr="00907400">
        <w:rPr>
          <w:rFonts w:asciiTheme="majorHAnsi" w:hAnsiTheme="majorHAnsi"/>
          <w:sz w:val="20"/>
          <w:szCs w:val="20"/>
        </w:rPr>
        <w:t xml:space="preserve">that this is an untruthful </w:t>
      </w:r>
      <w:r w:rsidR="00431337" w:rsidRPr="00907400">
        <w:rPr>
          <w:rFonts w:asciiTheme="majorHAnsi" w:hAnsiTheme="majorHAnsi"/>
          <w:sz w:val="20"/>
          <w:szCs w:val="20"/>
        </w:rPr>
        <w:t>statement". Likewise, the court took into account "their cultural level, their observation</w:t>
      </w:r>
      <w:r w:rsidR="001975C2" w:rsidRPr="00907400">
        <w:rPr>
          <w:rFonts w:asciiTheme="majorHAnsi" w:hAnsiTheme="majorHAnsi"/>
          <w:sz w:val="20"/>
          <w:szCs w:val="20"/>
        </w:rPr>
        <w:t>al</w:t>
      </w:r>
      <w:r w:rsidR="00431337" w:rsidRPr="00907400">
        <w:rPr>
          <w:rFonts w:asciiTheme="majorHAnsi" w:hAnsiTheme="majorHAnsi"/>
          <w:sz w:val="20"/>
          <w:szCs w:val="20"/>
        </w:rPr>
        <w:t xml:space="preserve"> capacity [and] their degree of perception". It is clear from the f</w:t>
      </w:r>
      <w:r w:rsidR="001975C2" w:rsidRPr="00907400">
        <w:rPr>
          <w:rFonts w:asciiTheme="majorHAnsi" w:hAnsiTheme="majorHAnsi"/>
          <w:sz w:val="20"/>
          <w:szCs w:val="20"/>
        </w:rPr>
        <w:t>indings of fact that this individual</w:t>
      </w:r>
      <w:r w:rsidR="00C33CBD" w:rsidRPr="00907400">
        <w:rPr>
          <w:rFonts w:asciiTheme="majorHAnsi" w:hAnsiTheme="majorHAnsi"/>
          <w:sz w:val="20"/>
          <w:szCs w:val="20"/>
        </w:rPr>
        <w:t>, as well as W</w:t>
      </w:r>
      <w:r w:rsidR="00431337" w:rsidRPr="00907400">
        <w:rPr>
          <w:rFonts w:asciiTheme="majorHAnsi" w:hAnsiTheme="majorHAnsi"/>
          <w:sz w:val="20"/>
          <w:szCs w:val="20"/>
        </w:rPr>
        <w:t>itness No. 2, were the ones who identified Mr. Sastoque as the person who had fired</w:t>
      </w:r>
      <w:r w:rsidR="00C33CBD" w:rsidRPr="00907400">
        <w:rPr>
          <w:rFonts w:asciiTheme="majorHAnsi" w:hAnsiTheme="majorHAnsi"/>
          <w:sz w:val="20"/>
          <w:szCs w:val="20"/>
        </w:rPr>
        <w:t xml:space="preserve"> the gun</w:t>
      </w:r>
      <w:r w:rsidR="00431337" w:rsidRPr="00907400">
        <w:rPr>
          <w:rFonts w:asciiTheme="majorHAnsi" w:hAnsiTheme="majorHAnsi"/>
          <w:sz w:val="20"/>
          <w:szCs w:val="20"/>
        </w:rPr>
        <w:t xml:space="preserve">. Witness No. 3 did not identify Mr. Sastoque </w:t>
      </w:r>
      <w:r w:rsidR="001975C2" w:rsidRPr="00907400">
        <w:rPr>
          <w:rFonts w:asciiTheme="majorHAnsi" w:hAnsiTheme="majorHAnsi"/>
          <w:sz w:val="20"/>
          <w:szCs w:val="20"/>
        </w:rPr>
        <w:t>at first</w:t>
      </w:r>
      <w:r w:rsidR="00431337" w:rsidRPr="00907400">
        <w:rPr>
          <w:rFonts w:asciiTheme="majorHAnsi" w:hAnsiTheme="majorHAnsi"/>
          <w:sz w:val="20"/>
          <w:szCs w:val="20"/>
        </w:rPr>
        <w:t xml:space="preserve"> in the proceedings. It was several months later that he referred to Mr. Sastoque</w:t>
      </w:r>
      <w:r w:rsidR="001975C2" w:rsidRPr="00907400">
        <w:rPr>
          <w:rFonts w:asciiTheme="majorHAnsi" w:hAnsiTheme="majorHAnsi"/>
          <w:sz w:val="20"/>
          <w:szCs w:val="20"/>
        </w:rPr>
        <w:t>, only</w:t>
      </w:r>
      <w:r w:rsidR="00431337" w:rsidRPr="00907400">
        <w:rPr>
          <w:rFonts w:asciiTheme="majorHAnsi" w:hAnsiTheme="majorHAnsi"/>
          <w:sz w:val="20"/>
          <w:szCs w:val="20"/>
        </w:rPr>
        <w:t xml:space="preserve"> indicating that he knew "by references" that he was the perpetrator of the crime. On the other hand, witness No. 4 did not identify Mr. Sastoque</w:t>
      </w:r>
      <w:r w:rsidR="001975C2" w:rsidRPr="00907400">
        <w:rPr>
          <w:rFonts w:asciiTheme="majorHAnsi" w:hAnsiTheme="majorHAnsi"/>
          <w:sz w:val="20"/>
          <w:szCs w:val="20"/>
        </w:rPr>
        <w:t xml:space="preserve"> as the perpetrator. Despite this</w:t>
      </w:r>
      <w:r w:rsidR="00431337" w:rsidRPr="00907400">
        <w:rPr>
          <w:rFonts w:asciiTheme="majorHAnsi" w:hAnsiTheme="majorHAnsi"/>
          <w:sz w:val="20"/>
          <w:szCs w:val="20"/>
        </w:rPr>
        <w:t>, the conviction indicates that witnesses No. 2, 3 and 4 corroborated witness No. 1</w:t>
      </w:r>
      <w:r w:rsidR="001975C2" w:rsidRPr="00907400">
        <w:rPr>
          <w:rFonts w:asciiTheme="majorHAnsi" w:hAnsiTheme="majorHAnsi"/>
          <w:sz w:val="20"/>
          <w:szCs w:val="20"/>
        </w:rPr>
        <w:t>’s testimony</w:t>
      </w:r>
      <w:r w:rsidR="00431337" w:rsidRPr="00907400">
        <w:rPr>
          <w:rFonts w:asciiTheme="majorHAnsi" w:hAnsiTheme="majorHAnsi"/>
          <w:sz w:val="20"/>
          <w:szCs w:val="20"/>
        </w:rPr>
        <w:t>, without taking into account the differences i</w:t>
      </w:r>
      <w:r w:rsidR="00C33CBD" w:rsidRPr="00907400">
        <w:rPr>
          <w:rFonts w:asciiTheme="majorHAnsi" w:hAnsiTheme="majorHAnsi"/>
          <w:sz w:val="20"/>
          <w:szCs w:val="20"/>
        </w:rPr>
        <w:t>n the statements, at least, of W</w:t>
      </w:r>
      <w:r w:rsidR="00431337" w:rsidRPr="00907400">
        <w:rPr>
          <w:rFonts w:asciiTheme="majorHAnsi" w:hAnsiTheme="majorHAnsi"/>
          <w:sz w:val="20"/>
          <w:szCs w:val="20"/>
        </w:rPr>
        <w:t>itnesses No. 3 and 4.</w:t>
      </w:r>
    </w:p>
    <w:p w14:paraId="783CE77B"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38947E7" w14:textId="77777777" w:rsidR="007A744E"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It follows from the f</w:t>
      </w:r>
      <w:r w:rsidR="00C33CBD" w:rsidRPr="00907400">
        <w:rPr>
          <w:rFonts w:asciiTheme="majorHAnsi" w:hAnsiTheme="majorHAnsi"/>
          <w:sz w:val="20"/>
          <w:szCs w:val="20"/>
        </w:rPr>
        <w:t>oregoing that the testimony of W</w:t>
      </w:r>
      <w:r w:rsidRPr="00907400">
        <w:rPr>
          <w:rFonts w:asciiTheme="majorHAnsi" w:hAnsiTheme="majorHAnsi"/>
          <w:sz w:val="20"/>
          <w:szCs w:val="20"/>
        </w:rPr>
        <w:t xml:space="preserve">itness No. 1 constituted the fundamental </w:t>
      </w:r>
      <w:r w:rsidR="00DF6381" w:rsidRPr="00907400">
        <w:rPr>
          <w:rFonts w:asciiTheme="majorHAnsi" w:hAnsiTheme="majorHAnsi"/>
          <w:sz w:val="20"/>
          <w:szCs w:val="20"/>
        </w:rPr>
        <w:t>iden</w:t>
      </w:r>
      <w:r w:rsidR="00BA7875" w:rsidRPr="00907400">
        <w:rPr>
          <w:rFonts w:asciiTheme="majorHAnsi" w:hAnsiTheme="majorHAnsi"/>
          <w:sz w:val="20"/>
          <w:szCs w:val="20"/>
        </w:rPr>
        <w:t>ti</w:t>
      </w:r>
      <w:r w:rsidR="00DF6381" w:rsidRPr="00907400">
        <w:rPr>
          <w:rFonts w:asciiTheme="majorHAnsi" w:hAnsiTheme="majorHAnsi"/>
          <w:sz w:val="20"/>
          <w:szCs w:val="20"/>
        </w:rPr>
        <w:t xml:space="preserve">fication </w:t>
      </w:r>
      <w:r w:rsidRPr="00907400">
        <w:rPr>
          <w:rFonts w:asciiTheme="majorHAnsi" w:hAnsiTheme="majorHAnsi"/>
          <w:sz w:val="20"/>
          <w:szCs w:val="20"/>
        </w:rPr>
        <w:t xml:space="preserve">evidence </w:t>
      </w:r>
      <w:r w:rsidR="00DF6381" w:rsidRPr="00907400">
        <w:rPr>
          <w:rFonts w:asciiTheme="majorHAnsi" w:hAnsiTheme="majorHAnsi"/>
          <w:sz w:val="20"/>
          <w:szCs w:val="20"/>
        </w:rPr>
        <w:t xml:space="preserve">implicating </w:t>
      </w:r>
      <w:r w:rsidRPr="00907400">
        <w:rPr>
          <w:rFonts w:asciiTheme="majorHAnsi" w:hAnsiTheme="majorHAnsi"/>
          <w:sz w:val="20"/>
          <w:szCs w:val="20"/>
        </w:rPr>
        <w:t xml:space="preserve">Gustavo Sastoque Alfonso as the perpetrator of the crime. In this regard, the Commission reiterates that it is not responsible for assessing the evidence </w:t>
      </w:r>
      <w:r w:rsidR="00BA7875" w:rsidRPr="00907400">
        <w:rPr>
          <w:rFonts w:asciiTheme="majorHAnsi" w:hAnsiTheme="majorHAnsi"/>
          <w:sz w:val="20"/>
          <w:szCs w:val="20"/>
        </w:rPr>
        <w:t xml:space="preserve">of Mr. Sastoque’s </w:t>
      </w:r>
      <w:r w:rsidRPr="00907400">
        <w:rPr>
          <w:rFonts w:asciiTheme="majorHAnsi" w:hAnsiTheme="majorHAnsi"/>
          <w:sz w:val="20"/>
          <w:szCs w:val="20"/>
        </w:rPr>
        <w:t xml:space="preserve">criminal responsibility. However, it </w:t>
      </w:r>
      <w:r w:rsidR="00BA7875" w:rsidRPr="00907400">
        <w:rPr>
          <w:rFonts w:asciiTheme="majorHAnsi" w:hAnsiTheme="majorHAnsi"/>
          <w:sz w:val="20"/>
          <w:szCs w:val="20"/>
        </w:rPr>
        <w:t>is for the Commission</w:t>
      </w:r>
      <w:r w:rsidR="00AC75A1" w:rsidRPr="00907400">
        <w:rPr>
          <w:rFonts w:asciiTheme="majorHAnsi" w:hAnsiTheme="majorHAnsi"/>
          <w:sz w:val="20"/>
          <w:szCs w:val="20"/>
        </w:rPr>
        <w:t xml:space="preserve"> to evaluate</w:t>
      </w:r>
      <w:r w:rsidRPr="00907400">
        <w:rPr>
          <w:rFonts w:asciiTheme="majorHAnsi" w:hAnsiTheme="majorHAnsi"/>
          <w:sz w:val="20"/>
          <w:szCs w:val="20"/>
        </w:rPr>
        <w:t xml:space="preserve"> </w:t>
      </w:r>
      <w:r w:rsidR="00AC75A1" w:rsidRPr="00907400">
        <w:rPr>
          <w:rFonts w:asciiTheme="majorHAnsi" w:hAnsiTheme="majorHAnsi"/>
          <w:sz w:val="20"/>
          <w:szCs w:val="20"/>
        </w:rPr>
        <w:t>–</w:t>
      </w:r>
      <w:r w:rsidRPr="00907400">
        <w:rPr>
          <w:rFonts w:asciiTheme="majorHAnsi" w:hAnsiTheme="majorHAnsi"/>
          <w:sz w:val="20"/>
          <w:szCs w:val="20"/>
        </w:rPr>
        <w:t>in</w:t>
      </w:r>
      <w:r w:rsidR="00AC75A1" w:rsidRPr="00907400">
        <w:rPr>
          <w:rFonts w:asciiTheme="majorHAnsi" w:hAnsiTheme="majorHAnsi"/>
          <w:sz w:val="20"/>
          <w:szCs w:val="20"/>
        </w:rPr>
        <w:t xml:space="preserve"> </w:t>
      </w:r>
      <w:r w:rsidRPr="00907400">
        <w:rPr>
          <w:rFonts w:asciiTheme="majorHAnsi" w:hAnsiTheme="majorHAnsi"/>
          <w:sz w:val="20"/>
          <w:szCs w:val="20"/>
        </w:rPr>
        <w:t xml:space="preserve">light of the principle of </w:t>
      </w:r>
      <w:r w:rsidR="00BA7875" w:rsidRPr="00907400">
        <w:rPr>
          <w:rFonts w:asciiTheme="majorHAnsi" w:hAnsiTheme="majorHAnsi"/>
          <w:sz w:val="20"/>
          <w:szCs w:val="20"/>
        </w:rPr>
        <w:t xml:space="preserve">the </w:t>
      </w:r>
      <w:r w:rsidRPr="00907400">
        <w:rPr>
          <w:rFonts w:asciiTheme="majorHAnsi" w:hAnsiTheme="majorHAnsi"/>
          <w:sz w:val="20"/>
          <w:szCs w:val="20"/>
        </w:rPr>
        <w:t xml:space="preserve">presumption of innocence, the right of defense and the guarantee of </w:t>
      </w:r>
      <w:r w:rsidR="00C33CBD" w:rsidRPr="00907400">
        <w:rPr>
          <w:rFonts w:asciiTheme="majorHAnsi" w:hAnsiTheme="majorHAnsi"/>
          <w:sz w:val="20"/>
          <w:szCs w:val="20"/>
        </w:rPr>
        <w:t>reasoned decisions</w:t>
      </w:r>
      <w:r w:rsidR="00AC75A1" w:rsidRPr="00907400">
        <w:rPr>
          <w:rFonts w:asciiTheme="majorHAnsi" w:hAnsiTheme="majorHAnsi"/>
          <w:sz w:val="20"/>
          <w:szCs w:val="20"/>
        </w:rPr>
        <w:t xml:space="preserve">— </w:t>
      </w:r>
      <w:r w:rsidR="00C33CBD" w:rsidRPr="00907400">
        <w:rPr>
          <w:rFonts w:asciiTheme="majorHAnsi" w:hAnsiTheme="majorHAnsi"/>
          <w:sz w:val="20"/>
          <w:szCs w:val="20"/>
        </w:rPr>
        <w:t>whether</w:t>
      </w:r>
      <w:r w:rsidRPr="00907400">
        <w:rPr>
          <w:rFonts w:asciiTheme="majorHAnsi" w:hAnsiTheme="majorHAnsi"/>
          <w:sz w:val="20"/>
          <w:szCs w:val="20"/>
        </w:rPr>
        <w:t xml:space="preserve"> </w:t>
      </w:r>
      <w:r w:rsidR="00BA7875" w:rsidRPr="00907400">
        <w:rPr>
          <w:rFonts w:asciiTheme="majorHAnsi" w:hAnsiTheme="majorHAnsi"/>
          <w:sz w:val="20"/>
          <w:szCs w:val="20"/>
        </w:rPr>
        <w:t xml:space="preserve">the evidence </w:t>
      </w:r>
      <w:r w:rsidR="00AC75A1" w:rsidRPr="00907400">
        <w:rPr>
          <w:rFonts w:asciiTheme="majorHAnsi" w:hAnsiTheme="majorHAnsi"/>
          <w:sz w:val="20"/>
          <w:szCs w:val="20"/>
        </w:rPr>
        <w:t>produced with limitations in the enjoyments of such rights</w:t>
      </w:r>
      <w:r w:rsidR="00BA7875" w:rsidRPr="00907400">
        <w:rPr>
          <w:rFonts w:asciiTheme="majorHAnsi" w:hAnsiTheme="majorHAnsi"/>
          <w:sz w:val="20"/>
          <w:szCs w:val="20"/>
        </w:rPr>
        <w:t xml:space="preserve"> </w:t>
      </w:r>
      <w:r w:rsidR="00AC75A1" w:rsidRPr="00907400">
        <w:rPr>
          <w:rFonts w:asciiTheme="majorHAnsi" w:hAnsiTheme="majorHAnsi"/>
          <w:sz w:val="20"/>
          <w:szCs w:val="20"/>
        </w:rPr>
        <w:t>had a fundamental impact in the conviction</w:t>
      </w:r>
      <w:r w:rsidRPr="00907400">
        <w:rPr>
          <w:rFonts w:asciiTheme="majorHAnsi" w:hAnsiTheme="majorHAnsi"/>
          <w:sz w:val="20"/>
          <w:szCs w:val="20"/>
        </w:rPr>
        <w:t>.</w:t>
      </w:r>
    </w:p>
    <w:p w14:paraId="54984A40"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1655137" w14:textId="77777777" w:rsidR="007A744E" w:rsidRPr="00DB6B7E"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Inter-American Court and the European Court have </w:t>
      </w:r>
      <w:r w:rsidR="0054639D" w:rsidRPr="00907400">
        <w:rPr>
          <w:rFonts w:asciiTheme="majorHAnsi" w:hAnsiTheme="majorHAnsi"/>
          <w:sz w:val="20"/>
          <w:szCs w:val="20"/>
        </w:rPr>
        <w:t>indicated that a sentence can</w:t>
      </w:r>
      <w:r w:rsidRPr="00907400">
        <w:rPr>
          <w:rFonts w:asciiTheme="majorHAnsi" w:hAnsiTheme="majorHAnsi"/>
          <w:sz w:val="20"/>
          <w:szCs w:val="20"/>
        </w:rPr>
        <w:t>not be based</w:t>
      </w:r>
      <w:r w:rsidR="0054639D" w:rsidRPr="00907400">
        <w:rPr>
          <w:rFonts w:asciiTheme="majorHAnsi" w:hAnsiTheme="majorHAnsi"/>
          <w:sz w:val="20"/>
          <w:szCs w:val="20"/>
        </w:rPr>
        <w:t xml:space="preserve"> "solely or to a decisive extent</w:t>
      </w:r>
      <w:r w:rsidRPr="00907400">
        <w:rPr>
          <w:rFonts w:asciiTheme="majorHAnsi" w:hAnsiTheme="majorHAnsi"/>
          <w:sz w:val="20"/>
          <w:szCs w:val="20"/>
        </w:rPr>
        <w:t>" on witness statements in which the rights of the accused have been limited.</w:t>
      </w:r>
      <w:r w:rsidR="001366E0" w:rsidRPr="00907400">
        <w:rPr>
          <w:rStyle w:val="FootnoteReference"/>
          <w:rFonts w:asciiTheme="majorHAnsi" w:hAnsiTheme="majorHAnsi" w:cs="ACaslonPro-Regular"/>
          <w:sz w:val="20"/>
          <w:szCs w:val="20"/>
        </w:rPr>
        <w:t xml:space="preserve"> </w:t>
      </w:r>
      <w:r w:rsidR="001366E0" w:rsidRPr="00907400">
        <w:rPr>
          <w:rStyle w:val="FootnoteReference"/>
          <w:rFonts w:asciiTheme="majorHAnsi" w:hAnsiTheme="majorHAnsi" w:cs="ACaslonPro-Regular"/>
          <w:sz w:val="20"/>
          <w:szCs w:val="20"/>
        </w:rPr>
        <w:footnoteReference w:id="110"/>
      </w:r>
      <w:r w:rsidRPr="00907400">
        <w:rPr>
          <w:rFonts w:asciiTheme="majorHAnsi" w:hAnsiTheme="majorHAnsi"/>
          <w:sz w:val="20"/>
          <w:szCs w:val="20"/>
        </w:rPr>
        <w:t xml:space="preserve"> In the case of </w:t>
      </w:r>
      <w:r w:rsidRPr="00907400">
        <w:rPr>
          <w:rFonts w:asciiTheme="majorHAnsi" w:hAnsiTheme="majorHAnsi"/>
          <w:i/>
          <w:sz w:val="20"/>
          <w:szCs w:val="20"/>
        </w:rPr>
        <w:t>Luca v. Italy</w:t>
      </w:r>
      <w:r w:rsidRPr="00907400">
        <w:rPr>
          <w:rFonts w:asciiTheme="majorHAnsi" w:hAnsiTheme="majorHAnsi"/>
          <w:sz w:val="20"/>
          <w:szCs w:val="20"/>
        </w:rPr>
        <w:t xml:space="preserve">, the European Court ruled on the conviction of a person based on the </w:t>
      </w:r>
      <w:r w:rsidR="00A04561" w:rsidRPr="00907400">
        <w:rPr>
          <w:rFonts w:asciiTheme="majorHAnsi" w:hAnsiTheme="majorHAnsi"/>
          <w:sz w:val="20"/>
          <w:szCs w:val="20"/>
        </w:rPr>
        <w:t>statement of a witness</w:t>
      </w:r>
      <w:r w:rsidRPr="00907400">
        <w:rPr>
          <w:rFonts w:asciiTheme="majorHAnsi" w:hAnsiTheme="majorHAnsi"/>
          <w:sz w:val="20"/>
          <w:szCs w:val="20"/>
        </w:rPr>
        <w:t xml:space="preserve"> </w:t>
      </w:r>
      <w:r w:rsidR="00A04561" w:rsidRPr="00907400">
        <w:rPr>
          <w:rFonts w:asciiTheme="majorHAnsi" w:hAnsiTheme="majorHAnsi"/>
          <w:sz w:val="20"/>
          <w:szCs w:val="20"/>
        </w:rPr>
        <w:t>given</w:t>
      </w:r>
      <w:r w:rsidRPr="00907400">
        <w:rPr>
          <w:rFonts w:asciiTheme="majorHAnsi" w:hAnsiTheme="majorHAnsi"/>
          <w:sz w:val="20"/>
          <w:szCs w:val="20"/>
        </w:rPr>
        <w:t xml:space="preserve"> during the investigation, without the presence of the defense</w:t>
      </w:r>
      <w:r w:rsidR="00A04561" w:rsidRPr="00907400">
        <w:rPr>
          <w:rFonts w:asciiTheme="majorHAnsi" w:hAnsiTheme="majorHAnsi"/>
          <w:sz w:val="20"/>
          <w:szCs w:val="20"/>
        </w:rPr>
        <w:t xml:space="preserve"> counsel</w:t>
      </w:r>
      <w:r w:rsidRPr="00907400">
        <w:rPr>
          <w:rFonts w:asciiTheme="majorHAnsi" w:hAnsiTheme="majorHAnsi"/>
          <w:sz w:val="20"/>
          <w:szCs w:val="20"/>
        </w:rPr>
        <w:t xml:space="preserve"> of the accused. In this </w:t>
      </w:r>
      <w:r w:rsidRPr="00907400">
        <w:rPr>
          <w:rFonts w:asciiTheme="majorHAnsi" w:hAnsiTheme="majorHAnsi"/>
          <w:sz w:val="20"/>
          <w:szCs w:val="20"/>
        </w:rPr>
        <w:lastRenderedPageBreak/>
        <w:t xml:space="preserve">case, the aforementioned Court considered that the State violated the right of defense and the right to </w:t>
      </w:r>
      <w:r w:rsidR="00A04561" w:rsidRPr="00907400">
        <w:rPr>
          <w:rFonts w:asciiTheme="majorHAnsi" w:hAnsiTheme="majorHAnsi"/>
          <w:sz w:val="20"/>
          <w:szCs w:val="20"/>
        </w:rPr>
        <w:t xml:space="preserve">the </w:t>
      </w:r>
      <w:r w:rsidRPr="00907400">
        <w:rPr>
          <w:rFonts w:asciiTheme="majorHAnsi" w:hAnsiTheme="majorHAnsi"/>
          <w:sz w:val="20"/>
          <w:szCs w:val="20"/>
        </w:rPr>
        <w:t>presumption of innocence, since such evidence could not be refuted by the defense and was a substantial probative element for the conviction of the victim.</w:t>
      </w:r>
      <w:r w:rsidR="001366E0" w:rsidRPr="00907400">
        <w:rPr>
          <w:rStyle w:val="FootnoteReference"/>
          <w:rFonts w:asciiTheme="majorHAnsi" w:hAnsiTheme="majorHAnsi" w:cs="ACaslonPro-Regular"/>
          <w:sz w:val="20"/>
          <w:szCs w:val="20"/>
        </w:rPr>
        <w:t xml:space="preserve"> </w:t>
      </w:r>
      <w:r w:rsidR="001366E0" w:rsidRPr="00907400">
        <w:rPr>
          <w:rStyle w:val="FootnoteReference"/>
          <w:rFonts w:asciiTheme="majorHAnsi" w:hAnsiTheme="majorHAnsi" w:cs="ACaslonPro-Regular"/>
          <w:sz w:val="20"/>
          <w:szCs w:val="20"/>
        </w:rPr>
        <w:footnoteReference w:id="111"/>
      </w:r>
      <w:r w:rsidRPr="00907400">
        <w:rPr>
          <w:rFonts w:asciiTheme="majorHAnsi" w:hAnsiTheme="majorHAnsi"/>
          <w:sz w:val="20"/>
          <w:szCs w:val="20"/>
        </w:rPr>
        <w:t xml:space="preserve"> For </w:t>
      </w:r>
      <w:r w:rsidR="008F196C" w:rsidRPr="00907400">
        <w:rPr>
          <w:rFonts w:asciiTheme="majorHAnsi" w:hAnsiTheme="majorHAnsi"/>
          <w:sz w:val="20"/>
          <w:szCs w:val="20"/>
        </w:rPr>
        <w:t>its part, the IACHR has found</w:t>
      </w:r>
      <w:r w:rsidRPr="00907400">
        <w:rPr>
          <w:rFonts w:asciiTheme="majorHAnsi" w:hAnsiTheme="majorHAnsi"/>
          <w:sz w:val="20"/>
          <w:szCs w:val="20"/>
        </w:rPr>
        <w:t xml:space="preserve"> </w:t>
      </w:r>
      <w:r w:rsidR="008F196C" w:rsidRPr="00907400">
        <w:rPr>
          <w:rFonts w:asciiTheme="majorHAnsi" w:hAnsiTheme="majorHAnsi"/>
          <w:sz w:val="20"/>
          <w:szCs w:val="20"/>
        </w:rPr>
        <w:t>that the consideration of a written statement as a</w:t>
      </w:r>
      <w:r w:rsidRPr="00907400">
        <w:rPr>
          <w:rFonts w:asciiTheme="majorHAnsi" w:hAnsiTheme="majorHAnsi"/>
          <w:sz w:val="20"/>
          <w:szCs w:val="20"/>
        </w:rPr>
        <w:t xml:space="preserve"> fundamental </w:t>
      </w:r>
      <w:r w:rsidR="008F196C" w:rsidRPr="00907400">
        <w:rPr>
          <w:rFonts w:asciiTheme="majorHAnsi" w:hAnsiTheme="majorHAnsi"/>
          <w:sz w:val="20"/>
          <w:szCs w:val="20"/>
        </w:rPr>
        <w:t xml:space="preserve">piece of </w:t>
      </w:r>
      <w:r w:rsidRPr="00907400">
        <w:rPr>
          <w:rFonts w:asciiTheme="majorHAnsi" w:hAnsiTheme="majorHAnsi"/>
          <w:sz w:val="20"/>
          <w:szCs w:val="20"/>
        </w:rPr>
        <w:t>evidence for a conviction</w:t>
      </w:r>
      <w:r w:rsidR="008F196C" w:rsidRPr="00907400">
        <w:rPr>
          <w:rFonts w:asciiTheme="majorHAnsi" w:hAnsiTheme="majorHAnsi"/>
          <w:sz w:val="20"/>
          <w:szCs w:val="20"/>
        </w:rPr>
        <w:t xml:space="preserve"> violates the right of defense when such piece of evidence has been admitted despite the impossibility to question it</w:t>
      </w:r>
      <w:r w:rsidRPr="00907400">
        <w:rPr>
          <w:rFonts w:asciiTheme="majorHAnsi" w:hAnsiTheme="majorHAnsi"/>
          <w:sz w:val="20"/>
          <w:szCs w:val="20"/>
        </w:rPr>
        <w:t xml:space="preserve"> during t</w:t>
      </w:r>
      <w:r w:rsidR="000A341E" w:rsidRPr="00907400">
        <w:rPr>
          <w:rFonts w:asciiTheme="majorHAnsi" w:hAnsiTheme="majorHAnsi"/>
          <w:sz w:val="20"/>
          <w:szCs w:val="20"/>
        </w:rPr>
        <w:t>he entire proceedings</w:t>
      </w:r>
      <w:r w:rsidRPr="00907400">
        <w:rPr>
          <w:rFonts w:asciiTheme="majorHAnsi" w:hAnsiTheme="majorHAnsi"/>
          <w:sz w:val="20"/>
          <w:szCs w:val="20"/>
        </w:rPr>
        <w:t>.</w:t>
      </w:r>
      <w:r w:rsidR="001366E0" w:rsidRPr="00907400">
        <w:rPr>
          <w:rStyle w:val="FootnoteReference"/>
          <w:rFonts w:asciiTheme="majorHAnsi" w:hAnsiTheme="majorHAnsi" w:cs="ACaslonPro-Regular"/>
          <w:sz w:val="20"/>
          <w:szCs w:val="20"/>
        </w:rPr>
        <w:t xml:space="preserve"> </w:t>
      </w:r>
      <w:r w:rsidR="001366E0" w:rsidRPr="00907400">
        <w:rPr>
          <w:rStyle w:val="FootnoteReference"/>
          <w:rFonts w:asciiTheme="majorHAnsi" w:hAnsiTheme="majorHAnsi" w:cs="ACaslonPro-Regular"/>
          <w:sz w:val="20"/>
          <w:szCs w:val="20"/>
        </w:rPr>
        <w:footnoteReference w:id="112"/>
      </w:r>
    </w:p>
    <w:p w14:paraId="56E98E42"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9036DBD" w14:textId="77777777" w:rsidR="007A744E" w:rsidRDefault="00FC151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For this reason there is</w:t>
      </w:r>
      <w:r w:rsidR="00C522BE" w:rsidRPr="00907400">
        <w:rPr>
          <w:rFonts w:asciiTheme="majorHAnsi" w:hAnsiTheme="majorHAnsi"/>
          <w:sz w:val="20"/>
          <w:szCs w:val="20"/>
        </w:rPr>
        <w:t xml:space="preserve"> a violation of the principle of the presumption of innocence whenever </w:t>
      </w:r>
      <w:r w:rsidR="00431337" w:rsidRPr="00907400">
        <w:rPr>
          <w:rFonts w:asciiTheme="majorHAnsi" w:hAnsiTheme="majorHAnsi"/>
          <w:sz w:val="20"/>
          <w:szCs w:val="20"/>
        </w:rPr>
        <w:t xml:space="preserve">strong probative value </w:t>
      </w:r>
      <w:r w:rsidR="00C522BE" w:rsidRPr="00907400">
        <w:rPr>
          <w:rFonts w:asciiTheme="majorHAnsi" w:hAnsiTheme="majorHAnsi"/>
          <w:sz w:val="20"/>
          <w:szCs w:val="20"/>
        </w:rPr>
        <w:t xml:space="preserve">is given to evidence obtained </w:t>
      </w:r>
      <w:r w:rsidR="00431337" w:rsidRPr="00907400">
        <w:rPr>
          <w:rFonts w:asciiTheme="majorHAnsi" w:hAnsiTheme="majorHAnsi"/>
          <w:sz w:val="20"/>
          <w:szCs w:val="20"/>
        </w:rPr>
        <w:t>with limitations on the right of defense - as in the case of</w:t>
      </w:r>
      <w:r w:rsidR="00C522BE" w:rsidRPr="00907400">
        <w:rPr>
          <w:rFonts w:asciiTheme="majorHAnsi" w:hAnsiTheme="majorHAnsi"/>
          <w:sz w:val="20"/>
          <w:szCs w:val="20"/>
        </w:rPr>
        <w:t xml:space="preserve"> anonymous</w:t>
      </w:r>
      <w:r w:rsidR="00431337" w:rsidRPr="00907400">
        <w:rPr>
          <w:rFonts w:asciiTheme="majorHAnsi" w:hAnsiTheme="majorHAnsi"/>
          <w:sz w:val="20"/>
          <w:szCs w:val="20"/>
        </w:rPr>
        <w:t xml:space="preserve"> witnesses - and </w:t>
      </w:r>
      <w:r w:rsidR="00C522BE" w:rsidRPr="00907400">
        <w:rPr>
          <w:rFonts w:asciiTheme="majorHAnsi" w:hAnsiTheme="majorHAnsi"/>
          <w:sz w:val="20"/>
          <w:szCs w:val="20"/>
        </w:rPr>
        <w:t>a conviction is</w:t>
      </w:r>
      <w:r w:rsidR="00431337" w:rsidRPr="00907400">
        <w:rPr>
          <w:rFonts w:asciiTheme="majorHAnsi" w:hAnsiTheme="majorHAnsi"/>
          <w:sz w:val="20"/>
          <w:szCs w:val="20"/>
        </w:rPr>
        <w:t xml:space="preserve"> fundamentally </w:t>
      </w:r>
      <w:r w:rsidR="00C522BE" w:rsidRPr="00907400">
        <w:rPr>
          <w:rFonts w:asciiTheme="majorHAnsi" w:hAnsiTheme="majorHAnsi"/>
          <w:sz w:val="20"/>
          <w:szCs w:val="20"/>
        </w:rPr>
        <w:t>grounded</w:t>
      </w:r>
      <w:r w:rsidR="00431337" w:rsidRPr="00907400">
        <w:rPr>
          <w:rFonts w:asciiTheme="majorHAnsi" w:hAnsiTheme="majorHAnsi"/>
          <w:sz w:val="20"/>
          <w:szCs w:val="20"/>
        </w:rPr>
        <w:t xml:space="preserve"> on that evidence, when there are no other elements of corroboration on es</w:t>
      </w:r>
      <w:r w:rsidR="00C522BE" w:rsidRPr="00907400">
        <w:rPr>
          <w:rFonts w:asciiTheme="majorHAnsi" w:hAnsiTheme="majorHAnsi"/>
          <w:sz w:val="20"/>
          <w:szCs w:val="20"/>
        </w:rPr>
        <w:t>sential aspects to determine that individual’s</w:t>
      </w:r>
      <w:r w:rsidR="00431337" w:rsidRPr="00907400">
        <w:rPr>
          <w:rFonts w:asciiTheme="majorHAnsi" w:hAnsiTheme="majorHAnsi"/>
          <w:sz w:val="20"/>
          <w:szCs w:val="20"/>
        </w:rPr>
        <w:t xml:space="preserve"> criminal responsibility. This violation is more serious when, as will be explained, there were </w:t>
      </w:r>
      <w:r w:rsidR="00C522BE" w:rsidRPr="00907400">
        <w:rPr>
          <w:rFonts w:asciiTheme="majorHAnsi" w:hAnsiTheme="majorHAnsi"/>
          <w:sz w:val="20"/>
          <w:szCs w:val="20"/>
        </w:rPr>
        <w:t>various</w:t>
      </w:r>
      <w:r w:rsidR="00431337" w:rsidRPr="00907400">
        <w:rPr>
          <w:rFonts w:asciiTheme="majorHAnsi" w:hAnsiTheme="majorHAnsi"/>
          <w:sz w:val="20"/>
          <w:szCs w:val="20"/>
        </w:rPr>
        <w:t xml:space="preserve"> elements that were favorable to Mr. Sastoque and in respect </w:t>
      </w:r>
      <w:r w:rsidRPr="00907400">
        <w:rPr>
          <w:rFonts w:asciiTheme="majorHAnsi" w:hAnsiTheme="majorHAnsi"/>
          <w:sz w:val="20"/>
          <w:szCs w:val="20"/>
        </w:rPr>
        <w:t>of which no legal reasoning was offered to clarify why they failed to</w:t>
      </w:r>
      <w:r w:rsidR="00431337" w:rsidRPr="00907400">
        <w:rPr>
          <w:rFonts w:asciiTheme="majorHAnsi" w:hAnsiTheme="majorHAnsi"/>
          <w:sz w:val="20"/>
          <w:szCs w:val="20"/>
        </w:rPr>
        <w:t xml:space="preserve"> </w:t>
      </w:r>
      <w:r w:rsidR="00C522BE" w:rsidRPr="00907400">
        <w:rPr>
          <w:rFonts w:asciiTheme="majorHAnsi" w:hAnsiTheme="majorHAnsi"/>
          <w:sz w:val="20"/>
          <w:szCs w:val="20"/>
        </w:rPr>
        <w:t xml:space="preserve">cast </w:t>
      </w:r>
      <w:r w:rsidRPr="00907400">
        <w:rPr>
          <w:rFonts w:asciiTheme="majorHAnsi" w:hAnsiTheme="majorHAnsi"/>
          <w:sz w:val="20"/>
          <w:szCs w:val="20"/>
        </w:rPr>
        <w:t xml:space="preserve">a </w:t>
      </w:r>
      <w:r w:rsidR="00C522BE" w:rsidRPr="00907400">
        <w:rPr>
          <w:rFonts w:asciiTheme="majorHAnsi" w:hAnsiTheme="majorHAnsi"/>
          <w:sz w:val="20"/>
          <w:szCs w:val="20"/>
        </w:rPr>
        <w:t>doubt on his</w:t>
      </w:r>
      <w:r w:rsidRPr="00907400">
        <w:rPr>
          <w:rFonts w:asciiTheme="majorHAnsi" w:hAnsiTheme="majorHAnsi"/>
          <w:sz w:val="20"/>
          <w:szCs w:val="20"/>
        </w:rPr>
        <w:t xml:space="preserve"> criminal responsibility, as indicated by the Inter-American Court in the </w:t>
      </w:r>
      <w:r w:rsidRPr="00907400">
        <w:rPr>
          <w:rFonts w:asciiTheme="majorHAnsi" w:hAnsiTheme="majorHAnsi"/>
          <w:i/>
          <w:sz w:val="20"/>
          <w:szCs w:val="20"/>
        </w:rPr>
        <w:t>Case of Zegarra Marín v. Peru,</w:t>
      </w:r>
      <w:r w:rsidRPr="00907400">
        <w:rPr>
          <w:rFonts w:asciiTheme="majorHAnsi" w:hAnsiTheme="majorHAnsi"/>
          <w:sz w:val="20"/>
          <w:szCs w:val="20"/>
        </w:rPr>
        <w:t xml:space="preserve"> already cited.</w:t>
      </w:r>
    </w:p>
    <w:p w14:paraId="7395DDD9"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76CC724" w14:textId="77777777" w:rsidR="007A744E" w:rsidRDefault="0086214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w:t>
      </w:r>
      <w:r w:rsidR="00431337" w:rsidRPr="00907400">
        <w:rPr>
          <w:rFonts w:asciiTheme="majorHAnsi" w:hAnsiTheme="majorHAnsi"/>
          <w:sz w:val="20"/>
          <w:szCs w:val="20"/>
        </w:rPr>
        <w:t xml:space="preserve">n the second place, </w:t>
      </w:r>
      <w:r w:rsidR="009E7E62" w:rsidRPr="00907400">
        <w:rPr>
          <w:rFonts w:asciiTheme="majorHAnsi" w:hAnsiTheme="majorHAnsi"/>
          <w:sz w:val="20"/>
          <w:szCs w:val="20"/>
        </w:rPr>
        <w:t>with respect to the testimony</w:t>
      </w:r>
      <w:r w:rsidR="00431337" w:rsidRPr="00907400">
        <w:rPr>
          <w:rFonts w:asciiTheme="majorHAnsi" w:hAnsiTheme="majorHAnsi"/>
          <w:sz w:val="20"/>
          <w:szCs w:val="20"/>
        </w:rPr>
        <w:t xml:space="preserve"> indicating that Mr. Sastoque was in a store buying shoes at the time of the murder, </w:t>
      </w:r>
      <w:r w:rsidR="009E7E62" w:rsidRPr="00907400">
        <w:rPr>
          <w:rFonts w:asciiTheme="majorHAnsi" w:hAnsiTheme="majorHAnsi"/>
          <w:sz w:val="20"/>
          <w:szCs w:val="20"/>
        </w:rPr>
        <w:t xml:space="preserve">the Commission emphasizes </w:t>
      </w:r>
      <w:r w:rsidR="00FC151A" w:rsidRPr="00907400">
        <w:rPr>
          <w:rFonts w:asciiTheme="majorHAnsi" w:hAnsiTheme="majorHAnsi"/>
          <w:sz w:val="20"/>
          <w:szCs w:val="20"/>
        </w:rPr>
        <w:t xml:space="preserve">that the </w:t>
      </w:r>
      <w:r w:rsidR="004665FA" w:rsidRPr="00907400">
        <w:rPr>
          <w:rFonts w:asciiTheme="majorHAnsi" w:hAnsiTheme="majorHAnsi"/>
          <w:sz w:val="20"/>
          <w:szCs w:val="20"/>
        </w:rPr>
        <w:t xml:space="preserve">local </w:t>
      </w:r>
      <w:r w:rsidR="00FC151A" w:rsidRPr="00907400">
        <w:rPr>
          <w:rFonts w:asciiTheme="majorHAnsi" w:hAnsiTheme="majorHAnsi"/>
          <w:sz w:val="20"/>
          <w:szCs w:val="20"/>
        </w:rPr>
        <w:t>C</w:t>
      </w:r>
      <w:r w:rsidR="00431337" w:rsidRPr="00907400">
        <w:rPr>
          <w:rFonts w:asciiTheme="majorHAnsi" w:hAnsiTheme="majorHAnsi"/>
          <w:sz w:val="20"/>
          <w:szCs w:val="20"/>
        </w:rPr>
        <w:t xml:space="preserve">ourt did not </w:t>
      </w:r>
      <w:r w:rsidR="009E7E62" w:rsidRPr="00907400">
        <w:rPr>
          <w:rFonts w:asciiTheme="majorHAnsi" w:hAnsiTheme="majorHAnsi"/>
          <w:sz w:val="20"/>
          <w:szCs w:val="20"/>
        </w:rPr>
        <w:t xml:space="preserve">consider the </w:t>
      </w:r>
      <w:r w:rsidR="00A433FF" w:rsidRPr="00907400">
        <w:rPr>
          <w:rFonts w:asciiTheme="majorHAnsi" w:hAnsiTheme="majorHAnsi"/>
          <w:sz w:val="20"/>
          <w:szCs w:val="20"/>
        </w:rPr>
        <w:t>storeowner</w:t>
      </w:r>
      <w:r w:rsidR="004665FA" w:rsidRPr="00907400">
        <w:rPr>
          <w:rFonts w:asciiTheme="majorHAnsi" w:hAnsiTheme="majorHAnsi"/>
          <w:sz w:val="20"/>
          <w:szCs w:val="20"/>
        </w:rPr>
        <w:t>’s statement nor the</w:t>
      </w:r>
      <w:r w:rsidR="009E7E62" w:rsidRPr="00907400">
        <w:rPr>
          <w:rFonts w:asciiTheme="majorHAnsi" w:hAnsiTheme="majorHAnsi"/>
          <w:sz w:val="20"/>
          <w:szCs w:val="20"/>
        </w:rPr>
        <w:t xml:space="preserve"> direct and specific identification by the person who served him</w:t>
      </w:r>
      <w:r w:rsidR="006541DB" w:rsidRPr="00907400">
        <w:rPr>
          <w:rFonts w:asciiTheme="majorHAnsi" w:hAnsiTheme="majorHAnsi"/>
          <w:sz w:val="20"/>
          <w:szCs w:val="20"/>
        </w:rPr>
        <w:t>. On the contrary, it</w:t>
      </w:r>
      <w:r w:rsidR="00431337" w:rsidRPr="00907400">
        <w:rPr>
          <w:rFonts w:asciiTheme="majorHAnsi" w:hAnsiTheme="majorHAnsi"/>
          <w:sz w:val="20"/>
          <w:szCs w:val="20"/>
        </w:rPr>
        <w:t xml:space="preserve"> indicated that everything related to this point "comes from people with an int</w:t>
      </w:r>
      <w:r w:rsidR="006541DB" w:rsidRPr="00907400">
        <w:rPr>
          <w:rFonts w:asciiTheme="majorHAnsi" w:hAnsiTheme="majorHAnsi"/>
          <w:sz w:val="20"/>
          <w:szCs w:val="20"/>
        </w:rPr>
        <w:t>erest in favoring him, by his close blood ties</w:t>
      </w:r>
      <w:r w:rsidR="00431337" w:rsidRPr="00907400">
        <w:rPr>
          <w:rFonts w:asciiTheme="majorHAnsi" w:hAnsiTheme="majorHAnsi"/>
          <w:sz w:val="20"/>
          <w:szCs w:val="20"/>
        </w:rPr>
        <w:t xml:space="preserve"> with some and friendship </w:t>
      </w:r>
      <w:r w:rsidR="006541DB" w:rsidRPr="00907400">
        <w:rPr>
          <w:rFonts w:asciiTheme="majorHAnsi" w:hAnsiTheme="majorHAnsi"/>
          <w:sz w:val="20"/>
          <w:szCs w:val="20"/>
        </w:rPr>
        <w:t>with others".  B</w:t>
      </w:r>
      <w:r w:rsidR="00431337" w:rsidRPr="00907400">
        <w:rPr>
          <w:rFonts w:asciiTheme="majorHAnsi" w:hAnsiTheme="majorHAnsi"/>
          <w:sz w:val="20"/>
          <w:szCs w:val="20"/>
        </w:rPr>
        <w:t xml:space="preserve">ased on this argument, </w:t>
      </w:r>
      <w:r w:rsidR="006541DB" w:rsidRPr="00907400">
        <w:rPr>
          <w:rFonts w:asciiTheme="majorHAnsi" w:hAnsiTheme="majorHAnsi"/>
          <w:sz w:val="20"/>
          <w:szCs w:val="20"/>
        </w:rPr>
        <w:t>it undermined the</w:t>
      </w:r>
      <w:r w:rsidR="00431337" w:rsidRPr="00907400">
        <w:rPr>
          <w:rFonts w:asciiTheme="majorHAnsi" w:hAnsiTheme="majorHAnsi"/>
          <w:sz w:val="20"/>
          <w:szCs w:val="20"/>
        </w:rPr>
        <w:t xml:space="preserve"> credibility </w:t>
      </w:r>
      <w:r w:rsidR="006541DB" w:rsidRPr="00907400">
        <w:rPr>
          <w:rFonts w:asciiTheme="majorHAnsi" w:hAnsiTheme="majorHAnsi"/>
          <w:sz w:val="20"/>
          <w:szCs w:val="20"/>
        </w:rPr>
        <w:t>of these potentially exculpatory elements which,</w:t>
      </w:r>
      <w:r w:rsidR="00431337" w:rsidRPr="00907400">
        <w:rPr>
          <w:rFonts w:asciiTheme="majorHAnsi" w:hAnsiTheme="majorHAnsi"/>
          <w:sz w:val="20"/>
          <w:szCs w:val="20"/>
        </w:rPr>
        <w:t xml:space="preserve"> in accordance with the jurisprudence cited, imposed on the judge an additional burden of </w:t>
      </w:r>
      <w:r w:rsidR="006541DB" w:rsidRPr="00907400">
        <w:rPr>
          <w:rFonts w:asciiTheme="majorHAnsi" w:hAnsiTheme="majorHAnsi"/>
          <w:sz w:val="20"/>
          <w:szCs w:val="20"/>
        </w:rPr>
        <w:t>reasoning</w:t>
      </w:r>
      <w:r w:rsidR="00431337" w:rsidRPr="00907400">
        <w:rPr>
          <w:rFonts w:asciiTheme="majorHAnsi" w:hAnsiTheme="majorHAnsi"/>
          <w:sz w:val="20"/>
          <w:szCs w:val="20"/>
        </w:rPr>
        <w:t xml:space="preserve"> </w:t>
      </w:r>
      <w:r w:rsidR="004665FA" w:rsidRPr="00907400">
        <w:rPr>
          <w:rFonts w:asciiTheme="majorHAnsi" w:hAnsiTheme="majorHAnsi"/>
          <w:sz w:val="20"/>
          <w:szCs w:val="20"/>
        </w:rPr>
        <w:t>to establish</w:t>
      </w:r>
      <w:r w:rsidR="006541DB" w:rsidRPr="00907400">
        <w:rPr>
          <w:rFonts w:asciiTheme="majorHAnsi" w:hAnsiTheme="majorHAnsi"/>
          <w:sz w:val="20"/>
          <w:szCs w:val="20"/>
        </w:rPr>
        <w:t xml:space="preserve"> Mr. Sastoque’s</w:t>
      </w:r>
      <w:r w:rsidR="00431337" w:rsidRPr="00907400">
        <w:rPr>
          <w:rFonts w:asciiTheme="majorHAnsi" w:hAnsiTheme="majorHAnsi"/>
          <w:sz w:val="20"/>
          <w:szCs w:val="20"/>
        </w:rPr>
        <w:t xml:space="preserve"> criminal responsibility. It is </w:t>
      </w:r>
      <w:r w:rsidR="00191E80" w:rsidRPr="00907400">
        <w:rPr>
          <w:rFonts w:asciiTheme="majorHAnsi" w:hAnsiTheme="majorHAnsi"/>
          <w:sz w:val="20"/>
          <w:szCs w:val="20"/>
        </w:rPr>
        <w:t>appropriate to mention</w:t>
      </w:r>
      <w:r w:rsidR="00431337" w:rsidRPr="00907400">
        <w:rPr>
          <w:rFonts w:asciiTheme="majorHAnsi" w:hAnsiTheme="majorHAnsi"/>
          <w:sz w:val="20"/>
          <w:szCs w:val="20"/>
        </w:rPr>
        <w:t xml:space="preserve"> that it is not true that all the statements about the presence of Mr. Sastoque in the shoe </w:t>
      </w:r>
      <w:r w:rsidR="00191E80" w:rsidRPr="00907400">
        <w:rPr>
          <w:rFonts w:asciiTheme="majorHAnsi" w:hAnsiTheme="majorHAnsi"/>
          <w:sz w:val="20"/>
          <w:szCs w:val="20"/>
        </w:rPr>
        <w:t>store</w:t>
      </w:r>
      <w:r w:rsidR="00431337" w:rsidRPr="00907400">
        <w:rPr>
          <w:rFonts w:asciiTheme="majorHAnsi" w:hAnsiTheme="majorHAnsi"/>
          <w:sz w:val="20"/>
          <w:szCs w:val="20"/>
        </w:rPr>
        <w:t xml:space="preserve"> were </w:t>
      </w:r>
      <w:r w:rsidR="00191E80" w:rsidRPr="00907400">
        <w:rPr>
          <w:rFonts w:asciiTheme="majorHAnsi" w:hAnsiTheme="majorHAnsi"/>
          <w:sz w:val="20"/>
          <w:szCs w:val="20"/>
        </w:rPr>
        <w:t>from</w:t>
      </w:r>
      <w:r w:rsidR="00431337" w:rsidRPr="00907400">
        <w:rPr>
          <w:rFonts w:asciiTheme="majorHAnsi" w:hAnsiTheme="majorHAnsi"/>
          <w:sz w:val="20"/>
          <w:szCs w:val="20"/>
        </w:rPr>
        <w:t xml:space="preserve"> people interested in </w:t>
      </w:r>
      <w:r w:rsidR="00191E80" w:rsidRPr="00907400">
        <w:rPr>
          <w:rFonts w:asciiTheme="majorHAnsi" w:hAnsiTheme="majorHAnsi"/>
          <w:sz w:val="20"/>
          <w:szCs w:val="20"/>
        </w:rPr>
        <w:t>exonerating him</w:t>
      </w:r>
      <w:r w:rsidR="00431337" w:rsidRPr="00907400">
        <w:rPr>
          <w:rFonts w:asciiTheme="majorHAnsi" w:hAnsiTheme="majorHAnsi"/>
          <w:sz w:val="20"/>
          <w:szCs w:val="20"/>
        </w:rPr>
        <w:t>. Both the owner of the stor</w:t>
      </w:r>
      <w:r w:rsidR="00191E80" w:rsidRPr="00907400">
        <w:rPr>
          <w:rFonts w:asciiTheme="majorHAnsi" w:hAnsiTheme="majorHAnsi"/>
          <w:sz w:val="20"/>
          <w:szCs w:val="20"/>
        </w:rPr>
        <w:t>e and the assistant are unaffected by this assessment; despite this</w:t>
      </w:r>
      <w:r w:rsidR="00431337" w:rsidRPr="00907400">
        <w:rPr>
          <w:rFonts w:asciiTheme="majorHAnsi" w:hAnsiTheme="majorHAnsi"/>
          <w:sz w:val="20"/>
          <w:szCs w:val="20"/>
        </w:rPr>
        <w:t xml:space="preserve">, the </w:t>
      </w:r>
      <w:r w:rsidR="00191E80" w:rsidRPr="00907400">
        <w:rPr>
          <w:rFonts w:asciiTheme="majorHAnsi" w:hAnsiTheme="majorHAnsi"/>
          <w:sz w:val="20"/>
          <w:szCs w:val="20"/>
        </w:rPr>
        <w:t>court</w:t>
      </w:r>
      <w:r w:rsidR="00431337" w:rsidRPr="00907400">
        <w:rPr>
          <w:rFonts w:asciiTheme="majorHAnsi" w:hAnsiTheme="majorHAnsi"/>
          <w:sz w:val="20"/>
          <w:szCs w:val="20"/>
        </w:rPr>
        <w:t xml:space="preserve"> did not </w:t>
      </w:r>
      <w:r w:rsidR="00191E80" w:rsidRPr="00907400">
        <w:rPr>
          <w:rFonts w:asciiTheme="majorHAnsi" w:hAnsiTheme="majorHAnsi"/>
          <w:sz w:val="20"/>
          <w:szCs w:val="20"/>
        </w:rPr>
        <w:t>consider</w:t>
      </w:r>
      <w:r w:rsidR="00431337" w:rsidRPr="00907400">
        <w:rPr>
          <w:rFonts w:asciiTheme="majorHAnsi" w:hAnsiTheme="majorHAnsi"/>
          <w:sz w:val="20"/>
          <w:szCs w:val="20"/>
        </w:rPr>
        <w:t xml:space="preserve"> this situation.</w:t>
      </w:r>
    </w:p>
    <w:p w14:paraId="03208CEB"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2CAC8DF" w14:textId="77777777" w:rsidR="007A744E"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Thirdly, the Commission considers that in </w:t>
      </w:r>
      <w:r w:rsidR="005A6836" w:rsidRPr="00907400">
        <w:rPr>
          <w:rFonts w:asciiTheme="majorHAnsi" w:hAnsiTheme="majorHAnsi"/>
          <w:sz w:val="20"/>
          <w:szCs w:val="20"/>
        </w:rPr>
        <w:t>its decision</w:t>
      </w:r>
      <w:r w:rsidR="00486C87" w:rsidRPr="00907400">
        <w:rPr>
          <w:rFonts w:asciiTheme="majorHAnsi" w:hAnsiTheme="majorHAnsi"/>
          <w:sz w:val="20"/>
          <w:szCs w:val="20"/>
        </w:rPr>
        <w:t xml:space="preserve">, the Court failed to consider </w:t>
      </w:r>
      <w:r w:rsidRPr="00907400">
        <w:rPr>
          <w:rFonts w:asciiTheme="majorHAnsi" w:hAnsiTheme="majorHAnsi"/>
          <w:sz w:val="20"/>
          <w:szCs w:val="20"/>
        </w:rPr>
        <w:t xml:space="preserve">other </w:t>
      </w:r>
      <w:r w:rsidR="00486C87" w:rsidRPr="00907400">
        <w:rPr>
          <w:rFonts w:asciiTheme="majorHAnsi" w:hAnsiTheme="majorHAnsi"/>
          <w:sz w:val="20"/>
          <w:szCs w:val="20"/>
        </w:rPr>
        <w:t>proof submitted</w:t>
      </w:r>
      <w:r w:rsidRPr="00907400">
        <w:rPr>
          <w:rFonts w:asciiTheme="majorHAnsi" w:hAnsiTheme="majorHAnsi"/>
          <w:sz w:val="20"/>
          <w:szCs w:val="20"/>
        </w:rPr>
        <w:t xml:space="preserve"> by Mr. Sastoque's defense, such as i) the documentation that </w:t>
      </w:r>
      <w:r w:rsidR="005A6836" w:rsidRPr="00907400">
        <w:rPr>
          <w:rFonts w:asciiTheme="majorHAnsi" w:hAnsiTheme="majorHAnsi"/>
          <w:sz w:val="20"/>
          <w:szCs w:val="20"/>
        </w:rPr>
        <w:t>bore witness</w:t>
      </w:r>
      <w:r w:rsidRPr="00907400">
        <w:rPr>
          <w:rFonts w:asciiTheme="majorHAnsi" w:hAnsiTheme="majorHAnsi"/>
          <w:sz w:val="20"/>
          <w:szCs w:val="20"/>
        </w:rPr>
        <w:t xml:space="preserve"> that he </w:t>
      </w:r>
      <w:r w:rsidR="005A6836" w:rsidRPr="00907400">
        <w:rPr>
          <w:rFonts w:asciiTheme="majorHAnsi" w:hAnsiTheme="majorHAnsi"/>
          <w:sz w:val="20"/>
          <w:szCs w:val="20"/>
        </w:rPr>
        <w:t>carried out</w:t>
      </w:r>
      <w:r w:rsidRPr="00907400">
        <w:rPr>
          <w:rFonts w:asciiTheme="majorHAnsi" w:hAnsiTheme="majorHAnsi"/>
          <w:sz w:val="20"/>
          <w:szCs w:val="20"/>
        </w:rPr>
        <w:t xml:space="preserve"> administrative functions and </w:t>
      </w:r>
      <w:r w:rsidR="005A6836" w:rsidRPr="00907400">
        <w:rPr>
          <w:rFonts w:asciiTheme="majorHAnsi" w:hAnsiTheme="majorHAnsi"/>
          <w:sz w:val="20"/>
          <w:szCs w:val="20"/>
        </w:rPr>
        <w:t>had no</w:t>
      </w:r>
      <w:r w:rsidRPr="00907400">
        <w:rPr>
          <w:rFonts w:asciiTheme="majorHAnsi" w:hAnsiTheme="majorHAnsi"/>
          <w:sz w:val="20"/>
          <w:szCs w:val="20"/>
        </w:rPr>
        <w:t xml:space="preserve"> access to weapons; and ii) the existence of a payment receipt certifying the purchase of shoes </w:t>
      </w:r>
      <w:r w:rsidR="005A6836" w:rsidRPr="00907400">
        <w:rPr>
          <w:rFonts w:asciiTheme="majorHAnsi" w:hAnsiTheme="majorHAnsi"/>
          <w:sz w:val="20"/>
          <w:szCs w:val="20"/>
        </w:rPr>
        <w:t xml:space="preserve">at the time the crime </w:t>
      </w:r>
      <w:r w:rsidR="00A433FF" w:rsidRPr="00907400">
        <w:rPr>
          <w:rFonts w:asciiTheme="majorHAnsi" w:hAnsiTheme="majorHAnsi"/>
          <w:sz w:val="20"/>
          <w:szCs w:val="20"/>
        </w:rPr>
        <w:t>occurred</w:t>
      </w:r>
      <w:r w:rsidRPr="00907400">
        <w:rPr>
          <w:rFonts w:asciiTheme="majorHAnsi" w:hAnsiTheme="majorHAnsi"/>
          <w:sz w:val="20"/>
          <w:szCs w:val="20"/>
        </w:rPr>
        <w:t xml:space="preserve">. Nor was an assessment made </w:t>
      </w:r>
      <w:r w:rsidR="005A6836" w:rsidRPr="00907400">
        <w:rPr>
          <w:rFonts w:asciiTheme="majorHAnsi" w:hAnsiTheme="majorHAnsi"/>
          <w:sz w:val="20"/>
          <w:szCs w:val="20"/>
        </w:rPr>
        <w:t>of</w:t>
      </w:r>
      <w:r w:rsidRPr="00907400">
        <w:rPr>
          <w:rFonts w:asciiTheme="majorHAnsi" w:hAnsiTheme="majorHAnsi"/>
          <w:sz w:val="20"/>
          <w:szCs w:val="20"/>
        </w:rPr>
        <w:t xml:space="preserve"> the statements of at least two people</w:t>
      </w:r>
      <w:r w:rsidR="00486C87" w:rsidRPr="00907400">
        <w:rPr>
          <w:rFonts w:asciiTheme="majorHAnsi" w:hAnsiTheme="majorHAnsi"/>
          <w:sz w:val="20"/>
          <w:szCs w:val="20"/>
        </w:rPr>
        <w:t xml:space="preserve"> who questioned the version of W</w:t>
      </w:r>
      <w:r w:rsidRPr="00907400">
        <w:rPr>
          <w:rFonts w:asciiTheme="majorHAnsi" w:hAnsiTheme="majorHAnsi"/>
          <w:sz w:val="20"/>
          <w:szCs w:val="20"/>
        </w:rPr>
        <w:t xml:space="preserve">itness No. 1 regarding the presence of Mr. Sastoque </w:t>
      </w:r>
      <w:r w:rsidR="00486C87" w:rsidRPr="00907400">
        <w:rPr>
          <w:rFonts w:asciiTheme="majorHAnsi" w:hAnsiTheme="majorHAnsi"/>
          <w:sz w:val="20"/>
          <w:szCs w:val="20"/>
        </w:rPr>
        <w:t xml:space="preserve">during the </w:t>
      </w:r>
      <w:r w:rsidR="005A6836" w:rsidRPr="00907400">
        <w:rPr>
          <w:rFonts w:asciiTheme="majorHAnsi" w:hAnsiTheme="majorHAnsi"/>
          <w:sz w:val="20"/>
          <w:szCs w:val="20"/>
        </w:rPr>
        <w:t>removal of the body</w:t>
      </w:r>
      <w:r w:rsidR="00486C87" w:rsidRPr="00907400">
        <w:rPr>
          <w:rFonts w:asciiTheme="majorHAnsi" w:hAnsiTheme="majorHAnsi"/>
          <w:sz w:val="20"/>
          <w:szCs w:val="20"/>
        </w:rPr>
        <w:t xml:space="preserve"> that a</w:t>
      </w:r>
      <w:r w:rsidRPr="00907400">
        <w:rPr>
          <w:rFonts w:asciiTheme="majorHAnsi" w:hAnsiTheme="majorHAnsi"/>
          <w:sz w:val="20"/>
          <w:szCs w:val="20"/>
        </w:rPr>
        <w:t xml:space="preserve">ccording to </w:t>
      </w:r>
      <w:r w:rsidR="00486C87" w:rsidRPr="00907400">
        <w:rPr>
          <w:rFonts w:asciiTheme="majorHAnsi" w:hAnsiTheme="majorHAnsi"/>
          <w:sz w:val="20"/>
          <w:szCs w:val="20"/>
        </w:rPr>
        <w:t>the anonymous</w:t>
      </w:r>
      <w:r w:rsidRPr="00907400">
        <w:rPr>
          <w:rFonts w:asciiTheme="majorHAnsi" w:hAnsiTheme="majorHAnsi"/>
          <w:sz w:val="20"/>
          <w:szCs w:val="20"/>
        </w:rPr>
        <w:t xml:space="preserve"> witness, </w:t>
      </w:r>
      <w:r w:rsidR="00486C87" w:rsidRPr="00907400">
        <w:rPr>
          <w:rFonts w:asciiTheme="majorHAnsi" w:hAnsiTheme="majorHAnsi"/>
          <w:sz w:val="20"/>
          <w:szCs w:val="20"/>
        </w:rPr>
        <w:t>made possible his identification as the perpetrator of the shotguns</w:t>
      </w:r>
      <w:r w:rsidRPr="00907400">
        <w:rPr>
          <w:rFonts w:asciiTheme="majorHAnsi" w:hAnsiTheme="majorHAnsi"/>
          <w:sz w:val="20"/>
          <w:szCs w:val="20"/>
        </w:rPr>
        <w:t>.</w:t>
      </w:r>
    </w:p>
    <w:p w14:paraId="0888E105"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62D244F" w14:textId="77777777" w:rsidR="007A744E"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From the two previous points, the Commission emphasizes that not only were </w:t>
      </w:r>
      <w:r w:rsidR="006346E7" w:rsidRPr="00907400">
        <w:rPr>
          <w:rFonts w:asciiTheme="majorHAnsi" w:hAnsiTheme="majorHAnsi"/>
          <w:sz w:val="20"/>
          <w:szCs w:val="20"/>
        </w:rPr>
        <w:t>potentially exculpatory</w:t>
      </w:r>
      <w:r w:rsidRPr="00907400">
        <w:rPr>
          <w:rFonts w:asciiTheme="majorHAnsi" w:hAnsiTheme="majorHAnsi"/>
          <w:sz w:val="20"/>
          <w:szCs w:val="20"/>
        </w:rPr>
        <w:t xml:space="preserve"> elements </w:t>
      </w:r>
      <w:r w:rsidR="006346E7" w:rsidRPr="00907400">
        <w:rPr>
          <w:rFonts w:asciiTheme="majorHAnsi" w:hAnsiTheme="majorHAnsi"/>
          <w:sz w:val="20"/>
          <w:szCs w:val="20"/>
        </w:rPr>
        <w:t>arising during</w:t>
      </w:r>
      <w:r w:rsidRPr="00907400">
        <w:rPr>
          <w:rFonts w:asciiTheme="majorHAnsi" w:hAnsiTheme="majorHAnsi"/>
          <w:sz w:val="20"/>
          <w:szCs w:val="20"/>
        </w:rPr>
        <w:t xml:space="preserve"> the criminal proceedings not taken into account in the light of the principle of presumption of innocence, but there </w:t>
      </w:r>
      <w:r w:rsidR="006346E7" w:rsidRPr="00907400">
        <w:rPr>
          <w:rFonts w:asciiTheme="majorHAnsi" w:hAnsiTheme="majorHAnsi"/>
          <w:sz w:val="20"/>
          <w:szCs w:val="20"/>
        </w:rPr>
        <w:t>was also an</w:t>
      </w:r>
      <w:r w:rsidRPr="00907400">
        <w:rPr>
          <w:rFonts w:asciiTheme="majorHAnsi" w:hAnsiTheme="majorHAnsi"/>
          <w:sz w:val="20"/>
          <w:szCs w:val="20"/>
        </w:rPr>
        <w:t xml:space="preserve"> omission in gathering </w:t>
      </w:r>
      <w:r w:rsidR="006346E7" w:rsidRPr="00907400">
        <w:rPr>
          <w:rFonts w:asciiTheme="majorHAnsi" w:hAnsiTheme="majorHAnsi"/>
          <w:sz w:val="20"/>
          <w:szCs w:val="20"/>
        </w:rPr>
        <w:t>additional corroborative elements</w:t>
      </w:r>
      <w:r w:rsidRPr="00907400">
        <w:rPr>
          <w:rFonts w:asciiTheme="majorHAnsi" w:hAnsiTheme="majorHAnsi"/>
          <w:sz w:val="20"/>
          <w:szCs w:val="20"/>
        </w:rPr>
        <w:t xml:space="preserve"> </w:t>
      </w:r>
      <w:r w:rsidR="006346E7" w:rsidRPr="00907400">
        <w:rPr>
          <w:rFonts w:asciiTheme="majorHAnsi" w:hAnsiTheme="majorHAnsi"/>
          <w:sz w:val="20"/>
          <w:szCs w:val="20"/>
        </w:rPr>
        <w:t>indicated</w:t>
      </w:r>
      <w:r w:rsidRPr="00907400">
        <w:rPr>
          <w:rFonts w:asciiTheme="majorHAnsi" w:hAnsiTheme="majorHAnsi"/>
          <w:sz w:val="20"/>
          <w:szCs w:val="20"/>
        </w:rPr>
        <w:t xml:space="preserve"> by two of the </w:t>
      </w:r>
      <w:r w:rsidR="006346E7" w:rsidRPr="00907400">
        <w:rPr>
          <w:rFonts w:asciiTheme="majorHAnsi" w:hAnsiTheme="majorHAnsi"/>
          <w:sz w:val="20"/>
          <w:szCs w:val="20"/>
        </w:rPr>
        <w:t xml:space="preserve">anonymous </w:t>
      </w:r>
      <w:r w:rsidRPr="00907400">
        <w:rPr>
          <w:rFonts w:asciiTheme="majorHAnsi" w:hAnsiTheme="majorHAnsi"/>
          <w:sz w:val="20"/>
          <w:szCs w:val="20"/>
        </w:rPr>
        <w:t>wi</w:t>
      </w:r>
      <w:r w:rsidR="006346E7" w:rsidRPr="00907400">
        <w:rPr>
          <w:rFonts w:asciiTheme="majorHAnsi" w:hAnsiTheme="majorHAnsi"/>
          <w:sz w:val="20"/>
          <w:szCs w:val="20"/>
        </w:rPr>
        <w:t>tnesses</w:t>
      </w:r>
      <w:r w:rsidRPr="00907400">
        <w:rPr>
          <w:rFonts w:asciiTheme="majorHAnsi" w:hAnsiTheme="majorHAnsi"/>
          <w:sz w:val="20"/>
          <w:szCs w:val="20"/>
        </w:rPr>
        <w:t xml:space="preserve">. For example, it is not </w:t>
      </w:r>
      <w:r w:rsidR="001018AA" w:rsidRPr="00907400">
        <w:rPr>
          <w:rFonts w:asciiTheme="majorHAnsi" w:hAnsiTheme="majorHAnsi"/>
          <w:sz w:val="20"/>
          <w:szCs w:val="20"/>
        </w:rPr>
        <w:t xml:space="preserve">apparent </w:t>
      </w:r>
      <w:r w:rsidRPr="00907400">
        <w:rPr>
          <w:rFonts w:asciiTheme="majorHAnsi" w:hAnsiTheme="majorHAnsi"/>
          <w:sz w:val="20"/>
          <w:szCs w:val="20"/>
        </w:rPr>
        <w:t xml:space="preserve">that technical tests </w:t>
      </w:r>
      <w:r w:rsidR="001018AA" w:rsidRPr="00907400">
        <w:rPr>
          <w:rFonts w:asciiTheme="majorHAnsi" w:hAnsiTheme="majorHAnsi"/>
          <w:sz w:val="20"/>
          <w:szCs w:val="20"/>
        </w:rPr>
        <w:t xml:space="preserve">were </w:t>
      </w:r>
      <w:r w:rsidRPr="00907400">
        <w:rPr>
          <w:rFonts w:asciiTheme="majorHAnsi" w:hAnsiTheme="majorHAnsi"/>
          <w:sz w:val="20"/>
          <w:szCs w:val="20"/>
        </w:rPr>
        <w:t>carried out to determine whether Mr. Sastoque actually fired the firearm. On the contrary</w:t>
      </w:r>
      <w:r w:rsidR="008A1AC3" w:rsidRPr="00907400">
        <w:rPr>
          <w:rFonts w:asciiTheme="majorHAnsi" w:hAnsiTheme="majorHAnsi"/>
          <w:sz w:val="20"/>
          <w:szCs w:val="20"/>
        </w:rPr>
        <w:t>,</w:t>
      </w:r>
      <w:r w:rsidRPr="00907400">
        <w:rPr>
          <w:rFonts w:asciiTheme="majorHAnsi" w:hAnsiTheme="majorHAnsi"/>
          <w:sz w:val="20"/>
          <w:szCs w:val="20"/>
        </w:rPr>
        <w:t xml:space="preserve"> as </w:t>
      </w:r>
      <w:r w:rsidR="008A1AC3" w:rsidRPr="00907400">
        <w:rPr>
          <w:rFonts w:asciiTheme="majorHAnsi" w:hAnsiTheme="majorHAnsi"/>
          <w:sz w:val="20"/>
          <w:szCs w:val="20"/>
        </w:rPr>
        <w:t>previously</w:t>
      </w:r>
      <w:r w:rsidR="00486C87" w:rsidRPr="00907400">
        <w:rPr>
          <w:rFonts w:asciiTheme="majorHAnsi" w:hAnsiTheme="majorHAnsi"/>
          <w:sz w:val="20"/>
          <w:szCs w:val="20"/>
        </w:rPr>
        <w:t xml:space="preserve"> indicated</w:t>
      </w:r>
      <w:r w:rsidR="008A1AC3" w:rsidRPr="00907400">
        <w:rPr>
          <w:rFonts w:asciiTheme="majorHAnsi" w:hAnsiTheme="majorHAnsi"/>
          <w:sz w:val="20"/>
          <w:szCs w:val="20"/>
        </w:rPr>
        <w:t>, the</w:t>
      </w:r>
      <w:r w:rsidR="00486C87" w:rsidRPr="00907400">
        <w:rPr>
          <w:rFonts w:asciiTheme="majorHAnsi" w:hAnsiTheme="majorHAnsi"/>
          <w:sz w:val="20"/>
          <w:szCs w:val="20"/>
        </w:rPr>
        <w:t>se</w:t>
      </w:r>
      <w:r w:rsidR="008A1AC3" w:rsidRPr="00907400">
        <w:rPr>
          <w:rFonts w:asciiTheme="majorHAnsi" w:hAnsiTheme="majorHAnsi"/>
          <w:sz w:val="20"/>
          <w:szCs w:val="20"/>
        </w:rPr>
        <w:t xml:space="preserve"> procedural steps</w:t>
      </w:r>
      <w:r w:rsidRPr="00907400">
        <w:rPr>
          <w:rFonts w:asciiTheme="majorHAnsi" w:hAnsiTheme="majorHAnsi"/>
          <w:sz w:val="20"/>
          <w:szCs w:val="20"/>
        </w:rPr>
        <w:t xml:space="preserve"> </w:t>
      </w:r>
      <w:r w:rsidR="00486C87" w:rsidRPr="00907400">
        <w:rPr>
          <w:rFonts w:asciiTheme="majorHAnsi" w:hAnsiTheme="majorHAnsi"/>
          <w:sz w:val="20"/>
          <w:szCs w:val="20"/>
        </w:rPr>
        <w:t xml:space="preserve">were </w:t>
      </w:r>
      <w:r w:rsidRPr="00907400">
        <w:rPr>
          <w:rFonts w:asciiTheme="majorHAnsi" w:hAnsiTheme="majorHAnsi"/>
          <w:sz w:val="20"/>
          <w:szCs w:val="20"/>
        </w:rPr>
        <w:t>carried ou</w:t>
      </w:r>
      <w:r w:rsidR="00486C87" w:rsidRPr="00907400">
        <w:rPr>
          <w:rFonts w:asciiTheme="majorHAnsi" w:hAnsiTheme="majorHAnsi"/>
          <w:sz w:val="20"/>
          <w:szCs w:val="20"/>
        </w:rPr>
        <w:t>t in the initial stage,</w:t>
      </w:r>
      <w:r w:rsidRPr="00907400">
        <w:rPr>
          <w:rFonts w:asciiTheme="majorHAnsi" w:hAnsiTheme="majorHAnsi"/>
          <w:sz w:val="20"/>
          <w:szCs w:val="20"/>
        </w:rPr>
        <w:t xml:space="preserve"> without the presence or participation of Mr. Sastoque and his defense</w:t>
      </w:r>
      <w:r w:rsidR="008A1AC3" w:rsidRPr="00907400">
        <w:rPr>
          <w:rFonts w:asciiTheme="majorHAnsi" w:hAnsiTheme="majorHAnsi"/>
          <w:sz w:val="20"/>
          <w:szCs w:val="20"/>
        </w:rPr>
        <w:t xml:space="preserve"> attorney</w:t>
      </w:r>
      <w:r w:rsidRPr="00907400">
        <w:rPr>
          <w:rFonts w:asciiTheme="majorHAnsi" w:hAnsiTheme="majorHAnsi"/>
          <w:sz w:val="20"/>
          <w:szCs w:val="20"/>
        </w:rPr>
        <w:t>.</w:t>
      </w:r>
    </w:p>
    <w:p w14:paraId="0CD6939D"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EE9A842" w14:textId="77777777" w:rsidR="007A744E" w:rsidRPr="00907400"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Additionally, </w:t>
      </w:r>
      <w:r w:rsidR="00554039" w:rsidRPr="00907400">
        <w:rPr>
          <w:rFonts w:asciiTheme="majorHAnsi" w:hAnsiTheme="majorHAnsi"/>
          <w:sz w:val="20"/>
          <w:szCs w:val="20"/>
        </w:rPr>
        <w:t>faced with a guilty verdict,</w:t>
      </w:r>
      <w:r w:rsidRPr="00907400">
        <w:rPr>
          <w:rFonts w:asciiTheme="majorHAnsi" w:hAnsiTheme="majorHAnsi"/>
          <w:sz w:val="20"/>
          <w:szCs w:val="20"/>
        </w:rPr>
        <w:t xml:space="preserve"> Mr. Sastoque's defense </w:t>
      </w:r>
      <w:r w:rsidR="00554039" w:rsidRPr="00907400">
        <w:rPr>
          <w:rFonts w:asciiTheme="majorHAnsi" w:hAnsiTheme="majorHAnsi"/>
          <w:sz w:val="20"/>
          <w:szCs w:val="20"/>
        </w:rPr>
        <w:t xml:space="preserve">lawyer </w:t>
      </w:r>
      <w:r w:rsidRPr="00907400">
        <w:rPr>
          <w:rFonts w:asciiTheme="majorHAnsi" w:hAnsiTheme="majorHAnsi"/>
          <w:sz w:val="20"/>
          <w:szCs w:val="20"/>
        </w:rPr>
        <w:t>filed</w:t>
      </w:r>
      <w:r w:rsidR="00486C87" w:rsidRPr="00907400">
        <w:rPr>
          <w:rFonts w:asciiTheme="majorHAnsi" w:hAnsiTheme="majorHAnsi"/>
          <w:sz w:val="20"/>
          <w:szCs w:val="20"/>
        </w:rPr>
        <w:t xml:space="preserve"> an appeal and the Decision Chamber</w:t>
      </w:r>
      <w:r w:rsidRPr="00907400">
        <w:rPr>
          <w:rFonts w:asciiTheme="majorHAnsi" w:hAnsiTheme="majorHAnsi"/>
          <w:sz w:val="20"/>
          <w:szCs w:val="20"/>
        </w:rPr>
        <w:t xml:space="preserve"> of the National Court upheld the first</w:t>
      </w:r>
      <w:r w:rsidR="00554039" w:rsidRPr="00907400">
        <w:rPr>
          <w:rFonts w:asciiTheme="majorHAnsi" w:hAnsiTheme="majorHAnsi"/>
          <w:sz w:val="20"/>
          <w:szCs w:val="20"/>
        </w:rPr>
        <w:t xml:space="preserve"> instance decision, reducing his</w:t>
      </w:r>
      <w:r w:rsidRPr="00907400">
        <w:rPr>
          <w:rFonts w:asciiTheme="majorHAnsi" w:hAnsiTheme="majorHAnsi"/>
          <w:sz w:val="20"/>
          <w:szCs w:val="20"/>
        </w:rPr>
        <w:t xml:space="preserve"> sentence from 41 years to 40 years an</w:t>
      </w:r>
      <w:r w:rsidR="00216FB3" w:rsidRPr="00907400">
        <w:rPr>
          <w:rFonts w:asciiTheme="majorHAnsi" w:hAnsiTheme="majorHAnsi"/>
          <w:sz w:val="20"/>
          <w:szCs w:val="20"/>
        </w:rPr>
        <w:t>d six months. This court emphasized</w:t>
      </w:r>
      <w:r w:rsidRPr="00907400">
        <w:rPr>
          <w:rFonts w:asciiTheme="majorHAnsi" w:hAnsiTheme="majorHAnsi"/>
          <w:sz w:val="20"/>
          <w:szCs w:val="20"/>
        </w:rPr>
        <w:t xml:space="preserve"> the importance </w:t>
      </w:r>
      <w:r w:rsidR="00486C87" w:rsidRPr="00907400">
        <w:rPr>
          <w:rFonts w:asciiTheme="majorHAnsi" w:hAnsiTheme="majorHAnsi"/>
          <w:sz w:val="20"/>
          <w:szCs w:val="20"/>
        </w:rPr>
        <w:t>of W</w:t>
      </w:r>
      <w:r w:rsidRPr="00907400">
        <w:rPr>
          <w:rFonts w:asciiTheme="majorHAnsi" w:hAnsiTheme="majorHAnsi"/>
          <w:sz w:val="20"/>
          <w:szCs w:val="20"/>
        </w:rPr>
        <w:t>itness No. 1</w:t>
      </w:r>
      <w:r w:rsidR="00216FB3" w:rsidRPr="00907400">
        <w:rPr>
          <w:rFonts w:asciiTheme="majorHAnsi" w:hAnsiTheme="majorHAnsi"/>
          <w:sz w:val="20"/>
          <w:szCs w:val="20"/>
        </w:rPr>
        <w:t>’s</w:t>
      </w:r>
      <w:r w:rsidRPr="00907400">
        <w:rPr>
          <w:rFonts w:asciiTheme="majorHAnsi" w:hAnsiTheme="majorHAnsi"/>
          <w:sz w:val="20"/>
          <w:szCs w:val="20"/>
        </w:rPr>
        <w:t xml:space="preserve"> </w:t>
      </w:r>
      <w:r w:rsidR="00554039" w:rsidRPr="00907400">
        <w:rPr>
          <w:rFonts w:asciiTheme="majorHAnsi" w:hAnsiTheme="majorHAnsi"/>
          <w:sz w:val="20"/>
          <w:szCs w:val="20"/>
        </w:rPr>
        <w:t xml:space="preserve">statements </w:t>
      </w:r>
      <w:r w:rsidRPr="00907400">
        <w:rPr>
          <w:rFonts w:asciiTheme="majorHAnsi" w:hAnsiTheme="majorHAnsi"/>
          <w:sz w:val="20"/>
          <w:szCs w:val="20"/>
        </w:rPr>
        <w:t xml:space="preserve">by </w:t>
      </w:r>
      <w:r w:rsidR="00216FB3" w:rsidRPr="00907400">
        <w:rPr>
          <w:rFonts w:asciiTheme="majorHAnsi" w:hAnsiTheme="majorHAnsi"/>
          <w:sz w:val="20"/>
          <w:szCs w:val="20"/>
        </w:rPr>
        <w:t>indicating</w:t>
      </w:r>
      <w:r w:rsidRPr="00907400">
        <w:rPr>
          <w:rFonts w:asciiTheme="majorHAnsi" w:hAnsiTheme="majorHAnsi"/>
          <w:sz w:val="20"/>
          <w:szCs w:val="20"/>
        </w:rPr>
        <w:t xml:space="preserve"> that </w:t>
      </w:r>
      <w:r w:rsidR="00554039" w:rsidRPr="00907400">
        <w:rPr>
          <w:rFonts w:asciiTheme="majorHAnsi" w:hAnsiTheme="majorHAnsi"/>
          <w:sz w:val="20"/>
          <w:szCs w:val="20"/>
        </w:rPr>
        <w:t>she was</w:t>
      </w:r>
      <w:r w:rsidRPr="00907400">
        <w:rPr>
          <w:rFonts w:asciiTheme="majorHAnsi" w:hAnsiTheme="majorHAnsi"/>
          <w:sz w:val="20"/>
          <w:szCs w:val="20"/>
        </w:rPr>
        <w:t xml:space="preserve"> "a normal person without visual or auditory </w:t>
      </w:r>
      <w:r w:rsidR="00554039" w:rsidRPr="00907400">
        <w:rPr>
          <w:rFonts w:asciiTheme="majorHAnsi" w:hAnsiTheme="majorHAnsi"/>
          <w:sz w:val="20"/>
          <w:szCs w:val="20"/>
        </w:rPr>
        <w:t>impairments</w:t>
      </w:r>
      <w:r w:rsidRPr="00907400">
        <w:rPr>
          <w:rFonts w:asciiTheme="majorHAnsi" w:hAnsiTheme="majorHAnsi"/>
          <w:sz w:val="20"/>
          <w:szCs w:val="20"/>
        </w:rPr>
        <w:t xml:space="preserve"> [and] does not suffer from physical or mental illnesses that would prevent or impede the appreciation of events". For its part, the Criminal Cassation Chamber of the Supreme Court of Justice decided not </w:t>
      </w:r>
      <w:r w:rsidR="00216FB3" w:rsidRPr="00907400">
        <w:rPr>
          <w:rFonts w:asciiTheme="majorHAnsi" w:hAnsiTheme="majorHAnsi"/>
          <w:sz w:val="20"/>
          <w:szCs w:val="20"/>
        </w:rPr>
        <w:t>to review</w:t>
      </w:r>
      <w:r w:rsidRPr="00907400">
        <w:rPr>
          <w:rFonts w:asciiTheme="majorHAnsi" w:hAnsiTheme="majorHAnsi"/>
          <w:sz w:val="20"/>
          <w:szCs w:val="20"/>
        </w:rPr>
        <w:t xml:space="preserve"> the</w:t>
      </w:r>
      <w:r w:rsidR="00216FB3" w:rsidRPr="00907400">
        <w:rPr>
          <w:rFonts w:asciiTheme="majorHAnsi" w:hAnsiTheme="majorHAnsi"/>
          <w:sz w:val="20"/>
          <w:szCs w:val="20"/>
        </w:rPr>
        <w:t xml:space="preserve"> contested judgment, on the grounds</w:t>
      </w:r>
      <w:r w:rsidRPr="00907400">
        <w:rPr>
          <w:rFonts w:asciiTheme="majorHAnsi" w:hAnsiTheme="majorHAnsi"/>
          <w:sz w:val="20"/>
          <w:szCs w:val="20"/>
        </w:rPr>
        <w:t xml:space="preserve"> that Mr. Sastoque </w:t>
      </w:r>
      <w:r w:rsidR="00216FB3" w:rsidRPr="00907400">
        <w:rPr>
          <w:rFonts w:asciiTheme="majorHAnsi" w:hAnsiTheme="majorHAnsi"/>
          <w:sz w:val="20"/>
          <w:szCs w:val="20"/>
        </w:rPr>
        <w:t>had failed to</w:t>
      </w:r>
      <w:r w:rsidRPr="00907400">
        <w:rPr>
          <w:rFonts w:asciiTheme="majorHAnsi" w:hAnsiTheme="majorHAnsi"/>
          <w:sz w:val="20"/>
          <w:szCs w:val="20"/>
        </w:rPr>
        <w:t xml:space="preserve"> "provide [the] truth (...) with the effectiveness of the omitted or alleged evidence and the inefficiency of those that determined the orientat</w:t>
      </w:r>
      <w:r w:rsidR="00801CCF" w:rsidRPr="00907400">
        <w:rPr>
          <w:rFonts w:asciiTheme="majorHAnsi" w:hAnsiTheme="majorHAnsi"/>
          <w:sz w:val="20"/>
          <w:szCs w:val="20"/>
        </w:rPr>
        <w:t>ion of the contested judgment."</w:t>
      </w:r>
    </w:p>
    <w:p w14:paraId="04E8A4A0"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C004DE3" w14:textId="77777777" w:rsidR="007A744E" w:rsidRPr="00907400"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lastRenderedPageBreak/>
        <w:t xml:space="preserve">The Commission considers that the decisions of both courts </w:t>
      </w:r>
      <w:r w:rsidR="00554039" w:rsidRPr="00907400">
        <w:rPr>
          <w:rFonts w:asciiTheme="majorHAnsi" w:hAnsiTheme="majorHAnsi"/>
          <w:sz w:val="20"/>
          <w:szCs w:val="20"/>
        </w:rPr>
        <w:t>enhanced</w:t>
      </w:r>
      <w:r w:rsidRPr="00907400">
        <w:rPr>
          <w:rFonts w:asciiTheme="majorHAnsi" w:hAnsiTheme="majorHAnsi"/>
          <w:sz w:val="20"/>
          <w:szCs w:val="20"/>
        </w:rPr>
        <w:t xml:space="preserve"> the violations of the</w:t>
      </w:r>
      <w:r w:rsidR="00AE30A8" w:rsidRPr="00907400">
        <w:rPr>
          <w:rFonts w:asciiTheme="majorHAnsi" w:hAnsiTheme="majorHAnsi"/>
          <w:sz w:val="20"/>
          <w:szCs w:val="20"/>
        </w:rPr>
        <w:t xml:space="preserve"> right of defense, including that relating to the</w:t>
      </w:r>
      <w:r w:rsidRPr="00907400">
        <w:rPr>
          <w:rFonts w:asciiTheme="majorHAnsi" w:hAnsiTheme="majorHAnsi"/>
          <w:sz w:val="20"/>
          <w:szCs w:val="20"/>
        </w:rPr>
        <w:t xml:space="preserve"> use of </w:t>
      </w:r>
      <w:r w:rsidR="00AE30A8" w:rsidRPr="00907400">
        <w:rPr>
          <w:rFonts w:asciiTheme="majorHAnsi" w:hAnsiTheme="majorHAnsi"/>
          <w:sz w:val="20"/>
          <w:szCs w:val="20"/>
        </w:rPr>
        <w:t xml:space="preserve">anonymous </w:t>
      </w:r>
      <w:r w:rsidRPr="00907400">
        <w:rPr>
          <w:rFonts w:asciiTheme="majorHAnsi" w:hAnsiTheme="majorHAnsi"/>
          <w:sz w:val="20"/>
          <w:szCs w:val="20"/>
        </w:rPr>
        <w:t xml:space="preserve">witnesses, and the principle of </w:t>
      </w:r>
      <w:r w:rsidR="00AE30A8" w:rsidRPr="00907400">
        <w:rPr>
          <w:rFonts w:asciiTheme="majorHAnsi" w:hAnsiTheme="majorHAnsi"/>
          <w:sz w:val="20"/>
          <w:szCs w:val="20"/>
        </w:rPr>
        <w:t xml:space="preserve">the </w:t>
      </w:r>
      <w:r w:rsidRPr="00907400">
        <w:rPr>
          <w:rFonts w:asciiTheme="majorHAnsi" w:hAnsiTheme="majorHAnsi"/>
          <w:sz w:val="20"/>
          <w:szCs w:val="20"/>
        </w:rPr>
        <w:t xml:space="preserve">presumption of innocence, in the terms analyzed. Therefore, the Commission considers that the </w:t>
      </w:r>
      <w:r w:rsidR="00801CCF" w:rsidRPr="00907400">
        <w:rPr>
          <w:rFonts w:asciiTheme="majorHAnsi" w:hAnsiTheme="majorHAnsi"/>
          <w:sz w:val="20"/>
          <w:szCs w:val="20"/>
        </w:rPr>
        <w:t>second instance</w:t>
      </w:r>
      <w:r w:rsidRPr="00907400">
        <w:rPr>
          <w:rFonts w:asciiTheme="majorHAnsi" w:hAnsiTheme="majorHAnsi"/>
          <w:sz w:val="20"/>
          <w:szCs w:val="20"/>
        </w:rPr>
        <w:t xml:space="preserve"> and </w:t>
      </w:r>
      <w:r w:rsidRPr="00907400">
        <w:rPr>
          <w:rFonts w:asciiTheme="majorHAnsi" w:hAnsiTheme="majorHAnsi"/>
          <w:i/>
          <w:sz w:val="20"/>
          <w:szCs w:val="20"/>
        </w:rPr>
        <w:t>cassation</w:t>
      </w:r>
      <w:r w:rsidR="00AE30A8" w:rsidRPr="00907400">
        <w:rPr>
          <w:rFonts w:asciiTheme="majorHAnsi" w:hAnsiTheme="majorHAnsi"/>
          <w:sz w:val="20"/>
          <w:szCs w:val="20"/>
        </w:rPr>
        <w:t xml:space="preserve"> appeal</w:t>
      </w:r>
      <w:r w:rsidR="00801CCF" w:rsidRPr="00907400">
        <w:rPr>
          <w:rFonts w:asciiTheme="majorHAnsi" w:hAnsiTheme="majorHAnsi"/>
          <w:sz w:val="20"/>
          <w:szCs w:val="20"/>
        </w:rPr>
        <w:t xml:space="preserve"> did not constitute effective remedies in connection with</w:t>
      </w:r>
      <w:r w:rsidRPr="00907400">
        <w:rPr>
          <w:rFonts w:asciiTheme="majorHAnsi" w:hAnsiTheme="majorHAnsi"/>
          <w:sz w:val="20"/>
          <w:szCs w:val="20"/>
        </w:rPr>
        <w:t xml:space="preserve"> the violations of due process to the detriment of Gustavo Sastoque Alfonso, which constituted an additional violation of the right to judicial protection.</w:t>
      </w:r>
    </w:p>
    <w:p w14:paraId="62B8ED68"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B789701" w14:textId="77777777" w:rsidR="007A744E" w:rsidRPr="00907400"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Finally, in this case, Mr. Sastoque's defense </w:t>
      </w:r>
      <w:r w:rsidR="00AE30A8" w:rsidRPr="00907400">
        <w:rPr>
          <w:rFonts w:asciiTheme="majorHAnsi" w:hAnsiTheme="majorHAnsi"/>
          <w:sz w:val="20"/>
          <w:szCs w:val="20"/>
        </w:rPr>
        <w:t xml:space="preserve">attorney </w:t>
      </w:r>
      <w:r w:rsidRPr="00907400">
        <w:rPr>
          <w:rFonts w:asciiTheme="majorHAnsi" w:hAnsiTheme="majorHAnsi"/>
          <w:sz w:val="20"/>
          <w:szCs w:val="20"/>
        </w:rPr>
        <w:t xml:space="preserve">filed </w:t>
      </w:r>
      <w:r w:rsidR="00AE30A8" w:rsidRPr="00907400">
        <w:rPr>
          <w:rFonts w:asciiTheme="majorHAnsi" w:hAnsiTheme="majorHAnsi"/>
          <w:sz w:val="20"/>
          <w:szCs w:val="20"/>
        </w:rPr>
        <w:t xml:space="preserve">a </w:t>
      </w:r>
      <w:r w:rsidR="00AE30A8" w:rsidRPr="00907400">
        <w:rPr>
          <w:rFonts w:asciiTheme="majorHAnsi" w:hAnsiTheme="majorHAnsi"/>
          <w:i/>
          <w:sz w:val="20"/>
          <w:szCs w:val="20"/>
        </w:rPr>
        <w:t>tutela</w:t>
      </w:r>
      <w:r w:rsidR="00AE30A8" w:rsidRPr="00907400">
        <w:rPr>
          <w:rFonts w:asciiTheme="majorHAnsi" w:hAnsiTheme="majorHAnsi"/>
          <w:sz w:val="20"/>
          <w:szCs w:val="20"/>
        </w:rPr>
        <w:t xml:space="preserve"> action</w:t>
      </w:r>
      <w:r w:rsidRPr="00907400">
        <w:rPr>
          <w:rFonts w:asciiTheme="majorHAnsi" w:hAnsiTheme="majorHAnsi"/>
          <w:sz w:val="20"/>
          <w:szCs w:val="20"/>
        </w:rPr>
        <w:t xml:space="preserve"> after the rejection of the </w:t>
      </w:r>
      <w:r w:rsidRPr="00907400">
        <w:rPr>
          <w:rFonts w:asciiTheme="majorHAnsi" w:hAnsiTheme="majorHAnsi"/>
          <w:i/>
          <w:sz w:val="20"/>
          <w:szCs w:val="20"/>
        </w:rPr>
        <w:t>cassation</w:t>
      </w:r>
      <w:r w:rsidR="00AE30A8" w:rsidRPr="00907400">
        <w:rPr>
          <w:rFonts w:asciiTheme="majorHAnsi" w:hAnsiTheme="majorHAnsi"/>
          <w:sz w:val="20"/>
          <w:szCs w:val="20"/>
        </w:rPr>
        <w:t xml:space="preserve"> appeal</w:t>
      </w:r>
      <w:r w:rsidRPr="00907400">
        <w:rPr>
          <w:rFonts w:asciiTheme="majorHAnsi" w:hAnsiTheme="majorHAnsi"/>
          <w:sz w:val="20"/>
          <w:szCs w:val="20"/>
        </w:rPr>
        <w:t xml:space="preserve">. The Civil Cassation Chamber of the Supreme Court indicated that the decision on the </w:t>
      </w:r>
      <w:r w:rsidRPr="00907400">
        <w:rPr>
          <w:rFonts w:asciiTheme="majorHAnsi" w:hAnsiTheme="majorHAnsi"/>
          <w:i/>
          <w:sz w:val="20"/>
          <w:szCs w:val="20"/>
        </w:rPr>
        <w:t>cassation</w:t>
      </w:r>
      <w:r w:rsidRPr="00907400">
        <w:rPr>
          <w:rFonts w:asciiTheme="majorHAnsi" w:hAnsiTheme="majorHAnsi"/>
          <w:sz w:val="20"/>
          <w:szCs w:val="20"/>
        </w:rPr>
        <w:t xml:space="preserve"> appeal </w:t>
      </w:r>
      <w:r w:rsidR="00AE30A8" w:rsidRPr="00907400">
        <w:rPr>
          <w:rFonts w:asciiTheme="majorHAnsi" w:hAnsiTheme="majorHAnsi"/>
          <w:sz w:val="20"/>
          <w:szCs w:val="20"/>
        </w:rPr>
        <w:t>could not be challenged</w:t>
      </w:r>
      <w:r w:rsidRPr="00907400">
        <w:rPr>
          <w:rFonts w:asciiTheme="majorHAnsi" w:hAnsiTheme="majorHAnsi"/>
          <w:sz w:val="20"/>
          <w:szCs w:val="20"/>
        </w:rPr>
        <w:t xml:space="preserve"> by way </w:t>
      </w:r>
      <w:r w:rsidR="00AE30A8" w:rsidRPr="00907400">
        <w:rPr>
          <w:rFonts w:asciiTheme="majorHAnsi" w:hAnsiTheme="majorHAnsi"/>
          <w:sz w:val="20"/>
          <w:szCs w:val="20"/>
        </w:rPr>
        <w:t xml:space="preserve">of a </w:t>
      </w:r>
      <w:r w:rsidR="00AE30A8" w:rsidRPr="00907400">
        <w:rPr>
          <w:rFonts w:asciiTheme="majorHAnsi" w:hAnsiTheme="majorHAnsi"/>
          <w:i/>
          <w:sz w:val="20"/>
          <w:szCs w:val="20"/>
        </w:rPr>
        <w:t>tutela</w:t>
      </w:r>
      <w:r w:rsidR="00AE30A8" w:rsidRPr="00907400">
        <w:rPr>
          <w:rFonts w:asciiTheme="majorHAnsi" w:hAnsiTheme="majorHAnsi"/>
          <w:sz w:val="20"/>
          <w:szCs w:val="20"/>
        </w:rPr>
        <w:t xml:space="preserve"> action since it is </w:t>
      </w:r>
      <w:r w:rsidRPr="00907400">
        <w:rPr>
          <w:rFonts w:asciiTheme="majorHAnsi" w:hAnsiTheme="majorHAnsi"/>
          <w:sz w:val="20"/>
          <w:szCs w:val="20"/>
        </w:rPr>
        <w:t xml:space="preserve">a "different jurisdiction" and would </w:t>
      </w:r>
      <w:r w:rsidR="00AE30A8" w:rsidRPr="00907400">
        <w:rPr>
          <w:rFonts w:asciiTheme="majorHAnsi" w:hAnsiTheme="majorHAnsi"/>
          <w:sz w:val="20"/>
          <w:szCs w:val="20"/>
        </w:rPr>
        <w:t xml:space="preserve">therefore </w:t>
      </w:r>
      <w:r w:rsidRPr="00907400">
        <w:rPr>
          <w:rFonts w:asciiTheme="majorHAnsi" w:hAnsiTheme="majorHAnsi"/>
          <w:sz w:val="20"/>
          <w:szCs w:val="20"/>
        </w:rPr>
        <w:t>generate "legal uncertainty".</w:t>
      </w:r>
    </w:p>
    <w:p w14:paraId="0C45F49B"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2C59FDE" w14:textId="77777777" w:rsidR="007A744E" w:rsidRPr="00907400"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its decision, the Civil </w:t>
      </w:r>
      <w:r w:rsidR="00B1470B" w:rsidRPr="00907400">
        <w:rPr>
          <w:rFonts w:asciiTheme="majorHAnsi" w:hAnsiTheme="majorHAnsi"/>
          <w:sz w:val="20"/>
          <w:szCs w:val="20"/>
        </w:rPr>
        <w:t xml:space="preserve">Cassation </w:t>
      </w:r>
      <w:r w:rsidRPr="00907400">
        <w:rPr>
          <w:rFonts w:asciiTheme="majorHAnsi" w:hAnsiTheme="majorHAnsi"/>
          <w:sz w:val="20"/>
          <w:szCs w:val="20"/>
        </w:rPr>
        <w:t xml:space="preserve">Chamber did not analyze the violations of constitutional and </w:t>
      </w:r>
      <w:r w:rsidR="00B1470B" w:rsidRPr="00907400">
        <w:rPr>
          <w:rFonts w:asciiTheme="majorHAnsi" w:hAnsiTheme="majorHAnsi"/>
          <w:sz w:val="20"/>
          <w:szCs w:val="20"/>
        </w:rPr>
        <w:t>Convention</w:t>
      </w:r>
      <w:r w:rsidRPr="00907400">
        <w:rPr>
          <w:rFonts w:asciiTheme="majorHAnsi" w:hAnsiTheme="majorHAnsi"/>
          <w:sz w:val="20"/>
          <w:szCs w:val="20"/>
        </w:rPr>
        <w:t xml:space="preserve"> rights alleged by Mr. Sastoque's defense</w:t>
      </w:r>
      <w:r w:rsidR="00B1470B" w:rsidRPr="00907400">
        <w:rPr>
          <w:rFonts w:asciiTheme="majorHAnsi" w:hAnsiTheme="majorHAnsi"/>
          <w:sz w:val="20"/>
          <w:szCs w:val="20"/>
        </w:rPr>
        <w:t xml:space="preserve"> attorney</w:t>
      </w:r>
      <w:r w:rsidRPr="00907400">
        <w:rPr>
          <w:rFonts w:asciiTheme="majorHAnsi" w:hAnsiTheme="majorHAnsi"/>
          <w:sz w:val="20"/>
          <w:szCs w:val="20"/>
        </w:rPr>
        <w:t xml:space="preserve">. Based on the foregoing, the IACHR considers that the </w:t>
      </w:r>
      <w:r w:rsidRPr="00907400">
        <w:rPr>
          <w:rFonts w:asciiTheme="majorHAnsi" w:hAnsiTheme="majorHAnsi"/>
          <w:i/>
          <w:sz w:val="20"/>
          <w:szCs w:val="20"/>
        </w:rPr>
        <w:t>tutela</w:t>
      </w:r>
      <w:r w:rsidRPr="00907400">
        <w:rPr>
          <w:rFonts w:asciiTheme="majorHAnsi" w:hAnsiTheme="majorHAnsi"/>
          <w:sz w:val="20"/>
          <w:szCs w:val="20"/>
        </w:rPr>
        <w:t xml:space="preserve"> action was not an effective judicial </w:t>
      </w:r>
      <w:r w:rsidR="00B1470B" w:rsidRPr="00907400">
        <w:rPr>
          <w:rFonts w:asciiTheme="majorHAnsi" w:hAnsiTheme="majorHAnsi"/>
          <w:sz w:val="20"/>
          <w:szCs w:val="20"/>
        </w:rPr>
        <w:t>means</w:t>
      </w:r>
      <w:r w:rsidRPr="00907400">
        <w:rPr>
          <w:rFonts w:asciiTheme="majorHAnsi" w:hAnsiTheme="majorHAnsi"/>
          <w:sz w:val="20"/>
          <w:szCs w:val="20"/>
        </w:rPr>
        <w:t xml:space="preserve"> to remedy the violations of due process noted throughout this report.</w:t>
      </w:r>
    </w:p>
    <w:p w14:paraId="22930561"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D422C48" w14:textId="77777777" w:rsidR="007A744E" w:rsidRPr="00907400" w:rsidRDefault="00431337"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view of the foregoing, the Commission concludes that the State of Colombia is responsible for the violation of the principle of </w:t>
      </w:r>
      <w:r w:rsidR="00EE677F" w:rsidRPr="00907400">
        <w:rPr>
          <w:rFonts w:asciiTheme="majorHAnsi" w:hAnsiTheme="majorHAnsi"/>
          <w:sz w:val="20"/>
          <w:szCs w:val="20"/>
        </w:rPr>
        <w:t xml:space="preserve">the </w:t>
      </w:r>
      <w:r w:rsidRPr="00907400">
        <w:rPr>
          <w:rFonts w:asciiTheme="majorHAnsi" w:hAnsiTheme="majorHAnsi"/>
          <w:sz w:val="20"/>
          <w:szCs w:val="20"/>
        </w:rPr>
        <w:t xml:space="preserve">presumption of innocence, the right to have duly </w:t>
      </w:r>
      <w:r w:rsidR="00EE677F" w:rsidRPr="00907400">
        <w:rPr>
          <w:rFonts w:asciiTheme="majorHAnsi" w:hAnsiTheme="majorHAnsi"/>
          <w:sz w:val="20"/>
          <w:szCs w:val="20"/>
        </w:rPr>
        <w:t>reasoned</w:t>
      </w:r>
      <w:r w:rsidRPr="00907400">
        <w:rPr>
          <w:rFonts w:asciiTheme="majorHAnsi" w:hAnsiTheme="majorHAnsi"/>
          <w:sz w:val="20"/>
          <w:szCs w:val="20"/>
        </w:rPr>
        <w:t xml:space="preserve"> decisions and the right to judicial protecti</w:t>
      </w:r>
      <w:r w:rsidR="00EE677F" w:rsidRPr="00907400">
        <w:rPr>
          <w:rFonts w:asciiTheme="majorHAnsi" w:hAnsiTheme="majorHAnsi"/>
          <w:sz w:val="20"/>
          <w:szCs w:val="20"/>
        </w:rPr>
        <w:t>on, established in Articles 8.1</w:t>
      </w:r>
      <w:r w:rsidRPr="00907400">
        <w:rPr>
          <w:rFonts w:asciiTheme="majorHAnsi" w:hAnsiTheme="majorHAnsi"/>
          <w:sz w:val="20"/>
          <w:szCs w:val="20"/>
        </w:rPr>
        <w:t>, 8.2 and 25.1 of the Ameri</w:t>
      </w:r>
      <w:r w:rsidR="00EE677F" w:rsidRPr="00907400">
        <w:rPr>
          <w:rFonts w:asciiTheme="majorHAnsi" w:hAnsiTheme="majorHAnsi"/>
          <w:sz w:val="20"/>
          <w:szCs w:val="20"/>
        </w:rPr>
        <w:t>can Convention, in relation to A</w:t>
      </w:r>
      <w:r w:rsidRPr="00907400">
        <w:rPr>
          <w:rFonts w:asciiTheme="majorHAnsi" w:hAnsiTheme="majorHAnsi"/>
          <w:sz w:val="20"/>
          <w:szCs w:val="20"/>
        </w:rPr>
        <w:t>rticle 1.1 of the same instrument, to the detriment of Gustavo Sastoque Alonso.</w:t>
      </w:r>
    </w:p>
    <w:p w14:paraId="6EA9C263" w14:textId="77777777" w:rsidR="007A744E" w:rsidRPr="00907400"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193301A" w14:textId="77777777" w:rsidR="00431337" w:rsidRPr="00DB6B7E" w:rsidRDefault="00DB6B7E" w:rsidP="00DB6B7E">
      <w:pPr>
        <w:pStyle w:val="Heading3"/>
        <w:spacing w:before="0"/>
        <w:ind w:left="1440" w:hanging="720"/>
        <w:jc w:val="both"/>
        <w:rPr>
          <w:color w:val="auto"/>
          <w:sz w:val="20"/>
          <w:szCs w:val="20"/>
        </w:rPr>
      </w:pPr>
      <w:bookmarkStart w:id="21" w:name="_Toc513023537"/>
      <w:bookmarkStart w:id="22" w:name="_Toc211249805"/>
      <w:r>
        <w:rPr>
          <w:color w:val="auto"/>
          <w:sz w:val="20"/>
          <w:szCs w:val="20"/>
        </w:rPr>
        <w:t>5</w:t>
      </w:r>
      <w:r w:rsidR="00431337" w:rsidRPr="00DB6B7E">
        <w:rPr>
          <w:color w:val="auto"/>
          <w:sz w:val="20"/>
          <w:szCs w:val="20"/>
        </w:rPr>
        <w:t>.</w:t>
      </w:r>
      <w:r w:rsidR="00431337" w:rsidRPr="00DB6B7E">
        <w:rPr>
          <w:color w:val="auto"/>
          <w:sz w:val="20"/>
          <w:szCs w:val="20"/>
        </w:rPr>
        <w:tab/>
        <w:t>A Reasonable Time</w:t>
      </w:r>
      <w:bookmarkEnd w:id="21"/>
      <w:bookmarkEnd w:id="22"/>
    </w:p>
    <w:p w14:paraId="06A90AB9" w14:textId="77777777" w:rsidR="00431337" w:rsidRPr="00907400" w:rsidRDefault="00431337"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E0D144E" w14:textId="77777777" w:rsidR="00431337" w:rsidRPr="00907400" w:rsidRDefault="006D58F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Article 8.1 of the American Convention establishes as one of the elements of due process that the co</w:t>
      </w:r>
      <w:r w:rsidR="00F027CE" w:rsidRPr="00907400">
        <w:rPr>
          <w:rFonts w:asciiTheme="majorHAnsi" w:hAnsiTheme="majorHAnsi"/>
          <w:sz w:val="20"/>
          <w:szCs w:val="20"/>
        </w:rPr>
        <w:t xml:space="preserve">urts decide the cases filed before them </w:t>
      </w:r>
      <w:r w:rsidRPr="00907400">
        <w:rPr>
          <w:rFonts w:asciiTheme="majorHAnsi" w:hAnsiTheme="majorHAnsi"/>
          <w:sz w:val="20"/>
          <w:szCs w:val="20"/>
        </w:rPr>
        <w:t xml:space="preserve">within a reasonable time. In this sense, a </w:t>
      </w:r>
      <w:r w:rsidR="00F027CE" w:rsidRPr="00907400">
        <w:rPr>
          <w:rFonts w:asciiTheme="majorHAnsi" w:hAnsiTheme="majorHAnsi"/>
          <w:sz w:val="20"/>
          <w:szCs w:val="20"/>
        </w:rPr>
        <w:t>prolonged</w:t>
      </w:r>
      <w:r w:rsidRPr="00907400">
        <w:rPr>
          <w:rFonts w:asciiTheme="majorHAnsi" w:hAnsiTheme="majorHAnsi"/>
          <w:sz w:val="20"/>
          <w:szCs w:val="20"/>
        </w:rPr>
        <w:t xml:space="preserve"> delay </w:t>
      </w:r>
      <w:r w:rsidR="00F027CE" w:rsidRPr="00907400">
        <w:rPr>
          <w:rFonts w:asciiTheme="majorHAnsi" w:hAnsiTheme="majorHAnsi"/>
          <w:sz w:val="20"/>
          <w:szCs w:val="20"/>
        </w:rPr>
        <w:t>may</w:t>
      </w:r>
      <w:r w:rsidRPr="00907400">
        <w:rPr>
          <w:rFonts w:asciiTheme="majorHAnsi" w:hAnsiTheme="majorHAnsi"/>
          <w:sz w:val="20"/>
          <w:szCs w:val="20"/>
        </w:rPr>
        <w:t xml:space="preserve">, by itself, </w:t>
      </w:r>
      <w:r w:rsidR="00F027CE" w:rsidRPr="00907400">
        <w:rPr>
          <w:rFonts w:asciiTheme="majorHAnsi" w:hAnsiTheme="majorHAnsi"/>
          <w:sz w:val="20"/>
          <w:szCs w:val="20"/>
        </w:rPr>
        <w:t xml:space="preserve">constitute </w:t>
      </w:r>
      <w:r w:rsidRPr="00907400">
        <w:rPr>
          <w:rFonts w:asciiTheme="majorHAnsi" w:hAnsiTheme="majorHAnsi"/>
          <w:sz w:val="20"/>
          <w:szCs w:val="20"/>
        </w:rPr>
        <w:t>a violation of judicial guarantees.</w:t>
      </w:r>
      <w:r w:rsidR="001366E0" w:rsidRPr="00907400">
        <w:rPr>
          <w:rStyle w:val="FootnoteReference"/>
          <w:rFonts w:asciiTheme="majorHAnsi" w:hAnsiTheme="majorHAnsi"/>
          <w:sz w:val="20"/>
          <w:szCs w:val="20"/>
        </w:rPr>
        <w:footnoteReference w:id="113"/>
      </w:r>
      <w:r w:rsidRPr="00907400">
        <w:rPr>
          <w:rFonts w:asciiTheme="majorHAnsi" w:hAnsiTheme="majorHAnsi"/>
          <w:sz w:val="20"/>
          <w:szCs w:val="20"/>
        </w:rPr>
        <w:t xml:space="preserve"> It is </w:t>
      </w:r>
      <w:r w:rsidR="00F027CE" w:rsidRPr="00907400">
        <w:rPr>
          <w:rFonts w:asciiTheme="majorHAnsi" w:hAnsiTheme="majorHAnsi"/>
          <w:sz w:val="20"/>
          <w:szCs w:val="20"/>
        </w:rPr>
        <w:t>for</w:t>
      </w:r>
      <w:r w:rsidRPr="00907400">
        <w:rPr>
          <w:rFonts w:asciiTheme="majorHAnsi" w:hAnsiTheme="majorHAnsi"/>
          <w:sz w:val="20"/>
          <w:szCs w:val="20"/>
        </w:rPr>
        <w:t xml:space="preserve"> the State to </w:t>
      </w:r>
      <w:r w:rsidR="00F027CE" w:rsidRPr="00907400">
        <w:rPr>
          <w:rFonts w:asciiTheme="majorHAnsi" w:hAnsiTheme="majorHAnsi"/>
          <w:sz w:val="20"/>
          <w:szCs w:val="20"/>
        </w:rPr>
        <w:t>explain</w:t>
      </w:r>
      <w:r w:rsidRPr="00907400">
        <w:rPr>
          <w:rFonts w:asciiTheme="majorHAnsi" w:hAnsiTheme="majorHAnsi"/>
          <w:sz w:val="20"/>
          <w:szCs w:val="20"/>
        </w:rPr>
        <w:t xml:space="preserve"> and prove why it has </w:t>
      </w:r>
      <w:r w:rsidR="00F027CE" w:rsidRPr="00907400">
        <w:rPr>
          <w:rFonts w:asciiTheme="majorHAnsi" w:hAnsiTheme="majorHAnsi"/>
          <w:sz w:val="20"/>
          <w:szCs w:val="20"/>
        </w:rPr>
        <w:t>required</w:t>
      </w:r>
      <w:r w:rsidRPr="00907400">
        <w:rPr>
          <w:rFonts w:asciiTheme="majorHAnsi" w:hAnsiTheme="majorHAnsi"/>
          <w:sz w:val="20"/>
          <w:szCs w:val="20"/>
        </w:rPr>
        <w:t xml:space="preserve"> more time than </w:t>
      </w:r>
      <w:r w:rsidR="00F027CE" w:rsidRPr="00907400">
        <w:rPr>
          <w:rFonts w:asciiTheme="majorHAnsi" w:hAnsiTheme="majorHAnsi"/>
          <w:sz w:val="20"/>
          <w:szCs w:val="20"/>
        </w:rPr>
        <w:t>would be</w:t>
      </w:r>
      <w:r w:rsidRPr="00907400">
        <w:rPr>
          <w:rFonts w:asciiTheme="majorHAnsi" w:hAnsiTheme="majorHAnsi"/>
          <w:sz w:val="20"/>
          <w:szCs w:val="20"/>
        </w:rPr>
        <w:t xml:space="preserve"> reasonable to </w:t>
      </w:r>
      <w:r w:rsidR="00F027CE" w:rsidRPr="00907400">
        <w:rPr>
          <w:rFonts w:asciiTheme="majorHAnsi" w:hAnsiTheme="majorHAnsi"/>
          <w:sz w:val="20"/>
          <w:szCs w:val="20"/>
        </w:rPr>
        <w:t>deliver</w:t>
      </w:r>
      <w:r w:rsidRPr="00907400">
        <w:rPr>
          <w:rFonts w:asciiTheme="majorHAnsi" w:hAnsiTheme="majorHAnsi"/>
          <w:sz w:val="20"/>
          <w:szCs w:val="20"/>
        </w:rPr>
        <w:t xml:space="preserve"> a final judgment in a </w:t>
      </w:r>
      <w:r w:rsidR="00F027CE" w:rsidRPr="00907400">
        <w:rPr>
          <w:rFonts w:asciiTheme="majorHAnsi" w:hAnsiTheme="majorHAnsi"/>
          <w:sz w:val="20"/>
          <w:szCs w:val="20"/>
        </w:rPr>
        <w:t xml:space="preserve">specific </w:t>
      </w:r>
      <w:r w:rsidRPr="00907400">
        <w:rPr>
          <w:rFonts w:asciiTheme="majorHAnsi" w:hAnsiTheme="majorHAnsi"/>
          <w:sz w:val="20"/>
          <w:szCs w:val="20"/>
        </w:rPr>
        <w:t>case.</w:t>
      </w:r>
      <w:r w:rsidR="0099514B" w:rsidRPr="00907400">
        <w:rPr>
          <w:rStyle w:val="FootnoteReference"/>
          <w:rFonts w:asciiTheme="majorHAnsi" w:hAnsiTheme="majorHAnsi"/>
          <w:sz w:val="20"/>
          <w:szCs w:val="20"/>
        </w:rPr>
        <w:footnoteReference w:id="114"/>
      </w:r>
      <w:r w:rsidRPr="00907400">
        <w:rPr>
          <w:rFonts w:asciiTheme="majorHAnsi" w:hAnsiTheme="majorHAnsi"/>
          <w:sz w:val="20"/>
          <w:szCs w:val="20"/>
        </w:rPr>
        <w:t xml:space="preserve"> In that sense, the reasonableness of the period must be assessed in relation to the total </w:t>
      </w:r>
      <w:r w:rsidR="00522327" w:rsidRPr="00907400">
        <w:rPr>
          <w:rFonts w:asciiTheme="majorHAnsi" w:hAnsiTheme="majorHAnsi"/>
          <w:sz w:val="20"/>
          <w:szCs w:val="20"/>
        </w:rPr>
        <w:t>duration of the criminal proceedings</w:t>
      </w:r>
      <w:r w:rsidR="0099514B" w:rsidRPr="00907400">
        <w:rPr>
          <w:rStyle w:val="FootnoteReference"/>
          <w:rFonts w:asciiTheme="majorHAnsi" w:hAnsiTheme="majorHAnsi"/>
          <w:sz w:val="20"/>
          <w:szCs w:val="20"/>
        </w:rPr>
        <w:footnoteReference w:id="115"/>
      </w:r>
      <w:r w:rsidRPr="00907400">
        <w:rPr>
          <w:rFonts w:asciiTheme="majorHAnsi" w:hAnsiTheme="majorHAnsi"/>
          <w:sz w:val="20"/>
          <w:szCs w:val="20"/>
        </w:rPr>
        <w:t xml:space="preserve"> and in light of the four elements that the Court has </w:t>
      </w:r>
      <w:r w:rsidR="00522327" w:rsidRPr="00907400">
        <w:rPr>
          <w:rFonts w:asciiTheme="majorHAnsi" w:hAnsiTheme="majorHAnsi"/>
          <w:sz w:val="20"/>
          <w:szCs w:val="20"/>
        </w:rPr>
        <w:t>considered in its case law</w:t>
      </w:r>
      <w:r w:rsidRPr="00907400">
        <w:rPr>
          <w:rFonts w:asciiTheme="majorHAnsi" w:hAnsiTheme="majorHAnsi"/>
          <w:sz w:val="20"/>
          <w:szCs w:val="20"/>
        </w:rPr>
        <w:t xml:space="preserve">, namely: i) the complexity of the matter; ii) the procedural activity of the interested party; iii) the conduct of the judicial authorities; and iv) </w:t>
      </w:r>
      <w:r w:rsidR="00522327" w:rsidRPr="00907400">
        <w:rPr>
          <w:rFonts w:asciiTheme="majorHAnsi" w:hAnsiTheme="majorHAnsi"/>
          <w:sz w:val="20"/>
          <w:szCs w:val="20"/>
        </w:rPr>
        <w:t>the general effects on</w:t>
      </w:r>
      <w:r w:rsidRPr="00907400">
        <w:rPr>
          <w:rFonts w:asciiTheme="majorHAnsi" w:hAnsiTheme="majorHAnsi"/>
          <w:sz w:val="20"/>
          <w:szCs w:val="20"/>
        </w:rPr>
        <w:t xml:space="preserve"> the legal situation of th</w:t>
      </w:r>
      <w:r w:rsidR="00522327" w:rsidRPr="00907400">
        <w:rPr>
          <w:rFonts w:asciiTheme="majorHAnsi" w:hAnsiTheme="majorHAnsi"/>
          <w:sz w:val="20"/>
          <w:szCs w:val="20"/>
        </w:rPr>
        <w:t>e person involved in the proceeding</w:t>
      </w:r>
      <w:r w:rsidRPr="00907400">
        <w:rPr>
          <w:rFonts w:asciiTheme="majorHAnsi" w:hAnsiTheme="majorHAnsi"/>
          <w:sz w:val="20"/>
          <w:szCs w:val="20"/>
        </w:rPr>
        <w:t>.</w:t>
      </w:r>
      <w:r w:rsidR="0099514B" w:rsidRPr="00907400">
        <w:rPr>
          <w:rStyle w:val="FootnoteReference"/>
          <w:rFonts w:asciiTheme="majorHAnsi" w:hAnsiTheme="majorHAnsi"/>
          <w:sz w:val="20"/>
          <w:szCs w:val="20"/>
        </w:rPr>
        <w:t xml:space="preserve"> </w:t>
      </w:r>
      <w:r w:rsidR="0099514B" w:rsidRPr="00907400">
        <w:rPr>
          <w:rStyle w:val="FootnoteReference"/>
          <w:rFonts w:asciiTheme="majorHAnsi" w:hAnsiTheme="majorHAnsi"/>
          <w:sz w:val="20"/>
          <w:szCs w:val="20"/>
        </w:rPr>
        <w:footnoteReference w:id="116"/>
      </w:r>
    </w:p>
    <w:p w14:paraId="76D0C30A"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1D75B38" w14:textId="77777777" w:rsidR="007A744E" w:rsidRPr="00907400" w:rsidRDefault="00061BAD"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With regard to</w:t>
      </w:r>
      <w:r w:rsidR="006D58F0" w:rsidRPr="00907400">
        <w:rPr>
          <w:rFonts w:asciiTheme="majorHAnsi" w:hAnsiTheme="majorHAnsi"/>
          <w:sz w:val="20"/>
          <w:szCs w:val="20"/>
        </w:rPr>
        <w:t xml:space="preserve"> complexity, the IACHR considers that in order for a complexity argument to be appropriate, it is necessary for the State to present specific information </w:t>
      </w:r>
      <w:r w:rsidRPr="00907400">
        <w:rPr>
          <w:rFonts w:asciiTheme="majorHAnsi" w:hAnsiTheme="majorHAnsi"/>
          <w:sz w:val="20"/>
          <w:szCs w:val="20"/>
        </w:rPr>
        <w:t>linking</w:t>
      </w:r>
      <w:r w:rsidR="006D58F0" w:rsidRPr="00907400">
        <w:rPr>
          <w:rFonts w:asciiTheme="majorHAnsi" w:hAnsiTheme="majorHAnsi"/>
          <w:sz w:val="20"/>
          <w:szCs w:val="20"/>
        </w:rPr>
        <w:t xml:space="preserve"> the elements of complexity invoked </w:t>
      </w:r>
      <w:r w:rsidRPr="00907400">
        <w:rPr>
          <w:rFonts w:asciiTheme="majorHAnsi" w:hAnsiTheme="majorHAnsi"/>
          <w:sz w:val="20"/>
          <w:szCs w:val="20"/>
        </w:rPr>
        <w:t>directly with the delays in the proceedings</w:t>
      </w:r>
      <w:r w:rsidR="006D58F0" w:rsidRPr="00907400">
        <w:rPr>
          <w:rFonts w:asciiTheme="majorHAnsi" w:hAnsiTheme="majorHAnsi"/>
          <w:sz w:val="20"/>
          <w:szCs w:val="20"/>
        </w:rPr>
        <w:t>. This has not happened in the present case.</w:t>
      </w:r>
    </w:p>
    <w:p w14:paraId="7DD349E2"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DC65B70" w14:textId="77777777" w:rsidR="007A744E" w:rsidRPr="00907400" w:rsidRDefault="006D58F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Regarding the participation of the interested parties, the Commission observes that Mr. Sastoque's actions are framed within the exercise of his right of defense in accordance with the mechanisms established by law in his favor. T</w:t>
      </w:r>
      <w:r w:rsidR="00546AC3" w:rsidRPr="00907400">
        <w:rPr>
          <w:rFonts w:asciiTheme="majorHAnsi" w:hAnsiTheme="majorHAnsi"/>
          <w:sz w:val="20"/>
          <w:szCs w:val="20"/>
        </w:rPr>
        <w:t>here is nothing in the file indicating</w:t>
      </w:r>
      <w:r w:rsidRPr="00907400">
        <w:rPr>
          <w:rFonts w:asciiTheme="majorHAnsi" w:hAnsiTheme="majorHAnsi"/>
          <w:sz w:val="20"/>
          <w:szCs w:val="20"/>
        </w:rPr>
        <w:t xml:space="preserve"> that Mr. Sastoque's defense </w:t>
      </w:r>
      <w:r w:rsidR="00061BAD" w:rsidRPr="00907400">
        <w:rPr>
          <w:rFonts w:asciiTheme="majorHAnsi" w:hAnsiTheme="majorHAnsi"/>
          <w:sz w:val="20"/>
          <w:szCs w:val="20"/>
        </w:rPr>
        <w:t>obstructed the proceedings</w:t>
      </w:r>
      <w:r w:rsidRPr="00907400">
        <w:rPr>
          <w:rFonts w:asciiTheme="majorHAnsi" w:hAnsiTheme="majorHAnsi"/>
          <w:sz w:val="20"/>
          <w:szCs w:val="20"/>
        </w:rPr>
        <w:t xml:space="preserve"> or </w:t>
      </w:r>
      <w:r w:rsidR="00061BAD" w:rsidRPr="00907400">
        <w:rPr>
          <w:rFonts w:asciiTheme="majorHAnsi" w:hAnsiTheme="majorHAnsi"/>
          <w:sz w:val="20"/>
          <w:szCs w:val="20"/>
        </w:rPr>
        <w:t>was responsible in any way</w:t>
      </w:r>
      <w:r w:rsidRPr="00907400">
        <w:rPr>
          <w:rFonts w:asciiTheme="majorHAnsi" w:hAnsiTheme="majorHAnsi"/>
          <w:sz w:val="20"/>
          <w:szCs w:val="20"/>
        </w:rPr>
        <w:t xml:space="preserve"> for the delay due to </w:t>
      </w:r>
      <w:r w:rsidR="00061BAD" w:rsidRPr="00907400">
        <w:rPr>
          <w:rFonts w:asciiTheme="majorHAnsi" w:hAnsiTheme="majorHAnsi"/>
          <w:sz w:val="20"/>
          <w:szCs w:val="20"/>
        </w:rPr>
        <w:t>abuse of that</w:t>
      </w:r>
      <w:r w:rsidRPr="00907400">
        <w:rPr>
          <w:rFonts w:asciiTheme="majorHAnsi" w:hAnsiTheme="majorHAnsi"/>
          <w:sz w:val="20"/>
          <w:szCs w:val="20"/>
        </w:rPr>
        <w:t xml:space="preserve"> right. Only in such circumstances would it be possible to take into consideration the procedural </w:t>
      </w:r>
      <w:r w:rsidR="00BC027C" w:rsidRPr="00907400">
        <w:rPr>
          <w:rFonts w:asciiTheme="majorHAnsi" w:hAnsiTheme="majorHAnsi"/>
          <w:sz w:val="20"/>
          <w:szCs w:val="20"/>
        </w:rPr>
        <w:t>activities</w:t>
      </w:r>
      <w:r w:rsidRPr="00907400">
        <w:rPr>
          <w:rFonts w:asciiTheme="majorHAnsi" w:hAnsiTheme="majorHAnsi"/>
          <w:sz w:val="20"/>
          <w:szCs w:val="20"/>
        </w:rPr>
        <w:t xml:space="preserve"> of </w:t>
      </w:r>
      <w:r w:rsidR="00BC027C" w:rsidRPr="00907400">
        <w:rPr>
          <w:rFonts w:asciiTheme="majorHAnsi" w:hAnsiTheme="majorHAnsi"/>
          <w:sz w:val="20"/>
          <w:szCs w:val="20"/>
        </w:rPr>
        <w:t>an individual</w:t>
      </w:r>
      <w:r w:rsidRPr="00907400">
        <w:rPr>
          <w:rFonts w:asciiTheme="majorHAnsi" w:hAnsiTheme="majorHAnsi"/>
          <w:sz w:val="20"/>
          <w:szCs w:val="20"/>
        </w:rPr>
        <w:t xml:space="preserve"> </w:t>
      </w:r>
      <w:r w:rsidR="00BC027C" w:rsidRPr="00907400">
        <w:rPr>
          <w:rFonts w:asciiTheme="majorHAnsi" w:hAnsiTheme="majorHAnsi"/>
          <w:sz w:val="20"/>
          <w:szCs w:val="20"/>
        </w:rPr>
        <w:t>in</w:t>
      </w:r>
      <w:r w:rsidRPr="00907400">
        <w:rPr>
          <w:rFonts w:asciiTheme="majorHAnsi" w:hAnsiTheme="majorHAnsi"/>
          <w:sz w:val="20"/>
          <w:szCs w:val="20"/>
        </w:rPr>
        <w:t xml:space="preserve"> criminal proceedings, </w:t>
      </w:r>
      <w:r w:rsidR="00BC027C" w:rsidRPr="00907400">
        <w:rPr>
          <w:rFonts w:asciiTheme="majorHAnsi" w:hAnsiTheme="majorHAnsi"/>
          <w:sz w:val="20"/>
          <w:szCs w:val="20"/>
        </w:rPr>
        <w:t xml:space="preserve">as it is primarily the State’s responsibility </w:t>
      </w:r>
      <w:r w:rsidR="004B187B" w:rsidRPr="00907400">
        <w:rPr>
          <w:rFonts w:asciiTheme="majorHAnsi" w:hAnsiTheme="majorHAnsi"/>
          <w:sz w:val="20"/>
          <w:szCs w:val="20"/>
        </w:rPr>
        <w:t xml:space="preserve">to ensure procedural </w:t>
      </w:r>
      <w:r w:rsidRPr="00907400">
        <w:rPr>
          <w:rFonts w:asciiTheme="majorHAnsi" w:hAnsiTheme="majorHAnsi"/>
          <w:sz w:val="20"/>
          <w:szCs w:val="20"/>
        </w:rPr>
        <w:t>impulse and reasona</w:t>
      </w:r>
      <w:r w:rsidR="004B187B" w:rsidRPr="00907400">
        <w:rPr>
          <w:rFonts w:asciiTheme="majorHAnsi" w:hAnsiTheme="majorHAnsi"/>
          <w:sz w:val="20"/>
          <w:szCs w:val="20"/>
        </w:rPr>
        <w:t>bleness in its duration</w:t>
      </w:r>
      <w:r w:rsidRPr="00907400">
        <w:rPr>
          <w:rFonts w:asciiTheme="majorHAnsi" w:hAnsiTheme="majorHAnsi"/>
          <w:sz w:val="20"/>
          <w:szCs w:val="20"/>
        </w:rPr>
        <w:t xml:space="preserve">. In relation to the conduct of the judicial authorities, the Commission highlights the delays in </w:t>
      </w:r>
      <w:r w:rsidR="00BC027C" w:rsidRPr="00907400">
        <w:rPr>
          <w:rFonts w:asciiTheme="majorHAnsi" w:hAnsiTheme="majorHAnsi"/>
          <w:sz w:val="20"/>
          <w:szCs w:val="20"/>
        </w:rPr>
        <w:t>deciding</w:t>
      </w:r>
      <w:r w:rsidRPr="00907400">
        <w:rPr>
          <w:rFonts w:asciiTheme="majorHAnsi" w:hAnsiTheme="majorHAnsi"/>
          <w:sz w:val="20"/>
          <w:szCs w:val="20"/>
        </w:rPr>
        <w:t xml:space="preserve"> the appeals, which have not been justified by the State. In particular, the IACHR </w:t>
      </w:r>
      <w:r w:rsidR="009B2370" w:rsidRPr="00907400">
        <w:rPr>
          <w:rFonts w:asciiTheme="majorHAnsi" w:hAnsiTheme="majorHAnsi"/>
          <w:sz w:val="20"/>
          <w:szCs w:val="20"/>
        </w:rPr>
        <w:t>observes</w:t>
      </w:r>
      <w:r w:rsidRPr="00907400">
        <w:rPr>
          <w:rFonts w:asciiTheme="majorHAnsi" w:hAnsiTheme="majorHAnsi"/>
          <w:sz w:val="20"/>
          <w:szCs w:val="20"/>
        </w:rPr>
        <w:t xml:space="preserve"> that </w:t>
      </w:r>
      <w:r w:rsidR="00BC027C" w:rsidRPr="00907400">
        <w:rPr>
          <w:rFonts w:asciiTheme="majorHAnsi" w:hAnsiTheme="majorHAnsi"/>
          <w:sz w:val="20"/>
          <w:szCs w:val="20"/>
        </w:rPr>
        <w:t xml:space="preserve">no justification has been provided for the </w:t>
      </w:r>
      <w:r w:rsidRPr="00907400">
        <w:rPr>
          <w:rFonts w:asciiTheme="majorHAnsi" w:hAnsiTheme="majorHAnsi"/>
          <w:sz w:val="20"/>
          <w:szCs w:val="20"/>
        </w:rPr>
        <w:t xml:space="preserve">five </w:t>
      </w:r>
      <w:r w:rsidR="00A433FF" w:rsidRPr="00907400">
        <w:rPr>
          <w:rFonts w:asciiTheme="majorHAnsi" w:hAnsiTheme="majorHAnsi"/>
          <w:sz w:val="20"/>
          <w:szCs w:val="20"/>
        </w:rPr>
        <w:t>years, which</w:t>
      </w:r>
      <w:r w:rsidR="00BC027C" w:rsidRPr="00907400">
        <w:rPr>
          <w:rFonts w:asciiTheme="majorHAnsi" w:hAnsiTheme="majorHAnsi"/>
          <w:sz w:val="20"/>
          <w:szCs w:val="20"/>
        </w:rPr>
        <w:t xml:space="preserve"> </w:t>
      </w:r>
      <w:r w:rsidRPr="00907400">
        <w:rPr>
          <w:rFonts w:asciiTheme="majorHAnsi" w:hAnsiTheme="majorHAnsi"/>
          <w:sz w:val="20"/>
          <w:szCs w:val="20"/>
        </w:rPr>
        <w:t xml:space="preserve">elapsed between the second instance </w:t>
      </w:r>
      <w:r w:rsidR="00BC027C" w:rsidRPr="00907400">
        <w:rPr>
          <w:rFonts w:asciiTheme="majorHAnsi" w:hAnsiTheme="majorHAnsi"/>
          <w:sz w:val="20"/>
          <w:szCs w:val="20"/>
        </w:rPr>
        <w:t xml:space="preserve">decision </w:t>
      </w:r>
      <w:r w:rsidRPr="00907400">
        <w:rPr>
          <w:rFonts w:asciiTheme="majorHAnsi" w:hAnsiTheme="majorHAnsi"/>
          <w:sz w:val="20"/>
          <w:szCs w:val="20"/>
        </w:rPr>
        <w:t xml:space="preserve">and the resolution of the </w:t>
      </w:r>
      <w:r w:rsidR="00BC027C" w:rsidRPr="00907400">
        <w:rPr>
          <w:rFonts w:asciiTheme="majorHAnsi" w:hAnsiTheme="majorHAnsi"/>
          <w:i/>
          <w:sz w:val="20"/>
          <w:szCs w:val="20"/>
        </w:rPr>
        <w:t>cassation</w:t>
      </w:r>
      <w:r w:rsidR="00BC027C" w:rsidRPr="00907400">
        <w:rPr>
          <w:rFonts w:asciiTheme="majorHAnsi" w:hAnsiTheme="majorHAnsi"/>
          <w:sz w:val="20"/>
          <w:szCs w:val="20"/>
        </w:rPr>
        <w:t xml:space="preserve"> appeal</w:t>
      </w:r>
      <w:r w:rsidRPr="00907400">
        <w:rPr>
          <w:rFonts w:asciiTheme="majorHAnsi" w:hAnsiTheme="majorHAnsi"/>
          <w:sz w:val="20"/>
          <w:szCs w:val="20"/>
        </w:rPr>
        <w:t>.</w:t>
      </w:r>
    </w:p>
    <w:p w14:paraId="2DAEA6BD"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03F6C57" w14:textId="77777777" w:rsidR="007A744E" w:rsidRPr="00907400" w:rsidRDefault="00A400C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lastRenderedPageBreak/>
        <w:t xml:space="preserve">With regard to the fourth element, the Commission emphasizes that the fact that Mr. Sastoque Alfonso </w:t>
      </w:r>
      <w:r w:rsidR="00D814FF" w:rsidRPr="00907400">
        <w:rPr>
          <w:rFonts w:asciiTheme="majorHAnsi" w:hAnsiTheme="majorHAnsi"/>
          <w:sz w:val="20"/>
          <w:szCs w:val="20"/>
        </w:rPr>
        <w:t>had been</w:t>
      </w:r>
      <w:r w:rsidRPr="00907400">
        <w:rPr>
          <w:rFonts w:asciiTheme="majorHAnsi" w:hAnsiTheme="majorHAnsi"/>
          <w:sz w:val="20"/>
          <w:szCs w:val="20"/>
        </w:rPr>
        <w:t xml:space="preserve"> deprived of his liberty without a </w:t>
      </w:r>
      <w:r w:rsidR="00D814FF" w:rsidRPr="00907400">
        <w:rPr>
          <w:rFonts w:asciiTheme="majorHAnsi" w:hAnsiTheme="majorHAnsi"/>
          <w:sz w:val="20"/>
          <w:szCs w:val="20"/>
        </w:rPr>
        <w:t>definitive</w:t>
      </w:r>
      <w:r w:rsidRPr="00907400">
        <w:rPr>
          <w:rFonts w:asciiTheme="majorHAnsi" w:hAnsiTheme="majorHAnsi"/>
          <w:sz w:val="20"/>
          <w:szCs w:val="20"/>
        </w:rPr>
        <w:t xml:space="preserve"> conviction imposed a duty of diligence on the State in </w:t>
      </w:r>
      <w:r w:rsidR="00D814FF" w:rsidRPr="00907400">
        <w:rPr>
          <w:rFonts w:asciiTheme="majorHAnsi" w:hAnsiTheme="majorHAnsi"/>
          <w:sz w:val="20"/>
          <w:szCs w:val="20"/>
        </w:rPr>
        <w:t>deciding the appeals. In that sense, the</w:t>
      </w:r>
      <w:r w:rsidRPr="00907400">
        <w:rPr>
          <w:rFonts w:asciiTheme="majorHAnsi" w:hAnsiTheme="majorHAnsi"/>
          <w:sz w:val="20"/>
          <w:szCs w:val="20"/>
        </w:rPr>
        <w:t xml:space="preserve"> delay of five years had a considerable impact on </w:t>
      </w:r>
      <w:r w:rsidR="00D814FF" w:rsidRPr="00907400">
        <w:rPr>
          <w:rFonts w:asciiTheme="majorHAnsi" w:hAnsiTheme="majorHAnsi"/>
          <w:sz w:val="20"/>
          <w:szCs w:val="20"/>
        </w:rPr>
        <w:t xml:space="preserve">Mr. Sastoque’s </w:t>
      </w:r>
      <w:r w:rsidRPr="00907400">
        <w:rPr>
          <w:rFonts w:asciiTheme="majorHAnsi" w:hAnsiTheme="majorHAnsi"/>
          <w:sz w:val="20"/>
          <w:szCs w:val="20"/>
        </w:rPr>
        <w:t xml:space="preserve">right to personal liberty </w:t>
      </w:r>
      <w:r w:rsidR="00D814FF" w:rsidRPr="00907400">
        <w:rPr>
          <w:rFonts w:asciiTheme="majorHAnsi" w:hAnsiTheme="majorHAnsi"/>
          <w:sz w:val="20"/>
          <w:szCs w:val="20"/>
        </w:rPr>
        <w:t>while he remained</w:t>
      </w:r>
      <w:r w:rsidRPr="00907400">
        <w:rPr>
          <w:rFonts w:asciiTheme="majorHAnsi" w:hAnsiTheme="majorHAnsi"/>
          <w:sz w:val="20"/>
          <w:szCs w:val="20"/>
        </w:rPr>
        <w:t xml:space="preserve"> in </w:t>
      </w:r>
      <w:r w:rsidR="005325BF" w:rsidRPr="00907400">
        <w:rPr>
          <w:rFonts w:asciiTheme="majorHAnsi" w:hAnsiTheme="majorHAnsi"/>
          <w:sz w:val="20"/>
          <w:szCs w:val="20"/>
        </w:rPr>
        <w:t>pretrial detention</w:t>
      </w:r>
      <w:r w:rsidRPr="00907400">
        <w:rPr>
          <w:rFonts w:asciiTheme="majorHAnsi" w:hAnsiTheme="majorHAnsi"/>
          <w:sz w:val="20"/>
          <w:szCs w:val="20"/>
        </w:rPr>
        <w:t>.</w:t>
      </w:r>
    </w:p>
    <w:p w14:paraId="3C2C0A9D"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0A00E0B" w14:textId="77777777" w:rsidR="007A744E" w:rsidRPr="00907400" w:rsidRDefault="00A400C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Based on the foregoing, the Commission considers that the more than eight years </w:t>
      </w:r>
      <w:r w:rsidR="008E2760" w:rsidRPr="00907400">
        <w:rPr>
          <w:rFonts w:asciiTheme="majorHAnsi" w:hAnsiTheme="majorHAnsi"/>
          <w:sz w:val="20"/>
          <w:szCs w:val="20"/>
        </w:rPr>
        <w:t>between</w:t>
      </w:r>
      <w:r w:rsidRPr="00907400">
        <w:rPr>
          <w:rFonts w:asciiTheme="majorHAnsi" w:hAnsiTheme="majorHAnsi"/>
          <w:sz w:val="20"/>
          <w:szCs w:val="20"/>
        </w:rPr>
        <w:t xml:space="preserve"> the beginning of the investigation until </w:t>
      </w:r>
      <w:r w:rsidR="008E2760" w:rsidRPr="00907400">
        <w:rPr>
          <w:rFonts w:asciiTheme="majorHAnsi" w:hAnsiTheme="majorHAnsi"/>
          <w:sz w:val="20"/>
          <w:szCs w:val="20"/>
        </w:rPr>
        <w:t>his sentence became definitive</w:t>
      </w:r>
      <w:r w:rsidRPr="00907400">
        <w:rPr>
          <w:rFonts w:asciiTheme="majorHAnsi" w:hAnsiTheme="majorHAnsi"/>
          <w:sz w:val="20"/>
          <w:szCs w:val="20"/>
        </w:rPr>
        <w:t xml:space="preserve"> </w:t>
      </w:r>
      <w:r w:rsidR="008E2760" w:rsidRPr="00907400">
        <w:rPr>
          <w:rFonts w:asciiTheme="majorHAnsi" w:hAnsiTheme="majorHAnsi"/>
          <w:sz w:val="20"/>
          <w:szCs w:val="20"/>
        </w:rPr>
        <w:t>after the decision in</w:t>
      </w:r>
      <w:r w:rsidRPr="00907400">
        <w:rPr>
          <w:rFonts w:asciiTheme="majorHAnsi" w:hAnsiTheme="majorHAnsi"/>
          <w:sz w:val="20"/>
          <w:szCs w:val="20"/>
        </w:rPr>
        <w:t xml:space="preserve"> the </w:t>
      </w:r>
      <w:r w:rsidR="008E2760" w:rsidRPr="00907400">
        <w:rPr>
          <w:rFonts w:asciiTheme="majorHAnsi" w:hAnsiTheme="majorHAnsi"/>
          <w:i/>
          <w:sz w:val="20"/>
          <w:szCs w:val="20"/>
        </w:rPr>
        <w:t>cassation</w:t>
      </w:r>
      <w:r w:rsidR="008E2760" w:rsidRPr="00907400">
        <w:rPr>
          <w:rFonts w:asciiTheme="majorHAnsi" w:hAnsiTheme="majorHAnsi"/>
          <w:sz w:val="20"/>
          <w:szCs w:val="20"/>
        </w:rPr>
        <w:t xml:space="preserve"> </w:t>
      </w:r>
      <w:r w:rsidRPr="00907400">
        <w:rPr>
          <w:rFonts w:asciiTheme="majorHAnsi" w:hAnsiTheme="majorHAnsi"/>
          <w:sz w:val="20"/>
          <w:szCs w:val="20"/>
        </w:rPr>
        <w:t>appeal, constituted an excessive period that has not been justified by the State. Consequently, the Commission considers that the St</w:t>
      </w:r>
      <w:r w:rsidR="008E2760" w:rsidRPr="00907400">
        <w:rPr>
          <w:rFonts w:asciiTheme="majorHAnsi" w:hAnsiTheme="majorHAnsi"/>
          <w:sz w:val="20"/>
          <w:szCs w:val="20"/>
        </w:rPr>
        <w:t>ate violated the reasonable time</w:t>
      </w:r>
      <w:r w:rsidRPr="00907400">
        <w:rPr>
          <w:rFonts w:asciiTheme="majorHAnsi" w:hAnsiTheme="majorHAnsi"/>
          <w:sz w:val="20"/>
          <w:szCs w:val="20"/>
        </w:rPr>
        <w:t xml:space="preserve"> guarantee established in Article 8.1 of the American Convention, in relation to Article 1.1 of the same instrument, to the detriment of Gustavo Sastoque Alfonso.</w:t>
      </w:r>
    </w:p>
    <w:p w14:paraId="174769C8" w14:textId="77777777" w:rsidR="007A744E" w:rsidRPr="00907400"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9B1D076" w14:textId="77777777" w:rsidR="00A400C8" w:rsidRPr="00DB6B7E" w:rsidRDefault="00DB6B7E" w:rsidP="00DB6B7E">
      <w:pPr>
        <w:pStyle w:val="Heading3"/>
        <w:spacing w:before="0"/>
        <w:ind w:left="1440" w:hanging="720"/>
        <w:jc w:val="both"/>
        <w:rPr>
          <w:color w:val="auto"/>
          <w:sz w:val="20"/>
          <w:szCs w:val="20"/>
        </w:rPr>
      </w:pPr>
      <w:bookmarkStart w:id="23" w:name="_Toc513023538"/>
      <w:bookmarkStart w:id="24" w:name="_Toc211249806"/>
      <w:r>
        <w:rPr>
          <w:color w:val="auto"/>
          <w:sz w:val="20"/>
          <w:szCs w:val="20"/>
        </w:rPr>
        <w:t>6</w:t>
      </w:r>
      <w:r w:rsidR="00A400C8" w:rsidRPr="00DB6B7E">
        <w:rPr>
          <w:color w:val="auto"/>
          <w:sz w:val="20"/>
          <w:szCs w:val="20"/>
        </w:rPr>
        <w:t>.</w:t>
      </w:r>
      <w:r w:rsidR="00A400C8" w:rsidRPr="00DB6B7E">
        <w:rPr>
          <w:color w:val="auto"/>
          <w:sz w:val="20"/>
          <w:szCs w:val="20"/>
        </w:rPr>
        <w:tab/>
        <w:t>Right to Judicial Guar</w:t>
      </w:r>
      <w:r w:rsidR="004B187B" w:rsidRPr="00DB6B7E">
        <w:rPr>
          <w:color w:val="auto"/>
          <w:sz w:val="20"/>
          <w:szCs w:val="20"/>
        </w:rPr>
        <w:t>antees and Judicial Protection Regarding the Accusations of Perjury and Procedural F</w:t>
      </w:r>
      <w:r w:rsidR="00A400C8" w:rsidRPr="00DB6B7E">
        <w:rPr>
          <w:color w:val="auto"/>
          <w:sz w:val="20"/>
          <w:szCs w:val="20"/>
        </w:rPr>
        <w:t>raud</w:t>
      </w:r>
      <w:bookmarkEnd w:id="23"/>
      <w:bookmarkEnd w:id="24"/>
    </w:p>
    <w:p w14:paraId="259703B1" w14:textId="77777777" w:rsidR="00A400C8" w:rsidRPr="00907400" w:rsidRDefault="00A400C8"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D755DB4" w14:textId="77777777" w:rsidR="00A400C8" w:rsidRDefault="00A400C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The Commission observes that in June 1999</w:t>
      </w:r>
      <w:r w:rsidR="001540B4" w:rsidRPr="00907400">
        <w:rPr>
          <w:rFonts w:asciiTheme="majorHAnsi" w:hAnsiTheme="majorHAnsi"/>
          <w:sz w:val="20"/>
          <w:szCs w:val="20"/>
        </w:rPr>
        <w:t>,</w:t>
      </w:r>
      <w:r w:rsidRPr="00907400">
        <w:rPr>
          <w:rFonts w:asciiTheme="majorHAnsi" w:hAnsiTheme="majorHAnsi"/>
          <w:sz w:val="20"/>
          <w:szCs w:val="20"/>
        </w:rPr>
        <w:t xml:space="preserve"> Mr. Sastoque filed a complaint for </w:t>
      </w:r>
      <w:r w:rsidR="001540B4" w:rsidRPr="00907400">
        <w:rPr>
          <w:rFonts w:asciiTheme="majorHAnsi" w:hAnsiTheme="majorHAnsi"/>
          <w:sz w:val="20"/>
          <w:szCs w:val="20"/>
        </w:rPr>
        <w:t>perjury</w:t>
      </w:r>
      <w:r w:rsidRPr="00907400">
        <w:rPr>
          <w:rFonts w:asciiTheme="majorHAnsi" w:hAnsiTheme="majorHAnsi"/>
          <w:sz w:val="20"/>
          <w:szCs w:val="20"/>
        </w:rPr>
        <w:t xml:space="preserve"> and procedural fraud against </w:t>
      </w:r>
      <w:r w:rsidR="008A71DC" w:rsidRPr="00907400">
        <w:rPr>
          <w:rFonts w:asciiTheme="majorHAnsi" w:hAnsiTheme="majorHAnsi"/>
          <w:sz w:val="20"/>
          <w:szCs w:val="20"/>
        </w:rPr>
        <w:t>the anonymous W</w:t>
      </w:r>
      <w:r w:rsidR="001540B4" w:rsidRPr="00907400">
        <w:rPr>
          <w:rFonts w:asciiTheme="majorHAnsi" w:hAnsiTheme="majorHAnsi"/>
          <w:sz w:val="20"/>
          <w:szCs w:val="20"/>
        </w:rPr>
        <w:t>itnesses</w:t>
      </w:r>
      <w:r w:rsidRPr="00907400">
        <w:rPr>
          <w:rFonts w:asciiTheme="majorHAnsi" w:hAnsiTheme="majorHAnsi"/>
          <w:sz w:val="20"/>
          <w:szCs w:val="20"/>
        </w:rPr>
        <w:t xml:space="preserve"> No. 1 and No. 2. The IACHR </w:t>
      </w:r>
      <w:r w:rsidR="00E97DE1" w:rsidRPr="00907400">
        <w:rPr>
          <w:rFonts w:asciiTheme="majorHAnsi" w:hAnsiTheme="majorHAnsi"/>
          <w:sz w:val="20"/>
          <w:szCs w:val="20"/>
        </w:rPr>
        <w:t>states that this</w:t>
      </w:r>
      <w:r w:rsidRPr="00907400">
        <w:rPr>
          <w:rFonts w:asciiTheme="majorHAnsi" w:hAnsiTheme="majorHAnsi"/>
          <w:sz w:val="20"/>
          <w:szCs w:val="20"/>
        </w:rPr>
        <w:t xml:space="preserve"> investigation </w:t>
      </w:r>
      <w:r w:rsidR="008A71DC" w:rsidRPr="00907400">
        <w:rPr>
          <w:rFonts w:asciiTheme="majorHAnsi" w:hAnsiTheme="majorHAnsi"/>
          <w:sz w:val="20"/>
          <w:szCs w:val="20"/>
        </w:rPr>
        <w:t>expired</w:t>
      </w:r>
      <w:r w:rsidRPr="00907400">
        <w:rPr>
          <w:rFonts w:asciiTheme="majorHAnsi" w:hAnsiTheme="majorHAnsi"/>
          <w:sz w:val="20"/>
          <w:szCs w:val="20"/>
        </w:rPr>
        <w:t xml:space="preserve"> t</w:t>
      </w:r>
      <w:r w:rsidR="008A71DC" w:rsidRPr="00907400">
        <w:rPr>
          <w:rFonts w:asciiTheme="majorHAnsi" w:hAnsiTheme="majorHAnsi"/>
          <w:sz w:val="20"/>
          <w:szCs w:val="20"/>
        </w:rPr>
        <w:t xml:space="preserve">en years later. In </w:t>
      </w:r>
      <w:r w:rsidRPr="00907400">
        <w:rPr>
          <w:rFonts w:asciiTheme="majorHAnsi" w:hAnsiTheme="majorHAnsi"/>
          <w:sz w:val="20"/>
          <w:szCs w:val="20"/>
        </w:rPr>
        <w:t xml:space="preserve">accordance </w:t>
      </w:r>
      <w:r w:rsidR="008A71DC" w:rsidRPr="00907400">
        <w:rPr>
          <w:rFonts w:asciiTheme="majorHAnsi" w:hAnsiTheme="majorHAnsi"/>
          <w:sz w:val="20"/>
          <w:szCs w:val="20"/>
        </w:rPr>
        <w:t>with the information received from</w:t>
      </w:r>
      <w:r w:rsidRPr="00907400">
        <w:rPr>
          <w:rFonts w:asciiTheme="majorHAnsi" w:hAnsiTheme="majorHAnsi"/>
          <w:sz w:val="20"/>
          <w:szCs w:val="20"/>
        </w:rPr>
        <w:t xml:space="preserve"> the parties, </w:t>
      </w:r>
      <w:r w:rsidR="008A71DC" w:rsidRPr="00907400">
        <w:rPr>
          <w:rFonts w:asciiTheme="majorHAnsi" w:hAnsiTheme="majorHAnsi"/>
          <w:sz w:val="20"/>
          <w:szCs w:val="20"/>
        </w:rPr>
        <w:t xml:space="preserve">the Commission observes </w:t>
      </w:r>
      <w:r w:rsidRPr="00907400">
        <w:rPr>
          <w:rFonts w:asciiTheme="majorHAnsi" w:hAnsiTheme="majorHAnsi"/>
          <w:sz w:val="20"/>
          <w:szCs w:val="20"/>
        </w:rPr>
        <w:t>that t</w:t>
      </w:r>
      <w:r w:rsidR="008A71DC" w:rsidRPr="00907400">
        <w:rPr>
          <w:rFonts w:asciiTheme="majorHAnsi" w:hAnsiTheme="majorHAnsi"/>
          <w:sz w:val="20"/>
          <w:szCs w:val="20"/>
        </w:rPr>
        <w:t>he Colombian authorities failed to take</w:t>
      </w:r>
      <w:r w:rsidRPr="00907400">
        <w:rPr>
          <w:rFonts w:asciiTheme="majorHAnsi" w:hAnsiTheme="majorHAnsi"/>
          <w:sz w:val="20"/>
          <w:szCs w:val="20"/>
        </w:rPr>
        <w:t xml:space="preserve"> further </w:t>
      </w:r>
      <w:r w:rsidR="00E97DE1" w:rsidRPr="00907400">
        <w:rPr>
          <w:rFonts w:asciiTheme="majorHAnsi" w:hAnsiTheme="majorHAnsi"/>
          <w:sz w:val="20"/>
          <w:szCs w:val="20"/>
        </w:rPr>
        <w:t xml:space="preserve">procedural steps </w:t>
      </w:r>
      <w:r w:rsidRPr="00907400">
        <w:rPr>
          <w:rFonts w:asciiTheme="majorHAnsi" w:hAnsiTheme="majorHAnsi"/>
          <w:sz w:val="20"/>
          <w:szCs w:val="20"/>
        </w:rPr>
        <w:t xml:space="preserve">to determine </w:t>
      </w:r>
      <w:r w:rsidR="008A71DC" w:rsidRPr="00907400">
        <w:rPr>
          <w:rFonts w:asciiTheme="majorHAnsi" w:hAnsiTheme="majorHAnsi"/>
          <w:sz w:val="20"/>
          <w:szCs w:val="20"/>
        </w:rPr>
        <w:t>the corresponding responsibilities</w:t>
      </w:r>
      <w:r w:rsidRPr="00907400">
        <w:rPr>
          <w:rFonts w:asciiTheme="majorHAnsi" w:hAnsiTheme="majorHAnsi"/>
          <w:sz w:val="20"/>
          <w:szCs w:val="20"/>
        </w:rPr>
        <w:t xml:space="preserve">, despite the </w:t>
      </w:r>
      <w:r w:rsidR="008A71DC" w:rsidRPr="00907400">
        <w:rPr>
          <w:rFonts w:asciiTheme="majorHAnsi" w:hAnsiTheme="majorHAnsi"/>
          <w:sz w:val="20"/>
          <w:szCs w:val="20"/>
        </w:rPr>
        <w:t>various</w:t>
      </w:r>
      <w:r w:rsidR="00E97DE1" w:rsidRPr="00907400">
        <w:rPr>
          <w:rFonts w:asciiTheme="majorHAnsi" w:hAnsiTheme="majorHAnsi"/>
          <w:sz w:val="20"/>
          <w:szCs w:val="20"/>
        </w:rPr>
        <w:t xml:space="preserve"> </w:t>
      </w:r>
      <w:r w:rsidRPr="00907400">
        <w:rPr>
          <w:rFonts w:asciiTheme="majorHAnsi" w:hAnsiTheme="majorHAnsi"/>
          <w:sz w:val="20"/>
          <w:szCs w:val="20"/>
        </w:rPr>
        <w:t>indications de</w:t>
      </w:r>
      <w:r w:rsidR="00E97DE1" w:rsidRPr="00907400">
        <w:rPr>
          <w:rFonts w:asciiTheme="majorHAnsi" w:hAnsiTheme="majorHAnsi"/>
          <w:sz w:val="20"/>
          <w:szCs w:val="20"/>
        </w:rPr>
        <w:t>scribed in the findings of fact</w:t>
      </w:r>
      <w:r w:rsidRPr="00907400">
        <w:rPr>
          <w:rFonts w:asciiTheme="majorHAnsi" w:hAnsiTheme="majorHAnsi"/>
          <w:sz w:val="20"/>
          <w:szCs w:val="20"/>
        </w:rPr>
        <w:t xml:space="preserve"> that the trial against Mr. Sastoque Alfonso could have been </w:t>
      </w:r>
      <w:r w:rsidR="00E97DE1" w:rsidRPr="00907400">
        <w:rPr>
          <w:rFonts w:asciiTheme="majorHAnsi" w:hAnsiTheme="majorHAnsi"/>
          <w:sz w:val="20"/>
          <w:szCs w:val="20"/>
        </w:rPr>
        <w:t>a set up</w:t>
      </w:r>
      <w:r w:rsidRPr="00907400">
        <w:rPr>
          <w:rFonts w:asciiTheme="majorHAnsi" w:hAnsiTheme="majorHAnsi"/>
          <w:sz w:val="20"/>
          <w:szCs w:val="20"/>
        </w:rPr>
        <w:t xml:space="preserve"> by multiple state agents and, therefore, an arbitrary use of criminal law in order to </w:t>
      </w:r>
      <w:r w:rsidR="00E97DE1" w:rsidRPr="00907400">
        <w:rPr>
          <w:rFonts w:asciiTheme="majorHAnsi" w:hAnsiTheme="majorHAnsi"/>
          <w:sz w:val="20"/>
          <w:szCs w:val="20"/>
        </w:rPr>
        <w:t>cover up</w:t>
      </w:r>
      <w:r w:rsidRPr="00907400">
        <w:rPr>
          <w:rFonts w:asciiTheme="majorHAnsi" w:hAnsiTheme="majorHAnsi"/>
          <w:sz w:val="20"/>
          <w:szCs w:val="20"/>
        </w:rPr>
        <w:t xml:space="preserve"> </w:t>
      </w:r>
      <w:r w:rsidR="00E97DE1" w:rsidRPr="00907400">
        <w:rPr>
          <w:rFonts w:asciiTheme="majorHAnsi" w:hAnsiTheme="majorHAnsi"/>
          <w:sz w:val="20"/>
          <w:szCs w:val="20"/>
        </w:rPr>
        <w:t>the events</w:t>
      </w:r>
      <w:r w:rsidRPr="00907400">
        <w:rPr>
          <w:rFonts w:asciiTheme="majorHAnsi" w:hAnsiTheme="majorHAnsi"/>
          <w:sz w:val="20"/>
          <w:szCs w:val="20"/>
        </w:rPr>
        <w:t xml:space="preserve">. These </w:t>
      </w:r>
      <w:r w:rsidR="00E97DE1" w:rsidRPr="00907400">
        <w:rPr>
          <w:rFonts w:asciiTheme="majorHAnsi" w:hAnsiTheme="majorHAnsi"/>
          <w:sz w:val="20"/>
          <w:szCs w:val="20"/>
        </w:rPr>
        <w:t>indications</w:t>
      </w:r>
      <w:r w:rsidRPr="00907400">
        <w:rPr>
          <w:rFonts w:asciiTheme="majorHAnsi" w:hAnsiTheme="majorHAnsi"/>
          <w:sz w:val="20"/>
          <w:szCs w:val="20"/>
        </w:rPr>
        <w:t xml:space="preserve"> are strongly supported by the </w:t>
      </w:r>
      <w:r w:rsidR="00E97DE1" w:rsidRPr="00907400">
        <w:rPr>
          <w:rFonts w:asciiTheme="majorHAnsi" w:hAnsiTheme="majorHAnsi"/>
          <w:sz w:val="20"/>
          <w:szCs w:val="20"/>
        </w:rPr>
        <w:t>numerous</w:t>
      </w:r>
      <w:r w:rsidRPr="00907400">
        <w:rPr>
          <w:rFonts w:asciiTheme="majorHAnsi" w:hAnsiTheme="majorHAnsi"/>
          <w:sz w:val="20"/>
          <w:szCs w:val="20"/>
        </w:rPr>
        <w:t xml:space="preserve"> violations of due process already mentioned in this re</w:t>
      </w:r>
      <w:r w:rsidR="008A71DC" w:rsidRPr="00907400">
        <w:rPr>
          <w:rFonts w:asciiTheme="majorHAnsi" w:hAnsiTheme="majorHAnsi"/>
          <w:sz w:val="20"/>
          <w:szCs w:val="20"/>
        </w:rPr>
        <w:t>port, particularly those relating</w:t>
      </w:r>
      <w:r w:rsidRPr="00907400">
        <w:rPr>
          <w:rFonts w:asciiTheme="majorHAnsi" w:hAnsiTheme="majorHAnsi"/>
          <w:sz w:val="20"/>
          <w:szCs w:val="20"/>
        </w:rPr>
        <w:t xml:space="preserve"> to the principle of </w:t>
      </w:r>
      <w:r w:rsidR="00E97DE1" w:rsidRPr="00907400">
        <w:rPr>
          <w:rFonts w:asciiTheme="majorHAnsi" w:hAnsiTheme="majorHAnsi"/>
          <w:sz w:val="20"/>
          <w:szCs w:val="20"/>
        </w:rPr>
        <w:t xml:space="preserve">the </w:t>
      </w:r>
      <w:r w:rsidRPr="00907400">
        <w:rPr>
          <w:rFonts w:asciiTheme="majorHAnsi" w:hAnsiTheme="majorHAnsi"/>
          <w:sz w:val="20"/>
          <w:szCs w:val="20"/>
        </w:rPr>
        <w:t>presumption of innocence.</w:t>
      </w:r>
    </w:p>
    <w:p w14:paraId="0A988DA9" w14:textId="77777777" w:rsidR="00C956F7" w:rsidRPr="00907400" w:rsidRDefault="00C956F7" w:rsidP="00C956F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197F3E43" w14:textId="77777777" w:rsidR="007A744E" w:rsidRPr="00907400" w:rsidRDefault="008A71D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It was only in 2011 that the investigation was</w:t>
      </w:r>
      <w:r w:rsidR="00A400C8" w:rsidRPr="00907400">
        <w:rPr>
          <w:rFonts w:asciiTheme="majorHAnsi" w:hAnsiTheme="majorHAnsi"/>
          <w:sz w:val="20"/>
          <w:szCs w:val="20"/>
        </w:rPr>
        <w:t xml:space="preserve"> reopen</w:t>
      </w:r>
      <w:r w:rsidRPr="00907400">
        <w:rPr>
          <w:rFonts w:asciiTheme="majorHAnsi" w:hAnsiTheme="majorHAnsi"/>
          <w:sz w:val="20"/>
          <w:szCs w:val="20"/>
        </w:rPr>
        <w:t>ed</w:t>
      </w:r>
      <w:r w:rsidR="00A400C8" w:rsidRPr="00907400">
        <w:rPr>
          <w:rFonts w:asciiTheme="majorHAnsi" w:hAnsiTheme="majorHAnsi"/>
          <w:sz w:val="20"/>
          <w:szCs w:val="20"/>
        </w:rPr>
        <w:t xml:space="preserve">. The IACHR </w:t>
      </w:r>
      <w:r w:rsidR="009B2370" w:rsidRPr="00907400">
        <w:rPr>
          <w:rFonts w:asciiTheme="majorHAnsi" w:hAnsiTheme="majorHAnsi"/>
          <w:sz w:val="20"/>
          <w:szCs w:val="20"/>
        </w:rPr>
        <w:t>observes</w:t>
      </w:r>
      <w:r w:rsidR="00A400C8" w:rsidRPr="00907400">
        <w:rPr>
          <w:rFonts w:asciiTheme="majorHAnsi" w:hAnsiTheme="majorHAnsi"/>
          <w:sz w:val="20"/>
          <w:szCs w:val="20"/>
        </w:rPr>
        <w:t xml:space="preserve"> that </w:t>
      </w:r>
      <w:r w:rsidR="00664DB9" w:rsidRPr="00907400">
        <w:rPr>
          <w:rFonts w:asciiTheme="majorHAnsi" w:hAnsiTheme="majorHAnsi"/>
          <w:sz w:val="20"/>
          <w:szCs w:val="20"/>
        </w:rPr>
        <w:t>the time</w:t>
      </w:r>
      <w:r w:rsidR="00A400C8" w:rsidRPr="00907400">
        <w:rPr>
          <w:rFonts w:asciiTheme="majorHAnsi" w:hAnsiTheme="majorHAnsi"/>
          <w:sz w:val="20"/>
          <w:szCs w:val="20"/>
        </w:rPr>
        <w:t xml:space="preserve"> elapsed constitutes an addi</w:t>
      </w:r>
      <w:r w:rsidR="00BF2B12" w:rsidRPr="00907400">
        <w:rPr>
          <w:rFonts w:asciiTheme="majorHAnsi" w:hAnsiTheme="majorHAnsi"/>
          <w:sz w:val="20"/>
          <w:szCs w:val="20"/>
        </w:rPr>
        <w:t>tional violation of due process</w:t>
      </w:r>
      <w:r w:rsidR="00A400C8" w:rsidRPr="00907400">
        <w:rPr>
          <w:rFonts w:asciiTheme="majorHAnsi" w:hAnsiTheme="majorHAnsi"/>
          <w:sz w:val="20"/>
          <w:szCs w:val="20"/>
        </w:rPr>
        <w:t xml:space="preserve"> and judicial protection of the victim, because </w:t>
      </w:r>
      <w:r w:rsidR="00EA1B85" w:rsidRPr="00907400">
        <w:rPr>
          <w:rFonts w:asciiTheme="majorHAnsi" w:hAnsiTheme="majorHAnsi"/>
          <w:sz w:val="20"/>
          <w:szCs w:val="20"/>
        </w:rPr>
        <w:t>the</w:t>
      </w:r>
      <w:r w:rsidR="00BF2B12" w:rsidRPr="00907400">
        <w:rPr>
          <w:rFonts w:asciiTheme="majorHAnsi" w:hAnsiTheme="majorHAnsi"/>
          <w:sz w:val="20"/>
          <w:szCs w:val="20"/>
        </w:rPr>
        <w:t>se proceedings failed to provide</w:t>
      </w:r>
      <w:r w:rsidR="00A400C8" w:rsidRPr="00907400">
        <w:rPr>
          <w:rFonts w:asciiTheme="majorHAnsi" w:hAnsiTheme="majorHAnsi"/>
          <w:sz w:val="20"/>
          <w:szCs w:val="20"/>
        </w:rPr>
        <w:t xml:space="preserve"> an adequate and effective remedy to clarify what happened </w:t>
      </w:r>
      <w:r w:rsidR="00EA1B85" w:rsidRPr="00907400">
        <w:rPr>
          <w:rFonts w:asciiTheme="majorHAnsi" w:hAnsiTheme="majorHAnsi"/>
          <w:sz w:val="20"/>
          <w:szCs w:val="20"/>
        </w:rPr>
        <w:t>regarding</w:t>
      </w:r>
      <w:r w:rsidR="00A400C8" w:rsidRPr="00907400">
        <w:rPr>
          <w:rFonts w:asciiTheme="majorHAnsi" w:hAnsiTheme="majorHAnsi"/>
          <w:sz w:val="20"/>
          <w:szCs w:val="20"/>
        </w:rPr>
        <w:t xml:space="preserve"> the alleged false testimony, to determine the respective criminal </w:t>
      </w:r>
      <w:r w:rsidR="00EA1B85" w:rsidRPr="00907400">
        <w:rPr>
          <w:rFonts w:asciiTheme="majorHAnsi" w:hAnsiTheme="majorHAnsi"/>
          <w:sz w:val="20"/>
          <w:szCs w:val="20"/>
        </w:rPr>
        <w:t>liabilities</w:t>
      </w:r>
      <w:r w:rsidR="00A400C8" w:rsidRPr="00907400">
        <w:rPr>
          <w:rFonts w:asciiTheme="majorHAnsi" w:hAnsiTheme="majorHAnsi"/>
          <w:sz w:val="20"/>
          <w:szCs w:val="20"/>
        </w:rPr>
        <w:t xml:space="preserve">, as well as the implications </w:t>
      </w:r>
      <w:r w:rsidR="00EA1B85" w:rsidRPr="00907400">
        <w:rPr>
          <w:rFonts w:asciiTheme="majorHAnsi" w:hAnsiTheme="majorHAnsi"/>
          <w:sz w:val="20"/>
          <w:szCs w:val="20"/>
        </w:rPr>
        <w:t xml:space="preserve">for Mr. Sastoque’s </w:t>
      </w:r>
      <w:r w:rsidR="00A400C8" w:rsidRPr="00907400">
        <w:rPr>
          <w:rFonts w:asciiTheme="majorHAnsi" w:hAnsiTheme="majorHAnsi"/>
          <w:sz w:val="20"/>
          <w:szCs w:val="20"/>
        </w:rPr>
        <w:t xml:space="preserve">criminal </w:t>
      </w:r>
      <w:r w:rsidR="00EA1B85" w:rsidRPr="00907400">
        <w:rPr>
          <w:rFonts w:asciiTheme="majorHAnsi" w:hAnsiTheme="majorHAnsi"/>
          <w:sz w:val="20"/>
          <w:szCs w:val="20"/>
        </w:rPr>
        <w:t>record</w:t>
      </w:r>
      <w:r w:rsidR="00A400C8" w:rsidRPr="00907400">
        <w:rPr>
          <w:rFonts w:asciiTheme="majorHAnsi" w:hAnsiTheme="majorHAnsi"/>
          <w:sz w:val="20"/>
          <w:szCs w:val="20"/>
        </w:rPr>
        <w:t xml:space="preserve"> and </w:t>
      </w:r>
      <w:r w:rsidR="00EA1B85" w:rsidRPr="00907400">
        <w:rPr>
          <w:rFonts w:asciiTheme="majorHAnsi" w:hAnsiTheme="majorHAnsi"/>
          <w:sz w:val="20"/>
          <w:szCs w:val="20"/>
        </w:rPr>
        <w:t xml:space="preserve">for </w:t>
      </w:r>
      <w:r w:rsidR="00BF2B12" w:rsidRPr="00907400">
        <w:rPr>
          <w:rFonts w:asciiTheme="majorHAnsi" w:hAnsiTheme="majorHAnsi"/>
          <w:sz w:val="20"/>
          <w:szCs w:val="20"/>
        </w:rPr>
        <w:t xml:space="preserve">the corresponding </w:t>
      </w:r>
      <w:r w:rsidR="00EA1B85" w:rsidRPr="00907400">
        <w:rPr>
          <w:rFonts w:asciiTheme="majorHAnsi" w:hAnsiTheme="majorHAnsi"/>
          <w:sz w:val="20"/>
          <w:szCs w:val="20"/>
        </w:rPr>
        <w:t xml:space="preserve">reparations for </w:t>
      </w:r>
      <w:r w:rsidR="00BF2B12" w:rsidRPr="00907400">
        <w:rPr>
          <w:rFonts w:asciiTheme="majorHAnsi" w:hAnsiTheme="majorHAnsi"/>
          <w:sz w:val="20"/>
          <w:szCs w:val="20"/>
        </w:rPr>
        <w:t xml:space="preserve">the </w:t>
      </w:r>
      <w:r w:rsidR="00EA1B85" w:rsidRPr="00907400">
        <w:rPr>
          <w:rFonts w:asciiTheme="majorHAnsi" w:hAnsiTheme="majorHAnsi"/>
          <w:sz w:val="20"/>
          <w:szCs w:val="20"/>
        </w:rPr>
        <w:t>alleged judicial error</w:t>
      </w:r>
      <w:r w:rsidR="00A400C8" w:rsidRPr="00907400">
        <w:rPr>
          <w:rFonts w:asciiTheme="majorHAnsi" w:hAnsiTheme="majorHAnsi"/>
          <w:sz w:val="20"/>
          <w:szCs w:val="20"/>
        </w:rPr>
        <w:t>.</w:t>
      </w:r>
    </w:p>
    <w:p w14:paraId="41845277"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0C5C7151" w14:textId="77777777" w:rsidR="007A744E" w:rsidRPr="00907400" w:rsidRDefault="00216241"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T</w:t>
      </w:r>
      <w:r w:rsidR="00A400C8" w:rsidRPr="00907400">
        <w:rPr>
          <w:rFonts w:asciiTheme="majorHAnsi" w:hAnsiTheme="majorHAnsi"/>
          <w:sz w:val="20"/>
          <w:szCs w:val="20"/>
        </w:rPr>
        <w:t xml:space="preserve">he IACHR </w:t>
      </w:r>
      <w:r w:rsidRPr="00907400">
        <w:rPr>
          <w:rFonts w:asciiTheme="majorHAnsi" w:hAnsiTheme="majorHAnsi"/>
          <w:sz w:val="20"/>
          <w:szCs w:val="20"/>
        </w:rPr>
        <w:t>observes</w:t>
      </w:r>
      <w:r w:rsidR="00A400C8" w:rsidRPr="00907400">
        <w:rPr>
          <w:rFonts w:asciiTheme="majorHAnsi" w:hAnsiTheme="majorHAnsi"/>
          <w:sz w:val="20"/>
          <w:szCs w:val="20"/>
        </w:rPr>
        <w:t xml:space="preserve"> that no information was presented </w:t>
      </w:r>
      <w:r w:rsidRPr="00907400">
        <w:rPr>
          <w:rFonts w:asciiTheme="majorHAnsi" w:hAnsiTheme="majorHAnsi"/>
          <w:sz w:val="20"/>
          <w:szCs w:val="20"/>
        </w:rPr>
        <w:t xml:space="preserve">as to </w:t>
      </w:r>
      <w:r w:rsidR="00A400C8" w:rsidRPr="00907400">
        <w:rPr>
          <w:rFonts w:asciiTheme="majorHAnsi" w:hAnsiTheme="majorHAnsi"/>
          <w:sz w:val="20"/>
          <w:szCs w:val="20"/>
        </w:rPr>
        <w:t xml:space="preserve">whether investigations were </w:t>
      </w:r>
      <w:r w:rsidRPr="00907400">
        <w:rPr>
          <w:rFonts w:asciiTheme="majorHAnsi" w:hAnsiTheme="majorHAnsi"/>
          <w:sz w:val="20"/>
          <w:szCs w:val="20"/>
        </w:rPr>
        <w:t>undertaken</w:t>
      </w:r>
      <w:r w:rsidR="00A400C8" w:rsidRPr="00907400">
        <w:rPr>
          <w:rFonts w:asciiTheme="majorHAnsi" w:hAnsiTheme="majorHAnsi"/>
          <w:sz w:val="20"/>
          <w:szCs w:val="20"/>
        </w:rPr>
        <w:t xml:space="preserve"> into the death of Mr. Sastoque's lawyer, Eduardo Umaña. In particular, the Colombian State did not indicate whether an investigation was conducted and whether it investigated the possible links </w:t>
      </w:r>
      <w:r w:rsidRPr="00907400">
        <w:rPr>
          <w:rFonts w:asciiTheme="majorHAnsi" w:hAnsiTheme="majorHAnsi"/>
          <w:sz w:val="20"/>
          <w:szCs w:val="20"/>
        </w:rPr>
        <w:t>between this death and</w:t>
      </w:r>
      <w:r w:rsidR="00A400C8" w:rsidRPr="00907400">
        <w:rPr>
          <w:rFonts w:asciiTheme="majorHAnsi" w:hAnsiTheme="majorHAnsi"/>
          <w:sz w:val="20"/>
          <w:szCs w:val="20"/>
        </w:rPr>
        <w:t xml:space="preserve"> the criminal proceeding</w:t>
      </w:r>
      <w:r w:rsidRPr="00907400">
        <w:rPr>
          <w:rFonts w:asciiTheme="majorHAnsi" w:hAnsiTheme="majorHAnsi"/>
          <w:sz w:val="20"/>
          <w:szCs w:val="20"/>
        </w:rPr>
        <w:t>s</w:t>
      </w:r>
      <w:r w:rsidR="00A400C8" w:rsidRPr="00907400">
        <w:rPr>
          <w:rFonts w:asciiTheme="majorHAnsi" w:hAnsiTheme="majorHAnsi"/>
          <w:sz w:val="20"/>
          <w:szCs w:val="20"/>
        </w:rPr>
        <w:t xml:space="preserve"> against Mr. Sastoque, including the public officials who implicated him in the death of Mr. Hernando Pizarro.</w:t>
      </w:r>
    </w:p>
    <w:p w14:paraId="5173F68F"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8C6A663" w14:textId="77777777" w:rsidR="007A744E" w:rsidRDefault="00A400C8"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Consequently, the Commission declares that the Colombian State violated t</w:t>
      </w:r>
      <w:r w:rsidR="00BF2B12" w:rsidRPr="00907400">
        <w:rPr>
          <w:rFonts w:asciiTheme="majorHAnsi" w:hAnsiTheme="majorHAnsi"/>
          <w:sz w:val="20"/>
          <w:szCs w:val="20"/>
        </w:rPr>
        <w:t>he rights to due process</w:t>
      </w:r>
      <w:r w:rsidRPr="00907400">
        <w:rPr>
          <w:rFonts w:asciiTheme="majorHAnsi" w:hAnsiTheme="majorHAnsi"/>
          <w:sz w:val="20"/>
          <w:szCs w:val="20"/>
        </w:rPr>
        <w:t xml:space="preserve"> and judicial protection established in Articles 8.1 and 25.1 of the American Convention, in relation to Article 1.1 of the same instrument, to the detriment of Gustavo Sastoque Alfonso.</w:t>
      </w:r>
    </w:p>
    <w:p w14:paraId="27EA0706"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81C2999" w14:textId="77777777" w:rsidR="007A744E" w:rsidRPr="00907400" w:rsidRDefault="007900D2" w:rsidP="00DB6B7E">
      <w:pPr>
        <w:pStyle w:val="Heading2"/>
        <w:spacing w:before="0"/>
        <w:ind w:left="1440" w:hanging="720"/>
        <w:jc w:val="both"/>
        <w:rPr>
          <w:b w:val="0"/>
          <w:sz w:val="20"/>
          <w:szCs w:val="20"/>
        </w:rPr>
      </w:pPr>
      <w:bookmarkStart w:id="25" w:name="_Toc211249807"/>
      <w:r w:rsidRPr="00DB6B7E">
        <w:rPr>
          <w:color w:val="auto"/>
          <w:sz w:val="20"/>
          <w:szCs w:val="20"/>
        </w:rPr>
        <w:t>C.</w:t>
      </w:r>
      <w:r w:rsidRPr="00DB6B7E">
        <w:rPr>
          <w:color w:val="auto"/>
          <w:sz w:val="20"/>
          <w:szCs w:val="20"/>
        </w:rPr>
        <w:tab/>
        <w:t xml:space="preserve">Right to Personal Liberty after </w:t>
      </w:r>
      <w:r w:rsidR="00BF2B12" w:rsidRPr="00DB6B7E">
        <w:rPr>
          <w:color w:val="auto"/>
          <w:sz w:val="20"/>
          <w:szCs w:val="20"/>
        </w:rPr>
        <w:t>the Conviction</w:t>
      </w:r>
      <w:bookmarkEnd w:id="25"/>
    </w:p>
    <w:p w14:paraId="4B74CA2B"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A7CA990" w14:textId="77777777" w:rsidR="007A744E" w:rsidRPr="00907400"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this report, the Commission has already established that both </w:t>
      </w:r>
      <w:r w:rsidR="0095585C" w:rsidRPr="00907400">
        <w:rPr>
          <w:rFonts w:asciiTheme="majorHAnsi" w:hAnsiTheme="majorHAnsi"/>
          <w:sz w:val="20"/>
          <w:szCs w:val="20"/>
        </w:rPr>
        <w:t xml:space="preserve">Mr. Sastoque’s </w:t>
      </w:r>
      <w:r w:rsidRPr="00907400">
        <w:rPr>
          <w:rFonts w:asciiTheme="majorHAnsi" w:hAnsiTheme="majorHAnsi"/>
          <w:sz w:val="20"/>
          <w:szCs w:val="20"/>
        </w:rPr>
        <w:t xml:space="preserve">initial </w:t>
      </w:r>
      <w:r w:rsidR="0095585C" w:rsidRPr="00907400">
        <w:rPr>
          <w:rFonts w:asciiTheme="majorHAnsi" w:hAnsiTheme="majorHAnsi"/>
          <w:sz w:val="20"/>
          <w:szCs w:val="20"/>
        </w:rPr>
        <w:t>arrest</w:t>
      </w:r>
      <w:r w:rsidRPr="00907400">
        <w:rPr>
          <w:rFonts w:asciiTheme="majorHAnsi" w:hAnsiTheme="majorHAnsi"/>
          <w:sz w:val="20"/>
          <w:szCs w:val="20"/>
        </w:rPr>
        <w:t xml:space="preserve"> </w:t>
      </w:r>
      <w:r w:rsidR="0095585C" w:rsidRPr="00907400">
        <w:rPr>
          <w:rFonts w:asciiTheme="majorHAnsi" w:hAnsiTheme="majorHAnsi"/>
          <w:sz w:val="20"/>
          <w:szCs w:val="20"/>
        </w:rPr>
        <w:t>as well as his</w:t>
      </w:r>
      <w:r w:rsidRPr="00907400">
        <w:rPr>
          <w:rFonts w:asciiTheme="majorHAnsi" w:hAnsiTheme="majorHAnsi"/>
          <w:sz w:val="20"/>
          <w:szCs w:val="20"/>
        </w:rPr>
        <w:t xml:space="preserve"> </w:t>
      </w:r>
      <w:r w:rsidR="005325BF" w:rsidRPr="00907400">
        <w:rPr>
          <w:rFonts w:asciiTheme="majorHAnsi" w:hAnsiTheme="majorHAnsi"/>
          <w:sz w:val="20"/>
          <w:szCs w:val="20"/>
        </w:rPr>
        <w:t>pretrial detention</w:t>
      </w:r>
      <w:r w:rsidRPr="00907400">
        <w:rPr>
          <w:rFonts w:asciiTheme="majorHAnsi" w:hAnsiTheme="majorHAnsi"/>
          <w:sz w:val="20"/>
          <w:szCs w:val="20"/>
        </w:rPr>
        <w:t xml:space="preserve"> violate</w:t>
      </w:r>
      <w:r w:rsidR="0095585C" w:rsidRPr="00907400">
        <w:rPr>
          <w:rFonts w:asciiTheme="majorHAnsi" w:hAnsiTheme="majorHAnsi"/>
          <w:sz w:val="20"/>
          <w:szCs w:val="20"/>
        </w:rPr>
        <w:t>d</w:t>
      </w:r>
      <w:r w:rsidRPr="00907400">
        <w:rPr>
          <w:rFonts w:asciiTheme="majorHAnsi" w:hAnsiTheme="majorHAnsi"/>
          <w:sz w:val="20"/>
          <w:szCs w:val="20"/>
        </w:rPr>
        <w:t xml:space="preserve"> the American Convention. At this point, the IACHR </w:t>
      </w:r>
      <w:r w:rsidR="0095585C" w:rsidRPr="00907400">
        <w:rPr>
          <w:rFonts w:asciiTheme="majorHAnsi" w:hAnsiTheme="majorHAnsi"/>
          <w:sz w:val="20"/>
          <w:szCs w:val="20"/>
        </w:rPr>
        <w:t>will consider</w:t>
      </w:r>
      <w:r w:rsidRPr="00907400">
        <w:rPr>
          <w:rFonts w:asciiTheme="majorHAnsi" w:hAnsiTheme="majorHAnsi"/>
          <w:sz w:val="20"/>
          <w:szCs w:val="20"/>
        </w:rPr>
        <w:t xml:space="preserve"> </w:t>
      </w:r>
      <w:r w:rsidR="00BF2B12" w:rsidRPr="00907400">
        <w:rPr>
          <w:rFonts w:asciiTheme="majorHAnsi" w:hAnsiTheme="majorHAnsi"/>
          <w:sz w:val="20"/>
          <w:szCs w:val="20"/>
        </w:rPr>
        <w:t>the</w:t>
      </w:r>
      <w:r w:rsidRPr="00907400">
        <w:rPr>
          <w:rFonts w:asciiTheme="majorHAnsi" w:hAnsiTheme="majorHAnsi"/>
          <w:sz w:val="20"/>
          <w:szCs w:val="20"/>
        </w:rPr>
        <w:t xml:space="preserve"> deprivation of liberty as a consequence of the sentence imposed on the victim.</w:t>
      </w:r>
    </w:p>
    <w:p w14:paraId="7B81E043"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0855A35" w14:textId="77777777" w:rsidR="007A744E" w:rsidRPr="00907400"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The Commission has argued that, in certain circumstances, </w:t>
      </w:r>
      <w:r w:rsidR="00BF0C6D" w:rsidRPr="00907400">
        <w:rPr>
          <w:rFonts w:asciiTheme="majorHAnsi" w:hAnsiTheme="majorHAnsi"/>
          <w:sz w:val="20"/>
          <w:szCs w:val="20"/>
        </w:rPr>
        <w:t xml:space="preserve">violations of </w:t>
      </w:r>
      <w:r w:rsidRPr="00907400">
        <w:rPr>
          <w:rFonts w:asciiTheme="majorHAnsi" w:hAnsiTheme="majorHAnsi"/>
          <w:sz w:val="20"/>
          <w:szCs w:val="20"/>
        </w:rPr>
        <w:t xml:space="preserve">human rights </w:t>
      </w:r>
      <w:r w:rsidR="00BF0C6D" w:rsidRPr="00907400">
        <w:rPr>
          <w:rFonts w:asciiTheme="majorHAnsi" w:hAnsiTheme="majorHAnsi"/>
          <w:sz w:val="20"/>
          <w:szCs w:val="20"/>
        </w:rPr>
        <w:t>committed when adopting decisions where a person’s liberty is at stake can make arrest or imprisonment resulting from such decisions arbitrary</w:t>
      </w:r>
      <w:r w:rsidRPr="00907400">
        <w:rPr>
          <w:rFonts w:asciiTheme="majorHAnsi" w:hAnsiTheme="majorHAnsi"/>
          <w:sz w:val="20"/>
          <w:szCs w:val="20"/>
        </w:rPr>
        <w:t>.</w:t>
      </w:r>
      <w:r w:rsidR="0099514B" w:rsidRPr="00907400">
        <w:rPr>
          <w:rStyle w:val="FootnoteReference"/>
          <w:rFonts w:asciiTheme="majorHAnsi" w:hAnsiTheme="majorHAnsi"/>
          <w:bCs/>
          <w:sz w:val="20"/>
          <w:szCs w:val="20"/>
        </w:rPr>
        <w:footnoteReference w:id="117"/>
      </w:r>
      <w:r w:rsidRPr="00907400">
        <w:rPr>
          <w:rFonts w:asciiTheme="majorHAnsi" w:hAnsiTheme="majorHAnsi"/>
          <w:sz w:val="20"/>
          <w:szCs w:val="20"/>
        </w:rPr>
        <w:t xml:space="preserve"> In a similar sense, the Court has considered that the violation of judicial guarantees can have the effect </w:t>
      </w:r>
      <w:r w:rsidR="00BF0C6D" w:rsidRPr="00907400">
        <w:rPr>
          <w:rFonts w:asciiTheme="majorHAnsi" w:hAnsiTheme="majorHAnsi"/>
          <w:sz w:val="20"/>
          <w:szCs w:val="20"/>
        </w:rPr>
        <w:t>rendering the proceedings defective</w:t>
      </w:r>
      <w:r w:rsidRPr="00907400">
        <w:rPr>
          <w:rFonts w:asciiTheme="majorHAnsi" w:hAnsiTheme="majorHAnsi"/>
          <w:sz w:val="20"/>
          <w:szCs w:val="20"/>
        </w:rPr>
        <w:t>, as well as the consequences derived from it, including the detention of a</w:t>
      </w:r>
      <w:r w:rsidR="00BF0C6D" w:rsidRPr="00907400">
        <w:rPr>
          <w:rFonts w:asciiTheme="majorHAnsi" w:hAnsiTheme="majorHAnsi"/>
          <w:sz w:val="20"/>
          <w:szCs w:val="20"/>
        </w:rPr>
        <w:t>n individual</w:t>
      </w:r>
      <w:r w:rsidRPr="00907400">
        <w:rPr>
          <w:rFonts w:asciiTheme="majorHAnsi" w:hAnsiTheme="majorHAnsi"/>
          <w:sz w:val="20"/>
          <w:szCs w:val="20"/>
        </w:rPr>
        <w:t>.</w:t>
      </w:r>
      <w:r w:rsidR="0099514B" w:rsidRPr="00907400">
        <w:rPr>
          <w:rStyle w:val="FootnoteReference"/>
          <w:rFonts w:asciiTheme="majorHAnsi" w:hAnsiTheme="majorHAnsi"/>
          <w:bCs/>
          <w:sz w:val="20"/>
          <w:szCs w:val="20"/>
        </w:rPr>
        <w:footnoteReference w:id="118"/>
      </w:r>
      <w:r w:rsidRPr="00907400">
        <w:rPr>
          <w:rFonts w:asciiTheme="majorHAnsi" w:hAnsiTheme="majorHAnsi"/>
          <w:sz w:val="20"/>
          <w:szCs w:val="20"/>
        </w:rPr>
        <w:t xml:space="preserve"> For example, one of the criteria taken into account by the </w:t>
      </w:r>
      <w:r w:rsidRPr="00907400">
        <w:rPr>
          <w:rFonts w:asciiTheme="majorHAnsi" w:hAnsiTheme="majorHAnsi"/>
          <w:sz w:val="20"/>
          <w:szCs w:val="20"/>
        </w:rPr>
        <w:lastRenderedPageBreak/>
        <w:t>United Nations Working Group on Arbitrary Detention to determine when a deprivation of liberty can be considered arbitrary, is defined in the following terms:</w:t>
      </w:r>
    </w:p>
    <w:p w14:paraId="56E2846F" w14:textId="77777777" w:rsidR="00DB6B7E" w:rsidRDefault="00DB6B7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AFF86B7" w14:textId="77777777" w:rsidR="007A744E" w:rsidRPr="00907400" w:rsidRDefault="00860A6A"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20"/>
          <w:szCs w:val="20"/>
        </w:rPr>
      </w:pPr>
      <w:r w:rsidRPr="00907400">
        <w:rPr>
          <w:rFonts w:asciiTheme="majorHAnsi" w:hAnsiTheme="majorHAnsi"/>
          <w:sz w:val="20"/>
          <w:szCs w:val="20"/>
        </w:rPr>
        <w:t>W</w:t>
      </w:r>
      <w:r w:rsidR="007900D2" w:rsidRPr="00907400">
        <w:rPr>
          <w:rFonts w:asciiTheme="majorHAnsi" w:hAnsiTheme="majorHAnsi"/>
          <w:sz w:val="20"/>
          <w:szCs w:val="20"/>
        </w:rPr>
        <w:t>he</w:t>
      </w:r>
      <w:r w:rsidRPr="00907400">
        <w:rPr>
          <w:rFonts w:asciiTheme="majorHAnsi" w:hAnsiTheme="majorHAnsi"/>
          <w:sz w:val="20"/>
          <w:szCs w:val="20"/>
        </w:rPr>
        <w:t>n the total or partial non-observance of the international norms relating</w:t>
      </w:r>
      <w:r w:rsidR="007900D2" w:rsidRPr="00907400">
        <w:rPr>
          <w:rFonts w:asciiTheme="majorHAnsi" w:hAnsiTheme="majorHAnsi"/>
          <w:sz w:val="20"/>
          <w:szCs w:val="20"/>
        </w:rPr>
        <w:t xml:space="preserve"> </w:t>
      </w:r>
      <w:r w:rsidRPr="00907400">
        <w:rPr>
          <w:rFonts w:asciiTheme="majorHAnsi" w:hAnsiTheme="majorHAnsi"/>
          <w:sz w:val="20"/>
          <w:szCs w:val="20"/>
        </w:rPr>
        <w:t>to the right to a fair trial, spelled out in the Universal Declaration of Human Rights and in the relevant international instruments accepted by the States concerned, is of such gravity as to give the deprivation of liberty an arbitrary character</w:t>
      </w:r>
      <w:r w:rsidR="007900D2" w:rsidRPr="00907400">
        <w:rPr>
          <w:rFonts w:asciiTheme="majorHAnsi" w:hAnsiTheme="majorHAnsi"/>
          <w:sz w:val="20"/>
          <w:szCs w:val="20"/>
        </w:rPr>
        <w:t>.</w:t>
      </w:r>
      <w:r w:rsidR="00580133" w:rsidRPr="00907400">
        <w:rPr>
          <w:rStyle w:val="FootnoteReference"/>
          <w:rFonts w:asciiTheme="majorHAnsi" w:hAnsiTheme="majorHAnsi"/>
          <w:bCs/>
          <w:sz w:val="20"/>
          <w:szCs w:val="20"/>
        </w:rPr>
        <w:t xml:space="preserve"> </w:t>
      </w:r>
      <w:r w:rsidR="00580133" w:rsidRPr="00907400">
        <w:rPr>
          <w:rStyle w:val="FootnoteReference"/>
          <w:rFonts w:asciiTheme="majorHAnsi" w:hAnsiTheme="majorHAnsi"/>
          <w:bCs/>
          <w:sz w:val="20"/>
          <w:szCs w:val="20"/>
        </w:rPr>
        <w:footnoteReference w:id="119"/>
      </w:r>
    </w:p>
    <w:p w14:paraId="47E00601" w14:textId="77777777" w:rsidR="00DB6B7E"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85320F0" w14:textId="77777777" w:rsidR="007A744E" w:rsidRPr="00907400"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this way, the Commission </w:t>
      </w:r>
      <w:r w:rsidR="006B091A" w:rsidRPr="00907400">
        <w:rPr>
          <w:rFonts w:asciiTheme="majorHAnsi" w:hAnsiTheme="majorHAnsi"/>
          <w:sz w:val="20"/>
          <w:szCs w:val="20"/>
        </w:rPr>
        <w:t>finds</w:t>
      </w:r>
      <w:r w:rsidRPr="00907400">
        <w:rPr>
          <w:rFonts w:asciiTheme="majorHAnsi" w:hAnsiTheme="majorHAnsi"/>
          <w:sz w:val="20"/>
          <w:szCs w:val="20"/>
        </w:rPr>
        <w:t xml:space="preserve"> that although the deprivation of liberty </w:t>
      </w:r>
      <w:r w:rsidR="006B091A" w:rsidRPr="00907400">
        <w:rPr>
          <w:rFonts w:asciiTheme="majorHAnsi" w:hAnsiTheme="majorHAnsi"/>
          <w:sz w:val="20"/>
          <w:szCs w:val="20"/>
        </w:rPr>
        <w:t>considered here</w:t>
      </w:r>
      <w:r w:rsidRPr="00907400">
        <w:rPr>
          <w:rFonts w:asciiTheme="majorHAnsi" w:hAnsiTheme="majorHAnsi"/>
          <w:sz w:val="20"/>
          <w:szCs w:val="20"/>
        </w:rPr>
        <w:t xml:space="preserve"> was based on a conviction issued by a judicial authority, it became arbitrary.</w:t>
      </w:r>
      <w:r w:rsidR="00580133" w:rsidRPr="00907400">
        <w:rPr>
          <w:rStyle w:val="FootnoteReference"/>
          <w:rFonts w:asciiTheme="majorHAnsi" w:hAnsiTheme="majorHAnsi"/>
          <w:bCs/>
          <w:sz w:val="20"/>
          <w:szCs w:val="20"/>
        </w:rPr>
        <w:t xml:space="preserve"> </w:t>
      </w:r>
      <w:r w:rsidR="00580133" w:rsidRPr="00907400">
        <w:rPr>
          <w:rStyle w:val="FootnoteReference"/>
          <w:rFonts w:asciiTheme="majorHAnsi" w:hAnsiTheme="majorHAnsi"/>
          <w:bCs/>
          <w:sz w:val="20"/>
          <w:szCs w:val="20"/>
        </w:rPr>
        <w:footnoteReference w:id="120"/>
      </w:r>
      <w:r w:rsidRPr="00907400">
        <w:rPr>
          <w:rFonts w:asciiTheme="majorHAnsi" w:hAnsiTheme="majorHAnsi"/>
          <w:sz w:val="20"/>
          <w:szCs w:val="20"/>
        </w:rPr>
        <w:t xml:space="preserve"> The Commission has indicated that </w:t>
      </w:r>
      <w:r w:rsidR="006B091A" w:rsidRPr="00907400">
        <w:rPr>
          <w:rFonts w:asciiTheme="majorHAnsi" w:hAnsiTheme="majorHAnsi"/>
          <w:sz w:val="20"/>
          <w:szCs w:val="20"/>
        </w:rPr>
        <w:t>individuals</w:t>
      </w:r>
      <w:r w:rsidRPr="00907400">
        <w:rPr>
          <w:rFonts w:asciiTheme="majorHAnsi" w:hAnsiTheme="majorHAnsi"/>
          <w:sz w:val="20"/>
          <w:szCs w:val="20"/>
        </w:rPr>
        <w:t xml:space="preserve"> can only be subject to a restriction on their liberty by means of a </w:t>
      </w:r>
      <w:r w:rsidR="006B091A" w:rsidRPr="00907400">
        <w:rPr>
          <w:rFonts w:asciiTheme="majorHAnsi" w:hAnsiTheme="majorHAnsi"/>
          <w:sz w:val="20"/>
          <w:szCs w:val="20"/>
        </w:rPr>
        <w:t>sentence established as a result of a trial during which they had the opportunity to defend themselves</w:t>
      </w:r>
      <w:r w:rsidRPr="00907400">
        <w:rPr>
          <w:rFonts w:asciiTheme="majorHAnsi" w:hAnsiTheme="majorHAnsi"/>
          <w:sz w:val="20"/>
          <w:szCs w:val="20"/>
        </w:rPr>
        <w:t>,</w:t>
      </w:r>
      <w:r w:rsidR="00580133" w:rsidRPr="00907400">
        <w:rPr>
          <w:rStyle w:val="FootnoteReference"/>
          <w:rFonts w:asciiTheme="majorHAnsi" w:hAnsiTheme="majorHAnsi" w:cs="Arial"/>
          <w:sz w:val="20"/>
          <w:szCs w:val="20"/>
        </w:rPr>
        <w:footnoteReference w:id="121"/>
      </w:r>
      <w:r w:rsidRPr="00907400">
        <w:rPr>
          <w:rFonts w:asciiTheme="majorHAnsi" w:hAnsiTheme="majorHAnsi"/>
          <w:sz w:val="20"/>
          <w:szCs w:val="20"/>
        </w:rPr>
        <w:t xml:space="preserve"> a situation </w:t>
      </w:r>
      <w:r w:rsidR="00B6263A" w:rsidRPr="00907400">
        <w:rPr>
          <w:rFonts w:asciiTheme="majorHAnsi" w:hAnsiTheme="majorHAnsi"/>
          <w:sz w:val="20"/>
          <w:szCs w:val="20"/>
        </w:rPr>
        <w:t>absent</w:t>
      </w:r>
      <w:r w:rsidRPr="00907400">
        <w:rPr>
          <w:rFonts w:asciiTheme="majorHAnsi" w:hAnsiTheme="majorHAnsi"/>
          <w:sz w:val="20"/>
          <w:szCs w:val="20"/>
        </w:rPr>
        <w:t xml:space="preserve"> in the present case in which, in addition, multiple violations of due process, including the principle of </w:t>
      </w:r>
      <w:r w:rsidR="00B6263A" w:rsidRPr="00907400">
        <w:rPr>
          <w:rFonts w:asciiTheme="majorHAnsi" w:hAnsiTheme="majorHAnsi"/>
          <w:sz w:val="20"/>
          <w:szCs w:val="20"/>
        </w:rPr>
        <w:t xml:space="preserve">the </w:t>
      </w:r>
      <w:r w:rsidRPr="00907400">
        <w:rPr>
          <w:rFonts w:asciiTheme="majorHAnsi" w:hAnsiTheme="majorHAnsi"/>
          <w:sz w:val="20"/>
          <w:szCs w:val="20"/>
        </w:rPr>
        <w:t xml:space="preserve">presumption of innocence, as </w:t>
      </w:r>
      <w:r w:rsidR="00B6263A" w:rsidRPr="00907400">
        <w:rPr>
          <w:rFonts w:asciiTheme="majorHAnsi" w:hAnsiTheme="majorHAnsi"/>
          <w:sz w:val="20"/>
          <w:szCs w:val="20"/>
        </w:rPr>
        <w:t>considered</w:t>
      </w:r>
      <w:r w:rsidRPr="00907400">
        <w:rPr>
          <w:rFonts w:asciiTheme="majorHAnsi" w:hAnsiTheme="majorHAnsi"/>
          <w:sz w:val="20"/>
          <w:szCs w:val="20"/>
        </w:rPr>
        <w:t xml:space="preserve"> throughout this report</w:t>
      </w:r>
      <w:r w:rsidR="00BF2B12" w:rsidRPr="00907400">
        <w:rPr>
          <w:rFonts w:asciiTheme="majorHAnsi" w:hAnsiTheme="majorHAnsi"/>
          <w:sz w:val="20"/>
          <w:szCs w:val="20"/>
        </w:rPr>
        <w:t>, have taken place</w:t>
      </w:r>
      <w:r w:rsidRPr="00907400">
        <w:rPr>
          <w:rFonts w:asciiTheme="majorHAnsi" w:hAnsiTheme="majorHAnsi"/>
          <w:sz w:val="20"/>
          <w:szCs w:val="20"/>
        </w:rPr>
        <w:t xml:space="preserve">. In this regard, the Commission concludes that </w:t>
      </w:r>
      <w:r w:rsidR="00B6263A" w:rsidRPr="00907400">
        <w:rPr>
          <w:rFonts w:asciiTheme="majorHAnsi" w:hAnsiTheme="majorHAnsi"/>
          <w:sz w:val="20"/>
          <w:szCs w:val="20"/>
        </w:rPr>
        <w:t>Mr. Sastoque Alfonso’s</w:t>
      </w:r>
      <w:r w:rsidRPr="00907400">
        <w:rPr>
          <w:rFonts w:asciiTheme="majorHAnsi" w:hAnsiTheme="majorHAnsi"/>
          <w:sz w:val="20"/>
          <w:szCs w:val="20"/>
        </w:rPr>
        <w:t xml:space="preserve"> deprivation of liberty after final conviction against him was also arbitrary, for which reason the State continued to violate to </w:t>
      </w:r>
      <w:r w:rsidR="00B6263A" w:rsidRPr="00907400">
        <w:rPr>
          <w:rFonts w:asciiTheme="majorHAnsi" w:hAnsiTheme="majorHAnsi"/>
          <w:sz w:val="20"/>
          <w:szCs w:val="20"/>
        </w:rPr>
        <w:t>his</w:t>
      </w:r>
      <w:r w:rsidRPr="00907400">
        <w:rPr>
          <w:rFonts w:asciiTheme="majorHAnsi" w:hAnsiTheme="majorHAnsi"/>
          <w:sz w:val="20"/>
          <w:szCs w:val="20"/>
        </w:rPr>
        <w:t xml:space="preserve"> detriment </w:t>
      </w:r>
      <w:r w:rsidR="00B6263A" w:rsidRPr="00907400">
        <w:rPr>
          <w:rFonts w:asciiTheme="majorHAnsi" w:hAnsiTheme="majorHAnsi"/>
          <w:sz w:val="20"/>
          <w:szCs w:val="20"/>
        </w:rPr>
        <w:t>A</w:t>
      </w:r>
      <w:r w:rsidRPr="00907400">
        <w:rPr>
          <w:rFonts w:asciiTheme="majorHAnsi" w:hAnsiTheme="majorHAnsi"/>
          <w:sz w:val="20"/>
          <w:szCs w:val="20"/>
        </w:rPr>
        <w:t>rticles 7.1 and 7.3 of the Amer</w:t>
      </w:r>
      <w:r w:rsidR="00B6263A" w:rsidRPr="00907400">
        <w:rPr>
          <w:rFonts w:asciiTheme="majorHAnsi" w:hAnsiTheme="majorHAnsi"/>
          <w:sz w:val="20"/>
          <w:szCs w:val="20"/>
        </w:rPr>
        <w:t>ican Convention, in relation</w:t>
      </w:r>
      <w:r w:rsidRPr="00907400">
        <w:rPr>
          <w:rFonts w:asciiTheme="majorHAnsi" w:hAnsiTheme="majorHAnsi"/>
          <w:sz w:val="20"/>
          <w:szCs w:val="20"/>
        </w:rPr>
        <w:t xml:space="preserve"> </w:t>
      </w:r>
      <w:r w:rsidR="00B6263A" w:rsidRPr="00907400">
        <w:rPr>
          <w:rFonts w:asciiTheme="majorHAnsi" w:hAnsiTheme="majorHAnsi"/>
          <w:sz w:val="20"/>
          <w:szCs w:val="20"/>
        </w:rPr>
        <w:t>to Article 1.1 of the same</w:t>
      </w:r>
      <w:r w:rsidR="00BF2B12" w:rsidRPr="00907400">
        <w:rPr>
          <w:rFonts w:asciiTheme="majorHAnsi" w:hAnsiTheme="majorHAnsi"/>
          <w:sz w:val="20"/>
          <w:szCs w:val="20"/>
        </w:rPr>
        <w:t xml:space="preserve"> Treaty</w:t>
      </w:r>
      <w:r w:rsidRPr="00907400">
        <w:rPr>
          <w:rFonts w:asciiTheme="majorHAnsi" w:hAnsiTheme="majorHAnsi"/>
          <w:sz w:val="20"/>
          <w:szCs w:val="20"/>
        </w:rPr>
        <w:t>.</w:t>
      </w:r>
    </w:p>
    <w:p w14:paraId="28238974" w14:textId="77777777" w:rsidR="007900D2" w:rsidRPr="00907400" w:rsidRDefault="007900D2"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65D0120" w14:textId="77777777" w:rsidR="007A744E" w:rsidRPr="00DB6B7E" w:rsidRDefault="007900D2" w:rsidP="00DB6B7E">
      <w:pPr>
        <w:pStyle w:val="Heading2"/>
        <w:spacing w:before="0"/>
        <w:ind w:left="1440" w:hanging="720"/>
        <w:jc w:val="both"/>
        <w:rPr>
          <w:color w:val="auto"/>
          <w:sz w:val="20"/>
          <w:szCs w:val="20"/>
        </w:rPr>
      </w:pPr>
      <w:bookmarkStart w:id="26" w:name="_Toc211249808"/>
      <w:r w:rsidRPr="00DB6B7E">
        <w:rPr>
          <w:color w:val="auto"/>
          <w:sz w:val="20"/>
          <w:szCs w:val="20"/>
        </w:rPr>
        <w:t>D.</w:t>
      </w:r>
      <w:r w:rsidRPr="00DB6B7E">
        <w:rPr>
          <w:color w:val="auto"/>
          <w:sz w:val="20"/>
          <w:szCs w:val="20"/>
        </w:rPr>
        <w:tab/>
        <w:t>Right to Personal Integrity</w:t>
      </w:r>
      <w:r w:rsidR="00580133" w:rsidRPr="00DB6B7E">
        <w:rPr>
          <w:rStyle w:val="FootnoteReference"/>
          <w:color w:val="auto"/>
          <w:sz w:val="20"/>
          <w:szCs w:val="20"/>
        </w:rPr>
        <w:footnoteReference w:id="122"/>
      </w:r>
      <w:bookmarkEnd w:id="26"/>
    </w:p>
    <w:p w14:paraId="69012E98" w14:textId="77777777" w:rsidR="007A744E" w:rsidRPr="00907400"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D6574BA" w14:textId="77777777" w:rsidR="007A744E" w:rsidRDefault="0065578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907400">
        <w:rPr>
          <w:rFonts w:asciiTheme="majorHAnsi" w:hAnsiTheme="majorHAnsi"/>
          <w:sz w:val="20"/>
          <w:szCs w:val="20"/>
        </w:rPr>
        <w:t xml:space="preserve">In the circumstances of this case the Commission considers that </w:t>
      </w:r>
      <w:r w:rsidR="002D0568" w:rsidRPr="00907400">
        <w:rPr>
          <w:rFonts w:asciiTheme="majorHAnsi" w:hAnsiTheme="majorHAnsi"/>
          <w:sz w:val="20"/>
          <w:szCs w:val="20"/>
        </w:rPr>
        <w:t xml:space="preserve">there has also been a </w:t>
      </w:r>
      <w:r w:rsidR="007900D2" w:rsidRPr="00907400">
        <w:rPr>
          <w:rFonts w:asciiTheme="majorHAnsi" w:hAnsiTheme="majorHAnsi"/>
          <w:sz w:val="20"/>
          <w:szCs w:val="20"/>
        </w:rPr>
        <w:t xml:space="preserve">violation of </w:t>
      </w:r>
      <w:r w:rsidR="002D0568" w:rsidRPr="00907400">
        <w:rPr>
          <w:rFonts w:asciiTheme="majorHAnsi" w:hAnsiTheme="majorHAnsi"/>
          <w:sz w:val="20"/>
          <w:szCs w:val="20"/>
        </w:rPr>
        <w:t>Mr. Sastoque Alfonso’s right to personal integrity</w:t>
      </w:r>
      <w:r w:rsidR="007900D2" w:rsidRPr="00907400">
        <w:rPr>
          <w:rFonts w:asciiTheme="majorHAnsi" w:hAnsiTheme="majorHAnsi"/>
          <w:sz w:val="20"/>
          <w:szCs w:val="20"/>
        </w:rPr>
        <w:t xml:space="preserve">. The victim </w:t>
      </w:r>
      <w:r w:rsidR="00164B13" w:rsidRPr="00907400">
        <w:rPr>
          <w:rFonts w:asciiTheme="majorHAnsi" w:hAnsiTheme="majorHAnsi"/>
          <w:sz w:val="20"/>
          <w:szCs w:val="20"/>
        </w:rPr>
        <w:t>remained</w:t>
      </w:r>
      <w:r w:rsidR="007900D2" w:rsidRPr="00907400">
        <w:rPr>
          <w:rFonts w:asciiTheme="majorHAnsi" w:hAnsiTheme="majorHAnsi"/>
          <w:sz w:val="20"/>
          <w:szCs w:val="20"/>
        </w:rPr>
        <w:t xml:space="preserve"> depr</w:t>
      </w:r>
      <w:r w:rsidR="00BF2B12" w:rsidRPr="00907400">
        <w:rPr>
          <w:rFonts w:asciiTheme="majorHAnsi" w:hAnsiTheme="majorHAnsi"/>
          <w:sz w:val="20"/>
          <w:szCs w:val="20"/>
        </w:rPr>
        <w:t>ived of liberty for more than ten</w:t>
      </w:r>
      <w:r w:rsidR="007900D2" w:rsidRPr="00907400">
        <w:rPr>
          <w:rFonts w:asciiTheme="majorHAnsi" w:hAnsiTheme="majorHAnsi"/>
          <w:sz w:val="20"/>
          <w:szCs w:val="20"/>
        </w:rPr>
        <w:t xml:space="preserve"> years </w:t>
      </w:r>
      <w:r w:rsidR="00164B13" w:rsidRPr="00907400">
        <w:rPr>
          <w:rFonts w:asciiTheme="majorHAnsi" w:hAnsiTheme="majorHAnsi"/>
          <w:sz w:val="20"/>
          <w:szCs w:val="20"/>
        </w:rPr>
        <w:t>as a consequence of a criminal trial</w:t>
      </w:r>
      <w:r w:rsidR="00BF2B12" w:rsidRPr="00907400">
        <w:rPr>
          <w:rFonts w:asciiTheme="majorHAnsi" w:hAnsiTheme="majorHAnsi"/>
          <w:sz w:val="20"/>
          <w:szCs w:val="20"/>
        </w:rPr>
        <w:t xml:space="preserve"> conducted in violation of</w:t>
      </w:r>
      <w:r w:rsidR="007900D2" w:rsidRPr="00907400">
        <w:rPr>
          <w:rFonts w:asciiTheme="majorHAnsi" w:hAnsiTheme="majorHAnsi"/>
          <w:sz w:val="20"/>
          <w:szCs w:val="20"/>
        </w:rPr>
        <w:t xml:space="preserve"> fundamental </w:t>
      </w:r>
      <w:r w:rsidR="00BF2B12" w:rsidRPr="00907400">
        <w:rPr>
          <w:rFonts w:asciiTheme="majorHAnsi" w:hAnsiTheme="majorHAnsi"/>
          <w:sz w:val="20"/>
          <w:szCs w:val="20"/>
        </w:rPr>
        <w:t xml:space="preserve">due process </w:t>
      </w:r>
      <w:r w:rsidR="007900D2" w:rsidRPr="00907400">
        <w:rPr>
          <w:rFonts w:asciiTheme="majorHAnsi" w:hAnsiTheme="majorHAnsi"/>
          <w:sz w:val="20"/>
          <w:szCs w:val="20"/>
        </w:rPr>
        <w:t xml:space="preserve">guarantees. Thus, he was subjected to an illegal and arbitrary deprivation of liberty, both before and after the final conviction. In addition, since the </w:t>
      </w:r>
      <w:r w:rsidR="00164B13" w:rsidRPr="00907400">
        <w:rPr>
          <w:rFonts w:asciiTheme="majorHAnsi" w:hAnsiTheme="majorHAnsi"/>
          <w:sz w:val="20"/>
          <w:szCs w:val="20"/>
        </w:rPr>
        <w:t>outset</w:t>
      </w:r>
      <w:r w:rsidR="007900D2" w:rsidRPr="00907400">
        <w:rPr>
          <w:rFonts w:asciiTheme="majorHAnsi" w:hAnsiTheme="majorHAnsi"/>
          <w:sz w:val="20"/>
          <w:szCs w:val="20"/>
        </w:rPr>
        <w:t xml:space="preserve"> of the investigations, Mr. Sastoque was totally defenseless due to the total </w:t>
      </w:r>
      <w:r w:rsidR="00164B13" w:rsidRPr="00907400">
        <w:rPr>
          <w:rFonts w:asciiTheme="majorHAnsi" w:hAnsiTheme="majorHAnsi"/>
          <w:sz w:val="20"/>
          <w:szCs w:val="20"/>
        </w:rPr>
        <w:t>lack</w:t>
      </w:r>
      <w:r w:rsidR="007900D2" w:rsidRPr="00907400">
        <w:rPr>
          <w:rFonts w:asciiTheme="majorHAnsi" w:hAnsiTheme="majorHAnsi"/>
          <w:sz w:val="20"/>
          <w:szCs w:val="20"/>
        </w:rPr>
        <w:t xml:space="preserve"> of information about being a suspect in a criminal investigation.</w:t>
      </w:r>
    </w:p>
    <w:p w14:paraId="683BF8E8" w14:textId="77777777" w:rsidR="00DB6B7E" w:rsidRPr="00907400"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FC8C781" w14:textId="77777777" w:rsidR="007A744E" w:rsidRPr="0057381F"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He was also investigated and tried by </w:t>
      </w:r>
      <w:r w:rsidR="00BD3394" w:rsidRPr="0057381F">
        <w:rPr>
          <w:rFonts w:asciiTheme="majorHAnsi" w:hAnsiTheme="majorHAnsi"/>
          <w:sz w:val="20"/>
          <w:szCs w:val="20"/>
        </w:rPr>
        <w:t>faceless courts and prosecutors</w:t>
      </w:r>
      <w:r w:rsidR="00A433FF" w:rsidRPr="0057381F">
        <w:rPr>
          <w:rFonts w:asciiTheme="majorHAnsi" w:hAnsiTheme="majorHAnsi"/>
          <w:sz w:val="20"/>
          <w:szCs w:val="20"/>
        </w:rPr>
        <w:t>, which</w:t>
      </w:r>
      <w:r w:rsidRPr="0057381F">
        <w:rPr>
          <w:rFonts w:asciiTheme="majorHAnsi" w:hAnsiTheme="majorHAnsi"/>
          <w:sz w:val="20"/>
          <w:szCs w:val="20"/>
        </w:rPr>
        <w:t xml:space="preserve">, in turn, based their decisions on </w:t>
      </w:r>
      <w:r w:rsidR="007412F3" w:rsidRPr="0057381F">
        <w:rPr>
          <w:rFonts w:asciiTheme="majorHAnsi" w:hAnsiTheme="majorHAnsi"/>
          <w:sz w:val="20"/>
          <w:szCs w:val="20"/>
        </w:rPr>
        <w:t xml:space="preserve">anonymous </w:t>
      </w:r>
      <w:r w:rsidRPr="0057381F">
        <w:rPr>
          <w:rFonts w:asciiTheme="majorHAnsi" w:hAnsiTheme="majorHAnsi"/>
          <w:sz w:val="20"/>
          <w:szCs w:val="20"/>
        </w:rPr>
        <w:t xml:space="preserve">witnesses. In </w:t>
      </w:r>
      <w:r w:rsidR="007412F3" w:rsidRPr="0057381F">
        <w:rPr>
          <w:rFonts w:asciiTheme="majorHAnsi" w:hAnsiTheme="majorHAnsi"/>
          <w:sz w:val="20"/>
          <w:szCs w:val="20"/>
        </w:rPr>
        <w:t xml:space="preserve">the sentencing trials, </w:t>
      </w:r>
      <w:r w:rsidRPr="0057381F">
        <w:rPr>
          <w:rFonts w:asciiTheme="majorHAnsi" w:hAnsiTheme="majorHAnsi"/>
          <w:sz w:val="20"/>
          <w:szCs w:val="20"/>
        </w:rPr>
        <w:t xml:space="preserve">the presumption of innocence was violated in the terms already analyzed, and the appeals filed were ineffective. </w:t>
      </w:r>
      <w:r w:rsidR="007412F3" w:rsidRPr="0057381F">
        <w:rPr>
          <w:rFonts w:asciiTheme="majorHAnsi" w:hAnsiTheme="majorHAnsi"/>
          <w:sz w:val="20"/>
          <w:szCs w:val="20"/>
        </w:rPr>
        <w:t>In addition</w:t>
      </w:r>
      <w:r w:rsidR="00752660" w:rsidRPr="0057381F">
        <w:rPr>
          <w:rFonts w:asciiTheme="majorHAnsi" w:hAnsiTheme="majorHAnsi"/>
          <w:sz w:val="20"/>
          <w:szCs w:val="20"/>
        </w:rPr>
        <w:t>,</w:t>
      </w:r>
      <w:r w:rsidR="007412F3" w:rsidRPr="0057381F">
        <w:rPr>
          <w:rFonts w:asciiTheme="majorHAnsi" w:hAnsiTheme="majorHAnsi"/>
          <w:sz w:val="20"/>
          <w:szCs w:val="20"/>
        </w:rPr>
        <w:t xml:space="preserve"> there was</w:t>
      </w:r>
      <w:r w:rsidRPr="0057381F">
        <w:rPr>
          <w:rFonts w:asciiTheme="majorHAnsi" w:hAnsiTheme="majorHAnsi"/>
          <w:sz w:val="20"/>
          <w:szCs w:val="20"/>
        </w:rPr>
        <w:t xml:space="preserve"> the complaint filed by Mr. Sastoque for the crimes of </w:t>
      </w:r>
      <w:r w:rsidR="007412F3" w:rsidRPr="0057381F">
        <w:rPr>
          <w:rFonts w:asciiTheme="majorHAnsi" w:hAnsiTheme="majorHAnsi"/>
          <w:sz w:val="20"/>
          <w:szCs w:val="20"/>
        </w:rPr>
        <w:t>perjury</w:t>
      </w:r>
      <w:r w:rsidRPr="0057381F">
        <w:rPr>
          <w:rFonts w:asciiTheme="majorHAnsi" w:hAnsiTheme="majorHAnsi"/>
          <w:sz w:val="20"/>
          <w:szCs w:val="20"/>
        </w:rPr>
        <w:t xml:space="preserve"> and procedural fraud, </w:t>
      </w:r>
      <w:r w:rsidR="007412F3" w:rsidRPr="0057381F">
        <w:rPr>
          <w:rFonts w:asciiTheme="majorHAnsi" w:hAnsiTheme="majorHAnsi"/>
          <w:sz w:val="20"/>
          <w:szCs w:val="20"/>
        </w:rPr>
        <w:t>which did not receive</w:t>
      </w:r>
      <w:r w:rsidRPr="0057381F">
        <w:rPr>
          <w:rFonts w:asciiTheme="majorHAnsi" w:hAnsiTheme="majorHAnsi"/>
          <w:sz w:val="20"/>
          <w:szCs w:val="20"/>
        </w:rPr>
        <w:t xml:space="preserve"> a response or </w:t>
      </w:r>
      <w:r w:rsidR="007412F3" w:rsidRPr="0057381F">
        <w:rPr>
          <w:rFonts w:asciiTheme="majorHAnsi" w:hAnsiTheme="majorHAnsi"/>
          <w:sz w:val="20"/>
          <w:szCs w:val="20"/>
        </w:rPr>
        <w:t xml:space="preserve">produce a </w:t>
      </w:r>
      <w:r w:rsidRPr="0057381F">
        <w:rPr>
          <w:rFonts w:asciiTheme="majorHAnsi" w:hAnsiTheme="majorHAnsi"/>
          <w:sz w:val="20"/>
          <w:szCs w:val="20"/>
        </w:rPr>
        <w:t xml:space="preserve">substantive result. Finally, </w:t>
      </w:r>
      <w:r w:rsidR="00B0592D" w:rsidRPr="0057381F">
        <w:rPr>
          <w:rFonts w:asciiTheme="majorHAnsi" w:hAnsiTheme="majorHAnsi"/>
          <w:sz w:val="20"/>
          <w:szCs w:val="20"/>
        </w:rPr>
        <w:t xml:space="preserve">given </w:t>
      </w:r>
      <w:r w:rsidR="00C82F0B" w:rsidRPr="0057381F">
        <w:rPr>
          <w:rFonts w:asciiTheme="majorHAnsi" w:hAnsiTheme="majorHAnsi"/>
          <w:sz w:val="20"/>
          <w:szCs w:val="20"/>
        </w:rPr>
        <w:t>indications</w:t>
      </w:r>
      <w:r w:rsidRPr="0057381F">
        <w:rPr>
          <w:rFonts w:asciiTheme="majorHAnsi" w:hAnsiTheme="majorHAnsi"/>
          <w:sz w:val="20"/>
          <w:szCs w:val="20"/>
        </w:rPr>
        <w:t xml:space="preserve"> of the existence of a judicial </w:t>
      </w:r>
      <w:r w:rsidR="00C82F0B" w:rsidRPr="0057381F">
        <w:rPr>
          <w:rFonts w:asciiTheme="majorHAnsi" w:hAnsiTheme="majorHAnsi"/>
          <w:sz w:val="20"/>
          <w:szCs w:val="20"/>
        </w:rPr>
        <w:t>set up</w:t>
      </w:r>
      <w:r w:rsidRPr="0057381F">
        <w:rPr>
          <w:rFonts w:asciiTheme="majorHAnsi" w:hAnsiTheme="majorHAnsi"/>
          <w:sz w:val="20"/>
          <w:szCs w:val="20"/>
        </w:rPr>
        <w:t xml:space="preserve"> against him, the State also failed to respond </w:t>
      </w:r>
      <w:r w:rsidR="00C82F0B" w:rsidRPr="0057381F">
        <w:rPr>
          <w:rFonts w:asciiTheme="majorHAnsi" w:hAnsiTheme="majorHAnsi"/>
          <w:sz w:val="20"/>
          <w:szCs w:val="20"/>
        </w:rPr>
        <w:t>with</w:t>
      </w:r>
      <w:r w:rsidRPr="0057381F">
        <w:rPr>
          <w:rFonts w:asciiTheme="majorHAnsi" w:hAnsiTheme="majorHAnsi"/>
          <w:sz w:val="20"/>
          <w:szCs w:val="20"/>
        </w:rPr>
        <w:t xml:space="preserve"> a serious and diligent investigation, </w:t>
      </w:r>
      <w:r w:rsidR="00C82F0B" w:rsidRPr="0057381F">
        <w:rPr>
          <w:rFonts w:asciiTheme="majorHAnsi" w:hAnsiTheme="majorHAnsi"/>
          <w:sz w:val="20"/>
          <w:szCs w:val="20"/>
        </w:rPr>
        <w:t>even though this</w:t>
      </w:r>
      <w:r w:rsidRPr="0057381F">
        <w:rPr>
          <w:rFonts w:asciiTheme="majorHAnsi" w:hAnsiTheme="majorHAnsi"/>
          <w:sz w:val="20"/>
          <w:szCs w:val="20"/>
        </w:rPr>
        <w:t xml:space="preserve"> was essential to establish the existence of a judicial error against him.</w:t>
      </w:r>
    </w:p>
    <w:p w14:paraId="349A76EE" w14:textId="77777777" w:rsidR="00DB6B7E" w:rsidRPr="0057381F"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4D164D9" w14:textId="77777777" w:rsidR="007A744E" w:rsidRPr="0057381F"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Based on all these elements taken as a whole, the Commission considers that there are sufficient elements to establish the violation of the right to personal integrity established in Article 5.1 of the American Convention, to the detriment of Mr. Gustavo Sastoque Alfonso.</w:t>
      </w:r>
    </w:p>
    <w:p w14:paraId="1016B140" w14:textId="77777777" w:rsidR="007A744E" w:rsidRPr="0057381F"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7B5C635" w14:textId="63309A2C" w:rsidR="001F2B7D" w:rsidRPr="0057381F" w:rsidRDefault="001F2B7D" w:rsidP="00DB6B7E">
      <w:pPr>
        <w:pStyle w:val="Heading1"/>
        <w:spacing w:before="0"/>
        <w:ind w:firstLine="0"/>
        <w:rPr>
          <w:color w:val="auto"/>
          <w:sz w:val="20"/>
          <w:szCs w:val="20"/>
        </w:rPr>
      </w:pPr>
      <w:bookmarkStart w:id="27" w:name="_Toc211249809"/>
      <w:r w:rsidRPr="0057381F">
        <w:rPr>
          <w:color w:val="auto"/>
          <w:sz w:val="20"/>
          <w:szCs w:val="20"/>
        </w:rPr>
        <w:t>REPORT No. 61/18 AND INFORMATION ON COMPLIANCE</w:t>
      </w:r>
      <w:bookmarkEnd w:id="27"/>
    </w:p>
    <w:p w14:paraId="00587F3D" w14:textId="77777777" w:rsidR="001F2B7D" w:rsidRPr="0057381F" w:rsidRDefault="001F2B7D" w:rsidP="001F2B7D"/>
    <w:p w14:paraId="677D5E8F" w14:textId="758CE4E3" w:rsidR="001F2B7D" w:rsidRPr="0057381F" w:rsidRDefault="00F4510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The Commission adopted Merits Report No 61/18, on May 8, 2018, comprising paragraphs 1 to 137 above and transmitted it to the State on July 19 of the same year. In said report, the Commission recommended to the Colombian State:</w:t>
      </w:r>
    </w:p>
    <w:p w14:paraId="5F396726" w14:textId="77777777" w:rsidR="00F45102" w:rsidRPr="0057381F" w:rsidRDefault="00F45102" w:rsidP="001F2B7D">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FA1859D" w14:textId="77777777" w:rsidR="001F2B7D" w:rsidRPr="0057381F" w:rsidRDefault="001F2B7D" w:rsidP="00FD360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18"/>
        </w:tabs>
        <w:ind w:left="1418" w:hanging="360"/>
        <w:jc w:val="both"/>
        <w:rPr>
          <w:rFonts w:asciiTheme="majorHAnsi" w:eastAsia="Arial Unicode MS" w:hAnsiTheme="majorHAnsi" w:cs="Times New Roman"/>
          <w:color w:val="auto"/>
          <w:sz w:val="20"/>
          <w:szCs w:val="20"/>
          <w:lang w:eastAsia="en-US"/>
        </w:rPr>
      </w:pPr>
      <w:r w:rsidRPr="0057381F">
        <w:rPr>
          <w:rFonts w:asciiTheme="majorHAnsi" w:eastAsia="Arial Unicode MS" w:hAnsiTheme="majorHAnsi" w:cs="Times New Roman"/>
          <w:color w:val="auto"/>
          <w:sz w:val="20"/>
          <w:szCs w:val="20"/>
          <w:lang w:eastAsia="en-US"/>
        </w:rPr>
        <w:t>Adopt the necessary measures to overturn the sentence against Gustavo Sastoque Alfonso.</w:t>
      </w:r>
    </w:p>
    <w:p w14:paraId="028FC6EF" w14:textId="77777777" w:rsidR="001F2B7D" w:rsidRPr="0057381F" w:rsidRDefault="001F2B7D" w:rsidP="001F2B7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0CF6BB4" w14:textId="77777777" w:rsidR="001F2B7D" w:rsidRPr="0057381F" w:rsidRDefault="001F2B7D" w:rsidP="00FD360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18"/>
        </w:tabs>
        <w:ind w:left="1418" w:hanging="360"/>
        <w:jc w:val="both"/>
        <w:rPr>
          <w:rFonts w:asciiTheme="majorHAnsi" w:hAnsiTheme="majorHAnsi"/>
          <w:sz w:val="20"/>
          <w:szCs w:val="20"/>
        </w:rPr>
      </w:pPr>
      <w:r w:rsidRPr="0057381F">
        <w:rPr>
          <w:rFonts w:asciiTheme="majorHAnsi" w:hAnsiTheme="majorHAnsi"/>
          <w:sz w:val="20"/>
          <w:szCs w:val="20"/>
        </w:rPr>
        <w:lastRenderedPageBreak/>
        <w:t>Provide complete reparation for the human rights violations declared in this report, both pecuniary and non-pecuniary. To this end, the State must adopt measures of economic compensation and satisfaction in favor of the victim, which must be consistent with the violations declared in this Merits Report. In addition, if the victim so wishes, the State must provide in concert measures of physical or mental health care.</w:t>
      </w:r>
    </w:p>
    <w:p w14:paraId="1063D108" w14:textId="77777777" w:rsidR="001F2B7D" w:rsidRPr="0057381F" w:rsidRDefault="001F2B7D" w:rsidP="001F2B7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056D4F4" w14:textId="77777777" w:rsidR="001F2B7D" w:rsidRPr="0057381F" w:rsidRDefault="001F2B7D" w:rsidP="00FD360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18"/>
        </w:tabs>
        <w:ind w:left="1418" w:hanging="360"/>
        <w:jc w:val="both"/>
        <w:rPr>
          <w:rFonts w:asciiTheme="majorHAnsi" w:hAnsiTheme="majorHAnsi"/>
          <w:sz w:val="20"/>
          <w:szCs w:val="20"/>
        </w:rPr>
      </w:pPr>
      <w:r w:rsidRPr="0057381F">
        <w:rPr>
          <w:rFonts w:asciiTheme="majorHAnsi" w:eastAsia="Arial Unicode MS" w:hAnsiTheme="majorHAnsi" w:cs="Times New Roman"/>
          <w:color w:val="auto"/>
          <w:sz w:val="20"/>
          <w:szCs w:val="20"/>
          <w:lang w:eastAsia="en-US"/>
        </w:rPr>
        <w:t>Continue</w:t>
      </w:r>
      <w:r w:rsidRPr="0057381F">
        <w:rPr>
          <w:rFonts w:asciiTheme="majorHAnsi" w:hAnsiTheme="majorHAnsi"/>
          <w:sz w:val="20"/>
          <w:szCs w:val="20"/>
        </w:rPr>
        <w:t xml:space="preserve"> the investigations and internal proceedings into the allegations of perjury and procedural fraud.  They must be carried out with due diligence, in a serious and effective manner and within a reasonable time. The Colombian State must also open, </w:t>
      </w:r>
      <w:r w:rsidRPr="0057381F">
        <w:rPr>
          <w:rFonts w:asciiTheme="majorHAnsi" w:hAnsiTheme="majorHAnsi"/>
          <w:i/>
          <w:sz w:val="20"/>
          <w:szCs w:val="20"/>
        </w:rPr>
        <w:t>ex officio</w:t>
      </w:r>
      <w:r w:rsidRPr="0057381F">
        <w:rPr>
          <w:rFonts w:asciiTheme="majorHAnsi" w:hAnsiTheme="majorHAnsi"/>
          <w:sz w:val="20"/>
          <w:szCs w:val="20"/>
        </w:rPr>
        <w:t>, criminal, administrative or any other investigations related to the human rights violations declared in this Merits Report.</w:t>
      </w:r>
    </w:p>
    <w:p w14:paraId="7E34858E" w14:textId="77777777" w:rsidR="001F2B7D" w:rsidRPr="0057381F" w:rsidRDefault="001F2B7D" w:rsidP="001F2B7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FF48E86" w14:textId="77777777" w:rsidR="001F2B7D" w:rsidRPr="0057381F" w:rsidRDefault="001F2B7D" w:rsidP="00FD360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18"/>
        </w:tabs>
        <w:ind w:left="1418" w:hanging="360"/>
        <w:jc w:val="both"/>
        <w:rPr>
          <w:rFonts w:asciiTheme="majorHAnsi" w:hAnsiTheme="majorHAnsi"/>
          <w:sz w:val="20"/>
          <w:szCs w:val="20"/>
        </w:rPr>
      </w:pPr>
      <w:r w:rsidRPr="0057381F">
        <w:rPr>
          <w:rFonts w:asciiTheme="majorHAnsi" w:hAnsiTheme="majorHAnsi"/>
          <w:sz w:val="20"/>
          <w:szCs w:val="20"/>
        </w:rPr>
        <w:t xml:space="preserve">Arrange for the necessary measures to avoid the repetition of the violations declared in this Merits Report, including: i) the measures to ensure that use of pretrial detention complies with the standards described in this Report; ii) appropriate training for prosecutorial and judicial authorities on the Inter-American standards of due process, particularly those related to the use of anonymous witnesses and the presumption of innocence; iii) strengthening of accountability mechanisms against officials who through actions or omissions commit violations of due process; iv) reducing the time limits for decisions on appeals against criminal convictions, including ordinary and </w:t>
      </w:r>
      <w:r w:rsidRPr="0057381F">
        <w:rPr>
          <w:rFonts w:asciiTheme="majorHAnsi" w:hAnsiTheme="majorHAnsi"/>
          <w:i/>
          <w:sz w:val="20"/>
          <w:szCs w:val="20"/>
        </w:rPr>
        <w:t>cassation</w:t>
      </w:r>
      <w:r w:rsidRPr="0057381F">
        <w:rPr>
          <w:rFonts w:asciiTheme="majorHAnsi" w:hAnsiTheme="majorHAnsi"/>
          <w:sz w:val="20"/>
          <w:szCs w:val="20"/>
        </w:rPr>
        <w:t xml:space="preserve"> appeals; and v) the necessary measures so that throughout the criminal process, there are adequate and effective mechanisms to obtain judicial protection against possible violations of due process that may have been committed during the proceedings, including those that may arise in the judicial decisions themselves.</w:t>
      </w:r>
    </w:p>
    <w:p w14:paraId="3248B9EE" w14:textId="77777777" w:rsidR="00445C5F" w:rsidRPr="0057381F" w:rsidRDefault="00445C5F" w:rsidP="00445C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rPr>
      </w:pPr>
    </w:p>
    <w:p w14:paraId="76EDBF09" w14:textId="77777777" w:rsidR="00445C5F" w:rsidRPr="0057381F" w:rsidRDefault="00445C5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In the proceedings subsequent to the notification of the Merits Report, the IACHR received reports from the State on compliance with the recommendations established and observations from the petitioner. During this period, the Commission granted 14 extensions to the State for the suspension of the time period provided for in Article 51 of the American Convention. Likewise, the State reiterated its willingness to comply with the recommendations and expressly waived its right to file preliminary objections with respect to compliance with the deadline established in the aforementioned Article, in accordance with the provisions of Article 46 of the Commission's Rules of Procedure.</w:t>
      </w:r>
    </w:p>
    <w:p w14:paraId="19C6A253" w14:textId="77777777" w:rsidR="00445C5F" w:rsidRPr="0057381F" w:rsidRDefault="00445C5F" w:rsidP="001872E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44E0CE9" w14:textId="64E08EA6" w:rsidR="00445C5F" w:rsidRPr="0057381F" w:rsidRDefault="00445C5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Among the progress in compliance with the recommendations, </w:t>
      </w:r>
      <w:r w:rsidR="00406B97" w:rsidRPr="0057381F">
        <w:rPr>
          <w:rFonts w:asciiTheme="majorHAnsi" w:hAnsiTheme="majorHAnsi"/>
          <w:sz w:val="20"/>
          <w:szCs w:val="20"/>
        </w:rPr>
        <w:t xml:space="preserve">the State informed </w:t>
      </w:r>
      <w:r w:rsidRPr="0057381F">
        <w:rPr>
          <w:rFonts w:asciiTheme="majorHAnsi" w:hAnsiTheme="majorHAnsi"/>
          <w:sz w:val="20"/>
          <w:szCs w:val="20"/>
        </w:rPr>
        <w:t>that the National Agency for the Legal Defense of the State (ANDJE) made the payment of what was ordered by Resolution No. 369 of October 10, 2020, whereby it complies with and orders the payment of a judicially approved conciliation in compliance with the conciliation agreement entered into between the parties on February 19, 2020.</w:t>
      </w:r>
    </w:p>
    <w:p w14:paraId="112E9748" w14:textId="77777777" w:rsidR="001872EB" w:rsidRPr="0057381F" w:rsidRDefault="001872EB" w:rsidP="001872E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5FB72422" w14:textId="77777777" w:rsidR="00164700" w:rsidRPr="0057381F" w:rsidRDefault="0016470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The Commission notes that on March 24, 2022, the parties signed an “Agreement on Compliance with Recommendations. In said agreement, the State reports on the progress in compliance and three commitments were reached regarding: first, the follow-up of the review action; second, the pre-judicial conciliation and labor claims; and third, the measures of satisfaction, as detailed below: </w:t>
      </w:r>
    </w:p>
    <w:p w14:paraId="0FF2243D" w14:textId="77777777" w:rsidR="00164700" w:rsidRPr="0057381F" w:rsidRDefault="00164700" w:rsidP="00164700">
      <w:pPr>
        <w:pStyle w:val="ListParagraph"/>
        <w:rPr>
          <w:rFonts w:asciiTheme="majorHAnsi" w:hAnsiTheme="majorHAnsi"/>
          <w:sz w:val="20"/>
          <w:szCs w:val="20"/>
        </w:rPr>
      </w:pPr>
    </w:p>
    <w:p w14:paraId="3B162DE3" w14:textId="18828D9C" w:rsidR="001872EB" w:rsidRPr="0057381F" w:rsidRDefault="001872E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With respect to the first recommendation, the State indicated that the 17th Judicial II Criminal Prosecutor of Bogotá filed, after the corresponding analysis, an action for review before the Criminal Chamber of the Supreme Court of Justice under the fourth ground of Article 12 of Law 906 of 2004, against the judgment of March 6, 1998. </w:t>
      </w:r>
      <w:r w:rsidR="00A43DA8" w:rsidRPr="0057381F">
        <w:rPr>
          <w:rFonts w:asciiTheme="majorHAnsi" w:hAnsiTheme="majorHAnsi"/>
          <w:sz w:val="20"/>
          <w:szCs w:val="20"/>
        </w:rPr>
        <w:t>It</w:t>
      </w:r>
      <w:r w:rsidRPr="0057381F">
        <w:rPr>
          <w:rFonts w:asciiTheme="majorHAnsi" w:hAnsiTheme="majorHAnsi"/>
          <w:sz w:val="20"/>
          <w:szCs w:val="20"/>
        </w:rPr>
        <w:t xml:space="preserve"> indicated that this action, identified with file number 54.517, was admitted by means of an order dated November 13, 2020. Likewise, </w:t>
      </w:r>
      <w:r w:rsidR="0042010F" w:rsidRPr="0057381F">
        <w:rPr>
          <w:rFonts w:asciiTheme="majorHAnsi" w:hAnsiTheme="majorHAnsi"/>
          <w:sz w:val="20"/>
          <w:szCs w:val="20"/>
        </w:rPr>
        <w:t>it</w:t>
      </w:r>
      <w:r w:rsidRPr="0057381F">
        <w:rPr>
          <w:rFonts w:asciiTheme="majorHAnsi" w:hAnsiTheme="majorHAnsi"/>
          <w:sz w:val="20"/>
          <w:szCs w:val="20"/>
        </w:rPr>
        <w:t xml:space="preserve"> indicated that PGN informed on December 27, 2021, of the presentation of a request for priority to the processing and ruling of the process to be made by the 17th Judicial II Criminal Prosecutor of Bogotá before the Supreme Court of Justice, in accordance with Article 63 (a) of Law 270 of 1996. As a first commitment, the State undertakes that the ANDJE will follow up on the review action.</w:t>
      </w:r>
    </w:p>
    <w:p w14:paraId="5CEB326F" w14:textId="77777777" w:rsidR="001872EB" w:rsidRPr="0057381F" w:rsidRDefault="001872EB" w:rsidP="001872E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45FAA56A" w14:textId="62E98BC1" w:rsidR="001872EB" w:rsidRPr="0057381F" w:rsidRDefault="001872E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Regarding the second recommendation, the State indicated that the ANDJE undertook to pay pecuniary reparation to the victim as a consequence of the violation of the right to humane treatment as a result </w:t>
      </w:r>
      <w:r w:rsidRPr="0057381F">
        <w:rPr>
          <w:rFonts w:asciiTheme="majorHAnsi" w:hAnsiTheme="majorHAnsi"/>
          <w:sz w:val="20"/>
          <w:szCs w:val="20"/>
        </w:rPr>
        <w:lastRenderedPageBreak/>
        <w:t xml:space="preserve">of the illegal deprivation of his liberty as established in the Merits Report, and in accordance with Law 288 of 1996. </w:t>
      </w:r>
    </w:p>
    <w:p w14:paraId="719C74E4" w14:textId="77777777" w:rsidR="00C3629B" w:rsidRPr="0057381F" w:rsidRDefault="00C3629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The State and the petitioner, as a second commitment, declared that the payment made by the ANDJE to Mr. Sastoque Alfonso by virtue of what was ordered in Resolution No. 369 of October 19, 2020, corresponded to the violations declared by the IACHR in its Report on the Merits. </w:t>
      </w:r>
    </w:p>
    <w:p w14:paraId="1A3D40F2" w14:textId="77777777" w:rsidR="00C3629B" w:rsidRPr="0057381F" w:rsidRDefault="00C3629B" w:rsidP="00C3629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3BA8AC39" w14:textId="2C2665CB" w:rsidR="001872EB" w:rsidRPr="0057381F" w:rsidRDefault="00C3629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It was also agreed that in the event that the Supreme Court of Justice declares the judgment of March 6, 1998 to be invalid, the victim could initiate the administrative or judicial actions that he considers pertinent, in accordance with the domestic legal system, to obtain the reinstatement to the job that Mr. Sastoque held at the time he was deprived of his liberty due to the criminal proceeding and to claim his labor rights. It was agreed that a copy of the Compliance Agreement will be sent to the Attorney General's Office (FGN) for its knowledge and will request that, once the sentence is issued, the Attorney General's Office will hold a meeting with the victim and his representative.</w:t>
      </w:r>
    </w:p>
    <w:p w14:paraId="04F5AC62" w14:textId="77777777" w:rsidR="0023598C" w:rsidRPr="0057381F" w:rsidRDefault="0023598C" w:rsidP="0023598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B067CC0" w14:textId="77777777" w:rsidR="00C512BC" w:rsidRPr="0057381F" w:rsidRDefault="00C512B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As a third commitment, regarding measures of satisfaction, the State undertook to carry out an Act of Acknowledgment of Responsibility, in which it will acknowledge international responsibility for the violation of the rights established in Articles 7, 8, and 25 of the American Convention with respect to the obligations established in Article 1(1) and 2 of said instrument to the detriment of Mr. Sastoque Alfonso, once the Supreme Court of Justice resolves the action for review. </w:t>
      </w:r>
    </w:p>
    <w:p w14:paraId="62EC981B" w14:textId="77777777" w:rsidR="00C512BC" w:rsidRPr="0057381F" w:rsidRDefault="00C512BC" w:rsidP="0023598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B8BEF20" w14:textId="41D3E8A6" w:rsidR="00445C5F" w:rsidRPr="0057381F" w:rsidRDefault="00C512B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Likewise, the State undertook to grant financial assistance to María Alejandra Sastoque Roberto, in order to finance an academic program at a professional technical, technological or university level in an institution of higher education in Colombia. The financial aid will cover the tuition for the semesters for a semester value of up to 11 SMMLV and a semester support resource of two SMMLV or four SMMLV if the Higher Education Institution is located outside the municipality of residence. The same must begin to be used within a term not to exceed five years from the signing of the Agreement.  </w:t>
      </w:r>
    </w:p>
    <w:p w14:paraId="20FA0877" w14:textId="77777777" w:rsidR="0089539B" w:rsidRPr="0057381F" w:rsidRDefault="0089539B" w:rsidP="008953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5BB1BAF" w14:textId="77777777" w:rsidR="0089539B" w:rsidRPr="0057381F" w:rsidRDefault="0089539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In the agreement on compliance with the recommendations, both parties requested that the mechanism for verifying compliance with the agreement be carried out through the IACHR by virtue of the powers granted under Article 51 of the American Convention and Articles 47 and 48 of the Rules of Procedure of the IACHR.</w:t>
      </w:r>
    </w:p>
    <w:p w14:paraId="4621D633" w14:textId="77777777" w:rsidR="0089539B" w:rsidRPr="0057381F" w:rsidRDefault="0089539B" w:rsidP="0089539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253BF04" w14:textId="10A843F6" w:rsidR="0023598C" w:rsidRPr="0057381F" w:rsidRDefault="0089539B"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Regarding the third recommendation, the State stated that the investigation into the crimes of procedural fraud and false testimony against Olga Esther Guevara Fajardo, German Ramírez González and Claudia Magdalena Guevara Fajardo is inactive due to the acquittal issued in September 2015 and that the criminal action is time-barred. It also reported that the Special Jurisdiction for Peace (JEP) is making early contributions to the truth and that the FGN has informed that it will await the decision made by the JEP on the statements made by the FARC-EP regarding the murder of Hernando Pizarro León-Gómez, for which Mr. Sastoque Alfonso was convicted.</w:t>
      </w:r>
    </w:p>
    <w:p w14:paraId="6EBF470B" w14:textId="77777777" w:rsidR="0089539B" w:rsidRPr="0057381F" w:rsidRDefault="0089539B" w:rsidP="0089539B">
      <w:pPr>
        <w:pStyle w:val="ListParagraph"/>
        <w:rPr>
          <w:rFonts w:asciiTheme="majorHAnsi" w:hAnsiTheme="majorHAnsi"/>
          <w:sz w:val="20"/>
          <w:szCs w:val="20"/>
        </w:rPr>
      </w:pPr>
    </w:p>
    <w:p w14:paraId="3EB2DC6E" w14:textId="02305CAE" w:rsidR="0089539B" w:rsidRPr="0057381F" w:rsidRDefault="006559CE"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With regard to the fourth recommendation, the State highlighted, as progress in measures of non-repetition, Legislative Act No. 03 of 2002, which amended the Political Constitution in order to move from the old system of criminal procedure to one with an accusatory tendency, in accordance with the postulates of the conventions agreed to by Colombia. </w:t>
      </w:r>
      <w:r w:rsidR="001901C0" w:rsidRPr="0057381F">
        <w:rPr>
          <w:rFonts w:asciiTheme="majorHAnsi" w:hAnsiTheme="majorHAnsi"/>
          <w:sz w:val="20"/>
          <w:szCs w:val="20"/>
        </w:rPr>
        <w:t>It</w:t>
      </w:r>
      <w:r w:rsidRPr="0057381F">
        <w:rPr>
          <w:rFonts w:asciiTheme="majorHAnsi" w:hAnsiTheme="majorHAnsi"/>
          <w:sz w:val="20"/>
          <w:szCs w:val="20"/>
        </w:rPr>
        <w:t xml:space="preserve"> considered that, in this way, the criminal regime in force in Colombia is limited to Law 599 of 2000, which issued the Criminal Code and Law 906 of 2004, which issued the Code of Criminal Procedure. </w:t>
      </w:r>
      <w:r w:rsidR="001901C0" w:rsidRPr="0057381F">
        <w:rPr>
          <w:rFonts w:asciiTheme="majorHAnsi" w:hAnsiTheme="majorHAnsi"/>
          <w:sz w:val="20"/>
          <w:szCs w:val="20"/>
        </w:rPr>
        <w:t>It</w:t>
      </w:r>
      <w:r w:rsidRPr="0057381F">
        <w:rPr>
          <w:rFonts w:asciiTheme="majorHAnsi" w:hAnsiTheme="majorHAnsi"/>
          <w:sz w:val="20"/>
          <w:szCs w:val="20"/>
        </w:rPr>
        <w:t xml:space="preserve"> indicated that this procedure establishes a freedom regime based on the constitutional control of the deprivation of liberty measures requested by the prosecutor, which must be subject to evaluation by the judge of control of guarantees. </w:t>
      </w:r>
      <w:r w:rsidR="001901C0" w:rsidRPr="0057381F">
        <w:rPr>
          <w:rFonts w:asciiTheme="majorHAnsi" w:hAnsiTheme="majorHAnsi"/>
          <w:sz w:val="20"/>
          <w:szCs w:val="20"/>
        </w:rPr>
        <w:t>It</w:t>
      </w:r>
      <w:r w:rsidRPr="0057381F">
        <w:rPr>
          <w:rFonts w:asciiTheme="majorHAnsi" w:hAnsiTheme="majorHAnsi"/>
          <w:sz w:val="20"/>
          <w:szCs w:val="20"/>
        </w:rPr>
        <w:t xml:space="preserve"> indicated that the supervisory judge in Colombia is not only in charge of deciding on the release of the accused, but also on any activity that affects the human and conventional rights of the subjects within the criminal process.</w:t>
      </w:r>
    </w:p>
    <w:p w14:paraId="432D9D4A" w14:textId="77777777" w:rsidR="006559CE" w:rsidRPr="0057381F" w:rsidRDefault="006559CE" w:rsidP="006559CE">
      <w:pPr>
        <w:pStyle w:val="ListParagraph"/>
        <w:rPr>
          <w:rFonts w:asciiTheme="majorHAnsi" w:hAnsiTheme="majorHAnsi"/>
          <w:sz w:val="20"/>
          <w:szCs w:val="20"/>
        </w:rPr>
      </w:pPr>
    </w:p>
    <w:p w14:paraId="1DE70814" w14:textId="26B307A5" w:rsidR="006559CE" w:rsidRPr="0057381F" w:rsidRDefault="00D0695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On the other hand, regarding control mechanisms against officials who violate due process, the State reported that the legal system has Law 734 of 2002, which establishes the Single Disciplinary Code. It pointed out that this law considers as a disciplinary offense the commission of any of the conducts set forth in said law that entail: the breach of duties, the excess in the exercise of rights and functions by public servants, </w:t>
      </w:r>
      <w:r w:rsidRPr="0057381F">
        <w:rPr>
          <w:rFonts w:asciiTheme="majorHAnsi" w:hAnsiTheme="majorHAnsi"/>
          <w:sz w:val="20"/>
          <w:szCs w:val="20"/>
        </w:rPr>
        <w:lastRenderedPageBreak/>
        <w:t xml:space="preserve">as well as the violation of a prohibition, inability, incompatibility and/or conflict of interest. </w:t>
      </w:r>
      <w:r w:rsidR="005826B0" w:rsidRPr="0057381F">
        <w:rPr>
          <w:rFonts w:asciiTheme="majorHAnsi" w:hAnsiTheme="majorHAnsi"/>
          <w:sz w:val="20"/>
          <w:szCs w:val="20"/>
        </w:rPr>
        <w:t>It</w:t>
      </w:r>
      <w:r w:rsidRPr="0057381F">
        <w:rPr>
          <w:rFonts w:asciiTheme="majorHAnsi" w:hAnsiTheme="majorHAnsi"/>
          <w:sz w:val="20"/>
          <w:szCs w:val="20"/>
        </w:rPr>
        <w:t xml:space="preserve"> informed that said law establishes as very serious misconduct the obstruction of investigations carried out by the judicial authorities, illegally depriving a person of his freedom, violating the confidentiality of the criminal investigation, among others, which give rise to dismissal or disqualification from the exercise of public functions if they are carried out with malice or very serious misconduct.</w:t>
      </w:r>
    </w:p>
    <w:p w14:paraId="3B1C63D8" w14:textId="77777777" w:rsidR="00D0695A" w:rsidRPr="0057381F" w:rsidRDefault="00D0695A" w:rsidP="00D0695A">
      <w:pPr>
        <w:pStyle w:val="ListParagraph"/>
        <w:rPr>
          <w:rFonts w:asciiTheme="majorHAnsi" w:hAnsiTheme="majorHAnsi"/>
          <w:sz w:val="20"/>
          <w:szCs w:val="20"/>
        </w:rPr>
      </w:pPr>
    </w:p>
    <w:p w14:paraId="6ACB9FBB" w14:textId="3ACBF089" w:rsidR="00DB7762" w:rsidRPr="0057381F" w:rsidRDefault="00DB776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Likewise, </w:t>
      </w:r>
      <w:r w:rsidR="00E10E5A" w:rsidRPr="0057381F">
        <w:rPr>
          <w:rFonts w:asciiTheme="majorHAnsi" w:hAnsiTheme="majorHAnsi"/>
          <w:sz w:val="20"/>
          <w:szCs w:val="20"/>
        </w:rPr>
        <w:t>it</w:t>
      </w:r>
      <w:r w:rsidRPr="0057381F">
        <w:rPr>
          <w:rFonts w:asciiTheme="majorHAnsi" w:hAnsiTheme="majorHAnsi"/>
          <w:sz w:val="20"/>
          <w:szCs w:val="20"/>
        </w:rPr>
        <w:t xml:space="preserve"> highlighted Law 1952 of 2019, which would have entered into force on March 29, 2022, which contemplates as a very serious offense the incurring in serious violations of Human Rights or International Humanitarian Law in accordance with the international instruments signed and ratified by Colombia. </w:t>
      </w:r>
      <w:r w:rsidR="00964DAF" w:rsidRPr="0057381F">
        <w:rPr>
          <w:rFonts w:asciiTheme="majorHAnsi" w:hAnsiTheme="majorHAnsi"/>
          <w:sz w:val="20"/>
          <w:szCs w:val="20"/>
        </w:rPr>
        <w:t>It</w:t>
      </w:r>
      <w:r w:rsidRPr="0057381F">
        <w:rPr>
          <w:rFonts w:asciiTheme="majorHAnsi" w:hAnsiTheme="majorHAnsi"/>
          <w:sz w:val="20"/>
          <w:szCs w:val="20"/>
        </w:rPr>
        <w:t xml:space="preserve"> also alleged that this law provides that all public servants are prohibited from failing to comply with the duties contained in international treaties ratified by Congress. </w:t>
      </w:r>
    </w:p>
    <w:p w14:paraId="20BBBE80" w14:textId="77777777" w:rsidR="00DB7762" w:rsidRPr="0057381F" w:rsidRDefault="00DB7762" w:rsidP="00DB776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2301ED9" w14:textId="227D2CA1" w:rsidR="00D0695A" w:rsidRPr="0057381F" w:rsidRDefault="00DB776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After evaluating the information on the status of compliance with the recommendations, the Commission decided on April 19, 2022 not to send the case to the Inter-American Court and to proceed with the publication of the Merits Report as established in Articles 51 of the American Convention and 47 of the Rules of Procedure of the IACHR.</w:t>
      </w:r>
    </w:p>
    <w:p w14:paraId="276ECD0F" w14:textId="77777777" w:rsidR="00DB7762" w:rsidRPr="0057381F" w:rsidRDefault="00DB7762" w:rsidP="00DB7762">
      <w:pPr>
        <w:pStyle w:val="ListParagraph"/>
        <w:rPr>
          <w:rFonts w:asciiTheme="majorHAnsi" w:hAnsiTheme="majorHAnsi"/>
          <w:sz w:val="20"/>
          <w:szCs w:val="20"/>
        </w:rPr>
      </w:pPr>
    </w:p>
    <w:p w14:paraId="311E9E7A" w14:textId="77777777" w:rsidR="00915A72" w:rsidRPr="0057381F" w:rsidRDefault="00915A7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On February 20, 2025, the State informed that on January 22 of the same year, the Criminal Cassation Chamber of the Supreme Court of Justice (CSJ) issued its decision in the review action filed, in which it declared the grounds for review established in numeral 3 of Article 220 of Law 600 of 2000 invoked by the Public Ministry, with the scope given by the Constitutional Court of Colombia in Decision C-004/03 (numeral 4 of section 192 of Law 906 of 2004).</w:t>
      </w:r>
    </w:p>
    <w:p w14:paraId="7EB268E9" w14:textId="77777777" w:rsidR="00915A72" w:rsidRPr="0057381F" w:rsidRDefault="00915A72" w:rsidP="00915A7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78D0111" w14:textId="7C4DDE35" w:rsidR="00DB7762" w:rsidRPr="0057381F" w:rsidRDefault="00915A7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The State indicated that, consequently, the Office ordered the annulment of the first and second instance sentences handed down by the Regional Court of Bogotá on May 26, 1997, and the National Court on March 6, 1998, in which Mr. Sastoque Alfonso was convicted of the aggravated homicide of Mr. Hernando Pizarro Leongómez. Likewise, the Criminal Cassation Chamber of the CSJ ordered to backtrack the proceedings up to and including the issuance of the first instance sentence, so that the sentence could be issued in accordance with the recommendations of the IACHR.</w:t>
      </w:r>
    </w:p>
    <w:p w14:paraId="72C141E4" w14:textId="77777777" w:rsidR="00915A72" w:rsidRPr="0057381F" w:rsidRDefault="00915A72" w:rsidP="00915A72">
      <w:pPr>
        <w:pStyle w:val="ListParagraph"/>
        <w:rPr>
          <w:rFonts w:asciiTheme="majorHAnsi" w:hAnsiTheme="majorHAnsi"/>
          <w:sz w:val="20"/>
          <w:szCs w:val="20"/>
        </w:rPr>
      </w:pPr>
    </w:p>
    <w:p w14:paraId="7DEF77F3" w14:textId="487F2D81" w:rsidR="00FD0940" w:rsidRPr="0057381F" w:rsidRDefault="00FD094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It added that this decision established, </w:t>
      </w:r>
      <w:r w:rsidRPr="0057381F">
        <w:rPr>
          <w:rFonts w:asciiTheme="majorHAnsi" w:hAnsiTheme="majorHAnsi"/>
          <w:i/>
          <w:iCs/>
          <w:sz w:val="20"/>
          <w:szCs w:val="20"/>
        </w:rPr>
        <w:t>inter alia</w:t>
      </w:r>
      <w:r w:rsidRPr="0057381F">
        <w:rPr>
          <w:rFonts w:asciiTheme="majorHAnsi" w:hAnsiTheme="majorHAnsi"/>
          <w:sz w:val="20"/>
          <w:szCs w:val="20"/>
        </w:rPr>
        <w:t>, the referral of the case file to the Criminal Judge of the Bogotá Circuit that hears cases under Law 600 of 2000 (distribution), different from the one who issued the first instance judgment, in order for him to take cognizance of the case and issue a new judgment in accordance with the evidence that has been produced to date, including that produced in the review action, in accordance with the recommendations made by the IACHR. It emphasized that this decision was notified to the petitioner on February 5, 2025</w:t>
      </w:r>
      <w:r w:rsidR="003E4BC0" w:rsidRPr="0057381F">
        <w:rPr>
          <w:rFonts w:asciiTheme="majorHAnsi" w:hAnsiTheme="majorHAnsi"/>
          <w:sz w:val="20"/>
          <w:szCs w:val="20"/>
        </w:rPr>
        <w:t>,</w:t>
      </w:r>
      <w:r w:rsidRPr="0057381F">
        <w:rPr>
          <w:rFonts w:asciiTheme="majorHAnsi" w:hAnsiTheme="majorHAnsi"/>
          <w:sz w:val="20"/>
          <w:szCs w:val="20"/>
        </w:rPr>
        <w:t xml:space="preserve"> and that, within the framework of the Compliance Agreement, the ANDJE will move forward with compliance with the measures subject to this decision, in particular, the act of acknowledgment of international responsibility.</w:t>
      </w:r>
    </w:p>
    <w:p w14:paraId="66D9A028" w14:textId="77777777" w:rsidR="00FD0940" w:rsidRPr="0057381F" w:rsidRDefault="00FD0940" w:rsidP="00AD0AA7">
      <w:pPr>
        <w:rPr>
          <w:rFonts w:asciiTheme="majorHAnsi" w:hAnsiTheme="majorHAnsi"/>
          <w:sz w:val="20"/>
          <w:szCs w:val="20"/>
        </w:rPr>
      </w:pPr>
    </w:p>
    <w:p w14:paraId="42A2B18B" w14:textId="1FA96647" w:rsidR="0042108F" w:rsidRPr="0057381F" w:rsidRDefault="00FD0940"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The Commission appreciates the measures adopted by the State to reach a compliance agreement reached with the petitioning party and the progress made in complying with the recommendations. With regard to the </w:t>
      </w:r>
      <w:r w:rsidRPr="0057381F">
        <w:rPr>
          <w:rFonts w:asciiTheme="majorHAnsi" w:hAnsiTheme="majorHAnsi"/>
          <w:b/>
          <w:bCs/>
          <w:sz w:val="20"/>
          <w:szCs w:val="20"/>
        </w:rPr>
        <w:t>first recommendation</w:t>
      </w:r>
      <w:r w:rsidRPr="0057381F">
        <w:rPr>
          <w:rFonts w:asciiTheme="majorHAnsi" w:hAnsiTheme="majorHAnsi"/>
          <w:sz w:val="20"/>
          <w:szCs w:val="20"/>
        </w:rPr>
        <w:t>, the Commission notes that the conviction handed down against Mr. Sastoque Alfonso was rendered null and void by the judgment of January 22, 2025,</w:t>
      </w:r>
      <w:r w:rsidR="0042108F" w:rsidRPr="0057381F">
        <w:rPr>
          <w:rFonts w:asciiTheme="majorHAnsi" w:hAnsiTheme="majorHAnsi"/>
          <w:sz w:val="20"/>
          <w:szCs w:val="20"/>
        </w:rPr>
        <w:t xml:space="preserve"> </w:t>
      </w:r>
      <w:r w:rsidR="00474B8B" w:rsidRPr="0057381F">
        <w:rPr>
          <w:rFonts w:asciiTheme="majorHAnsi" w:hAnsiTheme="majorHAnsi"/>
          <w:sz w:val="20"/>
          <w:szCs w:val="20"/>
        </w:rPr>
        <w:t>i</w:t>
      </w:r>
      <w:r w:rsidR="00AD0AA7" w:rsidRPr="0057381F">
        <w:rPr>
          <w:rFonts w:asciiTheme="majorHAnsi" w:hAnsiTheme="majorHAnsi"/>
          <w:sz w:val="20"/>
          <w:szCs w:val="20"/>
        </w:rPr>
        <w:t>ssued by the Criminal Cassation Chamber of the Supreme Court of Justice, ordering the proceedings to be brought back to the first instance judgment for sentencing. Therefore, the Commission considers that the State has complied with this recommendation.</w:t>
      </w:r>
    </w:p>
    <w:p w14:paraId="606FC22C" w14:textId="77777777" w:rsidR="00DF7EFB" w:rsidRPr="0057381F" w:rsidRDefault="00DF7EFB" w:rsidP="00DF7EF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F5ADADA" w14:textId="77777777" w:rsidR="00243E3A" w:rsidRPr="0057381F" w:rsidRDefault="00243E3A"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In relation to the </w:t>
      </w:r>
      <w:r w:rsidRPr="0057381F">
        <w:rPr>
          <w:rFonts w:asciiTheme="majorHAnsi" w:hAnsiTheme="majorHAnsi"/>
          <w:b/>
          <w:bCs/>
          <w:sz w:val="20"/>
          <w:szCs w:val="20"/>
        </w:rPr>
        <w:t>second recommendation</w:t>
      </w:r>
      <w:r w:rsidRPr="0057381F">
        <w:rPr>
          <w:rFonts w:asciiTheme="majorHAnsi" w:hAnsiTheme="majorHAnsi"/>
          <w:sz w:val="20"/>
          <w:szCs w:val="20"/>
        </w:rPr>
        <w:t>, the Commission notes that compliance with the pecuniary reparation carried out by the ANDJE. However, compliance with the measures of satisfaction is still pending; therefore, the Commission considers that the State has partially complied with this recommendation.</w:t>
      </w:r>
    </w:p>
    <w:p w14:paraId="77764094" w14:textId="77777777" w:rsidR="00496245" w:rsidRPr="0057381F" w:rsidRDefault="00496245" w:rsidP="00496245">
      <w:pPr>
        <w:pStyle w:val="ListParagraph"/>
        <w:rPr>
          <w:rFonts w:asciiTheme="majorHAnsi" w:hAnsiTheme="majorHAnsi"/>
          <w:sz w:val="20"/>
          <w:szCs w:val="20"/>
        </w:rPr>
      </w:pPr>
    </w:p>
    <w:p w14:paraId="3D6C1BE0" w14:textId="246BE20E" w:rsidR="00496245" w:rsidRPr="0057381F" w:rsidRDefault="00496245"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In relation to the </w:t>
      </w:r>
      <w:r w:rsidRPr="0057381F">
        <w:rPr>
          <w:rFonts w:asciiTheme="majorHAnsi" w:hAnsiTheme="majorHAnsi"/>
          <w:b/>
          <w:bCs/>
          <w:sz w:val="20"/>
          <w:szCs w:val="20"/>
        </w:rPr>
        <w:t>third recommendation</w:t>
      </w:r>
      <w:r w:rsidRPr="0057381F">
        <w:rPr>
          <w:rFonts w:asciiTheme="majorHAnsi" w:hAnsiTheme="majorHAnsi"/>
          <w:sz w:val="20"/>
          <w:szCs w:val="20"/>
        </w:rPr>
        <w:t xml:space="preserve">, the Commission notes the acquittal judgment issued in 2015, the statute of limitations on the action, and that the FGN is awaiting the decision made by the JEP on the statements made regarding the homicide of Hernando Pizarro León- Gómez, for which Mr. Sastoque Alfonso was convicted. Therefore, the Commission considers that this recommendation has not yet been </w:t>
      </w:r>
      <w:r w:rsidRPr="0057381F">
        <w:rPr>
          <w:rFonts w:asciiTheme="majorHAnsi" w:hAnsiTheme="majorHAnsi"/>
          <w:sz w:val="20"/>
          <w:szCs w:val="20"/>
        </w:rPr>
        <w:lastRenderedPageBreak/>
        <w:t>complied with. issued by the Criminal Cassation Chamber of the CSJ, and it was ordered that the proceedings be carried back to the issuance of the first instance judgment in order for a sentence to be handed down. Therefore, the Commission considers that the State has complied with this recommendation and remains attentive to the judgment that is pending to be issued.</w:t>
      </w:r>
    </w:p>
    <w:p w14:paraId="7B8A8FB2" w14:textId="77777777" w:rsidR="00243E3A" w:rsidRPr="0057381F" w:rsidRDefault="00243E3A" w:rsidP="00243E3A">
      <w:pPr>
        <w:pStyle w:val="ListParagraph"/>
        <w:rPr>
          <w:rFonts w:asciiTheme="majorHAnsi" w:hAnsiTheme="majorHAnsi"/>
          <w:sz w:val="20"/>
          <w:szCs w:val="20"/>
        </w:rPr>
      </w:pPr>
    </w:p>
    <w:p w14:paraId="3E0B98CB" w14:textId="659344E3" w:rsidR="00B51BCC" w:rsidRPr="0057381F" w:rsidRDefault="00B51BC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With regard to the </w:t>
      </w:r>
      <w:r w:rsidRPr="0057381F">
        <w:rPr>
          <w:rFonts w:asciiTheme="majorHAnsi" w:hAnsiTheme="majorHAnsi"/>
          <w:b/>
          <w:bCs/>
          <w:sz w:val="20"/>
          <w:szCs w:val="20"/>
        </w:rPr>
        <w:t>fourth recommendation</w:t>
      </w:r>
      <w:r w:rsidRPr="0057381F">
        <w:rPr>
          <w:rFonts w:asciiTheme="majorHAnsi" w:hAnsiTheme="majorHAnsi"/>
          <w:sz w:val="20"/>
          <w:szCs w:val="20"/>
        </w:rPr>
        <w:t>, the Commission takes into account the modification of the criminal justice system towards an accusatory one; that the regime of liberty and all activities that affect the human and conventional rights of the subjects within the criminal process are subject to the evaluation of the supervisory judge. Therefore, and with respect to points i) and v) of this recommendation, the IACHR considers that the State has made progress in ensuring that the use of preventive detention meets the standards described in this report and that, throughout the criminal process, there are suitable and effective mechanisms to obtain judicial protection against possible violations of due process.</w:t>
      </w:r>
      <w:r w:rsidR="00770872" w:rsidRPr="0057381F">
        <w:rPr>
          <w:rFonts w:asciiTheme="majorHAnsi" w:hAnsiTheme="majorHAnsi"/>
          <w:sz w:val="20"/>
          <w:szCs w:val="20"/>
        </w:rPr>
        <w:t xml:space="preserve"> The Commission remains attentive that the State provides specific information on compliance with these paragraphs.</w:t>
      </w:r>
    </w:p>
    <w:p w14:paraId="5DF18BF8" w14:textId="44FC1ECA" w:rsidR="00B51BCC" w:rsidRPr="0057381F" w:rsidRDefault="00B51BCC" w:rsidP="00B51BC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23DB9247" w14:textId="2D1D16FC" w:rsidR="00B51BCC" w:rsidRPr="0057381F" w:rsidRDefault="00B51BCC"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With regard to subparagraph ii) of this recommendation, the Commission notes that the State has not presented specific information on its compliance. The IACHR also notes that prior to the agreement, the petitioner considered that, despite developments in constitutional jurisprudence and some legal reforms, pretrial detention is not exceptional, it remains the rule and retains the character of anticipation of the custodial sentence, affecting the right to presumption of innocence. Likewise, it stated that the tendency to extend the time of preventive detention is maintained and, in fact, through legislation of 2016 and 2018 it had been extended to some types of crimes. Therefore, the IACHR considers</w:t>
      </w:r>
      <w:r w:rsidR="00FB2D00" w:rsidRPr="0057381F">
        <w:rPr>
          <w:rFonts w:asciiTheme="majorHAnsi" w:hAnsiTheme="majorHAnsi"/>
          <w:sz w:val="20"/>
          <w:szCs w:val="20"/>
        </w:rPr>
        <w:t xml:space="preserve"> that the State has not yet complied with this subparagraph.</w:t>
      </w:r>
    </w:p>
    <w:p w14:paraId="0BB1811E" w14:textId="77777777" w:rsidR="00FD0940" w:rsidRPr="0057381F" w:rsidRDefault="00FD0940" w:rsidP="00D233F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Cambria" w:hAnsi="Cambria"/>
          <w:sz w:val="20"/>
          <w:szCs w:val="20"/>
        </w:rPr>
      </w:pPr>
    </w:p>
    <w:p w14:paraId="50077E9D" w14:textId="42F872A0" w:rsidR="00E14CDB" w:rsidRPr="0057381F" w:rsidRDefault="00FD58F3"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57381F">
        <w:rPr>
          <w:rFonts w:ascii="Cambria" w:hAnsi="Cambria"/>
          <w:sz w:val="20"/>
          <w:szCs w:val="20"/>
        </w:rPr>
        <w:t>With regard to paragraph iii) of this recommendation, the Commission notes the norms reported by the State that establish the Single Disciplinary Code and the General Disciplinary Code. First, and in view of its relationship with these norms, the IACHR recalls that in its Judgment in the case of Petro Urrego v. Colombia, the Inter-American Court of Human Rights concluded that the State failed to comply with its obligations under Article 23 of the American Convention, in relation to its Article 2, due to the existence and application of the norms of the Single Disciplinary Code that authorize the Office of the Attorney General to impose sanctions of dismissal and disqualification on democratically elected public officials, and ordered it to adapt its domestic legal system to the parameters established in that judgment</w:t>
      </w:r>
      <w:r w:rsidR="007078F7" w:rsidRPr="0057381F">
        <w:rPr>
          <w:rFonts w:ascii="Cambria" w:eastAsia="Batang" w:hAnsi="Cambria"/>
          <w:sz w:val="20"/>
          <w:szCs w:val="20"/>
          <w:bdr w:val="none" w:sz="0" w:space="0" w:color="auto"/>
          <w:vertAlign w:val="superscript"/>
          <w:lang w:val="es-US"/>
        </w:rPr>
        <w:footnoteReference w:id="123"/>
      </w:r>
      <w:r w:rsidRPr="0057381F">
        <w:rPr>
          <w:rFonts w:ascii="Cambria" w:hAnsi="Cambria"/>
          <w:sz w:val="20"/>
          <w:szCs w:val="20"/>
        </w:rPr>
        <w:t>. Likewise, in its compliance resolution with the judgment in the aforementioned Petro Urrego case of November 25, 2021, the Court established that Law 2094 of 2021, a law that amended Law 1952 of 2019 that issues the General Disciplinary Code, "continues to allow an organ other than a judge in criminal proceedings to impose restrictions on the political rights of democratically elected officials, in a manner incompatible with the literal meaning of Article 23.2 of the American Convention and with the object and purpose of said instrument</w:t>
      </w:r>
      <w:r w:rsidR="00E14CDB" w:rsidRPr="0057381F">
        <w:rPr>
          <w:rStyle w:val="FootnoteReference"/>
          <w:rFonts w:ascii="Cambria" w:hAnsi="Cambria"/>
          <w:sz w:val="20"/>
          <w:szCs w:val="20"/>
          <w:lang w:val="es-US"/>
        </w:rPr>
        <w:footnoteReference w:id="124"/>
      </w:r>
      <w:r w:rsidR="00E14CDB" w:rsidRPr="0057381F">
        <w:rPr>
          <w:rFonts w:ascii="Cambria" w:hAnsi="Cambria"/>
          <w:sz w:val="20"/>
          <w:szCs w:val="20"/>
        </w:rPr>
        <w:t xml:space="preserve">”. </w:t>
      </w:r>
    </w:p>
    <w:p w14:paraId="4A91284C" w14:textId="77777777" w:rsidR="00E14CDB" w:rsidRPr="0057381F" w:rsidRDefault="00E14CDB" w:rsidP="00E14CD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n-US"/>
        </w:rPr>
      </w:pPr>
    </w:p>
    <w:p w14:paraId="3A8B9E9D" w14:textId="01C7ED66" w:rsidR="0087333F" w:rsidRPr="0057381F" w:rsidRDefault="0087333F"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r w:rsidRPr="0057381F">
        <w:rPr>
          <w:rFonts w:ascii="Cambria" w:hAnsi="Cambria"/>
          <w:sz w:val="20"/>
          <w:szCs w:val="20"/>
        </w:rPr>
        <w:t>In this regard, the IACHR understands that the recommendation in paragraph ii) is aimed at ensuring that officials who, through their actions or omissions, commit due process violations have an accountability system. The Commission notes that, as reported by the State, Colombia has an accountability mechanism that allows for the sanctioning of officials for due process violations, which can result in dismissal or disqualification from holding public office if carried out with malice aforethought or gross negligence (see supra para. 151). This mechanism provides for the dismissal or disqualification of democratically elected officials, in a manner incompatible with the Convention. The Commission observes that this recommendation addresses the due process violations declared in this report, and these could be related to the aforementioned grounds for dismissal or disqualification. Given that the mechanism does not comply with inter-American accountability standards, the Commission considers this recommendation to be partially fulfilled and will begin monitoring its implementation.</w:t>
      </w:r>
    </w:p>
    <w:p w14:paraId="4FD73877" w14:textId="77777777" w:rsidR="001E09A8" w:rsidRPr="0057381F" w:rsidRDefault="001E09A8" w:rsidP="001E09A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DED17A8" w14:textId="0800261D" w:rsidR="00FD0940" w:rsidRPr="0057381F" w:rsidRDefault="001E09A8" w:rsidP="001E09A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lastRenderedPageBreak/>
        <w:t>The Commission adopted Merits Report (Final) No. 46/25 on April 21, 2025. In that report, the IACHR reiterated its recommendations:</w:t>
      </w:r>
    </w:p>
    <w:p w14:paraId="51357060" w14:textId="77777777" w:rsidR="007E3F0A" w:rsidRPr="0057381F" w:rsidRDefault="007E3F0A" w:rsidP="007E3F0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A24E886" w14:textId="77777777" w:rsidR="007E3F0A" w:rsidRPr="0057381F" w:rsidRDefault="007E3F0A" w:rsidP="007E3F0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Provide complete reparation for the human rights violations declared in this report, both pecuniary and non-pecuniary. To this end, the State must adopt measures of economic compensation and satisfaction in favor of the victim, which must be consistent with the violations declared in this Merits Report. In addition, if the victim so wishes, the State must provide in concert measures of physical or mental health care.</w:t>
      </w:r>
    </w:p>
    <w:p w14:paraId="44F90165" w14:textId="77777777" w:rsidR="007E3F0A" w:rsidRPr="0057381F" w:rsidRDefault="007E3F0A" w:rsidP="007E3F0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FB759AF" w14:textId="77777777" w:rsidR="007E3F0A" w:rsidRPr="0057381F" w:rsidRDefault="007E3F0A" w:rsidP="007E3F0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Continue the investigations and internal proceedings into the allegations of perjury and procedural fraud.  They must be carried out with due diligence, in a serious and effective manner and within a reasonable time. The Colombian State must also open, </w:t>
      </w:r>
      <w:r w:rsidRPr="0057381F">
        <w:rPr>
          <w:rFonts w:asciiTheme="majorHAnsi" w:hAnsiTheme="majorHAnsi"/>
          <w:i/>
          <w:sz w:val="20"/>
          <w:szCs w:val="20"/>
        </w:rPr>
        <w:t>ex officio</w:t>
      </w:r>
      <w:r w:rsidRPr="0057381F">
        <w:rPr>
          <w:rFonts w:asciiTheme="majorHAnsi" w:hAnsiTheme="majorHAnsi"/>
          <w:sz w:val="20"/>
          <w:szCs w:val="20"/>
        </w:rPr>
        <w:t>, criminal, administrative or any other investigations related to the human rights violations declared in this Merits Report.</w:t>
      </w:r>
    </w:p>
    <w:p w14:paraId="57F847D1" w14:textId="77777777" w:rsidR="007E3F0A" w:rsidRPr="0057381F" w:rsidRDefault="007E3F0A" w:rsidP="007E3F0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AE8146F" w14:textId="77777777" w:rsidR="007E3F0A" w:rsidRPr="0057381F" w:rsidRDefault="007E3F0A" w:rsidP="007E3F0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Arrange for the necessary measures to avoid the repetition of the violations declared in this Merits Report, including: i) the measures to ensure that use of pretrial detention complies with the standards described in this Report; ii) appropriate training for prosecutorial and judicial authorities on the Inter-American standards of due process, particularly those related to the use of anonymous witnesses and the presumption of innocence; iii) strengthening of accountability mechanisms against officials who through actions or omissions commit violations of due process; iv) reducing the time limits for decisions on appeals against criminal convictions, including ordinary and </w:t>
      </w:r>
      <w:r w:rsidRPr="0057381F">
        <w:rPr>
          <w:rFonts w:asciiTheme="majorHAnsi" w:hAnsiTheme="majorHAnsi"/>
          <w:i/>
          <w:sz w:val="20"/>
          <w:szCs w:val="20"/>
        </w:rPr>
        <w:t>cassation</w:t>
      </w:r>
      <w:r w:rsidRPr="0057381F">
        <w:rPr>
          <w:rFonts w:asciiTheme="majorHAnsi" w:hAnsiTheme="majorHAnsi"/>
          <w:sz w:val="20"/>
          <w:szCs w:val="20"/>
        </w:rPr>
        <w:t xml:space="preserve"> appeals; and v) the necessary measures so that throughout the criminal process, there are adequate and effective mechanisms to obtain judicial protection against possible violations of due process that may have been committed during the proceedings, including those that may arise in the judicial decisions themselves.</w:t>
      </w:r>
    </w:p>
    <w:p w14:paraId="6464DBA9" w14:textId="77777777" w:rsidR="007E3F0A" w:rsidRPr="0057381F" w:rsidRDefault="007E3F0A" w:rsidP="007E3F0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D298E43" w14:textId="57C95655" w:rsidR="007C41E6" w:rsidRPr="0057381F" w:rsidRDefault="007C41E6" w:rsidP="007C41E6">
      <w:pPr>
        <w:pStyle w:val="Heading1"/>
        <w:spacing w:before="0"/>
        <w:ind w:firstLine="0"/>
        <w:rPr>
          <w:color w:val="auto"/>
          <w:sz w:val="20"/>
          <w:szCs w:val="20"/>
        </w:rPr>
      </w:pPr>
      <w:bookmarkStart w:id="28" w:name="_Toc211249810"/>
      <w:r w:rsidRPr="0057381F">
        <w:rPr>
          <w:color w:val="auto"/>
          <w:sz w:val="20"/>
          <w:szCs w:val="20"/>
        </w:rPr>
        <w:t>ACTIONS FOLLOWING REPORT No. 46/25 AND INFORMATION ON COMPLIANCE</w:t>
      </w:r>
      <w:bookmarkEnd w:id="28"/>
    </w:p>
    <w:p w14:paraId="3E43AD21" w14:textId="77777777" w:rsidR="007C41E6" w:rsidRPr="007C41E6" w:rsidRDefault="007C41E6" w:rsidP="007C41E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555B084" w14:textId="59DBF915" w:rsidR="007C41E6" w:rsidRPr="007C41E6" w:rsidRDefault="007C41E6" w:rsidP="00363DD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7C41E6">
        <w:rPr>
          <w:rFonts w:asciiTheme="majorHAnsi" w:hAnsiTheme="majorHAnsi"/>
          <w:sz w:val="20"/>
          <w:szCs w:val="20"/>
        </w:rPr>
        <w:t xml:space="preserve">The Commission transmitted the Merits Report (Final) No. 46/25 to the State on April 23, 2025, granting it a period of three weeks to report on the measures taken to comply with the outstanding recommendations. On June 12, 2025, the Commission received the State report, which was forwarded to the petitioner for its information. </w:t>
      </w:r>
    </w:p>
    <w:p w14:paraId="0D461431" w14:textId="2FCA46FA" w:rsidR="001E09A8" w:rsidRDefault="001E09A8" w:rsidP="007C41E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highlight w:val="yellow"/>
        </w:rPr>
      </w:pPr>
    </w:p>
    <w:p w14:paraId="270E44DA" w14:textId="3FA65D73" w:rsidR="00BD1614" w:rsidRPr="00BD1614" w:rsidRDefault="00BD1614" w:rsidP="00363DD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BD1614">
        <w:rPr>
          <w:rFonts w:asciiTheme="majorHAnsi" w:hAnsiTheme="majorHAnsi"/>
          <w:sz w:val="20"/>
          <w:szCs w:val="20"/>
        </w:rPr>
        <w:t>Regarding the public act of recognition of State responsibility, the State maintained that it held a meeting with the victim and the Office of the Attorney General, which is responsible for carrying out said act, and that, upon formal request, the Office of the Attorney General expressed its willingness to carry out the act of recognition on August 4, 2025. It indicated that arrangements are being made with the victim and her representative regarding the logistical details of the event. Therefore, the Commission considers that the measure of satisfaction is still pending fulfillment.</w:t>
      </w:r>
    </w:p>
    <w:p w14:paraId="697424F4" w14:textId="77777777" w:rsidR="00BD1614" w:rsidRPr="00BD1614" w:rsidRDefault="00BD1614" w:rsidP="00BD161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27BA829A" w14:textId="742A4294" w:rsidR="00BD1614" w:rsidRDefault="00363DDD" w:rsidP="00363DD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363DDD">
        <w:rPr>
          <w:rFonts w:asciiTheme="majorHAnsi" w:hAnsiTheme="majorHAnsi"/>
          <w:sz w:val="20"/>
          <w:szCs w:val="20"/>
        </w:rPr>
        <w:t xml:space="preserve">Regarding the investigations, the State reported that the Attorney General's Office is awaiting the decision to be taken by the JEP regarding the statements related to the murder of Mr. Hernando Pizarro León Gómez. It indicated that the JEP reported on the progress of the criminal proceedings for the murders of Mr. Pizarro and others and invited the participating family members to submit observations on the jurisdiction of the JEP and invited those who consider themselves victims to come forward so that they can participate. Regarding the legal situation of Mr. Sastoque, </w:t>
      </w:r>
      <w:r w:rsidR="000F6AF7">
        <w:rPr>
          <w:rFonts w:asciiTheme="majorHAnsi" w:hAnsiTheme="majorHAnsi"/>
          <w:sz w:val="20"/>
          <w:szCs w:val="20"/>
        </w:rPr>
        <w:t>it</w:t>
      </w:r>
      <w:r w:rsidRPr="00363DDD">
        <w:rPr>
          <w:rFonts w:asciiTheme="majorHAnsi" w:hAnsiTheme="majorHAnsi"/>
          <w:sz w:val="20"/>
          <w:szCs w:val="20"/>
        </w:rPr>
        <w:t xml:space="preserve"> reported that regardless of the decision taken by the SRVR regarding the JEP's jurisdiction to hear the case of the murder of Mr. Hernando Pizarro, the Attorney General's Office retains jurisdiction over the investigation, as do the other judicial operators. </w:t>
      </w:r>
      <w:r w:rsidR="00EB5F93">
        <w:rPr>
          <w:rFonts w:asciiTheme="majorHAnsi" w:hAnsiTheme="majorHAnsi"/>
          <w:sz w:val="20"/>
          <w:szCs w:val="20"/>
        </w:rPr>
        <w:t>It</w:t>
      </w:r>
      <w:r w:rsidRPr="00363DDD">
        <w:rPr>
          <w:rFonts w:asciiTheme="majorHAnsi" w:hAnsiTheme="majorHAnsi"/>
          <w:sz w:val="20"/>
          <w:szCs w:val="20"/>
        </w:rPr>
        <w:t xml:space="preserve"> indicated that the ordinary courts continue to exercise jurisdiction and must continue with the investigation and inquiry into the facts. Therefore, the IACHR considers that this recommendation has not been fulfilled.</w:t>
      </w:r>
    </w:p>
    <w:p w14:paraId="2BB9E8E3" w14:textId="3EC0D60F" w:rsidR="001C104C" w:rsidRPr="001C104C" w:rsidRDefault="001C104C" w:rsidP="001C104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303AC26D" w14:textId="3952BDC1" w:rsidR="00363DDD" w:rsidRDefault="001C104C" w:rsidP="001C104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1C104C">
        <w:rPr>
          <w:rFonts w:asciiTheme="majorHAnsi" w:hAnsiTheme="majorHAnsi"/>
          <w:sz w:val="20"/>
          <w:szCs w:val="20"/>
        </w:rPr>
        <w:t xml:space="preserve">Regarding subsection (ii) of the non-repetition measures relating to the proper training of prosecutorial and judicial authorities, the State reported that a series of virtual and in-person courses and seminars will be offered to prosecutors between 2022 and 2025. These included courses on: judicial police and prosecutorial and forensic investigation, protection and risk assessment of witnesses and victims, international humanitarian law, interrogation and cross-examination techniques, early evidence practice, skills and abilities </w:t>
      </w:r>
      <w:r w:rsidRPr="001C104C">
        <w:rPr>
          <w:rFonts w:asciiTheme="majorHAnsi" w:hAnsiTheme="majorHAnsi"/>
          <w:sz w:val="20"/>
          <w:szCs w:val="20"/>
        </w:rPr>
        <w:lastRenderedPageBreak/>
        <w:t>for intervention in hearings, human rights applied to the judicial function, fundamentals of the role of the prosecutor, security measures, and inter-American standards for the investigation of serious human rights violations. The State indicated that it is awaiting information on training for judges from the Superior Council of the Judiciary.</w:t>
      </w:r>
    </w:p>
    <w:p w14:paraId="1553BBDB" w14:textId="77777777" w:rsidR="003E5C8F" w:rsidRPr="003E5C8F" w:rsidRDefault="003E5C8F" w:rsidP="003E5C8F">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C6CBB34" w14:textId="23A5E763" w:rsidR="003E5C8F" w:rsidRPr="003E5C8F" w:rsidRDefault="003E5C8F" w:rsidP="003E5C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3E5C8F">
        <w:rPr>
          <w:rFonts w:asciiTheme="majorHAnsi" w:hAnsiTheme="majorHAnsi"/>
          <w:sz w:val="20"/>
          <w:szCs w:val="20"/>
        </w:rPr>
        <w:t>The Commission emphasizes that training should be provided on inter-American standards of due process and should focus particularly on the use of confidential witnesses and the presumption of innocence. The Commission awaits information on compliance with the measures of non-repetition and considers that subparagraph (ii) of the recommendation has been partially complied with.</w:t>
      </w:r>
    </w:p>
    <w:p w14:paraId="7256B299" w14:textId="77777777" w:rsidR="003E5C8F" w:rsidRPr="003E5C8F" w:rsidRDefault="003E5C8F" w:rsidP="003E5C8F">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5C5561F" w14:textId="15C5384A" w:rsidR="001C104C" w:rsidRDefault="003E5C8F" w:rsidP="003E5C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3E5C8F">
        <w:rPr>
          <w:rFonts w:asciiTheme="majorHAnsi" w:hAnsiTheme="majorHAnsi"/>
          <w:sz w:val="20"/>
          <w:szCs w:val="20"/>
        </w:rPr>
        <w:t>The State did not provide information on compliance with the other recommendations that are still pending.</w:t>
      </w:r>
    </w:p>
    <w:p w14:paraId="74259E04" w14:textId="77777777" w:rsidR="003E5C8F" w:rsidRPr="003E5C8F" w:rsidRDefault="003E5C8F" w:rsidP="003E5C8F">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19AA49D" w14:textId="14A2E19B" w:rsidR="007A744E" w:rsidRPr="0057381F" w:rsidRDefault="005B7087" w:rsidP="00DB6B7E">
      <w:pPr>
        <w:pStyle w:val="Heading1"/>
        <w:spacing w:before="0"/>
        <w:ind w:firstLine="0"/>
        <w:rPr>
          <w:color w:val="auto"/>
          <w:sz w:val="20"/>
          <w:szCs w:val="20"/>
        </w:rPr>
      </w:pPr>
      <w:bookmarkStart w:id="29" w:name="_Toc211249811"/>
      <w:r w:rsidRPr="0057381F">
        <w:rPr>
          <w:color w:val="auto"/>
          <w:sz w:val="20"/>
          <w:szCs w:val="20"/>
        </w:rPr>
        <w:t xml:space="preserve">FINAL </w:t>
      </w:r>
      <w:r w:rsidR="007900D2" w:rsidRPr="0057381F">
        <w:rPr>
          <w:color w:val="auto"/>
          <w:sz w:val="20"/>
          <w:szCs w:val="20"/>
        </w:rPr>
        <w:t>CONCLUSIONS AND RECOMMENDATIONS</w:t>
      </w:r>
      <w:bookmarkEnd w:id="29"/>
    </w:p>
    <w:p w14:paraId="34A9F600" w14:textId="77777777" w:rsidR="007A744E" w:rsidRPr="0057381F"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74F251B" w14:textId="77777777" w:rsidR="007A744E" w:rsidRPr="0057381F"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The Commission concludes that the State is responsible for the violation of the rights to personal liberty, judicial guarantees and judic</w:t>
      </w:r>
      <w:r w:rsidR="00026659" w:rsidRPr="0057381F">
        <w:rPr>
          <w:rFonts w:asciiTheme="majorHAnsi" w:hAnsiTheme="majorHAnsi"/>
          <w:sz w:val="20"/>
          <w:szCs w:val="20"/>
        </w:rPr>
        <w:t>ial protection, established in A</w:t>
      </w:r>
      <w:r w:rsidRPr="0057381F">
        <w:rPr>
          <w:rFonts w:asciiTheme="majorHAnsi" w:hAnsiTheme="majorHAnsi"/>
          <w:sz w:val="20"/>
          <w:szCs w:val="20"/>
        </w:rPr>
        <w:t xml:space="preserve">rticles 5.1, 7.1, 7.2, 7.3, 7.4, 8.1, </w:t>
      </w:r>
      <w:r w:rsidR="00026659" w:rsidRPr="0057381F">
        <w:rPr>
          <w:rFonts w:asciiTheme="majorHAnsi" w:hAnsiTheme="majorHAnsi"/>
          <w:sz w:val="20"/>
          <w:szCs w:val="20"/>
        </w:rPr>
        <w:t>8.2, 8.2.b, 8.2.c, 8.2.f</w:t>
      </w:r>
      <w:r w:rsidRPr="0057381F">
        <w:rPr>
          <w:rFonts w:asciiTheme="majorHAnsi" w:hAnsiTheme="majorHAnsi"/>
          <w:sz w:val="20"/>
          <w:szCs w:val="20"/>
        </w:rPr>
        <w:t xml:space="preserve"> and 25.1 of the American Convention on Human Rights in relation to the obligations established in articles 1.1 and 2 of the same instrument, to the detriment of Gustavo Sastoque Alfonso.</w:t>
      </w:r>
    </w:p>
    <w:p w14:paraId="324F651C" w14:textId="77777777" w:rsidR="00DB6B7E" w:rsidRPr="0057381F"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2AE6B705" w14:textId="77777777" w:rsidR="007A744E" w:rsidRPr="0057381F" w:rsidRDefault="007900D2" w:rsidP="00FD360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Based on the arguments of fact and law set forth above,</w:t>
      </w:r>
    </w:p>
    <w:p w14:paraId="7007F81B" w14:textId="77777777" w:rsidR="007A744E" w:rsidRPr="0057381F" w:rsidRDefault="007A744E"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7CC613F9" w14:textId="77777777" w:rsidR="007A744E" w:rsidRPr="0057381F" w:rsidRDefault="007900D2"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440"/>
        <w:jc w:val="center"/>
        <w:rPr>
          <w:rFonts w:asciiTheme="majorHAnsi" w:hAnsiTheme="majorHAnsi"/>
          <w:b/>
          <w:sz w:val="20"/>
          <w:szCs w:val="20"/>
        </w:rPr>
      </w:pPr>
      <w:r w:rsidRPr="0057381F">
        <w:rPr>
          <w:rFonts w:asciiTheme="majorHAnsi" w:hAnsiTheme="majorHAnsi"/>
          <w:b/>
          <w:sz w:val="20"/>
          <w:szCs w:val="20"/>
        </w:rPr>
        <w:t xml:space="preserve">THE INTER-AMERICAN COMMISSION ON HUMAN RIGHTS RECOMMENDS </w:t>
      </w:r>
      <w:r w:rsidR="00026659" w:rsidRPr="0057381F">
        <w:rPr>
          <w:rFonts w:asciiTheme="majorHAnsi" w:hAnsiTheme="majorHAnsi"/>
          <w:b/>
          <w:sz w:val="20"/>
          <w:szCs w:val="20"/>
        </w:rPr>
        <w:t>THAT</w:t>
      </w:r>
      <w:r w:rsidRPr="0057381F">
        <w:rPr>
          <w:rFonts w:asciiTheme="majorHAnsi" w:hAnsiTheme="majorHAnsi"/>
          <w:b/>
          <w:sz w:val="20"/>
          <w:szCs w:val="20"/>
        </w:rPr>
        <w:t xml:space="preserve"> THE STATE OF COLOMBIA:</w:t>
      </w:r>
    </w:p>
    <w:p w14:paraId="11258608" w14:textId="77777777" w:rsidR="003E63C3" w:rsidRPr="0057381F" w:rsidRDefault="003E63C3" w:rsidP="0090740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67939B46" w14:textId="77777777" w:rsidR="003E63C3" w:rsidRPr="0057381F" w:rsidRDefault="00026659" w:rsidP="00FD360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Provide c</w:t>
      </w:r>
      <w:r w:rsidR="003E63C3" w:rsidRPr="0057381F">
        <w:rPr>
          <w:rFonts w:asciiTheme="majorHAnsi" w:hAnsiTheme="majorHAnsi"/>
          <w:sz w:val="20"/>
          <w:szCs w:val="20"/>
        </w:rPr>
        <w:t xml:space="preserve">omplete reparation </w:t>
      </w:r>
      <w:r w:rsidRPr="0057381F">
        <w:rPr>
          <w:rFonts w:asciiTheme="majorHAnsi" w:hAnsiTheme="majorHAnsi"/>
          <w:sz w:val="20"/>
          <w:szCs w:val="20"/>
        </w:rPr>
        <w:t>for</w:t>
      </w:r>
      <w:r w:rsidR="003E63C3" w:rsidRPr="0057381F">
        <w:rPr>
          <w:rFonts w:asciiTheme="majorHAnsi" w:hAnsiTheme="majorHAnsi"/>
          <w:sz w:val="20"/>
          <w:szCs w:val="20"/>
        </w:rPr>
        <w:t xml:space="preserve"> the human rights violations declared in this report, both </w:t>
      </w:r>
      <w:r w:rsidRPr="0057381F">
        <w:rPr>
          <w:rFonts w:asciiTheme="majorHAnsi" w:hAnsiTheme="majorHAnsi"/>
          <w:sz w:val="20"/>
          <w:szCs w:val="20"/>
        </w:rPr>
        <w:t>pecuniary and non-pecuniary. To this end</w:t>
      </w:r>
      <w:r w:rsidR="003E63C3" w:rsidRPr="0057381F">
        <w:rPr>
          <w:rFonts w:asciiTheme="majorHAnsi" w:hAnsiTheme="majorHAnsi"/>
          <w:sz w:val="20"/>
          <w:szCs w:val="20"/>
        </w:rPr>
        <w:t xml:space="preserve">, the State must adopt measures of economic compensation and satisfaction in favor of the victim, which must be consistent with the violations declared in this </w:t>
      </w:r>
      <w:r w:rsidRPr="0057381F">
        <w:rPr>
          <w:rFonts w:asciiTheme="majorHAnsi" w:hAnsiTheme="majorHAnsi"/>
          <w:sz w:val="20"/>
          <w:szCs w:val="20"/>
        </w:rPr>
        <w:t>Merits R</w:t>
      </w:r>
      <w:r w:rsidR="003E63C3" w:rsidRPr="0057381F">
        <w:rPr>
          <w:rFonts w:asciiTheme="majorHAnsi" w:hAnsiTheme="majorHAnsi"/>
          <w:sz w:val="20"/>
          <w:szCs w:val="20"/>
        </w:rPr>
        <w:t xml:space="preserve">eport. In addition, if the victim so wishes, the State must provide </w:t>
      </w:r>
      <w:r w:rsidR="008F1FDB" w:rsidRPr="0057381F">
        <w:rPr>
          <w:rFonts w:asciiTheme="majorHAnsi" w:hAnsiTheme="majorHAnsi"/>
          <w:sz w:val="20"/>
          <w:szCs w:val="20"/>
        </w:rPr>
        <w:t xml:space="preserve">in concert </w:t>
      </w:r>
      <w:r w:rsidR="003E63C3" w:rsidRPr="0057381F">
        <w:rPr>
          <w:rFonts w:asciiTheme="majorHAnsi" w:hAnsiTheme="majorHAnsi"/>
          <w:sz w:val="20"/>
          <w:szCs w:val="20"/>
        </w:rPr>
        <w:t>measures of physical or mental health care.</w:t>
      </w:r>
    </w:p>
    <w:p w14:paraId="24B8B961" w14:textId="77777777" w:rsidR="00DB6B7E" w:rsidRPr="0057381F"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DAC75C2" w14:textId="77777777" w:rsidR="003E63C3" w:rsidRPr="0057381F" w:rsidRDefault="003E63C3" w:rsidP="00FD360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Continue the investigations and internal proceedings </w:t>
      </w:r>
      <w:r w:rsidR="00973A56" w:rsidRPr="0057381F">
        <w:rPr>
          <w:rFonts w:asciiTheme="majorHAnsi" w:hAnsiTheme="majorHAnsi"/>
          <w:sz w:val="20"/>
          <w:szCs w:val="20"/>
        </w:rPr>
        <w:t>into the</w:t>
      </w:r>
      <w:r w:rsidRPr="0057381F">
        <w:rPr>
          <w:rFonts w:asciiTheme="majorHAnsi" w:hAnsiTheme="majorHAnsi"/>
          <w:sz w:val="20"/>
          <w:szCs w:val="20"/>
        </w:rPr>
        <w:t xml:space="preserve"> allegations of </w:t>
      </w:r>
      <w:r w:rsidR="00973A56" w:rsidRPr="0057381F">
        <w:rPr>
          <w:rFonts w:asciiTheme="majorHAnsi" w:hAnsiTheme="majorHAnsi"/>
          <w:sz w:val="20"/>
          <w:szCs w:val="20"/>
        </w:rPr>
        <w:t xml:space="preserve">perjury and procedural fraud.  They </w:t>
      </w:r>
      <w:r w:rsidRPr="0057381F">
        <w:rPr>
          <w:rFonts w:asciiTheme="majorHAnsi" w:hAnsiTheme="majorHAnsi"/>
          <w:sz w:val="20"/>
          <w:szCs w:val="20"/>
        </w:rPr>
        <w:t>must be carried out with</w:t>
      </w:r>
      <w:r w:rsidR="00973A56" w:rsidRPr="0057381F">
        <w:rPr>
          <w:rFonts w:asciiTheme="majorHAnsi" w:hAnsiTheme="majorHAnsi"/>
          <w:sz w:val="20"/>
          <w:szCs w:val="20"/>
        </w:rPr>
        <w:t xml:space="preserve"> due diligence, in a serious and</w:t>
      </w:r>
      <w:r w:rsidRPr="0057381F">
        <w:rPr>
          <w:rFonts w:asciiTheme="majorHAnsi" w:hAnsiTheme="majorHAnsi"/>
          <w:sz w:val="20"/>
          <w:szCs w:val="20"/>
        </w:rPr>
        <w:t xml:space="preserve"> effective </w:t>
      </w:r>
      <w:r w:rsidR="00973A56" w:rsidRPr="0057381F">
        <w:rPr>
          <w:rFonts w:asciiTheme="majorHAnsi" w:hAnsiTheme="majorHAnsi"/>
          <w:sz w:val="20"/>
          <w:szCs w:val="20"/>
        </w:rPr>
        <w:t xml:space="preserve">manner </w:t>
      </w:r>
      <w:r w:rsidRPr="0057381F">
        <w:rPr>
          <w:rFonts w:asciiTheme="majorHAnsi" w:hAnsiTheme="majorHAnsi"/>
          <w:sz w:val="20"/>
          <w:szCs w:val="20"/>
        </w:rPr>
        <w:t xml:space="preserve">and within a reasonable time. The Colombian State must also open, </w:t>
      </w:r>
      <w:r w:rsidRPr="0057381F">
        <w:rPr>
          <w:rFonts w:asciiTheme="majorHAnsi" w:hAnsiTheme="majorHAnsi"/>
          <w:i/>
          <w:sz w:val="20"/>
          <w:szCs w:val="20"/>
        </w:rPr>
        <w:t>ex officio</w:t>
      </w:r>
      <w:r w:rsidRPr="0057381F">
        <w:rPr>
          <w:rFonts w:asciiTheme="majorHAnsi" w:hAnsiTheme="majorHAnsi"/>
          <w:sz w:val="20"/>
          <w:szCs w:val="20"/>
        </w:rPr>
        <w:t xml:space="preserve">, criminal, administrative or </w:t>
      </w:r>
      <w:r w:rsidR="0000288A" w:rsidRPr="0057381F">
        <w:rPr>
          <w:rFonts w:asciiTheme="majorHAnsi" w:hAnsiTheme="majorHAnsi"/>
          <w:sz w:val="20"/>
          <w:szCs w:val="20"/>
        </w:rPr>
        <w:t xml:space="preserve">any </w:t>
      </w:r>
      <w:r w:rsidRPr="0057381F">
        <w:rPr>
          <w:rFonts w:asciiTheme="majorHAnsi" w:hAnsiTheme="majorHAnsi"/>
          <w:sz w:val="20"/>
          <w:szCs w:val="20"/>
        </w:rPr>
        <w:t xml:space="preserve">other investigations related to the human rights violations declared in this </w:t>
      </w:r>
      <w:r w:rsidR="00806C56" w:rsidRPr="0057381F">
        <w:rPr>
          <w:rFonts w:asciiTheme="majorHAnsi" w:hAnsiTheme="majorHAnsi"/>
          <w:sz w:val="20"/>
          <w:szCs w:val="20"/>
        </w:rPr>
        <w:t>Merits Report</w:t>
      </w:r>
      <w:r w:rsidRPr="0057381F">
        <w:rPr>
          <w:rFonts w:asciiTheme="majorHAnsi" w:hAnsiTheme="majorHAnsi"/>
          <w:sz w:val="20"/>
          <w:szCs w:val="20"/>
        </w:rPr>
        <w:t>.</w:t>
      </w:r>
    </w:p>
    <w:p w14:paraId="3C2E842B" w14:textId="77777777" w:rsidR="00DB6B7E" w:rsidRPr="0057381F" w:rsidRDefault="00DB6B7E" w:rsidP="00DB6B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5F9146A7" w14:textId="77777777" w:rsidR="003E63C3" w:rsidRPr="0057381F" w:rsidRDefault="003E63C3" w:rsidP="00FD360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57381F">
        <w:rPr>
          <w:rFonts w:asciiTheme="majorHAnsi" w:hAnsiTheme="majorHAnsi"/>
          <w:sz w:val="20"/>
          <w:szCs w:val="20"/>
        </w:rPr>
        <w:t xml:space="preserve">Arrange for the necessary measures to avoid the repetition of the violations declared in this </w:t>
      </w:r>
      <w:r w:rsidR="00806C56" w:rsidRPr="0057381F">
        <w:rPr>
          <w:rFonts w:asciiTheme="majorHAnsi" w:hAnsiTheme="majorHAnsi"/>
          <w:sz w:val="20"/>
          <w:szCs w:val="20"/>
        </w:rPr>
        <w:t>Merits Report</w:t>
      </w:r>
      <w:r w:rsidRPr="0057381F">
        <w:rPr>
          <w:rFonts w:asciiTheme="majorHAnsi" w:hAnsiTheme="majorHAnsi"/>
          <w:sz w:val="20"/>
          <w:szCs w:val="20"/>
        </w:rPr>
        <w:t xml:space="preserve">, including: i) the measures to ensure that use of </w:t>
      </w:r>
      <w:r w:rsidR="005325BF" w:rsidRPr="0057381F">
        <w:rPr>
          <w:rFonts w:asciiTheme="majorHAnsi" w:hAnsiTheme="majorHAnsi"/>
          <w:sz w:val="20"/>
          <w:szCs w:val="20"/>
        </w:rPr>
        <w:t>pretrial detention</w:t>
      </w:r>
      <w:r w:rsidRPr="0057381F">
        <w:rPr>
          <w:rFonts w:asciiTheme="majorHAnsi" w:hAnsiTheme="majorHAnsi"/>
          <w:sz w:val="20"/>
          <w:szCs w:val="20"/>
        </w:rPr>
        <w:t xml:space="preserve"> </w:t>
      </w:r>
      <w:r w:rsidR="00806C56" w:rsidRPr="0057381F">
        <w:rPr>
          <w:rFonts w:asciiTheme="majorHAnsi" w:hAnsiTheme="majorHAnsi"/>
          <w:sz w:val="20"/>
          <w:szCs w:val="20"/>
        </w:rPr>
        <w:t>complies with</w:t>
      </w:r>
      <w:r w:rsidRPr="0057381F">
        <w:rPr>
          <w:rFonts w:asciiTheme="majorHAnsi" w:hAnsiTheme="majorHAnsi"/>
          <w:sz w:val="20"/>
          <w:szCs w:val="20"/>
        </w:rPr>
        <w:t xml:space="preserve"> t</w:t>
      </w:r>
      <w:r w:rsidR="00BD3394" w:rsidRPr="0057381F">
        <w:rPr>
          <w:rFonts w:asciiTheme="majorHAnsi" w:hAnsiTheme="majorHAnsi"/>
          <w:sz w:val="20"/>
          <w:szCs w:val="20"/>
        </w:rPr>
        <w:t>he standards described in this R</w:t>
      </w:r>
      <w:r w:rsidRPr="0057381F">
        <w:rPr>
          <w:rFonts w:asciiTheme="majorHAnsi" w:hAnsiTheme="majorHAnsi"/>
          <w:sz w:val="20"/>
          <w:szCs w:val="20"/>
        </w:rPr>
        <w:t xml:space="preserve">eport; ii) </w:t>
      </w:r>
      <w:r w:rsidR="00806C56" w:rsidRPr="0057381F">
        <w:rPr>
          <w:rFonts w:asciiTheme="majorHAnsi" w:hAnsiTheme="majorHAnsi"/>
          <w:sz w:val="20"/>
          <w:szCs w:val="20"/>
        </w:rPr>
        <w:t>appropriate</w:t>
      </w:r>
      <w:r w:rsidRPr="0057381F">
        <w:rPr>
          <w:rFonts w:asciiTheme="majorHAnsi" w:hAnsiTheme="majorHAnsi"/>
          <w:sz w:val="20"/>
          <w:szCs w:val="20"/>
        </w:rPr>
        <w:t xml:space="preserve"> training </w:t>
      </w:r>
      <w:r w:rsidR="00806C56" w:rsidRPr="0057381F">
        <w:rPr>
          <w:rFonts w:asciiTheme="majorHAnsi" w:hAnsiTheme="majorHAnsi"/>
          <w:sz w:val="20"/>
          <w:szCs w:val="20"/>
        </w:rPr>
        <w:t>for prosecutorial</w:t>
      </w:r>
      <w:r w:rsidRPr="0057381F">
        <w:rPr>
          <w:rFonts w:asciiTheme="majorHAnsi" w:hAnsiTheme="majorHAnsi"/>
          <w:sz w:val="20"/>
          <w:szCs w:val="20"/>
        </w:rPr>
        <w:t xml:space="preserve"> and judicial authori</w:t>
      </w:r>
      <w:r w:rsidR="00806C56" w:rsidRPr="0057381F">
        <w:rPr>
          <w:rFonts w:asciiTheme="majorHAnsi" w:hAnsiTheme="majorHAnsi"/>
          <w:sz w:val="20"/>
          <w:szCs w:val="20"/>
        </w:rPr>
        <w:t>ties on the I</w:t>
      </w:r>
      <w:r w:rsidRPr="0057381F">
        <w:rPr>
          <w:rFonts w:asciiTheme="majorHAnsi" w:hAnsiTheme="majorHAnsi"/>
          <w:sz w:val="20"/>
          <w:szCs w:val="20"/>
        </w:rPr>
        <w:t xml:space="preserve">nter-American standards of due process, particularly those related to the use of </w:t>
      </w:r>
      <w:r w:rsidR="00806C56" w:rsidRPr="0057381F">
        <w:rPr>
          <w:rFonts w:asciiTheme="majorHAnsi" w:hAnsiTheme="majorHAnsi"/>
          <w:sz w:val="20"/>
          <w:szCs w:val="20"/>
        </w:rPr>
        <w:t>anonymous witnesses</w:t>
      </w:r>
      <w:r w:rsidRPr="0057381F">
        <w:rPr>
          <w:rFonts w:asciiTheme="majorHAnsi" w:hAnsiTheme="majorHAnsi"/>
          <w:sz w:val="20"/>
          <w:szCs w:val="20"/>
        </w:rPr>
        <w:t xml:space="preserve"> and </w:t>
      </w:r>
      <w:r w:rsidR="00806C56" w:rsidRPr="0057381F">
        <w:rPr>
          <w:rFonts w:asciiTheme="majorHAnsi" w:hAnsiTheme="majorHAnsi"/>
          <w:sz w:val="20"/>
          <w:szCs w:val="20"/>
        </w:rPr>
        <w:t xml:space="preserve">the </w:t>
      </w:r>
      <w:r w:rsidRPr="0057381F">
        <w:rPr>
          <w:rFonts w:asciiTheme="majorHAnsi" w:hAnsiTheme="majorHAnsi"/>
          <w:sz w:val="20"/>
          <w:szCs w:val="20"/>
        </w:rPr>
        <w:t>presumption of innocence; iii) strengthening of accountability me</w:t>
      </w:r>
      <w:r w:rsidR="00806C56" w:rsidRPr="0057381F">
        <w:rPr>
          <w:rFonts w:asciiTheme="majorHAnsi" w:hAnsiTheme="majorHAnsi"/>
          <w:sz w:val="20"/>
          <w:szCs w:val="20"/>
        </w:rPr>
        <w:t>chanisms against officials who through</w:t>
      </w:r>
      <w:r w:rsidRPr="0057381F">
        <w:rPr>
          <w:rFonts w:asciiTheme="majorHAnsi" w:hAnsiTheme="majorHAnsi"/>
          <w:sz w:val="20"/>
          <w:szCs w:val="20"/>
        </w:rPr>
        <w:t xml:space="preserve"> actions or omissions commit violations of due process; iv) reducing the time limits for decisions on appeals against criminal convictions, including </w:t>
      </w:r>
      <w:r w:rsidR="00806C56" w:rsidRPr="0057381F">
        <w:rPr>
          <w:rFonts w:asciiTheme="majorHAnsi" w:hAnsiTheme="majorHAnsi"/>
          <w:sz w:val="20"/>
          <w:szCs w:val="20"/>
        </w:rPr>
        <w:t xml:space="preserve">ordinary </w:t>
      </w:r>
      <w:r w:rsidRPr="0057381F">
        <w:rPr>
          <w:rFonts w:asciiTheme="majorHAnsi" w:hAnsiTheme="majorHAnsi"/>
          <w:sz w:val="20"/>
          <w:szCs w:val="20"/>
        </w:rPr>
        <w:t xml:space="preserve">and </w:t>
      </w:r>
      <w:r w:rsidRPr="0057381F">
        <w:rPr>
          <w:rFonts w:asciiTheme="majorHAnsi" w:hAnsiTheme="majorHAnsi"/>
          <w:i/>
          <w:sz w:val="20"/>
          <w:szCs w:val="20"/>
        </w:rPr>
        <w:t>cassation</w:t>
      </w:r>
      <w:r w:rsidR="00806C56" w:rsidRPr="0057381F">
        <w:rPr>
          <w:rFonts w:asciiTheme="majorHAnsi" w:hAnsiTheme="majorHAnsi"/>
          <w:sz w:val="20"/>
          <w:szCs w:val="20"/>
        </w:rPr>
        <w:t xml:space="preserve"> appeals</w:t>
      </w:r>
      <w:r w:rsidRPr="0057381F">
        <w:rPr>
          <w:rFonts w:asciiTheme="majorHAnsi" w:hAnsiTheme="majorHAnsi"/>
          <w:sz w:val="20"/>
          <w:szCs w:val="20"/>
        </w:rPr>
        <w:t>; and v) the necessary measures so that throughout the criminal process, there are adequate and effective mechanisms to obtain judicial protection against possible violations of due process that may have been committed during the proceedings, including those that may arise in the judicial decisions themselves.</w:t>
      </w:r>
    </w:p>
    <w:p w14:paraId="3699BFBE" w14:textId="77777777" w:rsidR="007D0CD0" w:rsidRPr="0057381F" w:rsidRDefault="007D0CD0" w:rsidP="007D0CD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D988B1E" w14:textId="1692CAE4" w:rsidR="002532BE" w:rsidRPr="002532BE" w:rsidRDefault="002532BE" w:rsidP="002532BE">
      <w:pPr>
        <w:pStyle w:val="Heading1"/>
        <w:spacing w:before="0"/>
        <w:ind w:firstLine="0"/>
        <w:rPr>
          <w:color w:val="auto"/>
          <w:sz w:val="20"/>
          <w:szCs w:val="20"/>
        </w:rPr>
      </w:pPr>
      <w:bookmarkStart w:id="30" w:name="_Toc211249812"/>
      <w:r w:rsidRPr="002532BE">
        <w:rPr>
          <w:color w:val="auto"/>
          <w:sz w:val="20"/>
          <w:szCs w:val="20"/>
        </w:rPr>
        <w:t>PUBLICATION</w:t>
      </w:r>
      <w:bookmarkEnd w:id="30"/>
    </w:p>
    <w:p w14:paraId="601E043E" w14:textId="77777777" w:rsidR="002532BE" w:rsidRPr="002532BE" w:rsidRDefault="002532BE" w:rsidP="002532B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7A95B296" w14:textId="4BE94B39" w:rsidR="002532BE" w:rsidRPr="002532BE" w:rsidRDefault="002532BE" w:rsidP="007D0CD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2532BE">
        <w:rPr>
          <w:rFonts w:asciiTheme="majorHAnsi" w:hAnsiTheme="majorHAnsi"/>
          <w:sz w:val="20"/>
          <w:szCs w:val="20"/>
        </w:rPr>
        <w:t>In accordance with the foregoing and pursuant to Article 51(3) of the American Convention and Article 47(3) of its Rules of Procedure, the Inter-American Commission on Human Rights decides to publish this report and include it in its Annual Report to the General Assembly of the Organization of American States. The Inter-American Commission, in accordance with the rules established in the instruments that regulate its mandate, will continue to evaluate whether the State of Colombia has provided full reparation to the victims as set forth in the above recommendations, until it determines that they have been fully complied with.</w:t>
      </w:r>
    </w:p>
    <w:p w14:paraId="5BF10C31" w14:textId="77777777" w:rsidR="002532BE" w:rsidRPr="002532BE" w:rsidRDefault="002532BE" w:rsidP="002532B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96D9CA0" w14:textId="77777777" w:rsidR="002532BE" w:rsidRPr="002532BE" w:rsidRDefault="002532BE" w:rsidP="002532B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2532BE">
        <w:rPr>
          <w:rFonts w:asciiTheme="majorHAnsi" w:hAnsiTheme="majorHAnsi"/>
          <w:sz w:val="20"/>
          <w:szCs w:val="20"/>
        </w:rPr>
        <w:t>Approved by the Inter-American Commission on Human Rights on July 15, 2025. (Signed): José Luis Caballero Ochoa, President; Andrea Pochak, First Vice President; Arif Bulkan, Second Vice President; Roberta Clarke and Edgar Stuardo Ralón Orellana, Members of the Commission.</w:t>
      </w:r>
    </w:p>
    <w:p w14:paraId="3FFB7444" w14:textId="77777777" w:rsidR="00C55560" w:rsidRPr="00E12AE6" w:rsidRDefault="00C55560" w:rsidP="00BF448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sectPr w:rsidR="00C55560" w:rsidRPr="00E12AE6" w:rsidSect="00F621C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3678" w14:textId="77777777" w:rsidR="006329D1" w:rsidRDefault="006329D1" w:rsidP="00036A8A">
      <w:r>
        <w:separator/>
      </w:r>
    </w:p>
  </w:endnote>
  <w:endnote w:type="continuationSeparator" w:id="0">
    <w:p w14:paraId="3374952D" w14:textId="77777777" w:rsidR="006329D1" w:rsidRDefault="006329D1"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CaslonPro-Regular">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rPr>
    </w:sdtEndPr>
    <w:sdtContent>
      <w:p w14:paraId="154E997D" w14:textId="77777777" w:rsidR="00907400" w:rsidRPr="006311DA" w:rsidRDefault="00907400">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C956F7">
          <w:rPr>
            <w:noProof/>
            <w:sz w:val="16"/>
          </w:rPr>
          <w:t>30</w:t>
        </w:r>
        <w:r w:rsidRPr="006311DA">
          <w:rPr>
            <w:noProof/>
            <w:sz w:val="16"/>
          </w:rPr>
          <w:fldChar w:fldCharType="end"/>
        </w:r>
      </w:p>
    </w:sdtContent>
  </w:sdt>
  <w:p w14:paraId="0362FA60" w14:textId="77777777" w:rsidR="00907400" w:rsidRDefault="00907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8FE" w14:textId="77777777" w:rsidR="00907400" w:rsidRDefault="00907400">
    <w:pPr>
      <w:pStyle w:val="Footer"/>
      <w:jc w:val="center"/>
    </w:pPr>
  </w:p>
  <w:p w14:paraId="7762DD48" w14:textId="77777777" w:rsidR="00907400" w:rsidRDefault="0090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CA4A" w14:textId="77777777" w:rsidR="006329D1" w:rsidRPr="00036A8A" w:rsidRDefault="006329D1"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0A0B6CDE" w14:textId="77777777" w:rsidR="006329D1" w:rsidRPr="00036A8A" w:rsidRDefault="006329D1" w:rsidP="00036A8A">
      <w:pPr>
        <w:rPr>
          <w:rFonts w:asciiTheme="majorHAnsi" w:hAnsiTheme="majorHAnsi"/>
          <w:sz w:val="16"/>
          <w:szCs w:val="16"/>
        </w:rPr>
      </w:pPr>
      <w:r w:rsidRPr="00036A8A">
        <w:rPr>
          <w:rFonts w:asciiTheme="majorHAnsi" w:hAnsiTheme="majorHAnsi"/>
          <w:sz w:val="16"/>
          <w:szCs w:val="16"/>
        </w:rPr>
        <w:separator/>
      </w:r>
    </w:p>
    <w:p w14:paraId="735C2F2D" w14:textId="77777777" w:rsidR="006329D1" w:rsidRPr="00036A8A" w:rsidRDefault="006329D1"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116DCD38" w14:textId="77777777" w:rsidR="006329D1" w:rsidRPr="0093441A" w:rsidRDefault="006329D1"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1A77E48E" w14:textId="739EEE32" w:rsidR="006B6D44" w:rsidRPr="006B6D44" w:rsidRDefault="006B6D44" w:rsidP="008B401C">
      <w:pPr>
        <w:pStyle w:val="FootnoteText"/>
        <w:jc w:val="both"/>
      </w:pPr>
      <w:r w:rsidRPr="0057381F">
        <w:rPr>
          <w:rStyle w:val="FootnoteReference"/>
        </w:rPr>
        <w:footnoteRef/>
      </w:r>
      <w:r w:rsidRPr="0057381F">
        <w:t xml:space="preserve"> </w:t>
      </w:r>
      <w:r w:rsidRPr="0057381F">
        <w:rPr>
          <w:rFonts w:asciiTheme="majorHAnsi" w:hAnsiTheme="majorHAnsi"/>
          <w:color w:val="auto"/>
          <w:sz w:val="16"/>
          <w:szCs w:val="16"/>
        </w:rPr>
        <w:t>In accordance with the provisions of Article 17.2 of the Commission’s Rules of Procedure, Commissioner Carlos Bernal Pulido, of Colombian nationality, did not participate either in the discussion or decision in the present case.</w:t>
      </w:r>
    </w:p>
  </w:footnote>
  <w:footnote w:id="3">
    <w:p w14:paraId="5E3F342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5/05, Petition 3156-02, Admissibility, Gustavo Sastoque Alfonso, Colombia, February 22, 2005. </w:t>
      </w:r>
    </w:p>
  </w:footnote>
  <w:footnote w:id="4">
    <w:p w14:paraId="39C0F504"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Regional Court of Santafé Bogotá, May 26, 1997. Annex to the Initial Petition.</w:t>
      </w:r>
    </w:p>
  </w:footnote>
  <w:footnote w:id="5">
    <w:p w14:paraId="3A84786A"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Search and Registration Procedure, February 26, 1995. Annex to the Initial Petition.</w:t>
      </w:r>
    </w:p>
  </w:footnote>
  <w:footnote w:id="6">
    <w:p w14:paraId="070C4BCF"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Official Statement of Sandra Velasco before the 35</w:t>
      </w:r>
      <w:r w:rsidRPr="00C956F7">
        <w:rPr>
          <w:rFonts w:asciiTheme="majorHAnsi" w:hAnsiTheme="majorHAnsi"/>
          <w:color w:val="auto"/>
          <w:sz w:val="16"/>
          <w:szCs w:val="16"/>
          <w:vertAlign w:val="superscript"/>
        </w:rPr>
        <w:t>th</w:t>
      </w:r>
      <w:r w:rsidRPr="00C956F7">
        <w:rPr>
          <w:rFonts w:asciiTheme="majorHAnsi" w:hAnsiTheme="majorHAnsi"/>
          <w:color w:val="auto"/>
          <w:sz w:val="16"/>
          <w:szCs w:val="16"/>
        </w:rPr>
        <w:t xml:space="preserve"> and 38</w:t>
      </w:r>
      <w:r w:rsidRPr="00C956F7">
        <w:rPr>
          <w:rFonts w:asciiTheme="majorHAnsi" w:hAnsiTheme="majorHAnsi"/>
          <w:color w:val="auto"/>
          <w:sz w:val="16"/>
          <w:szCs w:val="16"/>
          <w:vertAlign w:val="superscript"/>
        </w:rPr>
        <w:t>th</w:t>
      </w:r>
      <w:r w:rsidRPr="00C956F7">
        <w:rPr>
          <w:rFonts w:asciiTheme="majorHAnsi" w:hAnsiTheme="majorHAnsi"/>
          <w:color w:val="auto"/>
          <w:sz w:val="16"/>
          <w:szCs w:val="16"/>
        </w:rPr>
        <w:t xml:space="preserve"> Prosecutors of the Third Life Unit, February 28, 1995. Annex to the Initial Petition.</w:t>
      </w:r>
    </w:p>
  </w:footnote>
  <w:footnote w:id="7">
    <w:p w14:paraId="7DC4FABE"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Report No. 008-95 of the Technical Investigatory Body, March 2, 1995. Annex to the Initial Petition.</w:t>
      </w:r>
    </w:p>
  </w:footnote>
  <w:footnote w:id="8">
    <w:p w14:paraId="08D4543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Report No. 0390 of the National Army, March 3, 1995. Annex to the Initial Petition.</w:t>
      </w:r>
    </w:p>
  </w:footnote>
  <w:footnote w:id="9">
    <w:p w14:paraId="54AFB24C"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Report No. 028 of the Technical Investigatory Body, March 3, 1995. Annex to the Initial Petition.</w:t>
      </w:r>
    </w:p>
  </w:footnote>
  <w:footnote w:id="10">
    <w:p w14:paraId="7357F22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Initial Petition.</w:t>
      </w:r>
    </w:p>
  </w:footnote>
  <w:footnote w:id="11">
    <w:p w14:paraId="0FF205F5"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Law 81 of 1993 amending Article 71 of the Code of Criminal Procedure: Competence of Regional Judges.  Regional Judges shall have jurisdiction: 5. over offenses of aggravated or blackmail kidnapping by virtue of subparagraphs 6, 8, or 12 of Article 3 of Law 40 of 1993 and over aggravated homicide as set out in Article 324.8 of the Criminal Code.</w:t>
      </w:r>
    </w:p>
  </w:footnote>
  <w:footnote w:id="12">
    <w:p w14:paraId="52DB539B"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Order for Anonymity of Witness No.1, March 4, 1995. Annex to the Initial Petition.</w:t>
      </w:r>
    </w:p>
  </w:footnote>
  <w:footnote w:id="13">
    <w:p w14:paraId="432345B6"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Procedural Step taking Official Statement of an anonymous witness denominated Witness No.2, March 6, 1995. Annex to the Initial Petition.</w:t>
      </w:r>
    </w:p>
  </w:footnote>
  <w:footnote w:id="14">
    <w:p w14:paraId="3B36403E"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Official Statement of Eduardo Mejía. Annex to the Initial Petition.</w:t>
      </w:r>
    </w:p>
  </w:footnote>
  <w:footnote w:id="15">
    <w:p w14:paraId="2B4B5E4B"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Procedural Step of Photo Recognition held in the Sectional Department of the General Prosecutor’s Office. Santa Fe, Bogotá. March 17, 1995. Annex to Initial Petition.</w:t>
      </w:r>
    </w:p>
  </w:footnote>
  <w:footnote w:id="16">
    <w:p w14:paraId="056D3FF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Style w:val="FootnoteReference"/>
          <w:rFonts w:asciiTheme="majorHAnsi" w:hAnsiTheme="majorHAnsi"/>
          <w:color w:val="auto"/>
          <w:sz w:val="16"/>
          <w:szCs w:val="16"/>
        </w:rPr>
        <w:t xml:space="preserve"> </w:t>
      </w:r>
      <w:r w:rsidRPr="00C956F7">
        <w:rPr>
          <w:rFonts w:asciiTheme="majorHAnsi" w:hAnsiTheme="majorHAnsi"/>
          <w:color w:val="auto"/>
          <w:sz w:val="16"/>
          <w:szCs w:val="16"/>
        </w:rPr>
        <w:t xml:space="preserve">Procedural Step of Photo Recognition held in building of DAS Department of Security. March 27, 1995. Santafé Bogotá. Annex to Initial Petition. </w:t>
      </w:r>
    </w:p>
  </w:footnote>
  <w:footnote w:id="17">
    <w:p w14:paraId="4B3A81C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of official statement of anonymous witness No.3 before the Regional Prosecutor in charge. July 20, 1995. Santafé de Bogotá. Annex to Initial Petition. </w:t>
      </w:r>
    </w:p>
  </w:footnote>
  <w:footnote w:id="18">
    <w:p w14:paraId="1E9078FF"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Third Report on the Situation of Human Rights in Colombia, February 26, 1999, Ch. V, paras. 82-86.</w:t>
      </w:r>
    </w:p>
  </w:footnote>
  <w:footnote w:id="19">
    <w:p w14:paraId="277E84BD"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Third Report on the Situation of Human Rights in Colombia, February 26, 1999, paras. 119-126.</w:t>
      </w:r>
    </w:p>
  </w:footnote>
  <w:footnote w:id="20">
    <w:p w14:paraId="3BB6FFA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Third Report on the Situation of Human Rights in Colombia, February 26, 1999, paras. 87-111.</w:t>
      </w:r>
    </w:p>
  </w:footnote>
  <w:footnote w:id="21">
    <w:p w14:paraId="767B98D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Third Report on the Situation of Human Rights in Colombia, February 26, 1999, para. 130.</w:t>
      </w:r>
    </w:p>
  </w:footnote>
  <w:footnote w:id="22">
    <w:p w14:paraId="7EA26543"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Annual Report, Chapter V – Follow-up on Commission Recommendations, Colombia, paras. 46-50.</w:t>
      </w:r>
    </w:p>
  </w:footnote>
  <w:footnote w:id="23">
    <w:p w14:paraId="3713A55D" w14:textId="77777777" w:rsidR="00907400" w:rsidRPr="00C956F7" w:rsidRDefault="00907400" w:rsidP="00C956F7">
      <w:pPr>
        <w:pStyle w:val="FootnoteText"/>
        <w:tabs>
          <w:tab w:val="left" w:pos="5387"/>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Human Rights Committee, Final Observations on Colombia, May 5, 1997, paras. 21 and 40.</w:t>
      </w:r>
    </w:p>
  </w:footnote>
  <w:footnote w:id="24">
    <w:p w14:paraId="07BBBB87"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Official Statement of María Mora to the National Public Prosecutor’s Office, September 11, 2003. Annex 1, folios 25-26.</w:t>
      </w:r>
    </w:p>
  </w:footnote>
  <w:footnote w:id="25">
    <w:p w14:paraId="4815DC3F"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Style w:val="FootnoteReference"/>
          <w:rFonts w:asciiTheme="majorHAnsi" w:hAnsiTheme="majorHAnsi"/>
          <w:color w:val="auto"/>
          <w:sz w:val="16"/>
          <w:szCs w:val="16"/>
        </w:rPr>
        <w:t xml:space="preserve"> </w:t>
      </w:r>
      <w:r w:rsidRPr="00C956F7">
        <w:rPr>
          <w:rFonts w:asciiTheme="majorHAnsi" w:hAnsiTheme="majorHAnsi"/>
          <w:color w:val="auto"/>
          <w:sz w:val="16"/>
          <w:szCs w:val="16"/>
        </w:rPr>
        <w:t>Official Statement of María Mora to the National Public Prosecutor’s Office, September 11, 2003. Annex 1, folios 25-26.</w:t>
      </w:r>
    </w:p>
  </w:footnote>
  <w:footnote w:id="26">
    <w:p w14:paraId="09AF2B31"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Certificate of the National Public Prosecutor’s Office, July 21, 1995. Annex to the Initial Petition.</w:t>
      </w:r>
    </w:p>
  </w:footnote>
  <w:footnote w:id="27">
    <w:p w14:paraId="2018A32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of Charges against Gustavo Sastoque before the Regional Courts of Santafé de Bogotá, August 13, 1996. Annex to the Initial Petition.</w:t>
      </w:r>
    </w:p>
  </w:footnote>
  <w:footnote w:id="28">
    <w:p w14:paraId="6C3823C0"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of Charges against Gustavo Sastoque before the Regional Courts of Santafé de Bogotá, August 13, 1996. Annex to the Initial Petition.</w:t>
      </w:r>
    </w:p>
  </w:footnote>
  <w:footnote w:id="29">
    <w:p w14:paraId="40C05E0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Capture Order, March 8, 1995. Annex to the Initial Petition.</w:t>
      </w:r>
    </w:p>
  </w:footnote>
  <w:footnote w:id="30">
    <w:p w14:paraId="2EE343E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Bulletin No. 019 of the Outreach and Press Office of the National Public Prosecutor’s Office, March 8, 1995. Annex to the Initial Petition.</w:t>
      </w:r>
    </w:p>
  </w:footnote>
  <w:footnote w:id="31">
    <w:p w14:paraId="5FAFB75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Record of Identity Parade Lineup of the National Public Prosecutor’s Office, March 10, 1995. Annex to the Initial Petition. Identity Parade Lineup of the Regional Prosecutor’s Office, March 16, 1995. Annex to the Initial Petition.</w:t>
      </w:r>
    </w:p>
  </w:footnote>
  <w:footnote w:id="32">
    <w:p w14:paraId="7319BC67"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Record of Identity Parade Lineup of the National Public Prosecutor’s Office, March 10, 1995. Annex to the Initial Petition. Identity Parade Lineup of the Regional Prosecutor’s Office, March 16, 1995. Annex to the Initial Petition.</w:t>
      </w:r>
    </w:p>
  </w:footnote>
  <w:footnote w:id="33">
    <w:p w14:paraId="3D5DAAE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Alirio Caycedo Gutiérrez before the Regional Director of Public Prosecutors. From the Petitioner. Initial Petition.</w:t>
      </w:r>
    </w:p>
  </w:footnote>
  <w:footnote w:id="34">
    <w:p w14:paraId="4D729146"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Official Statement of José Rey to the Regional Prosecutors Office of Santafé de Bogotá, March 13, 1995. Annex to the Initial Petition.</w:t>
      </w:r>
    </w:p>
  </w:footnote>
  <w:footnote w:id="35">
    <w:p w14:paraId="3F3C0219" w14:textId="77777777" w:rsidR="00907400" w:rsidRPr="00C956F7" w:rsidRDefault="00907400" w:rsidP="00C956F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heme="majorHAnsi" w:hAnsiTheme="majorHAnsi"/>
          <w:color w:val="auto"/>
          <w:sz w:val="16"/>
          <w:szCs w:val="16"/>
          <w:lang w:val="en-US"/>
        </w:rPr>
      </w:pPr>
      <w:r w:rsidRPr="00C956F7">
        <w:rPr>
          <w:rStyle w:val="FootnoteReference"/>
          <w:rFonts w:asciiTheme="majorHAnsi" w:hAnsiTheme="majorHAnsi"/>
          <w:color w:val="auto"/>
          <w:sz w:val="16"/>
          <w:szCs w:val="16"/>
          <w:lang w:val="en-US"/>
        </w:rPr>
        <w:footnoteRef/>
      </w:r>
      <w:r w:rsidRPr="00C956F7">
        <w:rPr>
          <w:rFonts w:asciiTheme="majorHAnsi" w:hAnsiTheme="majorHAnsi"/>
          <w:color w:val="auto"/>
          <w:sz w:val="16"/>
          <w:szCs w:val="16"/>
          <w:lang w:val="en-US"/>
        </w:rPr>
        <w:t xml:space="preserve"> Article 324.8 of the Criminal Code (Aggravating circumstances in the crime of homicide) For terrorist purposes, in the development of terrorist activities or by an individual who is or has been a public servant, journalist, candidate for popular election, leader, community, union, politician or journalist, candidate for popular election, for community leader, union, political or religious leader; member of the Security Forces, university professor, diplomatic or consular agent in the service of the Nation or accredited before it, for cause or by reason of their positions or charges or by reason of the exercise of their functions, or against any inhabitant of the national territory for their beliefs or political opinions; or due to their close relationship within the fourth degree of consanguinity, second of affinity or first civil.  Referred to in: State’s Brief dated March 18, 2003.</w:t>
      </w:r>
    </w:p>
  </w:footnote>
  <w:footnote w:id="36">
    <w:p w14:paraId="7C29407C"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Interlocutory Decision, March 14, 1995. Annex to the Initial Petition. </w:t>
      </w:r>
    </w:p>
  </w:footnote>
  <w:footnote w:id="37">
    <w:p w14:paraId="559BD938"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Official Statement given by Wander Trullo Carlos, to the Regional Prosecutor’s Office, Santafé de Bogotá, March 8, 1995. Annex to the Initial Petition. Official Statement given by Roncancio Lopez José Wilson to the Regional Prosecutor’s Office, Santafé de Bogotá, May 9, 1995. Annex to the Initial Petition.</w:t>
      </w:r>
    </w:p>
  </w:footnote>
  <w:footnote w:id="38">
    <w:p w14:paraId="56E92311"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Identity Parade Lineup, Wander Trullo Claros, with the Regional Prosecutor’s Office, Santafé de Bogotá, May 19, 1995. Annex to the Initial Petition.</w:t>
      </w:r>
    </w:p>
  </w:footnote>
  <w:footnote w:id="39">
    <w:p w14:paraId="48F32854"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Identity Parade Lineup, José Wilson Roncancio Gómez, with the Regional Prosecutor’s Office, Santafé de Bogotá, May 19, 1995. Annex to the Initial Petition. </w:t>
      </w:r>
    </w:p>
  </w:footnote>
  <w:footnote w:id="40">
    <w:p w14:paraId="335F0099"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Anonymous Statement of Witness No.4, before the Regional Prosecutor, May 23, 1995, Annex to the Initial Petition.</w:t>
      </w:r>
    </w:p>
  </w:footnote>
  <w:footnote w:id="41">
    <w:p w14:paraId="5EA6BE81"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of Anonymous Statement of No.1, August 25, 1995. Annex to the Initial Petition.</w:t>
      </w:r>
    </w:p>
  </w:footnote>
  <w:footnote w:id="42">
    <w:p w14:paraId="3DE73B4C"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rendered by Regional Prosecutor to lift anonymity of Witness No.1, October 3 1995. Annex to the Initial Petition. </w:t>
      </w:r>
    </w:p>
  </w:footnote>
  <w:footnote w:id="43">
    <w:p w14:paraId="6ADAA3AE"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rendered by Regional Prosecutor closing the Investigation, October 6, 1995. Annex to the Initial Petition.</w:t>
      </w:r>
    </w:p>
  </w:footnote>
  <w:footnote w:id="44">
    <w:p w14:paraId="60C63894"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of Statement by Olga Esther Guevara Fajardo, December 16, 1996. Annex to the Initial Petition.</w:t>
      </w:r>
    </w:p>
  </w:footnote>
  <w:footnote w:id="45">
    <w:p w14:paraId="2F757509"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Sworn Statement of Custodio Jacinto Mora Medina to the National Public Prosecutor’s Office, October 18, 1995. Annex to the Initial Petition. </w:t>
      </w:r>
    </w:p>
  </w:footnote>
  <w:footnote w:id="46">
    <w:p w14:paraId="4817A9F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Regional Court of Santafé de Bogotá, May 26, 1997. Annex to the Initial Petition.</w:t>
      </w:r>
    </w:p>
  </w:footnote>
  <w:footnote w:id="47">
    <w:p w14:paraId="4EE1594D"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Extension of Charges against Gustavo Sastoque before the Regional Courts of Santafé de Bogotá, August 13, 1996. Annex to the Initial Petition.</w:t>
      </w:r>
    </w:p>
  </w:footnote>
  <w:footnote w:id="48">
    <w:p w14:paraId="362BCB9F"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Regional Court of Santafé de Bogotá, May 26, 1997. Annex to the Initial Petition.</w:t>
      </w:r>
    </w:p>
  </w:footnote>
  <w:footnote w:id="49">
    <w:p w14:paraId="492F54C6"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Regional Court of Santafé de Bogotá, May 26, 1997. Annex to the Initial Petition.</w:t>
      </w:r>
    </w:p>
  </w:footnote>
  <w:footnote w:id="50">
    <w:p w14:paraId="37D40AB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Regional Court of Santafé de Bogotá, May 26, 1997. Annex to the Initial Petition.</w:t>
      </w:r>
    </w:p>
  </w:footnote>
  <w:footnote w:id="51">
    <w:p w14:paraId="5CACFA8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Opinion No. 34, brief of the Office of the Criminal Judicial Procurator, undated. Annex to the Initial Petition.</w:t>
      </w:r>
    </w:p>
  </w:footnote>
  <w:footnote w:id="52">
    <w:p w14:paraId="73150A2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National Tribunal, Santafé de Bogotá. March 6, 1998. Annex to the Initial Petition. </w:t>
      </w:r>
    </w:p>
  </w:footnote>
  <w:footnote w:id="53">
    <w:p w14:paraId="09326716"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Motion for </w:t>
      </w:r>
      <w:r w:rsidRPr="00C956F7">
        <w:rPr>
          <w:rFonts w:asciiTheme="majorHAnsi" w:hAnsiTheme="majorHAnsi"/>
          <w:i/>
          <w:color w:val="auto"/>
          <w:sz w:val="16"/>
          <w:szCs w:val="16"/>
        </w:rPr>
        <w:t>Cassation</w:t>
      </w:r>
      <w:r w:rsidRPr="00C956F7">
        <w:rPr>
          <w:rFonts w:asciiTheme="majorHAnsi" w:hAnsiTheme="majorHAnsi"/>
          <w:color w:val="auto"/>
          <w:sz w:val="16"/>
          <w:szCs w:val="16"/>
        </w:rPr>
        <w:t xml:space="preserve"> appeal, March 29, 1998. Annex to petitioner’s communication received on November 6, 2002.</w:t>
      </w:r>
    </w:p>
  </w:footnote>
  <w:footnote w:id="54">
    <w:p w14:paraId="6DA97B66"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Amplification to Complaint of Gustavo Sastoque Alfonso, February 22, 2000. Annex to the Initial Petition. </w:t>
      </w:r>
    </w:p>
  </w:footnote>
  <w:footnote w:id="55">
    <w:p w14:paraId="19EFF20A"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Style w:val="FootnoteReference"/>
          <w:rFonts w:asciiTheme="majorHAnsi" w:hAnsiTheme="majorHAnsi"/>
          <w:color w:val="auto"/>
          <w:sz w:val="16"/>
          <w:szCs w:val="16"/>
        </w:rPr>
        <w:t xml:space="preserve"> </w:t>
      </w:r>
      <w:r w:rsidRPr="00C956F7">
        <w:rPr>
          <w:rFonts w:asciiTheme="majorHAnsi" w:hAnsiTheme="majorHAnsi"/>
          <w:color w:val="auto"/>
          <w:sz w:val="16"/>
          <w:szCs w:val="16"/>
        </w:rPr>
        <w:t>Sworn Statement of Mercedes Yolima Guaqueta Hernandez. December 14, 1999. Annex to the Initial Petition.</w:t>
      </w:r>
    </w:p>
  </w:footnote>
  <w:footnote w:id="56">
    <w:p w14:paraId="25253862"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Style w:val="FootnoteReference"/>
          <w:rFonts w:asciiTheme="majorHAnsi" w:hAnsiTheme="majorHAnsi"/>
          <w:color w:val="auto"/>
          <w:sz w:val="16"/>
          <w:szCs w:val="16"/>
        </w:rPr>
        <w:t xml:space="preserve"> </w:t>
      </w:r>
      <w:r w:rsidRPr="00C956F7">
        <w:rPr>
          <w:rFonts w:asciiTheme="majorHAnsi" w:hAnsiTheme="majorHAnsi"/>
          <w:color w:val="auto"/>
          <w:sz w:val="16"/>
          <w:szCs w:val="16"/>
        </w:rPr>
        <w:t>Sworn Statement of Mercedes Yolima Guaqueta Hernandez. December 14, 1999. Annex to the Initial Petition.</w:t>
      </w:r>
    </w:p>
  </w:footnote>
  <w:footnote w:id="57">
    <w:p w14:paraId="1FF0DDC5" w14:textId="77777777" w:rsidR="00907400" w:rsidRPr="00C956F7" w:rsidRDefault="00907400" w:rsidP="00C956F7">
      <w:pPr>
        <w:pStyle w:val="FootnoteText"/>
        <w:tabs>
          <w:tab w:val="left" w:pos="720"/>
        </w:tabs>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Style w:val="FootnoteReference"/>
          <w:rFonts w:asciiTheme="majorHAnsi" w:hAnsiTheme="majorHAnsi"/>
          <w:color w:val="auto"/>
          <w:sz w:val="16"/>
          <w:szCs w:val="16"/>
        </w:rPr>
        <w:t xml:space="preserve"> </w:t>
      </w:r>
      <w:r w:rsidRPr="00C956F7">
        <w:rPr>
          <w:rFonts w:asciiTheme="majorHAnsi" w:hAnsiTheme="majorHAnsi"/>
          <w:color w:val="auto"/>
          <w:sz w:val="16"/>
          <w:szCs w:val="16"/>
        </w:rPr>
        <w:t>Sworn Statement of Mercedes Yolima Guaqueta Hernandez. July 6, 2000. Annex to the Initial Petition.</w:t>
      </w:r>
    </w:p>
  </w:footnote>
  <w:footnote w:id="58">
    <w:p w14:paraId="7678A40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Statement by Ángel Humberto Junca Guzmán, Human rights group of the CTI, November 9, 2000. Annex to the Initial Petition. </w:t>
      </w:r>
    </w:p>
  </w:footnote>
  <w:footnote w:id="59">
    <w:p w14:paraId="0D3AB6F5"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Judgment of the Criminal Cassation Chamber of the Supreme Court of Justice, February 13, 2003. Annex State’s Brief of August 15, 2003.</w:t>
      </w:r>
    </w:p>
  </w:footnote>
  <w:footnote w:id="60">
    <w:p w14:paraId="208990E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of the Fifth Judge for Execution of Sentences and Security Measures of Bogota, November 30, 2005. Annex State’s Brief of February 1, 2006.</w:t>
      </w:r>
    </w:p>
  </w:footnote>
  <w:footnote w:id="61">
    <w:p w14:paraId="588799DF"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of the Fifth Judge for Execution of Sentences and Security Measures of Bogota, November 30, 2005. Annex State’s Brief of February 1, 2006.</w:t>
      </w:r>
    </w:p>
  </w:footnote>
  <w:footnote w:id="62">
    <w:p w14:paraId="6526D833"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of the Fifth Judge for Execution of Sentences and Security Measures of Bogota, November 30, 2005. Annex State’s Brief.</w:t>
      </w:r>
    </w:p>
  </w:footnote>
  <w:footnote w:id="63">
    <w:p w14:paraId="1E4114B7"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Decision of the Fifth Judge for Execution of Sentences and Security Measures of Bogota, November 30, 2005. Annex State’s Brief of February 1, 2006.</w:t>
      </w:r>
    </w:p>
  </w:footnote>
  <w:footnote w:id="64">
    <w:p w14:paraId="41C4717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National Public Prosecutor’s Office, Nation Human Rights and Humanitarian Law Unit, February 25, 2008, Annex to State’s brief of April 9, 2008.</w:t>
      </w:r>
    </w:p>
  </w:footnote>
  <w:footnote w:id="65">
    <w:p w14:paraId="2840E866"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National Public Prosecutor’s Office, Nation Human Rights and Humanitarian Law Unit, February 25, 2008, Annex to State’s brief of April 9, 2008.</w:t>
      </w:r>
    </w:p>
  </w:footnote>
  <w:footnote w:id="66">
    <w:p w14:paraId="5D205D8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National Public Prosecutor’s Office, Nation Human Rights and Humanitarian Law Unit, February 25, 2008, Annex to State’s brief of April 9, 2008.</w:t>
      </w:r>
    </w:p>
  </w:footnote>
  <w:footnote w:id="67">
    <w:p w14:paraId="3DB1FBE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National Public Prosecutor’s Office, Nation Human Rights and Humanitarian Law Unit, February 25, 2008, Annex to State’s brief of April 9, 2008.</w:t>
      </w:r>
    </w:p>
  </w:footnote>
  <w:footnote w:id="68">
    <w:p w14:paraId="7018EB2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State’s Brief dated October 26, 2010.</w:t>
      </w:r>
    </w:p>
  </w:footnote>
  <w:footnote w:id="69">
    <w:p w14:paraId="070175FC"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4A399A">
        <w:rPr>
          <w:rFonts w:asciiTheme="majorHAnsi" w:hAnsiTheme="majorHAnsi"/>
          <w:color w:val="auto"/>
          <w:sz w:val="16"/>
          <w:szCs w:val="16"/>
        </w:rPr>
        <w:t xml:space="preserve"> Press Release “A juicio testigos de asesinato de ex M-19 Hernando Pizarro”, published in </w:t>
      </w:r>
      <w:r w:rsidRPr="004A399A">
        <w:rPr>
          <w:rFonts w:asciiTheme="majorHAnsi" w:hAnsiTheme="majorHAnsi"/>
          <w:i/>
          <w:color w:val="auto"/>
          <w:sz w:val="16"/>
          <w:szCs w:val="16"/>
        </w:rPr>
        <w:t>El Espectador</w:t>
      </w:r>
      <w:r w:rsidRPr="004A399A">
        <w:rPr>
          <w:rFonts w:asciiTheme="majorHAnsi" w:hAnsiTheme="majorHAnsi"/>
          <w:color w:val="auto"/>
          <w:sz w:val="16"/>
          <w:szCs w:val="16"/>
        </w:rPr>
        <w:t xml:space="preserve"> on May 21, 2011. </w:t>
      </w:r>
      <w:r w:rsidRPr="00C956F7">
        <w:rPr>
          <w:rFonts w:asciiTheme="majorHAnsi" w:hAnsiTheme="majorHAnsi"/>
          <w:color w:val="auto"/>
          <w:sz w:val="16"/>
          <w:szCs w:val="16"/>
        </w:rPr>
        <w:t>Available at: https://www.elespectador.com/content/juicio-testigos-de-asesinato-de-ex-m-19-hernando-pizarro</w:t>
      </w:r>
    </w:p>
  </w:footnote>
  <w:footnote w:id="70">
    <w:p w14:paraId="5E17F71F"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Press Release “Juicio por complot contra Sastoque”, published in </w:t>
      </w:r>
      <w:r w:rsidRPr="00C956F7">
        <w:rPr>
          <w:rFonts w:asciiTheme="majorHAnsi" w:hAnsiTheme="majorHAnsi"/>
          <w:i/>
          <w:color w:val="auto"/>
          <w:sz w:val="16"/>
          <w:szCs w:val="16"/>
        </w:rPr>
        <w:t>El Espectador</w:t>
      </w:r>
      <w:r w:rsidRPr="00C956F7">
        <w:rPr>
          <w:rFonts w:asciiTheme="majorHAnsi" w:hAnsiTheme="majorHAnsi"/>
          <w:color w:val="auto"/>
          <w:sz w:val="16"/>
          <w:szCs w:val="16"/>
        </w:rPr>
        <w:t xml:space="preserve"> on October 4, 2012. Available at: https://www.elespectador.com/noticias/judicial/juicio-complot-contra-sastoque-articulo-379426</w:t>
      </w:r>
    </w:p>
  </w:footnote>
  <w:footnote w:id="71">
    <w:p w14:paraId="58705167"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Article 7. Right to Personal Liberty.</w:t>
      </w:r>
    </w:p>
    <w:p w14:paraId="67EFC0E5" w14:textId="77777777" w:rsidR="00907400" w:rsidRPr="00C956F7" w:rsidRDefault="00907400" w:rsidP="00FD3608">
      <w:pPr>
        <w:pStyle w:val="FootnoteText"/>
        <w:numPr>
          <w:ilvl w:val="0"/>
          <w:numId w:val="58"/>
        </w:numPr>
        <w:tabs>
          <w:tab w:val="left" w:pos="180"/>
        </w:tabs>
        <w:ind w:left="0" w:firstLine="0"/>
        <w:jc w:val="both"/>
        <w:rPr>
          <w:rFonts w:asciiTheme="majorHAnsi" w:hAnsiTheme="majorHAnsi" w:cs="Tahoma"/>
          <w:color w:val="auto"/>
          <w:sz w:val="16"/>
          <w:szCs w:val="16"/>
        </w:rPr>
      </w:pPr>
      <w:r w:rsidRPr="00C956F7">
        <w:rPr>
          <w:rFonts w:asciiTheme="majorHAnsi" w:hAnsiTheme="majorHAnsi" w:cs="Tahoma"/>
          <w:color w:val="auto"/>
          <w:sz w:val="16"/>
          <w:szCs w:val="16"/>
        </w:rPr>
        <w:t xml:space="preserve">Every person has the right to personal liberty and security (…).    </w:t>
      </w:r>
    </w:p>
    <w:p w14:paraId="73C80148" w14:textId="77777777" w:rsidR="00907400" w:rsidRPr="00C956F7" w:rsidRDefault="00907400" w:rsidP="00FD3608">
      <w:pPr>
        <w:pStyle w:val="FootnoteText"/>
        <w:numPr>
          <w:ilvl w:val="0"/>
          <w:numId w:val="58"/>
        </w:numPr>
        <w:tabs>
          <w:tab w:val="left" w:pos="180"/>
        </w:tabs>
        <w:ind w:left="0" w:firstLine="0"/>
        <w:jc w:val="both"/>
        <w:rPr>
          <w:rFonts w:asciiTheme="majorHAnsi" w:hAnsiTheme="majorHAnsi" w:cs="Tahoma"/>
          <w:color w:val="auto"/>
          <w:sz w:val="16"/>
          <w:szCs w:val="16"/>
        </w:rPr>
      </w:pPr>
      <w:r w:rsidRPr="00C956F7">
        <w:rPr>
          <w:rFonts w:asciiTheme="majorHAnsi" w:hAnsiTheme="majorHAnsi" w:cs="Tahoma"/>
          <w:color w:val="auto"/>
          <w:sz w:val="16"/>
          <w:szCs w:val="16"/>
        </w:rPr>
        <w:t xml:space="preserve">No one shall be deprived of his physical liberty except for the reasons and under the conditions established beforehand by the constitution of the State Party concerned or by a law established pursuant thereto.                                  </w:t>
      </w:r>
    </w:p>
    <w:p w14:paraId="5AE61D2B" w14:textId="77777777" w:rsidR="00907400" w:rsidRPr="00C956F7" w:rsidRDefault="00907400" w:rsidP="00FD3608">
      <w:pPr>
        <w:pStyle w:val="FootnoteText"/>
        <w:numPr>
          <w:ilvl w:val="0"/>
          <w:numId w:val="58"/>
        </w:numPr>
        <w:tabs>
          <w:tab w:val="left" w:pos="180"/>
        </w:tabs>
        <w:ind w:left="0" w:firstLine="0"/>
        <w:jc w:val="both"/>
        <w:rPr>
          <w:rFonts w:asciiTheme="majorHAnsi" w:hAnsiTheme="majorHAnsi" w:cs="Tahoma"/>
          <w:color w:val="auto"/>
          <w:sz w:val="16"/>
          <w:szCs w:val="16"/>
        </w:rPr>
      </w:pPr>
      <w:r w:rsidRPr="00C956F7">
        <w:rPr>
          <w:rFonts w:asciiTheme="majorHAnsi" w:hAnsiTheme="majorHAnsi" w:cs="Tahoma"/>
          <w:color w:val="auto"/>
          <w:sz w:val="16"/>
          <w:szCs w:val="16"/>
        </w:rPr>
        <w:t>No one shall be subject to arbitrary arrest or imprisonment.</w:t>
      </w:r>
    </w:p>
    <w:p w14:paraId="48F9D7C2" w14:textId="77777777" w:rsidR="00907400" w:rsidRPr="00C956F7" w:rsidRDefault="00907400" w:rsidP="00FD3608">
      <w:pPr>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autoSpaceDE w:val="0"/>
        <w:autoSpaceDN w:val="0"/>
        <w:adjustRightInd w:val="0"/>
        <w:ind w:left="0" w:firstLine="0"/>
        <w:jc w:val="both"/>
        <w:rPr>
          <w:rFonts w:asciiTheme="majorHAnsi" w:hAnsiTheme="majorHAnsi" w:cs="Times-Roman"/>
          <w:sz w:val="16"/>
          <w:szCs w:val="16"/>
          <w:lang w:bidi="en-US"/>
        </w:rPr>
      </w:pPr>
      <w:r w:rsidRPr="00C956F7">
        <w:rPr>
          <w:rFonts w:asciiTheme="majorHAnsi" w:hAnsiTheme="majorHAnsi" w:cs="Verdana"/>
          <w:sz w:val="16"/>
          <w:szCs w:val="16"/>
          <w:lang w:bidi="en-US"/>
        </w:rPr>
        <w:t>Anyone who is detained shall be informed of the reasons for his detention and shall be promptly notified of the charge or charges against him.</w:t>
      </w:r>
    </w:p>
  </w:footnote>
  <w:footnote w:id="72">
    <w:p w14:paraId="33D6FEDA"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Chaparro Álvarez and Lapo Íñiguez. v. Ecuador</w:t>
      </w:r>
      <w:r w:rsidRPr="00C956F7">
        <w:rPr>
          <w:rFonts w:asciiTheme="majorHAnsi" w:eastAsia="Times New Roman" w:hAnsiTheme="majorHAnsi"/>
          <w:bCs/>
          <w:sz w:val="16"/>
          <w:szCs w:val="16"/>
          <w:bdr w:val="none" w:sz="0" w:space="0" w:color="auto"/>
          <w:lang w:eastAsia="es-ES"/>
        </w:rPr>
        <w:t xml:space="preserve">. Preliminary Objections, Merits, Reparations and Costs. Judgment of November 21, 2007. Series C No. 170, </w:t>
      </w:r>
      <w:r w:rsidRPr="00C956F7">
        <w:rPr>
          <w:rFonts w:asciiTheme="majorHAnsi" w:hAnsiTheme="majorHAnsi"/>
          <w:sz w:val="16"/>
          <w:szCs w:val="16"/>
        </w:rPr>
        <w:t>para. 56.</w:t>
      </w:r>
    </w:p>
  </w:footnote>
  <w:footnote w:id="73">
    <w:p w14:paraId="59FBAEB6" w14:textId="77777777" w:rsidR="00907400" w:rsidRPr="00C956F7" w:rsidRDefault="00907400" w:rsidP="00C956F7">
      <w:pPr>
        <w:jc w:val="both"/>
        <w:rPr>
          <w:rFonts w:asciiTheme="majorHAnsi" w:hAnsiTheme="majorHAnsi"/>
          <w:sz w:val="16"/>
          <w:szCs w:val="16"/>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w:t>
      </w:r>
      <w:hyperlink r:id="rId1" w:history="1">
        <w:r w:rsidRPr="00C956F7">
          <w:rPr>
            <w:rStyle w:val="Hyperlink"/>
            <w:rFonts w:asciiTheme="majorHAnsi" w:hAnsiTheme="majorHAnsi"/>
            <w:sz w:val="16"/>
            <w:szCs w:val="16"/>
            <w:u w:val="none"/>
          </w:rPr>
          <w:t>Report on Citizen Security and Human Rights</w:t>
        </w:r>
      </w:hyperlink>
      <w:r w:rsidRPr="00C956F7">
        <w:rPr>
          <w:rFonts w:asciiTheme="majorHAnsi" w:hAnsiTheme="majorHAnsi"/>
          <w:sz w:val="16"/>
          <w:szCs w:val="16"/>
        </w:rPr>
        <w:t>. December 31, 2009, paras. 144-146.</w:t>
      </w:r>
    </w:p>
  </w:footnote>
  <w:footnote w:id="74">
    <w:p w14:paraId="276A5AD4"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Report No. 76/11. Case 11.769 A. J. Peru. July 20, 2011, para. 166. I/A Court H.R., </w:t>
      </w:r>
      <w:r w:rsidRPr="00C956F7">
        <w:rPr>
          <w:rFonts w:asciiTheme="majorHAnsi" w:eastAsia="Times New Roman" w:hAnsiTheme="majorHAnsi"/>
          <w:bCs/>
          <w:i/>
          <w:sz w:val="16"/>
          <w:szCs w:val="16"/>
          <w:bdr w:val="none" w:sz="0" w:space="0" w:color="auto"/>
          <w:lang w:eastAsia="es-ES"/>
        </w:rPr>
        <w:t>Case of Juan Humberto Sánchez v. Honduras</w:t>
      </w:r>
      <w:r w:rsidRPr="00C956F7">
        <w:rPr>
          <w:rFonts w:asciiTheme="majorHAnsi" w:eastAsia="Times New Roman" w:hAnsiTheme="majorHAnsi"/>
          <w:bCs/>
          <w:sz w:val="16"/>
          <w:szCs w:val="16"/>
          <w:bdr w:val="none" w:sz="0" w:space="0" w:color="auto"/>
          <w:lang w:eastAsia="es-ES"/>
        </w:rPr>
        <w:t>. Preliminary Objection, Merits, Reparations and Costs. Judgment of June 7, 2003. Series C No. 99</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82; and </w:t>
      </w:r>
      <w:r w:rsidRPr="00C956F7">
        <w:rPr>
          <w:rFonts w:asciiTheme="majorHAnsi" w:eastAsia="Times New Roman" w:hAnsiTheme="majorHAnsi"/>
          <w:bCs/>
          <w:i/>
          <w:sz w:val="16"/>
          <w:szCs w:val="16"/>
          <w:bdr w:val="none" w:sz="0" w:space="0" w:color="auto"/>
          <w:lang w:eastAsia="es-ES"/>
        </w:rPr>
        <w:t>Case of Yvon Neptune v. Haiti</w:t>
      </w:r>
      <w:r w:rsidRPr="00C956F7">
        <w:rPr>
          <w:rFonts w:asciiTheme="majorHAnsi" w:eastAsia="Times New Roman" w:hAnsiTheme="majorHAnsi"/>
          <w:bCs/>
          <w:sz w:val="16"/>
          <w:szCs w:val="16"/>
          <w:bdr w:val="none" w:sz="0" w:space="0" w:color="auto"/>
          <w:lang w:eastAsia="es-ES"/>
        </w:rPr>
        <w:t>. Merits, Reparations and Costs. Judgment of May 6, 2008. French Version. Series C No. 180</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noProof/>
          <w:sz w:val="16"/>
          <w:szCs w:val="16"/>
        </w:rPr>
        <w:t xml:space="preserve">para. 107. </w:t>
      </w:r>
    </w:p>
  </w:footnote>
  <w:footnote w:id="75">
    <w:p w14:paraId="362B4145"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Cabrera García and Montiel-Flores v. Mexico</w:t>
      </w:r>
      <w:r w:rsidRPr="00C956F7">
        <w:rPr>
          <w:rFonts w:asciiTheme="majorHAnsi" w:eastAsia="Times New Roman" w:hAnsiTheme="majorHAnsi"/>
          <w:bCs/>
          <w:sz w:val="16"/>
          <w:szCs w:val="16"/>
          <w:bdr w:val="none" w:sz="0" w:space="0" w:color="auto"/>
          <w:lang w:eastAsia="es-ES"/>
        </w:rPr>
        <w:t>. Preliminary Objection, Merits, Reparations, and Costs. Judgment of November 26, 2010 Series C No. 220</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105. </w:t>
      </w:r>
    </w:p>
  </w:footnote>
  <w:footnote w:id="76">
    <w:p w14:paraId="3473CE2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76/11. Case 11.769 A. J. Peru. July 20, 2011, para. 166. I/A Court H.R., </w:t>
      </w:r>
      <w:r w:rsidRPr="00C956F7">
        <w:rPr>
          <w:rFonts w:asciiTheme="majorHAnsi" w:eastAsia="Times New Roman" w:hAnsiTheme="majorHAnsi"/>
          <w:bCs/>
          <w:i/>
          <w:color w:val="auto"/>
          <w:sz w:val="16"/>
          <w:szCs w:val="16"/>
          <w:bdr w:val="none" w:sz="0" w:space="0" w:color="auto"/>
        </w:rPr>
        <w:t>Case of Cabrera García and Montiel-Flores v. Mexico</w:t>
      </w:r>
      <w:r w:rsidRPr="00C956F7">
        <w:rPr>
          <w:rFonts w:asciiTheme="majorHAnsi" w:eastAsia="Times New Roman" w:hAnsiTheme="majorHAnsi"/>
          <w:bCs/>
          <w:color w:val="auto"/>
          <w:sz w:val="16"/>
          <w:szCs w:val="16"/>
          <w:bdr w:val="none" w:sz="0" w:space="0" w:color="auto"/>
        </w:rPr>
        <w:t>. Preliminary Objection, Merits, Reparations, and Costs. Judgment of November 26, 2010 Series C No. 220</w:t>
      </w:r>
      <w:r w:rsidRPr="00C956F7">
        <w:rPr>
          <w:rFonts w:asciiTheme="majorHAnsi" w:hAnsiTheme="majorHAnsi"/>
          <w:color w:val="auto"/>
          <w:sz w:val="16"/>
          <w:szCs w:val="16"/>
        </w:rPr>
        <w:t xml:space="preserve">, para. 106. </w:t>
      </w:r>
    </w:p>
  </w:footnote>
  <w:footnote w:id="77">
    <w:p w14:paraId="59B7AE90"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Fonts w:asciiTheme="majorHAnsi" w:hAnsiTheme="majorHAnsi" w:cs="Arial"/>
          <w:sz w:val="16"/>
          <w:szCs w:val="16"/>
          <w:shd w:val="clear" w:color="auto" w:fill="FFFFFF"/>
        </w:rPr>
        <w:t xml:space="preserve">I/A Court H.R., </w:t>
      </w:r>
      <w:r w:rsidRPr="00C956F7">
        <w:rPr>
          <w:rFonts w:asciiTheme="majorHAnsi" w:eastAsia="Times New Roman" w:hAnsiTheme="majorHAnsi"/>
          <w:bCs/>
          <w:i/>
          <w:sz w:val="16"/>
          <w:szCs w:val="16"/>
          <w:bdr w:val="none" w:sz="0" w:space="0" w:color="auto"/>
          <w:lang w:eastAsia="es-ES"/>
        </w:rPr>
        <w:t>Case of Chaparro Álvarez and Lapo Íñiguez. v. Ecuador</w:t>
      </w:r>
      <w:r w:rsidRPr="00C956F7">
        <w:rPr>
          <w:rFonts w:asciiTheme="majorHAnsi" w:eastAsia="Times New Roman" w:hAnsiTheme="majorHAnsi"/>
          <w:bCs/>
          <w:sz w:val="16"/>
          <w:szCs w:val="16"/>
          <w:bdr w:val="none" w:sz="0" w:space="0" w:color="auto"/>
          <w:lang w:eastAsia="es-ES"/>
        </w:rPr>
        <w:t>. Preliminary Objections, Merits, Reparations and Costs. Judgment of November 21, 2007. Series C No. 170</w:t>
      </w:r>
      <w:r w:rsidRPr="00C956F7">
        <w:rPr>
          <w:rFonts w:asciiTheme="majorHAnsi" w:hAnsiTheme="majorHAnsi"/>
          <w:sz w:val="16"/>
          <w:szCs w:val="16"/>
        </w:rPr>
        <w:t>, para. 66.</w:t>
      </w:r>
    </w:p>
  </w:footnote>
  <w:footnote w:id="78">
    <w:p w14:paraId="76B0BDB3"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w:t>
      </w:r>
      <w:hyperlink r:id="rId2" w:history="1">
        <w:r w:rsidRPr="00C956F7">
          <w:rPr>
            <w:rStyle w:val="Hyperlink"/>
            <w:rFonts w:asciiTheme="majorHAnsi" w:hAnsiTheme="majorHAnsi"/>
            <w:sz w:val="16"/>
            <w:szCs w:val="16"/>
            <w:u w:val="none"/>
          </w:rPr>
          <w:t>Report on the Use of Pretrial Detention in the Americas</w:t>
        </w:r>
      </w:hyperlink>
      <w:r w:rsidRPr="00C956F7">
        <w:rPr>
          <w:rFonts w:asciiTheme="majorHAnsi" w:hAnsiTheme="majorHAnsi"/>
          <w:sz w:val="16"/>
          <w:szCs w:val="16"/>
        </w:rPr>
        <w:t xml:space="preserve">. OEA/Ser.L/V/II. December 30, 2013, para. 20. </w:t>
      </w:r>
      <w:r w:rsidRPr="00C956F7">
        <w:rPr>
          <w:rFonts w:asciiTheme="majorHAnsi" w:hAnsiTheme="majorHAnsi" w:cs="Times"/>
          <w:sz w:val="16"/>
          <w:szCs w:val="16"/>
        </w:rPr>
        <w:t xml:space="preserve">I/A Court H.R., </w:t>
      </w:r>
      <w:r w:rsidRPr="00C956F7">
        <w:rPr>
          <w:rFonts w:asciiTheme="majorHAnsi" w:eastAsia="Times New Roman" w:hAnsiTheme="majorHAnsi"/>
          <w:bCs/>
          <w:i/>
          <w:sz w:val="16"/>
          <w:szCs w:val="16"/>
          <w:bdr w:val="none" w:sz="0" w:space="0" w:color="auto"/>
          <w:lang w:eastAsia="es-ES"/>
        </w:rPr>
        <w:t>Case of López Álvarez v. Honduras</w:t>
      </w:r>
      <w:r w:rsidRPr="00C956F7">
        <w:rPr>
          <w:rFonts w:asciiTheme="majorHAnsi" w:eastAsia="Times New Roman" w:hAnsiTheme="majorHAnsi"/>
          <w:bCs/>
          <w:sz w:val="16"/>
          <w:szCs w:val="16"/>
          <w:bdr w:val="none" w:sz="0" w:space="0" w:color="auto"/>
          <w:lang w:eastAsia="es-ES"/>
        </w:rPr>
        <w:t>. Merits, Reparations and Costs. Judgment of February 1, 2006. Series C No. 141</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67; </w:t>
      </w:r>
      <w:r w:rsidRPr="00C956F7">
        <w:rPr>
          <w:rFonts w:asciiTheme="majorHAnsi" w:eastAsia="Times New Roman" w:hAnsiTheme="majorHAnsi"/>
          <w:bCs/>
          <w:i/>
          <w:sz w:val="16"/>
          <w:szCs w:val="16"/>
          <w:bdr w:val="none" w:sz="0" w:space="0" w:color="auto"/>
          <w:lang w:eastAsia="es-ES"/>
        </w:rPr>
        <w:t>Case of García Asto and Ramírez Rojas v. Peru</w:t>
      </w:r>
      <w:r w:rsidRPr="00C956F7">
        <w:rPr>
          <w:rFonts w:asciiTheme="majorHAnsi" w:eastAsia="Times New Roman" w:hAnsiTheme="majorHAnsi"/>
          <w:bCs/>
          <w:sz w:val="16"/>
          <w:szCs w:val="16"/>
          <w:bdr w:val="none" w:sz="0" w:space="0" w:color="auto"/>
          <w:lang w:eastAsia="es-ES"/>
        </w:rPr>
        <w:t>. Judgment of November 25, 2005. Series C No. 137</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106; </w:t>
      </w:r>
      <w:r w:rsidRPr="00C956F7">
        <w:rPr>
          <w:rFonts w:asciiTheme="majorHAnsi" w:eastAsia="Times New Roman" w:hAnsiTheme="majorHAnsi"/>
          <w:bCs/>
          <w:i/>
          <w:sz w:val="16"/>
          <w:szCs w:val="16"/>
          <w:bdr w:val="none" w:sz="0" w:space="0" w:color="auto"/>
          <w:lang w:eastAsia="es-ES"/>
        </w:rPr>
        <w:t>Case of Palamara Iribarne v. Chile</w:t>
      </w:r>
      <w:r w:rsidRPr="00C956F7">
        <w:rPr>
          <w:rFonts w:asciiTheme="majorHAnsi" w:eastAsia="Times New Roman" w:hAnsiTheme="majorHAnsi"/>
          <w:bCs/>
          <w:sz w:val="16"/>
          <w:szCs w:val="16"/>
          <w:bdr w:val="none" w:sz="0" w:space="0" w:color="auto"/>
          <w:lang w:eastAsia="es-ES"/>
        </w:rPr>
        <w:t>. Judgment of November 22, 2005. Series C No. 135</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197; and </w:t>
      </w:r>
      <w:r w:rsidRPr="00C956F7">
        <w:rPr>
          <w:rFonts w:asciiTheme="majorHAnsi" w:eastAsia="Times New Roman" w:hAnsiTheme="majorHAnsi"/>
          <w:bCs/>
          <w:i/>
          <w:sz w:val="16"/>
          <w:szCs w:val="16"/>
          <w:bdr w:val="none" w:sz="0" w:space="0" w:color="auto"/>
          <w:lang w:eastAsia="es-ES"/>
        </w:rPr>
        <w:t>Case of Acosta Calderón v. Ecuador</w:t>
      </w:r>
      <w:r w:rsidRPr="00C956F7">
        <w:rPr>
          <w:rFonts w:asciiTheme="majorHAnsi" w:eastAsia="Times New Roman" w:hAnsiTheme="majorHAnsi"/>
          <w:bCs/>
          <w:sz w:val="16"/>
          <w:szCs w:val="16"/>
          <w:bdr w:val="none" w:sz="0" w:space="0" w:color="auto"/>
          <w:lang w:eastAsia="es-ES"/>
        </w:rPr>
        <w:t>. Judgment of June 24, 2005. Series C No. 129</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cs="Times"/>
          <w:sz w:val="16"/>
          <w:szCs w:val="16"/>
        </w:rPr>
        <w:t>para.</w:t>
      </w:r>
      <w:r w:rsidRPr="00C956F7">
        <w:rPr>
          <w:rFonts w:asciiTheme="majorHAnsi" w:hAnsiTheme="majorHAnsi"/>
          <w:sz w:val="16"/>
          <w:szCs w:val="16"/>
        </w:rPr>
        <w:t xml:space="preserve"> 74.</w:t>
      </w:r>
    </w:p>
  </w:footnote>
  <w:footnote w:id="79">
    <w:p w14:paraId="756A71BD"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Suárez Rosero v. Ecuador</w:t>
      </w:r>
      <w:r w:rsidRPr="00C956F7">
        <w:rPr>
          <w:rFonts w:asciiTheme="majorHAnsi" w:eastAsia="Times New Roman" w:hAnsiTheme="majorHAnsi"/>
          <w:bCs/>
          <w:sz w:val="16"/>
          <w:szCs w:val="16"/>
          <w:bdr w:val="none" w:sz="0" w:space="0" w:color="auto"/>
          <w:lang w:eastAsia="es-ES"/>
        </w:rPr>
        <w:t>. Merits. Judgment of November 12, 1997. Series C No. 35</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para. 77.</w:t>
      </w:r>
    </w:p>
  </w:footnote>
  <w:footnote w:id="80">
    <w:p w14:paraId="0F9A474A"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w:t>
      </w:r>
      <w:hyperlink r:id="rId3" w:history="1">
        <w:r w:rsidRPr="00C956F7">
          <w:rPr>
            <w:rStyle w:val="Hyperlink"/>
            <w:rFonts w:asciiTheme="majorHAnsi" w:hAnsiTheme="majorHAnsi"/>
            <w:i/>
            <w:sz w:val="16"/>
            <w:szCs w:val="16"/>
            <w:u w:val="none"/>
          </w:rPr>
          <w:t>Report on the Use of Pretrial Detention in the Americas</w:t>
        </w:r>
      </w:hyperlink>
      <w:r w:rsidRPr="00C956F7">
        <w:rPr>
          <w:rFonts w:asciiTheme="majorHAnsi" w:hAnsiTheme="majorHAnsi"/>
          <w:sz w:val="16"/>
          <w:szCs w:val="16"/>
        </w:rPr>
        <w:t xml:space="preserve">. OEA/Ser.L/V/II. December 30, 2013, para. 21; </w:t>
      </w:r>
      <w:r w:rsidRPr="00C956F7">
        <w:rPr>
          <w:rFonts w:asciiTheme="majorHAnsi" w:hAnsiTheme="majorHAnsi" w:cs="Times"/>
          <w:sz w:val="16"/>
          <w:szCs w:val="16"/>
        </w:rPr>
        <w:t xml:space="preserve">I/A Court H.R., </w:t>
      </w:r>
      <w:r w:rsidRPr="00C956F7">
        <w:rPr>
          <w:rFonts w:asciiTheme="majorHAnsi" w:eastAsia="Times New Roman" w:hAnsiTheme="majorHAnsi"/>
          <w:bCs/>
          <w:i/>
          <w:sz w:val="16"/>
          <w:szCs w:val="16"/>
          <w:bdr w:val="none" w:sz="0" w:space="0" w:color="auto"/>
          <w:lang w:eastAsia="es-ES"/>
        </w:rPr>
        <w:t>Case of López Álvarez v. Honduras</w:t>
      </w:r>
      <w:r w:rsidRPr="00C956F7">
        <w:rPr>
          <w:rFonts w:asciiTheme="majorHAnsi" w:eastAsia="Times New Roman" w:hAnsiTheme="majorHAnsi"/>
          <w:bCs/>
          <w:sz w:val="16"/>
          <w:szCs w:val="16"/>
          <w:bdr w:val="none" w:sz="0" w:space="0" w:color="auto"/>
          <w:lang w:eastAsia="es-ES"/>
        </w:rPr>
        <w:t>. Judgment of February 1, 2006. Series C No. 141</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67; </w:t>
      </w:r>
      <w:r w:rsidRPr="00C956F7">
        <w:rPr>
          <w:rFonts w:asciiTheme="majorHAnsi" w:eastAsia="Times New Roman" w:hAnsiTheme="majorHAnsi"/>
          <w:bCs/>
          <w:i/>
          <w:sz w:val="16"/>
          <w:szCs w:val="16"/>
          <w:bdr w:val="none" w:sz="0" w:space="0" w:color="auto"/>
          <w:lang w:eastAsia="es-ES"/>
        </w:rPr>
        <w:t>Case of Palamara Iribarne v. Chile</w:t>
      </w:r>
      <w:r w:rsidRPr="00C956F7">
        <w:rPr>
          <w:rFonts w:asciiTheme="majorHAnsi" w:eastAsia="Times New Roman" w:hAnsiTheme="majorHAnsi"/>
          <w:bCs/>
          <w:sz w:val="16"/>
          <w:szCs w:val="16"/>
          <w:bdr w:val="none" w:sz="0" w:space="0" w:color="auto"/>
          <w:lang w:eastAsia="es-ES"/>
        </w:rPr>
        <w:t xml:space="preserve">. Judgment of November 22, 2005. </w:t>
      </w:r>
      <w:r w:rsidRPr="00C956F7">
        <w:rPr>
          <w:rFonts w:asciiTheme="majorHAnsi" w:eastAsia="Times New Roman" w:hAnsiTheme="majorHAnsi"/>
          <w:bCs/>
          <w:sz w:val="16"/>
          <w:szCs w:val="16"/>
          <w:bdr w:val="none" w:sz="0" w:space="0" w:color="auto"/>
          <w:lang w:val="es-ES" w:eastAsia="es-ES"/>
        </w:rPr>
        <w:t>Series C No. 135</w:t>
      </w:r>
      <w:r w:rsidRPr="00C956F7">
        <w:rPr>
          <w:rFonts w:asciiTheme="majorHAnsi" w:eastAsia="Times New Roman" w:hAnsiTheme="majorHAnsi"/>
          <w:sz w:val="16"/>
          <w:szCs w:val="16"/>
          <w:bdr w:val="none" w:sz="0" w:space="0" w:color="auto"/>
          <w:lang w:val="es-ES" w:eastAsia="es-ES"/>
        </w:rPr>
        <w:t xml:space="preserve">, </w:t>
      </w:r>
      <w:r w:rsidRPr="00C956F7">
        <w:rPr>
          <w:rFonts w:asciiTheme="majorHAnsi" w:hAnsiTheme="majorHAnsi"/>
          <w:sz w:val="16"/>
          <w:szCs w:val="16"/>
          <w:lang w:val="es-ES"/>
        </w:rPr>
        <w:t xml:space="preserve">para. 196; and </w:t>
      </w:r>
      <w:r w:rsidRPr="00C956F7">
        <w:rPr>
          <w:rFonts w:asciiTheme="majorHAnsi" w:eastAsia="Times New Roman" w:hAnsiTheme="majorHAnsi"/>
          <w:bCs/>
          <w:i/>
          <w:sz w:val="16"/>
          <w:szCs w:val="16"/>
          <w:bdr w:val="none" w:sz="0" w:space="0" w:color="auto"/>
          <w:lang w:val="es-ES" w:eastAsia="es-ES"/>
        </w:rPr>
        <w:t>Case of Acosta Calderón v. Ecuador</w:t>
      </w:r>
      <w:r w:rsidRPr="00C956F7">
        <w:rPr>
          <w:rFonts w:asciiTheme="majorHAnsi" w:eastAsia="Times New Roman" w:hAnsiTheme="majorHAnsi"/>
          <w:bCs/>
          <w:sz w:val="16"/>
          <w:szCs w:val="16"/>
          <w:bdr w:val="none" w:sz="0" w:space="0" w:color="auto"/>
          <w:lang w:val="es-ES" w:eastAsia="es-ES"/>
        </w:rPr>
        <w:t xml:space="preserve">. </w:t>
      </w:r>
      <w:r w:rsidRPr="00C956F7">
        <w:rPr>
          <w:rFonts w:asciiTheme="majorHAnsi" w:eastAsia="Times New Roman" w:hAnsiTheme="majorHAnsi"/>
          <w:bCs/>
          <w:sz w:val="16"/>
          <w:szCs w:val="16"/>
          <w:bdr w:val="none" w:sz="0" w:space="0" w:color="auto"/>
          <w:lang w:eastAsia="es-ES"/>
        </w:rPr>
        <w:t>Judgment of June 24, 2005. Series C No. 129</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para. 74.</w:t>
      </w:r>
    </w:p>
  </w:footnote>
  <w:footnote w:id="81">
    <w:p w14:paraId="2CAD9D74"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w:t>
      </w:r>
      <w:hyperlink r:id="rId4" w:history="1">
        <w:r w:rsidRPr="00C956F7">
          <w:rPr>
            <w:rStyle w:val="Hyperlink"/>
            <w:rFonts w:asciiTheme="majorHAnsi" w:hAnsiTheme="majorHAnsi"/>
            <w:sz w:val="16"/>
            <w:szCs w:val="16"/>
            <w:u w:val="none"/>
          </w:rPr>
          <w:t>Report on the Use of Pretrial Detention in the Americas</w:t>
        </w:r>
      </w:hyperlink>
      <w:r w:rsidRPr="00C956F7">
        <w:rPr>
          <w:rFonts w:asciiTheme="majorHAnsi" w:hAnsiTheme="majorHAnsi"/>
          <w:sz w:val="16"/>
          <w:szCs w:val="16"/>
        </w:rPr>
        <w:t xml:space="preserve">. OEA/Ser.L/V/II. December 30, 2013, para. 21; </w:t>
      </w:r>
      <w:r w:rsidRPr="00C956F7">
        <w:rPr>
          <w:rFonts w:asciiTheme="majorHAnsi" w:hAnsiTheme="majorHAnsi" w:cs="Calibri"/>
          <w:sz w:val="16"/>
          <w:szCs w:val="16"/>
          <w:lang w:eastAsia="es-ES"/>
        </w:rPr>
        <w:t xml:space="preserve">I/A Court H.R., </w:t>
      </w:r>
      <w:r w:rsidRPr="00C956F7">
        <w:rPr>
          <w:rFonts w:asciiTheme="majorHAnsi" w:eastAsia="Times New Roman" w:hAnsiTheme="majorHAnsi"/>
          <w:bCs/>
          <w:i/>
          <w:sz w:val="16"/>
          <w:szCs w:val="16"/>
          <w:bdr w:val="none" w:sz="0" w:space="0" w:color="auto"/>
          <w:lang w:eastAsia="es-ES"/>
        </w:rPr>
        <w:t>Case of López Álvarez v. Honduras</w:t>
      </w:r>
      <w:r w:rsidRPr="00C956F7">
        <w:rPr>
          <w:rFonts w:asciiTheme="majorHAnsi" w:eastAsia="Times New Roman" w:hAnsiTheme="majorHAnsi"/>
          <w:bCs/>
          <w:sz w:val="16"/>
          <w:szCs w:val="16"/>
          <w:bdr w:val="none" w:sz="0" w:space="0" w:color="auto"/>
          <w:lang w:eastAsia="es-ES"/>
        </w:rPr>
        <w:t xml:space="preserve">. Judgment of February 1, 2006. Series C No. 141, </w:t>
      </w:r>
      <w:r w:rsidRPr="00C956F7">
        <w:rPr>
          <w:rFonts w:asciiTheme="majorHAnsi" w:hAnsiTheme="majorHAnsi"/>
          <w:sz w:val="16"/>
          <w:szCs w:val="16"/>
        </w:rPr>
        <w:t>para. 69.</w:t>
      </w:r>
    </w:p>
  </w:footnote>
  <w:footnote w:id="82">
    <w:p w14:paraId="1B7E2E21"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Barreto Leiva v. Venezuela</w:t>
      </w:r>
      <w:r w:rsidRPr="00C956F7">
        <w:rPr>
          <w:rFonts w:asciiTheme="majorHAnsi" w:eastAsia="Times New Roman" w:hAnsiTheme="majorHAnsi"/>
          <w:bCs/>
          <w:sz w:val="16"/>
          <w:szCs w:val="16"/>
          <w:bdr w:val="none" w:sz="0" w:space="0" w:color="auto"/>
          <w:lang w:eastAsia="es-ES"/>
        </w:rPr>
        <w:t xml:space="preserve">. Merits, Reparations and Costs. Judgment of November 17, 2009. Series C No. 206, </w:t>
      </w:r>
      <w:r w:rsidRPr="00C956F7">
        <w:rPr>
          <w:rFonts w:asciiTheme="majorHAnsi" w:hAnsiTheme="majorHAnsi"/>
          <w:sz w:val="16"/>
          <w:szCs w:val="16"/>
        </w:rPr>
        <w:t>para. 111.</w:t>
      </w:r>
    </w:p>
  </w:footnote>
  <w:footnote w:id="83">
    <w:p w14:paraId="52BC6A4D"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Chaparro Álvarez and Lapo Íñiguez. v. Ecuador</w:t>
      </w:r>
      <w:r w:rsidRPr="00C956F7">
        <w:rPr>
          <w:rFonts w:asciiTheme="majorHAnsi" w:eastAsia="Times New Roman" w:hAnsiTheme="majorHAnsi"/>
          <w:bCs/>
          <w:sz w:val="16"/>
          <w:szCs w:val="16"/>
          <w:bdr w:val="none" w:sz="0" w:space="0" w:color="auto"/>
          <w:lang w:eastAsia="es-ES"/>
        </w:rPr>
        <w:t xml:space="preserve">. Preliminary Objections, Merits, Reparations and Costs. Judgment of November 21, 2007. Series C No. 170, </w:t>
      </w:r>
      <w:r w:rsidRPr="00C956F7">
        <w:rPr>
          <w:rFonts w:asciiTheme="majorHAnsi" w:hAnsiTheme="majorHAnsi"/>
          <w:sz w:val="16"/>
          <w:szCs w:val="16"/>
        </w:rPr>
        <w:t>para. 103.</w:t>
      </w:r>
    </w:p>
  </w:footnote>
  <w:footnote w:id="84">
    <w:p w14:paraId="2146DC4C" w14:textId="77777777" w:rsidR="00907400" w:rsidRPr="00C956F7" w:rsidRDefault="00907400" w:rsidP="00C956F7">
      <w:pPr>
        <w:jc w:val="both"/>
        <w:outlineLvl w:val="0"/>
        <w:rPr>
          <w:rFonts w:asciiTheme="majorHAnsi" w:hAnsiTheme="majorHAnsi"/>
          <w:sz w:val="16"/>
          <w:szCs w:val="16"/>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w:t>
      </w:r>
      <w:hyperlink r:id="rId5" w:history="1">
        <w:r w:rsidRPr="00C956F7">
          <w:rPr>
            <w:rStyle w:val="Hyperlink"/>
            <w:rFonts w:asciiTheme="majorHAnsi" w:hAnsiTheme="majorHAnsi"/>
            <w:sz w:val="16"/>
            <w:szCs w:val="16"/>
            <w:u w:val="none"/>
          </w:rPr>
          <w:t>Report on the Use of Pretrial Detention in the Americas</w:t>
        </w:r>
      </w:hyperlink>
      <w:r w:rsidRPr="00C956F7">
        <w:rPr>
          <w:rFonts w:asciiTheme="majorHAnsi" w:hAnsiTheme="majorHAnsi"/>
          <w:sz w:val="16"/>
          <w:szCs w:val="16"/>
        </w:rPr>
        <w:t xml:space="preserve">. OEA/Ser.L/V/II. Doc. 46/13. December 30, 2013, para. 21. </w:t>
      </w:r>
    </w:p>
  </w:footnote>
  <w:footnote w:id="85">
    <w:p w14:paraId="367E1EA9"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Fonts w:asciiTheme="majorHAnsi" w:hAnsiTheme="majorHAnsi" w:cs="Calibri"/>
          <w:sz w:val="16"/>
          <w:szCs w:val="16"/>
          <w:lang w:eastAsia="es-ES"/>
        </w:rPr>
        <w:t xml:space="preserve">I/A Court H.R., </w:t>
      </w:r>
      <w:r w:rsidRPr="00C956F7">
        <w:rPr>
          <w:rFonts w:asciiTheme="majorHAnsi" w:eastAsia="Times New Roman" w:hAnsiTheme="majorHAnsi"/>
          <w:bCs/>
          <w:i/>
          <w:sz w:val="16"/>
          <w:szCs w:val="16"/>
          <w:bdr w:val="none" w:sz="0" w:space="0" w:color="auto"/>
          <w:lang w:eastAsia="es-ES"/>
        </w:rPr>
        <w:t>Case of Usón Ramírez v. Venezuela</w:t>
      </w:r>
      <w:r w:rsidRPr="00C956F7">
        <w:rPr>
          <w:rFonts w:asciiTheme="majorHAnsi" w:eastAsia="Times New Roman" w:hAnsiTheme="majorHAnsi"/>
          <w:bCs/>
          <w:sz w:val="16"/>
          <w:szCs w:val="16"/>
          <w:bdr w:val="none" w:sz="0" w:space="0" w:color="auto"/>
          <w:lang w:eastAsia="es-ES"/>
        </w:rPr>
        <w:t>. Preliminary Objection, Merits, Reparations and Costs. Judgment of November 20, 2009. Series C No. 207</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cs="Calibri"/>
          <w:sz w:val="16"/>
          <w:szCs w:val="16"/>
          <w:lang w:eastAsia="es-ES"/>
        </w:rPr>
        <w:t>para. 144.</w:t>
      </w:r>
    </w:p>
  </w:footnote>
  <w:footnote w:id="86">
    <w:p w14:paraId="1F6B0513"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eastAsia="Arial Unicode MS" w:hAnsiTheme="majorHAnsi"/>
          <w:color w:val="auto"/>
          <w:sz w:val="16"/>
          <w:szCs w:val="16"/>
        </w:rPr>
        <w:footnoteRef/>
      </w:r>
      <w:r w:rsidRPr="00C956F7">
        <w:rPr>
          <w:rFonts w:asciiTheme="majorHAnsi" w:hAnsiTheme="majorHAnsi"/>
          <w:color w:val="auto"/>
          <w:sz w:val="16"/>
          <w:szCs w:val="16"/>
        </w:rPr>
        <w:t xml:space="preserve"> IACHR, </w:t>
      </w:r>
      <w:hyperlink r:id="rId6" w:history="1">
        <w:r w:rsidRPr="00C956F7">
          <w:rPr>
            <w:rStyle w:val="Hyperlink"/>
            <w:rFonts w:asciiTheme="majorHAnsi" w:hAnsiTheme="majorHAnsi"/>
            <w:i/>
            <w:color w:val="auto"/>
            <w:sz w:val="16"/>
            <w:szCs w:val="16"/>
            <w:u w:val="none"/>
          </w:rPr>
          <w:t>Report on the Use of Pretrial Detention in the Americas</w:t>
        </w:r>
      </w:hyperlink>
      <w:r w:rsidRPr="00C956F7">
        <w:rPr>
          <w:rFonts w:asciiTheme="majorHAnsi" w:hAnsiTheme="majorHAnsi"/>
          <w:color w:val="auto"/>
          <w:sz w:val="16"/>
          <w:szCs w:val="16"/>
        </w:rPr>
        <w:t>. OEA/Ser.L/V/II. December 30, 2013, para. 137.</w:t>
      </w:r>
    </w:p>
  </w:footnote>
  <w:footnote w:id="87">
    <w:p w14:paraId="67AE6EE9"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Article 8. Right to a Fair Trial.</w:t>
      </w:r>
    </w:p>
    <w:p w14:paraId="29E1C5A6"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Fonts w:asciiTheme="majorHAnsi" w:eastAsia="Times New Roman" w:hAnsiTheme="majorHAnsi" w:cs="Tahoma"/>
          <w:sz w:val="16"/>
          <w:szCs w:val="16"/>
          <w:lang w:eastAsia="es-ES"/>
        </w:rPr>
        <w:t xml:space="preserve"> 1. </w:t>
      </w:r>
      <w:r w:rsidRPr="00C956F7">
        <w:rPr>
          <w:rFonts w:asciiTheme="majorHAnsi" w:eastAsia="Times New Roman" w:hAnsiTheme="majorHAnsi" w:cs="Tahoma"/>
          <w:sz w:val="16"/>
          <w:szCs w:val="16"/>
          <w:bdr w:val="none" w:sz="0" w:space="0" w:color="auto"/>
          <w:lang w:eastAsia="es-ES"/>
        </w:rPr>
        <w:t>Every person has the right to a hearing, with due guarantees and within a reasonable time, by a competent, independent, and impartial tribunal, previously established by law, in the substantiation of any accusation of a criminal nature made against him or for the determination of his rights and obligations of a civil, labor, fiscal, or any other nature.</w:t>
      </w:r>
    </w:p>
    <w:p w14:paraId="55684573"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Fonts w:asciiTheme="majorHAnsi" w:eastAsia="Times New Roman" w:hAnsiTheme="majorHAnsi" w:cs="Tahoma"/>
          <w:sz w:val="16"/>
          <w:szCs w:val="16"/>
          <w:lang w:eastAsia="es-ES"/>
        </w:rPr>
        <w:t xml:space="preserve"> 2. </w:t>
      </w:r>
      <w:r w:rsidRPr="00C956F7">
        <w:rPr>
          <w:rFonts w:asciiTheme="majorHAnsi" w:eastAsia="Times New Roman" w:hAnsiTheme="majorHAnsi" w:cs="Tahoma"/>
          <w:sz w:val="16"/>
          <w:szCs w:val="16"/>
          <w:bdr w:val="none" w:sz="0" w:space="0" w:color="auto"/>
          <w:lang w:eastAsia="es-ES"/>
        </w:rPr>
        <w:t>Every person accused of a criminal offense has the right to be presumed innocent so long as his guilt has not been proven according to law. During the proceedings, every person is entitled, with full equality, to the following minimum guarantees</w:t>
      </w:r>
      <w:r w:rsidRPr="00C956F7">
        <w:rPr>
          <w:rFonts w:asciiTheme="majorHAnsi" w:eastAsia="Times New Roman" w:hAnsiTheme="majorHAnsi" w:cs="Tahoma"/>
          <w:sz w:val="16"/>
          <w:szCs w:val="16"/>
          <w:lang w:eastAsia="es-ES"/>
        </w:rPr>
        <w:t>:</w:t>
      </w:r>
    </w:p>
    <w:p w14:paraId="1C3D25F2" w14:textId="77777777" w:rsidR="00907400" w:rsidRPr="00C956F7" w:rsidRDefault="00907400" w:rsidP="00C956F7">
      <w:pPr>
        <w:jc w:val="both"/>
        <w:rPr>
          <w:rFonts w:asciiTheme="majorHAnsi" w:eastAsia="Times New Roman" w:hAnsiTheme="majorHAnsi" w:cs="Tahoma"/>
          <w:sz w:val="16"/>
          <w:szCs w:val="16"/>
          <w:lang w:eastAsia="es-ES"/>
        </w:rPr>
      </w:pPr>
      <w:r w:rsidRPr="00C956F7">
        <w:rPr>
          <w:rFonts w:asciiTheme="majorHAnsi" w:eastAsia="Times New Roman" w:hAnsiTheme="majorHAnsi" w:cs="Tahoma"/>
          <w:sz w:val="16"/>
          <w:szCs w:val="16"/>
          <w:lang w:eastAsia="es-ES"/>
        </w:rPr>
        <w:t>(…)</w:t>
      </w:r>
    </w:p>
    <w:p w14:paraId="70E56E3B"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Fonts w:asciiTheme="majorHAnsi" w:hAnsiTheme="majorHAnsi" w:cs="Verdana"/>
          <w:sz w:val="16"/>
          <w:szCs w:val="16"/>
          <w:lang w:bidi="en-US"/>
        </w:rPr>
        <w:t>b) </w:t>
      </w:r>
      <w:r w:rsidRPr="00C956F7">
        <w:rPr>
          <w:rFonts w:asciiTheme="majorHAnsi" w:eastAsia="Times New Roman" w:hAnsiTheme="majorHAnsi" w:cs="Tahoma"/>
          <w:sz w:val="16"/>
          <w:szCs w:val="16"/>
          <w:bdr w:val="none" w:sz="0" w:space="0" w:color="auto"/>
          <w:lang w:eastAsia="es-ES"/>
        </w:rPr>
        <w:t>prior notification in detail to the accused of the charges against him</w:t>
      </w:r>
      <w:r w:rsidRPr="00C956F7">
        <w:rPr>
          <w:rFonts w:asciiTheme="majorHAnsi" w:hAnsiTheme="majorHAnsi" w:cs="Verdana"/>
          <w:sz w:val="16"/>
          <w:szCs w:val="16"/>
          <w:lang w:bidi="en-US"/>
        </w:rPr>
        <w:t>;</w:t>
      </w:r>
    </w:p>
    <w:p w14:paraId="2CC2CBEA"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Fonts w:asciiTheme="majorHAnsi" w:eastAsia="Times New Roman" w:hAnsiTheme="majorHAnsi" w:cs="Tahoma"/>
          <w:sz w:val="16"/>
          <w:szCs w:val="16"/>
          <w:lang w:eastAsia="es-ES"/>
        </w:rPr>
        <w:t xml:space="preserve">c) </w:t>
      </w:r>
      <w:r w:rsidRPr="00C956F7">
        <w:rPr>
          <w:rFonts w:asciiTheme="majorHAnsi" w:eastAsia="Times New Roman" w:hAnsiTheme="majorHAnsi" w:cs="Tahoma"/>
          <w:sz w:val="16"/>
          <w:szCs w:val="16"/>
          <w:bdr w:val="none" w:sz="0" w:space="0" w:color="auto"/>
          <w:lang w:eastAsia="es-ES"/>
        </w:rPr>
        <w:t>adequate time and means for the preparation of his defense</w:t>
      </w:r>
      <w:r w:rsidRPr="00C956F7">
        <w:rPr>
          <w:rFonts w:asciiTheme="majorHAnsi" w:eastAsia="Times New Roman" w:hAnsiTheme="majorHAnsi" w:cs="Tahoma"/>
          <w:sz w:val="16"/>
          <w:szCs w:val="16"/>
          <w:lang w:eastAsia="es-ES"/>
        </w:rPr>
        <w:t>;</w:t>
      </w:r>
    </w:p>
    <w:p w14:paraId="48159ADC" w14:textId="77777777" w:rsidR="00907400" w:rsidRPr="00C956F7" w:rsidRDefault="00907400" w:rsidP="00C956F7">
      <w:pPr>
        <w:jc w:val="both"/>
        <w:rPr>
          <w:rFonts w:asciiTheme="majorHAnsi" w:eastAsia="Times New Roman" w:hAnsiTheme="majorHAnsi" w:cs="Tahoma"/>
          <w:sz w:val="16"/>
          <w:szCs w:val="16"/>
          <w:lang w:eastAsia="es-ES"/>
        </w:rPr>
      </w:pPr>
      <w:r w:rsidRPr="00C956F7">
        <w:rPr>
          <w:rFonts w:asciiTheme="majorHAnsi" w:eastAsia="Times New Roman" w:hAnsiTheme="majorHAnsi" w:cs="Tahoma"/>
          <w:sz w:val="16"/>
          <w:szCs w:val="16"/>
          <w:lang w:eastAsia="es-ES"/>
        </w:rPr>
        <w:t> (…)</w:t>
      </w:r>
    </w:p>
    <w:p w14:paraId="7FE2D55E"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Fonts w:asciiTheme="majorHAnsi" w:eastAsia="Times New Roman" w:hAnsiTheme="majorHAnsi" w:cs="Tahoma"/>
          <w:sz w:val="16"/>
          <w:szCs w:val="16"/>
          <w:lang w:eastAsia="es-ES"/>
        </w:rPr>
        <w:t xml:space="preserve"> f) </w:t>
      </w:r>
      <w:r w:rsidRPr="00C956F7">
        <w:rPr>
          <w:rFonts w:asciiTheme="majorHAnsi" w:eastAsia="Times New Roman" w:hAnsiTheme="majorHAnsi" w:cs="Tahoma"/>
          <w:sz w:val="16"/>
          <w:szCs w:val="16"/>
          <w:bdr w:val="none" w:sz="0" w:space="0" w:color="auto"/>
          <w:lang w:eastAsia="es-ES"/>
        </w:rPr>
        <w:t>the right of the defense to examine witnesses present in the court and to obtain the appearance, as witnesses, of experts or other persons who may throw light on the facts</w:t>
      </w:r>
      <w:r w:rsidRPr="00C956F7">
        <w:rPr>
          <w:rFonts w:asciiTheme="majorHAnsi" w:eastAsia="Times New Roman" w:hAnsiTheme="majorHAnsi" w:cs="Tahoma"/>
          <w:sz w:val="16"/>
          <w:szCs w:val="16"/>
          <w:lang w:eastAsia="es-ES"/>
        </w:rPr>
        <w:t> (…).</w:t>
      </w:r>
    </w:p>
  </w:footnote>
  <w:footnote w:id="88">
    <w:p w14:paraId="3C20631F"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Article 25. Right to Judicial Protection.</w:t>
      </w:r>
    </w:p>
    <w:p w14:paraId="41876C5C" w14:textId="77777777" w:rsidR="00907400" w:rsidRPr="00C956F7" w:rsidRDefault="00907400" w:rsidP="00C956F7">
      <w:pPr>
        <w:rPr>
          <w:rFonts w:asciiTheme="majorHAnsi" w:eastAsia="Times New Roman" w:hAnsiTheme="majorHAnsi"/>
          <w:sz w:val="16"/>
          <w:szCs w:val="16"/>
        </w:rPr>
      </w:pPr>
      <w:r w:rsidRPr="00C956F7">
        <w:rPr>
          <w:rFonts w:asciiTheme="majorHAnsi" w:eastAsia="Times New Roman" w:hAnsiTheme="majorHAnsi" w:cs="Tahoma"/>
          <w:sz w:val="16"/>
          <w:szCs w:val="16"/>
          <w:lang w:eastAsia="es-ES"/>
        </w:rPr>
        <w:t xml:space="preserve">1. </w:t>
      </w:r>
      <w:r w:rsidRPr="00C956F7">
        <w:rPr>
          <w:rFonts w:asciiTheme="majorHAnsi" w:eastAsia="Times New Roman" w:hAnsiTheme="majorHAnsi" w:cs="Tahoma"/>
          <w:sz w:val="16"/>
          <w:szCs w:val="16"/>
        </w:rPr>
        <w:t>Everyone has the right to simple and prompt recourse, or any other effective recourse, to a competent court or tribunal for protection against acts that violate his fundamental rights recognized by the constitution or laws of the state concerned or by this Convention, even though such violation may have been committed by persons acting in the course of their official duties</w:t>
      </w:r>
    </w:p>
    <w:p w14:paraId="0354E5EF" w14:textId="77777777" w:rsidR="00907400" w:rsidRPr="00C956F7" w:rsidRDefault="00907400" w:rsidP="00C956F7">
      <w:pPr>
        <w:jc w:val="both"/>
        <w:rPr>
          <w:rFonts w:asciiTheme="majorHAnsi" w:eastAsia="Times New Roman" w:hAnsiTheme="majorHAnsi" w:cs="Tahoma"/>
          <w:sz w:val="16"/>
          <w:szCs w:val="16"/>
          <w:lang w:eastAsia="es-ES"/>
        </w:rPr>
      </w:pPr>
      <w:r w:rsidRPr="00C956F7">
        <w:rPr>
          <w:rFonts w:asciiTheme="majorHAnsi" w:eastAsia="Times New Roman" w:hAnsiTheme="majorHAnsi" w:cs="Tahoma"/>
          <w:sz w:val="16"/>
          <w:szCs w:val="16"/>
          <w:lang w:eastAsia="es-ES"/>
        </w:rPr>
        <w:t xml:space="preserve"> (…).</w:t>
      </w:r>
    </w:p>
  </w:footnote>
  <w:footnote w:id="89">
    <w:p w14:paraId="6B05B380" w14:textId="77777777" w:rsidR="00907400" w:rsidRPr="00C956F7" w:rsidRDefault="00907400" w:rsidP="00C956F7">
      <w:pPr>
        <w:jc w:val="both"/>
        <w:rPr>
          <w:rFonts w:asciiTheme="majorHAnsi" w:hAnsiTheme="majorHAnsi"/>
          <w:sz w:val="16"/>
          <w:szCs w:val="16"/>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Complaint to the Inter-American Court of Human Rights. </w:t>
      </w:r>
      <w:r w:rsidRPr="00C956F7">
        <w:rPr>
          <w:rFonts w:asciiTheme="majorHAnsi" w:hAnsiTheme="majorHAnsi"/>
          <w:i/>
          <w:sz w:val="16"/>
          <w:szCs w:val="16"/>
        </w:rPr>
        <w:t>Case of García Asto and Ramírez Rojas v. Peru</w:t>
      </w:r>
      <w:r w:rsidRPr="00C956F7">
        <w:rPr>
          <w:rFonts w:asciiTheme="majorHAnsi" w:hAnsiTheme="majorHAnsi"/>
          <w:sz w:val="16"/>
          <w:szCs w:val="16"/>
        </w:rPr>
        <w:t xml:space="preserve"> of June 22, 2004, para. 114. See also: IACHR. </w:t>
      </w:r>
      <w:r w:rsidRPr="00C956F7">
        <w:rPr>
          <w:rFonts w:asciiTheme="majorHAnsi" w:hAnsiTheme="majorHAnsi"/>
          <w:i/>
          <w:sz w:val="16"/>
          <w:szCs w:val="16"/>
        </w:rPr>
        <w:t>Report on the Situation of Human Rights in Colombia</w:t>
      </w:r>
      <w:r w:rsidRPr="00C956F7">
        <w:rPr>
          <w:rFonts w:asciiTheme="majorHAnsi" w:hAnsiTheme="majorHAnsi"/>
          <w:sz w:val="16"/>
          <w:szCs w:val="16"/>
        </w:rPr>
        <w:t>, February 26, 1999, paras. 121 and 122.</w:t>
      </w:r>
    </w:p>
  </w:footnote>
  <w:footnote w:id="90">
    <w:p w14:paraId="54C41FC0" w14:textId="77777777" w:rsidR="00907400" w:rsidRPr="00C956F7" w:rsidRDefault="00907400" w:rsidP="00C956F7">
      <w:pPr>
        <w:jc w:val="both"/>
        <w:rPr>
          <w:rFonts w:asciiTheme="majorHAnsi" w:hAnsiTheme="majorHAnsi" w:cs="Arial"/>
          <w:sz w:val="16"/>
          <w:szCs w:val="16"/>
        </w:rPr>
      </w:pPr>
      <w:r w:rsidRPr="00C956F7">
        <w:rPr>
          <w:rStyle w:val="FootnoteReference"/>
          <w:rFonts w:asciiTheme="majorHAnsi" w:hAnsiTheme="majorHAnsi" w:cs="Arial"/>
          <w:sz w:val="16"/>
          <w:szCs w:val="16"/>
        </w:rPr>
        <w:footnoteRef/>
      </w:r>
      <w:r w:rsidRPr="00C956F7">
        <w:rPr>
          <w:rFonts w:asciiTheme="majorHAnsi" w:hAnsiTheme="majorHAnsi" w:cs="Arial"/>
          <w:sz w:val="16"/>
          <w:szCs w:val="16"/>
        </w:rPr>
        <w:t xml:space="preserve"> IACHR. Annual Report of the Inter-American Commission on Human Rights, 1996, Chapter V, Peru, II State of Emergency. </w:t>
      </w:r>
    </w:p>
  </w:footnote>
  <w:footnote w:id="91">
    <w:p w14:paraId="0302E909"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pacing w:val="-4"/>
          <w:sz w:val="16"/>
          <w:szCs w:val="16"/>
        </w:rPr>
        <w:footnoteRef/>
      </w:r>
      <w:r w:rsidRPr="00C956F7">
        <w:rPr>
          <w:rFonts w:asciiTheme="majorHAnsi" w:hAnsiTheme="majorHAnsi"/>
          <w:spacing w:val="-4"/>
          <w:sz w:val="16"/>
          <w:szCs w:val="16"/>
        </w:rPr>
        <w:t xml:space="preserve"> </w:t>
      </w:r>
      <w:r w:rsidRPr="00C956F7">
        <w:rPr>
          <w:rStyle w:val="Strong"/>
          <w:rFonts w:asciiTheme="majorHAnsi" w:hAnsiTheme="majorHAnsi"/>
          <w:b w:val="0"/>
          <w:sz w:val="16"/>
          <w:szCs w:val="16"/>
          <w:shd w:val="clear" w:color="auto" w:fill="FFFFFF"/>
        </w:rPr>
        <w:t>I/A Court H.R.,</w:t>
      </w:r>
      <w:r w:rsidRPr="00C956F7">
        <w:rPr>
          <w:rStyle w:val="Strong"/>
          <w:rFonts w:asciiTheme="majorHAnsi" w:hAnsiTheme="majorHAnsi"/>
          <w:sz w:val="16"/>
          <w:szCs w:val="16"/>
          <w:shd w:val="clear" w:color="auto" w:fill="FFFFFF"/>
        </w:rPr>
        <w:t xml:space="preserve"> </w:t>
      </w:r>
      <w:r w:rsidRPr="00C956F7">
        <w:rPr>
          <w:rFonts w:asciiTheme="majorHAnsi" w:eastAsia="Times New Roman" w:hAnsiTheme="majorHAnsi"/>
          <w:bCs/>
          <w:i/>
          <w:sz w:val="16"/>
          <w:szCs w:val="16"/>
          <w:bdr w:val="none" w:sz="0" w:space="0" w:color="auto"/>
          <w:lang w:eastAsia="es-ES"/>
        </w:rPr>
        <w:t>Case of J. v. Peru</w:t>
      </w:r>
      <w:r w:rsidRPr="00C956F7">
        <w:rPr>
          <w:rFonts w:asciiTheme="majorHAnsi" w:eastAsia="Times New Roman" w:hAnsiTheme="majorHAnsi"/>
          <w:bCs/>
          <w:sz w:val="16"/>
          <w:szCs w:val="16"/>
          <w:bdr w:val="none" w:sz="0" w:space="0" w:color="auto"/>
          <w:lang w:eastAsia="es-ES"/>
        </w:rPr>
        <w:t>. Preliminary Objection, Merits, Reparations and Costs. Judgment of November 27, 2013. Series C No. 275</w:t>
      </w:r>
      <w:r w:rsidRPr="00C956F7">
        <w:rPr>
          <w:rStyle w:val="Strong"/>
          <w:rFonts w:asciiTheme="majorHAnsi" w:hAnsiTheme="majorHAnsi"/>
          <w:b w:val="0"/>
          <w:sz w:val="16"/>
          <w:szCs w:val="16"/>
          <w:shd w:val="clear" w:color="auto" w:fill="FFFFFF"/>
        </w:rPr>
        <w:t>, para. 185.</w:t>
      </w:r>
    </w:p>
  </w:footnote>
  <w:footnote w:id="92">
    <w:p w14:paraId="21B2C168"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Cantoral Huamaní and García Santa Cruz v. Peru</w:t>
      </w:r>
      <w:r w:rsidRPr="00C956F7">
        <w:rPr>
          <w:rFonts w:asciiTheme="majorHAnsi" w:eastAsia="Times New Roman" w:hAnsiTheme="majorHAnsi"/>
          <w:bCs/>
          <w:sz w:val="16"/>
          <w:szCs w:val="16"/>
          <w:bdr w:val="none" w:sz="0" w:space="0" w:color="auto"/>
          <w:lang w:eastAsia="es-ES"/>
        </w:rPr>
        <w:t>. Preliminary Objection, Merits, Reparations and Costs. Judgment of July 10, 2007. Series C No. 167</w:t>
      </w:r>
      <w:r w:rsidRPr="00C956F7">
        <w:rPr>
          <w:rFonts w:asciiTheme="majorHAnsi" w:hAnsiTheme="majorHAnsi"/>
          <w:spacing w:val="-4"/>
          <w:sz w:val="16"/>
          <w:szCs w:val="16"/>
        </w:rPr>
        <w:t>, para. 133.</w:t>
      </w:r>
    </w:p>
  </w:footnote>
  <w:footnote w:id="93">
    <w:p w14:paraId="61B28308"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Barreto Leiva v. Venezuela</w:t>
      </w:r>
      <w:r w:rsidRPr="00C956F7">
        <w:rPr>
          <w:rFonts w:asciiTheme="majorHAnsi" w:eastAsia="Times New Roman" w:hAnsiTheme="majorHAnsi"/>
          <w:bCs/>
          <w:sz w:val="16"/>
          <w:szCs w:val="16"/>
          <w:bdr w:val="none" w:sz="0" w:space="0" w:color="auto"/>
          <w:lang w:eastAsia="es-ES"/>
        </w:rPr>
        <w:t>. Merits, Reparations and Costs. Judgment of November 17, 2009. Series C No. 206</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 xml:space="preserve">para. 29; and </w:t>
      </w:r>
      <w:r w:rsidRPr="00C956F7">
        <w:rPr>
          <w:rFonts w:asciiTheme="majorHAnsi" w:eastAsia="Times New Roman" w:hAnsiTheme="majorHAnsi"/>
          <w:bCs/>
          <w:i/>
          <w:sz w:val="16"/>
          <w:szCs w:val="16"/>
          <w:bdr w:val="none" w:sz="0" w:space="0" w:color="auto"/>
          <w:lang w:eastAsia="es-ES"/>
        </w:rPr>
        <w:t>Case of Heliodoro-Portugal v. Panama</w:t>
      </w:r>
      <w:r w:rsidRPr="00C956F7">
        <w:rPr>
          <w:rFonts w:asciiTheme="majorHAnsi" w:eastAsia="Times New Roman" w:hAnsiTheme="majorHAnsi"/>
          <w:bCs/>
          <w:sz w:val="16"/>
          <w:szCs w:val="16"/>
          <w:bdr w:val="none" w:sz="0" w:space="0" w:color="auto"/>
          <w:lang w:eastAsia="es-ES"/>
        </w:rPr>
        <w:t>. Preliminary Objections, Merits, Reparations, and Costs. Judgment of August 12, 2008. Series C No. 186</w:t>
      </w:r>
      <w:r w:rsidRPr="00C956F7">
        <w:rPr>
          <w:rFonts w:asciiTheme="majorHAnsi" w:eastAsia="Times New Roman" w:hAnsiTheme="majorHAnsi"/>
          <w:sz w:val="16"/>
          <w:szCs w:val="16"/>
          <w:bdr w:val="none" w:sz="0" w:space="0" w:color="auto"/>
          <w:lang w:eastAsia="es-ES"/>
        </w:rPr>
        <w:t xml:space="preserve">, </w:t>
      </w:r>
      <w:r w:rsidRPr="00C956F7">
        <w:rPr>
          <w:rFonts w:asciiTheme="majorHAnsi" w:hAnsiTheme="majorHAnsi"/>
          <w:sz w:val="16"/>
          <w:szCs w:val="16"/>
        </w:rPr>
        <w:t>para. 148.</w:t>
      </w:r>
    </w:p>
  </w:footnote>
  <w:footnote w:id="94">
    <w:p w14:paraId="1859A8FE"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Palamara Iribarne v. Chile</w:t>
      </w:r>
      <w:r w:rsidRPr="00C956F7">
        <w:rPr>
          <w:rFonts w:asciiTheme="majorHAnsi" w:eastAsia="Times New Roman" w:hAnsiTheme="majorHAnsi"/>
          <w:bCs/>
          <w:sz w:val="16"/>
          <w:szCs w:val="16"/>
          <w:bdr w:val="none" w:sz="0" w:space="0" w:color="auto"/>
          <w:lang w:eastAsia="es-ES"/>
        </w:rPr>
        <w:t xml:space="preserve">. Merits, Reparations and Costs. Judgment of November 22, 2005. </w:t>
      </w:r>
      <w:r w:rsidRPr="00C956F7">
        <w:rPr>
          <w:rFonts w:asciiTheme="majorHAnsi" w:eastAsia="Times New Roman" w:hAnsiTheme="majorHAnsi"/>
          <w:bCs/>
          <w:sz w:val="16"/>
          <w:szCs w:val="16"/>
          <w:bdr w:val="none" w:sz="0" w:space="0" w:color="auto"/>
          <w:lang w:val="es-ES" w:eastAsia="es-ES"/>
        </w:rPr>
        <w:t>Series C No. 135</w:t>
      </w:r>
      <w:r w:rsidRPr="00C956F7">
        <w:rPr>
          <w:rFonts w:asciiTheme="majorHAnsi" w:hAnsiTheme="majorHAnsi"/>
          <w:sz w:val="16"/>
          <w:szCs w:val="16"/>
          <w:lang w:val="es-ES"/>
        </w:rPr>
        <w:t xml:space="preserve">, para. 225; </w:t>
      </w:r>
      <w:r w:rsidRPr="00C956F7">
        <w:rPr>
          <w:rFonts w:asciiTheme="majorHAnsi" w:eastAsia="Times New Roman" w:hAnsiTheme="majorHAnsi"/>
          <w:bCs/>
          <w:i/>
          <w:sz w:val="16"/>
          <w:szCs w:val="16"/>
          <w:bdr w:val="none" w:sz="0" w:space="0" w:color="auto"/>
          <w:lang w:val="es-ES" w:eastAsia="es-ES"/>
        </w:rPr>
        <w:t>Case of Acosta Calderón v. Ecuador</w:t>
      </w:r>
      <w:r w:rsidRPr="00C956F7">
        <w:rPr>
          <w:rFonts w:asciiTheme="majorHAnsi" w:eastAsia="Times New Roman" w:hAnsiTheme="majorHAnsi"/>
          <w:bCs/>
          <w:sz w:val="16"/>
          <w:szCs w:val="16"/>
          <w:bdr w:val="none" w:sz="0" w:space="0" w:color="auto"/>
          <w:lang w:val="es-ES" w:eastAsia="es-ES"/>
        </w:rPr>
        <w:t xml:space="preserve">. </w:t>
      </w:r>
      <w:r w:rsidRPr="00C956F7">
        <w:rPr>
          <w:rFonts w:asciiTheme="majorHAnsi" w:eastAsia="Times New Roman" w:hAnsiTheme="majorHAnsi"/>
          <w:bCs/>
          <w:sz w:val="16"/>
          <w:szCs w:val="16"/>
          <w:bdr w:val="none" w:sz="0" w:space="0" w:color="auto"/>
          <w:lang w:eastAsia="es-ES"/>
        </w:rPr>
        <w:t>Merits, Reparations and Costs. Judgment of June 24, 2005. Series C No. 129</w:t>
      </w:r>
      <w:r w:rsidRPr="00C956F7">
        <w:rPr>
          <w:rFonts w:asciiTheme="majorHAnsi" w:hAnsiTheme="majorHAnsi"/>
          <w:sz w:val="16"/>
          <w:szCs w:val="16"/>
        </w:rPr>
        <w:t xml:space="preserve">, para. 118, and </w:t>
      </w:r>
      <w:r w:rsidRPr="00C956F7">
        <w:rPr>
          <w:rFonts w:asciiTheme="majorHAnsi" w:eastAsia="Times New Roman" w:hAnsiTheme="majorHAnsi"/>
          <w:bCs/>
          <w:i/>
          <w:sz w:val="16"/>
          <w:szCs w:val="16"/>
          <w:bdr w:val="none" w:sz="0" w:space="0" w:color="auto"/>
          <w:lang w:eastAsia="es-ES"/>
        </w:rPr>
        <w:t>Case of Tibi v. Ecuador</w:t>
      </w:r>
      <w:r w:rsidRPr="00C956F7">
        <w:rPr>
          <w:rFonts w:asciiTheme="majorHAnsi" w:eastAsia="Times New Roman" w:hAnsiTheme="majorHAnsi"/>
          <w:bCs/>
          <w:sz w:val="16"/>
          <w:szCs w:val="16"/>
          <w:bdr w:val="none" w:sz="0" w:space="0" w:color="auto"/>
          <w:lang w:eastAsia="es-ES"/>
        </w:rPr>
        <w:t xml:space="preserve">. Preliminary Objections, Merits, Reparations and Costs. Judgment of September 7, 2004. Series C No. 114, </w:t>
      </w:r>
      <w:r w:rsidRPr="00C956F7">
        <w:rPr>
          <w:rFonts w:asciiTheme="majorHAnsi" w:hAnsiTheme="majorHAnsi"/>
          <w:sz w:val="16"/>
          <w:szCs w:val="16"/>
        </w:rPr>
        <w:t>para. 187.</w:t>
      </w:r>
    </w:p>
  </w:footnote>
  <w:footnote w:id="95">
    <w:p w14:paraId="42B4DF02"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Fonts w:asciiTheme="majorHAnsi" w:hAnsiTheme="majorHAnsi"/>
          <w:bCs/>
          <w:sz w:val="16"/>
          <w:szCs w:val="16"/>
        </w:rPr>
        <w:t xml:space="preserve">I/A Court H.R., </w:t>
      </w:r>
      <w:r w:rsidRPr="00C956F7">
        <w:rPr>
          <w:rFonts w:asciiTheme="majorHAnsi" w:eastAsia="Times New Roman" w:hAnsiTheme="majorHAnsi"/>
          <w:bCs/>
          <w:i/>
          <w:sz w:val="16"/>
          <w:szCs w:val="16"/>
          <w:bdr w:val="none" w:sz="0" w:space="0" w:color="auto"/>
          <w:lang w:eastAsia="es-ES"/>
        </w:rPr>
        <w:t>Case of Barreto Leiva v. Venezuela</w:t>
      </w:r>
      <w:r w:rsidRPr="00C956F7">
        <w:rPr>
          <w:rFonts w:asciiTheme="majorHAnsi" w:eastAsia="Times New Roman" w:hAnsiTheme="majorHAnsi"/>
          <w:bCs/>
          <w:sz w:val="16"/>
          <w:szCs w:val="16"/>
          <w:bdr w:val="none" w:sz="0" w:space="0" w:color="auto"/>
          <w:lang w:eastAsia="es-ES"/>
        </w:rPr>
        <w:t>. Merits, Reparations and Costs. Judgment of November 17, 2009. Series C No. 206</w:t>
      </w:r>
      <w:r w:rsidRPr="00C956F7">
        <w:rPr>
          <w:rFonts w:asciiTheme="majorHAnsi" w:hAnsiTheme="majorHAnsi"/>
          <w:bCs/>
          <w:sz w:val="16"/>
          <w:szCs w:val="16"/>
        </w:rPr>
        <w:t>. Para. 29.</w:t>
      </w:r>
    </w:p>
  </w:footnote>
  <w:footnote w:id="96">
    <w:p w14:paraId="2FDC153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76/11. Case 11.769. Merits. J. Peru. July 20, 2011, para. 248; and Report No. 78/15. Case 12.831. Merits (Publication). Kevin Cooper. United States. October 28, 2015, para.129.  </w:t>
      </w:r>
    </w:p>
  </w:footnote>
  <w:footnote w:id="97">
    <w:p w14:paraId="29259487"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176/10. Cases 12.576, 12.611 and 12.612. Merits. Segundo Norin Catriman and others. Chile. November 5, 2010, para. 236.</w:t>
      </w:r>
    </w:p>
  </w:footnote>
  <w:footnote w:id="98">
    <w:p w14:paraId="21BFBA77"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Third Report on the Situation of Human Rights in Colombia, February 26, 1999, para. 123.</w:t>
      </w:r>
    </w:p>
  </w:footnote>
  <w:footnote w:id="99">
    <w:p w14:paraId="53611C47" w14:textId="77777777" w:rsidR="00907400" w:rsidRPr="00C956F7" w:rsidRDefault="00907400" w:rsidP="00C956F7">
      <w:pPr>
        <w:jc w:val="both"/>
        <w:rPr>
          <w:rFonts w:asciiTheme="majorHAnsi" w:hAnsiTheme="majorHAnsi"/>
          <w:sz w:val="16"/>
          <w:szCs w:val="16"/>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IACHR, Third Report on the Situation of Human Rights in Colombia, OEA/Ser.L/V/II.102 Doc. 9 rev. 1, February 26, 1999, Chapter V, paras. 121-127. IACHR, Annual Report 1996, Chapter V, paras. 32 and 85 (Colombia). IACHR,</w:t>
      </w:r>
      <w:r w:rsidRPr="00C956F7">
        <w:rPr>
          <w:rFonts w:asciiTheme="majorHAnsi" w:hAnsiTheme="majorHAnsi"/>
          <w:i/>
          <w:sz w:val="16"/>
          <w:szCs w:val="16"/>
        </w:rPr>
        <w:t xml:space="preserve"> Report on Terrorism and Human Rights</w:t>
      </w:r>
      <w:r w:rsidRPr="00C956F7">
        <w:rPr>
          <w:rFonts w:asciiTheme="majorHAnsi" w:hAnsiTheme="majorHAnsi"/>
          <w:sz w:val="16"/>
          <w:szCs w:val="16"/>
        </w:rPr>
        <w:t>, OEA/SER.L/V/II.116, Doc. 5 rev. 1, corr., October 22, 2002, para. 233.</w:t>
      </w:r>
    </w:p>
  </w:footnote>
  <w:footnote w:id="100">
    <w:p w14:paraId="4F86C0B6"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Style w:val="Strong"/>
          <w:rFonts w:asciiTheme="majorHAnsi" w:hAnsiTheme="majorHAnsi"/>
          <w:b w:val="0"/>
          <w:sz w:val="16"/>
          <w:szCs w:val="16"/>
          <w:shd w:val="clear" w:color="auto" w:fill="FFFFFF"/>
        </w:rPr>
        <w:t xml:space="preserve">I/A Court H.R., </w:t>
      </w:r>
      <w:r w:rsidRPr="00C956F7">
        <w:rPr>
          <w:rFonts w:asciiTheme="majorHAnsi" w:eastAsia="Times New Roman" w:hAnsiTheme="majorHAnsi"/>
          <w:bCs/>
          <w:i/>
          <w:sz w:val="16"/>
          <w:szCs w:val="16"/>
          <w:bdr w:val="none" w:sz="0" w:space="0" w:color="auto"/>
          <w:lang w:eastAsia="es-ES"/>
        </w:rPr>
        <w:t>Case of Norín Catrimán et al. (Leaders, members and activist of the Mapuche Indigenous People) v. Chile</w:t>
      </w:r>
      <w:r w:rsidRPr="00C956F7">
        <w:rPr>
          <w:rFonts w:asciiTheme="majorHAnsi" w:eastAsia="Times New Roman" w:hAnsiTheme="majorHAnsi"/>
          <w:bCs/>
          <w:sz w:val="16"/>
          <w:szCs w:val="16"/>
          <w:bdr w:val="none" w:sz="0" w:space="0" w:color="auto"/>
          <w:lang w:eastAsia="es-ES"/>
        </w:rPr>
        <w:t xml:space="preserve">. Merits, Reparations and Costs. Judgment of May 29, 2014. Series C No. 279, </w:t>
      </w:r>
      <w:r w:rsidRPr="00C956F7">
        <w:rPr>
          <w:rStyle w:val="Strong"/>
          <w:rFonts w:asciiTheme="majorHAnsi" w:hAnsiTheme="majorHAnsi"/>
          <w:b w:val="0"/>
          <w:sz w:val="16"/>
          <w:szCs w:val="16"/>
          <w:shd w:val="clear" w:color="auto" w:fill="FFFFFF"/>
        </w:rPr>
        <w:t>para. 242.</w:t>
      </w:r>
    </w:p>
  </w:footnote>
  <w:footnote w:id="101">
    <w:p w14:paraId="7F9BD5B0"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w:t>
      </w:r>
      <w:r w:rsidRPr="00C956F7">
        <w:rPr>
          <w:rStyle w:val="Strong"/>
          <w:rFonts w:asciiTheme="majorHAnsi" w:hAnsiTheme="majorHAnsi"/>
          <w:b w:val="0"/>
          <w:color w:val="auto"/>
          <w:sz w:val="16"/>
          <w:szCs w:val="16"/>
          <w:shd w:val="clear" w:color="auto" w:fill="FFFFFF"/>
        </w:rPr>
        <w:t xml:space="preserve">I/A Court H.R., </w:t>
      </w:r>
      <w:r w:rsidRPr="00C956F7">
        <w:rPr>
          <w:rFonts w:asciiTheme="majorHAnsi" w:eastAsia="Times New Roman" w:hAnsiTheme="majorHAnsi"/>
          <w:bCs/>
          <w:i/>
          <w:color w:val="auto"/>
          <w:sz w:val="16"/>
          <w:szCs w:val="16"/>
          <w:bdr w:val="none" w:sz="0" w:space="0" w:color="auto"/>
        </w:rPr>
        <w:t>Case of Norín Catrimán et al. (Leaders, members and activist of the Mapuche Indigenous People) v. Chile</w:t>
      </w:r>
      <w:r w:rsidRPr="00C956F7">
        <w:rPr>
          <w:rFonts w:asciiTheme="majorHAnsi" w:eastAsia="Times New Roman" w:hAnsiTheme="majorHAnsi"/>
          <w:bCs/>
          <w:color w:val="auto"/>
          <w:sz w:val="16"/>
          <w:szCs w:val="16"/>
          <w:bdr w:val="none" w:sz="0" w:space="0" w:color="auto"/>
        </w:rPr>
        <w:t>. Merits, Reparations and Costs. Judgment of May 29, 2014. Series C No. 279</w:t>
      </w:r>
      <w:r w:rsidRPr="00C956F7">
        <w:rPr>
          <w:rStyle w:val="Strong"/>
          <w:rFonts w:asciiTheme="majorHAnsi" w:hAnsiTheme="majorHAnsi"/>
          <w:b w:val="0"/>
          <w:color w:val="auto"/>
          <w:sz w:val="16"/>
          <w:szCs w:val="16"/>
          <w:shd w:val="clear" w:color="auto" w:fill="FFFFFF"/>
        </w:rPr>
        <w:t>, para. 245.</w:t>
      </w:r>
    </w:p>
  </w:footnote>
  <w:footnote w:id="102">
    <w:p w14:paraId="1861BD65"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8/14. Case 12.617. Merits. Luis Williams Pollo Rivera. Peru. April 2, 2014, para. 289. </w:t>
      </w:r>
    </w:p>
  </w:footnote>
  <w:footnote w:id="103">
    <w:p w14:paraId="78AB9A4A"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w:t>
      </w:r>
      <w:r w:rsidRPr="00C956F7">
        <w:rPr>
          <w:rStyle w:val="Strong"/>
          <w:rFonts w:asciiTheme="majorHAnsi" w:hAnsiTheme="majorHAnsi"/>
          <w:b w:val="0"/>
          <w:color w:val="auto"/>
          <w:sz w:val="16"/>
          <w:szCs w:val="16"/>
          <w:shd w:val="clear" w:color="auto" w:fill="FFFFFF"/>
        </w:rPr>
        <w:t xml:space="preserve">I/A Court H.R., </w:t>
      </w:r>
      <w:r w:rsidRPr="00C956F7">
        <w:rPr>
          <w:rFonts w:asciiTheme="majorHAnsi" w:eastAsia="Times New Roman" w:hAnsiTheme="majorHAnsi"/>
          <w:bCs/>
          <w:i/>
          <w:color w:val="auto"/>
          <w:sz w:val="16"/>
          <w:szCs w:val="16"/>
          <w:bdr w:val="none" w:sz="0" w:space="0" w:color="auto"/>
        </w:rPr>
        <w:t>Case of Norín Catrimán et al. (Leaders, members and activist of the Mapuche Indigenous People) v. Chile</w:t>
      </w:r>
      <w:r w:rsidRPr="00C956F7">
        <w:rPr>
          <w:rFonts w:asciiTheme="majorHAnsi" w:eastAsia="Times New Roman" w:hAnsiTheme="majorHAnsi"/>
          <w:bCs/>
          <w:color w:val="auto"/>
          <w:sz w:val="16"/>
          <w:szCs w:val="16"/>
          <w:bdr w:val="none" w:sz="0" w:space="0" w:color="auto"/>
        </w:rPr>
        <w:t>. Merits, Reparations and Costs. Judgment of May 29, 2014. Series C No. 279</w:t>
      </w:r>
      <w:r w:rsidRPr="00C956F7">
        <w:rPr>
          <w:rStyle w:val="Strong"/>
          <w:rFonts w:asciiTheme="majorHAnsi" w:hAnsiTheme="majorHAnsi"/>
          <w:b w:val="0"/>
          <w:color w:val="auto"/>
          <w:sz w:val="16"/>
          <w:szCs w:val="16"/>
          <w:shd w:val="clear" w:color="auto" w:fill="FFFFFF"/>
        </w:rPr>
        <w:t>, paras. 246-247.</w:t>
      </w:r>
    </w:p>
  </w:footnote>
  <w:footnote w:id="104">
    <w:p w14:paraId="6A4AF77A"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Style w:val="Strong"/>
          <w:rFonts w:asciiTheme="majorHAnsi" w:hAnsiTheme="majorHAnsi"/>
          <w:b w:val="0"/>
          <w:sz w:val="16"/>
          <w:szCs w:val="16"/>
          <w:shd w:val="clear" w:color="auto" w:fill="FFFFFF"/>
        </w:rPr>
        <w:t xml:space="preserve">I/A Court H.R., </w:t>
      </w:r>
      <w:r w:rsidRPr="00C956F7">
        <w:rPr>
          <w:rFonts w:asciiTheme="majorHAnsi" w:eastAsia="Times New Roman" w:hAnsiTheme="majorHAnsi"/>
          <w:bCs/>
          <w:i/>
          <w:sz w:val="16"/>
          <w:szCs w:val="16"/>
          <w:bdr w:val="none" w:sz="0" w:space="0" w:color="auto"/>
          <w:lang w:eastAsia="es-ES"/>
        </w:rPr>
        <w:t>Case of Ruano Torres et al. v. El Salvador</w:t>
      </w:r>
      <w:r w:rsidRPr="00C956F7">
        <w:rPr>
          <w:rFonts w:asciiTheme="majorHAnsi" w:eastAsia="Times New Roman" w:hAnsiTheme="majorHAnsi"/>
          <w:bCs/>
          <w:sz w:val="16"/>
          <w:szCs w:val="16"/>
          <w:bdr w:val="none" w:sz="0" w:space="0" w:color="auto"/>
          <w:lang w:eastAsia="es-ES"/>
        </w:rPr>
        <w:t xml:space="preserve">. Merits, Reparations and Costs. Judgment of October 5, 2015. Series C No. 303, </w:t>
      </w:r>
      <w:r w:rsidRPr="00C956F7">
        <w:rPr>
          <w:rStyle w:val="Strong"/>
          <w:rFonts w:asciiTheme="majorHAnsi" w:hAnsiTheme="majorHAnsi"/>
          <w:b w:val="0"/>
          <w:sz w:val="16"/>
          <w:szCs w:val="16"/>
          <w:shd w:val="clear" w:color="auto" w:fill="FFFFFF"/>
        </w:rPr>
        <w:t>para. 126.</w:t>
      </w:r>
    </w:p>
  </w:footnote>
  <w:footnote w:id="105">
    <w:p w14:paraId="5904E10E"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Ricardo Canese v. Paraguay</w:t>
      </w:r>
      <w:r w:rsidRPr="00C956F7">
        <w:rPr>
          <w:rFonts w:asciiTheme="majorHAnsi" w:eastAsia="Times New Roman" w:hAnsiTheme="majorHAnsi"/>
          <w:bCs/>
          <w:sz w:val="16"/>
          <w:szCs w:val="16"/>
          <w:bdr w:val="none" w:sz="0" w:space="0" w:color="auto"/>
          <w:lang w:eastAsia="es-ES"/>
        </w:rPr>
        <w:t xml:space="preserve">. Judgment of August 31, 2004. Series C No. 111, </w:t>
      </w:r>
      <w:r w:rsidRPr="00C956F7">
        <w:rPr>
          <w:rFonts w:asciiTheme="majorHAnsi" w:hAnsiTheme="majorHAnsi"/>
          <w:sz w:val="16"/>
          <w:szCs w:val="16"/>
        </w:rPr>
        <w:t>para. 154.</w:t>
      </w:r>
    </w:p>
  </w:footnote>
  <w:footnote w:id="106">
    <w:p w14:paraId="2B3AB8D8"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82/13. Case 12.679. Merits. José Agapito Ruano Torres and family. El Salvador. November 4, 2013, para. 118.</w:t>
      </w:r>
    </w:p>
  </w:footnote>
  <w:footnote w:id="107">
    <w:p w14:paraId="06D1F962"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Cantoral Benavides v. Peru</w:t>
      </w:r>
      <w:r w:rsidRPr="00C956F7">
        <w:rPr>
          <w:rFonts w:asciiTheme="majorHAnsi" w:eastAsia="Times New Roman" w:hAnsiTheme="majorHAnsi"/>
          <w:bCs/>
          <w:sz w:val="16"/>
          <w:szCs w:val="16"/>
          <w:bdr w:val="none" w:sz="0" w:space="0" w:color="auto"/>
          <w:lang w:eastAsia="es-ES"/>
        </w:rPr>
        <w:t>. Merits. Judgment of August 18, 2000. Series C No. 69</w:t>
      </w:r>
      <w:r w:rsidRPr="00C956F7">
        <w:rPr>
          <w:rFonts w:asciiTheme="majorHAnsi" w:hAnsiTheme="majorHAnsi"/>
          <w:sz w:val="16"/>
          <w:szCs w:val="16"/>
        </w:rPr>
        <w:t xml:space="preserve">, para. 120; </w:t>
      </w:r>
      <w:r w:rsidRPr="00C956F7">
        <w:rPr>
          <w:rFonts w:asciiTheme="majorHAnsi" w:eastAsia="Times New Roman" w:hAnsiTheme="majorHAnsi"/>
          <w:bCs/>
          <w:i/>
          <w:sz w:val="16"/>
          <w:szCs w:val="16"/>
          <w:bdr w:val="none" w:sz="0" w:space="0" w:color="auto"/>
          <w:lang w:eastAsia="es-ES"/>
        </w:rPr>
        <w:t>Case of Ricardo Canese v. Paraguay</w:t>
      </w:r>
      <w:r w:rsidRPr="00C956F7">
        <w:rPr>
          <w:rFonts w:asciiTheme="majorHAnsi" w:eastAsia="Times New Roman" w:hAnsiTheme="majorHAnsi"/>
          <w:bCs/>
          <w:sz w:val="16"/>
          <w:szCs w:val="16"/>
          <w:bdr w:val="none" w:sz="0" w:space="0" w:color="auto"/>
          <w:lang w:eastAsia="es-ES"/>
        </w:rPr>
        <w:t>. Judgment of August 31, 2004. Series C No. 111</w:t>
      </w:r>
      <w:r w:rsidRPr="00C956F7">
        <w:rPr>
          <w:rFonts w:asciiTheme="majorHAnsi" w:hAnsiTheme="majorHAnsi"/>
          <w:sz w:val="16"/>
          <w:szCs w:val="16"/>
        </w:rPr>
        <w:t>, para. 153.</w:t>
      </w:r>
    </w:p>
  </w:footnote>
  <w:footnote w:id="108">
    <w:p w14:paraId="4058DFF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82/13. Case 12.679. Merits. José Agapito Ruano Torres and family. El Salvador. November 4, 2013, para. 130.</w:t>
      </w:r>
    </w:p>
  </w:footnote>
  <w:footnote w:id="109">
    <w:p w14:paraId="2C941B5C"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w:t>
      </w:r>
      <w:r w:rsidRPr="00C956F7">
        <w:rPr>
          <w:rFonts w:asciiTheme="majorHAnsi" w:eastAsia="Times New Roman" w:hAnsiTheme="majorHAnsi"/>
          <w:bCs/>
          <w:sz w:val="16"/>
          <w:szCs w:val="16"/>
        </w:rPr>
        <w:t xml:space="preserve">I/A Court H.R., </w:t>
      </w:r>
      <w:r w:rsidRPr="00C956F7">
        <w:rPr>
          <w:rFonts w:asciiTheme="majorHAnsi" w:eastAsia="Times New Roman" w:hAnsiTheme="majorHAnsi"/>
          <w:bCs/>
          <w:i/>
          <w:sz w:val="16"/>
          <w:szCs w:val="16"/>
          <w:bdr w:val="none" w:sz="0" w:space="0" w:color="auto"/>
          <w:lang w:eastAsia="es-ES"/>
        </w:rPr>
        <w:t>Case of Zegarra Marín v. Peru</w:t>
      </w:r>
      <w:r w:rsidRPr="00C956F7">
        <w:rPr>
          <w:rFonts w:asciiTheme="majorHAnsi" w:eastAsia="Times New Roman" w:hAnsiTheme="majorHAnsi"/>
          <w:bCs/>
          <w:sz w:val="16"/>
          <w:szCs w:val="16"/>
          <w:bdr w:val="none" w:sz="0" w:space="0" w:color="auto"/>
          <w:lang w:eastAsia="es-ES"/>
        </w:rPr>
        <w:t>. Preliminary Objections, Merits, Reparations and Costs. Judgment of February 15, 2017. Series C No. 331</w:t>
      </w:r>
      <w:r w:rsidRPr="00C956F7">
        <w:rPr>
          <w:rFonts w:asciiTheme="majorHAnsi" w:eastAsia="Times New Roman" w:hAnsiTheme="majorHAnsi"/>
          <w:sz w:val="16"/>
          <w:szCs w:val="16"/>
          <w:bdr w:val="none" w:sz="0" w:space="0" w:color="auto"/>
          <w:lang w:eastAsia="es-ES"/>
        </w:rPr>
        <w:t xml:space="preserve">, </w:t>
      </w:r>
      <w:r w:rsidRPr="00C956F7">
        <w:rPr>
          <w:rFonts w:asciiTheme="majorHAnsi" w:eastAsia="Times New Roman" w:hAnsiTheme="majorHAnsi"/>
          <w:bCs/>
          <w:sz w:val="16"/>
          <w:szCs w:val="16"/>
        </w:rPr>
        <w:t xml:space="preserve">para. 147. </w:t>
      </w:r>
    </w:p>
  </w:footnote>
  <w:footnote w:id="110">
    <w:p w14:paraId="48EA6719"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w:t>
      </w:r>
      <w:r w:rsidRPr="00C956F7">
        <w:rPr>
          <w:rStyle w:val="Strong"/>
          <w:rFonts w:asciiTheme="majorHAnsi" w:hAnsiTheme="majorHAnsi"/>
          <w:b w:val="0"/>
          <w:color w:val="auto"/>
          <w:sz w:val="16"/>
          <w:szCs w:val="16"/>
          <w:shd w:val="clear" w:color="auto" w:fill="FFFFFF"/>
        </w:rPr>
        <w:t xml:space="preserve">I/A Court H.R., </w:t>
      </w:r>
      <w:r w:rsidRPr="00C956F7">
        <w:rPr>
          <w:rFonts w:asciiTheme="majorHAnsi" w:eastAsia="Times New Roman" w:hAnsiTheme="majorHAnsi"/>
          <w:bCs/>
          <w:i/>
          <w:color w:val="auto"/>
          <w:sz w:val="16"/>
          <w:szCs w:val="16"/>
          <w:bdr w:val="none" w:sz="0" w:space="0" w:color="auto"/>
        </w:rPr>
        <w:t>Case of Norín Catrimán et al. (Leaders, members and activist of the Mapuche Indigenous People) v. Chile</w:t>
      </w:r>
      <w:r w:rsidRPr="00C956F7">
        <w:rPr>
          <w:rFonts w:asciiTheme="majorHAnsi" w:eastAsia="Times New Roman" w:hAnsiTheme="majorHAnsi"/>
          <w:bCs/>
          <w:color w:val="auto"/>
          <w:sz w:val="16"/>
          <w:szCs w:val="16"/>
          <w:bdr w:val="none" w:sz="0" w:space="0" w:color="auto"/>
        </w:rPr>
        <w:t>. Merits, Reparations and Costs. Judgment of May 29, 2014. Series C No. 279</w:t>
      </w:r>
      <w:r w:rsidRPr="00C956F7">
        <w:rPr>
          <w:rStyle w:val="Strong"/>
          <w:rFonts w:asciiTheme="majorHAnsi" w:hAnsiTheme="majorHAnsi"/>
          <w:b w:val="0"/>
          <w:color w:val="auto"/>
          <w:sz w:val="16"/>
          <w:szCs w:val="16"/>
          <w:shd w:val="clear" w:color="auto" w:fill="FFFFFF"/>
        </w:rPr>
        <w:t>, para. 247. ECHR</w:t>
      </w:r>
      <w:r w:rsidRPr="00C956F7">
        <w:rPr>
          <w:rFonts w:asciiTheme="majorHAnsi" w:hAnsiTheme="majorHAnsi"/>
          <w:color w:val="auto"/>
          <w:spacing w:val="-4"/>
          <w:sz w:val="16"/>
          <w:szCs w:val="16"/>
        </w:rPr>
        <w:t xml:space="preserve">. </w:t>
      </w:r>
      <w:r w:rsidRPr="00C956F7">
        <w:rPr>
          <w:rFonts w:asciiTheme="majorHAnsi" w:hAnsiTheme="majorHAnsi"/>
          <w:bCs/>
          <w:i/>
          <w:iCs/>
          <w:color w:val="auto"/>
          <w:spacing w:val="-4"/>
          <w:sz w:val="16"/>
          <w:szCs w:val="16"/>
        </w:rPr>
        <w:t xml:space="preserve">Doorson v. The Netherlands. </w:t>
      </w:r>
      <w:r w:rsidRPr="00C956F7">
        <w:rPr>
          <w:rFonts w:asciiTheme="majorHAnsi" w:hAnsiTheme="majorHAnsi"/>
          <w:bCs/>
          <w:iCs/>
          <w:color w:val="auto"/>
          <w:spacing w:val="-4"/>
          <w:sz w:val="16"/>
          <w:szCs w:val="16"/>
        </w:rPr>
        <w:t>Judgment of March 26, 1996, , para. 76.</w:t>
      </w:r>
    </w:p>
  </w:footnote>
  <w:footnote w:id="111">
    <w:p w14:paraId="6381F948"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ECHR. </w:t>
      </w:r>
      <w:r w:rsidRPr="00C956F7">
        <w:rPr>
          <w:rFonts w:asciiTheme="majorHAnsi" w:hAnsiTheme="majorHAnsi"/>
          <w:i/>
          <w:color w:val="auto"/>
          <w:sz w:val="16"/>
          <w:szCs w:val="16"/>
        </w:rPr>
        <w:t>Luca v. Italy</w:t>
      </w:r>
      <w:r w:rsidRPr="00C956F7">
        <w:rPr>
          <w:rFonts w:asciiTheme="majorHAnsi" w:hAnsiTheme="majorHAnsi"/>
          <w:color w:val="auto"/>
          <w:sz w:val="16"/>
          <w:szCs w:val="16"/>
        </w:rPr>
        <w:t xml:space="preserve">. Judgment of February 27, 2001, para. 40. </w:t>
      </w:r>
    </w:p>
  </w:footnote>
  <w:footnote w:id="112">
    <w:p w14:paraId="0C4518C6"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82/13. Case 12.679. Merits. José Agapito Ruano Torres and family. El Salvador. November 4, 2013, para. 141.</w:t>
      </w:r>
    </w:p>
  </w:footnote>
  <w:footnote w:id="113">
    <w:p w14:paraId="51D420B2"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cs="Arial"/>
          <w:sz w:val="16"/>
          <w:szCs w:val="16"/>
        </w:rPr>
        <w:t xml:space="preserve"> </w:t>
      </w:r>
      <w:r w:rsidRPr="00C956F7">
        <w:rPr>
          <w:rFonts w:asciiTheme="majorHAnsi" w:hAnsiTheme="majorHAnsi"/>
          <w:sz w:val="16"/>
          <w:szCs w:val="16"/>
        </w:rPr>
        <w:t xml:space="preserve">I/A Court H.R., </w:t>
      </w:r>
      <w:r w:rsidRPr="00C956F7">
        <w:rPr>
          <w:rFonts w:asciiTheme="majorHAnsi" w:eastAsia="Times New Roman" w:hAnsiTheme="majorHAnsi"/>
          <w:bCs/>
          <w:i/>
          <w:sz w:val="16"/>
          <w:szCs w:val="16"/>
          <w:bdr w:val="none" w:sz="0" w:space="0" w:color="auto"/>
          <w:lang w:eastAsia="es-ES"/>
        </w:rPr>
        <w:t>Case of García Asto and Ramírez Rojas v. Peru</w:t>
      </w:r>
      <w:r w:rsidRPr="00C956F7">
        <w:rPr>
          <w:rFonts w:asciiTheme="majorHAnsi" w:eastAsia="Times New Roman" w:hAnsiTheme="majorHAnsi"/>
          <w:bCs/>
          <w:sz w:val="16"/>
          <w:szCs w:val="16"/>
          <w:bdr w:val="none" w:sz="0" w:space="0" w:color="auto"/>
          <w:lang w:eastAsia="es-ES"/>
        </w:rPr>
        <w:t xml:space="preserve">. Preliminary Objection, Merits, Reparations and Costs. Judgment of November 25, 2005. Series C No. 137, </w:t>
      </w:r>
      <w:r w:rsidRPr="00C956F7">
        <w:rPr>
          <w:rFonts w:asciiTheme="majorHAnsi" w:hAnsiTheme="majorHAnsi" w:cs="Arial"/>
          <w:iCs/>
          <w:sz w:val="16"/>
          <w:szCs w:val="16"/>
        </w:rPr>
        <w:t>para. 166</w:t>
      </w:r>
      <w:r w:rsidRPr="00C956F7">
        <w:rPr>
          <w:rFonts w:asciiTheme="majorHAnsi" w:hAnsiTheme="majorHAnsi" w:cs="Arial"/>
          <w:sz w:val="16"/>
          <w:szCs w:val="16"/>
        </w:rPr>
        <w:t>.</w:t>
      </w:r>
    </w:p>
  </w:footnote>
  <w:footnote w:id="114">
    <w:p w14:paraId="51F7326A" w14:textId="77777777" w:rsidR="00907400" w:rsidRPr="00C956F7" w:rsidRDefault="00907400" w:rsidP="00C956F7">
      <w:pPr>
        <w:pStyle w:val="FootnoteText"/>
        <w:jc w:val="both"/>
        <w:rPr>
          <w:rFonts w:asciiTheme="majorHAnsi" w:hAnsiTheme="majorHAnsi"/>
          <w:color w:val="auto"/>
          <w:sz w:val="16"/>
          <w:szCs w:val="16"/>
          <w:lang w:val="pt-BR"/>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 Court H.R., </w:t>
      </w:r>
      <w:r w:rsidRPr="00C956F7">
        <w:rPr>
          <w:rFonts w:asciiTheme="majorHAnsi" w:eastAsia="Times New Roman" w:hAnsiTheme="majorHAnsi"/>
          <w:bCs/>
          <w:i/>
          <w:color w:val="auto"/>
          <w:sz w:val="16"/>
          <w:szCs w:val="16"/>
          <w:bdr w:val="none" w:sz="0" w:space="0" w:color="auto"/>
        </w:rPr>
        <w:t>Case of Ricardo Canese v. Paraguay</w:t>
      </w:r>
      <w:r w:rsidRPr="00C956F7">
        <w:rPr>
          <w:rFonts w:asciiTheme="majorHAnsi" w:eastAsia="Times New Roman" w:hAnsiTheme="majorHAnsi"/>
          <w:bCs/>
          <w:color w:val="auto"/>
          <w:sz w:val="16"/>
          <w:szCs w:val="16"/>
          <w:bdr w:val="none" w:sz="0" w:space="0" w:color="auto"/>
        </w:rPr>
        <w:t>. Judgment of August 31, 2004. Series C No. 111</w:t>
      </w:r>
      <w:r w:rsidRPr="00C956F7">
        <w:rPr>
          <w:rFonts w:asciiTheme="majorHAnsi" w:hAnsiTheme="majorHAnsi" w:cs="Arial"/>
          <w:color w:val="auto"/>
          <w:sz w:val="16"/>
          <w:szCs w:val="16"/>
        </w:rPr>
        <w:t xml:space="preserve">, </w:t>
      </w:r>
      <w:r w:rsidRPr="00C956F7">
        <w:rPr>
          <w:rFonts w:asciiTheme="majorHAnsi" w:hAnsiTheme="majorHAnsi" w:cs="Arial"/>
          <w:color w:val="auto"/>
          <w:sz w:val="16"/>
          <w:szCs w:val="16"/>
        </w:rPr>
        <w:br/>
        <w:t xml:space="preserve">para. </w:t>
      </w:r>
      <w:r w:rsidRPr="00C956F7">
        <w:rPr>
          <w:rFonts w:asciiTheme="majorHAnsi" w:hAnsiTheme="majorHAnsi" w:cs="Arial"/>
          <w:color w:val="auto"/>
          <w:sz w:val="16"/>
          <w:szCs w:val="16"/>
          <w:lang w:val="pt-BR"/>
        </w:rPr>
        <w:t>142.</w:t>
      </w:r>
    </w:p>
  </w:footnote>
  <w:footnote w:id="115">
    <w:p w14:paraId="1355FFFA"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s="Arial"/>
          <w:color w:val="auto"/>
          <w:sz w:val="16"/>
          <w:szCs w:val="16"/>
          <w:lang w:val="pt-BR"/>
        </w:rPr>
        <w:t xml:space="preserve"> IACHR, Report No. 77/02, Case 11.506, Merits, Waldemar Gerónimo Pinheiro and José Víctor dos Santos, Paraguay, December 27, 2002, para. </w:t>
      </w:r>
      <w:r w:rsidRPr="00C956F7">
        <w:rPr>
          <w:rFonts w:asciiTheme="majorHAnsi" w:hAnsiTheme="majorHAnsi" w:cs="Arial"/>
          <w:color w:val="auto"/>
          <w:sz w:val="16"/>
          <w:szCs w:val="16"/>
        </w:rPr>
        <w:t>76.</w:t>
      </w:r>
    </w:p>
  </w:footnote>
  <w:footnote w:id="116">
    <w:p w14:paraId="6549C9C6" w14:textId="77777777" w:rsidR="00907400" w:rsidRPr="00C956F7" w:rsidRDefault="00907400" w:rsidP="00C956F7">
      <w:pPr>
        <w:jc w:val="both"/>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cs="Arial"/>
          <w:sz w:val="16"/>
          <w:szCs w:val="16"/>
        </w:rPr>
        <w:t xml:space="preserve"> I/A Court H.R.,</w:t>
      </w:r>
      <w:r w:rsidRPr="00C956F7">
        <w:rPr>
          <w:rStyle w:val="Strong"/>
          <w:rFonts w:asciiTheme="majorHAnsi" w:eastAsia="Times New Roman" w:hAnsiTheme="majorHAnsi"/>
          <w:sz w:val="16"/>
          <w:szCs w:val="16"/>
        </w:rPr>
        <w:t xml:space="preserve"> </w:t>
      </w:r>
      <w:r w:rsidRPr="00C956F7">
        <w:rPr>
          <w:rFonts w:asciiTheme="majorHAnsi" w:eastAsia="Times New Roman" w:hAnsiTheme="majorHAnsi"/>
          <w:bCs/>
          <w:i/>
          <w:sz w:val="16"/>
          <w:szCs w:val="16"/>
          <w:bdr w:val="none" w:sz="0" w:space="0" w:color="auto"/>
          <w:lang w:eastAsia="es-ES"/>
        </w:rPr>
        <w:t>Case of the Santo Domingo Massacre v. Colombia</w:t>
      </w:r>
      <w:r w:rsidRPr="00C956F7">
        <w:rPr>
          <w:rFonts w:asciiTheme="majorHAnsi" w:eastAsia="Times New Roman" w:hAnsiTheme="majorHAnsi"/>
          <w:bCs/>
          <w:sz w:val="16"/>
          <w:szCs w:val="16"/>
          <w:bdr w:val="none" w:sz="0" w:space="0" w:color="auto"/>
          <w:lang w:eastAsia="es-ES"/>
        </w:rPr>
        <w:t>. Preliminary Objections, Merits and Reparations. Judgment of November 30, 2012. Series No. 259,</w:t>
      </w:r>
      <w:r w:rsidRPr="00C956F7">
        <w:rPr>
          <w:rFonts w:asciiTheme="majorHAnsi" w:hAnsiTheme="majorHAnsi" w:cs="Arial"/>
          <w:sz w:val="16"/>
          <w:szCs w:val="16"/>
        </w:rPr>
        <w:t xml:space="preserve"> para. 164.</w:t>
      </w:r>
    </w:p>
  </w:footnote>
  <w:footnote w:id="117">
    <w:p w14:paraId="5ACE945C"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IACHR. Report No. 172/10. Case 12.561. Merits. César Alberto Mendoza and others (Juveniles Sentenced to Life Time Imprisonment). Argentina. November 2, 2000, para. 175.</w:t>
      </w:r>
    </w:p>
  </w:footnote>
  <w:footnote w:id="118">
    <w:p w14:paraId="421E68AF"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I/A Court H.R., </w:t>
      </w:r>
      <w:r w:rsidRPr="00C956F7">
        <w:rPr>
          <w:rFonts w:asciiTheme="majorHAnsi" w:eastAsia="Times New Roman" w:hAnsiTheme="majorHAnsi"/>
          <w:bCs/>
          <w:i/>
          <w:sz w:val="16"/>
          <w:szCs w:val="16"/>
          <w:bdr w:val="none" w:sz="0" w:space="0" w:color="auto"/>
          <w:lang w:eastAsia="es-ES"/>
        </w:rPr>
        <w:t>Case of Usón Ramírez v. Venezuela</w:t>
      </w:r>
      <w:r w:rsidRPr="00C956F7">
        <w:rPr>
          <w:rFonts w:asciiTheme="majorHAnsi" w:eastAsia="Times New Roman" w:hAnsiTheme="majorHAnsi"/>
          <w:bCs/>
          <w:sz w:val="16"/>
          <w:szCs w:val="16"/>
          <w:bdr w:val="none" w:sz="0" w:space="0" w:color="auto"/>
          <w:lang w:eastAsia="es-ES"/>
        </w:rPr>
        <w:t xml:space="preserve">. Judgment of November 20, 2009. Series C No. 207, </w:t>
      </w:r>
      <w:r w:rsidRPr="00C956F7">
        <w:rPr>
          <w:rFonts w:asciiTheme="majorHAnsi" w:hAnsiTheme="majorHAnsi"/>
          <w:sz w:val="16"/>
          <w:szCs w:val="16"/>
        </w:rPr>
        <w:t>para. 148.</w:t>
      </w:r>
    </w:p>
  </w:footnote>
  <w:footnote w:id="119">
    <w:p w14:paraId="23A2E48E"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Working Group on Arbitrary Detention of the Office of the High Commissioner of the United Nations for Human Rights. Fact Sheet No. 26: “No one shall be subjected to arbitrary arrest, detention or exile”. </w:t>
      </w:r>
    </w:p>
  </w:footnote>
  <w:footnote w:id="120">
    <w:p w14:paraId="3B26F367" w14:textId="77777777" w:rsidR="00907400" w:rsidRPr="00F30B66" w:rsidRDefault="00907400" w:rsidP="00C956F7">
      <w:pPr>
        <w:pStyle w:val="FootnoteText"/>
        <w:jc w:val="both"/>
        <w:rPr>
          <w:rFonts w:asciiTheme="majorHAnsi" w:hAnsiTheme="majorHAnsi"/>
          <w:color w:val="auto"/>
          <w:sz w:val="16"/>
          <w:szCs w:val="16"/>
          <w:lang w:val="es-US"/>
        </w:rPr>
      </w:pPr>
      <w:r w:rsidRPr="00C956F7">
        <w:rPr>
          <w:rStyle w:val="FootnoteReference"/>
          <w:rFonts w:asciiTheme="majorHAnsi" w:hAnsiTheme="majorHAnsi"/>
          <w:color w:val="auto"/>
          <w:sz w:val="16"/>
          <w:szCs w:val="16"/>
        </w:rPr>
        <w:footnoteRef/>
      </w:r>
      <w:r w:rsidRPr="00C956F7">
        <w:rPr>
          <w:rFonts w:asciiTheme="majorHAnsi" w:hAnsiTheme="majorHAnsi"/>
          <w:color w:val="auto"/>
          <w:sz w:val="16"/>
          <w:szCs w:val="16"/>
        </w:rPr>
        <w:t xml:space="preserve"> For more information, see: IACHR. Report No. 172/10. Case 12.561. Merits. César Alberto Mendoza and others (Juveniles Sentenced to Life Time Imprisonment). </w:t>
      </w:r>
      <w:r w:rsidRPr="00F30B66">
        <w:rPr>
          <w:rFonts w:asciiTheme="majorHAnsi" w:hAnsiTheme="majorHAnsi"/>
          <w:color w:val="auto"/>
          <w:sz w:val="16"/>
          <w:szCs w:val="16"/>
          <w:lang w:val="es-US"/>
        </w:rPr>
        <w:t>Argentina. November 2, 2000, para. 179.</w:t>
      </w:r>
    </w:p>
  </w:footnote>
  <w:footnote w:id="121">
    <w:p w14:paraId="60548BC2" w14:textId="77777777" w:rsidR="00907400" w:rsidRPr="00C956F7" w:rsidRDefault="00907400" w:rsidP="00C956F7">
      <w:pPr>
        <w:pStyle w:val="FootnoteText"/>
        <w:jc w:val="both"/>
        <w:rPr>
          <w:rFonts w:asciiTheme="majorHAnsi" w:hAnsiTheme="majorHAnsi"/>
          <w:color w:val="auto"/>
          <w:sz w:val="16"/>
          <w:szCs w:val="16"/>
        </w:rPr>
      </w:pPr>
      <w:r w:rsidRPr="00C956F7">
        <w:rPr>
          <w:rStyle w:val="FootnoteReference"/>
          <w:rFonts w:asciiTheme="majorHAnsi" w:hAnsiTheme="majorHAnsi"/>
          <w:color w:val="auto"/>
          <w:sz w:val="16"/>
          <w:szCs w:val="16"/>
        </w:rPr>
        <w:footnoteRef/>
      </w:r>
      <w:r w:rsidRPr="00F30B66">
        <w:rPr>
          <w:rFonts w:asciiTheme="majorHAnsi" w:hAnsiTheme="majorHAnsi"/>
          <w:color w:val="auto"/>
          <w:sz w:val="16"/>
          <w:szCs w:val="16"/>
          <w:lang w:val="es-US"/>
        </w:rPr>
        <w:t xml:space="preserve"> IACHR. Report No. 64/99. Case 11.778. Merits. </w:t>
      </w:r>
      <w:r w:rsidRPr="00C956F7">
        <w:rPr>
          <w:rFonts w:asciiTheme="majorHAnsi" w:hAnsiTheme="majorHAnsi"/>
          <w:color w:val="auto"/>
          <w:sz w:val="16"/>
          <w:szCs w:val="16"/>
          <w:lang w:val="es-ES"/>
        </w:rPr>
        <w:t xml:space="preserve">Ruth del Rosario Garcés Valladares. </w:t>
      </w:r>
      <w:r w:rsidRPr="00C956F7">
        <w:rPr>
          <w:rFonts w:asciiTheme="majorHAnsi" w:hAnsiTheme="majorHAnsi"/>
          <w:color w:val="auto"/>
          <w:sz w:val="16"/>
          <w:szCs w:val="16"/>
        </w:rPr>
        <w:t>Ecuador. April 13, 1999, para. 51.</w:t>
      </w:r>
    </w:p>
  </w:footnote>
  <w:footnote w:id="122">
    <w:p w14:paraId="26828D69" w14:textId="77777777" w:rsidR="00907400" w:rsidRPr="00C956F7" w:rsidRDefault="00907400" w:rsidP="00C956F7">
      <w:pPr>
        <w:rPr>
          <w:rFonts w:asciiTheme="majorHAnsi" w:eastAsia="Times New Roman" w:hAnsiTheme="majorHAnsi"/>
          <w:sz w:val="16"/>
          <w:szCs w:val="16"/>
          <w:bdr w:val="none" w:sz="0" w:space="0" w:color="auto"/>
          <w:lang w:eastAsia="es-ES"/>
        </w:rPr>
      </w:pPr>
      <w:r w:rsidRPr="00C956F7">
        <w:rPr>
          <w:rStyle w:val="FootnoteReference"/>
          <w:rFonts w:asciiTheme="majorHAnsi" w:hAnsiTheme="majorHAnsi"/>
          <w:sz w:val="16"/>
          <w:szCs w:val="16"/>
        </w:rPr>
        <w:footnoteRef/>
      </w:r>
      <w:r w:rsidRPr="00C956F7">
        <w:rPr>
          <w:rFonts w:asciiTheme="majorHAnsi" w:hAnsiTheme="majorHAnsi"/>
          <w:sz w:val="16"/>
          <w:szCs w:val="16"/>
        </w:rPr>
        <w:t xml:space="preserve"> Article 5.1 of the American Convention establishes that: </w:t>
      </w:r>
      <w:r w:rsidRPr="00C956F7">
        <w:rPr>
          <w:rFonts w:asciiTheme="majorHAnsi" w:eastAsia="Times New Roman" w:hAnsiTheme="majorHAnsi" w:cs="Tahoma"/>
          <w:sz w:val="16"/>
          <w:szCs w:val="16"/>
        </w:rPr>
        <w:t>“</w:t>
      </w:r>
      <w:r w:rsidRPr="00C956F7">
        <w:rPr>
          <w:rFonts w:asciiTheme="majorHAnsi" w:eastAsia="Times New Roman" w:hAnsiTheme="majorHAnsi" w:cs="Tahoma"/>
          <w:sz w:val="16"/>
          <w:szCs w:val="16"/>
          <w:bdr w:val="none" w:sz="0" w:space="0" w:color="auto"/>
          <w:lang w:eastAsia="es-ES"/>
        </w:rPr>
        <w:t>Every person has the right to have his physical, mental, and moral integrity</w:t>
      </w:r>
      <w:r w:rsidRPr="00C956F7">
        <w:rPr>
          <w:rFonts w:asciiTheme="majorHAnsi" w:eastAsia="Times New Roman" w:hAnsiTheme="majorHAnsi" w:cs="Tahoma"/>
          <w:color w:val="000000"/>
          <w:sz w:val="16"/>
          <w:szCs w:val="16"/>
          <w:bdr w:val="none" w:sz="0" w:space="0" w:color="auto"/>
          <w:lang w:eastAsia="es-ES"/>
        </w:rPr>
        <w:t xml:space="preserve"> respected</w:t>
      </w:r>
      <w:r w:rsidRPr="00C956F7">
        <w:rPr>
          <w:rFonts w:asciiTheme="majorHAnsi" w:eastAsia="Times New Roman" w:hAnsiTheme="majorHAnsi"/>
          <w:sz w:val="16"/>
          <w:szCs w:val="16"/>
          <w:bdr w:val="none" w:sz="0" w:space="0" w:color="auto"/>
          <w:lang w:eastAsia="es-ES"/>
        </w:rPr>
        <w:t>”.</w:t>
      </w:r>
    </w:p>
  </w:footnote>
  <w:footnote w:id="123">
    <w:p w14:paraId="50524395" w14:textId="01AD608E" w:rsidR="007078F7" w:rsidRPr="0057381F" w:rsidRDefault="007078F7" w:rsidP="007078F7">
      <w:pPr>
        <w:pStyle w:val="FootnoteText"/>
        <w:jc w:val="both"/>
      </w:pPr>
      <w:r w:rsidRPr="0057381F">
        <w:rPr>
          <w:rStyle w:val="FootnoteReference"/>
        </w:rPr>
        <w:footnoteRef/>
      </w:r>
      <w:r w:rsidRPr="0057381F">
        <w:rPr>
          <w:rFonts w:asciiTheme="majorHAnsi" w:hAnsiTheme="majorHAnsi" w:cs="Open Sans"/>
          <w:color w:val="auto"/>
          <w:sz w:val="16"/>
          <w:szCs w:val="16"/>
          <w:shd w:val="clear" w:color="auto" w:fill="FFFFFF"/>
        </w:rPr>
        <w:t xml:space="preserve"> I/A Court H.R. </w:t>
      </w:r>
      <w:r w:rsidRPr="0057381F">
        <w:rPr>
          <w:rFonts w:asciiTheme="majorHAnsi" w:hAnsiTheme="majorHAnsi" w:cs="Open Sans"/>
          <w:i/>
          <w:iCs/>
          <w:color w:val="auto"/>
          <w:sz w:val="16"/>
          <w:szCs w:val="16"/>
          <w:shd w:val="clear" w:color="auto" w:fill="FFFFFF"/>
        </w:rPr>
        <w:t>Case of Petro Urrego v. Colombia</w:t>
      </w:r>
      <w:r w:rsidRPr="0057381F">
        <w:rPr>
          <w:rFonts w:asciiTheme="majorHAnsi" w:hAnsiTheme="majorHAnsi" w:cs="Open Sans"/>
          <w:color w:val="auto"/>
          <w:sz w:val="16"/>
          <w:szCs w:val="16"/>
          <w:shd w:val="clear" w:color="auto" w:fill="FFFFFF"/>
        </w:rPr>
        <w:t>. Preliminary Exceptions</w:t>
      </w:r>
      <w:r w:rsidR="00162F1F" w:rsidRPr="0057381F">
        <w:rPr>
          <w:rFonts w:asciiTheme="majorHAnsi" w:hAnsiTheme="majorHAnsi" w:cs="Open Sans"/>
          <w:color w:val="auto"/>
          <w:sz w:val="16"/>
          <w:szCs w:val="16"/>
          <w:shd w:val="clear" w:color="auto" w:fill="FFFFFF"/>
        </w:rPr>
        <w:t xml:space="preserve">, Merits, Reparations and Costs. Judgment of July 8, </w:t>
      </w:r>
      <w:r w:rsidRPr="0057381F">
        <w:rPr>
          <w:rFonts w:asciiTheme="majorHAnsi" w:hAnsiTheme="majorHAnsi" w:cs="Open Sans"/>
          <w:color w:val="auto"/>
          <w:sz w:val="16"/>
          <w:szCs w:val="16"/>
          <w:shd w:val="clear" w:color="auto" w:fill="FFFFFF"/>
        </w:rPr>
        <w:t>2020. Serie</w:t>
      </w:r>
      <w:r w:rsidR="00162F1F" w:rsidRPr="0057381F">
        <w:rPr>
          <w:rFonts w:asciiTheme="majorHAnsi" w:hAnsiTheme="majorHAnsi" w:cs="Open Sans"/>
          <w:color w:val="auto"/>
          <w:sz w:val="16"/>
          <w:szCs w:val="16"/>
          <w:shd w:val="clear" w:color="auto" w:fill="FFFFFF"/>
        </w:rPr>
        <w:t>s</w:t>
      </w:r>
      <w:r w:rsidRPr="0057381F">
        <w:rPr>
          <w:rFonts w:asciiTheme="majorHAnsi" w:hAnsiTheme="majorHAnsi" w:cs="Open Sans"/>
          <w:color w:val="auto"/>
          <w:sz w:val="16"/>
          <w:szCs w:val="16"/>
          <w:shd w:val="clear" w:color="auto" w:fill="FFFFFF"/>
        </w:rPr>
        <w:t xml:space="preserve"> C No. 406, p</w:t>
      </w:r>
      <w:r w:rsidR="00162F1F" w:rsidRPr="0057381F">
        <w:rPr>
          <w:rFonts w:asciiTheme="majorHAnsi" w:hAnsiTheme="majorHAnsi" w:cs="Open Sans"/>
          <w:color w:val="auto"/>
          <w:sz w:val="16"/>
          <w:szCs w:val="16"/>
          <w:shd w:val="clear" w:color="auto" w:fill="FFFFFF"/>
        </w:rPr>
        <w:t>a</w:t>
      </w:r>
      <w:r w:rsidRPr="0057381F">
        <w:rPr>
          <w:rFonts w:asciiTheme="majorHAnsi" w:hAnsiTheme="majorHAnsi" w:cs="Open Sans"/>
          <w:color w:val="auto"/>
          <w:sz w:val="16"/>
          <w:szCs w:val="16"/>
          <w:shd w:val="clear" w:color="auto" w:fill="FFFFFF"/>
        </w:rPr>
        <w:t>r</w:t>
      </w:r>
      <w:r w:rsidR="00162F1F" w:rsidRPr="0057381F">
        <w:rPr>
          <w:rFonts w:asciiTheme="majorHAnsi" w:hAnsiTheme="majorHAnsi" w:cs="Open Sans"/>
          <w:color w:val="auto"/>
          <w:sz w:val="16"/>
          <w:szCs w:val="16"/>
          <w:shd w:val="clear" w:color="auto" w:fill="FFFFFF"/>
        </w:rPr>
        <w:t>a</w:t>
      </w:r>
      <w:r w:rsidRPr="0057381F">
        <w:rPr>
          <w:rFonts w:asciiTheme="majorHAnsi" w:hAnsiTheme="majorHAnsi" w:cs="Open Sans"/>
          <w:color w:val="auto"/>
          <w:sz w:val="16"/>
          <w:szCs w:val="16"/>
          <w:shd w:val="clear" w:color="auto" w:fill="FFFFFF"/>
        </w:rPr>
        <w:t xml:space="preserve">. 113 y </w:t>
      </w:r>
      <w:r w:rsidR="00677E10" w:rsidRPr="0057381F">
        <w:rPr>
          <w:rFonts w:asciiTheme="majorHAnsi" w:hAnsiTheme="majorHAnsi" w:cs="Open Sans"/>
          <w:color w:val="auto"/>
          <w:sz w:val="16"/>
          <w:szCs w:val="16"/>
          <w:shd w:val="clear" w:color="auto" w:fill="FFFFFF"/>
        </w:rPr>
        <w:t>dispositive point</w:t>
      </w:r>
      <w:r w:rsidRPr="0057381F">
        <w:rPr>
          <w:rFonts w:asciiTheme="majorHAnsi" w:hAnsiTheme="majorHAnsi" w:cs="Open Sans"/>
          <w:color w:val="auto"/>
          <w:sz w:val="16"/>
          <w:szCs w:val="16"/>
          <w:shd w:val="clear" w:color="auto" w:fill="FFFFFF"/>
        </w:rPr>
        <w:t xml:space="preserve"> 8.</w:t>
      </w:r>
    </w:p>
  </w:footnote>
  <w:footnote w:id="124">
    <w:p w14:paraId="6FF19B2F" w14:textId="44351C1C" w:rsidR="001E2A8C" w:rsidRPr="0078167E" w:rsidRDefault="00E14CDB" w:rsidP="00E14CDB">
      <w:pPr>
        <w:pStyle w:val="FootnoteText"/>
        <w:jc w:val="both"/>
        <w:rPr>
          <w:rFonts w:asciiTheme="majorHAnsi" w:hAnsiTheme="majorHAnsi" w:cs="Open Sans"/>
          <w:color w:val="auto"/>
          <w:sz w:val="16"/>
          <w:szCs w:val="16"/>
          <w:shd w:val="clear" w:color="auto" w:fill="FFFFFF"/>
        </w:rPr>
      </w:pPr>
      <w:r w:rsidRPr="0057381F">
        <w:rPr>
          <w:rStyle w:val="FootnoteReference"/>
        </w:rPr>
        <w:footnoteRef/>
      </w:r>
      <w:r w:rsidRPr="0057381F">
        <w:rPr>
          <w:rFonts w:asciiTheme="majorHAnsi" w:hAnsiTheme="majorHAnsi"/>
          <w:color w:val="auto"/>
          <w:sz w:val="16"/>
          <w:szCs w:val="16"/>
        </w:rPr>
        <w:t xml:space="preserve"> </w:t>
      </w:r>
      <w:r w:rsidR="008B1F53" w:rsidRPr="0057381F">
        <w:rPr>
          <w:rFonts w:asciiTheme="majorHAnsi" w:hAnsiTheme="majorHAnsi" w:cs="Open Sans"/>
          <w:color w:val="auto"/>
          <w:sz w:val="16"/>
          <w:szCs w:val="16"/>
          <w:shd w:val="clear" w:color="auto" w:fill="FFFFFF"/>
        </w:rPr>
        <w:t>I/A Court</w:t>
      </w:r>
      <w:r w:rsidR="001E2A8C" w:rsidRPr="0057381F">
        <w:rPr>
          <w:rFonts w:asciiTheme="majorHAnsi" w:hAnsiTheme="majorHAnsi" w:cs="Open Sans"/>
          <w:color w:val="auto"/>
          <w:sz w:val="16"/>
          <w:szCs w:val="16"/>
          <w:shd w:val="clear" w:color="auto" w:fill="FFFFFF"/>
        </w:rPr>
        <w:t xml:space="preserve"> H.R.</w:t>
      </w:r>
      <w:r w:rsidRPr="0057381F">
        <w:rPr>
          <w:rFonts w:asciiTheme="majorHAnsi" w:hAnsiTheme="majorHAnsi" w:cs="Open Sans"/>
          <w:color w:val="auto"/>
          <w:sz w:val="16"/>
          <w:szCs w:val="16"/>
          <w:shd w:val="clear" w:color="auto" w:fill="FFFFFF"/>
        </w:rPr>
        <w:t xml:space="preserve"> </w:t>
      </w:r>
      <w:r w:rsidRPr="0057381F">
        <w:rPr>
          <w:rFonts w:asciiTheme="majorHAnsi" w:hAnsiTheme="majorHAnsi" w:cs="Open Sans"/>
          <w:i/>
          <w:iCs/>
          <w:color w:val="auto"/>
          <w:sz w:val="16"/>
          <w:szCs w:val="16"/>
          <w:shd w:val="clear" w:color="auto" w:fill="FFFFFF"/>
        </w:rPr>
        <w:t>Cas</w:t>
      </w:r>
      <w:r w:rsidR="001E2A8C" w:rsidRPr="0057381F">
        <w:rPr>
          <w:rFonts w:asciiTheme="majorHAnsi" w:hAnsiTheme="majorHAnsi" w:cs="Open Sans"/>
          <w:i/>
          <w:iCs/>
          <w:color w:val="auto"/>
          <w:sz w:val="16"/>
          <w:szCs w:val="16"/>
          <w:shd w:val="clear" w:color="auto" w:fill="FFFFFF"/>
        </w:rPr>
        <w:t>e</w:t>
      </w:r>
      <w:r w:rsidRPr="0057381F">
        <w:rPr>
          <w:rFonts w:asciiTheme="majorHAnsi" w:hAnsiTheme="majorHAnsi" w:cs="Open Sans"/>
          <w:i/>
          <w:iCs/>
          <w:color w:val="auto"/>
          <w:sz w:val="16"/>
          <w:szCs w:val="16"/>
          <w:shd w:val="clear" w:color="auto" w:fill="FFFFFF"/>
        </w:rPr>
        <w:t xml:space="preserve"> </w:t>
      </w:r>
      <w:r w:rsidR="001E2A8C" w:rsidRPr="0057381F">
        <w:rPr>
          <w:rFonts w:asciiTheme="majorHAnsi" w:hAnsiTheme="majorHAnsi" w:cs="Open Sans"/>
          <w:i/>
          <w:iCs/>
          <w:color w:val="auto"/>
          <w:sz w:val="16"/>
          <w:szCs w:val="16"/>
          <w:shd w:val="clear" w:color="auto" w:fill="FFFFFF"/>
        </w:rPr>
        <w:t xml:space="preserve">of </w:t>
      </w:r>
      <w:r w:rsidRPr="0057381F">
        <w:rPr>
          <w:rFonts w:asciiTheme="majorHAnsi" w:hAnsiTheme="majorHAnsi" w:cs="Open Sans"/>
          <w:i/>
          <w:iCs/>
          <w:color w:val="auto"/>
          <w:sz w:val="16"/>
          <w:szCs w:val="16"/>
          <w:shd w:val="clear" w:color="auto" w:fill="FFFFFF"/>
        </w:rPr>
        <w:t xml:space="preserve">Petro Urrego </w:t>
      </w:r>
      <w:r w:rsidR="001E2A8C" w:rsidRPr="0057381F">
        <w:rPr>
          <w:rFonts w:asciiTheme="majorHAnsi" w:hAnsiTheme="majorHAnsi" w:cs="Open Sans"/>
          <w:i/>
          <w:iCs/>
          <w:color w:val="auto"/>
          <w:sz w:val="16"/>
          <w:szCs w:val="16"/>
          <w:shd w:val="clear" w:color="auto" w:fill="FFFFFF"/>
        </w:rPr>
        <w:t>v.</w:t>
      </w:r>
      <w:r w:rsidRPr="0057381F">
        <w:rPr>
          <w:rFonts w:asciiTheme="majorHAnsi" w:hAnsiTheme="majorHAnsi" w:cs="Open Sans"/>
          <w:i/>
          <w:iCs/>
          <w:color w:val="auto"/>
          <w:sz w:val="16"/>
          <w:szCs w:val="16"/>
          <w:shd w:val="clear" w:color="auto" w:fill="FFFFFF"/>
        </w:rPr>
        <w:t xml:space="preserve"> Colombia</w:t>
      </w:r>
      <w:r w:rsidRPr="0057381F">
        <w:rPr>
          <w:rFonts w:asciiTheme="majorHAnsi" w:hAnsiTheme="majorHAnsi" w:cs="Open Sans"/>
          <w:color w:val="auto"/>
          <w:sz w:val="16"/>
          <w:szCs w:val="16"/>
          <w:shd w:val="clear" w:color="auto" w:fill="FFFFFF"/>
        </w:rPr>
        <w:t>. Supervis</w:t>
      </w:r>
      <w:r w:rsidR="001E2A8C" w:rsidRPr="0057381F">
        <w:rPr>
          <w:rFonts w:asciiTheme="majorHAnsi" w:hAnsiTheme="majorHAnsi" w:cs="Open Sans"/>
          <w:color w:val="auto"/>
          <w:sz w:val="16"/>
          <w:szCs w:val="16"/>
          <w:shd w:val="clear" w:color="auto" w:fill="FFFFFF"/>
        </w:rPr>
        <w:t>io</w:t>
      </w:r>
      <w:r w:rsidRPr="0057381F">
        <w:rPr>
          <w:rFonts w:asciiTheme="majorHAnsi" w:hAnsiTheme="majorHAnsi" w:cs="Open Sans"/>
          <w:color w:val="auto"/>
          <w:sz w:val="16"/>
          <w:szCs w:val="16"/>
          <w:shd w:val="clear" w:color="auto" w:fill="FFFFFF"/>
        </w:rPr>
        <w:t xml:space="preserve">n </w:t>
      </w:r>
      <w:r w:rsidR="001E2A8C" w:rsidRPr="0057381F">
        <w:rPr>
          <w:rFonts w:asciiTheme="majorHAnsi" w:hAnsiTheme="majorHAnsi" w:cs="Open Sans"/>
          <w:color w:val="auto"/>
          <w:sz w:val="16"/>
          <w:szCs w:val="16"/>
          <w:shd w:val="clear" w:color="auto" w:fill="FFFFFF"/>
        </w:rPr>
        <w:t>of</w:t>
      </w:r>
      <w:r w:rsidRPr="0057381F">
        <w:rPr>
          <w:rFonts w:asciiTheme="majorHAnsi" w:hAnsiTheme="majorHAnsi" w:cs="Open Sans"/>
          <w:color w:val="auto"/>
          <w:sz w:val="16"/>
          <w:szCs w:val="16"/>
          <w:shd w:val="clear" w:color="auto" w:fill="FFFFFF"/>
        </w:rPr>
        <w:t xml:space="preserve"> C</w:t>
      </w:r>
      <w:r w:rsidR="001E2A8C" w:rsidRPr="0057381F">
        <w:rPr>
          <w:rFonts w:asciiTheme="majorHAnsi" w:hAnsiTheme="majorHAnsi" w:cs="Open Sans"/>
          <w:color w:val="auto"/>
          <w:sz w:val="16"/>
          <w:szCs w:val="16"/>
          <w:shd w:val="clear" w:color="auto" w:fill="FFFFFF"/>
        </w:rPr>
        <w:t>ompliance of Judgment</w:t>
      </w:r>
      <w:r w:rsidRPr="0057381F">
        <w:rPr>
          <w:rFonts w:asciiTheme="majorHAnsi" w:hAnsiTheme="majorHAnsi" w:cs="Open Sans"/>
          <w:color w:val="auto"/>
          <w:sz w:val="16"/>
          <w:szCs w:val="16"/>
          <w:shd w:val="clear" w:color="auto" w:fill="FFFFFF"/>
        </w:rPr>
        <w:t>. Resolu</w:t>
      </w:r>
      <w:r w:rsidR="0000317F" w:rsidRPr="0057381F">
        <w:rPr>
          <w:rFonts w:asciiTheme="majorHAnsi" w:hAnsiTheme="majorHAnsi" w:cs="Open Sans"/>
          <w:color w:val="auto"/>
          <w:sz w:val="16"/>
          <w:szCs w:val="16"/>
          <w:shd w:val="clear" w:color="auto" w:fill="FFFFFF"/>
        </w:rPr>
        <w:t>tion of the I/A</w:t>
      </w:r>
      <w:r w:rsidRPr="0057381F">
        <w:rPr>
          <w:rFonts w:asciiTheme="majorHAnsi" w:hAnsiTheme="majorHAnsi" w:cs="Open Sans"/>
          <w:color w:val="auto"/>
          <w:sz w:val="16"/>
          <w:szCs w:val="16"/>
          <w:shd w:val="clear" w:color="auto" w:fill="FFFFFF"/>
        </w:rPr>
        <w:t xml:space="preserve"> Co</w:t>
      </w:r>
      <w:r w:rsidR="0000317F" w:rsidRPr="0057381F">
        <w:rPr>
          <w:rFonts w:asciiTheme="majorHAnsi" w:hAnsiTheme="majorHAnsi" w:cs="Open Sans"/>
          <w:color w:val="auto"/>
          <w:sz w:val="16"/>
          <w:szCs w:val="16"/>
          <w:shd w:val="clear" w:color="auto" w:fill="FFFFFF"/>
        </w:rPr>
        <w:t xml:space="preserve">urt H.R. of </w:t>
      </w:r>
      <w:r w:rsidR="0078167E" w:rsidRPr="0057381F">
        <w:rPr>
          <w:rFonts w:asciiTheme="majorHAnsi" w:hAnsiTheme="majorHAnsi" w:cs="Open Sans"/>
          <w:color w:val="auto"/>
          <w:sz w:val="16"/>
          <w:szCs w:val="16"/>
          <w:shd w:val="clear" w:color="auto" w:fill="FFFFFF"/>
        </w:rPr>
        <w:t xml:space="preserve">November </w:t>
      </w:r>
      <w:r w:rsidRPr="0057381F">
        <w:rPr>
          <w:rFonts w:asciiTheme="majorHAnsi" w:hAnsiTheme="majorHAnsi" w:cs="Open Sans"/>
          <w:color w:val="auto"/>
          <w:sz w:val="16"/>
          <w:szCs w:val="16"/>
          <w:shd w:val="clear" w:color="auto" w:fill="FFFFFF"/>
        </w:rPr>
        <w:t>25</w:t>
      </w:r>
      <w:r w:rsidR="0078167E" w:rsidRPr="0057381F">
        <w:rPr>
          <w:rFonts w:asciiTheme="majorHAnsi" w:hAnsiTheme="majorHAnsi" w:cs="Open Sans"/>
          <w:color w:val="auto"/>
          <w:sz w:val="16"/>
          <w:szCs w:val="16"/>
          <w:shd w:val="clear" w:color="auto" w:fill="FFFFFF"/>
        </w:rPr>
        <w:t>,</w:t>
      </w:r>
      <w:r w:rsidRPr="0057381F">
        <w:rPr>
          <w:rFonts w:asciiTheme="majorHAnsi" w:hAnsiTheme="majorHAnsi" w:cs="Open Sans"/>
          <w:color w:val="auto"/>
          <w:sz w:val="16"/>
          <w:szCs w:val="16"/>
          <w:shd w:val="clear" w:color="auto" w:fill="FFFFFF"/>
        </w:rPr>
        <w:t xml:space="preserve"> 2021, p</w:t>
      </w:r>
      <w:r w:rsidR="0078167E" w:rsidRPr="0057381F">
        <w:rPr>
          <w:rFonts w:asciiTheme="majorHAnsi" w:hAnsiTheme="majorHAnsi" w:cs="Open Sans"/>
          <w:color w:val="auto"/>
          <w:sz w:val="16"/>
          <w:szCs w:val="16"/>
          <w:shd w:val="clear" w:color="auto" w:fill="FFFFFF"/>
        </w:rPr>
        <w:t>a</w:t>
      </w:r>
      <w:r w:rsidRPr="0057381F">
        <w:rPr>
          <w:rFonts w:asciiTheme="majorHAnsi" w:hAnsiTheme="majorHAnsi" w:cs="Open Sans"/>
          <w:color w:val="auto"/>
          <w:sz w:val="16"/>
          <w:szCs w:val="16"/>
          <w:shd w:val="clear" w:color="auto" w:fill="FFFFFF"/>
        </w:rPr>
        <w:t>r</w:t>
      </w:r>
      <w:r w:rsidR="0078167E" w:rsidRPr="0057381F">
        <w:rPr>
          <w:rFonts w:asciiTheme="majorHAnsi" w:hAnsiTheme="majorHAnsi" w:cs="Open Sans"/>
          <w:color w:val="auto"/>
          <w:sz w:val="16"/>
          <w:szCs w:val="16"/>
          <w:shd w:val="clear" w:color="auto" w:fill="FFFFFF"/>
        </w:rPr>
        <w:t>a</w:t>
      </w:r>
      <w:r w:rsidRPr="0057381F">
        <w:rPr>
          <w:rFonts w:asciiTheme="majorHAnsi" w:hAnsiTheme="majorHAnsi" w:cs="Open Sans"/>
          <w:color w:val="auto"/>
          <w:sz w:val="16"/>
          <w:szCs w:val="16"/>
          <w:shd w:val="clear" w:color="auto" w:fill="FFFFFF"/>
        </w:rPr>
        <w:t>. 22</w:t>
      </w:r>
      <w:r w:rsidR="001E2A8C" w:rsidRPr="0057381F">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9F70" w14:textId="77777777" w:rsidR="00907400" w:rsidRDefault="00907400" w:rsidP="00E84733">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59D7125" w14:textId="77777777" w:rsidR="00907400" w:rsidRDefault="00907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0BED" w14:textId="77777777" w:rsidR="00907400" w:rsidRDefault="00907400" w:rsidP="002C1641">
    <w:pPr>
      <w:pStyle w:val="Header"/>
      <w:tabs>
        <w:tab w:val="clear" w:pos="4320"/>
        <w:tab w:val="clear" w:pos="8640"/>
      </w:tabs>
      <w:jc w:val="center"/>
      <w:rPr>
        <w:sz w:val="22"/>
        <w:szCs w:val="22"/>
      </w:rPr>
    </w:pPr>
    <w:r>
      <w:rPr>
        <w:noProof/>
        <w:sz w:val="22"/>
        <w:szCs w:val="22"/>
        <w:lang w:val="es-ES" w:eastAsia="es-ES"/>
      </w:rPr>
      <w:drawing>
        <wp:inline distT="0" distB="0" distL="0" distR="0" wp14:anchorId="4D4A85CC" wp14:editId="3EFBC2CB">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3B0B3EAB" w14:textId="77777777" w:rsidR="00907400" w:rsidRPr="00EC7D62" w:rsidRDefault="00BD01CE" w:rsidP="002C1641">
    <w:pPr>
      <w:pStyle w:val="Header"/>
      <w:tabs>
        <w:tab w:val="clear" w:pos="4320"/>
        <w:tab w:val="clear" w:pos="8640"/>
      </w:tabs>
      <w:jc w:val="center"/>
      <w:rPr>
        <w:sz w:val="22"/>
        <w:szCs w:val="22"/>
      </w:rPr>
    </w:pPr>
    <w:r>
      <w:rPr>
        <w:sz w:val="22"/>
        <w:szCs w:val="22"/>
      </w:rPr>
      <w:pict w14:anchorId="5B6CBDD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E6BC44CE"/>
    <w:lvl w:ilvl="0" w:tplc="B61A847A">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1FD10FD"/>
    <w:multiLevelType w:val="hybridMultilevel"/>
    <w:tmpl w:val="BC8E194A"/>
    <w:lvl w:ilvl="0" w:tplc="E9504AD2">
      <w:start w:val="1"/>
      <w:numFmt w:val="bullet"/>
      <w:lvlText w:val="-"/>
      <w:lvlJc w:val="left"/>
      <w:pPr>
        <w:ind w:left="720" w:hanging="360"/>
      </w:pPr>
      <w:rPr>
        <w:rFonts w:ascii="Cambria" w:eastAsia="Arial Unicode MS"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A043847"/>
    <w:multiLevelType w:val="hybridMultilevel"/>
    <w:tmpl w:val="9F8A011E"/>
    <w:lvl w:ilvl="0" w:tplc="31840A8E">
      <w:start w:val="1"/>
      <w:numFmt w:val="decimal"/>
      <w:lvlText w:val="%1."/>
      <w:lvlJc w:val="left"/>
      <w:pPr>
        <w:ind w:left="360" w:hanging="360"/>
      </w:pPr>
      <w:rPr>
        <w:rFonts w:ascii="Cambria" w:eastAsia="Batang" w:hAnsi="Cambria" w:cs="Tahoma"/>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D5A33E0"/>
    <w:multiLevelType w:val="hybridMultilevel"/>
    <w:tmpl w:val="C1F2E88A"/>
    <w:lvl w:ilvl="0" w:tplc="E1984976">
      <w:start w:val="1"/>
      <w:numFmt w:val="decimal"/>
      <w:lvlText w:val="%1."/>
      <w:lvlJc w:val="left"/>
      <w:pPr>
        <w:tabs>
          <w:tab w:val="num" w:pos="720"/>
        </w:tabs>
        <w:ind w:left="0" w:firstLine="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146463732">
    <w:abstractNumId w:val="3"/>
  </w:num>
  <w:num w:numId="2" w16cid:durableId="1950772187">
    <w:abstractNumId w:val="5"/>
  </w:num>
  <w:num w:numId="3" w16cid:durableId="472677996">
    <w:abstractNumId w:val="53"/>
  </w:num>
  <w:num w:numId="4" w16cid:durableId="20251269">
    <w:abstractNumId w:val="21"/>
  </w:num>
  <w:num w:numId="5" w16cid:durableId="507528454">
    <w:abstractNumId w:val="47"/>
  </w:num>
  <w:num w:numId="6" w16cid:durableId="208423585">
    <w:abstractNumId w:val="26"/>
  </w:num>
  <w:num w:numId="7" w16cid:durableId="640768070">
    <w:abstractNumId w:val="6"/>
  </w:num>
  <w:num w:numId="8" w16cid:durableId="408431100">
    <w:abstractNumId w:val="17"/>
  </w:num>
  <w:num w:numId="9" w16cid:durableId="1405057772">
    <w:abstractNumId w:val="42"/>
  </w:num>
  <w:num w:numId="10" w16cid:durableId="1335914422">
    <w:abstractNumId w:val="0"/>
  </w:num>
  <w:num w:numId="11" w16cid:durableId="168065139">
    <w:abstractNumId w:val="36"/>
  </w:num>
  <w:num w:numId="12" w16cid:durableId="556473081">
    <w:abstractNumId w:val="37"/>
  </w:num>
  <w:num w:numId="13" w16cid:durableId="1228303280">
    <w:abstractNumId w:val="44"/>
  </w:num>
  <w:num w:numId="14" w16cid:durableId="449513203">
    <w:abstractNumId w:val="1"/>
  </w:num>
  <w:num w:numId="15" w16cid:durableId="1097168505">
    <w:abstractNumId w:val="2"/>
  </w:num>
  <w:num w:numId="16" w16cid:durableId="441000167">
    <w:abstractNumId w:val="7"/>
  </w:num>
  <w:num w:numId="17" w16cid:durableId="576061915">
    <w:abstractNumId w:val="8"/>
  </w:num>
  <w:num w:numId="18" w16cid:durableId="1936667209">
    <w:abstractNumId w:val="9"/>
  </w:num>
  <w:num w:numId="19" w16cid:durableId="1408110114">
    <w:abstractNumId w:val="10"/>
  </w:num>
  <w:num w:numId="20" w16cid:durableId="1079524291">
    <w:abstractNumId w:val="11"/>
  </w:num>
  <w:num w:numId="21" w16cid:durableId="421756846">
    <w:abstractNumId w:val="13"/>
  </w:num>
  <w:num w:numId="22" w16cid:durableId="271059297">
    <w:abstractNumId w:val="14"/>
  </w:num>
  <w:num w:numId="23" w16cid:durableId="687177288">
    <w:abstractNumId w:val="15"/>
  </w:num>
  <w:num w:numId="24" w16cid:durableId="1886016059">
    <w:abstractNumId w:val="16"/>
  </w:num>
  <w:num w:numId="25" w16cid:durableId="115217636">
    <w:abstractNumId w:val="18"/>
  </w:num>
  <w:num w:numId="26" w16cid:durableId="401566984">
    <w:abstractNumId w:val="19"/>
  </w:num>
  <w:num w:numId="27" w16cid:durableId="345795083">
    <w:abstractNumId w:val="22"/>
  </w:num>
  <w:num w:numId="28" w16cid:durableId="539245479">
    <w:abstractNumId w:val="23"/>
  </w:num>
  <w:num w:numId="29" w16cid:durableId="194345016">
    <w:abstractNumId w:val="24"/>
  </w:num>
  <w:num w:numId="30" w16cid:durableId="1880390974">
    <w:abstractNumId w:val="25"/>
  </w:num>
  <w:num w:numId="31" w16cid:durableId="1692993885">
    <w:abstractNumId w:val="27"/>
  </w:num>
  <w:num w:numId="32" w16cid:durableId="2129740948">
    <w:abstractNumId w:val="28"/>
  </w:num>
  <w:num w:numId="33" w16cid:durableId="1959949096">
    <w:abstractNumId w:val="29"/>
  </w:num>
  <w:num w:numId="34" w16cid:durableId="144246993">
    <w:abstractNumId w:val="30"/>
  </w:num>
  <w:num w:numId="35" w16cid:durableId="546723507">
    <w:abstractNumId w:val="31"/>
  </w:num>
  <w:num w:numId="36" w16cid:durableId="332419052">
    <w:abstractNumId w:val="32"/>
  </w:num>
  <w:num w:numId="37" w16cid:durableId="1086607834">
    <w:abstractNumId w:val="33"/>
  </w:num>
  <w:num w:numId="38" w16cid:durableId="2054692325">
    <w:abstractNumId w:val="34"/>
  </w:num>
  <w:num w:numId="39" w16cid:durableId="1749421392">
    <w:abstractNumId w:val="39"/>
  </w:num>
  <w:num w:numId="40" w16cid:durableId="1924989559">
    <w:abstractNumId w:val="40"/>
  </w:num>
  <w:num w:numId="41" w16cid:durableId="1620332844">
    <w:abstractNumId w:val="46"/>
  </w:num>
  <w:num w:numId="42" w16cid:durableId="844901720">
    <w:abstractNumId w:val="48"/>
  </w:num>
  <w:num w:numId="43" w16cid:durableId="963536131">
    <w:abstractNumId w:val="49"/>
  </w:num>
  <w:num w:numId="44" w16cid:durableId="1572236410">
    <w:abstractNumId w:val="51"/>
  </w:num>
  <w:num w:numId="45" w16cid:durableId="1074545482">
    <w:abstractNumId w:val="52"/>
  </w:num>
  <w:num w:numId="46" w16cid:durableId="1055158019">
    <w:abstractNumId w:val="54"/>
  </w:num>
  <w:num w:numId="47" w16cid:durableId="1601832983">
    <w:abstractNumId w:val="55"/>
  </w:num>
  <w:num w:numId="48" w16cid:durableId="410929266">
    <w:abstractNumId w:val="56"/>
  </w:num>
  <w:num w:numId="49" w16cid:durableId="1083450395">
    <w:abstractNumId w:val="57"/>
  </w:num>
  <w:num w:numId="50" w16cid:durableId="1659186964">
    <w:abstractNumId w:val="58"/>
  </w:num>
  <w:num w:numId="51" w16cid:durableId="1630471031">
    <w:abstractNumId w:val="20"/>
  </w:num>
  <w:num w:numId="52" w16cid:durableId="1664815801">
    <w:abstractNumId w:val="41"/>
  </w:num>
  <w:num w:numId="53" w16cid:durableId="1730494742">
    <w:abstractNumId w:val="50"/>
  </w:num>
  <w:num w:numId="54" w16cid:durableId="2026055139">
    <w:abstractNumId w:val="45"/>
  </w:num>
  <w:num w:numId="55" w16cid:durableId="510603893">
    <w:abstractNumId w:val="4"/>
  </w:num>
  <w:num w:numId="56" w16cid:durableId="1074930740">
    <w:abstractNumId w:val="43"/>
  </w:num>
  <w:num w:numId="57" w16cid:durableId="527989327">
    <w:abstractNumId w:val="12"/>
  </w:num>
  <w:num w:numId="58" w16cid:durableId="723911654">
    <w:abstractNumId w:val="35"/>
  </w:num>
  <w:num w:numId="59" w16cid:durableId="1566331714">
    <w:abstractNumId w:val="38"/>
  </w:num>
  <w:num w:numId="60" w16cid:durableId="1069502258">
    <w:abstractNumId w:val="50"/>
  </w:num>
  <w:num w:numId="61" w16cid:durableId="62725400">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BC6"/>
    <w:rsid w:val="00000CDA"/>
    <w:rsid w:val="0000288A"/>
    <w:rsid w:val="0000317F"/>
    <w:rsid w:val="000070D7"/>
    <w:rsid w:val="000111A8"/>
    <w:rsid w:val="0001788C"/>
    <w:rsid w:val="000219CC"/>
    <w:rsid w:val="00022CF5"/>
    <w:rsid w:val="00026659"/>
    <w:rsid w:val="00030CF0"/>
    <w:rsid w:val="00036A8A"/>
    <w:rsid w:val="00036E91"/>
    <w:rsid w:val="00040C3A"/>
    <w:rsid w:val="000410FD"/>
    <w:rsid w:val="0004290E"/>
    <w:rsid w:val="00042A1A"/>
    <w:rsid w:val="00044215"/>
    <w:rsid w:val="000456A3"/>
    <w:rsid w:val="00046DAE"/>
    <w:rsid w:val="000478BC"/>
    <w:rsid w:val="00053BAB"/>
    <w:rsid w:val="00061BAD"/>
    <w:rsid w:val="0006224A"/>
    <w:rsid w:val="000639C0"/>
    <w:rsid w:val="00070B26"/>
    <w:rsid w:val="00070F3A"/>
    <w:rsid w:val="000716C5"/>
    <w:rsid w:val="00071790"/>
    <w:rsid w:val="00073ACE"/>
    <w:rsid w:val="00073B8E"/>
    <w:rsid w:val="00075E23"/>
    <w:rsid w:val="00080F86"/>
    <w:rsid w:val="00092F32"/>
    <w:rsid w:val="0009344A"/>
    <w:rsid w:val="00094B32"/>
    <w:rsid w:val="000A0D0A"/>
    <w:rsid w:val="000A2F99"/>
    <w:rsid w:val="000A341E"/>
    <w:rsid w:val="000A4C42"/>
    <w:rsid w:val="000A575F"/>
    <w:rsid w:val="000B4F9F"/>
    <w:rsid w:val="000B65C2"/>
    <w:rsid w:val="000B6F8B"/>
    <w:rsid w:val="000C1625"/>
    <w:rsid w:val="000C4365"/>
    <w:rsid w:val="000D10DB"/>
    <w:rsid w:val="000D5BFD"/>
    <w:rsid w:val="000E2B2D"/>
    <w:rsid w:val="000E43DF"/>
    <w:rsid w:val="000F2C5B"/>
    <w:rsid w:val="000F48D7"/>
    <w:rsid w:val="000F6AF7"/>
    <w:rsid w:val="000F7849"/>
    <w:rsid w:val="001018AA"/>
    <w:rsid w:val="00110807"/>
    <w:rsid w:val="00111D56"/>
    <w:rsid w:val="00115516"/>
    <w:rsid w:val="00124116"/>
    <w:rsid w:val="0013104F"/>
    <w:rsid w:val="00135631"/>
    <w:rsid w:val="001366E0"/>
    <w:rsid w:val="0013736D"/>
    <w:rsid w:val="00137EBA"/>
    <w:rsid w:val="001436BF"/>
    <w:rsid w:val="00145EDC"/>
    <w:rsid w:val="00152A6C"/>
    <w:rsid w:val="00153084"/>
    <w:rsid w:val="001540B4"/>
    <w:rsid w:val="00154C4C"/>
    <w:rsid w:val="00162F1F"/>
    <w:rsid w:val="00164700"/>
    <w:rsid w:val="00164B13"/>
    <w:rsid w:val="00167A34"/>
    <w:rsid w:val="00170B64"/>
    <w:rsid w:val="001714B4"/>
    <w:rsid w:val="00172B16"/>
    <w:rsid w:val="001767D0"/>
    <w:rsid w:val="001772C2"/>
    <w:rsid w:val="00177F15"/>
    <w:rsid w:val="0018037F"/>
    <w:rsid w:val="00180EEC"/>
    <w:rsid w:val="00183CAC"/>
    <w:rsid w:val="00184174"/>
    <w:rsid w:val="00185798"/>
    <w:rsid w:val="001872EB"/>
    <w:rsid w:val="00187B9D"/>
    <w:rsid w:val="001901C0"/>
    <w:rsid w:val="001913EB"/>
    <w:rsid w:val="00191E80"/>
    <w:rsid w:val="00195F71"/>
    <w:rsid w:val="001975C2"/>
    <w:rsid w:val="001A0337"/>
    <w:rsid w:val="001A0F5C"/>
    <w:rsid w:val="001A1041"/>
    <w:rsid w:val="001A151E"/>
    <w:rsid w:val="001A5F27"/>
    <w:rsid w:val="001A65E4"/>
    <w:rsid w:val="001A7870"/>
    <w:rsid w:val="001B4A6A"/>
    <w:rsid w:val="001B4BE8"/>
    <w:rsid w:val="001B66BA"/>
    <w:rsid w:val="001C104C"/>
    <w:rsid w:val="001C1B41"/>
    <w:rsid w:val="001C22AE"/>
    <w:rsid w:val="001D284D"/>
    <w:rsid w:val="001D375C"/>
    <w:rsid w:val="001E09A8"/>
    <w:rsid w:val="001E2A8C"/>
    <w:rsid w:val="001E366B"/>
    <w:rsid w:val="001F1902"/>
    <w:rsid w:val="001F2B1C"/>
    <w:rsid w:val="001F2B7D"/>
    <w:rsid w:val="001F5F9F"/>
    <w:rsid w:val="0020069E"/>
    <w:rsid w:val="00201D79"/>
    <w:rsid w:val="002069BD"/>
    <w:rsid w:val="00210E0E"/>
    <w:rsid w:val="00210F4B"/>
    <w:rsid w:val="00216241"/>
    <w:rsid w:val="00216FB3"/>
    <w:rsid w:val="00220034"/>
    <w:rsid w:val="00223351"/>
    <w:rsid w:val="00225068"/>
    <w:rsid w:val="00230163"/>
    <w:rsid w:val="00231C67"/>
    <w:rsid w:val="0023351C"/>
    <w:rsid w:val="0023598C"/>
    <w:rsid w:val="002362E2"/>
    <w:rsid w:val="00240730"/>
    <w:rsid w:val="00243E3A"/>
    <w:rsid w:val="00247403"/>
    <w:rsid w:val="00247542"/>
    <w:rsid w:val="002511F0"/>
    <w:rsid w:val="002532BE"/>
    <w:rsid w:val="0025610C"/>
    <w:rsid w:val="00257893"/>
    <w:rsid w:val="00266092"/>
    <w:rsid w:val="002663D4"/>
    <w:rsid w:val="00266B61"/>
    <w:rsid w:val="0026712A"/>
    <w:rsid w:val="00267F43"/>
    <w:rsid w:val="002704DB"/>
    <w:rsid w:val="002760CE"/>
    <w:rsid w:val="00281A1E"/>
    <w:rsid w:val="002854BF"/>
    <w:rsid w:val="00287EE5"/>
    <w:rsid w:val="002A4E24"/>
    <w:rsid w:val="002B4C88"/>
    <w:rsid w:val="002B72BF"/>
    <w:rsid w:val="002B77D7"/>
    <w:rsid w:val="002B7A85"/>
    <w:rsid w:val="002C1641"/>
    <w:rsid w:val="002D0568"/>
    <w:rsid w:val="002D7EA2"/>
    <w:rsid w:val="002E15DF"/>
    <w:rsid w:val="002E187C"/>
    <w:rsid w:val="002E3CF2"/>
    <w:rsid w:val="002E68DB"/>
    <w:rsid w:val="002E693A"/>
    <w:rsid w:val="002E6E57"/>
    <w:rsid w:val="002F4943"/>
    <w:rsid w:val="002F4DEB"/>
    <w:rsid w:val="002F711D"/>
    <w:rsid w:val="003007EB"/>
    <w:rsid w:val="00301075"/>
    <w:rsid w:val="00302733"/>
    <w:rsid w:val="003030E5"/>
    <w:rsid w:val="00310C50"/>
    <w:rsid w:val="00311A4F"/>
    <w:rsid w:val="00314078"/>
    <w:rsid w:val="0031660F"/>
    <w:rsid w:val="00321AFD"/>
    <w:rsid w:val="00322450"/>
    <w:rsid w:val="0032396F"/>
    <w:rsid w:val="003246B5"/>
    <w:rsid w:val="00326092"/>
    <w:rsid w:val="0033132E"/>
    <w:rsid w:val="0033169F"/>
    <w:rsid w:val="003414AC"/>
    <w:rsid w:val="00354AA3"/>
    <w:rsid w:val="00356185"/>
    <w:rsid w:val="00360380"/>
    <w:rsid w:val="003623A6"/>
    <w:rsid w:val="00363DDD"/>
    <w:rsid w:val="00366694"/>
    <w:rsid w:val="00372DD4"/>
    <w:rsid w:val="00374A26"/>
    <w:rsid w:val="00375A49"/>
    <w:rsid w:val="003771A3"/>
    <w:rsid w:val="00377F68"/>
    <w:rsid w:val="003838F7"/>
    <w:rsid w:val="00384545"/>
    <w:rsid w:val="00386CF0"/>
    <w:rsid w:val="003870A7"/>
    <w:rsid w:val="00391FB8"/>
    <w:rsid w:val="00396A24"/>
    <w:rsid w:val="00396D5A"/>
    <w:rsid w:val="00397508"/>
    <w:rsid w:val="003A4348"/>
    <w:rsid w:val="003B509E"/>
    <w:rsid w:val="003C32BC"/>
    <w:rsid w:val="003D6A94"/>
    <w:rsid w:val="003E383A"/>
    <w:rsid w:val="003E3E03"/>
    <w:rsid w:val="003E4BC0"/>
    <w:rsid w:val="003E5C8F"/>
    <w:rsid w:val="003E63C3"/>
    <w:rsid w:val="003F10E9"/>
    <w:rsid w:val="003F1BBF"/>
    <w:rsid w:val="003F6645"/>
    <w:rsid w:val="00406B97"/>
    <w:rsid w:val="00410767"/>
    <w:rsid w:val="00410EFD"/>
    <w:rsid w:val="004162B1"/>
    <w:rsid w:val="004165C2"/>
    <w:rsid w:val="0042010F"/>
    <w:rsid w:val="00420675"/>
    <w:rsid w:val="0042108F"/>
    <w:rsid w:val="00421DAD"/>
    <w:rsid w:val="00423132"/>
    <w:rsid w:val="00431337"/>
    <w:rsid w:val="00432921"/>
    <w:rsid w:val="00437ACA"/>
    <w:rsid w:val="00444184"/>
    <w:rsid w:val="00445C5F"/>
    <w:rsid w:val="00446023"/>
    <w:rsid w:val="0045036C"/>
    <w:rsid w:val="00450A4A"/>
    <w:rsid w:val="004512CB"/>
    <w:rsid w:val="0045364F"/>
    <w:rsid w:val="00464D48"/>
    <w:rsid w:val="004665FA"/>
    <w:rsid w:val="004666FB"/>
    <w:rsid w:val="00466D0B"/>
    <w:rsid w:val="00467B7E"/>
    <w:rsid w:val="00471F61"/>
    <w:rsid w:val="00474B8B"/>
    <w:rsid w:val="004801E6"/>
    <w:rsid w:val="00486C87"/>
    <w:rsid w:val="00486DBF"/>
    <w:rsid w:val="0049419D"/>
    <w:rsid w:val="004957C9"/>
    <w:rsid w:val="00496245"/>
    <w:rsid w:val="004A2474"/>
    <w:rsid w:val="004A2775"/>
    <w:rsid w:val="004A399A"/>
    <w:rsid w:val="004B187B"/>
    <w:rsid w:val="004B2762"/>
    <w:rsid w:val="004B7EB6"/>
    <w:rsid w:val="004C41DE"/>
    <w:rsid w:val="004C4B62"/>
    <w:rsid w:val="004D163E"/>
    <w:rsid w:val="004D6025"/>
    <w:rsid w:val="004D72BC"/>
    <w:rsid w:val="004E099D"/>
    <w:rsid w:val="004E3A17"/>
    <w:rsid w:val="004F58BD"/>
    <w:rsid w:val="004F6B67"/>
    <w:rsid w:val="004F6BD8"/>
    <w:rsid w:val="00501399"/>
    <w:rsid w:val="005063A6"/>
    <w:rsid w:val="00507BC4"/>
    <w:rsid w:val="005128E4"/>
    <w:rsid w:val="00522327"/>
    <w:rsid w:val="00525560"/>
    <w:rsid w:val="00530CC7"/>
    <w:rsid w:val="005325BF"/>
    <w:rsid w:val="005357A6"/>
    <w:rsid w:val="00542DF4"/>
    <w:rsid w:val="00544C49"/>
    <w:rsid w:val="0054639D"/>
    <w:rsid w:val="0054658A"/>
    <w:rsid w:val="00546AC3"/>
    <w:rsid w:val="005475AA"/>
    <w:rsid w:val="00547DFD"/>
    <w:rsid w:val="00550598"/>
    <w:rsid w:val="00553057"/>
    <w:rsid w:val="00554039"/>
    <w:rsid w:val="00560443"/>
    <w:rsid w:val="00572CFB"/>
    <w:rsid w:val="0057381F"/>
    <w:rsid w:val="0057402A"/>
    <w:rsid w:val="005771D0"/>
    <w:rsid w:val="00577BF8"/>
    <w:rsid w:val="00580133"/>
    <w:rsid w:val="005816E5"/>
    <w:rsid w:val="005826B0"/>
    <w:rsid w:val="0059191A"/>
    <w:rsid w:val="005921FF"/>
    <w:rsid w:val="00592718"/>
    <w:rsid w:val="005A4889"/>
    <w:rsid w:val="005A56B7"/>
    <w:rsid w:val="005A6836"/>
    <w:rsid w:val="005A6D0E"/>
    <w:rsid w:val="005B222D"/>
    <w:rsid w:val="005B52B0"/>
    <w:rsid w:val="005B6806"/>
    <w:rsid w:val="005B7087"/>
    <w:rsid w:val="005C00F9"/>
    <w:rsid w:val="005C4225"/>
    <w:rsid w:val="005D1585"/>
    <w:rsid w:val="005D1E73"/>
    <w:rsid w:val="005D327F"/>
    <w:rsid w:val="005E399F"/>
    <w:rsid w:val="005E5007"/>
    <w:rsid w:val="005F0F33"/>
    <w:rsid w:val="006000DB"/>
    <w:rsid w:val="00600DEB"/>
    <w:rsid w:val="00603F49"/>
    <w:rsid w:val="00605ECB"/>
    <w:rsid w:val="006109F2"/>
    <w:rsid w:val="00613027"/>
    <w:rsid w:val="006152DE"/>
    <w:rsid w:val="00624856"/>
    <w:rsid w:val="00627C9F"/>
    <w:rsid w:val="00627E80"/>
    <w:rsid w:val="006311DA"/>
    <w:rsid w:val="006311E9"/>
    <w:rsid w:val="006318B2"/>
    <w:rsid w:val="00632354"/>
    <w:rsid w:val="006329D1"/>
    <w:rsid w:val="006346E7"/>
    <w:rsid w:val="00642810"/>
    <w:rsid w:val="006453F2"/>
    <w:rsid w:val="0064793B"/>
    <w:rsid w:val="00647C6B"/>
    <w:rsid w:val="00650158"/>
    <w:rsid w:val="00652333"/>
    <w:rsid w:val="00653EA6"/>
    <w:rsid w:val="006541DB"/>
    <w:rsid w:val="0065578E"/>
    <w:rsid w:val="006559CE"/>
    <w:rsid w:val="00657443"/>
    <w:rsid w:val="00664DB9"/>
    <w:rsid w:val="006721ED"/>
    <w:rsid w:val="00675238"/>
    <w:rsid w:val="00677E10"/>
    <w:rsid w:val="0068009E"/>
    <w:rsid w:val="006806A8"/>
    <w:rsid w:val="006832EF"/>
    <w:rsid w:val="006838F1"/>
    <w:rsid w:val="006845E9"/>
    <w:rsid w:val="006852B4"/>
    <w:rsid w:val="006A17D2"/>
    <w:rsid w:val="006A21DF"/>
    <w:rsid w:val="006A734F"/>
    <w:rsid w:val="006A73E6"/>
    <w:rsid w:val="006A788B"/>
    <w:rsid w:val="006B091A"/>
    <w:rsid w:val="006B28D4"/>
    <w:rsid w:val="006B2D5C"/>
    <w:rsid w:val="006B6D44"/>
    <w:rsid w:val="006C4D51"/>
    <w:rsid w:val="006C4EB1"/>
    <w:rsid w:val="006D362B"/>
    <w:rsid w:val="006D4707"/>
    <w:rsid w:val="006D58F0"/>
    <w:rsid w:val="006E0166"/>
    <w:rsid w:val="006E2E2D"/>
    <w:rsid w:val="006E3D2C"/>
    <w:rsid w:val="006E7B34"/>
    <w:rsid w:val="006F3581"/>
    <w:rsid w:val="006F36DB"/>
    <w:rsid w:val="006F5EF6"/>
    <w:rsid w:val="006F6450"/>
    <w:rsid w:val="0070166C"/>
    <w:rsid w:val="00701B24"/>
    <w:rsid w:val="00703D0B"/>
    <w:rsid w:val="007060D7"/>
    <w:rsid w:val="00706988"/>
    <w:rsid w:val="0070717E"/>
    <w:rsid w:val="007078F7"/>
    <w:rsid w:val="00707F23"/>
    <w:rsid w:val="00714093"/>
    <w:rsid w:val="0071495F"/>
    <w:rsid w:val="00726D39"/>
    <w:rsid w:val="00730E3E"/>
    <w:rsid w:val="00733D31"/>
    <w:rsid w:val="0073798E"/>
    <w:rsid w:val="00737EE0"/>
    <w:rsid w:val="007412F3"/>
    <w:rsid w:val="00745899"/>
    <w:rsid w:val="007467E5"/>
    <w:rsid w:val="007473E9"/>
    <w:rsid w:val="00750468"/>
    <w:rsid w:val="00752660"/>
    <w:rsid w:val="00754CAA"/>
    <w:rsid w:val="007563AD"/>
    <w:rsid w:val="00756DD4"/>
    <w:rsid w:val="0076027C"/>
    <w:rsid w:val="007607C4"/>
    <w:rsid w:val="0076643F"/>
    <w:rsid w:val="00770872"/>
    <w:rsid w:val="00770B46"/>
    <w:rsid w:val="007715AC"/>
    <w:rsid w:val="00771C9B"/>
    <w:rsid w:val="00772594"/>
    <w:rsid w:val="00781653"/>
    <w:rsid w:val="0078167E"/>
    <w:rsid w:val="00786DF7"/>
    <w:rsid w:val="00787CF0"/>
    <w:rsid w:val="007900D2"/>
    <w:rsid w:val="00790E99"/>
    <w:rsid w:val="00794C24"/>
    <w:rsid w:val="0079626C"/>
    <w:rsid w:val="007A0517"/>
    <w:rsid w:val="007A2F70"/>
    <w:rsid w:val="007A5C45"/>
    <w:rsid w:val="007A744E"/>
    <w:rsid w:val="007C05D4"/>
    <w:rsid w:val="007C1623"/>
    <w:rsid w:val="007C3334"/>
    <w:rsid w:val="007C417C"/>
    <w:rsid w:val="007C41E6"/>
    <w:rsid w:val="007C47B1"/>
    <w:rsid w:val="007C52BB"/>
    <w:rsid w:val="007D0CD0"/>
    <w:rsid w:val="007D2B98"/>
    <w:rsid w:val="007D773A"/>
    <w:rsid w:val="007E3F0A"/>
    <w:rsid w:val="007E5B68"/>
    <w:rsid w:val="007E5FD1"/>
    <w:rsid w:val="007F0F5A"/>
    <w:rsid w:val="007F11E5"/>
    <w:rsid w:val="007F559D"/>
    <w:rsid w:val="00801395"/>
    <w:rsid w:val="00801CCF"/>
    <w:rsid w:val="00802E13"/>
    <w:rsid w:val="00803F1C"/>
    <w:rsid w:val="008044E6"/>
    <w:rsid w:val="0080600E"/>
    <w:rsid w:val="00806C56"/>
    <w:rsid w:val="00817612"/>
    <w:rsid w:val="0082310F"/>
    <w:rsid w:val="00826E2C"/>
    <w:rsid w:val="008273EF"/>
    <w:rsid w:val="008303D2"/>
    <w:rsid w:val="00832E0A"/>
    <w:rsid w:val="00837C45"/>
    <w:rsid w:val="00843E89"/>
    <w:rsid w:val="00845D87"/>
    <w:rsid w:val="00853419"/>
    <w:rsid w:val="008560F9"/>
    <w:rsid w:val="00860A6A"/>
    <w:rsid w:val="00862147"/>
    <w:rsid w:val="008676AA"/>
    <w:rsid w:val="0087333F"/>
    <w:rsid w:val="0087518E"/>
    <w:rsid w:val="00876701"/>
    <w:rsid w:val="008916E4"/>
    <w:rsid w:val="0089539B"/>
    <w:rsid w:val="00897E12"/>
    <w:rsid w:val="008A1023"/>
    <w:rsid w:val="008A1AC3"/>
    <w:rsid w:val="008A65CF"/>
    <w:rsid w:val="008A71DC"/>
    <w:rsid w:val="008A7C1C"/>
    <w:rsid w:val="008B0F08"/>
    <w:rsid w:val="008B1F53"/>
    <w:rsid w:val="008B2710"/>
    <w:rsid w:val="008B401C"/>
    <w:rsid w:val="008C268B"/>
    <w:rsid w:val="008C492D"/>
    <w:rsid w:val="008D1A06"/>
    <w:rsid w:val="008D43BA"/>
    <w:rsid w:val="008D7ABD"/>
    <w:rsid w:val="008D7B66"/>
    <w:rsid w:val="008E2760"/>
    <w:rsid w:val="008E3759"/>
    <w:rsid w:val="008F1468"/>
    <w:rsid w:val="008F196C"/>
    <w:rsid w:val="008F1FDB"/>
    <w:rsid w:val="008F419F"/>
    <w:rsid w:val="008F6CBC"/>
    <w:rsid w:val="00900B26"/>
    <w:rsid w:val="00902764"/>
    <w:rsid w:val="009041DC"/>
    <w:rsid w:val="00905207"/>
    <w:rsid w:val="00907400"/>
    <w:rsid w:val="009104B4"/>
    <w:rsid w:val="00911455"/>
    <w:rsid w:val="00913F59"/>
    <w:rsid w:val="00915A72"/>
    <w:rsid w:val="00917077"/>
    <w:rsid w:val="009200C7"/>
    <w:rsid w:val="009228DA"/>
    <w:rsid w:val="00925795"/>
    <w:rsid w:val="00925FCD"/>
    <w:rsid w:val="0092752B"/>
    <w:rsid w:val="0093441A"/>
    <w:rsid w:val="0093448E"/>
    <w:rsid w:val="00934AEA"/>
    <w:rsid w:val="009468FF"/>
    <w:rsid w:val="0095377E"/>
    <w:rsid w:val="00954BF7"/>
    <w:rsid w:val="0095585C"/>
    <w:rsid w:val="00962534"/>
    <w:rsid w:val="00963F1F"/>
    <w:rsid w:val="00964DAF"/>
    <w:rsid w:val="00966EE4"/>
    <w:rsid w:val="0096706E"/>
    <w:rsid w:val="00967A0A"/>
    <w:rsid w:val="00973A56"/>
    <w:rsid w:val="00975826"/>
    <w:rsid w:val="009759A3"/>
    <w:rsid w:val="00981FBA"/>
    <w:rsid w:val="0099514B"/>
    <w:rsid w:val="009B2370"/>
    <w:rsid w:val="009B381B"/>
    <w:rsid w:val="009B4426"/>
    <w:rsid w:val="009B4CEF"/>
    <w:rsid w:val="009B6AA0"/>
    <w:rsid w:val="009C0AF3"/>
    <w:rsid w:val="009D57B2"/>
    <w:rsid w:val="009D7611"/>
    <w:rsid w:val="009D78F0"/>
    <w:rsid w:val="009E53DE"/>
    <w:rsid w:val="009E566A"/>
    <w:rsid w:val="009E6BB7"/>
    <w:rsid w:val="009E7C9D"/>
    <w:rsid w:val="009E7E62"/>
    <w:rsid w:val="009F5EBC"/>
    <w:rsid w:val="00A0098B"/>
    <w:rsid w:val="00A02642"/>
    <w:rsid w:val="00A04561"/>
    <w:rsid w:val="00A12DBC"/>
    <w:rsid w:val="00A1633E"/>
    <w:rsid w:val="00A22B6A"/>
    <w:rsid w:val="00A24AD0"/>
    <w:rsid w:val="00A300FE"/>
    <w:rsid w:val="00A362FB"/>
    <w:rsid w:val="00A37FFD"/>
    <w:rsid w:val="00A400C8"/>
    <w:rsid w:val="00A433FF"/>
    <w:rsid w:val="00A43458"/>
    <w:rsid w:val="00A43DA8"/>
    <w:rsid w:val="00A528D1"/>
    <w:rsid w:val="00A66BE5"/>
    <w:rsid w:val="00A70A0B"/>
    <w:rsid w:val="00A71C3D"/>
    <w:rsid w:val="00A74DE4"/>
    <w:rsid w:val="00A848CD"/>
    <w:rsid w:val="00A96415"/>
    <w:rsid w:val="00AA0598"/>
    <w:rsid w:val="00AA05AF"/>
    <w:rsid w:val="00AB0DAF"/>
    <w:rsid w:val="00AB3FAF"/>
    <w:rsid w:val="00AB5CF2"/>
    <w:rsid w:val="00AC1E92"/>
    <w:rsid w:val="00AC75A1"/>
    <w:rsid w:val="00AD0AA7"/>
    <w:rsid w:val="00AD22F5"/>
    <w:rsid w:val="00AD37C1"/>
    <w:rsid w:val="00AD4EFB"/>
    <w:rsid w:val="00AE12C3"/>
    <w:rsid w:val="00AE30A8"/>
    <w:rsid w:val="00AE3C1B"/>
    <w:rsid w:val="00AE66EC"/>
    <w:rsid w:val="00AE6F91"/>
    <w:rsid w:val="00AF0A75"/>
    <w:rsid w:val="00AF5571"/>
    <w:rsid w:val="00B01BAD"/>
    <w:rsid w:val="00B02254"/>
    <w:rsid w:val="00B0231C"/>
    <w:rsid w:val="00B0592D"/>
    <w:rsid w:val="00B06BB7"/>
    <w:rsid w:val="00B07665"/>
    <w:rsid w:val="00B1470B"/>
    <w:rsid w:val="00B167E9"/>
    <w:rsid w:val="00B179ED"/>
    <w:rsid w:val="00B202B3"/>
    <w:rsid w:val="00B314DB"/>
    <w:rsid w:val="00B31EBE"/>
    <w:rsid w:val="00B3718B"/>
    <w:rsid w:val="00B43D1E"/>
    <w:rsid w:val="00B44B23"/>
    <w:rsid w:val="00B44F64"/>
    <w:rsid w:val="00B4632A"/>
    <w:rsid w:val="00B4765E"/>
    <w:rsid w:val="00B51BCC"/>
    <w:rsid w:val="00B53F06"/>
    <w:rsid w:val="00B6263A"/>
    <w:rsid w:val="00B66428"/>
    <w:rsid w:val="00B71A79"/>
    <w:rsid w:val="00B760E8"/>
    <w:rsid w:val="00B7782E"/>
    <w:rsid w:val="00B77A3F"/>
    <w:rsid w:val="00B92E49"/>
    <w:rsid w:val="00B95CD4"/>
    <w:rsid w:val="00BA276C"/>
    <w:rsid w:val="00BA3D41"/>
    <w:rsid w:val="00BA7875"/>
    <w:rsid w:val="00BB306F"/>
    <w:rsid w:val="00BB7851"/>
    <w:rsid w:val="00BC027C"/>
    <w:rsid w:val="00BC414B"/>
    <w:rsid w:val="00BD01CE"/>
    <w:rsid w:val="00BD1614"/>
    <w:rsid w:val="00BD232B"/>
    <w:rsid w:val="00BD2E42"/>
    <w:rsid w:val="00BD3394"/>
    <w:rsid w:val="00BD3BAC"/>
    <w:rsid w:val="00BD4B89"/>
    <w:rsid w:val="00BD7692"/>
    <w:rsid w:val="00BF0C6D"/>
    <w:rsid w:val="00BF24B3"/>
    <w:rsid w:val="00BF2B12"/>
    <w:rsid w:val="00BF4487"/>
    <w:rsid w:val="00BF494E"/>
    <w:rsid w:val="00BF548C"/>
    <w:rsid w:val="00BF7E61"/>
    <w:rsid w:val="00C0174D"/>
    <w:rsid w:val="00C0415B"/>
    <w:rsid w:val="00C1166B"/>
    <w:rsid w:val="00C2026B"/>
    <w:rsid w:val="00C21762"/>
    <w:rsid w:val="00C2213E"/>
    <w:rsid w:val="00C24543"/>
    <w:rsid w:val="00C256A2"/>
    <w:rsid w:val="00C27451"/>
    <w:rsid w:val="00C33CBD"/>
    <w:rsid w:val="00C3492D"/>
    <w:rsid w:val="00C3629B"/>
    <w:rsid w:val="00C45662"/>
    <w:rsid w:val="00C4732D"/>
    <w:rsid w:val="00C512BC"/>
    <w:rsid w:val="00C522BE"/>
    <w:rsid w:val="00C5313D"/>
    <w:rsid w:val="00C54F58"/>
    <w:rsid w:val="00C55560"/>
    <w:rsid w:val="00C66B72"/>
    <w:rsid w:val="00C82D20"/>
    <w:rsid w:val="00C82F0B"/>
    <w:rsid w:val="00C83545"/>
    <w:rsid w:val="00C93F9E"/>
    <w:rsid w:val="00C951CC"/>
    <w:rsid w:val="00C9567A"/>
    <w:rsid w:val="00C956F7"/>
    <w:rsid w:val="00C973DE"/>
    <w:rsid w:val="00C97D45"/>
    <w:rsid w:val="00CA51E6"/>
    <w:rsid w:val="00CA6577"/>
    <w:rsid w:val="00CB1B19"/>
    <w:rsid w:val="00CB2660"/>
    <w:rsid w:val="00CC5E90"/>
    <w:rsid w:val="00CD046C"/>
    <w:rsid w:val="00CD31CA"/>
    <w:rsid w:val="00CD6A88"/>
    <w:rsid w:val="00CE209F"/>
    <w:rsid w:val="00CE5199"/>
    <w:rsid w:val="00CE61BA"/>
    <w:rsid w:val="00CE66D5"/>
    <w:rsid w:val="00CE6802"/>
    <w:rsid w:val="00CF20A1"/>
    <w:rsid w:val="00CF2776"/>
    <w:rsid w:val="00D006DC"/>
    <w:rsid w:val="00D05CE3"/>
    <w:rsid w:val="00D0695A"/>
    <w:rsid w:val="00D0705B"/>
    <w:rsid w:val="00D233F7"/>
    <w:rsid w:val="00D30E63"/>
    <w:rsid w:val="00D32FD6"/>
    <w:rsid w:val="00D34786"/>
    <w:rsid w:val="00D34CED"/>
    <w:rsid w:val="00D40A1E"/>
    <w:rsid w:val="00D418C6"/>
    <w:rsid w:val="00D42DDD"/>
    <w:rsid w:val="00D4692B"/>
    <w:rsid w:val="00D5243E"/>
    <w:rsid w:val="00D533C0"/>
    <w:rsid w:val="00D65204"/>
    <w:rsid w:val="00D66462"/>
    <w:rsid w:val="00D66ADF"/>
    <w:rsid w:val="00D66FB5"/>
    <w:rsid w:val="00D712D3"/>
    <w:rsid w:val="00D71422"/>
    <w:rsid w:val="00D7145E"/>
    <w:rsid w:val="00D75084"/>
    <w:rsid w:val="00D7558D"/>
    <w:rsid w:val="00D814FF"/>
    <w:rsid w:val="00D81D92"/>
    <w:rsid w:val="00D93446"/>
    <w:rsid w:val="00DA0D50"/>
    <w:rsid w:val="00DA2E98"/>
    <w:rsid w:val="00DA3E90"/>
    <w:rsid w:val="00DA7B5F"/>
    <w:rsid w:val="00DB6B7E"/>
    <w:rsid w:val="00DB7762"/>
    <w:rsid w:val="00DD54B0"/>
    <w:rsid w:val="00DE06FD"/>
    <w:rsid w:val="00DE33C3"/>
    <w:rsid w:val="00DE4FDA"/>
    <w:rsid w:val="00DF078B"/>
    <w:rsid w:val="00DF1BBD"/>
    <w:rsid w:val="00DF350D"/>
    <w:rsid w:val="00DF6381"/>
    <w:rsid w:val="00DF731A"/>
    <w:rsid w:val="00DF7EFB"/>
    <w:rsid w:val="00E00254"/>
    <w:rsid w:val="00E04ACA"/>
    <w:rsid w:val="00E04DC8"/>
    <w:rsid w:val="00E07354"/>
    <w:rsid w:val="00E10D0D"/>
    <w:rsid w:val="00E10E5A"/>
    <w:rsid w:val="00E11988"/>
    <w:rsid w:val="00E11A91"/>
    <w:rsid w:val="00E12AE6"/>
    <w:rsid w:val="00E14CDB"/>
    <w:rsid w:val="00E16F08"/>
    <w:rsid w:val="00E17AD4"/>
    <w:rsid w:val="00E227C1"/>
    <w:rsid w:val="00E337F7"/>
    <w:rsid w:val="00E43157"/>
    <w:rsid w:val="00E431EC"/>
    <w:rsid w:val="00E4672C"/>
    <w:rsid w:val="00E467AB"/>
    <w:rsid w:val="00E47F3D"/>
    <w:rsid w:val="00E504E7"/>
    <w:rsid w:val="00E52DCD"/>
    <w:rsid w:val="00E533FF"/>
    <w:rsid w:val="00E709B3"/>
    <w:rsid w:val="00E71A91"/>
    <w:rsid w:val="00E726BA"/>
    <w:rsid w:val="00E7588C"/>
    <w:rsid w:val="00E81558"/>
    <w:rsid w:val="00E81706"/>
    <w:rsid w:val="00E84733"/>
    <w:rsid w:val="00E850B6"/>
    <w:rsid w:val="00E8789F"/>
    <w:rsid w:val="00E87CA1"/>
    <w:rsid w:val="00E97B71"/>
    <w:rsid w:val="00E97DE1"/>
    <w:rsid w:val="00EA1B85"/>
    <w:rsid w:val="00EA3DFE"/>
    <w:rsid w:val="00EA57BD"/>
    <w:rsid w:val="00EB454D"/>
    <w:rsid w:val="00EB5F93"/>
    <w:rsid w:val="00EB7A2B"/>
    <w:rsid w:val="00ED0D1B"/>
    <w:rsid w:val="00ED5C64"/>
    <w:rsid w:val="00ED6F20"/>
    <w:rsid w:val="00EE29E5"/>
    <w:rsid w:val="00EE3061"/>
    <w:rsid w:val="00EE3522"/>
    <w:rsid w:val="00EE3CD4"/>
    <w:rsid w:val="00EE677F"/>
    <w:rsid w:val="00EE6E03"/>
    <w:rsid w:val="00EF619B"/>
    <w:rsid w:val="00F00B55"/>
    <w:rsid w:val="00F027CE"/>
    <w:rsid w:val="00F043A5"/>
    <w:rsid w:val="00F04EDA"/>
    <w:rsid w:val="00F12034"/>
    <w:rsid w:val="00F1380F"/>
    <w:rsid w:val="00F14F0E"/>
    <w:rsid w:val="00F158BA"/>
    <w:rsid w:val="00F15A3B"/>
    <w:rsid w:val="00F15B71"/>
    <w:rsid w:val="00F231BF"/>
    <w:rsid w:val="00F2499A"/>
    <w:rsid w:val="00F24C29"/>
    <w:rsid w:val="00F253CC"/>
    <w:rsid w:val="00F30B66"/>
    <w:rsid w:val="00F42B71"/>
    <w:rsid w:val="00F45102"/>
    <w:rsid w:val="00F47780"/>
    <w:rsid w:val="00F52427"/>
    <w:rsid w:val="00F55742"/>
    <w:rsid w:val="00F56196"/>
    <w:rsid w:val="00F56BA5"/>
    <w:rsid w:val="00F621C3"/>
    <w:rsid w:val="00F644E6"/>
    <w:rsid w:val="00F7077E"/>
    <w:rsid w:val="00F7564A"/>
    <w:rsid w:val="00F75EDF"/>
    <w:rsid w:val="00F921E9"/>
    <w:rsid w:val="00F929CB"/>
    <w:rsid w:val="00F933C9"/>
    <w:rsid w:val="00F958F0"/>
    <w:rsid w:val="00F9653B"/>
    <w:rsid w:val="00FA28D3"/>
    <w:rsid w:val="00FA6071"/>
    <w:rsid w:val="00FB2D00"/>
    <w:rsid w:val="00FB62CF"/>
    <w:rsid w:val="00FB77AD"/>
    <w:rsid w:val="00FC151A"/>
    <w:rsid w:val="00FC3EB4"/>
    <w:rsid w:val="00FC6C58"/>
    <w:rsid w:val="00FD0940"/>
    <w:rsid w:val="00FD33B1"/>
    <w:rsid w:val="00FD3608"/>
    <w:rsid w:val="00FD58F3"/>
    <w:rsid w:val="00FD6288"/>
    <w:rsid w:val="00FD6EB9"/>
    <w:rsid w:val="00FE299C"/>
    <w:rsid w:val="00FE6B45"/>
    <w:rsid w:val="00FF5851"/>
    <w:rsid w:val="00FF6732"/>
    <w:rsid w:val="00FF6AE9"/>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0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4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6B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link w:val="BodyTextIndentChar"/>
    <w:pPr>
      <w:ind w:left="2160" w:hanging="720"/>
    </w:pPr>
    <w:rPr>
      <w:rFonts w:eastAsia="Times New Roman"/>
      <w:color w:val="000000"/>
      <w:sz w:val="24"/>
      <w:szCs w:val="24"/>
      <w:u w:color="000000"/>
      <w:lang w:val="es-ES_tradnl"/>
    </w:rPr>
  </w:style>
  <w:style w:type="paragraph" w:styleId="ListParagraph">
    <w:name w:val="List Paragraph"/>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8044E6"/>
    <w:pPr>
      <w:tabs>
        <w:tab w:val="left" w:pos="540"/>
        <w:tab w:val="left" w:pos="1440"/>
        <w:tab w:val="right" w:leader="dot" w:pos="9350"/>
      </w:tabs>
      <w:spacing w:after="100"/>
      <w:ind w:left="990" w:hanging="45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8044E6"/>
    <w:pPr>
      <w:tabs>
        <w:tab w:val="left" w:pos="540"/>
        <w:tab w:val="left" w:pos="880"/>
        <w:tab w:val="left" w:pos="1440"/>
        <w:tab w:val="right" w:leader="dot" w:pos="9350"/>
      </w:tabs>
      <w:spacing w:after="100"/>
      <w:ind w:left="1440" w:hanging="45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11"/>
    <w:link w:val="4GChar"/>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036A8A"/>
    <w:rPr>
      <w:rFonts w:ascii="Calibri" w:eastAsia="Calibri" w:hAnsi="Calibri" w:cs="Calibri"/>
      <w:color w:val="000000"/>
      <w:u w:color="000000"/>
      <w:lang w:val="en-US"/>
    </w:rPr>
  </w:style>
  <w:style w:type="character" w:customStyle="1" w:styleId="FootnoteTextChar1">
    <w:name w:val="Footnote Text Char1"/>
    <w:aliases w:val="Footnote Text Char Char Char Char Char Char1,Footnote Text Char Char Char Char Char2,Footnote reference Char1,FA Fu Char1,Footnote Text Char Char Char Char2,Footnote Text Cha Char1,FA Fußnotentext Char1,FA Fuﬂnotentext Char1,Ca Char1"/>
    <w:uiPriority w:val="99"/>
    <w:locked/>
    <w:rsid w:val="00F42B71"/>
    <w:rPr>
      <w:rFonts w:ascii="Calibri" w:eastAsia="Times New Roman" w:hAnsi="Calibri"/>
      <w:color w:val="000000"/>
      <w:u w:color="000000"/>
      <w:lang w:val="en-US"/>
    </w:rPr>
  </w:style>
  <w:style w:type="table" w:styleId="TableGrid">
    <w:name w:val="Table Grid"/>
    <w:basedOn w:val="TableNormal"/>
    <w:uiPriority w:val="59"/>
    <w:rsid w:val="00F6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365"/>
    <w:rPr>
      <w:color w:val="80808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E17AD4"/>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BodyTextIndentChar">
    <w:name w:val="Body Text Indent Char"/>
    <w:link w:val="BodyTextIndent"/>
    <w:rsid w:val="00201D79"/>
    <w:rPr>
      <w:rFonts w:eastAsia="Times New Roman"/>
      <w:color w:val="000000"/>
      <w:sz w:val="24"/>
      <w:szCs w:val="24"/>
      <w:u w:color="000000"/>
      <w:lang w:val="es-ES_tradnl"/>
    </w:rPr>
  </w:style>
  <w:style w:type="character" w:styleId="Strong">
    <w:name w:val="Strong"/>
    <w:uiPriority w:val="22"/>
    <w:qFormat/>
    <w:rsid w:val="00572CFB"/>
    <w:rPr>
      <w:b/>
      <w:bCs/>
    </w:rPr>
  </w:style>
  <w:style w:type="character" w:customStyle="1" w:styleId="Heading2Char">
    <w:name w:val="Heading 2 Char"/>
    <w:basedOn w:val="DefaultParagraphFont"/>
    <w:link w:val="Heading2"/>
    <w:uiPriority w:val="9"/>
    <w:rsid w:val="00907400"/>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DB6B7E"/>
    <w:rPr>
      <w:rFonts w:asciiTheme="majorHAnsi" w:eastAsiaTheme="majorEastAsia" w:hAnsiTheme="majorHAnsi" w:cstheme="majorBidi"/>
      <w:b/>
      <w:bCs/>
      <w:color w:val="4F81BD" w:themeColor="accent1"/>
      <w:sz w:val="24"/>
      <w:szCs w:val="24"/>
      <w:lang w:val="en-US" w:eastAsia="en-US"/>
    </w:rPr>
  </w:style>
  <w:style w:type="paragraph" w:styleId="HTMLPreformatted">
    <w:name w:val="HTML Preformatted"/>
    <w:basedOn w:val="Normal"/>
    <w:link w:val="HTMLPreformattedChar"/>
    <w:uiPriority w:val="99"/>
    <w:unhideWhenUsed/>
    <w:rsid w:val="009D57B2"/>
    <w:rPr>
      <w:rFonts w:ascii="Consolas" w:hAnsi="Consolas"/>
      <w:sz w:val="20"/>
      <w:szCs w:val="20"/>
    </w:rPr>
  </w:style>
  <w:style w:type="character" w:customStyle="1" w:styleId="HTMLPreformattedChar">
    <w:name w:val="HTML Preformatted Char"/>
    <w:basedOn w:val="DefaultParagraphFont"/>
    <w:link w:val="HTMLPreformatted"/>
    <w:uiPriority w:val="99"/>
    <w:rsid w:val="009D57B2"/>
    <w:rPr>
      <w:rFonts w:ascii="Consolas" w:hAnsi="Consolas"/>
      <w:lang w:val="en-US" w:eastAsia="en-US"/>
    </w:rPr>
  </w:style>
  <w:style w:type="character" w:customStyle="1" w:styleId="y2iqfc">
    <w:name w:val="y2iqfc"/>
    <w:basedOn w:val="DefaultParagraphFont"/>
    <w:rsid w:val="00FD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0370">
      <w:bodyDiv w:val="1"/>
      <w:marLeft w:val="0"/>
      <w:marRight w:val="0"/>
      <w:marTop w:val="0"/>
      <w:marBottom w:val="0"/>
      <w:divBdr>
        <w:top w:val="none" w:sz="0" w:space="0" w:color="auto"/>
        <w:left w:val="none" w:sz="0" w:space="0" w:color="auto"/>
        <w:bottom w:val="none" w:sz="0" w:space="0" w:color="auto"/>
        <w:right w:val="none" w:sz="0" w:space="0" w:color="auto"/>
      </w:divBdr>
    </w:div>
    <w:div w:id="171721911">
      <w:bodyDiv w:val="1"/>
      <w:marLeft w:val="0"/>
      <w:marRight w:val="0"/>
      <w:marTop w:val="0"/>
      <w:marBottom w:val="0"/>
      <w:divBdr>
        <w:top w:val="none" w:sz="0" w:space="0" w:color="auto"/>
        <w:left w:val="none" w:sz="0" w:space="0" w:color="auto"/>
        <w:bottom w:val="none" w:sz="0" w:space="0" w:color="auto"/>
        <w:right w:val="none" w:sz="0" w:space="0" w:color="auto"/>
      </w:divBdr>
    </w:div>
    <w:div w:id="238908344">
      <w:bodyDiv w:val="1"/>
      <w:marLeft w:val="0"/>
      <w:marRight w:val="0"/>
      <w:marTop w:val="0"/>
      <w:marBottom w:val="0"/>
      <w:divBdr>
        <w:top w:val="none" w:sz="0" w:space="0" w:color="auto"/>
        <w:left w:val="none" w:sz="0" w:space="0" w:color="auto"/>
        <w:bottom w:val="none" w:sz="0" w:space="0" w:color="auto"/>
        <w:right w:val="none" w:sz="0" w:space="0" w:color="auto"/>
      </w:divBdr>
    </w:div>
    <w:div w:id="287711027">
      <w:bodyDiv w:val="1"/>
      <w:marLeft w:val="0"/>
      <w:marRight w:val="0"/>
      <w:marTop w:val="0"/>
      <w:marBottom w:val="0"/>
      <w:divBdr>
        <w:top w:val="none" w:sz="0" w:space="0" w:color="auto"/>
        <w:left w:val="none" w:sz="0" w:space="0" w:color="auto"/>
        <w:bottom w:val="none" w:sz="0" w:space="0" w:color="auto"/>
        <w:right w:val="none" w:sz="0" w:space="0" w:color="auto"/>
      </w:divBdr>
    </w:div>
    <w:div w:id="294869899">
      <w:bodyDiv w:val="1"/>
      <w:marLeft w:val="0"/>
      <w:marRight w:val="0"/>
      <w:marTop w:val="0"/>
      <w:marBottom w:val="0"/>
      <w:divBdr>
        <w:top w:val="none" w:sz="0" w:space="0" w:color="auto"/>
        <w:left w:val="none" w:sz="0" w:space="0" w:color="auto"/>
        <w:bottom w:val="none" w:sz="0" w:space="0" w:color="auto"/>
        <w:right w:val="none" w:sz="0" w:space="0" w:color="auto"/>
      </w:divBdr>
    </w:div>
    <w:div w:id="361708054">
      <w:bodyDiv w:val="1"/>
      <w:marLeft w:val="0"/>
      <w:marRight w:val="0"/>
      <w:marTop w:val="0"/>
      <w:marBottom w:val="0"/>
      <w:divBdr>
        <w:top w:val="none" w:sz="0" w:space="0" w:color="auto"/>
        <w:left w:val="none" w:sz="0" w:space="0" w:color="auto"/>
        <w:bottom w:val="none" w:sz="0" w:space="0" w:color="auto"/>
        <w:right w:val="none" w:sz="0" w:space="0" w:color="auto"/>
      </w:divBdr>
    </w:div>
    <w:div w:id="371658996">
      <w:bodyDiv w:val="1"/>
      <w:marLeft w:val="0"/>
      <w:marRight w:val="0"/>
      <w:marTop w:val="0"/>
      <w:marBottom w:val="0"/>
      <w:divBdr>
        <w:top w:val="none" w:sz="0" w:space="0" w:color="auto"/>
        <w:left w:val="none" w:sz="0" w:space="0" w:color="auto"/>
        <w:bottom w:val="none" w:sz="0" w:space="0" w:color="auto"/>
        <w:right w:val="none" w:sz="0" w:space="0" w:color="auto"/>
      </w:divBdr>
    </w:div>
    <w:div w:id="386799129">
      <w:bodyDiv w:val="1"/>
      <w:marLeft w:val="0"/>
      <w:marRight w:val="0"/>
      <w:marTop w:val="0"/>
      <w:marBottom w:val="0"/>
      <w:divBdr>
        <w:top w:val="none" w:sz="0" w:space="0" w:color="auto"/>
        <w:left w:val="none" w:sz="0" w:space="0" w:color="auto"/>
        <w:bottom w:val="none" w:sz="0" w:space="0" w:color="auto"/>
        <w:right w:val="none" w:sz="0" w:space="0" w:color="auto"/>
      </w:divBdr>
    </w:div>
    <w:div w:id="493761253">
      <w:bodyDiv w:val="1"/>
      <w:marLeft w:val="0"/>
      <w:marRight w:val="0"/>
      <w:marTop w:val="0"/>
      <w:marBottom w:val="0"/>
      <w:divBdr>
        <w:top w:val="none" w:sz="0" w:space="0" w:color="auto"/>
        <w:left w:val="none" w:sz="0" w:space="0" w:color="auto"/>
        <w:bottom w:val="none" w:sz="0" w:space="0" w:color="auto"/>
        <w:right w:val="none" w:sz="0" w:space="0" w:color="auto"/>
      </w:divBdr>
    </w:div>
    <w:div w:id="513149722">
      <w:bodyDiv w:val="1"/>
      <w:marLeft w:val="0"/>
      <w:marRight w:val="0"/>
      <w:marTop w:val="0"/>
      <w:marBottom w:val="0"/>
      <w:divBdr>
        <w:top w:val="none" w:sz="0" w:space="0" w:color="auto"/>
        <w:left w:val="none" w:sz="0" w:space="0" w:color="auto"/>
        <w:bottom w:val="none" w:sz="0" w:space="0" w:color="auto"/>
        <w:right w:val="none" w:sz="0" w:space="0" w:color="auto"/>
      </w:divBdr>
    </w:div>
    <w:div w:id="575633490">
      <w:bodyDiv w:val="1"/>
      <w:marLeft w:val="0"/>
      <w:marRight w:val="0"/>
      <w:marTop w:val="0"/>
      <w:marBottom w:val="0"/>
      <w:divBdr>
        <w:top w:val="none" w:sz="0" w:space="0" w:color="auto"/>
        <w:left w:val="none" w:sz="0" w:space="0" w:color="auto"/>
        <w:bottom w:val="none" w:sz="0" w:space="0" w:color="auto"/>
        <w:right w:val="none" w:sz="0" w:space="0" w:color="auto"/>
      </w:divBdr>
    </w:div>
    <w:div w:id="591860839">
      <w:bodyDiv w:val="1"/>
      <w:marLeft w:val="0"/>
      <w:marRight w:val="0"/>
      <w:marTop w:val="0"/>
      <w:marBottom w:val="0"/>
      <w:divBdr>
        <w:top w:val="none" w:sz="0" w:space="0" w:color="auto"/>
        <w:left w:val="none" w:sz="0" w:space="0" w:color="auto"/>
        <w:bottom w:val="none" w:sz="0" w:space="0" w:color="auto"/>
        <w:right w:val="none" w:sz="0" w:space="0" w:color="auto"/>
      </w:divBdr>
    </w:div>
    <w:div w:id="662853327">
      <w:bodyDiv w:val="1"/>
      <w:marLeft w:val="0"/>
      <w:marRight w:val="0"/>
      <w:marTop w:val="0"/>
      <w:marBottom w:val="0"/>
      <w:divBdr>
        <w:top w:val="none" w:sz="0" w:space="0" w:color="auto"/>
        <w:left w:val="none" w:sz="0" w:space="0" w:color="auto"/>
        <w:bottom w:val="none" w:sz="0" w:space="0" w:color="auto"/>
        <w:right w:val="none" w:sz="0" w:space="0" w:color="auto"/>
      </w:divBdr>
    </w:div>
    <w:div w:id="783309869">
      <w:bodyDiv w:val="1"/>
      <w:marLeft w:val="0"/>
      <w:marRight w:val="0"/>
      <w:marTop w:val="0"/>
      <w:marBottom w:val="0"/>
      <w:divBdr>
        <w:top w:val="none" w:sz="0" w:space="0" w:color="auto"/>
        <w:left w:val="none" w:sz="0" w:space="0" w:color="auto"/>
        <w:bottom w:val="none" w:sz="0" w:space="0" w:color="auto"/>
        <w:right w:val="none" w:sz="0" w:space="0" w:color="auto"/>
      </w:divBdr>
      <w:divsChild>
        <w:div w:id="267854539">
          <w:marLeft w:val="0"/>
          <w:marRight w:val="0"/>
          <w:marTop w:val="0"/>
          <w:marBottom w:val="0"/>
          <w:divBdr>
            <w:top w:val="none" w:sz="0" w:space="0" w:color="auto"/>
            <w:left w:val="none" w:sz="0" w:space="0" w:color="auto"/>
            <w:bottom w:val="none" w:sz="0" w:space="0" w:color="auto"/>
            <w:right w:val="none" w:sz="0" w:space="0" w:color="auto"/>
          </w:divBdr>
          <w:divsChild>
            <w:div w:id="573702895">
              <w:marLeft w:val="0"/>
              <w:marRight w:val="0"/>
              <w:marTop w:val="0"/>
              <w:marBottom w:val="0"/>
              <w:divBdr>
                <w:top w:val="none" w:sz="0" w:space="0" w:color="auto"/>
                <w:left w:val="none" w:sz="0" w:space="0" w:color="auto"/>
                <w:bottom w:val="none" w:sz="0" w:space="0" w:color="auto"/>
                <w:right w:val="none" w:sz="0" w:space="0" w:color="auto"/>
              </w:divBdr>
              <w:divsChild>
                <w:div w:id="999114831">
                  <w:marLeft w:val="0"/>
                  <w:marRight w:val="0"/>
                  <w:marTop w:val="0"/>
                  <w:marBottom w:val="0"/>
                  <w:divBdr>
                    <w:top w:val="none" w:sz="0" w:space="0" w:color="auto"/>
                    <w:left w:val="none" w:sz="0" w:space="0" w:color="auto"/>
                    <w:bottom w:val="none" w:sz="0" w:space="0" w:color="auto"/>
                    <w:right w:val="none" w:sz="0" w:space="0" w:color="auto"/>
                  </w:divBdr>
                  <w:divsChild>
                    <w:div w:id="1696998878">
                      <w:marLeft w:val="0"/>
                      <w:marRight w:val="0"/>
                      <w:marTop w:val="0"/>
                      <w:marBottom w:val="0"/>
                      <w:divBdr>
                        <w:top w:val="none" w:sz="0" w:space="0" w:color="auto"/>
                        <w:left w:val="none" w:sz="0" w:space="0" w:color="auto"/>
                        <w:bottom w:val="none" w:sz="0" w:space="0" w:color="auto"/>
                        <w:right w:val="none" w:sz="0" w:space="0" w:color="auto"/>
                      </w:divBdr>
                      <w:divsChild>
                        <w:div w:id="17238620">
                          <w:marLeft w:val="0"/>
                          <w:marRight w:val="0"/>
                          <w:marTop w:val="0"/>
                          <w:marBottom w:val="0"/>
                          <w:divBdr>
                            <w:top w:val="none" w:sz="0" w:space="0" w:color="auto"/>
                            <w:left w:val="none" w:sz="0" w:space="0" w:color="auto"/>
                            <w:bottom w:val="none" w:sz="0" w:space="0" w:color="auto"/>
                            <w:right w:val="none" w:sz="0" w:space="0" w:color="auto"/>
                          </w:divBdr>
                          <w:divsChild>
                            <w:div w:id="347097677">
                              <w:marLeft w:val="0"/>
                              <w:marRight w:val="0"/>
                              <w:marTop w:val="0"/>
                              <w:marBottom w:val="0"/>
                              <w:divBdr>
                                <w:top w:val="none" w:sz="0" w:space="0" w:color="auto"/>
                                <w:left w:val="none" w:sz="0" w:space="0" w:color="auto"/>
                                <w:bottom w:val="none" w:sz="0" w:space="0" w:color="auto"/>
                                <w:right w:val="none" w:sz="0" w:space="0" w:color="auto"/>
                              </w:divBdr>
                              <w:divsChild>
                                <w:div w:id="943656571">
                                  <w:marLeft w:val="0"/>
                                  <w:marRight w:val="0"/>
                                  <w:marTop w:val="0"/>
                                  <w:marBottom w:val="0"/>
                                  <w:divBdr>
                                    <w:top w:val="none" w:sz="0" w:space="0" w:color="auto"/>
                                    <w:left w:val="none" w:sz="0" w:space="0" w:color="auto"/>
                                    <w:bottom w:val="none" w:sz="0" w:space="0" w:color="auto"/>
                                    <w:right w:val="none" w:sz="0" w:space="0" w:color="auto"/>
                                  </w:divBdr>
                                  <w:divsChild>
                                    <w:div w:id="21368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196224">
      <w:bodyDiv w:val="1"/>
      <w:marLeft w:val="0"/>
      <w:marRight w:val="0"/>
      <w:marTop w:val="0"/>
      <w:marBottom w:val="0"/>
      <w:divBdr>
        <w:top w:val="none" w:sz="0" w:space="0" w:color="auto"/>
        <w:left w:val="none" w:sz="0" w:space="0" w:color="auto"/>
        <w:bottom w:val="none" w:sz="0" w:space="0" w:color="auto"/>
        <w:right w:val="none" w:sz="0" w:space="0" w:color="auto"/>
      </w:divBdr>
    </w:div>
    <w:div w:id="803039273">
      <w:bodyDiv w:val="1"/>
      <w:marLeft w:val="0"/>
      <w:marRight w:val="0"/>
      <w:marTop w:val="0"/>
      <w:marBottom w:val="0"/>
      <w:divBdr>
        <w:top w:val="none" w:sz="0" w:space="0" w:color="auto"/>
        <w:left w:val="none" w:sz="0" w:space="0" w:color="auto"/>
        <w:bottom w:val="none" w:sz="0" w:space="0" w:color="auto"/>
        <w:right w:val="none" w:sz="0" w:space="0" w:color="auto"/>
      </w:divBdr>
    </w:div>
    <w:div w:id="893469425">
      <w:bodyDiv w:val="1"/>
      <w:marLeft w:val="0"/>
      <w:marRight w:val="0"/>
      <w:marTop w:val="0"/>
      <w:marBottom w:val="0"/>
      <w:divBdr>
        <w:top w:val="none" w:sz="0" w:space="0" w:color="auto"/>
        <w:left w:val="none" w:sz="0" w:space="0" w:color="auto"/>
        <w:bottom w:val="none" w:sz="0" w:space="0" w:color="auto"/>
        <w:right w:val="none" w:sz="0" w:space="0" w:color="auto"/>
      </w:divBdr>
    </w:div>
    <w:div w:id="939482703">
      <w:bodyDiv w:val="1"/>
      <w:marLeft w:val="0"/>
      <w:marRight w:val="0"/>
      <w:marTop w:val="0"/>
      <w:marBottom w:val="0"/>
      <w:divBdr>
        <w:top w:val="none" w:sz="0" w:space="0" w:color="auto"/>
        <w:left w:val="none" w:sz="0" w:space="0" w:color="auto"/>
        <w:bottom w:val="none" w:sz="0" w:space="0" w:color="auto"/>
        <w:right w:val="none" w:sz="0" w:space="0" w:color="auto"/>
      </w:divBdr>
    </w:div>
    <w:div w:id="967394504">
      <w:bodyDiv w:val="1"/>
      <w:marLeft w:val="0"/>
      <w:marRight w:val="0"/>
      <w:marTop w:val="0"/>
      <w:marBottom w:val="0"/>
      <w:divBdr>
        <w:top w:val="none" w:sz="0" w:space="0" w:color="auto"/>
        <w:left w:val="none" w:sz="0" w:space="0" w:color="auto"/>
        <w:bottom w:val="none" w:sz="0" w:space="0" w:color="auto"/>
        <w:right w:val="none" w:sz="0" w:space="0" w:color="auto"/>
      </w:divBdr>
    </w:div>
    <w:div w:id="1103381963">
      <w:bodyDiv w:val="1"/>
      <w:marLeft w:val="0"/>
      <w:marRight w:val="0"/>
      <w:marTop w:val="0"/>
      <w:marBottom w:val="0"/>
      <w:divBdr>
        <w:top w:val="none" w:sz="0" w:space="0" w:color="auto"/>
        <w:left w:val="none" w:sz="0" w:space="0" w:color="auto"/>
        <w:bottom w:val="none" w:sz="0" w:space="0" w:color="auto"/>
        <w:right w:val="none" w:sz="0" w:space="0" w:color="auto"/>
      </w:divBdr>
    </w:div>
    <w:div w:id="1120537553">
      <w:bodyDiv w:val="1"/>
      <w:marLeft w:val="0"/>
      <w:marRight w:val="0"/>
      <w:marTop w:val="0"/>
      <w:marBottom w:val="0"/>
      <w:divBdr>
        <w:top w:val="none" w:sz="0" w:space="0" w:color="auto"/>
        <w:left w:val="none" w:sz="0" w:space="0" w:color="auto"/>
        <w:bottom w:val="none" w:sz="0" w:space="0" w:color="auto"/>
        <w:right w:val="none" w:sz="0" w:space="0" w:color="auto"/>
      </w:divBdr>
    </w:div>
    <w:div w:id="1127315810">
      <w:bodyDiv w:val="1"/>
      <w:marLeft w:val="0"/>
      <w:marRight w:val="0"/>
      <w:marTop w:val="0"/>
      <w:marBottom w:val="0"/>
      <w:divBdr>
        <w:top w:val="none" w:sz="0" w:space="0" w:color="auto"/>
        <w:left w:val="none" w:sz="0" w:space="0" w:color="auto"/>
        <w:bottom w:val="none" w:sz="0" w:space="0" w:color="auto"/>
        <w:right w:val="none" w:sz="0" w:space="0" w:color="auto"/>
      </w:divBdr>
    </w:div>
    <w:div w:id="1320117373">
      <w:bodyDiv w:val="1"/>
      <w:marLeft w:val="0"/>
      <w:marRight w:val="0"/>
      <w:marTop w:val="0"/>
      <w:marBottom w:val="0"/>
      <w:divBdr>
        <w:top w:val="none" w:sz="0" w:space="0" w:color="auto"/>
        <w:left w:val="none" w:sz="0" w:space="0" w:color="auto"/>
        <w:bottom w:val="none" w:sz="0" w:space="0" w:color="auto"/>
        <w:right w:val="none" w:sz="0" w:space="0" w:color="auto"/>
      </w:divBdr>
    </w:div>
    <w:div w:id="1372412359">
      <w:bodyDiv w:val="1"/>
      <w:marLeft w:val="0"/>
      <w:marRight w:val="0"/>
      <w:marTop w:val="0"/>
      <w:marBottom w:val="0"/>
      <w:divBdr>
        <w:top w:val="none" w:sz="0" w:space="0" w:color="auto"/>
        <w:left w:val="none" w:sz="0" w:space="0" w:color="auto"/>
        <w:bottom w:val="none" w:sz="0" w:space="0" w:color="auto"/>
        <w:right w:val="none" w:sz="0" w:space="0" w:color="auto"/>
      </w:divBdr>
      <w:divsChild>
        <w:div w:id="211696379">
          <w:marLeft w:val="0"/>
          <w:marRight w:val="0"/>
          <w:marTop w:val="0"/>
          <w:marBottom w:val="0"/>
          <w:divBdr>
            <w:top w:val="none" w:sz="0" w:space="0" w:color="auto"/>
            <w:left w:val="none" w:sz="0" w:space="0" w:color="auto"/>
            <w:bottom w:val="none" w:sz="0" w:space="0" w:color="auto"/>
            <w:right w:val="none" w:sz="0" w:space="0" w:color="auto"/>
          </w:divBdr>
          <w:divsChild>
            <w:div w:id="2120684108">
              <w:marLeft w:val="0"/>
              <w:marRight w:val="0"/>
              <w:marTop w:val="0"/>
              <w:marBottom w:val="0"/>
              <w:divBdr>
                <w:top w:val="none" w:sz="0" w:space="0" w:color="auto"/>
                <w:left w:val="none" w:sz="0" w:space="0" w:color="auto"/>
                <w:bottom w:val="none" w:sz="0" w:space="0" w:color="auto"/>
                <w:right w:val="none" w:sz="0" w:space="0" w:color="auto"/>
              </w:divBdr>
              <w:divsChild>
                <w:div w:id="1614626884">
                  <w:marLeft w:val="0"/>
                  <w:marRight w:val="0"/>
                  <w:marTop w:val="0"/>
                  <w:marBottom w:val="0"/>
                  <w:divBdr>
                    <w:top w:val="none" w:sz="0" w:space="0" w:color="auto"/>
                    <w:left w:val="none" w:sz="0" w:space="0" w:color="auto"/>
                    <w:bottom w:val="none" w:sz="0" w:space="0" w:color="auto"/>
                    <w:right w:val="none" w:sz="0" w:space="0" w:color="auto"/>
                  </w:divBdr>
                  <w:divsChild>
                    <w:div w:id="1409034916">
                      <w:marLeft w:val="0"/>
                      <w:marRight w:val="0"/>
                      <w:marTop w:val="0"/>
                      <w:marBottom w:val="0"/>
                      <w:divBdr>
                        <w:top w:val="none" w:sz="0" w:space="0" w:color="auto"/>
                        <w:left w:val="none" w:sz="0" w:space="0" w:color="auto"/>
                        <w:bottom w:val="none" w:sz="0" w:space="0" w:color="auto"/>
                        <w:right w:val="none" w:sz="0" w:space="0" w:color="auto"/>
                      </w:divBdr>
                      <w:divsChild>
                        <w:div w:id="2140226133">
                          <w:marLeft w:val="0"/>
                          <w:marRight w:val="0"/>
                          <w:marTop w:val="0"/>
                          <w:marBottom w:val="0"/>
                          <w:divBdr>
                            <w:top w:val="none" w:sz="0" w:space="0" w:color="auto"/>
                            <w:left w:val="none" w:sz="0" w:space="0" w:color="auto"/>
                            <w:bottom w:val="none" w:sz="0" w:space="0" w:color="auto"/>
                            <w:right w:val="none" w:sz="0" w:space="0" w:color="auto"/>
                          </w:divBdr>
                          <w:divsChild>
                            <w:div w:id="1994678535">
                              <w:marLeft w:val="0"/>
                              <w:marRight w:val="0"/>
                              <w:marTop w:val="0"/>
                              <w:marBottom w:val="0"/>
                              <w:divBdr>
                                <w:top w:val="none" w:sz="0" w:space="0" w:color="auto"/>
                                <w:left w:val="none" w:sz="0" w:space="0" w:color="auto"/>
                                <w:bottom w:val="none" w:sz="0" w:space="0" w:color="auto"/>
                                <w:right w:val="none" w:sz="0" w:space="0" w:color="auto"/>
                              </w:divBdr>
                              <w:divsChild>
                                <w:div w:id="1475566758">
                                  <w:marLeft w:val="0"/>
                                  <w:marRight w:val="0"/>
                                  <w:marTop w:val="0"/>
                                  <w:marBottom w:val="0"/>
                                  <w:divBdr>
                                    <w:top w:val="none" w:sz="0" w:space="0" w:color="auto"/>
                                    <w:left w:val="none" w:sz="0" w:space="0" w:color="auto"/>
                                    <w:bottom w:val="none" w:sz="0" w:space="0" w:color="auto"/>
                                    <w:right w:val="none" w:sz="0" w:space="0" w:color="auto"/>
                                  </w:divBdr>
                                  <w:divsChild>
                                    <w:div w:id="12174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729294">
      <w:bodyDiv w:val="1"/>
      <w:marLeft w:val="0"/>
      <w:marRight w:val="0"/>
      <w:marTop w:val="0"/>
      <w:marBottom w:val="0"/>
      <w:divBdr>
        <w:top w:val="none" w:sz="0" w:space="0" w:color="auto"/>
        <w:left w:val="none" w:sz="0" w:space="0" w:color="auto"/>
        <w:bottom w:val="none" w:sz="0" w:space="0" w:color="auto"/>
        <w:right w:val="none" w:sz="0" w:space="0" w:color="auto"/>
      </w:divBdr>
    </w:div>
    <w:div w:id="1436972942">
      <w:bodyDiv w:val="1"/>
      <w:marLeft w:val="0"/>
      <w:marRight w:val="0"/>
      <w:marTop w:val="0"/>
      <w:marBottom w:val="0"/>
      <w:divBdr>
        <w:top w:val="none" w:sz="0" w:space="0" w:color="auto"/>
        <w:left w:val="none" w:sz="0" w:space="0" w:color="auto"/>
        <w:bottom w:val="none" w:sz="0" w:space="0" w:color="auto"/>
        <w:right w:val="none" w:sz="0" w:space="0" w:color="auto"/>
      </w:divBdr>
    </w:div>
    <w:div w:id="1441222100">
      <w:bodyDiv w:val="1"/>
      <w:marLeft w:val="0"/>
      <w:marRight w:val="0"/>
      <w:marTop w:val="0"/>
      <w:marBottom w:val="0"/>
      <w:divBdr>
        <w:top w:val="none" w:sz="0" w:space="0" w:color="auto"/>
        <w:left w:val="none" w:sz="0" w:space="0" w:color="auto"/>
        <w:bottom w:val="none" w:sz="0" w:space="0" w:color="auto"/>
        <w:right w:val="none" w:sz="0" w:space="0" w:color="auto"/>
      </w:divBdr>
    </w:div>
    <w:div w:id="1485395020">
      <w:bodyDiv w:val="1"/>
      <w:marLeft w:val="0"/>
      <w:marRight w:val="0"/>
      <w:marTop w:val="0"/>
      <w:marBottom w:val="0"/>
      <w:divBdr>
        <w:top w:val="none" w:sz="0" w:space="0" w:color="auto"/>
        <w:left w:val="none" w:sz="0" w:space="0" w:color="auto"/>
        <w:bottom w:val="none" w:sz="0" w:space="0" w:color="auto"/>
        <w:right w:val="none" w:sz="0" w:space="0" w:color="auto"/>
      </w:divBdr>
    </w:div>
    <w:div w:id="1543403721">
      <w:bodyDiv w:val="1"/>
      <w:marLeft w:val="0"/>
      <w:marRight w:val="0"/>
      <w:marTop w:val="0"/>
      <w:marBottom w:val="0"/>
      <w:divBdr>
        <w:top w:val="none" w:sz="0" w:space="0" w:color="auto"/>
        <w:left w:val="none" w:sz="0" w:space="0" w:color="auto"/>
        <w:bottom w:val="none" w:sz="0" w:space="0" w:color="auto"/>
        <w:right w:val="none" w:sz="0" w:space="0" w:color="auto"/>
      </w:divBdr>
    </w:div>
    <w:div w:id="1551499700">
      <w:bodyDiv w:val="1"/>
      <w:marLeft w:val="0"/>
      <w:marRight w:val="0"/>
      <w:marTop w:val="0"/>
      <w:marBottom w:val="0"/>
      <w:divBdr>
        <w:top w:val="none" w:sz="0" w:space="0" w:color="auto"/>
        <w:left w:val="none" w:sz="0" w:space="0" w:color="auto"/>
        <w:bottom w:val="none" w:sz="0" w:space="0" w:color="auto"/>
        <w:right w:val="none" w:sz="0" w:space="0" w:color="auto"/>
      </w:divBdr>
    </w:div>
    <w:div w:id="1613241207">
      <w:bodyDiv w:val="1"/>
      <w:marLeft w:val="0"/>
      <w:marRight w:val="0"/>
      <w:marTop w:val="0"/>
      <w:marBottom w:val="0"/>
      <w:divBdr>
        <w:top w:val="none" w:sz="0" w:space="0" w:color="auto"/>
        <w:left w:val="none" w:sz="0" w:space="0" w:color="auto"/>
        <w:bottom w:val="none" w:sz="0" w:space="0" w:color="auto"/>
        <w:right w:val="none" w:sz="0" w:space="0" w:color="auto"/>
      </w:divBdr>
    </w:div>
    <w:div w:id="1616015466">
      <w:bodyDiv w:val="1"/>
      <w:marLeft w:val="0"/>
      <w:marRight w:val="0"/>
      <w:marTop w:val="0"/>
      <w:marBottom w:val="0"/>
      <w:divBdr>
        <w:top w:val="none" w:sz="0" w:space="0" w:color="auto"/>
        <w:left w:val="none" w:sz="0" w:space="0" w:color="auto"/>
        <w:bottom w:val="none" w:sz="0" w:space="0" w:color="auto"/>
        <w:right w:val="none" w:sz="0" w:space="0" w:color="auto"/>
      </w:divBdr>
    </w:div>
    <w:div w:id="1625502270">
      <w:bodyDiv w:val="1"/>
      <w:marLeft w:val="0"/>
      <w:marRight w:val="0"/>
      <w:marTop w:val="0"/>
      <w:marBottom w:val="0"/>
      <w:divBdr>
        <w:top w:val="none" w:sz="0" w:space="0" w:color="auto"/>
        <w:left w:val="none" w:sz="0" w:space="0" w:color="auto"/>
        <w:bottom w:val="none" w:sz="0" w:space="0" w:color="auto"/>
        <w:right w:val="none" w:sz="0" w:space="0" w:color="auto"/>
      </w:divBdr>
    </w:div>
    <w:div w:id="1632975797">
      <w:bodyDiv w:val="1"/>
      <w:marLeft w:val="0"/>
      <w:marRight w:val="0"/>
      <w:marTop w:val="0"/>
      <w:marBottom w:val="0"/>
      <w:divBdr>
        <w:top w:val="none" w:sz="0" w:space="0" w:color="auto"/>
        <w:left w:val="none" w:sz="0" w:space="0" w:color="auto"/>
        <w:bottom w:val="none" w:sz="0" w:space="0" w:color="auto"/>
        <w:right w:val="none" w:sz="0" w:space="0" w:color="auto"/>
      </w:divBdr>
    </w:div>
    <w:div w:id="1651254032">
      <w:bodyDiv w:val="1"/>
      <w:marLeft w:val="0"/>
      <w:marRight w:val="0"/>
      <w:marTop w:val="0"/>
      <w:marBottom w:val="0"/>
      <w:divBdr>
        <w:top w:val="none" w:sz="0" w:space="0" w:color="auto"/>
        <w:left w:val="none" w:sz="0" w:space="0" w:color="auto"/>
        <w:bottom w:val="none" w:sz="0" w:space="0" w:color="auto"/>
        <w:right w:val="none" w:sz="0" w:space="0" w:color="auto"/>
      </w:divBdr>
    </w:div>
    <w:div w:id="1699697133">
      <w:bodyDiv w:val="1"/>
      <w:marLeft w:val="0"/>
      <w:marRight w:val="0"/>
      <w:marTop w:val="0"/>
      <w:marBottom w:val="0"/>
      <w:divBdr>
        <w:top w:val="none" w:sz="0" w:space="0" w:color="auto"/>
        <w:left w:val="none" w:sz="0" w:space="0" w:color="auto"/>
        <w:bottom w:val="none" w:sz="0" w:space="0" w:color="auto"/>
        <w:right w:val="none" w:sz="0" w:space="0" w:color="auto"/>
      </w:divBdr>
    </w:div>
    <w:div w:id="1732120034">
      <w:bodyDiv w:val="1"/>
      <w:marLeft w:val="0"/>
      <w:marRight w:val="0"/>
      <w:marTop w:val="0"/>
      <w:marBottom w:val="0"/>
      <w:divBdr>
        <w:top w:val="none" w:sz="0" w:space="0" w:color="auto"/>
        <w:left w:val="none" w:sz="0" w:space="0" w:color="auto"/>
        <w:bottom w:val="none" w:sz="0" w:space="0" w:color="auto"/>
        <w:right w:val="none" w:sz="0" w:space="0" w:color="auto"/>
      </w:divBdr>
    </w:div>
    <w:div w:id="1752658001">
      <w:bodyDiv w:val="1"/>
      <w:marLeft w:val="0"/>
      <w:marRight w:val="0"/>
      <w:marTop w:val="0"/>
      <w:marBottom w:val="0"/>
      <w:divBdr>
        <w:top w:val="none" w:sz="0" w:space="0" w:color="auto"/>
        <w:left w:val="none" w:sz="0" w:space="0" w:color="auto"/>
        <w:bottom w:val="none" w:sz="0" w:space="0" w:color="auto"/>
        <w:right w:val="none" w:sz="0" w:space="0" w:color="auto"/>
      </w:divBdr>
    </w:div>
    <w:div w:id="1754667492">
      <w:bodyDiv w:val="1"/>
      <w:marLeft w:val="0"/>
      <w:marRight w:val="0"/>
      <w:marTop w:val="0"/>
      <w:marBottom w:val="0"/>
      <w:divBdr>
        <w:top w:val="none" w:sz="0" w:space="0" w:color="auto"/>
        <w:left w:val="none" w:sz="0" w:space="0" w:color="auto"/>
        <w:bottom w:val="none" w:sz="0" w:space="0" w:color="auto"/>
        <w:right w:val="none" w:sz="0" w:space="0" w:color="auto"/>
      </w:divBdr>
    </w:div>
    <w:div w:id="177775396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9126201">
      <w:bodyDiv w:val="1"/>
      <w:marLeft w:val="0"/>
      <w:marRight w:val="0"/>
      <w:marTop w:val="0"/>
      <w:marBottom w:val="0"/>
      <w:divBdr>
        <w:top w:val="none" w:sz="0" w:space="0" w:color="auto"/>
        <w:left w:val="none" w:sz="0" w:space="0" w:color="auto"/>
        <w:bottom w:val="none" w:sz="0" w:space="0" w:color="auto"/>
        <w:right w:val="none" w:sz="0" w:space="0" w:color="auto"/>
      </w:divBdr>
    </w:div>
    <w:div w:id="1840079167">
      <w:bodyDiv w:val="1"/>
      <w:marLeft w:val="0"/>
      <w:marRight w:val="0"/>
      <w:marTop w:val="0"/>
      <w:marBottom w:val="0"/>
      <w:divBdr>
        <w:top w:val="none" w:sz="0" w:space="0" w:color="auto"/>
        <w:left w:val="none" w:sz="0" w:space="0" w:color="auto"/>
        <w:bottom w:val="none" w:sz="0" w:space="0" w:color="auto"/>
        <w:right w:val="none" w:sz="0" w:space="0" w:color="auto"/>
      </w:divBdr>
    </w:div>
    <w:div w:id="1959288147">
      <w:bodyDiv w:val="1"/>
      <w:marLeft w:val="0"/>
      <w:marRight w:val="0"/>
      <w:marTop w:val="0"/>
      <w:marBottom w:val="0"/>
      <w:divBdr>
        <w:top w:val="none" w:sz="0" w:space="0" w:color="auto"/>
        <w:left w:val="none" w:sz="0" w:space="0" w:color="auto"/>
        <w:bottom w:val="none" w:sz="0" w:space="0" w:color="auto"/>
        <w:right w:val="none" w:sz="0" w:space="0" w:color="auto"/>
      </w:divBdr>
    </w:div>
    <w:div w:id="1961256895">
      <w:bodyDiv w:val="1"/>
      <w:marLeft w:val="0"/>
      <w:marRight w:val="0"/>
      <w:marTop w:val="0"/>
      <w:marBottom w:val="0"/>
      <w:divBdr>
        <w:top w:val="none" w:sz="0" w:space="0" w:color="auto"/>
        <w:left w:val="none" w:sz="0" w:space="0" w:color="auto"/>
        <w:bottom w:val="none" w:sz="0" w:space="0" w:color="auto"/>
        <w:right w:val="none" w:sz="0" w:space="0" w:color="auto"/>
      </w:divBdr>
    </w:div>
    <w:div w:id="2082100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ppl/informes/pdfs/Informe-PP-2013-es.pdf" TargetMode="External"/><Relationship Id="rId2" Type="http://schemas.openxmlformats.org/officeDocument/2006/relationships/hyperlink" Target="http://www.oas.org/es/cidh/ppl/informes/pdfs/Informe-PP-2013-es.pdf" TargetMode="External"/><Relationship Id="rId1" Type="http://schemas.openxmlformats.org/officeDocument/2006/relationships/hyperlink" Target="http://www.oas.org/es/cidh/docs/pdfs/SEGURIDAD%20CIUDADANA%202009%20ESP.pdf" TargetMode="External"/><Relationship Id="rId6" Type="http://schemas.openxmlformats.org/officeDocument/2006/relationships/hyperlink" Target="http://www.oas.org/es/cidh/ppl/informes/pdfs/Informe-PP-2013-es.pdf" TargetMode="External"/><Relationship Id="rId5" Type="http://schemas.openxmlformats.org/officeDocument/2006/relationships/hyperlink" Target="http://www.oas.org/es/cidh/ppl/informes/pdfs/Informe-PP-2013-es.pdf" TargetMode="External"/><Relationship Id="rId4" Type="http://schemas.openxmlformats.org/officeDocument/2006/relationships/hyperlink" Target="http://www.oas.org/es/cidh/ppl/informes/pdfs/Informe-PP-2013-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3" ma:contentTypeDescription="Create a new document." ma:contentTypeScope="" ma:versionID="576f7d155c2f194fbc08dd29dd5bd01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74e2f7944343de88d9341c5d439af048"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A1FDC-0ACF-4BD3-BCA4-89AD9E17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61CD1-58EF-4C28-8F77-715CCA617A67}">
  <ds:schemaRefs>
    <ds:schemaRef ds:uri="http://schemas.openxmlformats.org/officeDocument/2006/bibliography"/>
  </ds:schemaRefs>
</ds:datastoreItem>
</file>

<file path=customXml/itemProps3.xml><?xml version="1.0" encoding="utf-8"?>
<ds:datastoreItem xmlns:ds="http://schemas.openxmlformats.org/officeDocument/2006/customXml" ds:itemID="{E7863259-11C4-4602-8E86-2984AA013ECB}">
  <ds:schemaRefs>
    <ds:schemaRef ds:uri="http://schemas.microsoft.com/sharepoint/v3/contenttype/forms"/>
  </ds:schemaRefs>
</ds:datastoreItem>
</file>

<file path=customXml/itemProps4.xml><?xml version="1.0" encoding="utf-8"?>
<ds:datastoreItem xmlns:ds="http://schemas.openxmlformats.org/officeDocument/2006/customXml" ds:itemID="{15FA8F2E-91AD-442D-814B-5EA58C113F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19562</Words>
  <Characters>111504</Characters>
  <Application>Microsoft Office Word</Application>
  <DocSecurity>0</DocSecurity>
  <Lines>929</Lines>
  <Paragraphs>261</Paragraphs>
  <ScaleCrop>false</ScaleCrop>
  <Company/>
  <LinksUpToDate>false</LinksUpToDate>
  <CharactersWithSpaces>130805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2025-12-03T19:10:00Z</dcterms:created>
  <dcterms:modified xsi:type="dcterms:W3CDTF">2025-12-03T19:10:00Z</dcterms:modified>
</cp:coreProperties>
</file>