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821B2" w14:textId="77777777" w:rsidR="00040C3A" w:rsidRPr="00C51F6C" w:rsidRDefault="00770798" w:rsidP="00627C9F">
      <w:pPr>
        <w:jc w:val="both"/>
        <w:rPr>
          <w:rFonts w:asciiTheme="majorHAnsi" w:hAnsiTheme="majorHAnsi" w:cs="Univers"/>
          <w:b/>
          <w:bCs/>
          <w:sz w:val="22"/>
          <w:szCs w:val="22"/>
        </w:rPr>
      </w:pPr>
      <w:r w:rsidRPr="00812C8D">
        <w:rPr>
          <w:rFonts w:asciiTheme="majorHAnsi" w:hAnsiTheme="majorHAnsi"/>
          <w:noProof/>
          <w:sz w:val="20"/>
          <w:szCs w:val="20"/>
        </w:rPr>
        <mc:AlternateContent>
          <mc:Choice Requires="wps">
            <w:drawing>
              <wp:anchor distT="0" distB="0" distL="114300" distR="114300" simplePos="0" relativeHeight="251667456" behindDoc="1" locked="0" layoutInCell="1" allowOverlap="1" wp14:anchorId="42636232" wp14:editId="79BAF48C">
                <wp:simplePos x="0" y="0"/>
                <wp:positionH relativeFrom="column">
                  <wp:posOffset>-344602</wp:posOffset>
                </wp:positionH>
                <wp:positionV relativeFrom="paragraph">
                  <wp:posOffset>-328930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5A5991" id="Rectangle 1" o:spid="_x0000_s1026" style="position:absolute;margin-left:-27.15pt;margin-top:-25.9pt;width:111pt;height:706.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" fillcolor="#67ae3c" stroked="f" strokeweight="2pt"/>
            </w:pict>
          </mc:Fallback>
        </mc:AlternateContent>
      </w:r>
      <w:r w:rsidR="00D306D1">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14449DA4" wp14:editId="27605CF1">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51815E" w14:textId="77777777" w:rsidR="00E6692A" w:rsidRDefault="00E6692A" w:rsidP="00AE5488">
                            <w:r>
                              <w:rPr>
                                <w:noProof/>
                              </w:rPr>
                              <w:drawing>
                                <wp:inline distT="0" distB="0" distL="0" distR="0" wp14:anchorId="276E52C9" wp14:editId="4E6ABAEA">
                                  <wp:extent cx="2522763" cy="485775"/>
                                  <wp:effectExtent l="0" t="0" r="0" b="0"/>
                                  <wp:docPr id="6" name="Picture 6"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Pr>
                                <w:lang w:val="en"/>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449DA4"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2151815E" w14:textId="77777777" w:rsidR="00E6692A" w:rsidRDefault="00E6692A" w:rsidP="00AE5488">
                      <w:r>
                        <w:rPr>
                          <w:noProof/>
                        </w:rPr>
                        <w:drawing>
                          <wp:inline distT="0" distB="0" distL="0" distR="0" wp14:anchorId="276E52C9" wp14:editId="4E6ABAEA">
                            <wp:extent cx="2522763" cy="485775"/>
                            <wp:effectExtent l="0" t="0" r="0" b="0"/>
                            <wp:docPr id="6" name="Picture 6"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Pr>
                          <w:lang w:val="en"/>
                        </w:rPr>
                        <w:tab/>
                        <w:t xml:space="preserve">               </w:t>
                      </w:r>
                    </w:p>
                  </w:txbxContent>
                </v:textbox>
              </v:shape>
            </w:pict>
          </mc:Fallback>
        </mc:AlternateContent>
      </w:r>
    </w:p>
    <w:p w14:paraId="6E419675" w14:textId="77777777" w:rsidR="00040C3A" w:rsidRPr="00C51F6C" w:rsidRDefault="00040C3A" w:rsidP="00040C3A">
      <w:pPr>
        <w:tabs>
          <w:tab w:val="center" w:pos="5400"/>
        </w:tabs>
        <w:suppressAutoHyphens/>
        <w:jc w:val="both"/>
        <w:rPr>
          <w:rFonts w:asciiTheme="majorHAnsi" w:hAnsiTheme="majorHAnsi"/>
          <w:sz w:val="22"/>
          <w:szCs w:val="22"/>
        </w:rPr>
      </w:pPr>
    </w:p>
    <w:p w14:paraId="6535FCD0" w14:textId="77777777" w:rsidR="00040C3A" w:rsidRPr="00C51F6C" w:rsidRDefault="00040C3A" w:rsidP="00040C3A">
      <w:pPr>
        <w:tabs>
          <w:tab w:val="center" w:pos="5400"/>
        </w:tabs>
        <w:suppressAutoHyphens/>
        <w:jc w:val="both"/>
        <w:rPr>
          <w:rFonts w:asciiTheme="majorHAnsi" w:hAnsiTheme="majorHAnsi"/>
          <w:sz w:val="22"/>
          <w:szCs w:val="22"/>
        </w:rPr>
      </w:pPr>
    </w:p>
    <w:p w14:paraId="6330B092" w14:textId="77777777" w:rsidR="005128E4" w:rsidRPr="00C51F6C" w:rsidRDefault="005128E4" w:rsidP="00040C3A">
      <w:pPr>
        <w:tabs>
          <w:tab w:val="center" w:pos="5400"/>
        </w:tabs>
        <w:suppressAutoHyphens/>
        <w:rPr>
          <w:rFonts w:asciiTheme="majorHAnsi" w:hAnsiTheme="majorHAnsi"/>
          <w:sz w:val="22"/>
          <w:szCs w:val="22"/>
        </w:rPr>
      </w:pPr>
    </w:p>
    <w:p w14:paraId="5DF2B84A" w14:textId="77777777" w:rsidR="005128E4" w:rsidRPr="00C51F6C" w:rsidRDefault="005128E4" w:rsidP="00040C3A">
      <w:pPr>
        <w:tabs>
          <w:tab w:val="center" w:pos="5400"/>
        </w:tabs>
        <w:suppressAutoHyphens/>
        <w:rPr>
          <w:rFonts w:asciiTheme="majorHAnsi" w:hAnsiTheme="majorHAnsi"/>
          <w:sz w:val="22"/>
          <w:szCs w:val="22"/>
        </w:rPr>
      </w:pPr>
    </w:p>
    <w:p w14:paraId="4394D443" w14:textId="77777777" w:rsidR="005128E4" w:rsidRPr="00C51F6C" w:rsidRDefault="005128E4" w:rsidP="00040C3A">
      <w:pPr>
        <w:tabs>
          <w:tab w:val="center" w:pos="5400"/>
        </w:tabs>
        <w:suppressAutoHyphens/>
        <w:rPr>
          <w:rFonts w:asciiTheme="majorHAnsi" w:hAnsiTheme="majorHAnsi"/>
          <w:sz w:val="22"/>
          <w:szCs w:val="22"/>
        </w:rPr>
      </w:pPr>
    </w:p>
    <w:p w14:paraId="3F9FDEF7" w14:textId="77777777" w:rsidR="00040C3A" w:rsidRPr="00C51F6C" w:rsidRDefault="00040C3A" w:rsidP="005128E4">
      <w:pPr>
        <w:tabs>
          <w:tab w:val="center" w:pos="5400"/>
        </w:tabs>
        <w:suppressAutoHyphens/>
        <w:jc w:val="center"/>
        <w:rPr>
          <w:rFonts w:asciiTheme="majorHAnsi" w:hAnsiTheme="majorHAnsi"/>
          <w:sz w:val="22"/>
          <w:szCs w:val="22"/>
        </w:rPr>
      </w:pPr>
    </w:p>
    <w:p w14:paraId="73396E49" w14:textId="77777777" w:rsidR="00040C3A" w:rsidRPr="00C51F6C" w:rsidRDefault="00040C3A" w:rsidP="005128E4">
      <w:pPr>
        <w:tabs>
          <w:tab w:val="center" w:pos="5400"/>
        </w:tabs>
        <w:suppressAutoHyphens/>
        <w:jc w:val="center"/>
        <w:rPr>
          <w:rFonts w:asciiTheme="majorHAnsi" w:hAnsiTheme="majorHAnsi"/>
          <w:sz w:val="22"/>
          <w:szCs w:val="22"/>
        </w:rPr>
      </w:pPr>
    </w:p>
    <w:p w14:paraId="7D48EE70" w14:textId="77777777" w:rsidR="005B52B0" w:rsidRPr="00C51F6C" w:rsidRDefault="005B52B0" w:rsidP="005128E4">
      <w:pPr>
        <w:tabs>
          <w:tab w:val="center" w:pos="5400"/>
        </w:tabs>
        <w:suppressAutoHyphens/>
        <w:jc w:val="center"/>
        <w:rPr>
          <w:rFonts w:asciiTheme="majorHAnsi" w:hAnsiTheme="majorHAnsi"/>
          <w:sz w:val="22"/>
          <w:szCs w:val="22"/>
        </w:rPr>
      </w:pPr>
    </w:p>
    <w:p w14:paraId="71F02BB5" w14:textId="77777777" w:rsidR="005B52B0" w:rsidRPr="00C51F6C" w:rsidRDefault="005B52B0" w:rsidP="005128E4">
      <w:pPr>
        <w:tabs>
          <w:tab w:val="center" w:pos="5400"/>
        </w:tabs>
        <w:suppressAutoHyphens/>
        <w:jc w:val="center"/>
        <w:rPr>
          <w:rFonts w:asciiTheme="majorHAnsi" w:hAnsiTheme="majorHAnsi"/>
          <w:sz w:val="22"/>
          <w:szCs w:val="22"/>
        </w:rPr>
      </w:pPr>
    </w:p>
    <w:p w14:paraId="25C9A3AF" w14:textId="77777777" w:rsidR="005B52B0" w:rsidRPr="00C51F6C" w:rsidRDefault="005B52B0" w:rsidP="005128E4">
      <w:pPr>
        <w:tabs>
          <w:tab w:val="center" w:pos="5400"/>
        </w:tabs>
        <w:suppressAutoHyphens/>
        <w:jc w:val="center"/>
        <w:rPr>
          <w:rFonts w:asciiTheme="majorHAnsi" w:hAnsiTheme="majorHAnsi"/>
          <w:sz w:val="22"/>
          <w:szCs w:val="22"/>
        </w:rPr>
      </w:pPr>
    </w:p>
    <w:p w14:paraId="43993DD3" w14:textId="77777777" w:rsidR="00040C3A" w:rsidRPr="00C51F6C" w:rsidRDefault="00040C3A" w:rsidP="00040C3A">
      <w:pPr>
        <w:tabs>
          <w:tab w:val="center" w:pos="5400"/>
        </w:tabs>
        <w:suppressAutoHyphens/>
        <w:jc w:val="center"/>
        <w:rPr>
          <w:rFonts w:asciiTheme="majorHAnsi" w:hAnsiTheme="majorHAnsi"/>
          <w:sz w:val="22"/>
          <w:szCs w:val="22"/>
        </w:rPr>
      </w:pPr>
    </w:p>
    <w:p w14:paraId="68E5ABE7" w14:textId="77777777" w:rsidR="00040C3A" w:rsidRPr="00C51F6C" w:rsidRDefault="00040C3A" w:rsidP="00040C3A">
      <w:pPr>
        <w:tabs>
          <w:tab w:val="center" w:pos="5400"/>
        </w:tabs>
        <w:suppressAutoHyphens/>
        <w:jc w:val="center"/>
        <w:rPr>
          <w:rFonts w:asciiTheme="majorHAnsi" w:hAnsiTheme="majorHAnsi"/>
          <w:sz w:val="22"/>
          <w:szCs w:val="22"/>
        </w:rPr>
      </w:pPr>
    </w:p>
    <w:p w14:paraId="4E00BE78" w14:textId="77777777" w:rsidR="00040C3A" w:rsidRPr="00C51F6C" w:rsidRDefault="003F2493" w:rsidP="00040C3A">
      <w:pPr>
        <w:tabs>
          <w:tab w:val="center" w:pos="5400"/>
        </w:tabs>
        <w:suppressAutoHyphens/>
        <w:jc w:val="center"/>
        <w:rPr>
          <w:rFonts w:asciiTheme="majorHAnsi" w:hAnsiTheme="majorHAnsi"/>
          <w:sz w:val="22"/>
          <w:szCs w:val="22"/>
        </w:rPr>
      </w:pPr>
      <w:r>
        <w:rPr>
          <w:rFonts w:asciiTheme="majorHAnsi" w:hAnsiTheme="majorHAnsi"/>
          <w:noProof/>
          <w:sz w:val="22"/>
          <w:szCs w:val="22"/>
        </w:rPr>
        <mc:AlternateContent>
          <mc:Choice Requires="wps">
            <w:drawing>
              <wp:anchor distT="0" distB="0" distL="114300" distR="114300" simplePos="0" relativeHeight="251657216" behindDoc="0" locked="0" layoutInCell="1" allowOverlap="1" wp14:anchorId="36DA6484" wp14:editId="734EE30F">
                <wp:simplePos x="0" y="0"/>
                <wp:positionH relativeFrom="column">
                  <wp:posOffset>-274955</wp:posOffset>
                </wp:positionH>
                <wp:positionV relativeFrom="paragraph">
                  <wp:posOffset>103505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211E0D" w14:textId="77777777" w:rsidR="00E6692A" w:rsidRPr="003F2493" w:rsidRDefault="00E6692A" w:rsidP="007A5817">
                            <w:pPr>
                              <w:spacing w:line="276" w:lineRule="auto"/>
                              <w:jc w:val="right"/>
                              <w:rPr>
                                <w:rFonts w:asciiTheme="minorHAnsi" w:hAnsiTheme="minorHAnsi"/>
                                <w:color w:val="FFFFFF" w:themeColor="background1"/>
                                <w:sz w:val="22"/>
                                <w:lang w:val="es-US"/>
                              </w:rPr>
                            </w:pPr>
                            <w:r w:rsidRPr="003F2493">
                              <w:rPr>
                                <w:rFonts w:asciiTheme="minorHAnsi" w:hAnsiTheme="minorHAnsi"/>
                                <w:color w:val="FFFFFF" w:themeColor="background1"/>
                                <w:sz w:val="22"/>
                                <w:lang w:val="es-US"/>
                              </w:rPr>
                              <w:t>OEA/Ser.L/V/II.XX</w:t>
                            </w:r>
                          </w:p>
                          <w:p w14:paraId="1C8A99FD" w14:textId="1DB0E604" w:rsidR="00E6692A" w:rsidRPr="004E2649" w:rsidRDefault="00E6692A"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 xml:space="preserve">Doc. </w:t>
                            </w:r>
                            <w:r w:rsidR="00177DB9">
                              <w:rPr>
                                <w:rFonts w:asciiTheme="minorHAnsi" w:hAnsiTheme="minorHAnsi"/>
                                <w:color w:val="FFFFFF" w:themeColor="background1"/>
                                <w:sz w:val="22"/>
                                <w:lang w:val="en"/>
                              </w:rPr>
                              <w:t>79</w:t>
                            </w:r>
                          </w:p>
                          <w:p w14:paraId="0C423A68" w14:textId="600ADC99" w:rsidR="00E6692A" w:rsidRPr="007C756A" w:rsidRDefault="00177DB9"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April</w:t>
                            </w:r>
                            <w:r w:rsidR="00E6692A">
                              <w:rPr>
                                <w:rFonts w:asciiTheme="minorHAnsi" w:hAnsiTheme="minorHAnsi"/>
                                <w:color w:val="FFFFFF" w:themeColor="background1"/>
                                <w:sz w:val="22"/>
                                <w:lang w:val="en"/>
                              </w:rPr>
                              <w:t xml:space="preserve"> </w:t>
                            </w:r>
                            <w:r>
                              <w:rPr>
                                <w:rFonts w:asciiTheme="minorHAnsi" w:hAnsiTheme="minorHAnsi"/>
                                <w:color w:val="FFFFFF" w:themeColor="background1"/>
                                <w:sz w:val="22"/>
                                <w:lang w:val="en"/>
                              </w:rPr>
                              <w:t>16</w:t>
                            </w:r>
                            <w:r w:rsidR="00E6692A">
                              <w:rPr>
                                <w:rFonts w:asciiTheme="minorHAnsi" w:hAnsiTheme="minorHAnsi"/>
                                <w:color w:val="FFFFFF" w:themeColor="background1"/>
                                <w:sz w:val="22"/>
                                <w:lang w:val="en"/>
                              </w:rPr>
                              <w:t>, 2021</w:t>
                            </w:r>
                          </w:p>
                          <w:p w14:paraId="63C763CC" w14:textId="77777777" w:rsidR="00E6692A" w:rsidRPr="007C756A" w:rsidRDefault="00E6692A"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A6484" id="Text Box 8" o:spid="_x0000_s1027" type="#_x0000_t202" style="position:absolute;left:0;text-align:left;margin-left:-21.65pt;margin-top:8.1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" filled="f" stroked="f" strokeweight=".5pt">
                <v:textbox>
                  <w:txbxContent>
                    <w:p w14:paraId="07211E0D" w14:textId="77777777" w:rsidR="00E6692A" w:rsidRPr="003F2493" w:rsidRDefault="00E6692A" w:rsidP="007A5817">
                      <w:pPr>
                        <w:spacing w:line="276" w:lineRule="auto"/>
                        <w:jc w:val="right"/>
                        <w:rPr>
                          <w:rFonts w:asciiTheme="minorHAnsi" w:hAnsiTheme="minorHAnsi"/>
                          <w:color w:val="FFFFFF" w:themeColor="background1"/>
                          <w:sz w:val="22"/>
                          <w:lang w:val="es-US"/>
                        </w:rPr>
                      </w:pPr>
                      <w:r w:rsidRPr="003F2493">
                        <w:rPr>
                          <w:rFonts w:asciiTheme="minorHAnsi" w:hAnsiTheme="minorHAnsi"/>
                          <w:color w:val="FFFFFF" w:themeColor="background1"/>
                          <w:sz w:val="22"/>
                          <w:lang w:val="es-US"/>
                        </w:rPr>
                        <w:t>OEA/Ser.L/V/II.XX</w:t>
                      </w:r>
                    </w:p>
                    <w:p w14:paraId="1C8A99FD" w14:textId="1DB0E604" w:rsidR="00E6692A" w:rsidRPr="004E2649" w:rsidRDefault="00E6692A"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 xml:space="preserve">Doc. </w:t>
                      </w:r>
                      <w:r w:rsidR="00177DB9">
                        <w:rPr>
                          <w:rFonts w:asciiTheme="minorHAnsi" w:hAnsiTheme="minorHAnsi"/>
                          <w:color w:val="FFFFFF" w:themeColor="background1"/>
                          <w:sz w:val="22"/>
                          <w:lang w:val="en"/>
                        </w:rPr>
                        <w:t>79</w:t>
                      </w:r>
                    </w:p>
                    <w:p w14:paraId="0C423A68" w14:textId="600ADC99" w:rsidR="00E6692A" w:rsidRPr="007C756A" w:rsidRDefault="00177DB9"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April</w:t>
                      </w:r>
                      <w:r w:rsidR="00E6692A">
                        <w:rPr>
                          <w:rFonts w:asciiTheme="minorHAnsi" w:hAnsiTheme="minorHAnsi"/>
                          <w:color w:val="FFFFFF" w:themeColor="background1"/>
                          <w:sz w:val="22"/>
                          <w:lang w:val="en"/>
                        </w:rPr>
                        <w:t xml:space="preserve"> </w:t>
                      </w:r>
                      <w:r>
                        <w:rPr>
                          <w:rFonts w:asciiTheme="minorHAnsi" w:hAnsiTheme="minorHAnsi"/>
                          <w:color w:val="FFFFFF" w:themeColor="background1"/>
                          <w:sz w:val="22"/>
                          <w:lang w:val="en"/>
                        </w:rPr>
                        <w:t>16</w:t>
                      </w:r>
                      <w:r w:rsidR="00E6692A">
                        <w:rPr>
                          <w:rFonts w:asciiTheme="minorHAnsi" w:hAnsiTheme="minorHAnsi"/>
                          <w:color w:val="FFFFFF" w:themeColor="background1"/>
                          <w:sz w:val="22"/>
                          <w:lang w:val="en"/>
                        </w:rPr>
                        <w:t>, 2021</w:t>
                      </w:r>
                    </w:p>
                    <w:p w14:paraId="63C763CC" w14:textId="77777777" w:rsidR="00E6692A" w:rsidRPr="007C756A" w:rsidRDefault="00E6692A"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Original: Spanish</w:t>
                      </w:r>
                    </w:p>
                  </w:txbxContent>
                </v:textbox>
              </v:shape>
            </w:pict>
          </mc:Fallback>
        </mc:AlternateContent>
      </w:r>
      <w:r w:rsidR="003D3BC2">
        <w:rPr>
          <w:rFonts w:asciiTheme="majorHAnsi" w:hAnsiTheme="majorHAnsi"/>
          <w:noProof/>
          <w:sz w:val="22"/>
          <w:szCs w:val="22"/>
        </w:rPr>
        <mc:AlternateContent>
          <mc:Choice Requires="wps">
            <w:drawing>
              <wp:anchor distT="0" distB="0" distL="114300" distR="114300" simplePos="0" relativeHeight="251653120" behindDoc="0" locked="0" layoutInCell="1" allowOverlap="1" wp14:anchorId="34699EC0" wp14:editId="52FBFF9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4631C3" w14:textId="279C5A86" w:rsidR="00E6692A" w:rsidRPr="001C214F" w:rsidRDefault="00E6692A" w:rsidP="00E6692A">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rPr>
                              <w:t>REPORT</w:t>
                            </w:r>
                            <w:r w:rsidRPr="001C214F">
                              <w:rPr>
                                <w:rFonts w:asciiTheme="majorHAnsi" w:hAnsiTheme="majorHAnsi" w:cs="Arial"/>
                                <w:b/>
                                <w:bCs/>
                                <w:color w:val="0D0D0D" w:themeColor="text1" w:themeTint="F2"/>
                                <w:sz w:val="36"/>
                                <w:szCs w:val="22"/>
                              </w:rPr>
                              <w:t xml:space="preserve"> </w:t>
                            </w:r>
                            <w:r w:rsidRPr="001C214F">
                              <w:rPr>
                                <w:rFonts w:asciiTheme="majorHAnsi" w:hAnsiTheme="majorHAnsi" w:cs="Arial"/>
                                <w:b/>
                                <w:bCs/>
                                <w:color w:val="0D0D0D" w:themeColor="text1" w:themeTint="F2"/>
                                <w:sz w:val="36"/>
                                <w:szCs w:val="40"/>
                              </w:rPr>
                              <w:t>No.</w:t>
                            </w:r>
                            <w:r w:rsidRPr="001C214F">
                              <w:rPr>
                                <w:rFonts w:asciiTheme="majorHAnsi" w:hAnsiTheme="majorHAnsi" w:cs="Arial"/>
                                <w:b/>
                                <w:bCs/>
                                <w:color w:val="0D0D0D" w:themeColor="text1" w:themeTint="F2"/>
                                <w:sz w:val="36"/>
                                <w:szCs w:val="22"/>
                              </w:rPr>
                              <w:t xml:space="preserve"> </w:t>
                            </w:r>
                            <w:r w:rsidR="00177DB9">
                              <w:rPr>
                                <w:rFonts w:asciiTheme="majorHAnsi" w:hAnsiTheme="majorHAnsi" w:cs="Arial"/>
                                <w:b/>
                                <w:bCs/>
                                <w:color w:val="0D0D0D" w:themeColor="text1" w:themeTint="F2"/>
                                <w:sz w:val="36"/>
                                <w:szCs w:val="22"/>
                              </w:rPr>
                              <w:t>74</w:t>
                            </w:r>
                            <w:r w:rsidRPr="001C214F">
                              <w:rPr>
                                <w:rFonts w:asciiTheme="majorHAnsi" w:hAnsiTheme="majorHAnsi" w:cs="Arial"/>
                                <w:b/>
                                <w:bCs/>
                                <w:color w:val="0D0D0D" w:themeColor="text1" w:themeTint="F2"/>
                                <w:sz w:val="36"/>
                                <w:szCs w:val="22"/>
                              </w:rPr>
                              <w:t>/</w:t>
                            </w:r>
                            <w:r>
                              <w:rPr>
                                <w:rFonts w:asciiTheme="majorHAnsi" w:hAnsiTheme="majorHAnsi" w:cs="Arial"/>
                                <w:b/>
                                <w:bCs/>
                                <w:color w:val="0D0D0D" w:themeColor="text1" w:themeTint="F2"/>
                                <w:sz w:val="36"/>
                                <w:szCs w:val="22"/>
                              </w:rPr>
                              <w:t>21</w:t>
                            </w:r>
                          </w:p>
                          <w:p w14:paraId="49EFCD8C" w14:textId="77777777" w:rsidR="00E6692A" w:rsidRPr="00B336F4" w:rsidRDefault="00E6692A" w:rsidP="00E6692A">
                            <w:pPr>
                              <w:spacing w:line="276" w:lineRule="auto"/>
                              <w:rPr>
                                <w:rFonts w:asciiTheme="majorHAnsi" w:hAnsiTheme="majorHAnsi" w:cs="Arial"/>
                                <w:b/>
                                <w:color w:val="0D0D0D" w:themeColor="text1" w:themeTint="F2"/>
                                <w:sz w:val="36"/>
                                <w:szCs w:val="22"/>
                              </w:rPr>
                            </w:pPr>
                            <w:r w:rsidRPr="00B336F4">
                              <w:rPr>
                                <w:rFonts w:asciiTheme="majorHAnsi" w:hAnsiTheme="majorHAnsi" w:cs="Arial"/>
                                <w:b/>
                                <w:color w:val="0D0D0D" w:themeColor="text1" w:themeTint="F2"/>
                                <w:sz w:val="36"/>
                                <w:szCs w:val="22"/>
                              </w:rPr>
                              <w:t>CASE 13.638</w:t>
                            </w:r>
                          </w:p>
                          <w:p w14:paraId="0FAD472F" w14:textId="77777777" w:rsidR="00E6692A" w:rsidRPr="00177DB9" w:rsidRDefault="00E6692A" w:rsidP="00E6692A">
                            <w:pPr>
                              <w:spacing w:line="276" w:lineRule="auto"/>
                              <w:rPr>
                                <w:rFonts w:asciiTheme="majorHAnsi" w:hAnsiTheme="majorHAnsi" w:cs="Arial"/>
                                <w:szCs w:val="22"/>
                              </w:rPr>
                            </w:pPr>
                            <w:r w:rsidRPr="00177DB9">
                              <w:rPr>
                                <w:rFonts w:asciiTheme="majorHAnsi" w:hAnsiTheme="majorHAnsi" w:cs="Arial"/>
                                <w:szCs w:val="22"/>
                              </w:rPr>
                              <w:t xml:space="preserve">REPORT ON MERITS </w:t>
                            </w:r>
                          </w:p>
                          <w:p w14:paraId="059088F4" w14:textId="77777777" w:rsidR="00E6692A" w:rsidRPr="00177DB9" w:rsidRDefault="00E6692A" w:rsidP="00E6692A">
                            <w:pPr>
                              <w:spacing w:line="276" w:lineRule="auto"/>
                              <w:rPr>
                                <w:rFonts w:asciiTheme="majorHAnsi" w:hAnsiTheme="majorHAnsi" w:cs="Arial"/>
                                <w:color w:val="0D0D0D" w:themeColor="text1" w:themeTint="F2"/>
                                <w:szCs w:val="22"/>
                              </w:rPr>
                            </w:pPr>
                            <w:bookmarkStart w:id="0" w:name="_ftnref1"/>
                          </w:p>
                          <w:p w14:paraId="14E2B8EF" w14:textId="77777777" w:rsidR="00E6692A" w:rsidRDefault="00E6692A" w:rsidP="00E6692A">
                            <w:pPr>
                              <w:spacing w:line="276" w:lineRule="auto"/>
                              <w:rPr>
                                <w:rFonts w:asciiTheme="majorHAnsi" w:hAnsiTheme="majorHAnsi" w:cs="Arial"/>
                                <w:color w:val="0D0D0D" w:themeColor="text1" w:themeTint="F2"/>
                                <w:szCs w:val="22"/>
                                <w:lang w:val="es-BO"/>
                              </w:rPr>
                            </w:pPr>
                            <w:r>
                              <w:rPr>
                                <w:rFonts w:asciiTheme="majorHAnsi" w:hAnsiTheme="majorHAnsi" w:cs="Arial"/>
                                <w:color w:val="0D0D0D" w:themeColor="text1" w:themeTint="F2"/>
                                <w:szCs w:val="22"/>
                                <w:lang w:val="es-ES_tradnl"/>
                              </w:rPr>
                              <w:t>JOS</w:t>
                            </w:r>
                            <w:r>
                              <w:rPr>
                                <w:rFonts w:asciiTheme="majorHAnsi" w:hAnsiTheme="majorHAnsi" w:cs="Arial"/>
                                <w:color w:val="0D0D0D" w:themeColor="text1" w:themeTint="F2"/>
                                <w:szCs w:val="22"/>
                                <w:lang w:val="es-BO"/>
                              </w:rPr>
                              <w:t>É ANTONIO GUTIÉRREZ NAVAS</w:t>
                            </w:r>
                            <w:bookmarkEnd w:id="0"/>
                            <w:r>
                              <w:rPr>
                                <w:rFonts w:asciiTheme="majorHAnsi" w:hAnsiTheme="majorHAnsi" w:cs="Arial"/>
                                <w:color w:val="0D0D0D" w:themeColor="text1" w:themeTint="F2"/>
                                <w:szCs w:val="22"/>
                                <w:lang w:val="es-BO"/>
                              </w:rPr>
                              <w:t xml:space="preserve"> ET AL.</w:t>
                            </w:r>
                          </w:p>
                          <w:p w14:paraId="58DD5674" w14:textId="77777777" w:rsidR="00E6692A" w:rsidRPr="00CB3DE4" w:rsidRDefault="00E6692A" w:rsidP="00E6692A">
                            <w:pPr>
                              <w:spacing w:line="276" w:lineRule="auto"/>
                              <w:rPr>
                                <w:rFonts w:asciiTheme="majorHAnsi" w:hAnsiTheme="majorHAnsi" w:cs="Arial"/>
                                <w:color w:val="0D0D0D" w:themeColor="text1" w:themeTint="F2"/>
                                <w:szCs w:val="22"/>
                                <w:lang w:val="es-BO"/>
                              </w:rPr>
                            </w:pPr>
                            <w:r>
                              <w:rPr>
                                <w:rFonts w:asciiTheme="majorHAnsi" w:hAnsiTheme="majorHAnsi" w:cs="Arial"/>
                                <w:color w:val="0D0D0D" w:themeColor="text1" w:themeTint="F2"/>
                                <w:szCs w:val="22"/>
                                <w:lang w:val="es-BO"/>
                              </w:rPr>
                              <w:t>HONDURAS</w:t>
                            </w:r>
                          </w:p>
                          <w:p w14:paraId="2B67DAAF" w14:textId="77777777" w:rsidR="00E6692A" w:rsidRPr="00AE5488" w:rsidRDefault="00E6692A" w:rsidP="007A5817">
                            <w:pPr>
                              <w:rP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99EC0" id="Text Box 5" o:spid="_x0000_s1028" type="#_x0000_t202" style="position:absolute;left:0;text-align:left;margin-left:106.5pt;margin-top:8.45pt;width:349.7pt;height:17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" filled="f" stroked="f" strokeweight=".5pt">
                <v:textbox>
                  <w:txbxContent>
                    <w:p w14:paraId="324631C3" w14:textId="279C5A86" w:rsidR="00E6692A" w:rsidRPr="001C214F" w:rsidRDefault="00E6692A" w:rsidP="00E6692A">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rPr>
                        <w:t>REPORT</w:t>
                      </w:r>
                      <w:r w:rsidRPr="001C214F">
                        <w:rPr>
                          <w:rFonts w:asciiTheme="majorHAnsi" w:hAnsiTheme="majorHAnsi" w:cs="Arial"/>
                          <w:b/>
                          <w:bCs/>
                          <w:color w:val="0D0D0D" w:themeColor="text1" w:themeTint="F2"/>
                          <w:sz w:val="36"/>
                          <w:szCs w:val="22"/>
                        </w:rPr>
                        <w:t xml:space="preserve"> </w:t>
                      </w:r>
                      <w:r w:rsidRPr="001C214F">
                        <w:rPr>
                          <w:rFonts w:asciiTheme="majorHAnsi" w:hAnsiTheme="majorHAnsi" w:cs="Arial"/>
                          <w:b/>
                          <w:bCs/>
                          <w:color w:val="0D0D0D" w:themeColor="text1" w:themeTint="F2"/>
                          <w:sz w:val="36"/>
                          <w:szCs w:val="40"/>
                        </w:rPr>
                        <w:t>No.</w:t>
                      </w:r>
                      <w:r w:rsidRPr="001C214F">
                        <w:rPr>
                          <w:rFonts w:asciiTheme="majorHAnsi" w:hAnsiTheme="majorHAnsi" w:cs="Arial"/>
                          <w:b/>
                          <w:bCs/>
                          <w:color w:val="0D0D0D" w:themeColor="text1" w:themeTint="F2"/>
                          <w:sz w:val="36"/>
                          <w:szCs w:val="22"/>
                        </w:rPr>
                        <w:t xml:space="preserve"> </w:t>
                      </w:r>
                      <w:r w:rsidR="00177DB9">
                        <w:rPr>
                          <w:rFonts w:asciiTheme="majorHAnsi" w:hAnsiTheme="majorHAnsi" w:cs="Arial"/>
                          <w:b/>
                          <w:bCs/>
                          <w:color w:val="0D0D0D" w:themeColor="text1" w:themeTint="F2"/>
                          <w:sz w:val="36"/>
                          <w:szCs w:val="22"/>
                        </w:rPr>
                        <w:t>74</w:t>
                      </w:r>
                      <w:r w:rsidRPr="001C214F">
                        <w:rPr>
                          <w:rFonts w:asciiTheme="majorHAnsi" w:hAnsiTheme="majorHAnsi" w:cs="Arial"/>
                          <w:b/>
                          <w:bCs/>
                          <w:color w:val="0D0D0D" w:themeColor="text1" w:themeTint="F2"/>
                          <w:sz w:val="36"/>
                          <w:szCs w:val="22"/>
                        </w:rPr>
                        <w:t>/</w:t>
                      </w:r>
                      <w:r>
                        <w:rPr>
                          <w:rFonts w:asciiTheme="majorHAnsi" w:hAnsiTheme="majorHAnsi" w:cs="Arial"/>
                          <w:b/>
                          <w:bCs/>
                          <w:color w:val="0D0D0D" w:themeColor="text1" w:themeTint="F2"/>
                          <w:sz w:val="36"/>
                          <w:szCs w:val="22"/>
                        </w:rPr>
                        <w:t>21</w:t>
                      </w:r>
                    </w:p>
                    <w:p w14:paraId="49EFCD8C" w14:textId="77777777" w:rsidR="00E6692A" w:rsidRPr="00B336F4" w:rsidRDefault="00E6692A" w:rsidP="00E6692A">
                      <w:pPr>
                        <w:spacing w:line="276" w:lineRule="auto"/>
                        <w:rPr>
                          <w:rFonts w:asciiTheme="majorHAnsi" w:hAnsiTheme="majorHAnsi" w:cs="Arial"/>
                          <w:b/>
                          <w:color w:val="0D0D0D" w:themeColor="text1" w:themeTint="F2"/>
                          <w:sz w:val="36"/>
                          <w:szCs w:val="22"/>
                        </w:rPr>
                      </w:pPr>
                      <w:r w:rsidRPr="00B336F4">
                        <w:rPr>
                          <w:rFonts w:asciiTheme="majorHAnsi" w:hAnsiTheme="majorHAnsi" w:cs="Arial"/>
                          <w:b/>
                          <w:color w:val="0D0D0D" w:themeColor="text1" w:themeTint="F2"/>
                          <w:sz w:val="36"/>
                          <w:szCs w:val="22"/>
                        </w:rPr>
                        <w:t>CASE 13.638</w:t>
                      </w:r>
                    </w:p>
                    <w:p w14:paraId="0FAD472F" w14:textId="77777777" w:rsidR="00E6692A" w:rsidRPr="00177DB9" w:rsidRDefault="00E6692A" w:rsidP="00E6692A">
                      <w:pPr>
                        <w:spacing w:line="276" w:lineRule="auto"/>
                        <w:rPr>
                          <w:rFonts w:asciiTheme="majorHAnsi" w:hAnsiTheme="majorHAnsi" w:cs="Arial"/>
                          <w:szCs w:val="22"/>
                        </w:rPr>
                      </w:pPr>
                      <w:r w:rsidRPr="00177DB9">
                        <w:rPr>
                          <w:rFonts w:asciiTheme="majorHAnsi" w:hAnsiTheme="majorHAnsi" w:cs="Arial"/>
                          <w:szCs w:val="22"/>
                        </w:rPr>
                        <w:t xml:space="preserve">REPORT ON MERITS </w:t>
                      </w:r>
                    </w:p>
                    <w:p w14:paraId="059088F4" w14:textId="77777777" w:rsidR="00E6692A" w:rsidRPr="00177DB9" w:rsidRDefault="00E6692A" w:rsidP="00E6692A">
                      <w:pPr>
                        <w:spacing w:line="276" w:lineRule="auto"/>
                        <w:rPr>
                          <w:rFonts w:asciiTheme="majorHAnsi" w:hAnsiTheme="majorHAnsi" w:cs="Arial"/>
                          <w:color w:val="0D0D0D" w:themeColor="text1" w:themeTint="F2"/>
                          <w:szCs w:val="22"/>
                        </w:rPr>
                      </w:pPr>
                      <w:bookmarkStart w:id="1" w:name="_ftnref1"/>
                    </w:p>
                    <w:p w14:paraId="14E2B8EF" w14:textId="77777777" w:rsidR="00E6692A" w:rsidRDefault="00E6692A" w:rsidP="00E6692A">
                      <w:pPr>
                        <w:spacing w:line="276" w:lineRule="auto"/>
                        <w:rPr>
                          <w:rFonts w:asciiTheme="majorHAnsi" w:hAnsiTheme="majorHAnsi" w:cs="Arial"/>
                          <w:color w:val="0D0D0D" w:themeColor="text1" w:themeTint="F2"/>
                          <w:szCs w:val="22"/>
                          <w:lang w:val="es-BO"/>
                        </w:rPr>
                      </w:pPr>
                      <w:r>
                        <w:rPr>
                          <w:rFonts w:asciiTheme="majorHAnsi" w:hAnsiTheme="majorHAnsi" w:cs="Arial"/>
                          <w:color w:val="0D0D0D" w:themeColor="text1" w:themeTint="F2"/>
                          <w:szCs w:val="22"/>
                          <w:lang w:val="es-ES_tradnl"/>
                        </w:rPr>
                        <w:t>JOS</w:t>
                      </w:r>
                      <w:r>
                        <w:rPr>
                          <w:rFonts w:asciiTheme="majorHAnsi" w:hAnsiTheme="majorHAnsi" w:cs="Arial"/>
                          <w:color w:val="0D0D0D" w:themeColor="text1" w:themeTint="F2"/>
                          <w:szCs w:val="22"/>
                          <w:lang w:val="es-BO"/>
                        </w:rPr>
                        <w:t>É ANTONIO GUTIÉRREZ NAVAS</w:t>
                      </w:r>
                      <w:bookmarkEnd w:id="1"/>
                      <w:r>
                        <w:rPr>
                          <w:rFonts w:asciiTheme="majorHAnsi" w:hAnsiTheme="majorHAnsi" w:cs="Arial"/>
                          <w:color w:val="0D0D0D" w:themeColor="text1" w:themeTint="F2"/>
                          <w:szCs w:val="22"/>
                          <w:lang w:val="es-BO"/>
                        </w:rPr>
                        <w:t xml:space="preserve"> ET AL.</w:t>
                      </w:r>
                    </w:p>
                    <w:p w14:paraId="58DD5674" w14:textId="77777777" w:rsidR="00E6692A" w:rsidRPr="00CB3DE4" w:rsidRDefault="00E6692A" w:rsidP="00E6692A">
                      <w:pPr>
                        <w:spacing w:line="276" w:lineRule="auto"/>
                        <w:rPr>
                          <w:rFonts w:asciiTheme="majorHAnsi" w:hAnsiTheme="majorHAnsi" w:cs="Arial"/>
                          <w:color w:val="0D0D0D" w:themeColor="text1" w:themeTint="F2"/>
                          <w:szCs w:val="22"/>
                          <w:lang w:val="es-BO"/>
                        </w:rPr>
                      </w:pPr>
                      <w:r>
                        <w:rPr>
                          <w:rFonts w:asciiTheme="majorHAnsi" w:hAnsiTheme="majorHAnsi" w:cs="Arial"/>
                          <w:color w:val="0D0D0D" w:themeColor="text1" w:themeTint="F2"/>
                          <w:szCs w:val="22"/>
                          <w:lang w:val="es-BO"/>
                        </w:rPr>
                        <w:t>HONDURAS</w:t>
                      </w:r>
                    </w:p>
                    <w:p w14:paraId="2B67DAAF" w14:textId="77777777" w:rsidR="00E6692A" w:rsidRPr="00AE5488" w:rsidRDefault="00E6692A" w:rsidP="007A5817">
                      <w:pPr>
                        <w:rPr>
                          <w:color w:val="0D0D0D" w:themeColor="text1" w:themeTint="F2"/>
                        </w:rPr>
                      </w:pPr>
                    </w:p>
                  </w:txbxContent>
                </v:textbox>
              </v:shape>
            </w:pict>
          </mc:Fallback>
        </mc:AlternateContent>
      </w:r>
    </w:p>
    <w:p w14:paraId="0D97DD9C" w14:textId="77777777" w:rsidR="00040C3A" w:rsidRPr="00C51F6C" w:rsidRDefault="00040C3A" w:rsidP="00040C3A">
      <w:pPr>
        <w:tabs>
          <w:tab w:val="center" w:pos="5400"/>
        </w:tabs>
        <w:suppressAutoHyphens/>
        <w:jc w:val="center"/>
        <w:rPr>
          <w:rFonts w:asciiTheme="majorHAnsi" w:hAnsiTheme="majorHAnsi"/>
          <w:sz w:val="22"/>
          <w:szCs w:val="22"/>
        </w:rPr>
      </w:pPr>
    </w:p>
    <w:p w14:paraId="161D5F40" w14:textId="77777777" w:rsidR="00040C3A" w:rsidRPr="00C51F6C" w:rsidRDefault="00040C3A" w:rsidP="00040C3A">
      <w:pPr>
        <w:tabs>
          <w:tab w:val="center" w:pos="5400"/>
        </w:tabs>
        <w:suppressAutoHyphens/>
        <w:jc w:val="center"/>
        <w:rPr>
          <w:rFonts w:asciiTheme="majorHAnsi" w:hAnsiTheme="majorHAnsi"/>
          <w:sz w:val="22"/>
          <w:szCs w:val="22"/>
        </w:rPr>
      </w:pPr>
    </w:p>
    <w:p w14:paraId="7FDBC8DA" w14:textId="77777777" w:rsidR="00040C3A" w:rsidRPr="00C51F6C" w:rsidRDefault="00040C3A" w:rsidP="00040C3A">
      <w:pPr>
        <w:tabs>
          <w:tab w:val="center" w:pos="5400"/>
        </w:tabs>
        <w:suppressAutoHyphens/>
        <w:jc w:val="center"/>
        <w:rPr>
          <w:rFonts w:asciiTheme="majorHAnsi" w:hAnsiTheme="majorHAnsi" w:cs="Arial"/>
          <w:sz w:val="22"/>
          <w:szCs w:val="22"/>
        </w:rPr>
      </w:pPr>
    </w:p>
    <w:p w14:paraId="2DB552A6" w14:textId="77777777" w:rsidR="00040C3A" w:rsidRPr="00C51F6C" w:rsidRDefault="00040C3A" w:rsidP="00040C3A">
      <w:pPr>
        <w:tabs>
          <w:tab w:val="center" w:pos="5400"/>
        </w:tabs>
        <w:suppressAutoHyphens/>
        <w:jc w:val="center"/>
        <w:rPr>
          <w:rFonts w:asciiTheme="majorHAnsi" w:hAnsiTheme="majorHAnsi"/>
          <w:sz w:val="22"/>
          <w:szCs w:val="22"/>
        </w:rPr>
      </w:pPr>
    </w:p>
    <w:p w14:paraId="20308319" w14:textId="77777777" w:rsidR="00040C3A" w:rsidRPr="00C51F6C" w:rsidRDefault="00040C3A" w:rsidP="00040C3A">
      <w:pPr>
        <w:tabs>
          <w:tab w:val="center" w:pos="5400"/>
        </w:tabs>
        <w:suppressAutoHyphens/>
        <w:jc w:val="center"/>
        <w:rPr>
          <w:rFonts w:asciiTheme="majorHAnsi" w:hAnsiTheme="majorHAnsi"/>
          <w:sz w:val="22"/>
          <w:szCs w:val="22"/>
        </w:rPr>
      </w:pPr>
    </w:p>
    <w:p w14:paraId="002212EE" w14:textId="77777777" w:rsidR="00040C3A" w:rsidRPr="00C51F6C" w:rsidRDefault="00040C3A" w:rsidP="00040C3A">
      <w:pPr>
        <w:tabs>
          <w:tab w:val="center" w:pos="5400"/>
        </w:tabs>
        <w:suppressAutoHyphens/>
        <w:jc w:val="center"/>
        <w:rPr>
          <w:rFonts w:asciiTheme="majorHAnsi" w:hAnsiTheme="majorHAnsi"/>
          <w:sz w:val="22"/>
          <w:szCs w:val="22"/>
        </w:rPr>
      </w:pPr>
    </w:p>
    <w:p w14:paraId="363CD475" w14:textId="77777777" w:rsidR="00040C3A" w:rsidRPr="00C51F6C" w:rsidRDefault="00040C3A" w:rsidP="00040C3A">
      <w:pPr>
        <w:tabs>
          <w:tab w:val="center" w:pos="5400"/>
        </w:tabs>
        <w:suppressAutoHyphens/>
        <w:jc w:val="center"/>
        <w:rPr>
          <w:rFonts w:asciiTheme="majorHAnsi" w:hAnsiTheme="majorHAnsi"/>
          <w:sz w:val="22"/>
          <w:szCs w:val="22"/>
        </w:rPr>
      </w:pPr>
    </w:p>
    <w:p w14:paraId="56AF557C" w14:textId="77777777" w:rsidR="005128E4" w:rsidRPr="00C51F6C" w:rsidRDefault="005128E4" w:rsidP="00040C3A">
      <w:pPr>
        <w:tabs>
          <w:tab w:val="center" w:pos="5400"/>
        </w:tabs>
        <w:suppressAutoHyphens/>
        <w:jc w:val="center"/>
        <w:rPr>
          <w:rFonts w:asciiTheme="majorHAnsi" w:hAnsiTheme="majorHAnsi"/>
          <w:sz w:val="22"/>
          <w:szCs w:val="22"/>
        </w:rPr>
      </w:pPr>
    </w:p>
    <w:p w14:paraId="1F6F5B21" w14:textId="77777777" w:rsidR="00040C3A" w:rsidRPr="00C51F6C" w:rsidRDefault="00040C3A" w:rsidP="00040C3A">
      <w:pPr>
        <w:tabs>
          <w:tab w:val="center" w:pos="5400"/>
        </w:tabs>
        <w:suppressAutoHyphens/>
        <w:jc w:val="center"/>
        <w:rPr>
          <w:rFonts w:asciiTheme="majorHAnsi" w:hAnsiTheme="majorHAnsi"/>
          <w:sz w:val="22"/>
          <w:szCs w:val="22"/>
        </w:rPr>
      </w:pPr>
    </w:p>
    <w:p w14:paraId="0E07B5BE" w14:textId="77777777" w:rsidR="005128E4" w:rsidRPr="00C51F6C" w:rsidRDefault="005128E4" w:rsidP="00040C3A">
      <w:pPr>
        <w:tabs>
          <w:tab w:val="center" w:pos="5400"/>
        </w:tabs>
        <w:suppressAutoHyphens/>
        <w:jc w:val="center"/>
        <w:rPr>
          <w:rFonts w:asciiTheme="majorHAnsi" w:hAnsiTheme="majorHAnsi"/>
          <w:sz w:val="22"/>
          <w:szCs w:val="22"/>
        </w:rPr>
      </w:pPr>
    </w:p>
    <w:p w14:paraId="58D3E8B4" w14:textId="77777777" w:rsidR="005128E4" w:rsidRPr="00C51F6C" w:rsidRDefault="005128E4" w:rsidP="00040C3A">
      <w:pPr>
        <w:tabs>
          <w:tab w:val="center" w:pos="5400"/>
        </w:tabs>
        <w:suppressAutoHyphens/>
        <w:jc w:val="center"/>
        <w:rPr>
          <w:rFonts w:asciiTheme="majorHAnsi" w:hAnsiTheme="majorHAnsi"/>
          <w:sz w:val="22"/>
          <w:szCs w:val="22"/>
        </w:rPr>
      </w:pPr>
    </w:p>
    <w:p w14:paraId="54932173" w14:textId="77777777" w:rsidR="005128E4" w:rsidRPr="00C51F6C" w:rsidRDefault="005128E4" w:rsidP="00040C3A">
      <w:pPr>
        <w:tabs>
          <w:tab w:val="center" w:pos="5400"/>
        </w:tabs>
        <w:suppressAutoHyphens/>
        <w:jc w:val="center"/>
        <w:rPr>
          <w:rFonts w:asciiTheme="majorHAnsi" w:hAnsiTheme="majorHAnsi"/>
          <w:sz w:val="22"/>
          <w:szCs w:val="22"/>
        </w:rPr>
      </w:pPr>
    </w:p>
    <w:p w14:paraId="2B770D5F" w14:textId="77777777" w:rsidR="00040C3A" w:rsidRPr="00C51F6C" w:rsidRDefault="00040C3A" w:rsidP="00040C3A">
      <w:pPr>
        <w:tabs>
          <w:tab w:val="center" w:pos="5400"/>
        </w:tabs>
        <w:suppressAutoHyphens/>
        <w:jc w:val="center"/>
        <w:rPr>
          <w:rFonts w:asciiTheme="majorHAnsi" w:hAnsiTheme="majorHAnsi"/>
          <w:sz w:val="22"/>
          <w:szCs w:val="22"/>
        </w:rPr>
      </w:pPr>
    </w:p>
    <w:p w14:paraId="1148D220" w14:textId="77777777" w:rsidR="00040C3A" w:rsidRPr="00C51F6C" w:rsidRDefault="00040C3A" w:rsidP="00040C3A">
      <w:pPr>
        <w:tabs>
          <w:tab w:val="center" w:pos="5400"/>
        </w:tabs>
        <w:suppressAutoHyphens/>
        <w:jc w:val="center"/>
        <w:rPr>
          <w:rFonts w:asciiTheme="majorHAnsi" w:hAnsiTheme="majorHAnsi"/>
          <w:sz w:val="22"/>
          <w:szCs w:val="22"/>
        </w:rPr>
      </w:pPr>
    </w:p>
    <w:p w14:paraId="31B1DC95" w14:textId="77777777" w:rsidR="00A50FCF" w:rsidRPr="00C51F6C" w:rsidRDefault="00A50FCF" w:rsidP="00040C3A">
      <w:pPr>
        <w:tabs>
          <w:tab w:val="center" w:pos="5400"/>
        </w:tabs>
        <w:suppressAutoHyphens/>
        <w:jc w:val="center"/>
        <w:rPr>
          <w:rFonts w:asciiTheme="majorHAnsi" w:hAnsiTheme="majorHAnsi"/>
          <w:sz w:val="18"/>
          <w:szCs w:val="22"/>
        </w:rPr>
      </w:pPr>
    </w:p>
    <w:p w14:paraId="0F681A7F" w14:textId="77777777" w:rsidR="00A50FCF" w:rsidRPr="00C51F6C" w:rsidRDefault="00A50FCF" w:rsidP="00040C3A">
      <w:pPr>
        <w:tabs>
          <w:tab w:val="center" w:pos="5400"/>
        </w:tabs>
        <w:suppressAutoHyphens/>
        <w:jc w:val="center"/>
        <w:rPr>
          <w:rFonts w:asciiTheme="majorHAnsi" w:hAnsiTheme="majorHAnsi"/>
          <w:sz w:val="18"/>
          <w:szCs w:val="22"/>
        </w:rPr>
      </w:pPr>
    </w:p>
    <w:p w14:paraId="27CD2FDD" w14:textId="77777777" w:rsidR="00A50FCF" w:rsidRPr="00C51F6C" w:rsidRDefault="00A50FCF" w:rsidP="00040C3A">
      <w:pPr>
        <w:tabs>
          <w:tab w:val="center" w:pos="5400"/>
        </w:tabs>
        <w:suppressAutoHyphens/>
        <w:jc w:val="center"/>
        <w:rPr>
          <w:rFonts w:asciiTheme="majorHAnsi" w:hAnsiTheme="majorHAnsi"/>
          <w:sz w:val="18"/>
          <w:szCs w:val="22"/>
        </w:rPr>
      </w:pPr>
    </w:p>
    <w:p w14:paraId="05B1EDD5" w14:textId="77777777" w:rsidR="00A50FCF" w:rsidRPr="00C51F6C" w:rsidRDefault="00A50FCF" w:rsidP="00040C3A">
      <w:pPr>
        <w:tabs>
          <w:tab w:val="center" w:pos="5400"/>
        </w:tabs>
        <w:suppressAutoHyphens/>
        <w:jc w:val="center"/>
        <w:rPr>
          <w:rFonts w:asciiTheme="majorHAnsi" w:hAnsiTheme="majorHAnsi"/>
          <w:sz w:val="18"/>
          <w:szCs w:val="22"/>
        </w:rPr>
      </w:pPr>
    </w:p>
    <w:p w14:paraId="15FDAEDE" w14:textId="77777777" w:rsidR="00A50FCF" w:rsidRPr="00C51F6C" w:rsidRDefault="00A50FCF" w:rsidP="00040C3A">
      <w:pPr>
        <w:tabs>
          <w:tab w:val="center" w:pos="5400"/>
        </w:tabs>
        <w:suppressAutoHyphens/>
        <w:jc w:val="center"/>
        <w:rPr>
          <w:rFonts w:asciiTheme="majorHAnsi" w:hAnsiTheme="majorHAnsi"/>
          <w:sz w:val="18"/>
          <w:szCs w:val="22"/>
        </w:rPr>
      </w:pPr>
    </w:p>
    <w:p w14:paraId="402A2DC0" w14:textId="77777777" w:rsidR="00A50FCF" w:rsidRPr="00C51F6C" w:rsidRDefault="00A50FCF" w:rsidP="00040C3A">
      <w:pPr>
        <w:tabs>
          <w:tab w:val="center" w:pos="5400"/>
        </w:tabs>
        <w:suppressAutoHyphens/>
        <w:jc w:val="center"/>
        <w:rPr>
          <w:rFonts w:asciiTheme="majorHAnsi" w:hAnsiTheme="majorHAnsi"/>
          <w:sz w:val="18"/>
          <w:szCs w:val="22"/>
        </w:rPr>
      </w:pPr>
    </w:p>
    <w:p w14:paraId="2D29F3F2" w14:textId="77777777" w:rsidR="00A50FCF" w:rsidRPr="00C51F6C" w:rsidRDefault="00A50FCF" w:rsidP="00040C3A">
      <w:pPr>
        <w:tabs>
          <w:tab w:val="center" w:pos="5400"/>
        </w:tabs>
        <w:suppressAutoHyphens/>
        <w:jc w:val="center"/>
        <w:rPr>
          <w:rFonts w:asciiTheme="majorHAnsi" w:hAnsiTheme="majorHAnsi"/>
          <w:sz w:val="18"/>
          <w:szCs w:val="22"/>
        </w:rPr>
      </w:pPr>
    </w:p>
    <w:p w14:paraId="3D80528C" w14:textId="77777777" w:rsidR="00A50FCF" w:rsidRPr="00C51F6C" w:rsidRDefault="00A50FCF" w:rsidP="00040C3A">
      <w:pPr>
        <w:tabs>
          <w:tab w:val="center" w:pos="5400"/>
        </w:tabs>
        <w:suppressAutoHyphens/>
        <w:jc w:val="center"/>
        <w:rPr>
          <w:rFonts w:asciiTheme="majorHAnsi" w:hAnsiTheme="majorHAnsi"/>
          <w:sz w:val="18"/>
          <w:szCs w:val="22"/>
        </w:rPr>
      </w:pPr>
    </w:p>
    <w:p w14:paraId="7EEB9135" w14:textId="77777777" w:rsidR="00A50FCF" w:rsidRPr="00C51F6C" w:rsidRDefault="00A50FCF" w:rsidP="00040C3A">
      <w:pPr>
        <w:tabs>
          <w:tab w:val="center" w:pos="5400"/>
        </w:tabs>
        <w:suppressAutoHyphens/>
        <w:jc w:val="center"/>
        <w:rPr>
          <w:rFonts w:asciiTheme="majorHAnsi" w:hAnsiTheme="majorHAnsi"/>
          <w:sz w:val="18"/>
          <w:szCs w:val="22"/>
        </w:rPr>
      </w:pPr>
    </w:p>
    <w:p w14:paraId="2E2EA1FB" w14:textId="77777777" w:rsidR="00A50FCF" w:rsidRPr="00C51F6C" w:rsidRDefault="00A50FCF" w:rsidP="00040C3A">
      <w:pPr>
        <w:tabs>
          <w:tab w:val="center" w:pos="5400"/>
        </w:tabs>
        <w:suppressAutoHyphens/>
        <w:jc w:val="center"/>
        <w:rPr>
          <w:rFonts w:asciiTheme="majorHAnsi" w:hAnsiTheme="majorHAnsi"/>
          <w:sz w:val="18"/>
          <w:szCs w:val="22"/>
        </w:rPr>
      </w:pPr>
    </w:p>
    <w:p w14:paraId="4E08DA3F" w14:textId="77777777" w:rsidR="00A50FCF" w:rsidRPr="00C51F6C" w:rsidRDefault="00A50FCF" w:rsidP="00040C3A">
      <w:pPr>
        <w:tabs>
          <w:tab w:val="center" w:pos="5400"/>
        </w:tabs>
        <w:suppressAutoHyphens/>
        <w:jc w:val="center"/>
        <w:rPr>
          <w:rFonts w:asciiTheme="majorHAnsi" w:hAnsiTheme="majorHAnsi"/>
          <w:sz w:val="18"/>
          <w:szCs w:val="22"/>
        </w:rPr>
      </w:pPr>
    </w:p>
    <w:p w14:paraId="44A98857" w14:textId="77777777" w:rsidR="00A50FCF" w:rsidRPr="00C51F6C" w:rsidRDefault="003F2493" w:rsidP="00040C3A">
      <w:pPr>
        <w:tabs>
          <w:tab w:val="center" w:pos="5400"/>
        </w:tabs>
        <w:suppressAutoHyphens/>
        <w:jc w:val="center"/>
        <w:rPr>
          <w:rFonts w:asciiTheme="majorHAnsi" w:hAnsiTheme="majorHAnsi"/>
          <w:sz w:val="18"/>
          <w:szCs w:val="22"/>
        </w:rPr>
      </w:pPr>
      <w:r>
        <w:rPr>
          <w:rFonts w:asciiTheme="majorHAnsi" w:hAnsiTheme="majorHAnsi"/>
          <w:noProof/>
          <w:sz w:val="22"/>
          <w:szCs w:val="22"/>
        </w:rPr>
        <mc:AlternateContent>
          <mc:Choice Requires="wps">
            <w:drawing>
              <wp:anchor distT="0" distB="0" distL="114300" distR="114300" simplePos="0" relativeHeight="251655168" behindDoc="0" locked="0" layoutInCell="1" allowOverlap="1" wp14:anchorId="28894DE0" wp14:editId="367D542E">
                <wp:simplePos x="0" y="0"/>
                <wp:positionH relativeFrom="column">
                  <wp:posOffset>1345721</wp:posOffset>
                </wp:positionH>
                <wp:positionV relativeFrom="paragraph">
                  <wp:posOffset>47697</wp:posOffset>
                </wp:positionV>
                <wp:extent cx="4933950" cy="767751"/>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7677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5F5C6" w14:textId="03CE6A1A" w:rsidR="00E6692A" w:rsidRPr="006C7297" w:rsidRDefault="00E6692A" w:rsidP="00E6692A">
                            <w:pPr>
                              <w:tabs>
                                <w:tab w:val="center" w:pos="5400"/>
                              </w:tabs>
                              <w:suppressAutoHyphens/>
                              <w:spacing w:before="60"/>
                              <w:rPr>
                                <w:rFonts w:asciiTheme="majorHAnsi" w:hAnsiTheme="majorHAnsi" w:cs="Univers"/>
                                <w:color w:val="0D0D0D" w:themeColor="text1" w:themeTint="F2"/>
                                <w:sz w:val="18"/>
                                <w:szCs w:val="20"/>
                              </w:rPr>
                            </w:pPr>
                            <w:r w:rsidRPr="006C7297">
                              <w:rPr>
                                <w:rFonts w:asciiTheme="majorHAnsi" w:hAnsiTheme="majorHAnsi"/>
                                <w:color w:val="0D0D0D" w:themeColor="text1" w:themeTint="F2"/>
                                <w:sz w:val="18"/>
                                <w:szCs w:val="20"/>
                              </w:rPr>
                              <w:t xml:space="preserve">Approved by the Commission during its session No. </w:t>
                            </w:r>
                            <w:r w:rsidR="00177DB9">
                              <w:rPr>
                                <w:rFonts w:asciiTheme="majorHAnsi" w:hAnsiTheme="majorHAnsi"/>
                                <w:color w:val="0D0D0D" w:themeColor="text1" w:themeTint="F2"/>
                                <w:sz w:val="18"/>
                                <w:szCs w:val="20"/>
                              </w:rPr>
                              <w:t>2210</w:t>
                            </w:r>
                            <w:r w:rsidRPr="006C7297">
                              <w:rPr>
                                <w:rFonts w:asciiTheme="majorHAnsi" w:hAnsiTheme="majorHAnsi"/>
                                <w:color w:val="0D0D0D" w:themeColor="text1" w:themeTint="F2"/>
                                <w:sz w:val="18"/>
                                <w:szCs w:val="20"/>
                              </w:rPr>
                              <w:t xml:space="preserve"> held on </w:t>
                            </w:r>
                            <w:r w:rsidR="00177DB9">
                              <w:rPr>
                                <w:rFonts w:asciiTheme="majorHAnsi" w:hAnsiTheme="majorHAnsi"/>
                                <w:color w:val="0D0D0D" w:themeColor="text1" w:themeTint="F2"/>
                                <w:sz w:val="18"/>
                                <w:szCs w:val="20"/>
                              </w:rPr>
                              <w:t>April 16</w:t>
                            </w:r>
                            <w:r w:rsidRPr="006C7297">
                              <w:rPr>
                                <w:rFonts w:asciiTheme="majorHAnsi" w:hAnsiTheme="majorHAnsi"/>
                                <w:color w:val="0D0D0D" w:themeColor="text1" w:themeTint="F2"/>
                                <w:sz w:val="18"/>
                                <w:szCs w:val="20"/>
                              </w:rPr>
                              <w:t>, 20</w:t>
                            </w:r>
                            <w:r w:rsidR="00177DB9">
                              <w:rPr>
                                <w:rFonts w:asciiTheme="majorHAnsi" w:hAnsiTheme="majorHAnsi"/>
                                <w:color w:val="0D0D0D" w:themeColor="text1" w:themeTint="F2"/>
                                <w:sz w:val="18"/>
                                <w:szCs w:val="20"/>
                              </w:rPr>
                              <w:t>21</w:t>
                            </w:r>
                            <w:r w:rsidRPr="006C7297">
                              <w:rPr>
                                <w:rFonts w:asciiTheme="majorHAnsi" w:hAnsiTheme="majorHAnsi"/>
                                <w:color w:val="0D0D0D" w:themeColor="text1" w:themeTint="F2"/>
                                <w:sz w:val="18"/>
                                <w:szCs w:val="20"/>
                              </w:rPr>
                              <w:br/>
                            </w:r>
                          </w:p>
                          <w:p w14:paraId="3CAEA8C3" w14:textId="77777777" w:rsidR="00E6692A" w:rsidRDefault="00E6692A" w:rsidP="0059191A">
                            <w:pPr>
                              <w:tabs>
                                <w:tab w:val="center" w:pos="5400"/>
                              </w:tabs>
                              <w:suppressAutoHyphens/>
                              <w:spacing w:before="60"/>
                              <w:rPr>
                                <w:rFonts w:asciiTheme="majorHAnsi" w:hAnsiTheme="majorHAnsi" w:cs="Univers"/>
                                <w:color w:val="0D0D0D" w:themeColor="text1" w:themeTint="F2"/>
                                <w:sz w:val="18"/>
                                <w:szCs w:val="20"/>
                              </w:rPr>
                            </w:pPr>
                          </w:p>
                          <w:p w14:paraId="138D2360" w14:textId="77777777" w:rsidR="00E6692A" w:rsidRPr="00027A6B" w:rsidRDefault="00E6692A" w:rsidP="0059191A">
                            <w:pPr>
                              <w:tabs>
                                <w:tab w:val="center" w:pos="5400"/>
                              </w:tabs>
                              <w:suppressAutoHyphens/>
                              <w:spacing w:before="60"/>
                              <w:rPr>
                                <w:rFonts w:asciiTheme="majorHAnsi" w:hAnsiTheme="majorHAnsi" w:cs="Univers"/>
                                <w:color w:val="0D0D0D" w:themeColor="text1" w:themeTint="F2"/>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94DE0" id="Text Box 7" o:spid="_x0000_s1029" type="#_x0000_t202" style="position:absolute;left:0;text-align:left;margin-left:105.95pt;margin-top:3.75pt;width:388.5pt;height:60.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" filled="f" stroked="f" strokeweight=".5pt">
                <v:textbox>
                  <w:txbxContent>
                    <w:p w14:paraId="0125F5C6" w14:textId="03CE6A1A" w:rsidR="00E6692A" w:rsidRPr="006C7297" w:rsidRDefault="00E6692A" w:rsidP="00E6692A">
                      <w:pPr>
                        <w:tabs>
                          <w:tab w:val="center" w:pos="5400"/>
                        </w:tabs>
                        <w:suppressAutoHyphens/>
                        <w:spacing w:before="60"/>
                        <w:rPr>
                          <w:rFonts w:asciiTheme="majorHAnsi" w:hAnsiTheme="majorHAnsi" w:cs="Univers"/>
                          <w:color w:val="0D0D0D" w:themeColor="text1" w:themeTint="F2"/>
                          <w:sz w:val="18"/>
                          <w:szCs w:val="20"/>
                        </w:rPr>
                      </w:pPr>
                      <w:r w:rsidRPr="006C7297">
                        <w:rPr>
                          <w:rFonts w:asciiTheme="majorHAnsi" w:hAnsiTheme="majorHAnsi"/>
                          <w:color w:val="0D0D0D" w:themeColor="text1" w:themeTint="F2"/>
                          <w:sz w:val="18"/>
                          <w:szCs w:val="20"/>
                        </w:rPr>
                        <w:t xml:space="preserve">Approved by the Commission during its session No. </w:t>
                      </w:r>
                      <w:r w:rsidR="00177DB9">
                        <w:rPr>
                          <w:rFonts w:asciiTheme="majorHAnsi" w:hAnsiTheme="majorHAnsi"/>
                          <w:color w:val="0D0D0D" w:themeColor="text1" w:themeTint="F2"/>
                          <w:sz w:val="18"/>
                          <w:szCs w:val="20"/>
                        </w:rPr>
                        <w:t>2210</w:t>
                      </w:r>
                      <w:r w:rsidRPr="006C7297">
                        <w:rPr>
                          <w:rFonts w:asciiTheme="majorHAnsi" w:hAnsiTheme="majorHAnsi"/>
                          <w:color w:val="0D0D0D" w:themeColor="text1" w:themeTint="F2"/>
                          <w:sz w:val="18"/>
                          <w:szCs w:val="20"/>
                        </w:rPr>
                        <w:t xml:space="preserve"> held on </w:t>
                      </w:r>
                      <w:r w:rsidR="00177DB9">
                        <w:rPr>
                          <w:rFonts w:asciiTheme="majorHAnsi" w:hAnsiTheme="majorHAnsi"/>
                          <w:color w:val="0D0D0D" w:themeColor="text1" w:themeTint="F2"/>
                          <w:sz w:val="18"/>
                          <w:szCs w:val="20"/>
                        </w:rPr>
                        <w:t>April 16</w:t>
                      </w:r>
                      <w:r w:rsidRPr="006C7297">
                        <w:rPr>
                          <w:rFonts w:asciiTheme="majorHAnsi" w:hAnsiTheme="majorHAnsi"/>
                          <w:color w:val="0D0D0D" w:themeColor="text1" w:themeTint="F2"/>
                          <w:sz w:val="18"/>
                          <w:szCs w:val="20"/>
                        </w:rPr>
                        <w:t>, 20</w:t>
                      </w:r>
                      <w:r w:rsidR="00177DB9">
                        <w:rPr>
                          <w:rFonts w:asciiTheme="majorHAnsi" w:hAnsiTheme="majorHAnsi"/>
                          <w:color w:val="0D0D0D" w:themeColor="text1" w:themeTint="F2"/>
                          <w:sz w:val="18"/>
                          <w:szCs w:val="20"/>
                        </w:rPr>
                        <w:t>21</w:t>
                      </w:r>
                      <w:r w:rsidRPr="006C7297">
                        <w:rPr>
                          <w:rFonts w:asciiTheme="majorHAnsi" w:hAnsiTheme="majorHAnsi"/>
                          <w:color w:val="0D0D0D" w:themeColor="text1" w:themeTint="F2"/>
                          <w:sz w:val="18"/>
                          <w:szCs w:val="20"/>
                        </w:rPr>
                        <w:br/>
                      </w:r>
                    </w:p>
                    <w:p w14:paraId="3CAEA8C3" w14:textId="77777777" w:rsidR="00E6692A" w:rsidRDefault="00E6692A" w:rsidP="0059191A">
                      <w:pPr>
                        <w:tabs>
                          <w:tab w:val="center" w:pos="5400"/>
                        </w:tabs>
                        <w:suppressAutoHyphens/>
                        <w:spacing w:before="60"/>
                        <w:rPr>
                          <w:rFonts w:asciiTheme="majorHAnsi" w:hAnsiTheme="majorHAnsi" w:cs="Univers"/>
                          <w:color w:val="0D0D0D" w:themeColor="text1" w:themeTint="F2"/>
                          <w:sz w:val="18"/>
                          <w:szCs w:val="20"/>
                        </w:rPr>
                      </w:pPr>
                    </w:p>
                    <w:p w14:paraId="138D2360" w14:textId="77777777" w:rsidR="00E6692A" w:rsidRPr="00027A6B" w:rsidRDefault="00E6692A" w:rsidP="0059191A">
                      <w:pPr>
                        <w:tabs>
                          <w:tab w:val="center" w:pos="5400"/>
                        </w:tabs>
                        <w:suppressAutoHyphens/>
                        <w:spacing w:before="60"/>
                        <w:rPr>
                          <w:rFonts w:asciiTheme="majorHAnsi" w:hAnsiTheme="majorHAnsi" w:cs="Univers"/>
                          <w:color w:val="0D0D0D" w:themeColor="text1" w:themeTint="F2"/>
                          <w:sz w:val="18"/>
                          <w:szCs w:val="20"/>
                        </w:rPr>
                      </w:pPr>
                    </w:p>
                  </w:txbxContent>
                </v:textbox>
              </v:shape>
            </w:pict>
          </mc:Fallback>
        </mc:AlternateContent>
      </w:r>
    </w:p>
    <w:p w14:paraId="36E04933" w14:textId="77777777" w:rsidR="00A50FCF" w:rsidRPr="00C51F6C" w:rsidRDefault="00A50FCF" w:rsidP="00040C3A">
      <w:pPr>
        <w:tabs>
          <w:tab w:val="center" w:pos="5400"/>
        </w:tabs>
        <w:suppressAutoHyphens/>
        <w:jc w:val="center"/>
        <w:rPr>
          <w:rFonts w:asciiTheme="majorHAnsi" w:hAnsiTheme="majorHAnsi"/>
          <w:sz w:val="18"/>
          <w:szCs w:val="22"/>
        </w:rPr>
      </w:pPr>
    </w:p>
    <w:p w14:paraId="5564E9F7" w14:textId="77777777" w:rsidR="00A50FCF" w:rsidRPr="00C51F6C" w:rsidRDefault="00A50FCF" w:rsidP="00040C3A">
      <w:pPr>
        <w:tabs>
          <w:tab w:val="center" w:pos="5400"/>
        </w:tabs>
        <w:suppressAutoHyphens/>
        <w:jc w:val="center"/>
        <w:rPr>
          <w:rFonts w:asciiTheme="majorHAnsi" w:hAnsiTheme="majorHAnsi"/>
          <w:sz w:val="18"/>
          <w:szCs w:val="22"/>
        </w:rPr>
      </w:pPr>
    </w:p>
    <w:p w14:paraId="1B708AAA" w14:textId="77777777" w:rsidR="00A50FCF" w:rsidRPr="00C51F6C" w:rsidRDefault="00A50FCF" w:rsidP="00040C3A">
      <w:pPr>
        <w:tabs>
          <w:tab w:val="center" w:pos="5400"/>
        </w:tabs>
        <w:suppressAutoHyphens/>
        <w:jc w:val="center"/>
        <w:rPr>
          <w:rFonts w:asciiTheme="majorHAnsi" w:hAnsiTheme="majorHAnsi"/>
          <w:sz w:val="18"/>
          <w:szCs w:val="22"/>
        </w:rPr>
      </w:pPr>
    </w:p>
    <w:p w14:paraId="47845EBE" w14:textId="77777777" w:rsidR="00A50FCF" w:rsidRPr="00C51F6C" w:rsidRDefault="00A50FCF" w:rsidP="00040C3A">
      <w:pPr>
        <w:tabs>
          <w:tab w:val="center" w:pos="5400"/>
        </w:tabs>
        <w:suppressAutoHyphens/>
        <w:jc w:val="center"/>
        <w:rPr>
          <w:rFonts w:asciiTheme="majorHAnsi" w:hAnsiTheme="majorHAnsi"/>
          <w:sz w:val="18"/>
          <w:szCs w:val="22"/>
        </w:rPr>
      </w:pPr>
    </w:p>
    <w:p w14:paraId="3C3387B3" w14:textId="77777777" w:rsidR="00A50FCF" w:rsidRPr="00C51F6C" w:rsidRDefault="00A50FCF" w:rsidP="00040C3A">
      <w:pPr>
        <w:tabs>
          <w:tab w:val="center" w:pos="5400"/>
        </w:tabs>
        <w:suppressAutoHyphens/>
        <w:jc w:val="center"/>
        <w:rPr>
          <w:rFonts w:asciiTheme="majorHAnsi" w:hAnsiTheme="majorHAnsi"/>
          <w:sz w:val="18"/>
          <w:szCs w:val="22"/>
        </w:rPr>
      </w:pPr>
    </w:p>
    <w:p w14:paraId="1FE9AE5A" w14:textId="77777777" w:rsidR="00A50FCF" w:rsidRPr="00C51F6C" w:rsidRDefault="00A50FCF" w:rsidP="00040C3A">
      <w:pPr>
        <w:tabs>
          <w:tab w:val="center" w:pos="5400"/>
        </w:tabs>
        <w:suppressAutoHyphens/>
        <w:jc w:val="center"/>
        <w:rPr>
          <w:rFonts w:asciiTheme="majorHAnsi" w:hAnsiTheme="majorHAnsi"/>
          <w:sz w:val="18"/>
          <w:szCs w:val="22"/>
        </w:rPr>
      </w:pPr>
    </w:p>
    <w:p w14:paraId="62D281BE" w14:textId="77777777" w:rsidR="00A50FCF" w:rsidRPr="00C51F6C" w:rsidRDefault="00A50FCF" w:rsidP="00040C3A">
      <w:pPr>
        <w:tabs>
          <w:tab w:val="center" w:pos="5400"/>
        </w:tabs>
        <w:suppressAutoHyphens/>
        <w:jc w:val="center"/>
        <w:rPr>
          <w:rFonts w:asciiTheme="majorHAnsi" w:hAnsiTheme="majorHAnsi"/>
          <w:sz w:val="18"/>
          <w:szCs w:val="22"/>
        </w:rPr>
      </w:pPr>
    </w:p>
    <w:p w14:paraId="40C84811" w14:textId="77777777" w:rsidR="00A50FCF" w:rsidRPr="00C51F6C" w:rsidRDefault="0090270B" w:rsidP="00040C3A">
      <w:pPr>
        <w:tabs>
          <w:tab w:val="center" w:pos="5400"/>
        </w:tabs>
        <w:suppressAutoHyphens/>
        <w:jc w:val="center"/>
        <w:rPr>
          <w:rFonts w:asciiTheme="majorHAnsi" w:hAnsiTheme="majorHAnsi"/>
          <w:sz w:val="18"/>
          <w:szCs w:val="22"/>
        </w:rPr>
      </w:pPr>
      <w:r>
        <w:rPr>
          <w:rFonts w:asciiTheme="majorHAnsi" w:hAnsiTheme="majorHAnsi"/>
          <w:noProof/>
          <w:sz w:val="18"/>
          <w:szCs w:val="22"/>
        </w:rPr>
        <mc:AlternateContent>
          <mc:Choice Requires="wps">
            <w:drawing>
              <wp:anchor distT="0" distB="0" distL="114300" distR="114300" simplePos="0" relativeHeight="251661312" behindDoc="0" locked="0" layoutInCell="1" allowOverlap="1" wp14:anchorId="01133F55" wp14:editId="5A71527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5F3B15" w14:textId="541DE667" w:rsidR="00E6692A" w:rsidRPr="007C756A" w:rsidRDefault="00E6692A" w:rsidP="00E6692A">
                            <w:pPr>
                              <w:spacing w:line="276" w:lineRule="auto"/>
                              <w:rPr>
                                <w:rFonts w:asciiTheme="majorHAnsi" w:hAnsiTheme="majorHAnsi"/>
                                <w:color w:val="595959" w:themeColor="text1" w:themeTint="A6"/>
                                <w:sz w:val="18"/>
                                <w:szCs w:val="18"/>
                                <w:lang w:val="es-US"/>
                              </w:rPr>
                            </w:pPr>
                            <w:r w:rsidRPr="0022273F">
                              <w:rPr>
                                <w:rFonts w:asciiTheme="majorHAnsi" w:hAnsiTheme="majorHAnsi"/>
                                <w:b/>
                                <w:color w:val="595959" w:themeColor="text1" w:themeTint="A6"/>
                                <w:sz w:val="18"/>
                                <w:szCs w:val="18"/>
                                <w:lang w:val="pt-BR"/>
                              </w:rPr>
                              <w:t>Cit</w:t>
                            </w:r>
                            <w:r>
                              <w:rPr>
                                <w:rFonts w:asciiTheme="majorHAnsi" w:hAnsiTheme="majorHAnsi"/>
                                <w:b/>
                                <w:color w:val="595959" w:themeColor="text1" w:themeTint="A6"/>
                                <w:sz w:val="18"/>
                                <w:szCs w:val="18"/>
                                <w:lang w:val="pt-BR"/>
                              </w:rPr>
                              <w:t>e as</w:t>
                            </w:r>
                            <w:r w:rsidRPr="0022273F">
                              <w:rPr>
                                <w:rFonts w:asciiTheme="majorHAnsi" w:hAnsiTheme="majorHAnsi"/>
                                <w:b/>
                                <w:color w:val="595959" w:themeColor="text1" w:themeTint="A6"/>
                                <w:sz w:val="18"/>
                                <w:szCs w:val="18"/>
                                <w:lang w:val="pt-BR"/>
                              </w:rPr>
                              <w:t>:</w:t>
                            </w:r>
                            <w:r w:rsidRPr="0022273F">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pt-BR"/>
                              </w:rPr>
                              <w:t xml:space="preserve">IACHR, Report </w:t>
                            </w:r>
                            <w:r w:rsidRPr="00A35426">
                              <w:rPr>
                                <w:rFonts w:asciiTheme="majorHAnsi" w:hAnsiTheme="majorHAnsi"/>
                                <w:color w:val="595959" w:themeColor="text1" w:themeTint="A6"/>
                                <w:sz w:val="18"/>
                                <w:szCs w:val="18"/>
                                <w:lang w:val="pt-BR"/>
                              </w:rPr>
                              <w:t xml:space="preserve">No. </w:t>
                            </w:r>
                            <w:r w:rsidR="00177DB9">
                              <w:rPr>
                                <w:rFonts w:asciiTheme="majorHAnsi" w:hAnsiTheme="majorHAnsi"/>
                                <w:color w:val="595959" w:themeColor="text1" w:themeTint="A6"/>
                                <w:sz w:val="18"/>
                                <w:szCs w:val="18"/>
                                <w:lang w:val="pt-BR"/>
                              </w:rPr>
                              <w:t>74</w:t>
                            </w:r>
                            <w:r w:rsidRPr="00A35426">
                              <w:rPr>
                                <w:rFonts w:asciiTheme="majorHAnsi" w:hAnsiTheme="majorHAnsi"/>
                                <w:color w:val="595959" w:themeColor="text1" w:themeTint="A6"/>
                                <w:sz w:val="18"/>
                                <w:szCs w:val="18"/>
                                <w:lang w:val="pt-BR"/>
                              </w:rPr>
                              <w:t>/</w:t>
                            </w:r>
                            <w:r w:rsidR="00177DB9">
                              <w:rPr>
                                <w:rFonts w:asciiTheme="majorHAnsi" w:hAnsiTheme="majorHAnsi"/>
                                <w:color w:val="595959" w:themeColor="text1" w:themeTint="A6"/>
                                <w:sz w:val="18"/>
                                <w:szCs w:val="18"/>
                                <w:lang w:val="pt-BR"/>
                              </w:rPr>
                              <w:t>21</w:t>
                            </w:r>
                            <w:r>
                              <w:rPr>
                                <w:rFonts w:asciiTheme="majorHAnsi" w:hAnsiTheme="majorHAnsi"/>
                                <w:color w:val="595959" w:themeColor="text1" w:themeTint="A6"/>
                                <w:sz w:val="18"/>
                                <w:szCs w:val="18"/>
                                <w:lang w:val="pt-BR"/>
                              </w:rPr>
                              <w:t>,</w:t>
                            </w:r>
                            <w:r w:rsidRPr="00A35426">
                              <w:rPr>
                                <w:rFonts w:asciiTheme="majorHAnsi" w:hAnsiTheme="majorHAnsi"/>
                                <w:color w:val="595959" w:themeColor="text1" w:themeTint="A6"/>
                                <w:sz w:val="18"/>
                                <w:szCs w:val="18"/>
                                <w:lang w:val="pt-BR"/>
                              </w:rPr>
                              <w:t xml:space="preserve"> </w:t>
                            </w:r>
                            <w:r w:rsidRPr="006C7297">
                              <w:rPr>
                                <w:rFonts w:asciiTheme="majorHAnsi" w:hAnsiTheme="majorHAnsi"/>
                                <w:color w:val="595959" w:themeColor="text1" w:themeTint="A6"/>
                                <w:sz w:val="18"/>
                                <w:szCs w:val="18"/>
                                <w:lang w:val="es-CO"/>
                              </w:rPr>
                              <w:t xml:space="preserve">Case 13.638, Merits, </w:t>
                            </w:r>
                            <w:r w:rsidRPr="00A35426">
                              <w:rPr>
                                <w:rFonts w:asciiTheme="majorHAnsi" w:hAnsiTheme="majorHAnsi"/>
                                <w:color w:val="595959" w:themeColor="text1" w:themeTint="A6"/>
                                <w:sz w:val="18"/>
                                <w:szCs w:val="18"/>
                                <w:lang w:val="es-ES_tradnl"/>
                              </w:rPr>
                              <w:t xml:space="preserve">José Antonio Gutiérrez Navas </w:t>
                            </w:r>
                            <w:r>
                              <w:rPr>
                                <w:rFonts w:asciiTheme="majorHAnsi" w:hAnsiTheme="majorHAnsi"/>
                                <w:color w:val="595959" w:themeColor="text1" w:themeTint="A6"/>
                                <w:sz w:val="18"/>
                                <w:szCs w:val="18"/>
                                <w:lang w:val="es-ES_tradnl"/>
                              </w:rPr>
                              <w:t>et al.,</w:t>
                            </w:r>
                            <w:r w:rsidRPr="00A35426">
                              <w:rPr>
                                <w:rFonts w:asciiTheme="majorHAnsi" w:hAnsiTheme="majorHAnsi"/>
                                <w:color w:val="595959" w:themeColor="text1" w:themeTint="A6"/>
                                <w:sz w:val="18"/>
                                <w:szCs w:val="18"/>
                                <w:lang w:val="es-ES_tradnl"/>
                              </w:rPr>
                              <w:t xml:space="preserve"> Honduras</w:t>
                            </w:r>
                            <w:r w:rsidR="00177DB9">
                              <w:rPr>
                                <w:rFonts w:asciiTheme="majorHAnsi" w:hAnsiTheme="majorHAnsi"/>
                                <w:color w:val="595959" w:themeColor="text1" w:themeTint="A6"/>
                                <w:sz w:val="18"/>
                                <w:szCs w:val="18"/>
                                <w:lang w:val="es-ES_tradnl"/>
                              </w:rPr>
                              <w:t>. April 16, 2021.</w:t>
                            </w:r>
                            <w:r>
                              <w:rPr>
                                <w:rFonts w:asciiTheme="majorHAnsi" w:hAnsiTheme="majorHAnsi"/>
                                <w:color w:val="595959" w:themeColor="text1" w:themeTint="A6"/>
                                <w:sz w:val="18"/>
                                <w:szCs w:val="18"/>
                                <w:lang w:val="es-ES_tradnl"/>
                              </w:rPr>
                              <w:t xml:space="preserve">  </w:t>
                            </w:r>
                          </w:p>
                          <w:p w14:paraId="220AF0CF" w14:textId="149CA47E" w:rsidR="00E6692A" w:rsidRPr="00E6692A" w:rsidRDefault="00E6692A" w:rsidP="00113F73">
                            <w:pPr>
                              <w:spacing w:line="276" w:lineRule="auto"/>
                              <w:rPr>
                                <w:rFonts w:asciiTheme="majorHAnsi" w:hAnsiTheme="majorHAnsi"/>
                                <w:color w:val="595959" w:themeColor="text1" w:themeTint="A6"/>
                                <w:sz w:val="18"/>
                                <w:szCs w:val="18"/>
                                <w:lang w:val="es-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33F55" id="Text Box 10" o:spid="_x0000_s1030" type="#_x0000_t202" style="position:absolute;left:0;text-align:left;margin-left:105pt;margin-top:.45pt;width:389.2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85F3B15" w14:textId="541DE667" w:rsidR="00E6692A" w:rsidRPr="007C756A" w:rsidRDefault="00E6692A" w:rsidP="00E6692A">
                      <w:pPr>
                        <w:spacing w:line="276" w:lineRule="auto"/>
                        <w:rPr>
                          <w:rFonts w:asciiTheme="majorHAnsi" w:hAnsiTheme="majorHAnsi"/>
                          <w:color w:val="595959" w:themeColor="text1" w:themeTint="A6"/>
                          <w:sz w:val="18"/>
                          <w:szCs w:val="18"/>
                          <w:lang w:val="es-US"/>
                        </w:rPr>
                      </w:pPr>
                      <w:r w:rsidRPr="0022273F">
                        <w:rPr>
                          <w:rFonts w:asciiTheme="majorHAnsi" w:hAnsiTheme="majorHAnsi"/>
                          <w:b/>
                          <w:color w:val="595959" w:themeColor="text1" w:themeTint="A6"/>
                          <w:sz w:val="18"/>
                          <w:szCs w:val="18"/>
                          <w:lang w:val="pt-BR"/>
                        </w:rPr>
                        <w:t>Cit</w:t>
                      </w:r>
                      <w:r>
                        <w:rPr>
                          <w:rFonts w:asciiTheme="majorHAnsi" w:hAnsiTheme="majorHAnsi"/>
                          <w:b/>
                          <w:color w:val="595959" w:themeColor="text1" w:themeTint="A6"/>
                          <w:sz w:val="18"/>
                          <w:szCs w:val="18"/>
                          <w:lang w:val="pt-BR"/>
                        </w:rPr>
                        <w:t>e as</w:t>
                      </w:r>
                      <w:r w:rsidRPr="0022273F">
                        <w:rPr>
                          <w:rFonts w:asciiTheme="majorHAnsi" w:hAnsiTheme="majorHAnsi"/>
                          <w:b/>
                          <w:color w:val="595959" w:themeColor="text1" w:themeTint="A6"/>
                          <w:sz w:val="18"/>
                          <w:szCs w:val="18"/>
                          <w:lang w:val="pt-BR"/>
                        </w:rPr>
                        <w:t>:</w:t>
                      </w:r>
                      <w:r w:rsidRPr="0022273F">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pt-BR"/>
                        </w:rPr>
                        <w:t xml:space="preserve">IACHR, Report </w:t>
                      </w:r>
                      <w:r w:rsidRPr="00A35426">
                        <w:rPr>
                          <w:rFonts w:asciiTheme="majorHAnsi" w:hAnsiTheme="majorHAnsi"/>
                          <w:color w:val="595959" w:themeColor="text1" w:themeTint="A6"/>
                          <w:sz w:val="18"/>
                          <w:szCs w:val="18"/>
                          <w:lang w:val="pt-BR"/>
                        </w:rPr>
                        <w:t xml:space="preserve">No. </w:t>
                      </w:r>
                      <w:r w:rsidR="00177DB9">
                        <w:rPr>
                          <w:rFonts w:asciiTheme="majorHAnsi" w:hAnsiTheme="majorHAnsi"/>
                          <w:color w:val="595959" w:themeColor="text1" w:themeTint="A6"/>
                          <w:sz w:val="18"/>
                          <w:szCs w:val="18"/>
                          <w:lang w:val="pt-BR"/>
                        </w:rPr>
                        <w:t>74</w:t>
                      </w:r>
                      <w:r w:rsidRPr="00A35426">
                        <w:rPr>
                          <w:rFonts w:asciiTheme="majorHAnsi" w:hAnsiTheme="majorHAnsi"/>
                          <w:color w:val="595959" w:themeColor="text1" w:themeTint="A6"/>
                          <w:sz w:val="18"/>
                          <w:szCs w:val="18"/>
                          <w:lang w:val="pt-BR"/>
                        </w:rPr>
                        <w:t>/</w:t>
                      </w:r>
                      <w:r w:rsidR="00177DB9">
                        <w:rPr>
                          <w:rFonts w:asciiTheme="majorHAnsi" w:hAnsiTheme="majorHAnsi"/>
                          <w:color w:val="595959" w:themeColor="text1" w:themeTint="A6"/>
                          <w:sz w:val="18"/>
                          <w:szCs w:val="18"/>
                          <w:lang w:val="pt-BR"/>
                        </w:rPr>
                        <w:t>21</w:t>
                      </w:r>
                      <w:r>
                        <w:rPr>
                          <w:rFonts w:asciiTheme="majorHAnsi" w:hAnsiTheme="majorHAnsi"/>
                          <w:color w:val="595959" w:themeColor="text1" w:themeTint="A6"/>
                          <w:sz w:val="18"/>
                          <w:szCs w:val="18"/>
                          <w:lang w:val="pt-BR"/>
                        </w:rPr>
                        <w:t>,</w:t>
                      </w:r>
                      <w:r w:rsidRPr="00A35426">
                        <w:rPr>
                          <w:rFonts w:asciiTheme="majorHAnsi" w:hAnsiTheme="majorHAnsi"/>
                          <w:color w:val="595959" w:themeColor="text1" w:themeTint="A6"/>
                          <w:sz w:val="18"/>
                          <w:szCs w:val="18"/>
                          <w:lang w:val="pt-BR"/>
                        </w:rPr>
                        <w:t xml:space="preserve"> </w:t>
                      </w:r>
                      <w:r w:rsidRPr="006C7297">
                        <w:rPr>
                          <w:rFonts w:asciiTheme="majorHAnsi" w:hAnsiTheme="majorHAnsi"/>
                          <w:color w:val="595959" w:themeColor="text1" w:themeTint="A6"/>
                          <w:sz w:val="18"/>
                          <w:szCs w:val="18"/>
                          <w:lang w:val="es-CO"/>
                        </w:rPr>
                        <w:t xml:space="preserve">Case 13.638, Merits, </w:t>
                      </w:r>
                      <w:r w:rsidRPr="00A35426">
                        <w:rPr>
                          <w:rFonts w:asciiTheme="majorHAnsi" w:hAnsiTheme="majorHAnsi"/>
                          <w:color w:val="595959" w:themeColor="text1" w:themeTint="A6"/>
                          <w:sz w:val="18"/>
                          <w:szCs w:val="18"/>
                          <w:lang w:val="es-ES_tradnl"/>
                        </w:rPr>
                        <w:t xml:space="preserve">José Antonio Gutiérrez Navas </w:t>
                      </w:r>
                      <w:r>
                        <w:rPr>
                          <w:rFonts w:asciiTheme="majorHAnsi" w:hAnsiTheme="majorHAnsi"/>
                          <w:color w:val="595959" w:themeColor="text1" w:themeTint="A6"/>
                          <w:sz w:val="18"/>
                          <w:szCs w:val="18"/>
                          <w:lang w:val="es-ES_tradnl"/>
                        </w:rPr>
                        <w:t>et al.,</w:t>
                      </w:r>
                      <w:r w:rsidRPr="00A35426">
                        <w:rPr>
                          <w:rFonts w:asciiTheme="majorHAnsi" w:hAnsiTheme="majorHAnsi"/>
                          <w:color w:val="595959" w:themeColor="text1" w:themeTint="A6"/>
                          <w:sz w:val="18"/>
                          <w:szCs w:val="18"/>
                          <w:lang w:val="es-ES_tradnl"/>
                        </w:rPr>
                        <w:t xml:space="preserve"> Honduras</w:t>
                      </w:r>
                      <w:r w:rsidR="00177DB9">
                        <w:rPr>
                          <w:rFonts w:asciiTheme="majorHAnsi" w:hAnsiTheme="majorHAnsi"/>
                          <w:color w:val="595959" w:themeColor="text1" w:themeTint="A6"/>
                          <w:sz w:val="18"/>
                          <w:szCs w:val="18"/>
                          <w:lang w:val="es-ES_tradnl"/>
                        </w:rPr>
                        <w:t>. April 16, 2021.</w:t>
                      </w:r>
                      <w:r>
                        <w:rPr>
                          <w:rFonts w:asciiTheme="majorHAnsi" w:hAnsiTheme="majorHAnsi"/>
                          <w:color w:val="595959" w:themeColor="text1" w:themeTint="A6"/>
                          <w:sz w:val="18"/>
                          <w:szCs w:val="18"/>
                          <w:lang w:val="es-ES_tradnl"/>
                        </w:rPr>
                        <w:t xml:space="preserve">  </w:t>
                      </w:r>
                    </w:p>
                    <w:p w14:paraId="220AF0CF" w14:textId="149CA47E" w:rsidR="00E6692A" w:rsidRPr="00E6692A" w:rsidRDefault="00E6692A" w:rsidP="00113F73">
                      <w:pPr>
                        <w:spacing w:line="276" w:lineRule="auto"/>
                        <w:rPr>
                          <w:rFonts w:asciiTheme="majorHAnsi" w:hAnsiTheme="majorHAnsi"/>
                          <w:color w:val="595959" w:themeColor="text1" w:themeTint="A6"/>
                          <w:sz w:val="18"/>
                          <w:szCs w:val="18"/>
                          <w:lang w:val="es-US"/>
                        </w:rPr>
                      </w:pPr>
                    </w:p>
                  </w:txbxContent>
                </v:textbox>
              </v:shape>
            </w:pict>
          </mc:Fallback>
        </mc:AlternateContent>
      </w:r>
    </w:p>
    <w:p w14:paraId="5E81792F" w14:textId="77777777" w:rsidR="00A50FCF" w:rsidRPr="00C51F6C" w:rsidRDefault="00A50FCF" w:rsidP="00040C3A">
      <w:pPr>
        <w:tabs>
          <w:tab w:val="center" w:pos="5400"/>
        </w:tabs>
        <w:suppressAutoHyphens/>
        <w:jc w:val="center"/>
        <w:rPr>
          <w:rFonts w:asciiTheme="majorHAnsi" w:hAnsiTheme="majorHAnsi"/>
          <w:sz w:val="18"/>
          <w:szCs w:val="22"/>
        </w:rPr>
      </w:pPr>
    </w:p>
    <w:p w14:paraId="2812E514" w14:textId="77777777" w:rsidR="0090270B" w:rsidRPr="00C51F6C" w:rsidRDefault="00D306D1" w:rsidP="005516A1">
      <w:pPr>
        <w:tabs>
          <w:tab w:val="center" w:pos="5400"/>
        </w:tabs>
        <w:suppressAutoHyphens/>
        <w:jc w:val="center"/>
        <w:rPr>
          <w:rFonts w:asciiTheme="majorHAnsi" w:hAnsiTheme="majorHAnsi"/>
          <w:b/>
          <w:sz w:val="20"/>
        </w:rPr>
      </w:pPr>
      <w:r>
        <w:rPr>
          <w:rFonts w:asciiTheme="majorHAnsi" w:hAnsiTheme="majorHAnsi"/>
          <w:noProof/>
          <w:sz w:val="18"/>
          <w:szCs w:val="22"/>
        </w:rPr>
        <mc:AlternateContent>
          <mc:Choice Requires="wps">
            <w:drawing>
              <wp:anchor distT="0" distB="0" distL="114300" distR="114300" simplePos="0" relativeHeight="251663360" behindDoc="0" locked="0" layoutInCell="1" allowOverlap="1" wp14:anchorId="48751D49" wp14:editId="4FF14319">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E4AF8E" w14:textId="77777777" w:rsidR="00E6692A" w:rsidRPr="00D72DC6" w:rsidRDefault="00E6692A" w:rsidP="00F02AD1">
                            <w:pPr>
                              <w:rPr>
                                <w:color w:val="FFFFFF" w:themeColor="background1"/>
                                <w14:textFill>
                                  <w14:noFill/>
                                </w14:textFill>
                              </w:rPr>
                            </w:pPr>
                            <w:r>
                              <w:rPr>
                                <w:noProof/>
                                <w:color w:val="FFFFFF" w:themeColor="background1"/>
                              </w:rPr>
                              <w:drawing>
                                <wp:inline distT="0" distB="0" distL="0" distR="0" wp14:anchorId="6F91914D" wp14:editId="3E801F33">
                                  <wp:extent cx="1837690" cy="469265"/>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EA-ENG-Main-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7690"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51D49" id="Text Box 9" o:spid="_x0000_s1031" type="#_x0000_t202" style="position:absolute;left:0;text-align:left;margin-left:104.7pt;margin-top:50.3pt;width:322.55pt;height:4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59E4AF8E" w14:textId="77777777" w:rsidR="00E6692A" w:rsidRPr="00D72DC6" w:rsidRDefault="00E6692A" w:rsidP="00F02AD1">
                      <w:pPr>
                        <w:rPr>
                          <w:color w:val="FFFFFF" w:themeColor="background1"/>
                          <w14:textFill>
                            <w14:noFill/>
                          </w14:textFill>
                        </w:rPr>
                      </w:pPr>
                      <w:r>
                        <w:rPr>
                          <w:noProof/>
                          <w:color w:val="FFFFFF" w:themeColor="background1"/>
                        </w:rPr>
                        <w:drawing>
                          <wp:inline distT="0" distB="0" distL="0" distR="0" wp14:anchorId="6F91914D" wp14:editId="3E801F33">
                            <wp:extent cx="1837690" cy="469265"/>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EA-ENG-Main-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7690" cy="469265"/>
                                    </a:xfrm>
                                    <a:prstGeom prst="rect">
                                      <a:avLst/>
                                    </a:prstGeom>
                                  </pic:spPr>
                                </pic:pic>
                              </a:graphicData>
                            </a:graphic>
                          </wp:inline>
                        </w:drawing>
                      </w:r>
                    </w:p>
                  </w:txbxContent>
                </v:textbox>
              </v:shape>
            </w:pict>
          </mc:Fallback>
        </mc:AlternateContent>
      </w:r>
      <w:r>
        <w:rPr>
          <w:rFonts w:asciiTheme="majorHAnsi" w:hAnsiTheme="majorHAnsi"/>
          <w:noProof/>
          <w:sz w:val="22"/>
          <w:szCs w:val="22"/>
        </w:rPr>
        <mc:AlternateContent>
          <mc:Choice Requires="wps">
            <w:drawing>
              <wp:anchor distT="0" distB="0" distL="114300" distR="114300" simplePos="0" relativeHeight="251665408" behindDoc="0" locked="0" layoutInCell="1" allowOverlap="1" wp14:anchorId="75A7FE28" wp14:editId="48CE29D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151529" w14:textId="77777777" w:rsidR="00E6692A" w:rsidRPr="004B7EB6" w:rsidRDefault="00E6692A" w:rsidP="00D306D1">
                            <w:pPr>
                              <w:jc w:val="center"/>
                              <w:rPr>
                                <w:rFonts w:asciiTheme="minorHAnsi" w:hAnsiTheme="minorHAnsi"/>
                                <w:b/>
                                <w:color w:val="FFFFFF" w:themeColor="background1"/>
                              </w:rPr>
                            </w:pPr>
                            <w:r>
                              <w:rPr>
                                <w:rFonts w:asciiTheme="minorHAnsi" w:hAnsiTheme="minorHAnsi"/>
                                <w:b/>
                                <w:bCs/>
                                <w:color w:val="FFFFFF" w:themeColor="background1"/>
                                <w:lang w:val="en"/>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7FE28" id="Text Box 4" o:spid="_x0000_s1032" type="#_x0000_t202" style="position:absolute;left:0;text-align:left;margin-left:-21.45pt;margin-top:72.05pt;width:93pt;height:2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04151529" w14:textId="77777777" w:rsidR="00E6692A" w:rsidRPr="004B7EB6" w:rsidRDefault="00E6692A" w:rsidP="00D306D1">
                      <w:pPr>
                        <w:jc w:val="center"/>
                        <w:rPr>
                          <w:rFonts w:asciiTheme="minorHAnsi" w:hAnsiTheme="minorHAnsi"/>
                          <w:b/>
                          <w:color w:val="FFFFFF" w:themeColor="background1"/>
                        </w:rPr>
                      </w:pPr>
                      <w:r>
                        <w:rPr>
                          <w:rFonts w:asciiTheme="minorHAnsi" w:hAnsiTheme="minorHAnsi"/>
                          <w:b/>
                          <w:bCs/>
                          <w:color w:val="FFFFFF" w:themeColor="background1"/>
                          <w:lang w:val="en"/>
                        </w:rPr>
                        <w:t>www.cidh.org</w:t>
                      </w:r>
                    </w:p>
                  </w:txbxContent>
                </v:textbox>
              </v:shape>
            </w:pict>
          </mc:Fallback>
        </mc:AlternateContent>
      </w:r>
    </w:p>
    <w:p w14:paraId="77EB0468" w14:textId="77777777" w:rsidR="0070697F" w:rsidRPr="00C51F6C" w:rsidRDefault="0070697F" w:rsidP="00032214">
      <w:pPr>
        <w:tabs>
          <w:tab w:val="center" w:pos="5400"/>
        </w:tabs>
        <w:suppressAutoHyphens/>
        <w:rPr>
          <w:rFonts w:asciiTheme="majorHAnsi" w:hAnsiTheme="majorHAnsi"/>
          <w:b/>
          <w:sz w:val="20"/>
        </w:rPr>
        <w:sectPr w:rsidR="0070697F" w:rsidRPr="00C51F6C"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14:paraId="0E150950" w14:textId="77777777" w:rsidR="00722C9F" w:rsidRPr="00C51F6C" w:rsidRDefault="00722C9F" w:rsidP="00032214">
      <w:pPr>
        <w:tabs>
          <w:tab w:val="center" w:pos="5400"/>
        </w:tabs>
        <w:suppressAutoHyphens/>
        <w:spacing w:line="276" w:lineRule="auto"/>
        <w:rPr>
          <w:rFonts w:asciiTheme="majorHAnsi" w:hAnsiTheme="majorHAnsi"/>
          <w:sz w:val="18"/>
          <w:szCs w:val="20"/>
        </w:rPr>
      </w:pPr>
    </w:p>
    <w:p w14:paraId="5812FB88" w14:textId="77777777" w:rsidR="00722C9F" w:rsidRPr="00C51F6C" w:rsidRDefault="00722C9F" w:rsidP="00722C9F">
      <w:pPr>
        <w:tabs>
          <w:tab w:val="center" w:pos="5400"/>
        </w:tabs>
        <w:suppressAutoHyphens/>
        <w:spacing w:line="276" w:lineRule="auto"/>
        <w:jc w:val="center"/>
        <w:rPr>
          <w:rFonts w:asciiTheme="majorHAnsi" w:hAnsiTheme="majorHAnsi"/>
          <w:b/>
          <w:sz w:val="20"/>
          <w:szCs w:val="20"/>
        </w:rPr>
      </w:pPr>
      <w:r>
        <w:rPr>
          <w:rFonts w:asciiTheme="majorHAnsi" w:hAnsiTheme="majorHAnsi"/>
          <w:b/>
          <w:bCs/>
          <w:sz w:val="20"/>
          <w:szCs w:val="20"/>
          <w:lang w:val="en"/>
        </w:rPr>
        <w:t>INDEX</w:t>
      </w:r>
    </w:p>
    <w:p w14:paraId="6B487675" w14:textId="77777777" w:rsidR="008D768D" w:rsidRPr="00C51F6C" w:rsidRDefault="008D768D" w:rsidP="006125C3">
      <w:pPr>
        <w:tabs>
          <w:tab w:val="center" w:pos="5400"/>
        </w:tabs>
        <w:suppressAutoHyphens/>
        <w:spacing w:line="276" w:lineRule="auto"/>
        <w:rPr>
          <w:rFonts w:asciiTheme="majorHAnsi" w:hAnsiTheme="majorHAnsi"/>
          <w:sz w:val="20"/>
          <w:szCs w:val="20"/>
        </w:rPr>
      </w:pPr>
    </w:p>
    <w:p w14:paraId="55F54F7A" w14:textId="77777777" w:rsidR="00E909AA" w:rsidRPr="00C51F6C" w:rsidRDefault="00E909AA" w:rsidP="00E909AA">
      <w:pPr>
        <w:suppressAutoHyphens/>
        <w:rPr>
          <w:rFonts w:asciiTheme="majorHAnsi" w:hAnsiTheme="majorHAnsi"/>
          <w:b/>
          <w:sz w:val="20"/>
          <w:szCs w:val="20"/>
        </w:rPr>
      </w:pPr>
    </w:p>
    <w:sdt>
      <w:sdtPr>
        <w:rPr>
          <w:rFonts w:ascii="Times New Roman" w:eastAsia="Arial Unicode MS" w:hAnsi="Times New Roman" w:cs="Times New Roman"/>
          <w:color w:val="auto"/>
          <w:sz w:val="20"/>
          <w:szCs w:val="20"/>
          <w:bdr w:val="nil"/>
        </w:rPr>
        <w:id w:val="-1709633166"/>
        <w:docPartObj>
          <w:docPartGallery w:val="Table of Contents"/>
          <w:docPartUnique/>
        </w:docPartObj>
      </w:sdtPr>
      <w:sdtEndPr>
        <w:rPr>
          <w:b/>
          <w:bCs/>
          <w:noProof/>
          <w:sz w:val="24"/>
          <w:szCs w:val="24"/>
        </w:rPr>
      </w:sdtEndPr>
      <w:sdtContent>
        <w:p w14:paraId="3EF6E798" w14:textId="77777777" w:rsidR="00A92D8C" w:rsidRPr="00A92D8C" w:rsidRDefault="00A92D8C">
          <w:pPr>
            <w:pStyle w:val="TOCHeading"/>
            <w:rPr>
              <w:sz w:val="20"/>
              <w:szCs w:val="20"/>
            </w:rPr>
          </w:pPr>
        </w:p>
        <w:p w14:paraId="4DA6F0A2" w14:textId="21AE8040" w:rsidR="00E6692A" w:rsidRDefault="00A92D8C">
          <w:pPr>
            <w:pStyle w:val="TOC1"/>
            <w:tabs>
              <w:tab w:val="right" w:leader="dot" w:pos="9350"/>
            </w:tabs>
            <w:rPr>
              <w:rFonts w:eastAsiaTheme="minorEastAsia" w:cstheme="minorBidi"/>
              <w:noProof/>
              <w:szCs w:val="22"/>
              <w:bdr w:val="none" w:sz="0" w:space="0" w:color="auto"/>
              <w:lang w:val="es-BO" w:eastAsia="es-BO"/>
            </w:rPr>
          </w:pPr>
          <w:r w:rsidRPr="00A92D8C">
            <w:rPr>
              <w:rFonts w:asciiTheme="majorHAnsi" w:hAnsiTheme="majorHAnsi"/>
              <w:sz w:val="20"/>
              <w:szCs w:val="20"/>
            </w:rPr>
            <w:fldChar w:fldCharType="begin"/>
          </w:r>
          <w:r w:rsidRPr="00A92D8C">
            <w:rPr>
              <w:rFonts w:asciiTheme="majorHAnsi" w:hAnsiTheme="majorHAnsi"/>
              <w:sz w:val="20"/>
              <w:szCs w:val="20"/>
            </w:rPr>
            <w:instrText xml:space="preserve"> TOC \o "1-3" \h \z \u </w:instrText>
          </w:r>
          <w:r w:rsidRPr="00A92D8C">
            <w:rPr>
              <w:rFonts w:asciiTheme="majorHAnsi" w:hAnsiTheme="majorHAnsi"/>
              <w:sz w:val="20"/>
              <w:szCs w:val="20"/>
            </w:rPr>
            <w:fldChar w:fldCharType="separate"/>
          </w:r>
          <w:hyperlink w:anchor="_Toc69410053" w:history="1">
            <w:r w:rsidR="00E6692A" w:rsidRPr="000847A1">
              <w:rPr>
                <w:rStyle w:val="Hyperlink"/>
                <w:noProof/>
              </w:rPr>
              <w:t>I.  INTRODUCTION</w:t>
            </w:r>
            <w:r w:rsidR="00E6692A">
              <w:rPr>
                <w:noProof/>
                <w:webHidden/>
              </w:rPr>
              <w:tab/>
            </w:r>
            <w:r w:rsidR="00E6692A">
              <w:rPr>
                <w:noProof/>
                <w:webHidden/>
              </w:rPr>
              <w:fldChar w:fldCharType="begin"/>
            </w:r>
            <w:r w:rsidR="00E6692A">
              <w:rPr>
                <w:noProof/>
                <w:webHidden/>
              </w:rPr>
              <w:instrText xml:space="preserve"> PAGEREF _Toc69410053 \h </w:instrText>
            </w:r>
            <w:r w:rsidR="00E6692A">
              <w:rPr>
                <w:noProof/>
                <w:webHidden/>
              </w:rPr>
            </w:r>
            <w:r w:rsidR="00E6692A">
              <w:rPr>
                <w:noProof/>
                <w:webHidden/>
              </w:rPr>
              <w:fldChar w:fldCharType="separate"/>
            </w:r>
            <w:r w:rsidR="009537DE">
              <w:rPr>
                <w:noProof/>
                <w:webHidden/>
              </w:rPr>
              <w:t>2</w:t>
            </w:r>
            <w:r w:rsidR="00E6692A">
              <w:rPr>
                <w:noProof/>
                <w:webHidden/>
              </w:rPr>
              <w:fldChar w:fldCharType="end"/>
            </w:r>
          </w:hyperlink>
        </w:p>
        <w:p w14:paraId="186A5F61" w14:textId="232423F3" w:rsidR="00E6692A" w:rsidRDefault="009537DE">
          <w:pPr>
            <w:pStyle w:val="TOC1"/>
            <w:tabs>
              <w:tab w:val="right" w:leader="dot" w:pos="9350"/>
            </w:tabs>
            <w:rPr>
              <w:rFonts w:eastAsiaTheme="minorEastAsia" w:cstheme="minorBidi"/>
              <w:noProof/>
              <w:szCs w:val="22"/>
              <w:bdr w:val="none" w:sz="0" w:space="0" w:color="auto"/>
              <w:lang w:val="es-BO" w:eastAsia="es-BO"/>
            </w:rPr>
          </w:pPr>
          <w:hyperlink w:anchor="_Toc69410054" w:history="1">
            <w:r w:rsidR="00E6692A" w:rsidRPr="000847A1">
              <w:rPr>
                <w:rStyle w:val="Hyperlink"/>
                <w:noProof/>
              </w:rPr>
              <w:t>II. POSITIONS OF THE PARTIES</w:t>
            </w:r>
            <w:r w:rsidR="00E6692A">
              <w:rPr>
                <w:noProof/>
                <w:webHidden/>
              </w:rPr>
              <w:tab/>
            </w:r>
            <w:r w:rsidR="00E6692A">
              <w:rPr>
                <w:noProof/>
                <w:webHidden/>
              </w:rPr>
              <w:fldChar w:fldCharType="begin"/>
            </w:r>
            <w:r w:rsidR="00E6692A">
              <w:rPr>
                <w:noProof/>
                <w:webHidden/>
              </w:rPr>
              <w:instrText xml:space="preserve"> PAGEREF _Toc69410054 \h </w:instrText>
            </w:r>
            <w:r w:rsidR="00E6692A">
              <w:rPr>
                <w:noProof/>
                <w:webHidden/>
              </w:rPr>
            </w:r>
            <w:r w:rsidR="00E6692A">
              <w:rPr>
                <w:noProof/>
                <w:webHidden/>
              </w:rPr>
              <w:fldChar w:fldCharType="separate"/>
            </w:r>
            <w:r>
              <w:rPr>
                <w:noProof/>
                <w:webHidden/>
              </w:rPr>
              <w:t>2</w:t>
            </w:r>
            <w:r w:rsidR="00E6692A">
              <w:rPr>
                <w:noProof/>
                <w:webHidden/>
              </w:rPr>
              <w:fldChar w:fldCharType="end"/>
            </w:r>
          </w:hyperlink>
        </w:p>
        <w:p w14:paraId="43D9CEA0" w14:textId="2D1A8D06" w:rsidR="00E6692A" w:rsidRDefault="009537DE">
          <w:pPr>
            <w:pStyle w:val="TOC2"/>
            <w:rPr>
              <w:rFonts w:asciiTheme="minorHAnsi" w:eastAsiaTheme="minorEastAsia" w:hAnsiTheme="minorHAnsi" w:cstheme="minorBidi"/>
              <w:noProof/>
              <w:sz w:val="22"/>
              <w:szCs w:val="22"/>
              <w:bdr w:val="none" w:sz="0" w:space="0" w:color="auto"/>
              <w:lang w:val="es-BO" w:eastAsia="es-BO"/>
            </w:rPr>
          </w:pPr>
          <w:hyperlink w:anchor="_Toc69410055" w:history="1">
            <w:r w:rsidR="00E6692A" w:rsidRPr="000847A1">
              <w:rPr>
                <w:rStyle w:val="Hyperlink"/>
                <w:noProof/>
              </w:rPr>
              <w:t>A.</w:t>
            </w:r>
            <w:r w:rsidR="00E6692A">
              <w:rPr>
                <w:rFonts w:asciiTheme="minorHAnsi" w:eastAsiaTheme="minorEastAsia" w:hAnsiTheme="minorHAnsi" w:cstheme="minorBidi"/>
                <w:noProof/>
                <w:sz w:val="22"/>
                <w:szCs w:val="22"/>
                <w:bdr w:val="none" w:sz="0" w:space="0" w:color="auto"/>
                <w:lang w:val="es-BO" w:eastAsia="es-BO"/>
              </w:rPr>
              <w:tab/>
            </w:r>
            <w:r w:rsidR="00E6692A" w:rsidRPr="000847A1">
              <w:rPr>
                <w:rStyle w:val="Hyperlink"/>
                <w:noProof/>
              </w:rPr>
              <w:t>Petitioners</w:t>
            </w:r>
            <w:r w:rsidR="00E6692A">
              <w:rPr>
                <w:noProof/>
                <w:webHidden/>
              </w:rPr>
              <w:tab/>
            </w:r>
            <w:r w:rsidR="00E6692A">
              <w:rPr>
                <w:noProof/>
                <w:webHidden/>
              </w:rPr>
              <w:fldChar w:fldCharType="begin"/>
            </w:r>
            <w:r w:rsidR="00E6692A">
              <w:rPr>
                <w:noProof/>
                <w:webHidden/>
              </w:rPr>
              <w:instrText xml:space="preserve"> PAGEREF _Toc69410055 \h </w:instrText>
            </w:r>
            <w:r w:rsidR="00E6692A">
              <w:rPr>
                <w:noProof/>
                <w:webHidden/>
              </w:rPr>
            </w:r>
            <w:r w:rsidR="00E6692A">
              <w:rPr>
                <w:noProof/>
                <w:webHidden/>
              </w:rPr>
              <w:fldChar w:fldCharType="separate"/>
            </w:r>
            <w:r>
              <w:rPr>
                <w:noProof/>
                <w:webHidden/>
              </w:rPr>
              <w:t>2</w:t>
            </w:r>
            <w:r w:rsidR="00E6692A">
              <w:rPr>
                <w:noProof/>
                <w:webHidden/>
              </w:rPr>
              <w:fldChar w:fldCharType="end"/>
            </w:r>
          </w:hyperlink>
        </w:p>
        <w:p w14:paraId="15D8A76B" w14:textId="2BA9FE1A" w:rsidR="00E6692A" w:rsidRDefault="009537DE">
          <w:pPr>
            <w:pStyle w:val="TOC2"/>
            <w:rPr>
              <w:rFonts w:asciiTheme="minorHAnsi" w:eastAsiaTheme="minorEastAsia" w:hAnsiTheme="minorHAnsi" w:cstheme="minorBidi"/>
              <w:noProof/>
              <w:sz w:val="22"/>
              <w:szCs w:val="22"/>
              <w:bdr w:val="none" w:sz="0" w:space="0" w:color="auto"/>
              <w:lang w:val="es-BO" w:eastAsia="es-BO"/>
            </w:rPr>
          </w:pPr>
          <w:hyperlink w:anchor="_Toc69410056" w:history="1">
            <w:r w:rsidR="00E6692A" w:rsidRPr="000847A1">
              <w:rPr>
                <w:rStyle w:val="Hyperlink"/>
                <w:noProof/>
              </w:rPr>
              <w:t>B.</w:t>
            </w:r>
            <w:r w:rsidR="00E6692A">
              <w:rPr>
                <w:rFonts w:asciiTheme="minorHAnsi" w:eastAsiaTheme="minorEastAsia" w:hAnsiTheme="minorHAnsi" w:cstheme="minorBidi"/>
                <w:noProof/>
                <w:sz w:val="22"/>
                <w:szCs w:val="22"/>
                <w:bdr w:val="none" w:sz="0" w:space="0" w:color="auto"/>
                <w:lang w:val="es-BO" w:eastAsia="es-BO"/>
              </w:rPr>
              <w:tab/>
            </w:r>
            <w:r w:rsidR="00E6692A" w:rsidRPr="000847A1">
              <w:rPr>
                <w:rStyle w:val="Hyperlink"/>
                <w:noProof/>
              </w:rPr>
              <w:t>State</w:t>
            </w:r>
            <w:r w:rsidR="00E6692A">
              <w:rPr>
                <w:noProof/>
                <w:webHidden/>
              </w:rPr>
              <w:tab/>
            </w:r>
            <w:r w:rsidR="00E6692A">
              <w:rPr>
                <w:noProof/>
                <w:webHidden/>
              </w:rPr>
              <w:fldChar w:fldCharType="begin"/>
            </w:r>
            <w:r w:rsidR="00E6692A">
              <w:rPr>
                <w:noProof/>
                <w:webHidden/>
              </w:rPr>
              <w:instrText xml:space="preserve"> PAGEREF _Toc69410056 \h </w:instrText>
            </w:r>
            <w:r w:rsidR="00E6692A">
              <w:rPr>
                <w:noProof/>
                <w:webHidden/>
              </w:rPr>
            </w:r>
            <w:r w:rsidR="00E6692A">
              <w:rPr>
                <w:noProof/>
                <w:webHidden/>
              </w:rPr>
              <w:fldChar w:fldCharType="separate"/>
            </w:r>
            <w:r>
              <w:rPr>
                <w:noProof/>
                <w:webHidden/>
              </w:rPr>
              <w:t>4</w:t>
            </w:r>
            <w:r w:rsidR="00E6692A">
              <w:rPr>
                <w:noProof/>
                <w:webHidden/>
              </w:rPr>
              <w:fldChar w:fldCharType="end"/>
            </w:r>
          </w:hyperlink>
        </w:p>
        <w:p w14:paraId="339B7ECD" w14:textId="32CE4982" w:rsidR="00E6692A" w:rsidRDefault="009537DE">
          <w:pPr>
            <w:pStyle w:val="TOC1"/>
            <w:tabs>
              <w:tab w:val="right" w:leader="dot" w:pos="9350"/>
            </w:tabs>
            <w:rPr>
              <w:rFonts w:eastAsiaTheme="minorEastAsia" w:cstheme="minorBidi"/>
              <w:noProof/>
              <w:szCs w:val="22"/>
              <w:bdr w:val="none" w:sz="0" w:space="0" w:color="auto"/>
              <w:lang w:val="es-BO" w:eastAsia="es-BO"/>
            </w:rPr>
          </w:pPr>
          <w:hyperlink w:anchor="_Toc69410057" w:history="1">
            <w:r w:rsidR="00E6692A" w:rsidRPr="000847A1">
              <w:rPr>
                <w:rStyle w:val="Hyperlink"/>
                <w:noProof/>
              </w:rPr>
              <w:t>III. DETERMINATIONS OF FACT</w:t>
            </w:r>
            <w:r w:rsidR="00E6692A">
              <w:rPr>
                <w:noProof/>
                <w:webHidden/>
              </w:rPr>
              <w:tab/>
            </w:r>
            <w:r w:rsidR="00E6692A">
              <w:rPr>
                <w:noProof/>
                <w:webHidden/>
              </w:rPr>
              <w:fldChar w:fldCharType="begin"/>
            </w:r>
            <w:r w:rsidR="00E6692A">
              <w:rPr>
                <w:noProof/>
                <w:webHidden/>
              </w:rPr>
              <w:instrText xml:space="preserve"> PAGEREF _Toc69410057 \h </w:instrText>
            </w:r>
            <w:r w:rsidR="00E6692A">
              <w:rPr>
                <w:noProof/>
                <w:webHidden/>
              </w:rPr>
            </w:r>
            <w:r w:rsidR="00E6692A">
              <w:rPr>
                <w:noProof/>
                <w:webHidden/>
              </w:rPr>
              <w:fldChar w:fldCharType="separate"/>
            </w:r>
            <w:r>
              <w:rPr>
                <w:noProof/>
                <w:webHidden/>
              </w:rPr>
              <w:t>4</w:t>
            </w:r>
            <w:r w:rsidR="00E6692A">
              <w:rPr>
                <w:noProof/>
                <w:webHidden/>
              </w:rPr>
              <w:fldChar w:fldCharType="end"/>
            </w:r>
          </w:hyperlink>
        </w:p>
        <w:p w14:paraId="6F5C4A86" w14:textId="69E3C8DD" w:rsidR="00E6692A" w:rsidRDefault="009537DE">
          <w:pPr>
            <w:pStyle w:val="TOC2"/>
            <w:rPr>
              <w:rFonts w:asciiTheme="minorHAnsi" w:eastAsiaTheme="minorEastAsia" w:hAnsiTheme="minorHAnsi" w:cstheme="minorBidi"/>
              <w:noProof/>
              <w:sz w:val="22"/>
              <w:szCs w:val="22"/>
              <w:bdr w:val="none" w:sz="0" w:space="0" w:color="auto"/>
              <w:lang w:val="es-BO" w:eastAsia="es-BO"/>
            </w:rPr>
          </w:pPr>
          <w:hyperlink w:anchor="_Toc69410058" w:history="1">
            <w:r w:rsidR="00E6692A" w:rsidRPr="000847A1">
              <w:rPr>
                <w:rStyle w:val="Hyperlink"/>
                <w:noProof/>
              </w:rPr>
              <w:t>A. Relevant legal framework</w:t>
            </w:r>
            <w:r w:rsidR="00E6692A">
              <w:rPr>
                <w:noProof/>
                <w:webHidden/>
              </w:rPr>
              <w:tab/>
            </w:r>
            <w:r w:rsidR="00E6692A">
              <w:rPr>
                <w:noProof/>
                <w:webHidden/>
              </w:rPr>
              <w:fldChar w:fldCharType="begin"/>
            </w:r>
            <w:r w:rsidR="00E6692A">
              <w:rPr>
                <w:noProof/>
                <w:webHidden/>
              </w:rPr>
              <w:instrText xml:space="preserve"> PAGEREF _Toc69410058 \h </w:instrText>
            </w:r>
            <w:r w:rsidR="00E6692A">
              <w:rPr>
                <w:noProof/>
                <w:webHidden/>
              </w:rPr>
            </w:r>
            <w:r w:rsidR="00E6692A">
              <w:rPr>
                <w:noProof/>
                <w:webHidden/>
              </w:rPr>
              <w:fldChar w:fldCharType="separate"/>
            </w:r>
            <w:r>
              <w:rPr>
                <w:noProof/>
                <w:webHidden/>
              </w:rPr>
              <w:t>4</w:t>
            </w:r>
            <w:r w:rsidR="00E6692A">
              <w:rPr>
                <w:noProof/>
                <w:webHidden/>
              </w:rPr>
              <w:fldChar w:fldCharType="end"/>
            </w:r>
          </w:hyperlink>
        </w:p>
        <w:p w14:paraId="42A3DE88" w14:textId="5528B0E1" w:rsidR="00E6692A" w:rsidRDefault="009537DE">
          <w:pPr>
            <w:pStyle w:val="TOC2"/>
            <w:rPr>
              <w:rFonts w:asciiTheme="minorHAnsi" w:eastAsiaTheme="minorEastAsia" w:hAnsiTheme="minorHAnsi" w:cstheme="minorBidi"/>
              <w:noProof/>
              <w:sz w:val="22"/>
              <w:szCs w:val="22"/>
              <w:bdr w:val="none" w:sz="0" w:space="0" w:color="auto"/>
              <w:lang w:val="es-BO" w:eastAsia="es-BO"/>
            </w:rPr>
          </w:pPr>
          <w:hyperlink w:anchor="_Toc69410059" w:history="1">
            <w:r w:rsidR="00E6692A" w:rsidRPr="000847A1">
              <w:rPr>
                <w:rStyle w:val="Hyperlink"/>
                <w:noProof/>
              </w:rPr>
              <w:t>B. Appointment of the alleged victims and decisions issued by the Constitutional Chamber of the Supreme Court</w:t>
            </w:r>
            <w:r w:rsidR="00E6692A">
              <w:rPr>
                <w:noProof/>
                <w:webHidden/>
              </w:rPr>
              <w:tab/>
            </w:r>
            <w:r w:rsidR="00E6692A">
              <w:rPr>
                <w:noProof/>
                <w:webHidden/>
              </w:rPr>
              <w:fldChar w:fldCharType="begin"/>
            </w:r>
            <w:r w:rsidR="00E6692A">
              <w:rPr>
                <w:noProof/>
                <w:webHidden/>
              </w:rPr>
              <w:instrText xml:space="preserve"> PAGEREF _Toc69410059 \h </w:instrText>
            </w:r>
            <w:r w:rsidR="00E6692A">
              <w:rPr>
                <w:noProof/>
                <w:webHidden/>
              </w:rPr>
            </w:r>
            <w:r w:rsidR="00E6692A">
              <w:rPr>
                <w:noProof/>
                <w:webHidden/>
              </w:rPr>
              <w:fldChar w:fldCharType="separate"/>
            </w:r>
            <w:r>
              <w:rPr>
                <w:noProof/>
                <w:webHidden/>
              </w:rPr>
              <w:t>5</w:t>
            </w:r>
            <w:r w:rsidR="00E6692A">
              <w:rPr>
                <w:noProof/>
                <w:webHidden/>
              </w:rPr>
              <w:fldChar w:fldCharType="end"/>
            </w:r>
          </w:hyperlink>
        </w:p>
        <w:p w14:paraId="239CD7F5" w14:textId="1F586FB1" w:rsidR="00E6692A" w:rsidRDefault="009537DE">
          <w:pPr>
            <w:pStyle w:val="TOC2"/>
            <w:rPr>
              <w:rFonts w:asciiTheme="minorHAnsi" w:eastAsiaTheme="minorEastAsia" w:hAnsiTheme="minorHAnsi" w:cstheme="minorBidi"/>
              <w:noProof/>
              <w:sz w:val="22"/>
              <w:szCs w:val="22"/>
              <w:bdr w:val="none" w:sz="0" w:space="0" w:color="auto"/>
              <w:lang w:val="es-BO" w:eastAsia="es-BO"/>
            </w:rPr>
          </w:pPr>
          <w:hyperlink w:anchor="_Toc69410060" w:history="1">
            <w:r w:rsidR="00E6692A" w:rsidRPr="000847A1">
              <w:rPr>
                <w:rStyle w:val="Hyperlink"/>
                <w:noProof/>
              </w:rPr>
              <w:t xml:space="preserve">C. Draft judgment on the unconstitutionality of the </w:t>
            </w:r>
            <w:r w:rsidR="00E6692A" w:rsidRPr="000847A1">
              <w:rPr>
                <w:rStyle w:val="Hyperlink"/>
                <w:rFonts w:asciiTheme="majorHAnsi" w:hAnsiTheme="majorHAnsi"/>
                <w:noProof/>
              </w:rPr>
              <w:t>Special Law to Purge the Police Force of Corruption</w:t>
            </w:r>
            <w:r w:rsidR="00E6692A" w:rsidRPr="000847A1">
              <w:rPr>
                <w:rStyle w:val="Hyperlink"/>
                <w:noProof/>
              </w:rPr>
              <w:t xml:space="preserve"> and the alleged victims’ dismissal</w:t>
            </w:r>
            <w:r w:rsidR="00E6692A">
              <w:rPr>
                <w:noProof/>
                <w:webHidden/>
              </w:rPr>
              <w:tab/>
            </w:r>
            <w:r w:rsidR="00E6692A">
              <w:rPr>
                <w:noProof/>
                <w:webHidden/>
              </w:rPr>
              <w:fldChar w:fldCharType="begin"/>
            </w:r>
            <w:r w:rsidR="00E6692A">
              <w:rPr>
                <w:noProof/>
                <w:webHidden/>
              </w:rPr>
              <w:instrText xml:space="preserve"> PAGEREF _Toc69410060 \h </w:instrText>
            </w:r>
            <w:r w:rsidR="00E6692A">
              <w:rPr>
                <w:noProof/>
                <w:webHidden/>
              </w:rPr>
            </w:r>
            <w:r w:rsidR="00E6692A">
              <w:rPr>
                <w:noProof/>
                <w:webHidden/>
              </w:rPr>
              <w:fldChar w:fldCharType="separate"/>
            </w:r>
            <w:r>
              <w:rPr>
                <w:noProof/>
                <w:webHidden/>
              </w:rPr>
              <w:t>6</w:t>
            </w:r>
            <w:r w:rsidR="00E6692A">
              <w:rPr>
                <w:noProof/>
                <w:webHidden/>
              </w:rPr>
              <w:fldChar w:fldCharType="end"/>
            </w:r>
          </w:hyperlink>
        </w:p>
        <w:p w14:paraId="53158F98" w14:textId="06F9C9A7" w:rsidR="00E6692A" w:rsidRDefault="009537DE">
          <w:pPr>
            <w:pStyle w:val="TOC2"/>
            <w:rPr>
              <w:rFonts w:asciiTheme="minorHAnsi" w:eastAsiaTheme="minorEastAsia" w:hAnsiTheme="minorHAnsi" w:cstheme="minorBidi"/>
              <w:noProof/>
              <w:sz w:val="22"/>
              <w:szCs w:val="22"/>
              <w:bdr w:val="none" w:sz="0" w:space="0" w:color="auto"/>
              <w:lang w:val="es-BO" w:eastAsia="es-BO"/>
            </w:rPr>
          </w:pPr>
          <w:hyperlink w:anchor="_Toc69410061" w:history="1">
            <w:r w:rsidR="00E6692A" w:rsidRPr="000847A1">
              <w:rPr>
                <w:rStyle w:val="Hyperlink"/>
                <w:noProof/>
              </w:rPr>
              <w:t>D. Constitutional appeal filed to challenge the dismissal decision</w:t>
            </w:r>
            <w:r w:rsidR="00E6692A">
              <w:rPr>
                <w:noProof/>
                <w:webHidden/>
              </w:rPr>
              <w:tab/>
            </w:r>
            <w:r w:rsidR="00E6692A">
              <w:rPr>
                <w:noProof/>
                <w:webHidden/>
              </w:rPr>
              <w:fldChar w:fldCharType="begin"/>
            </w:r>
            <w:r w:rsidR="00E6692A">
              <w:rPr>
                <w:noProof/>
                <w:webHidden/>
              </w:rPr>
              <w:instrText xml:space="preserve"> PAGEREF _Toc69410061 \h </w:instrText>
            </w:r>
            <w:r w:rsidR="00E6692A">
              <w:rPr>
                <w:noProof/>
                <w:webHidden/>
              </w:rPr>
            </w:r>
            <w:r w:rsidR="00E6692A">
              <w:rPr>
                <w:noProof/>
                <w:webHidden/>
              </w:rPr>
              <w:fldChar w:fldCharType="separate"/>
            </w:r>
            <w:r>
              <w:rPr>
                <w:noProof/>
                <w:webHidden/>
              </w:rPr>
              <w:t>8</w:t>
            </w:r>
            <w:r w:rsidR="00E6692A">
              <w:rPr>
                <w:noProof/>
                <w:webHidden/>
              </w:rPr>
              <w:fldChar w:fldCharType="end"/>
            </w:r>
          </w:hyperlink>
        </w:p>
        <w:p w14:paraId="7D329FE5" w14:textId="6B2908A5" w:rsidR="00E6692A" w:rsidRDefault="009537DE">
          <w:pPr>
            <w:pStyle w:val="TOC2"/>
            <w:rPr>
              <w:rFonts w:asciiTheme="minorHAnsi" w:eastAsiaTheme="minorEastAsia" w:hAnsiTheme="minorHAnsi" w:cstheme="minorBidi"/>
              <w:noProof/>
              <w:sz w:val="22"/>
              <w:szCs w:val="22"/>
              <w:bdr w:val="none" w:sz="0" w:space="0" w:color="auto"/>
              <w:lang w:val="es-BO" w:eastAsia="es-BO"/>
            </w:rPr>
          </w:pPr>
          <w:hyperlink w:anchor="_Toc69410062" w:history="1">
            <w:r w:rsidR="00E6692A" w:rsidRPr="000847A1">
              <w:rPr>
                <w:rStyle w:val="Hyperlink"/>
                <w:noProof/>
              </w:rPr>
              <w:t>E. Complaints regarding the violation of judicial independence by the legislative and executive branches</w:t>
            </w:r>
            <w:r w:rsidR="00E6692A">
              <w:rPr>
                <w:noProof/>
                <w:webHidden/>
              </w:rPr>
              <w:tab/>
            </w:r>
            <w:r w:rsidR="00E6692A">
              <w:rPr>
                <w:noProof/>
                <w:webHidden/>
              </w:rPr>
              <w:fldChar w:fldCharType="begin"/>
            </w:r>
            <w:r w:rsidR="00E6692A">
              <w:rPr>
                <w:noProof/>
                <w:webHidden/>
              </w:rPr>
              <w:instrText xml:space="preserve"> PAGEREF _Toc69410062 \h </w:instrText>
            </w:r>
            <w:r w:rsidR="00E6692A">
              <w:rPr>
                <w:noProof/>
                <w:webHidden/>
              </w:rPr>
            </w:r>
            <w:r w:rsidR="00E6692A">
              <w:rPr>
                <w:noProof/>
                <w:webHidden/>
              </w:rPr>
              <w:fldChar w:fldCharType="separate"/>
            </w:r>
            <w:r>
              <w:rPr>
                <w:noProof/>
                <w:webHidden/>
              </w:rPr>
              <w:t>10</w:t>
            </w:r>
            <w:r w:rsidR="00E6692A">
              <w:rPr>
                <w:noProof/>
                <w:webHidden/>
              </w:rPr>
              <w:fldChar w:fldCharType="end"/>
            </w:r>
          </w:hyperlink>
        </w:p>
        <w:p w14:paraId="1A2D00B1" w14:textId="77F53203" w:rsidR="00E6692A" w:rsidRDefault="009537DE">
          <w:pPr>
            <w:pStyle w:val="TOC2"/>
            <w:rPr>
              <w:rFonts w:asciiTheme="minorHAnsi" w:eastAsiaTheme="minorEastAsia" w:hAnsiTheme="minorHAnsi" w:cstheme="minorBidi"/>
              <w:noProof/>
              <w:sz w:val="22"/>
              <w:szCs w:val="22"/>
              <w:bdr w:val="none" w:sz="0" w:space="0" w:color="auto"/>
              <w:lang w:val="es-BO" w:eastAsia="es-BO"/>
            </w:rPr>
          </w:pPr>
          <w:hyperlink w:anchor="_Toc69410063" w:history="1">
            <w:r w:rsidR="00E6692A" w:rsidRPr="000847A1">
              <w:rPr>
                <w:rStyle w:val="Hyperlink"/>
                <w:noProof/>
              </w:rPr>
              <w:t>F.  Purported harassment and threats against the alleged victims</w:t>
            </w:r>
            <w:r w:rsidR="00E6692A">
              <w:rPr>
                <w:noProof/>
                <w:webHidden/>
              </w:rPr>
              <w:tab/>
            </w:r>
            <w:r w:rsidR="00E6692A">
              <w:rPr>
                <w:noProof/>
                <w:webHidden/>
              </w:rPr>
              <w:fldChar w:fldCharType="begin"/>
            </w:r>
            <w:r w:rsidR="00E6692A">
              <w:rPr>
                <w:noProof/>
                <w:webHidden/>
              </w:rPr>
              <w:instrText xml:space="preserve"> PAGEREF _Toc69410063 \h </w:instrText>
            </w:r>
            <w:r w:rsidR="00E6692A">
              <w:rPr>
                <w:noProof/>
                <w:webHidden/>
              </w:rPr>
            </w:r>
            <w:r w:rsidR="00E6692A">
              <w:rPr>
                <w:noProof/>
                <w:webHidden/>
              </w:rPr>
              <w:fldChar w:fldCharType="separate"/>
            </w:r>
            <w:r>
              <w:rPr>
                <w:noProof/>
                <w:webHidden/>
              </w:rPr>
              <w:t>11</w:t>
            </w:r>
            <w:r w:rsidR="00E6692A">
              <w:rPr>
                <w:noProof/>
                <w:webHidden/>
              </w:rPr>
              <w:fldChar w:fldCharType="end"/>
            </w:r>
          </w:hyperlink>
        </w:p>
        <w:p w14:paraId="4B803A60" w14:textId="70C04079" w:rsidR="00E6692A" w:rsidRDefault="009537DE">
          <w:pPr>
            <w:pStyle w:val="TOC1"/>
            <w:tabs>
              <w:tab w:val="right" w:leader="dot" w:pos="9350"/>
            </w:tabs>
            <w:rPr>
              <w:rFonts w:eastAsiaTheme="minorEastAsia" w:cstheme="minorBidi"/>
              <w:noProof/>
              <w:szCs w:val="22"/>
              <w:bdr w:val="none" w:sz="0" w:space="0" w:color="auto"/>
              <w:lang w:val="es-BO" w:eastAsia="es-BO"/>
            </w:rPr>
          </w:pPr>
          <w:hyperlink w:anchor="_Toc69410064" w:history="1">
            <w:r w:rsidR="00E6692A" w:rsidRPr="000847A1">
              <w:rPr>
                <w:rStyle w:val="Hyperlink"/>
                <w:noProof/>
              </w:rPr>
              <w:t>IV. ANALYSIS OF LAW</w:t>
            </w:r>
            <w:r w:rsidR="00E6692A">
              <w:rPr>
                <w:noProof/>
                <w:webHidden/>
              </w:rPr>
              <w:tab/>
            </w:r>
            <w:r w:rsidR="00E6692A">
              <w:rPr>
                <w:noProof/>
                <w:webHidden/>
              </w:rPr>
              <w:fldChar w:fldCharType="begin"/>
            </w:r>
            <w:r w:rsidR="00E6692A">
              <w:rPr>
                <w:noProof/>
                <w:webHidden/>
              </w:rPr>
              <w:instrText xml:space="preserve"> PAGEREF _Toc69410064 \h </w:instrText>
            </w:r>
            <w:r w:rsidR="00E6692A">
              <w:rPr>
                <w:noProof/>
                <w:webHidden/>
              </w:rPr>
            </w:r>
            <w:r w:rsidR="00E6692A">
              <w:rPr>
                <w:noProof/>
                <w:webHidden/>
              </w:rPr>
              <w:fldChar w:fldCharType="separate"/>
            </w:r>
            <w:r>
              <w:rPr>
                <w:noProof/>
                <w:webHidden/>
              </w:rPr>
              <w:t>12</w:t>
            </w:r>
            <w:r w:rsidR="00E6692A">
              <w:rPr>
                <w:noProof/>
                <w:webHidden/>
              </w:rPr>
              <w:fldChar w:fldCharType="end"/>
            </w:r>
          </w:hyperlink>
        </w:p>
        <w:p w14:paraId="114C57EF" w14:textId="46CC5CD1" w:rsidR="00E6692A" w:rsidRDefault="009537DE">
          <w:pPr>
            <w:pStyle w:val="TOC2"/>
            <w:rPr>
              <w:rFonts w:asciiTheme="minorHAnsi" w:eastAsiaTheme="minorEastAsia" w:hAnsiTheme="minorHAnsi" w:cstheme="minorBidi"/>
              <w:noProof/>
              <w:sz w:val="22"/>
              <w:szCs w:val="22"/>
              <w:bdr w:val="none" w:sz="0" w:space="0" w:color="auto"/>
              <w:lang w:val="es-BO" w:eastAsia="es-BO"/>
            </w:rPr>
          </w:pPr>
          <w:hyperlink w:anchor="_Toc69410065" w:history="1">
            <w:r w:rsidR="00E6692A" w:rsidRPr="000847A1">
              <w:rPr>
                <w:rStyle w:val="Hyperlink"/>
                <w:noProof/>
              </w:rPr>
              <w:t>A. Right to judicial guarantees, principle of legality, principle of judicial independence and judicial protection, and political rights</w:t>
            </w:r>
            <w:r w:rsidR="00E6692A">
              <w:rPr>
                <w:noProof/>
                <w:webHidden/>
              </w:rPr>
              <w:tab/>
            </w:r>
            <w:r w:rsidR="00E6692A">
              <w:rPr>
                <w:noProof/>
                <w:webHidden/>
              </w:rPr>
              <w:fldChar w:fldCharType="begin"/>
            </w:r>
            <w:r w:rsidR="00E6692A">
              <w:rPr>
                <w:noProof/>
                <w:webHidden/>
              </w:rPr>
              <w:instrText xml:space="preserve"> PAGEREF _Toc69410065 \h </w:instrText>
            </w:r>
            <w:r w:rsidR="00E6692A">
              <w:rPr>
                <w:noProof/>
                <w:webHidden/>
              </w:rPr>
            </w:r>
            <w:r w:rsidR="00E6692A">
              <w:rPr>
                <w:noProof/>
                <w:webHidden/>
              </w:rPr>
              <w:fldChar w:fldCharType="separate"/>
            </w:r>
            <w:r>
              <w:rPr>
                <w:noProof/>
                <w:webHidden/>
              </w:rPr>
              <w:t>12</w:t>
            </w:r>
            <w:r w:rsidR="00E6692A">
              <w:rPr>
                <w:noProof/>
                <w:webHidden/>
              </w:rPr>
              <w:fldChar w:fldCharType="end"/>
            </w:r>
          </w:hyperlink>
        </w:p>
        <w:p w14:paraId="38D6243F" w14:textId="22DE2D0A" w:rsidR="00E6692A" w:rsidRDefault="009537DE">
          <w:pPr>
            <w:pStyle w:val="TOC3"/>
            <w:rPr>
              <w:rFonts w:asciiTheme="minorHAnsi" w:eastAsiaTheme="minorEastAsia" w:hAnsiTheme="minorHAnsi" w:cstheme="minorBidi"/>
              <w:noProof/>
              <w:sz w:val="22"/>
              <w:szCs w:val="22"/>
              <w:bdr w:val="none" w:sz="0" w:space="0" w:color="auto"/>
              <w:lang w:val="es-BO" w:eastAsia="es-BO"/>
            </w:rPr>
          </w:pPr>
          <w:hyperlink w:anchor="_Toc69410066" w:history="1">
            <w:r w:rsidR="00E6692A" w:rsidRPr="000847A1">
              <w:rPr>
                <w:rStyle w:val="Hyperlink"/>
                <w:noProof/>
              </w:rPr>
              <w:t>1. General considerations regarding applicable guarantees</w:t>
            </w:r>
            <w:r w:rsidR="00E6692A">
              <w:rPr>
                <w:noProof/>
                <w:webHidden/>
              </w:rPr>
              <w:tab/>
            </w:r>
            <w:r w:rsidR="00E6692A">
              <w:rPr>
                <w:noProof/>
                <w:webHidden/>
              </w:rPr>
              <w:fldChar w:fldCharType="begin"/>
            </w:r>
            <w:r w:rsidR="00E6692A">
              <w:rPr>
                <w:noProof/>
                <w:webHidden/>
              </w:rPr>
              <w:instrText xml:space="preserve"> PAGEREF _Toc69410066 \h </w:instrText>
            </w:r>
            <w:r w:rsidR="00E6692A">
              <w:rPr>
                <w:noProof/>
                <w:webHidden/>
              </w:rPr>
            </w:r>
            <w:r w:rsidR="00E6692A">
              <w:rPr>
                <w:noProof/>
                <w:webHidden/>
              </w:rPr>
              <w:fldChar w:fldCharType="separate"/>
            </w:r>
            <w:r>
              <w:rPr>
                <w:noProof/>
                <w:webHidden/>
              </w:rPr>
              <w:t>12</w:t>
            </w:r>
            <w:r w:rsidR="00E6692A">
              <w:rPr>
                <w:noProof/>
                <w:webHidden/>
              </w:rPr>
              <w:fldChar w:fldCharType="end"/>
            </w:r>
          </w:hyperlink>
        </w:p>
        <w:p w14:paraId="0A39561D" w14:textId="0AF3809B" w:rsidR="00E6692A" w:rsidRDefault="009537DE">
          <w:pPr>
            <w:pStyle w:val="TOC3"/>
            <w:rPr>
              <w:rFonts w:asciiTheme="minorHAnsi" w:eastAsiaTheme="minorEastAsia" w:hAnsiTheme="minorHAnsi" w:cstheme="minorBidi"/>
              <w:noProof/>
              <w:sz w:val="22"/>
              <w:szCs w:val="22"/>
              <w:bdr w:val="none" w:sz="0" w:space="0" w:color="auto"/>
              <w:lang w:val="es-BO" w:eastAsia="es-BO"/>
            </w:rPr>
          </w:pPr>
          <w:hyperlink w:anchor="_Toc69410067" w:history="1">
            <w:r w:rsidR="00E6692A" w:rsidRPr="000847A1">
              <w:rPr>
                <w:rStyle w:val="Hyperlink"/>
                <w:noProof/>
              </w:rPr>
              <w:t>2. Guarantee of competence</w:t>
            </w:r>
            <w:r w:rsidR="00E6692A">
              <w:rPr>
                <w:noProof/>
                <w:webHidden/>
              </w:rPr>
              <w:tab/>
            </w:r>
            <w:r w:rsidR="00E6692A">
              <w:rPr>
                <w:noProof/>
                <w:webHidden/>
              </w:rPr>
              <w:fldChar w:fldCharType="begin"/>
            </w:r>
            <w:r w:rsidR="00E6692A">
              <w:rPr>
                <w:noProof/>
                <w:webHidden/>
              </w:rPr>
              <w:instrText xml:space="preserve"> PAGEREF _Toc69410067 \h </w:instrText>
            </w:r>
            <w:r w:rsidR="00E6692A">
              <w:rPr>
                <w:noProof/>
                <w:webHidden/>
              </w:rPr>
            </w:r>
            <w:r w:rsidR="00E6692A">
              <w:rPr>
                <w:noProof/>
                <w:webHidden/>
              </w:rPr>
              <w:fldChar w:fldCharType="separate"/>
            </w:r>
            <w:r>
              <w:rPr>
                <w:noProof/>
                <w:webHidden/>
              </w:rPr>
              <w:t>13</w:t>
            </w:r>
            <w:r w:rsidR="00E6692A">
              <w:rPr>
                <w:noProof/>
                <w:webHidden/>
              </w:rPr>
              <w:fldChar w:fldCharType="end"/>
            </w:r>
          </w:hyperlink>
        </w:p>
        <w:p w14:paraId="54A9461D" w14:textId="2DB90B4D" w:rsidR="00E6692A" w:rsidRDefault="009537DE">
          <w:pPr>
            <w:pStyle w:val="TOC3"/>
            <w:rPr>
              <w:rFonts w:asciiTheme="minorHAnsi" w:eastAsiaTheme="minorEastAsia" w:hAnsiTheme="minorHAnsi" w:cstheme="minorBidi"/>
              <w:noProof/>
              <w:sz w:val="22"/>
              <w:szCs w:val="22"/>
              <w:bdr w:val="none" w:sz="0" w:space="0" w:color="auto"/>
              <w:lang w:val="es-BO" w:eastAsia="es-BO"/>
            </w:rPr>
          </w:pPr>
          <w:hyperlink w:anchor="_Toc69410068" w:history="1">
            <w:r w:rsidR="00E6692A" w:rsidRPr="000847A1">
              <w:rPr>
                <w:rStyle w:val="Hyperlink"/>
                <w:noProof/>
              </w:rPr>
              <w:t>3. Principle of legality</w:t>
            </w:r>
            <w:r w:rsidR="00E6692A">
              <w:rPr>
                <w:noProof/>
                <w:webHidden/>
              </w:rPr>
              <w:tab/>
            </w:r>
            <w:r w:rsidR="00E6692A">
              <w:rPr>
                <w:noProof/>
                <w:webHidden/>
              </w:rPr>
              <w:fldChar w:fldCharType="begin"/>
            </w:r>
            <w:r w:rsidR="00E6692A">
              <w:rPr>
                <w:noProof/>
                <w:webHidden/>
              </w:rPr>
              <w:instrText xml:space="preserve"> PAGEREF _Toc69410068 \h </w:instrText>
            </w:r>
            <w:r w:rsidR="00E6692A">
              <w:rPr>
                <w:noProof/>
                <w:webHidden/>
              </w:rPr>
            </w:r>
            <w:r w:rsidR="00E6692A">
              <w:rPr>
                <w:noProof/>
                <w:webHidden/>
              </w:rPr>
              <w:fldChar w:fldCharType="separate"/>
            </w:r>
            <w:r>
              <w:rPr>
                <w:noProof/>
                <w:webHidden/>
              </w:rPr>
              <w:t>14</w:t>
            </w:r>
            <w:r w:rsidR="00E6692A">
              <w:rPr>
                <w:noProof/>
                <w:webHidden/>
              </w:rPr>
              <w:fldChar w:fldCharType="end"/>
            </w:r>
          </w:hyperlink>
        </w:p>
        <w:p w14:paraId="7CF3AD7C" w14:textId="48AA082D" w:rsidR="00E6692A" w:rsidRDefault="009537DE">
          <w:pPr>
            <w:pStyle w:val="TOC3"/>
            <w:rPr>
              <w:rFonts w:asciiTheme="minorHAnsi" w:eastAsiaTheme="minorEastAsia" w:hAnsiTheme="minorHAnsi" w:cstheme="minorBidi"/>
              <w:noProof/>
              <w:sz w:val="22"/>
              <w:szCs w:val="22"/>
              <w:bdr w:val="none" w:sz="0" w:space="0" w:color="auto"/>
              <w:lang w:val="es-BO" w:eastAsia="es-BO"/>
            </w:rPr>
          </w:pPr>
          <w:hyperlink w:anchor="_Toc69410069" w:history="1">
            <w:r w:rsidR="00E6692A" w:rsidRPr="000847A1">
              <w:rPr>
                <w:rStyle w:val="Hyperlink"/>
                <w:noProof/>
              </w:rPr>
              <w:t>4. Right of defense and right to duly substantiated decisions</w:t>
            </w:r>
            <w:r w:rsidR="00E6692A">
              <w:rPr>
                <w:noProof/>
                <w:webHidden/>
              </w:rPr>
              <w:tab/>
            </w:r>
            <w:r w:rsidR="00E6692A">
              <w:rPr>
                <w:noProof/>
                <w:webHidden/>
              </w:rPr>
              <w:fldChar w:fldCharType="begin"/>
            </w:r>
            <w:r w:rsidR="00E6692A">
              <w:rPr>
                <w:noProof/>
                <w:webHidden/>
              </w:rPr>
              <w:instrText xml:space="preserve"> PAGEREF _Toc69410069 \h </w:instrText>
            </w:r>
            <w:r w:rsidR="00E6692A">
              <w:rPr>
                <w:noProof/>
                <w:webHidden/>
              </w:rPr>
            </w:r>
            <w:r w:rsidR="00E6692A">
              <w:rPr>
                <w:noProof/>
                <w:webHidden/>
              </w:rPr>
              <w:fldChar w:fldCharType="separate"/>
            </w:r>
            <w:r>
              <w:rPr>
                <w:noProof/>
                <w:webHidden/>
              </w:rPr>
              <w:t>15</w:t>
            </w:r>
            <w:r w:rsidR="00E6692A">
              <w:rPr>
                <w:noProof/>
                <w:webHidden/>
              </w:rPr>
              <w:fldChar w:fldCharType="end"/>
            </w:r>
          </w:hyperlink>
        </w:p>
        <w:p w14:paraId="2B535DEB" w14:textId="67839F19" w:rsidR="00E6692A" w:rsidRDefault="009537DE">
          <w:pPr>
            <w:pStyle w:val="TOC3"/>
            <w:rPr>
              <w:rFonts w:asciiTheme="minorHAnsi" w:eastAsiaTheme="minorEastAsia" w:hAnsiTheme="minorHAnsi" w:cstheme="minorBidi"/>
              <w:noProof/>
              <w:sz w:val="22"/>
              <w:szCs w:val="22"/>
              <w:bdr w:val="none" w:sz="0" w:space="0" w:color="auto"/>
              <w:lang w:val="es-BO" w:eastAsia="es-BO"/>
            </w:rPr>
          </w:pPr>
          <w:hyperlink w:anchor="_Toc69410070" w:history="1">
            <w:r w:rsidR="00E6692A" w:rsidRPr="000847A1">
              <w:rPr>
                <w:rStyle w:val="Hyperlink"/>
                <w:noProof/>
              </w:rPr>
              <w:t>5. Right to judicial protection and right to judicial guarantees</w:t>
            </w:r>
            <w:r w:rsidR="00E6692A">
              <w:rPr>
                <w:noProof/>
                <w:webHidden/>
              </w:rPr>
              <w:tab/>
            </w:r>
            <w:r w:rsidR="00E6692A">
              <w:rPr>
                <w:noProof/>
                <w:webHidden/>
              </w:rPr>
              <w:fldChar w:fldCharType="begin"/>
            </w:r>
            <w:r w:rsidR="00E6692A">
              <w:rPr>
                <w:noProof/>
                <w:webHidden/>
              </w:rPr>
              <w:instrText xml:space="preserve"> PAGEREF _Toc69410070 \h </w:instrText>
            </w:r>
            <w:r w:rsidR="00E6692A">
              <w:rPr>
                <w:noProof/>
                <w:webHidden/>
              </w:rPr>
            </w:r>
            <w:r w:rsidR="00E6692A">
              <w:rPr>
                <w:noProof/>
                <w:webHidden/>
              </w:rPr>
              <w:fldChar w:fldCharType="separate"/>
            </w:r>
            <w:r>
              <w:rPr>
                <w:noProof/>
                <w:webHidden/>
              </w:rPr>
              <w:t>18</w:t>
            </w:r>
            <w:r w:rsidR="00E6692A">
              <w:rPr>
                <w:noProof/>
                <w:webHidden/>
              </w:rPr>
              <w:fldChar w:fldCharType="end"/>
            </w:r>
          </w:hyperlink>
        </w:p>
        <w:p w14:paraId="3846BB31" w14:textId="7E4AF2D2" w:rsidR="00E6692A" w:rsidRDefault="009537DE">
          <w:pPr>
            <w:pStyle w:val="TOC3"/>
            <w:rPr>
              <w:rFonts w:asciiTheme="minorHAnsi" w:eastAsiaTheme="minorEastAsia" w:hAnsiTheme="minorHAnsi" w:cstheme="minorBidi"/>
              <w:noProof/>
              <w:sz w:val="22"/>
              <w:szCs w:val="22"/>
              <w:bdr w:val="none" w:sz="0" w:space="0" w:color="auto"/>
              <w:lang w:val="es-BO" w:eastAsia="es-BO"/>
            </w:rPr>
          </w:pPr>
          <w:hyperlink w:anchor="_Toc69410071" w:history="1">
            <w:r w:rsidR="00E6692A" w:rsidRPr="000847A1">
              <w:rPr>
                <w:rStyle w:val="Hyperlink"/>
                <w:noProof/>
              </w:rPr>
              <w:t>6. Political rights</w:t>
            </w:r>
            <w:r w:rsidR="00E6692A">
              <w:rPr>
                <w:noProof/>
                <w:webHidden/>
              </w:rPr>
              <w:tab/>
            </w:r>
            <w:r w:rsidR="00E6692A">
              <w:rPr>
                <w:noProof/>
                <w:webHidden/>
              </w:rPr>
              <w:fldChar w:fldCharType="begin"/>
            </w:r>
            <w:r w:rsidR="00E6692A">
              <w:rPr>
                <w:noProof/>
                <w:webHidden/>
              </w:rPr>
              <w:instrText xml:space="preserve"> PAGEREF _Toc69410071 \h </w:instrText>
            </w:r>
            <w:r w:rsidR="00E6692A">
              <w:rPr>
                <w:noProof/>
                <w:webHidden/>
              </w:rPr>
            </w:r>
            <w:r w:rsidR="00E6692A">
              <w:rPr>
                <w:noProof/>
                <w:webHidden/>
              </w:rPr>
              <w:fldChar w:fldCharType="separate"/>
            </w:r>
            <w:r>
              <w:rPr>
                <w:noProof/>
                <w:webHidden/>
              </w:rPr>
              <w:t>19</w:t>
            </w:r>
            <w:r w:rsidR="00E6692A">
              <w:rPr>
                <w:noProof/>
                <w:webHidden/>
              </w:rPr>
              <w:fldChar w:fldCharType="end"/>
            </w:r>
          </w:hyperlink>
        </w:p>
        <w:p w14:paraId="0C8810D5" w14:textId="1E5FFBB2" w:rsidR="00E6692A" w:rsidRDefault="009537DE">
          <w:pPr>
            <w:pStyle w:val="TOC2"/>
            <w:rPr>
              <w:rFonts w:asciiTheme="minorHAnsi" w:eastAsiaTheme="minorEastAsia" w:hAnsiTheme="minorHAnsi" w:cstheme="minorBidi"/>
              <w:noProof/>
              <w:sz w:val="22"/>
              <w:szCs w:val="22"/>
              <w:bdr w:val="none" w:sz="0" w:space="0" w:color="auto"/>
              <w:lang w:val="es-BO" w:eastAsia="es-BO"/>
            </w:rPr>
          </w:pPr>
          <w:hyperlink w:anchor="_Toc69410072" w:history="1">
            <w:r w:rsidR="00E6692A" w:rsidRPr="000847A1">
              <w:rPr>
                <w:rStyle w:val="Hyperlink"/>
                <w:noProof/>
              </w:rPr>
              <w:t>C.</w:t>
            </w:r>
            <w:r w:rsidR="00E6692A">
              <w:rPr>
                <w:rFonts w:asciiTheme="minorHAnsi" w:eastAsiaTheme="minorEastAsia" w:hAnsiTheme="minorHAnsi" w:cstheme="minorBidi"/>
                <w:noProof/>
                <w:sz w:val="22"/>
                <w:szCs w:val="22"/>
                <w:bdr w:val="none" w:sz="0" w:space="0" w:color="auto"/>
                <w:lang w:val="es-BO" w:eastAsia="es-BO"/>
              </w:rPr>
              <w:tab/>
            </w:r>
            <w:r w:rsidR="00E6692A" w:rsidRPr="000847A1">
              <w:rPr>
                <w:rStyle w:val="Hyperlink"/>
                <w:noProof/>
              </w:rPr>
              <w:t>Right to personal integrity</w:t>
            </w:r>
            <w:r w:rsidR="00E6692A">
              <w:rPr>
                <w:noProof/>
                <w:webHidden/>
              </w:rPr>
              <w:tab/>
            </w:r>
            <w:r w:rsidR="00E6692A">
              <w:rPr>
                <w:noProof/>
                <w:webHidden/>
              </w:rPr>
              <w:fldChar w:fldCharType="begin"/>
            </w:r>
            <w:r w:rsidR="00E6692A">
              <w:rPr>
                <w:noProof/>
                <w:webHidden/>
              </w:rPr>
              <w:instrText xml:space="preserve"> PAGEREF _Toc69410072 \h </w:instrText>
            </w:r>
            <w:r w:rsidR="00E6692A">
              <w:rPr>
                <w:noProof/>
                <w:webHidden/>
              </w:rPr>
            </w:r>
            <w:r w:rsidR="00E6692A">
              <w:rPr>
                <w:noProof/>
                <w:webHidden/>
              </w:rPr>
              <w:fldChar w:fldCharType="separate"/>
            </w:r>
            <w:r>
              <w:rPr>
                <w:noProof/>
                <w:webHidden/>
              </w:rPr>
              <w:t>20</w:t>
            </w:r>
            <w:r w:rsidR="00E6692A">
              <w:rPr>
                <w:noProof/>
                <w:webHidden/>
              </w:rPr>
              <w:fldChar w:fldCharType="end"/>
            </w:r>
          </w:hyperlink>
        </w:p>
        <w:p w14:paraId="5AFA8089" w14:textId="4BA445BE" w:rsidR="00E6692A" w:rsidRDefault="009537DE">
          <w:pPr>
            <w:pStyle w:val="TOC1"/>
            <w:tabs>
              <w:tab w:val="right" w:leader="dot" w:pos="9350"/>
            </w:tabs>
            <w:rPr>
              <w:rFonts w:eastAsiaTheme="minorEastAsia" w:cstheme="minorBidi"/>
              <w:noProof/>
              <w:szCs w:val="22"/>
              <w:bdr w:val="none" w:sz="0" w:space="0" w:color="auto"/>
              <w:lang w:val="es-BO" w:eastAsia="es-BO"/>
            </w:rPr>
          </w:pPr>
          <w:hyperlink w:anchor="_Toc69410073" w:history="1">
            <w:r w:rsidR="00E6692A" w:rsidRPr="000847A1">
              <w:rPr>
                <w:rStyle w:val="Hyperlink"/>
                <w:noProof/>
              </w:rPr>
              <w:t>V. CONCLUSIONS AND RECOMMENDATIONS</w:t>
            </w:r>
            <w:r w:rsidR="00E6692A">
              <w:rPr>
                <w:noProof/>
                <w:webHidden/>
              </w:rPr>
              <w:tab/>
            </w:r>
            <w:r w:rsidR="00E6692A">
              <w:rPr>
                <w:noProof/>
                <w:webHidden/>
              </w:rPr>
              <w:fldChar w:fldCharType="begin"/>
            </w:r>
            <w:r w:rsidR="00E6692A">
              <w:rPr>
                <w:noProof/>
                <w:webHidden/>
              </w:rPr>
              <w:instrText xml:space="preserve"> PAGEREF _Toc69410073 \h </w:instrText>
            </w:r>
            <w:r w:rsidR="00E6692A">
              <w:rPr>
                <w:noProof/>
                <w:webHidden/>
              </w:rPr>
            </w:r>
            <w:r w:rsidR="00E6692A">
              <w:rPr>
                <w:noProof/>
                <w:webHidden/>
              </w:rPr>
              <w:fldChar w:fldCharType="separate"/>
            </w:r>
            <w:r>
              <w:rPr>
                <w:noProof/>
                <w:webHidden/>
              </w:rPr>
              <w:t>21</w:t>
            </w:r>
            <w:r w:rsidR="00E6692A">
              <w:rPr>
                <w:noProof/>
                <w:webHidden/>
              </w:rPr>
              <w:fldChar w:fldCharType="end"/>
            </w:r>
          </w:hyperlink>
        </w:p>
        <w:p w14:paraId="0BD65D5F" w14:textId="5721FAB5" w:rsidR="00A92D8C" w:rsidRDefault="00A92D8C">
          <w:r w:rsidRPr="00A92D8C">
            <w:rPr>
              <w:rFonts w:asciiTheme="majorHAnsi" w:hAnsiTheme="majorHAnsi"/>
              <w:b/>
              <w:bCs/>
              <w:noProof/>
              <w:sz w:val="20"/>
              <w:szCs w:val="20"/>
            </w:rPr>
            <w:fldChar w:fldCharType="end"/>
          </w:r>
        </w:p>
      </w:sdtContent>
    </w:sdt>
    <w:p w14:paraId="39C8BF0F" w14:textId="77777777" w:rsidR="00E909AA" w:rsidRPr="00C51F6C" w:rsidRDefault="006125C3" w:rsidP="00E909AA">
      <w:pPr>
        <w:tabs>
          <w:tab w:val="left" w:pos="720"/>
          <w:tab w:val="left" w:pos="1440"/>
          <w:tab w:val="right" w:leader="dot" w:pos="9350"/>
        </w:tabs>
        <w:spacing w:after="100"/>
        <w:ind w:left="720" w:hanging="720"/>
        <w:rPr>
          <w:rFonts w:asciiTheme="majorHAnsi" w:eastAsia="Times New Roman" w:hAnsiTheme="majorHAnsi"/>
          <w:b/>
          <w:noProof/>
          <w:sz w:val="20"/>
          <w:szCs w:val="20"/>
          <w:bdr w:val="none" w:sz="0" w:space="0" w:color="auto"/>
        </w:rPr>
      </w:pPr>
      <w:r>
        <w:rPr>
          <w:rFonts w:asciiTheme="majorHAnsi" w:hAnsiTheme="majorHAnsi"/>
          <w:b/>
          <w:bCs/>
          <w:sz w:val="20"/>
          <w:szCs w:val="20"/>
          <w:lang w:val="en"/>
        </w:rPr>
        <w:fldChar w:fldCharType="begin"/>
      </w:r>
      <w:r>
        <w:rPr>
          <w:rFonts w:asciiTheme="majorHAnsi" w:hAnsiTheme="majorHAnsi"/>
          <w:b/>
          <w:sz w:val="20"/>
          <w:szCs w:val="20"/>
        </w:rPr>
        <w:instrText xml:space="preserve"> TOC \o "1-7" \h \z \u </w:instrText>
      </w:r>
      <w:r>
        <w:rPr>
          <w:rFonts w:asciiTheme="majorHAnsi" w:hAnsiTheme="majorHAnsi"/>
          <w:b/>
          <w:sz w:val="20"/>
          <w:szCs w:val="20"/>
        </w:rPr>
        <w:fldChar w:fldCharType="separate"/>
      </w:r>
    </w:p>
    <w:p w14:paraId="6556691B" w14:textId="77777777" w:rsidR="006125C3" w:rsidRPr="00C51F6C" w:rsidRDefault="006125C3" w:rsidP="006125C3">
      <w:pPr>
        <w:tabs>
          <w:tab w:val="left" w:pos="720"/>
          <w:tab w:val="left" w:pos="1440"/>
          <w:tab w:val="right" w:leader="dot" w:pos="9350"/>
        </w:tabs>
        <w:spacing w:after="100"/>
        <w:ind w:left="720" w:hanging="720"/>
        <w:rPr>
          <w:rFonts w:asciiTheme="majorHAnsi" w:eastAsia="Times New Roman" w:hAnsiTheme="majorHAnsi"/>
          <w:b/>
          <w:noProof/>
          <w:sz w:val="20"/>
          <w:szCs w:val="20"/>
          <w:bdr w:val="none" w:sz="0" w:space="0" w:color="auto"/>
        </w:rPr>
      </w:pPr>
    </w:p>
    <w:p w14:paraId="3F0B15AA" w14:textId="77777777" w:rsidR="008D768D" w:rsidRPr="00C51F6C" w:rsidRDefault="006125C3" w:rsidP="006125C3">
      <w:pPr>
        <w:tabs>
          <w:tab w:val="center" w:pos="5400"/>
        </w:tabs>
        <w:suppressAutoHyphens/>
        <w:spacing w:line="276" w:lineRule="auto"/>
        <w:rPr>
          <w:rFonts w:asciiTheme="majorHAnsi" w:hAnsiTheme="majorHAnsi"/>
          <w:sz w:val="20"/>
          <w:szCs w:val="20"/>
        </w:rPr>
      </w:pPr>
      <w:r>
        <w:rPr>
          <w:rFonts w:asciiTheme="majorHAnsi" w:hAnsiTheme="majorHAnsi"/>
          <w:b/>
          <w:sz w:val="20"/>
          <w:szCs w:val="20"/>
        </w:rPr>
        <w:fldChar w:fldCharType="end"/>
      </w:r>
    </w:p>
    <w:p w14:paraId="274AE0F8" w14:textId="77777777" w:rsidR="00722C9F" w:rsidRPr="00C51F6C" w:rsidRDefault="00722C9F">
      <w:pPr>
        <w:rPr>
          <w:rFonts w:ascii="Cambria" w:hAnsi="Cambria" w:cs="Calibri"/>
          <w:sz w:val="20"/>
          <w:szCs w:val="20"/>
        </w:rPr>
      </w:pPr>
      <w:r>
        <w:rPr>
          <w:rFonts w:ascii="Cambria" w:hAnsi="Cambria" w:cs="Calibri"/>
          <w:sz w:val="20"/>
          <w:szCs w:val="20"/>
          <w:lang w:val="en"/>
        </w:rPr>
        <w:br w:type="page"/>
      </w:r>
    </w:p>
    <w:p w14:paraId="1C6A36B5" w14:textId="02C3F233" w:rsidR="00E6692A" w:rsidRDefault="00C269CB" w:rsidP="00E6692A">
      <w:pPr>
        <w:pStyle w:val="Heading1"/>
      </w:pPr>
      <w:bookmarkStart w:id="2" w:name="_Toc69410053"/>
      <w:r>
        <w:lastRenderedPageBreak/>
        <w:t>I</w:t>
      </w:r>
      <w:r w:rsidR="00E6692A">
        <w:t xml:space="preserve">. </w:t>
      </w:r>
      <w:r w:rsidR="00E6692A" w:rsidRPr="00E6692A">
        <w:t xml:space="preserve"> </w:t>
      </w:r>
      <w:r w:rsidR="00E6692A">
        <w:t>INTRODUCTION</w:t>
      </w:r>
      <w:bookmarkEnd w:id="2"/>
    </w:p>
    <w:p w14:paraId="322F405B" w14:textId="77777777" w:rsidR="00E6692A" w:rsidRPr="00E6692A" w:rsidRDefault="00E6692A" w:rsidP="00E6692A">
      <w:pPr>
        <w:rPr>
          <w:lang w:val="en" w:eastAsia="es-ES"/>
        </w:rPr>
      </w:pPr>
    </w:p>
    <w:p w14:paraId="31C184DD" w14:textId="77777777" w:rsidR="00E6692A" w:rsidRPr="00176F4A" w:rsidRDefault="00E6692A" w:rsidP="00E6692A">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color w:val="000000" w:themeColor="text1"/>
          <w:sz w:val="20"/>
          <w:szCs w:val="20"/>
        </w:rPr>
      </w:pPr>
      <w:r w:rsidRPr="00176F4A">
        <w:rPr>
          <w:rFonts w:asciiTheme="majorHAnsi" w:hAnsiTheme="majorHAnsi"/>
          <w:sz w:val="20"/>
          <w:szCs w:val="20"/>
        </w:rPr>
        <w:t xml:space="preserve">On February 5, 2013, the Inter-American Commission on Human Rights (hereinafter “the Inter-American Commission,” “the Commission,” or “the IACHR”) received a petition lodged by José Antonio Gutiérrez Navas, Rosalinda Cruz Sequeira, José Francisco Ruiz Gaekel, Gustavo Enrique Bustillo Palma, and the </w:t>
      </w:r>
      <w:r w:rsidRPr="00176F4A">
        <w:rPr>
          <w:rFonts w:asciiTheme="majorHAnsi" w:hAnsiTheme="majorHAnsi"/>
          <w:i/>
          <w:iCs/>
          <w:sz w:val="20"/>
          <w:szCs w:val="20"/>
        </w:rPr>
        <w:t>Centro Latinoamericano de Derechos Humanos</w:t>
      </w:r>
      <w:r w:rsidRPr="00176F4A">
        <w:rPr>
          <w:rFonts w:asciiTheme="majorHAnsi" w:hAnsiTheme="majorHAnsi"/>
          <w:sz w:val="20"/>
          <w:szCs w:val="20"/>
        </w:rPr>
        <w:t xml:space="preserve"> (hereinafter “the petitioners”)</w:t>
      </w:r>
      <w:r>
        <w:rPr>
          <w:rFonts w:asciiTheme="majorHAnsi" w:hAnsiTheme="majorHAnsi"/>
          <w:sz w:val="20"/>
          <w:szCs w:val="20"/>
        </w:rPr>
        <w:t xml:space="preserve"> alleging </w:t>
      </w:r>
      <w:r w:rsidRPr="00176F4A">
        <w:rPr>
          <w:rFonts w:asciiTheme="majorHAnsi" w:hAnsiTheme="majorHAnsi"/>
          <w:sz w:val="20"/>
          <w:szCs w:val="20"/>
        </w:rPr>
        <w:t>the international responsibility of Honduras (hereinafter “the Honduran State,” “the State,” or “Honduras”) to the detriment of José Antonio Gutiérrez Navas, Rosalinda Cruz Sequeira, José Francisco Ruiz Gaekel, and Gustavo Enrique Bustillo Palma (hereinafter “the alleged victims”) for their purported arbitrary and illegal removal from office as justices of the Constitutional Chamber of the Supreme Court</w:t>
      </w:r>
      <w:r>
        <w:rPr>
          <w:rFonts w:asciiTheme="majorHAnsi" w:hAnsiTheme="majorHAnsi"/>
          <w:sz w:val="20"/>
          <w:szCs w:val="20"/>
        </w:rPr>
        <w:t xml:space="preserve"> of Justice</w:t>
      </w:r>
      <w:r w:rsidRPr="00176F4A">
        <w:rPr>
          <w:rFonts w:asciiTheme="majorHAnsi" w:hAnsiTheme="majorHAnsi"/>
          <w:sz w:val="20"/>
          <w:szCs w:val="20"/>
        </w:rPr>
        <w:t xml:space="preserve">, in an act of political retaliation by the Honduran National Congress. </w:t>
      </w:r>
    </w:p>
    <w:p w14:paraId="6812D438" w14:textId="77777777" w:rsidR="00E6692A" w:rsidRPr="00176F4A" w:rsidRDefault="00E6692A" w:rsidP="00E6692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color w:val="000000" w:themeColor="text1"/>
          <w:sz w:val="20"/>
          <w:szCs w:val="20"/>
        </w:rPr>
      </w:pPr>
    </w:p>
    <w:p w14:paraId="3564628E" w14:textId="6A5C1A11" w:rsidR="00E6692A" w:rsidRPr="00E6692A" w:rsidRDefault="00E6692A" w:rsidP="00E6692A">
      <w:pPr>
        <w:pStyle w:val="parrafos"/>
        <w:rPr>
          <w:lang w:val="en-US"/>
        </w:rPr>
      </w:pPr>
      <w:r w:rsidRPr="00176F4A">
        <w:rPr>
          <w:lang w:val="en-US"/>
        </w:rPr>
        <w:t xml:space="preserve">The Commission approved Admissibility Report No. 83/18 </w:t>
      </w:r>
      <w:r w:rsidRPr="00F7005E">
        <w:rPr>
          <w:lang w:val="en-US"/>
        </w:rPr>
        <w:t>o</w:t>
      </w:r>
      <w:r>
        <w:rPr>
          <w:lang w:val="en-US"/>
        </w:rPr>
        <w:t>n</w:t>
      </w:r>
      <w:r w:rsidRPr="00F7005E">
        <w:rPr>
          <w:lang w:val="en-US"/>
        </w:rPr>
        <w:t xml:space="preserve"> July</w:t>
      </w:r>
      <w:r w:rsidRPr="00176F4A">
        <w:rPr>
          <w:lang w:val="en-US"/>
        </w:rPr>
        <w:t xml:space="preserve"> 17</w:t>
      </w:r>
      <w:r w:rsidRPr="00F7005E">
        <w:rPr>
          <w:lang w:val="en-US"/>
        </w:rPr>
        <w:t xml:space="preserve">, </w:t>
      </w:r>
      <w:r w:rsidRPr="00176F4A">
        <w:rPr>
          <w:lang w:val="en-US"/>
        </w:rPr>
        <w:t>2018</w:t>
      </w:r>
      <w:r w:rsidRPr="00F7005E">
        <w:rPr>
          <w:lang w:val="en-US"/>
        </w:rPr>
        <w:t>.</w:t>
      </w:r>
      <w:r w:rsidRPr="00836EFD">
        <w:rPr>
          <w:rStyle w:val="FootnoteReference"/>
        </w:rPr>
        <w:footnoteReference w:id="2"/>
      </w:r>
      <w:r w:rsidRPr="00176F4A">
        <w:rPr>
          <w:lang w:val="en-US"/>
        </w:rPr>
        <w:t xml:space="preserve"> </w:t>
      </w:r>
      <w:r w:rsidRPr="00F7005E">
        <w:rPr>
          <w:lang w:val="en-US"/>
        </w:rPr>
        <w:t>On July 20, 2018, the Commission notified the parties of the report and</w:t>
      </w:r>
      <w:r w:rsidRPr="00F7005E">
        <w:rPr>
          <w:color w:val="auto"/>
          <w:lang w:val="en-US"/>
        </w:rPr>
        <w:t xml:space="preserve"> </w:t>
      </w:r>
      <w:r w:rsidRPr="009F62D6">
        <w:rPr>
          <w:color w:val="auto"/>
          <w:lang w:val="en-US"/>
        </w:rPr>
        <w:t xml:space="preserve">made itself available to them to reach a friendly settlement, but </w:t>
      </w:r>
      <w:r>
        <w:rPr>
          <w:color w:val="auto"/>
          <w:lang w:val="en-US"/>
        </w:rPr>
        <w:t xml:space="preserve">the conditions were not in place to initiate such a proceeding. </w:t>
      </w:r>
      <w:r w:rsidRPr="009F62D6">
        <w:rPr>
          <w:color w:val="auto"/>
          <w:lang w:val="en-US"/>
        </w:rPr>
        <w:t xml:space="preserve">The parties had the requisite time frames in which to submit additional comments on the merits. All the information the Commission received was duly </w:t>
      </w:r>
      <w:r>
        <w:rPr>
          <w:color w:val="auto"/>
          <w:lang w:val="en-US"/>
        </w:rPr>
        <w:t>forwarded to</w:t>
      </w:r>
      <w:r w:rsidRPr="009F62D6">
        <w:rPr>
          <w:color w:val="auto"/>
          <w:lang w:val="en-US"/>
        </w:rPr>
        <w:t xml:space="preserve"> the parties.</w:t>
      </w:r>
    </w:p>
    <w:p w14:paraId="6A60E174" w14:textId="77777777" w:rsidR="00E6692A" w:rsidRPr="00F7005E" w:rsidRDefault="00E6692A" w:rsidP="00E6692A">
      <w:pPr>
        <w:pStyle w:val="parrafos"/>
        <w:numPr>
          <w:ilvl w:val="0"/>
          <w:numId w:val="0"/>
        </w:numPr>
        <w:rPr>
          <w:lang w:val="en-US"/>
        </w:rPr>
      </w:pPr>
    </w:p>
    <w:p w14:paraId="59C4B4E2" w14:textId="77777777" w:rsidR="00E6692A" w:rsidRPr="00EE18B6" w:rsidRDefault="00E6692A" w:rsidP="00E6692A">
      <w:pPr>
        <w:pStyle w:val="Heading1"/>
      </w:pPr>
      <w:bookmarkStart w:id="3" w:name="_Toc69410054"/>
      <w:r>
        <w:t xml:space="preserve">II. </w:t>
      </w:r>
      <w:r w:rsidRPr="00EE18B6">
        <w:t>POSITIONS OF THE PARTIES</w:t>
      </w:r>
      <w:bookmarkEnd w:id="3"/>
    </w:p>
    <w:p w14:paraId="67259EE0" w14:textId="77777777" w:rsidR="00E6692A" w:rsidRPr="00F7005E" w:rsidRDefault="00E6692A" w:rsidP="00E6692A"/>
    <w:p w14:paraId="294CE78B" w14:textId="77777777" w:rsidR="00E6692A" w:rsidRPr="00DB55CD" w:rsidRDefault="00E6692A" w:rsidP="00E6692A">
      <w:pPr>
        <w:pStyle w:val="Heading2"/>
        <w:numPr>
          <w:ilvl w:val="0"/>
          <w:numId w:val="66"/>
        </w:numPr>
        <w:jc w:val="left"/>
      </w:pPr>
      <w:bookmarkStart w:id="4" w:name="_Toc69410055"/>
      <w:r>
        <w:t>Petitioners</w:t>
      </w:r>
      <w:bookmarkEnd w:id="4"/>
    </w:p>
    <w:p w14:paraId="065B961E" w14:textId="77777777" w:rsidR="00E6692A" w:rsidRPr="00DB55CD" w:rsidRDefault="00E6692A" w:rsidP="00E6692A">
      <w:pPr>
        <w:tabs>
          <w:tab w:val="left" w:pos="360"/>
        </w:tabs>
        <w:suppressAutoHyphens/>
        <w:rPr>
          <w:rFonts w:asciiTheme="majorHAnsi" w:hAnsiTheme="majorHAnsi"/>
          <w:sz w:val="20"/>
          <w:szCs w:val="20"/>
          <w:lang w:val="es-ES_tradnl"/>
        </w:rPr>
      </w:pPr>
    </w:p>
    <w:p w14:paraId="029AAF7B" w14:textId="77777777" w:rsidR="00E6692A" w:rsidRPr="00230DD7" w:rsidRDefault="00E6692A" w:rsidP="00E6692A">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color w:val="000000" w:themeColor="text1"/>
          <w:sz w:val="20"/>
          <w:szCs w:val="20"/>
        </w:rPr>
      </w:pPr>
      <w:r w:rsidRPr="00230DD7">
        <w:rPr>
          <w:rFonts w:asciiTheme="majorHAnsi" w:hAnsiTheme="majorHAnsi"/>
          <w:color w:val="000000" w:themeColor="text1"/>
          <w:sz w:val="20"/>
          <w:szCs w:val="20"/>
        </w:rPr>
        <w:t xml:space="preserve">The petitioners indicate that the alleged victims were justices of the Constitutional </w:t>
      </w:r>
      <w:r w:rsidRPr="00230DD7">
        <w:rPr>
          <w:rFonts w:asciiTheme="majorHAnsi" w:hAnsiTheme="majorHAnsi"/>
          <w:sz w:val="20"/>
          <w:szCs w:val="20"/>
        </w:rPr>
        <w:t>Chamber of the Supreme Court of</w:t>
      </w:r>
      <w:r w:rsidRPr="00230DD7">
        <w:rPr>
          <w:rFonts w:asciiTheme="majorHAnsi" w:hAnsiTheme="majorHAnsi"/>
          <w:color w:val="000000" w:themeColor="text1"/>
          <w:sz w:val="20"/>
          <w:szCs w:val="20"/>
        </w:rPr>
        <w:t xml:space="preserve"> Honduras. </w:t>
      </w:r>
    </w:p>
    <w:p w14:paraId="034AA61A" w14:textId="77777777" w:rsidR="00E6692A" w:rsidRPr="00230DD7" w:rsidRDefault="00E6692A" w:rsidP="00E6692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color w:val="000000" w:themeColor="text1"/>
          <w:sz w:val="20"/>
          <w:szCs w:val="20"/>
        </w:rPr>
      </w:pPr>
    </w:p>
    <w:p w14:paraId="61D2F190" w14:textId="77777777" w:rsidR="00E6692A" w:rsidRPr="006F7B04" w:rsidRDefault="00E6692A" w:rsidP="00E6692A">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color w:val="000000" w:themeColor="text1"/>
          <w:sz w:val="20"/>
          <w:szCs w:val="20"/>
        </w:rPr>
      </w:pPr>
      <w:r w:rsidRPr="00A71530">
        <w:rPr>
          <w:rFonts w:asciiTheme="majorHAnsi" w:hAnsiTheme="majorHAnsi"/>
          <w:sz w:val="20"/>
          <w:szCs w:val="20"/>
        </w:rPr>
        <w:t xml:space="preserve">They </w:t>
      </w:r>
      <w:r>
        <w:rPr>
          <w:rFonts w:asciiTheme="majorHAnsi" w:hAnsiTheme="majorHAnsi"/>
          <w:sz w:val="20"/>
          <w:szCs w:val="20"/>
        </w:rPr>
        <w:t>indicate</w:t>
      </w:r>
      <w:r w:rsidRPr="00A71530">
        <w:rPr>
          <w:rFonts w:asciiTheme="majorHAnsi" w:hAnsiTheme="majorHAnsi"/>
          <w:sz w:val="20"/>
          <w:szCs w:val="20"/>
        </w:rPr>
        <w:t xml:space="preserve"> that the </w:t>
      </w:r>
      <w:r w:rsidRPr="00D202E5">
        <w:rPr>
          <w:rFonts w:asciiTheme="majorHAnsi" w:hAnsiTheme="majorHAnsi"/>
          <w:sz w:val="20"/>
          <w:szCs w:val="20"/>
        </w:rPr>
        <w:t>National Congress, by means of Decree No. 89-2012, passed the Special Law to Purge the Police Force of Corruption (</w:t>
      </w:r>
      <w:bookmarkStart w:id="5" w:name="_Hlk69146458"/>
      <w:r w:rsidRPr="009863A7">
        <w:rPr>
          <w:rFonts w:asciiTheme="majorHAnsi" w:hAnsiTheme="majorHAnsi"/>
          <w:i/>
          <w:iCs/>
          <w:sz w:val="20"/>
          <w:szCs w:val="20"/>
        </w:rPr>
        <w:t>Ley Especial de Depuración Policial</w:t>
      </w:r>
      <w:bookmarkEnd w:id="5"/>
      <w:r>
        <w:rPr>
          <w:rFonts w:asciiTheme="majorHAnsi" w:hAnsiTheme="majorHAnsi"/>
          <w:sz w:val="20"/>
          <w:szCs w:val="20"/>
        </w:rPr>
        <w:t>)</w:t>
      </w:r>
      <w:r w:rsidRPr="009863A7">
        <w:rPr>
          <w:rFonts w:asciiTheme="majorHAnsi" w:hAnsiTheme="majorHAnsi"/>
          <w:sz w:val="20"/>
          <w:szCs w:val="20"/>
        </w:rPr>
        <w:t xml:space="preserve">, which entered into </w:t>
      </w:r>
      <w:r>
        <w:rPr>
          <w:rFonts w:asciiTheme="majorHAnsi" w:hAnsiTheme="majorHAnsi"/>
          <w:sz w:val="20"/>
          <w:szCs w:val="20"/>
        </w:rPr>
        <w:t>force</w:t>
      </w:r>
      <w:r w:rsidRPr="009863A7">
        <w:rPr>
          <w:rFonts w:asciiTheme="majorHAnsi" w:hAnsiTheme="majorHAnsi"/>
          <w:sz w:val="20"/>
          <w:szCs w:val="20"/>
        </w:rPr>
        <w:t xml:space="preserve"> on May 25, 2012. They </w:t>
      </w:r>
      <w:r>
        <w:rPr>
          <w:rFonts w:asciiTheme="majorHAnsi" w:hAnsiTheme="majorHAnsi"/>
          <w:sz w:val="20"/>
          <w:szCs w:val="20"/>
        </w:rPr>
        <w:t>report</w:t>
      </w:r>
      <w:r w:rsidRPr="009863A7">
        <w:rPr>
          <w:rFonts w:asciiTheme="majorHAnsi" w:hAnsiTheme="majorHAnsi"/>
          <w:sz w:val="20"/>
          <w:szCs w:val="20"/>
        </w:rPr>
        <w:t xml:space="preserve"> th</w:t>
      </w:r>
      <w:r w:rsidRPr="00A71530">
        <w:rPr>
          <w:rFonts w:asciiTheme="majorHAnsi" w:hAnsiTheme="majorHAnsi"/>
          <w:sz w:val="20"/>
          <w:szCs w:val="20"/>
        </w:rPr>
        <w:t xml:space="preserve">at a number of citizens </w:t>
      </w:r>
      <w:r>
        <w:rPr>
          <w:rFonts w:asciiTheme="majorHAnsi" w:hAnsiTheme="majorHAnsi"/>
          <w:sz w:val="20"/>
          <w:szCs w:val="20"/>
        </w:rPr>
        <w:t>brought</w:t>
      </w:r>
      <w:r w:rsidRPr="00A71530">
        <w:rPr>
          <w:rFonts w:asciiTheme="majorHAnsi" w:hAnsiTheme="majorHAnsi"/>
          <w:sz w:val="20"/>
          <w:szCs w:val="20"/>
        </w:rPr>
        <w:t xml:space="preserve"> a constitutional complaint before the Constitutional Chamber, on grounds that the law violated provisions of the Honduran Constitution. They indicate that after the legal proceedings were completed, on November 27, 2012, the Constitutional Chamber voted on the </w:t>
      </w:r>
      <w:r>
        <w:rPr>
          <w:rFonts w:asciiTheme="majorHAnsi" w:hAnsiTheme="majorHAnsi"/>
          <w:sz w:val="20"/>
          <w:szCs w:val="20"/>
        </w:rPr>
        <w:t>matter</w:t>
      </w:r>
      <w:r w:rsidRPr="00A71530">
        <w:rPr>
          <w:rFonts w:asciiTheme="majorHAnsi" w:hAnsiTheme="majorHAnsi"/>
          <w:sz w:val="20"/>
          <w:szCs w:val="20"/>
        </w:rPr>
        <w:t xml:space="preserve"> but that </w:t>
      </w:r>
      <w:r w:rsidRPr="009A2D86">
        <w:rPr>
          <w:rFonts w:asciiTheme="majorHAnsi" w:hAnsiTheme="majorHAnsi"/>
          <w:sz w:val="20"/>
          <w:szCs w:val="20"/>
        </w:rPr>
        <w:t>the draft judgment did not</w:t>
      </w:r>
      <w:r>
        <w:rPr>
          <w:rFonts w:asciiTheme="majorHAnsi" w:hAnsiTheme="majorHAnsi"/>
          <w:sz w:val="20"/>
          <w:szCs w:val="20"/>
        </w:rPr>
        <w:t xml:space="preserve"> have the unanimous vote needed for it to be approved. </w:t>
      </w:r>
      <w:r w:rsidRPr="006F7B04">
        <w:rPr>
          <w:rFonts w:asciiTheme="majorHAnsi" w:hAnsiTheme="majorHAnsi"/>
          <w:sz w:val="20"/>
          <w:szCs w:val="20"/>
        </w:rPr>
        <w:t>They explain that the four alleged victims voted to declare that the aforementioned law was unconstitutional and that only one justice voted to declare i</w:t>
      </w:r>
      <w:r>
        <w:rPr>
          <w:rFonts w:asciiTheme="majorHAnsi" w:hAnsiTheme="majorHAnsi"/>
          <w:sz w:val="20"/>
          <w:szCs w:val="20"/>
        </w:rPr>
        <w:t xml:space="preserve">t constitutional. </w:t>
      </w:r>
      <w:r w:rsidRPr="006F7B04">
        <w:rPr>
          <w:rFonts w:asciiTheme="majorHAnsi" w:hAnsiTheme="majorHAnsi"/>
          <w:sz w:val="20"/>
          <w:szCs w:val="20"/>
        </w:rPr>
        <w:t>Therefore, pursuant to established procedure, the complaint was submitted to the Plenary of the Supreme Cour</w:t>
      </w:r>
      <w:r>
        <w:rPr>
          <w:rFonts w:asciiTheme="majorHAnsi" w:hAnsiTheme="majorHAnsi"/>
          <w:sz w:val="20"/>
          <w:szCs w:val="20"/>
        </w:rPr>
        <w:t>t for its decision.</w:t>
      </w:r>
      <w:r w:rsidRPr="006F7B04">
        <w:rPr>
          <w:rFonts w:asciiTheme="majorHAnsi" w:hAnsiTheme="majorHAnsi"/>
          <w:sz w:val="20"/>
          <w:szCs w:val="20"/>
        </w:rPr>
        <w:t xml:space="preserve"> </w:t>
      </w:r>
    </w:p>
    <w:p w14:paraId="748A020A" w14:textId="77777777" w:rsidR="00E6692A" w:rsidRPr="006F7B04" w:rsidRDefault="00E6692A" w:rsidP="00E6692A">
      <w:pPr>
        <w:pStyle w:val="ListParagraph"/>
        <w:rPr>
          <w:rFonts w:asciiTheme="majorHAnsi" w:hAnsiTheme="majorHAnsi"/>
          <w:sz w:val="20"/>
          <w:szCs w:val="20"/>
          <w:lang w:val="en-US"/>
        </w:rPr>
      </w:pPr>
    </w:p>
    <w:p w14:paraId="6D7D1EEF" w14:textId="77777777" w:rsidR="00E6692A" w:rsidRPr="00D74878" w:rsidRDefault="00E6692A" w:rsidP="00E6692A">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color w:val="000000" w:themeColor="text1"/>
          <w:sz w:val="20"/>
          <w:szCs w:val="20"/>
        </w:rPr>
      </w:pPr>
      <w:r w:rsidRPr="0090683F">
        <w:rPr>
          <w:rFonts w:asciiTheme="majorHAnsi" w:hAnsiTheme="majorHAnsi"/>
          <w:sz w:val="20"/>
          <w:szCs w:val="20"/>
        </w:rPr>
        <w:t xml:space="preserve">The petitioners allege that in retaliation for the events described above, on December 10, 2012, the Congress appointed a </w:t>
      </w:r>
      <w:r>
        <w:rPr>
          <w:rFonts w:asciiTheme="majorHAnsi" w:hAnsiTheme="majorHAnsi"/>
          <w:sz w:val="20"/>
          <w:szCs w:val="20"/>
        </w:rPr>
        <w:t>C</w:t>
      </w:r>
      <w:r w:rsidRPr="0090683F">
        <w:rPr>
          <w:rFonts w:asciiTheme="majorHAnsi" w:hAnsiTheme="majorHAnsi"/>
          <w:sz w:val="20"/>
          <w:szCs w:val="20"/>
        </w:rPr>
        <w:t>ommittee, made up of representatives of the ruling party, with</w:t>
      </w:r>
      <w:r>
        <w:rPr>
          <w:rFonts w:asciiTheme="majorHAnsi" w:hAnsiTheme="majorHAnsi"/>
          <w:sz w:val="20"/>
          <w:szCs w:val="20"/>
        </w:rPr>
        <w:t xml:space="preserve"> the mandate to investigate the administrative conduct of the judiciary. </w:t>
      </w:r>
      <w:r w:rsidRPr="001C214F">
        <w:rPr>
          <w:rFonts w:asciiTheme="majorHAnsi" w:hAnsiTheme="majorHAnsi"/>
          <w:sz w:val="20"/>
          <w:szCs w:val="20"/>
        </w:rPr>
        <w:t>On the evening</w:t>
      </w:r>
      <w:r w:rsidRPr="0090683F">
        <w:rPr>
          <w:rFonts w:asciiTheme="majorHAnsi" w:hAnsiTheme="majorHAnsi"/>
          <w:sz w:val="20"/>
          <w:szCs w:val="20"/>
        </w:rPr>
        <w:t xml:space="preserve"> of December 11, 2012, th</w:t>
      </w:r>
      <w:r>
        <w:rPr>
          <w:rFonts w:asciiTheme="majorHAnsi" w:hAnsiTheme="majorHAnsi"/>
          <w:sz w:val="20"/>
          <w:szCs w:val="20"/>
        </w:rPr>
        <w:t>at</w:t>
      </w:r>
      <w:r w:rsidRPr="0090683F">
        <w:rPr>
          <w:rFonts w:asciiTheme="majorHAnsi" w:hAnsiTheme="majorHAnsi"/>
          <w:sz w:val="20"/>
          <w:szCs w:val="20"/>
        </w:rPr>
        <w:t xml:space="preserve"> </w:t>
      </w:r>
      <w:r>
        <w:rPr>
          <w:rFonts w:asciiTheme="majorHAnsi" w:hAnsiTheme="majorHAnsi"/>
          <w:sz w:val="20"/>
          <w:szCs w:val="20"/>
        </w:rPr>
        <w:t>C</w:t>
      </w:r>
      <w:r w:rsidRPr="0090683F">
        <w:rPr>
          <w:rFonts w:asciiTheme="majorHAnsi" w:hAnsiTheme="majorHAnsi"/>
          <w:sz w:val="20"/>
          <w:szCs w:val="20"/>
        </w:rPr>
        <w:t xml:space="preserve">ommittee presented its report to the Congress, establishing that there had been administrative irregularities in the processing of the constitutional complaint </w:t>
      </w:r>
      <w:r>
        <w:rPr>
          <w:rFonts w:asciiTheme="majorHAnsi" w:hAnsiTheme="majorHAnsi"/>
          <w:sz w:val="20"/>
          <w:szCs w:val="20"/>
        </w:rPr>
        <w:t xml:space="preserve">filed against the </w:t>
      </w:r>
      <w:r w:rsidRPr="00D202E5">
        <w:rPr>
          <w:rFonts w:asciiTheme="majorHAnsi" w:hAnsiTheme="majorHAnsi"/>
          <w:sz w:val="20"/>
          <w:szCs w:val="20"/>
        </w:rPr>
        <w:t>Special Law to Purge the Police Force of Corruption</w:t>
      </w:r>
      <w:r>
        <w:rPr>
          <w:rFonts w:asciiTheme="majorHAnsi" w:hAnsiTheme="majorHAnsi"/>
          <w:sz w:val="20"/>
          <w:szCs w:val="20"/>
        </w:rPr>
        <w:t xml:space="preserve">. According to the petitioners, the report indicated that the Constitutional Chamber’s decision with respect to that law was inconsistent with the security policy adopted by the executive and legislative branches of government and that this caused serious harm to the State. </w:t>
      </w:r>
      <w:r w:rsidRPr="002B04D0">
        <w:rPr>
          <w:rFonts w:asciiTheme="majorHAnsi" w:hAnsiTheme="majorHAnsi"/>
          <w:sz w:val="20"/>
          <w:szCs w:val="20"/>
        </w:rPr>
        <w:t xml:space="preserve">They note that this congressional session was held </w:t>
      </w:r>
      <w:r>
        <w:rPr>
          <w:rFonts w:asciiTheme="majorHAnsi" w:hAnsiTheme="majorHAnsi"/>
          <w:sz w:val="20"/>
          <w:szCs w:val="20"/>
        </w:rPr>
        <w:t>with</w:t>
      </w:r>
      <w:r w:rsidRPr="002B04D0">
        <w:rPr>
          <w:rFonts w:asciiTheme="majorHAnsi" w:hAnsiTheme="majorHAnsi"/>
          <w:sz w:val="20"/>
          <w:szCs w:val="20"/>
        </w:rPr>
        <w:t xml:space="preserve"> the building surrounded by memb</w:t>
      </w:r>
      <w:r>
        <w:rPr>
          <w:rFonts w:asciiTheme="majorHAnsi" w:hAnsiTheme="majorHAnsi"/>
          <w:sz w:val="20"/>
          <w:szCs w:val="20"/>
        </w:rPr>
        <w:t xml:space="preserve">ers of the armed forces. </w:t>
      </w:r>
      <w:r w:rsidRPr="00D74878">
        <w:rPr>
          <w:rFonts w:asciiTheme="majorHAnsi" w:hAnsiTheme="majorHAnsi"/>
          <w:sz w:val="20"/>
          <w:szCs w:val="20"/>
        </w:rPr>
        <w:t xml:space="preserve">They state that at 4 a.m. on December 12, 2012, the Congress </w:t>
      </w:r>
      <w:r w:rsidRPr="00D202E5">
        <w:rPr>
          <w:rFonts w:asciiTheme="majorHAnsi" w:hAnsiTheme="majorHAnsi"/>
          <w:sz w:val="20"/>
          <w:szCs w:val="20"/>
        </w:rPr>
        <w:t>voted in favor of dismissing four of the five justices of the Constitutional Chamber (those who voted that the Special Law to Purge the Police Force of Corruption was</w:t>
      </w:r>
      <w:r>
        <w:rPr>
          <w:rFonts w:asciiTheme="majorHAnsi" w:hAnsiTheme="majorHAnsi"/>
          <w:sz w:val="20"/>
          <w:szCs w:val="20"/>
        </w:rPr>
        <w:t xml:space="preserve"> unconstitutional) </w:t>
      </w:r>
      <w:r w:rsidRPr="00096CAF">
        <w:rPr>
          <w:rFonts w:asciiTheme="majorHAnsi" w:hAnsiTheme="majorHAnsi"/>
          <w:sz w:val="20"/>
          <w:szCs w:val="20"/>
        </w:rPr>
        <w:t>and elected four</w:t>
      </w:r>
      <w:r>
        <w:rPr>
          <w:rFonts w:asciiTheme="majorHAnsi" w:hAnsiTheme="majorHAnsi"/>
          <w:sz w:val="20"/>
          <w:szCs w:val="20"/>
        </w:rPr>
        <w:t xml:space="preserve"> replacements.</w:t>
      </w:r>
      <w:r w:rsidRPr="00D74878">
        <w:rPr>
          <w:rFonts w:asciiTheme="majorHAnsi" w:hAnsiTheme="majorHAnsi"/>
          <w:sz w:val="20"/>
          <w:szCs w:val="20"/>
        </w:rPr>
        <w:t xml:space="preserve"> </w:t>
      </w:r>
    </w:p>
    <w:p w14:paraId="7418A6D7" w14:textId="77777777" w:rsidR="00E6692A" w:rsidRPr="00D74878" w:rsidRDefault="00E6692A" w:rsidP="00E6692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color w:val="000000" w:themeColor="text1"/>
          <w:sz w:val="20"/>
          <w:szCs w:val="20"/>
        </w:rPr>
      </w:pPr>
    </w:p>
    <w:p w14:paraId="70C57539" w14:textId="77777777" w:rsidR="00E6692A" w:rsidRPr="00A15B33" w:rsidRDefault="00E6692A" w:rsidP="00E6692A">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color w:val="000000" w:themeColor="text1"/>
          <w:sz w:val="20"/>
          <w:szCs w:val="20"/>
        </w:rPr>
      </w:pPr>
      <w:r w:rsidRPr="00D202E5">
        <w:rPr>
          <w:rFonts w:asciiTheme="majorHAnsi" w:hAnsiTheme="majorHAnsi"/>
          <w:sz w:val="20"/>
          <w:szCs w:val="20"/>
        </w:rPr>
        <w:t>The petitioners argue</w:t>
      </w:r>
      <w:r w:rsidRPr="008D0FA1">
        <w:rPr>
          <w:rFonts w:asciiTheme="majorHAnsi" w:hAnsiTheme="majorHAnsi"/>
          <w:sz w:val="20"/>
          <w:szCs w:val="20"/>
        </w:rPr>
        <w:t xml:space="preserve"> that the alleged victims were unable to defend their rights and that their removal </w:t>
      </w:r>
      <w:r>
        <w:rPr>
          <w:rFonts w:asciiTheme="majorHAnsi" w:hAnsiTheme="majorHAnsi"/>
          <w:sz w:val="20"/>
          <w:szCs w:val="20"/>
        </w:rPr>
        <w:t>from office</w:t>
      </w:r>
      <w:r w:rsidRPr="008D0FA1">
        <w:rPr>
          <w:rFonts w:asciiTheme="majorHAnsi" w:hAnsiTheme="majorHAnsi"/>
          <w:sz w:val="20"/>
          <w:szCs w:val="20"/>
        </w:rPr>
        <w:t xml:space="preserve"> was </w:t>
      </w:r>
      <w:r>
        <w:rPr>
          <w:rFonts w:asciiTheme="majorHAnsi" w:hAnsiTheme="majorHAnsi"/>
          <w:sz w:val="20"/>
          <w:szCs w:val="20"/>
        </w:rPr>
        <w:t>illegal</w:t>
      </w:r>
      <w:r w:rsidRPr="008D0FA1">
        <w:rPr>
          <w:rFonts w:asciiTheme="majorHAnsi" w:hAnsiTheme="majorHAnsi"/>
          <w:sz w:val="20"/>
          <w:szCs w:val="20"/>
        </w:rPr>
        <w:t xml:space="preserve">, as </w:t>
      </w:r>
      <w:r>
        <w:rPr>
          <w:rFonts w:asciiTheme="majorHAnsi" w:hAnsiTheme="majorHAnsi"/>
          <w:sz w:val="20"/>
          <w:szCs w:val="20"/>
        </w:rPr>
        <w:t>the Congress</w:t>
      </w:r>
      <w:r w:rsidRPr="008D0FA1">
        <w:rPr>
          <w:rFonts w:asciiTheme="majorHAnsi" w:hAnsiTheme="majorHAnsi"/>
          <w:sz w:val="20"/>
          <w:szCs w:val="20"/>
        </w:rPr>
        <w:t xml:space="preserve"> </w:t>
      </w:r>
      <w:r>
        <w:rPr>
          <w:rFonts w:asciiTheme="majorHAnsi" w:hAnsiTheme="majorHAnsi"/>
          <w:sz w:val="20"/>
          <w:szCs w:val="20"/>
        </w:rPr>
        <w:t>did not have the authority to do so and there were no legal procedures in place for prosecuting the highest authorities of the Supreme Court</w:t>
      </w:r>
      <w:r w:rsidRPr="008D0FA1">
        <w:rPr>
          <w:rFonts w:asciiTheme="majorHAnsi" w:hAnsiTheme="majorHAnsi"/>
          <w:sz w:val="20"/>
          <w:szCs w:val="20"/>
        </w:rPr>
        <w:t xml:space="preserve">. </w:t>
      </w:r>
      <w:r w:rsidRPr="005F65E0">
        <w:rPr>
          <w:rFonts w:asciiTheme="majorHAnsi" w:hAnsiTheme="majorHAnsi"/>
          <w:sz w:val="20"/>
          <w:szCs w:val="20"/>
        </w:rPr>
        <w:t xml:space="preserve">They allege that under the Honduran </w:t>
      </w:r>
      <w:r w:rsidRPr="005F65E0">
        <w:rPr>
          <w:rFonts w:asciiTheme="majorHAnsi" w:hAnsiTheme="majorHAnsi"/>
          <w:sz w:val="20"/>
          <w:szCs w:val="20"/>
        </w:rPr>
        <w:lastRenderedPageBreak/>
        <w:t xml:space="preserve">legal system, the purported administrative irregularities were not a legal cause for the </w:t>
      </w:r>
      <w:r>
        <w:rPr>
          <w:rFonts w:asciiTheme="majorHAnsi" w:hAnsiTheme="majorHAnsi"/>
          <w:sz w:val="20"/>
          <w:szCs w:val="20"/>
        </w:rPr>
        <w:t xml:space="preserve">justices’ </w:t>
      </w:r>
      <w:r w:rsidRPr="005F65E0">
        <w:rPr>
          <w:rFonts w:asciiTheme="majorHAnsi" w:hAnsiTheme="majorHAnsi"/>
          <w:sz w:val="20"/>
          <w:szCs w:val="20"/>
        </w:rPr>
        <w:t>removal</w:t>
      </w:r>
      <w:r>
        <w:rPr>
          <w:rFonts w:asciiTheme="majorHAnsi" w:hAnsiTheme="majorHAnsi"/>
          <w:sz w:val="20"/>
          <w:szCs w:val="20"/>
        </w:rPr>
        <w:t xml:space="preserve">. </w:t>
      </w:r>
      <w:r w:rsidRPr="00A15B33">
        <w:rPr>
          <w:rFonts w:asciiTheme="majorHAnsi" w:hAnsiTheme="majorHAnsi"/>
          <w:sz w:val="20"/>
          <w:szCs w:val="20"/>
        </w:rPr>
        <w:t xml:space="preserve">They indicate that it was not the dismissed justices but the President of the Supreme Court who </w:t>
      </w:r>
      <w:r>
        <w:rPr>
          <w:rFonts w:asciiTheme="majorHAnsi" w:hAnsiTheme="majorHAnsi"/>
          <w:sz w:val="20"/>
          <w:szCs w:val="20"/>
        </w:rPr>
        <w:t>had</w:t>
      </w:r>
      <w:r w:rsidRPr="00A15B33">
        <w:rPr>
          <w:rFonts w:asciiTheme="majorHAnsi" w:hAnsiTheme="majorHAnsi"/>
          <w:sz w:val="20"/>
          <w:szCs w:val="20"/>
        </w:rPr>
        <w:t xml:space="preserve"> administrative functions, by order of the Congress itself, through Decree</w:t>
      </w:r>
      <w:r>
        <w:rPr>
          <w:rFonts w:asciiTheme="majorHAnsi" w:hAnsiTheme="majorHAnsi"/>
          <w:sz w:val="20"/>
          <w:szCs w:val="20"/>
        </w:rPr>
        <w:t xml:space="preserve">s </w:t>
      </w:r>
      <w:r w:rsidRPr="00A15B33">
        <w:rPr>
          <w:rFonts w:asciiTheme="majorHAnsi" w:hAnsiTheme="majorHAnsi"/>
          <w:sz w:val="20"/>
          <w:szCs w:val="20"/>
        </w:rPr>
        <w:t xml:space="preserve">282-2010 </w:t>
      </w:r>
      <w:r>
        <w:rPr>
          <w:rFonts w:asciiTheme="majorHAnsi" w:hAnsiTheme="majorHAnsi"/>
          <w:sz w:val="20"/>
          <w:szCs w:val="20"/>
        </w:rPr>
        <w:t>and</w:t>
      </w:r>
      <w:r w:rsidRPr="00A15B33">
        <w:rPr>
          <w:rFonts w:asciiTheme="majorHAnsi" w:hAnsiTheme="majorHAnsi"/>
          <w:sz w:val="20"/>
          <w:szCs w:val="20"/>
        </w:rPr>
        <w:t xml:space="preserve"> 5-2011. They add that in an act of </w:t>
      </w:r>
      <w:r>
        <w:rPr>
          <w:rFonts w:asciiTheme="majorHAnsi" w:hAnsiTheme="majorHAnsi"/>
          <w:sz w:val="20"/>
          <w:szCs w:val="20"/>
        </w:rPr>
        <w:t>acquiescence</w:t>
      </w:r>
      <w:r w:rsidRPr="00A15B33">
        <w:rPr>
          <w:rFonts w:asciiTheme="majorHAnsi" w:hAnsiTheme="majorHAnsi"/>
          <w:sz w:val="20"/>
          <w:szCs w:val="20"/>
        </w:rPr>
        <w:t xml:space="preserve"> and submission, the President of the Supreme Court swore in the new justices on the morning of December 12</w:t>
      </w:r>
      <w:r>
        <w:rPr>
          <w:rFonts w:asciiTheme="majorHAnsi" w:hAnsiTheme="majorHAnsi"/>
          <w:sz w:val="20"/>
          <w:szCs w:val="20"/>
        </w:rPr>
        <w:t xml:space="preserve">, </w:t>
      </w:r>
      <w:r w:rsidRPr="00A15B33">
        <w:rPr>
          <w:rFonts w:asciiTheme="majorHAnsi" w:hAnsiTheme="majorHAnsi"/>
          <w:sz w:val="20"/>
          <w:szCs w:val="20"/>
        </w:rPr>
        <w:t xml:space="preserve">2012, </w:t>
      </w:r>
      <w:r>
        <w:rPr>
          <w:rFonts w:asciiTheme="majorHAnsi" w:hAnsiTheme="majorHAnsi"/>
          <w:sz w:val="20"/>
          <w:szCs w:val="20"/>
        </w:rPr>
        <w:t xml:space="preserve">thus implementing a “political coup of the judicial institution”. </w:t>
      </w:r>
    </w:p>
    <w:p w14:paraId="622EF3EE" w14:textId="77777777" w:rsidR="00E6692A" w:rsidRPr="00A15B33" w:rsidRDefault="00E6692A" w:rsidP="00E6692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color w:val="000000" w:themeColor="text1"/>
          <w:sz w:val="20"/>
          <w:szCs w:val="20"/>
        </w:rPr>
      </w:pPr>
    </w:p>
    <w:p w14:paraId="3E50E4C7" w14:textId="77777777" w:rsidR="00E6692A" w:rsidRPr="00F77FBD" w:rsidRDefault="00E6692A" w:rsidP="00E6692A">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color w:val="000000" w:themeColor="text1"/>
          <w:sz w:val="20"/>
          <w:szCs w:val="20"/>
        </w:rPr>
      </w:pPr>
      <w:r w:rsidRPr="00A15B33">
        <w:rPr>
          <w:rFonts w:asciiTheme="majorHAnsi" w:hAnsiTheme="majorHAnsi"/>
          <w:sz w:val="20"/>
          <w:szCs w:val="20"/>
        </w:rPr>
        <w:t xml:space="preserve">The petitioners claim that since there were no legal procedures in place to remove Supreme Court justices, the investigation undertaken by the Committee of </w:t>
      </w:r>
      <w:r>
        <w:rPr>
          <w:rFonts w:asciiTheme="majorHAnsi" w:hAnsiTheme="majorHAnsi"/>
          <w:sz w:val="20"/>
          <w:szCs w:val="20"/>
        </w:rPr>
        <w:t>Deputies</w:t>
      </w:r>
      <w:r w:rsidRPr="00A15B33">
        <w:rPr>
          <w:rFonts w:asciiTheme="majorHAnsi" w:hAnsiTheme="majorHAnsi"/>
          <w:sz w:val="20"/>
          <w:szCs w:val="20"/>
        </w:rPr>
        <w:t xml:space="preserve"> and the subsequen</w:t>
      </w:r>
      <w:r>
        <w:rPr>
          <w:rFonts w:asciiTheme="majorHAnsi" w:hAnsiTheme="majorHAnsi"/>
          <w:sz w:val="20"/>
          <w:szCs w:val="20"/>
        </w:rPr>
        <w:t>t</w:t>
      </w:r>
      <w:r w:rsidRPr="00A15B33">
        <w:rPr>
          <w:rFonts w:asciiTheme="majorHAnsi" w:hAnsiTheme="majorHAnsi"/>
          <w:sz w:val="20"/>
          <w:szCs w:val="20"/>
        </w:rPr>
        <w:t xml:space="preserve"> motion filed by the Congress were illegal and arbitrary mechanisms used as legal grounds for dismissing the alleged victims. They state </w:t>
      </w:r>
      <w:r>
        <w:rPr>
          <w:rFonts w:asciiTheme="majorHAnsi" w:hAnsiTheme="majorHAnsi"/>
          <w:sz w:val="20"/>
          <w:szCs w:val="20"/>
        </w:rPr>
        <w:t xml:space="preserve">that </w:t>
      </w:r>
      <w:r w:rsidRPr="00A15B33">
        <w:rPr>
          <w:rFonts w:asciiTheme="majorHAnsi" w:hAnsiTheme="majorHAnsi"/>
          <w:sz w:val="20"/>
          <w:szCs w:val="20"/>
        </w:rPr>
        <w:t xml:space="preserve">their removal came in retaliation for actions that were inherent to the alleged victims’ judicial </w:t>
      </w:r>
      <w:r>
        <w:rPr>
          <w:rFonts w:asciiTheme="majorHAnsi" w:hAnsiTheme="majorHAnsi"/>
          <w:sz w:val="20"/>
          <w:szCs w:val="20"/>
        </w:rPr>
        <w:t>office</w:t>
      </w:r>
      <w:r w:rsidRPr="00A15B33">
        <w:rPr>
          <w:rFonts w:asciiTheme="majorHAnsi" w:hAnsiTheme="majorHAnsi"/>
          <w:sz w:val="20"/>
          <w:szCs w:val="20"/>
        </w:rPr>
        <w:t xml:space="preserve">, which they carried out within the boundaries of </w:t>
      </w:r>
      <w:r>
        <w:rPr>
          <w:rFonts w:asciiTheme="majorHAnsi" w:hAnsiTheme="majorHAnsi"/>
          <w:sz w:val="20"/>
          <w:szCs w:val="20"/>
        </w:rPr>
        <w:t xml:space="preserve">their constitutional and legal powers. </w:t>
      </w:r>
      <w:r w:rsidRPr="00F77FBD">
        <w:rPr>
          <w:rFonts w:asciiTheme="majorHAnsi" w:hAnsiTheme="majorHAnsi"/>
          <w:sz w:val="20"/>
          <w:szCs w:val="20"/>
        </w:rPr>
        <w:t>In addition, they indicate that the then</w:t>
      </w:r>
      <w:r>
        <w:rPr>
          <w:rFonts w:asciiTheme="majorHAnsi" w:hAnsiTheme="majorHAnsi"/>
          <w:sz w:val="20"/>
          <w:szCs w:val="20"/>
        </w:rPr>
        <w:t>-</w:t>
      </w:r>
      <w:r w:rsidRPr="00F77FBD">
        <w:rPr>
          <w:rFonts w:asciiTheme="majorHAnsi" w:hAnsiTheme="majorHAnsi"/>
          <w:sz w:val="20"/>
          <w:szCs w:val="20"/>
        </w:rPr>
        <w:t xml:space="preserve">President of the Congress justified the </w:t>
      </w:r>
      <w:r>
        <w:rPr>
          <w:rFonts w:asciiTheme="majorHAnsi" w:hAnsiTheme="majorHAnsi"/>
          <w:sz w:val="20"/>
          <w:szCs w:val="20"/>
        </w:rPr>
        <w:t>legislative branch’s</w:t>
      </w:r>
      <w:r w:rsidRPr="00F77FBD">
        <w:rPr>
          <w:rFonts w:asciiTheme="majorHAnsi" w:hAnsiTheme="majorHAnsi"/>
          <w:sz w:val="20"/>
          <w:szCs w:val="20"/>
        </w:rPr>
        <w:t xml:space="preserve"> illegal actions, declaring that it had been found that the justices of the Constitutional Chamber had cons</w:t>
      </w:r>
      <w:r>
        <w:rPr>
          <w:rFonts w:asciiTheme="majorHAnsi" w:hAnsiTheme="majorHAnsi"/>
          <w:sz w:val="20"/>
          <w:szCs w:val="20"/>
        </w:rPr>
        <w:t>pired against decisions of the Congress.</w:t>
      </w:r>
    </w:p>
    <w:p w14:paraId="40656EAD" w14:textId="77777777" w:rsidR="00E6692A" w:rsidRPr="00F77FBD" w:rsidRDefault="00E6692A" w:rsidP="00E6692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color w:val="000000" w:themeColor="text1"/>
          <w:sz w:val="20"/>
          <w:szCs w:val="20"/>
        </w:rPr>
      </w:pPr>
    </w:p>
    <w:p w14:paraId="0E53A829" w14:textId="77777777" w:rsidR="00E6692A" w:rsidRPr="00DD18DE" w:rsidRDefault="00E6692A" w:rsidP="00E6692A">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color w:val="000000" w:themeColor="text1"/>
          <w:sz w:val="20"/>
          <w:szCs w:val="20"/>
        </w:rPr>
      </w:pPr>
      <w:r w:rsidRPr="00FF5042">
        <w:rPr>
          <w:rFonts w:asciiTheme="majorHAnsi" w:hAnsiTheme="majorHAnsi"/>
          <w:sz w:val="20"/>
          <w:szCs w:val="20"/>
        </w:rPr>
        <w:t>The petitioners indicate that in response to this situation, the alleged victims lodged a</w:t>
      </w:r>
      <w:r>
        <w:rPr>
          <w:rFonts w:asciiTheme="majorHAnsi" w:hAnsiTheme="majorHAnsi"/>
          <w:sz w:val="20"/>
          <w:szCs w:val="20"/>
        </w:rPr>
        <w:t>n</w:t>
      </w:r>
      <w:r w:rsidRPr="00FF5042">
        <w:rPr>
          <w:rFonts w:asciiTheme="majorHAnsi" w:hAnsiTheme="majorHAnsi"/>
          <w:sz w:val="20"/>
          <w:szCs w:val="20"/>
        </w:rPr>
        <w:t xml:space="preserve"> appeal</w:t>
      </w:r>
      <w:r>
        <w:rPr>
          <w:rFonts w:asciiTheme="majorHAnsi" w:hAnsiTheme="majorHAnsi"/>
          <w:sz w:val="20"/>
          <w:szCs w:val="20"/>
        </w:rPr>
        <w:t xml:space="preserve"> for protection of constitutional rights (</w:t>
      </w:r>
      <w:r>
        <w:rPr>
          <w:rFonts w:asciiTheme="majorHAnsi" w:hAnsiTheme="majorHAnsi"/>
          <w:i/>
          <w:iCs/>
          <w:sz w:val="20"/>
          <w:szCs w:val="20"/>
        </w:rPr>
        <w:t>recurso de a</w:t>
      </w:r>
      <w:r w:rsidRPr="00A44FEF">
        <w:rPr>
          <w:rFonts w:asciiTheme="majorHAnsi" w:hAnsiTheme="majorHAnsi"/>
          <w:i/>
          <w:iCs/>
          <w:sz w:val="20"/>
          <w:szCs w:val="20"/>
        </w:rPr>
        <w:t>mparo</w:t>
      </w:r>
      <w:r>
        <w:rPr>
          <w:rFonts w:asciiTheme="majorHAnsi" w:hAnsiTheme="majorHAnsi"/>
          <w:sz w:val="20"/>
          <w:szCs w:val="20"/>
        </w:rPr>
        <w:t>)</w:t>
      </w:r>
      <w:r w:rsidRPr="00FF5042">
        <w:rPr>
          <w:rFonts w:asciiTheme="majorHAnsi" w:hAnsiTheme="majorHAnsi"/>
          <w:sz w:val="20"/>
          <w:szCs w:val="20"/>
        </w:rPr>
        <w:t xml:space="preserve"> on December 12, 2012, </w:t>
      </w:r>
      <w:r w:rsidRPr="00114CEC">
        <w:rPr>
          <w:rFonts w:asciiTheme="majorHAnsi" w:hAnsiTheme="majorHAnsi"/>
          <w:sz w:val="20"/>
          <w:szCs w:val="20"/>
        </w:rPr>
        <w:t>including objections to the</w:t>
      </w:r>
      <w:r w:rsidRPr="00FF5042">
        <w:rPr>
          <w:rFonts w:asciiTheme="majorHAnsi" w:hAnsiTheme="majorHAnsi"/>
          <w:sz w:val="20"/>
          <w:szCs w:val="20"/>
        </w:rPr>
        <w:t xml:space="preserve"> four newly appo</w:t>
      </w:r>
      <w:r>
        <w:rPr>
          <w:rFonts w:asciiTheme="majorHAnsi" w:hAnsiTheme="majorHAnsi"/>
          <w:sz w:val="20"/>
          <w:szCs w:val="20"/>
        </w:rPr>
        <w:t xml:space="preserve">inted justices and the justice who was not removed from office, in the belief that these individuals would have a direct interest in the case if it were to come before them. </w:t>
      </w:r>
      <w:r w:rsidRPr="00FF5042">
        <w:rPr>
          <w:rFonts w:asciiTheme="majorHAnsi" w:hAnsiTheme="majorHAnsi"/>
          <w:sz w:val="20"/>
          <w:szCs w:val="20"/>
        </w:rPr>
        <w:t>Moreover, on th</w:t>
      </w:r>
      <w:r>
        <w:rPr>
          <w:rFonts w:asciiTheme="majorHAnsi" w:hAnsiTheme="majorHAnsi"/>
          <w:sz w:val="20"/>
          <w:szCs w:val="20"/>
        </w:rPr>
        <w:t>at</w:t>
      </w:r>
      <w:r w:rsidRPr="00FF5042">
        <w:rPr>
          <w:rFonts w:asciiTheme="majorHAnsi" w:hAnsiTheme="majorHAnsi"/>
          <w:sz w:val="20"/>
          <w:szCs w:val="20"/>
        </w:rPr>
        <w:t xml:space="preserve"> same date</w:t>
      </w:r>
      <w:r>
        <w:rPr>
          <w:rFonts w:asciiTheme="majorHAnsi" w:hAnsiTheme="majorHAnsi"/>
          <w:sz w:val="20"/>
          <w:szCs w:val="20"/>
        </w:rPr>
        <w:t xml:space="preserve">, a </w:t>
      </w:r>
      <w:r w:rsidRPr="00FF5042">
        <w:rPr>
          <w:rFonts w:asciiTheme="majorHAnsi" w:hAnsiTheme="majorHAnsi"/>
          <w:sz w:val="20"/>
          <w:szCs w:val="20"/>
        </w:rPr>
        <w:t xml:space="preserve">civil organization </w:t>
      </w:r>
      <w:r>
        <w:rPr>
          <w:rFonts w:asciiTheme="majorHAnsi" w:hAnsiTheme="majorHAnsi"/>
          <w:sz w:val="20"/>
          <w:szCs w:val="20"/>
        </w:rPr>
        <w:t xml:space="preserve">called </w:t>
      </w:r>
      <w:r w:rsidRPr="00FF5042">
        <w:rPr>
          <w:rFonts w:asciiTheme="majorHAnsi" w:hAnsiTheme="majorHAnsi"/>
          <w:sz w:val="20"/>
          <w:szCs w:val="20"/>
        </w:rPr>
        <w:t>the “Bar of Anti-Corruption Lawyers” (</w:t>
      </w:r>
      <w:r w:rsidRPr="00FF5042">
        <w:rPr>
          <w:rFonts w:asciiTheme="majorHAnsi" w:hAnsiTheme="majorHAnsi"/>
          <w:i/>
          <w:iCs/>
          <w:sz w:val="20"/>
          <w:szCs w:val="20"/>
        </w:rPr>
        <w:t>Barra de Abogados Hondureños Anticorrupción</w:t>
      </w:r>
      <w:r w:rsidRPr="00FF5042">
        <w:rPr>
          <w:rFonts w:asciiTheme="majorHAnsi" w:hAnsiTheme="majorHAnsi"/>
          <w:sz w:val="20"/>
          <w:szCs w:val="20"/>
        </w:rPr>
        <w:t xml:space="preserve">) filed another </w:t>
      </w:r>
      <w:r>
        <w:rPr>
          <w:rFonts w:asciiTheme="majorHAnsi" w:hAnsiTheme="majorHAnsi"/>
          <w:i/>
          <w:iCs/>
          <w:sz w:val="20"/>
          <w:szCs w:val="20"/>
        </w:rPr>
        <w:t>a</w:t>
      </w:r>
      <w:r w:rsidRPr="00A44FEF">
        <w:rPr>
          <w:rFonts w:asciiTheme="majorHAnsi" w:hAnsiTheme="majorHAnsi"/>
          <w:i/>
          <w:iCs/>
          <w:sz w:val="20"/>
          <w:szCs w:val="20"/>
        </w:rPr>
        <w:t>mparo</w:t>
      </w:r>
      <w:r w:rsidRPr="00FF5042">
        <w:rPr>
          <w:rFonts w:asciiTheme="majorHAnsi" w:hAnsiTheme="majorHAnsi"/>
          <w:sz w:val="20"/>
          <w:szCs w:val="20"/>
        </w:rPr>
        <w:t xml:space="preserve"> appeal, which was joined with the first appeal filed by</w:t>
      </w:r>
      <w:r>
        <w:rPr>
          <w:rFonts w:asciiTheme="majorHAnsi" w:hAnsiTheme="majorHAnsi"/>
          <w:sz w:val="20"/>
          <w:szCs w:val="20"/>
        </w:rPr>
        <w:t xml:space="preserve"> the alleged victims, to be resolved jointly. </w:t>
      </w:r>
      <w:r w:rsidRPr="00DD18DE">
        <w:rPr>
          <w:rFonts w:asciiTheme="majorHAnsi" w:hAnsiTheme="majorHAnsi"/>
          <w:sz w:val="20"/>
          <w:szCs w:val="20"/>
        </w:rPr>
        <w:t xml:space="preserve">The petitioners indicate that the newly constituted Constitutional Chamber </w:t>
      </w:r>
      <w:r>
        <w:rPr>
          <w:rFonts w:asciiTheme="majorHAnsi" w:hAnsiTheme="majorHAnsi"/>
          <w:sz w:val="20"/>
          <w:szCs w:val="20"/>
        </w:rPr>
        <w:t>declined to hear</w:t>
      </w:r>
      <w:r w:rsidRPr="00DD18DE">
        <w:rPr>
          <w:rFonts w:asciiTheme="majorHAnsi" w:hAnsiTheme="majorHAnsi"/>
          <w:sz w:val="20"/>
          <w:szCs w:val="20"/>
        </w:rPr>
        <w:t xml:space="preserve"> the case and that the President of the Supreme Court then proceeded to </w:t>
      </w:r>
      <w:r>
        <w:rPr>
          <w:rFonts w:asciiTheme="majorHAnsi" w:hAnsiTheme="majorHAnsi"/>
          <w:sz w:val="20"/>
          <w:szCs w:val="20"/>
        </w:rPr>
        <w:t>set up</w:t>
      </w:r>
      <w:r w:rsidRPr="00DD18DE">
        <w:rPr>
          <w:rFonts w:asciiTheme="majorHAnsi" w:hAnsiTheme="majorHAnsi"/>
          <w:sz w:val="20"/>
          <w:szCs w:val="20"/>
        </w:rPr>
        <w:t xml:space="preserve"> a Second Special Chamber made up of other Supreme Court justices. They </w:t>
      </w:r>
      <w:r>
        <w:rPr>
          <w:rFonts w:asciiTheme="majorHAnsi" w:hAnsiTheme="majorHAnsi"/>
          <w:sz w:val="20"/>
          <w:szCs w:val="20"/>
        </w:rPr>
        <w:t>explain</w:t>
      </w:r>
      <w:r w:rsidRPr="00DD18DE">
        <w:rPr>
          <w:rFonts w:asciiTheme="majorHAnsi" w:hAnsiTheme="majorHAnsi"/>
          <w:sz w:val="20"/>
          <w:szCs w:val="20"/>
        </w:rPr>
        <w:t xml:space="preserve"> that the new Special Chamber also </w:t>
      </w:r>
      <w:r>
        <w:rPr>
          <w:rFonts w:asciiTheme="majorHAnsi" w:hAnsiTheme="majorHAnsi"/>
          <w:sz w:val="20"/>
          <w:szCs w:val="20"/>
        </w:rPr>
        <w:t xml:space="preserve">declined to hear </w:t>
      </w:r>
      <w:r w:rsidRPr="00DD18DE">
        <w:rPr>
          <w:rFonts w:asciiTheme="majorHAnsi" w:hAnsiTheme="majorHAnsi"/>
          <w:sz w:val="20"/>
          <w:szCs w:val="20"/>
        </w:rPr>
        <w:t>the case and that as a result</w:t>
      </w:r>
      <w:r>
        <w:rPr>
          <w:rFonts w:asciiTheme="majorHAnsi" w:hAnsiTheme="majorHAnsi"/>
          <w:sz w:val="20"/>
          <w:szCs w:val="20"/>
        </w:rPr>
        <w:t xml:space="preserve">, </w:t>
      </w:r>
      <w:r w:rsidRPr="00DD18DE">
        <w:rPr>
          <w:rFonts w:asciiTheme="majorHAnsi" w:hAnsiTheme="majorHAnsi"/>
          <w:sz w:val="20"/>
          <w:szCs w:val="20"/>
        </w:rPr>
        <w:t xml:space="preserve">the President of the </w:t>
      </w:r>
      <w:r>
        <w:rPr>
          <w:rFonts w:asciiTheme="majorHAnsi" w:hAnsiTheme="majorHAnsi"/>
          <w:sz w:val="20"/>
          <w:szCs w:val="20"/>
        </w:rPr>
        <w:t xml:space="preserve">Supreme </w:t>
      </w:r>
      <w:r w:rsidRPr="00DD18DE">
        <w:rPr>
          <w:rFonts w:asciiTheme="majorHAnsi" w:hAnsiTheme="majorHAnsi"/>
          <w:sz w:val="20"/>
          <w:szCs w:val="20"/>
        </w:rPr>
        <w:t>Court</w:t>
      </w:r>
      <w:r>
        <w:rPr>
          <w:rFonts w:asciiTheme="majorHAnsi" w:hAnsiTheme="majorHAnsi"/>
          <w:sz w:val="20"/>
          <w:szCs w:val="20"/>
        </w:rPr>
        <w:t xml:space="preserve"> created a Third Special Chamber</w:t>
      </w:r>
      <w:r w:rsidRPr="00DD18DE">
        <w:rPr>
          <w:rFonts w:asciiTheme="majorHAnsi" w:hAnsiTheme="majorHAnsi"/>
          <w:sz w:val="20"/>
          <w:szCs w:val="20"/>
        </w:rPr>
        <w:t xml:space="preserve">. </w:t>
      </w:r>
    </w:p>
    <w:p w14:paraId="3A66E10C" w14:textId="77777777" w:rsidR="00E6692A" w:rsidRPr="00DD18DE" w:rsidRDefault="00E6692A" w:rsidP="00E6692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color w:val="000000" w:themeColor="text1"/>
          <w:sz w:val="20"/>
          <w:szCs w:val="20"/>
        </w:rPr>
      </w:pPr>
    </w:p>
    <w:p w14:paraId="17D44D06" w14:textId="77777777" w:rsidR="00E6692A" w:rsidRPr="00893540" w:rsidRDefault="00E6692A" w:rsidP="00E6692A">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color w:val="000000" w:themeColor="text1"/>
          <w:sz w:val="20"/>
          <w:szCs w:val="20"/>
        </w:rPr>
      </w:pPr>
      <w:r w:rsidRPr="00673E1C">
        <w:rPr>
          <w:rFonts w:asciiTheme="majorHAnsi" w:hAnsiTheme="majorHAnsi"/>
          <w:sz w:val="20"/>
          <w:szCs w:val="20"/>
        </w:rPr>
        <w:t xml:space="preserve">The petitioners indicate that on January 29, 2013, the Special Chamber, by a majority of votes (four to one) refused </w:t>
      </w:r>
      <w:r>
        <w:rPr>
          <w:rFonts w:asciiTheme="majorHAnsi" w:hAnsiTheme="majorHAnsi"/>
          <w:sz w:val="20"/>
          <w:szCs w:val="20"/>
        </w:rPr>
        <w:t xml:space="preserve">from the outset </w:t>
      </w:r>
      <w:r w:rsidRPr="00673E1C">
        <w:rPr>
          <w:rFonts w:asciiTheme="majorHAnsi" w:hAnsiTheme="majorHAnsi"/>
          <w:sz w:val="20"/>
          <w:szCs w:val="20"/>
        </w:rPr>
        <w:t>to grant constitutional protection,</w:t>
      </w:r>
      <w:r>
        <w:rPr>
          <w:rFonts w:asciiTheme="majorHAnsi" w:hAnsiTheme="majorHAnsi"/>
          <w:sz w:val="20"/>
          <w:szCs w:val="20"/>
        </w:rPr>
        <w:t xml:space="preserve"> arguing that the actions of the Congress were beyond this Chamber’s jurisdiction. </w:t>
      </w:r>
      <w:r w:rsidRPr="00673E1C">
        <w:rPr>
          <w:rFonts w:asciiTheme="majorHAnsi" w:hAnsiTheme="majorHAnsi"/>
          <w:sz w:val="20"/>
          <w:szCs w:val="20"/>
        </w:rPr>
        <w:t xml:space="preserve">It found that </w:t>
      </w:r>
      <w:r>
        <w:rPr>
          <w:rFonts w:asciiTheme="majorHAnsi" w:hAnsiTheme="majorHAnsi"/>
          <w:sz w:val="20"/>
          <w:szCs w:val="20"/>
        </w:rPr>
        <w:t xml:space="preserve">congressional </w:t>
      </w:r>
      <w:r w:rsidRPr="00673E1C">
        <w:rPr>
          <w:rFonts w:asciiTheme="majorHAnsi" w:hAnsiTheme="majorHAnsi"/>
          <w:sz w:val="20"/>
          <w:szCs w:val="20"/>
        </w:rPr>
        <w:t>deputies</w:t>
      </w:r>
      <w:r>
        <w:rPr>
          <w:rFonts w:asciiTheme="majorHAnsi" w:hAnsiTheme="majorHAnsi"/>
          <w:sz w:val="20"/>
          <w:szCs w:val="20"/>
        </w:rPr>
        <w:t xml:space="preserve"> </w:t>
      </w:r>
      <w:r w:rsidRPr="00673E1C">
        <w:rPr>
          <w:rFonts w:asciiTheme="majorHAnsi" w:hAnsiTheme="majorHAnsi"/>
          <w:sz w:val="20"/>
          <w:szCs w:val="20"/>
        </w:rPr>
        <w:t xml:space="preserve">have only legislative functions and that they </w:t>
      </w:r>
      <w:r>
        <w:rPr>
          <w:rFonts w:asciiTheme="majorHAnsi" w:hAnsiTheme="majorHAnsi"/>
          <w:sz w:val="20"/>
          <w:szCs w:val="20"/>
        </w:rPr>
        <w:t>do</w:t>
      </w:r>
      <w:r w:rsidRPr="00673E1C">
        <w:rPr>
          <w:rFonts w:asciiTheme="majorHAnsi" w:hAnsiTheme="majorHAnsi"/>
          <w:sz w:val="20"/>
          <w:szCs w:val="20"/>
        </w:rPr>
        <w:t xml:space="preserve"> not fall under the </w:t>
      </w:r>
      <w:r>
        <w:rPr>
          <w:rFonts w:asciiTheme="majorHAnsi" w:hAnsiTheme="majorHAnsi"/>
          <w:sz w:val="20"/>
          <w:szCs w:val="20"/>
        </w:rPr>
        <w:t>category</w:t>
      </w:r>
      <w:r w:rsidRPr="00673E1C">
        <w:rPr>
          <w:rFonts w:asciiTheme="majorHAnsi" w:hAnsiTheme="majorHAnsi"/>
          <w:sz w:val="20"/>
          <w:szCs w:val="20"/>
        </w:rPr>
        <w:t xml:space="preserve"> of public officials, whose actions can be </w:t>
      </w:r>
      <w:r>
        <w:rPr>
          <w:rFonts w:asciiTheme="majorHAnsi" w:hAnsiTheme="majorHAnsi"/>
          <w:sz w:val="20"/>
          <w:szCs w:val="20"/>
        </w:rPr>
        <w:t xml:space="preserve">subject to </w:t>
      </w:r>
      <w:r w:rsidRPr="00B843C2">
        <w:rPr>
          <w:rFonts w:asciiTheme="majorHAnsi" w:hAnsiTheme="majorHAnsi"/>
          <w:sz w:val="20"/>
          <w:szCs w:val="20"/>
        </w:rPr>
        <w:t xml:space="preserve">constitutional </w:t>
      </w:r>
      <w:r>
        <w:rPr>
          <w:rFonts w:asciiTheme="majorHAnsi" w:hAnsiTheme="majorHAnsi"/>
          <w:sz w:val="20"/>
          <w:szCs w:val="20"/>
        </w:rPr>
        <w:t>appeals.</w:t>
      </w:r>
      <w:r w:rsidRPr="00673E1C">
        <w:rPr>
          <w:rFonts w:asciiTheme="majorHAnsi" w:hAnsiTheme="majorHAnsi"/>
          <w:sz w:val="20"/>
          <w:szCs w:val="20"/>
        </w:rPr>
        <w:t xml:space="preserve"> </w:t>
      </w:r>
      <w:r w:rsidRPr="00B843C2">
        <w:rPr>
          <w:rFonts w:asciiTheme="majorHAnsi" w:hAnsiTheme="majorHAnsi"/>
          <w:sz w:val="20"/>
          <w:szCs w:val="20"/>
        </w:rPr>
        <w:t xml:space="preserve">The petitioners indicate that provisions of the Law on Constitutional Justice establish that when the jurisdictional body </w:t>
      </w:r>
      <w:r>
        <w:rPr>
          <w:rFonts w:asciiTheme="majorHAnsi" w:hAnsiTheme="majorHAnsi"/>
          <w:sz w:val="20"/>
          <w:szCs w:val="20"/>
        </w:rPr>
        <w:t>declares</w:t>
      </w:r>
      <w:r w:rsidRPr="00B843C2">
        <w:rPr>
          <w:rFonts w:asciiTheme="majorHAnsi" w:hAnsiTheme="majorHAnsi"/>
          <w:sz w:val="20"/>
          <w:szCs w:val="20"/>
        </w:rPr>
        <w:t xml:space="preserve"> that it lacks competence to hear a constitutional appeal, it must </w:t>
      </w:r>
      <w:r>
        <w:rPr>
          <w:rFonts w:asciiTheme="majorHAnsi" w:hAnsiTheme="majorHAnsi"/>
          <w:sz w:val="20"/>
          <w:szCs w:val="20"/>
        </w:rPr>
        <w:t>forward</w:t>
      </w:r>
      <w:r w:rsidRPr="00B843C2">
        <w:rPr>
          <w:rFonts w:asciiTheme="majorHAnsi" w:hAnsiTheme="majorHAnsi"/>
          <w:sz w:val="20"/>
          <w:szCs w:val="20"/>
        </w:rPr>
        <w:t xml:space="preserve"> the case to the </w:t>
      </w:r>
      <w:r w:rsidRPr="00B94188">
        <w:rPr>
          <w:rFonts w:asciiTheme="majorHAnsi" w:hAnsiTheme="majorHAnsi"/>
          <w:sz w:val="20"/>
          <w:szCs w:val="20"/>
        </w:rPr>
        <w:t xml:space="preserve">competent </w:t>
      </w:r>
      <w:r>
        <w:rPr>
          <w:rFonts w:asciiTheme="majorHAnsi" w:hAnsiTheme="majorHAnsi"/>
          <w:sz w:val="20"/>
          <w:szCs w:val="20"/>
        </w:rPr>
        <w:t>officer</w:t>
      </w:r>
      <w:r w:rsidRPr="00B94188">
        <w:rPr>
          <w:rFonts w:asciiTheme="majorHAnsi" w:hAnsiTheme="majorHAnsi"/>
          <w:sz w:val="20"/>
          <w:szCs w:val="20"/>
        </w:rPr>
        <w:t xml:space="preserve"> within</w:t>
      </w:r>
      <w:r>
        <w:rPr>
          <w:rFonts w:asciiTheme="majorHAnsi" w:hAnsiTheme="majorHAnsi"/>
          <w:sz w:val="20"/>
          <w:szCs w:val="20"/>
        </w:rPr>
        <w:t xml:space="preserve"> the following</w:t>
      </w:r>
      <w:r w:rsidRPr="00B843C2">
        <w:rPr>
          <w:rFonts w:asciiTheme="majorHAnsi" w:hAnsiTheme="majorHAnsi"/>
          <w:sz w:val="20"/>
          <w:szCs w:val="20"/>
        </w:rPr>
        <w:t xml:space="preserve"> 24 </w:t>
      </w:r>
      <w:r>
        <w:rPr>
          <w:rFonts w:asciiTheme="majorHAnsi" w:hAnsiTheme="majorHAnsi"/>
          <w:sz w:val="20"/>
          <w:szCs w:val="20"/>
        </w:rPr>
        <w:t>hours</w:t>
      </w:r>
      <w:r w:rsidRPr="00B843C2">
        <w:rPr>
          <w:rFonts w:asciiTheme="majorHAnsi" w:hAnsiTheme="majorHAnsi"/>
          <w:sz w:val="20"/>
          <w:szCs w:val="20"/>
        </w:rPr>
        <w:t xml:space="preserve">. </w:t>
      </w:r>
      <w:r w:rsidRPr="00063368">
        <w:rPr>
          <w:rFonts w:asciiTheme="majorHAnsi" w:hAnsiTheme="majorHAnsi"/>
          <w:sz w:val="20"/>
          <w:szCs w:val="20"/>
        </w:rPr>
        <w:t xml:space="preserve">They maintain, however, that the Special Chamber refrained from </w:t>
      </w:r>
      <w:r>
        <w:rPr>
          <w:rFonts w:asciiTheme="majorHAnsi" w:hAnsiTheme="majorHAnsi"/>
          <w:sz w:val="20"/>
          <w:szCs w:val="20"/>
        </w:rPr>
        <w:t>sending</w:t>
      </w:r>
      <w:r w:rsidRPr="00063368">
        <w:rPr>
          <w:rFonts w:asciiTheme="majorHAnsi" w:hAnsiTheme="majorHAnsi"/>
          <w:sz w:val="20"/>
          <w:szCs w:val="20"/>
        </w:rPr>
        <w:t xml:space="preserve"> the case file to </w:t>
      </w:r>
      <w:r>
        <w:rPr>
          <w:rFonts w:asciiTheme="majorHAnsi" w:hAnsiTheme="majorHAnsi"/>
          <w:sz w:val="20"/>
          <w:szCs w:val="20"/>
        </w:rPr>
        <w:t xml:space="preserve">any other authority. </w:t>
      </w:r>
      <w:r w:rsidRPr="00063368">
        <w:rPr>
          <w:rFonts w:asciiTheme="majorHAnsi" w:hAnsiTheme="majorHAnsi"/>
          <w:sz w:val="20"/>
          <w:szCs w:val="20"/>
        </w:rPr>
        <w:t xml:space="preserve">They submit that the arbitrary interpretation of the Constitution violated the alleged victims’ right of </w:t>
      </w:r>
      <w:r>
        <w:rPr>
          <w:rFonts w:asciiTheme="majorHAnsi" w:hAnsiTheme="majorHAnsi"/>
          <w:sz w:val="20"/>
          <w:szCs w:val="20"/>
        </w:rPr>
        <w:t>access to justice.</w:t>
      </w:r>
      <w:r w:rsidRPr="00893540">
        <w:rPr>
          <w:rFonts w:asciiTheme="majorHAnsi" w:hAnsiTheme="majorHAnsi"/>
          <w:sz w:val="20"/>
          <w:szCs w:val="20"/>
        </w:rPr>
        <w:t xml:space="preserve"> </w:t>
      </w:r>
    </w:p>
    <w:p w14:paraId="469B937B" w14:textId="77777777" w:rsidR="00E6692A" w:rsidRPr="00893540" w:rsidRDefault="00E6692A" w:rsidP="00E6692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color w:val="000000" w:themeColor="text1"/>
          <w:sz w:val="20"/>
          <w:szCs w:val="20"/>
        </w:rPr>
      </w:pPr>
    </w:p>
    <w:p w14:paraId="5975A747" w14:textId="77777777" w:rsidR="00E6692A" w:rsidRPr="007620B6" w:rsidRDefault="00E6692A" w:rsidP="00E6692A">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color w:val="000000" w:themeColor="text1"/>
          <w:sz w:val="20"/>
          <w:szCs w:val="20"/>
        </w:rPr>
      </w:pPr>
      <w:r w:rsidRPr="00893540">
        <w:rPr>
          <w:rFonts w:asciiTheme="majorHAnsi" w:hAnsiTheme="majorHAnsi"/>
          <w:sz w:val="20"/>
          <w:szCs w:val="20"/>
        </w:rPr>
        <w:t xml:space="preserve">The petitioners </w:t>
      </w:r>
      <w:r>
        <w:rPr>
          <w:rFonts w:asciiTheme="majorHAnsi" w:hAnsiTheme="majorHAnsi"/>
          <w:sz w:val="20"/>
          <w:szCs w:val="20"/>
        </w:rPr>
        <w:t>say</w:t>
      </w:r>
      <w:r w:rsidRPr="00893540">
        <w:rPr>
          <w:rFonts w:asciiTheme="majorHAnsi" w:hAnsiTheme="majorHAnsi"/>
          <w:sz w:val="20"/>
          <w:szCs w:val="20"/>
        </w:rPr>
        <w:t xml:space="preserve"> that since the aforementioned judgment was not unanimous, the Plenary of the Supreme Court analyzed the </w:t>
      </w:r>
      <w:r>
        <w:rPr>
          <w:rFonts w:asciiTheme="majorHAnsi" w:hAnsiTheme="majorHAnsi"/>
          <w:i/>
          <w:iCs/>
          <w:sz w:val="20"/>
          <w:szCs w:val="20"/>
        </w:rPr>
        <w:t>a</w:t>
      </w:r>
      <w:r w:rsidRPr="00A44FEF">
        <w:rPr>
          <w:rFonts w:asciiTheme="majorHAnsi" w:hAnsiTheme="majorHAnsi"/>
          <w:i/>
          <w:iCs/>
          <w:sz w:val="20"/>
          <w:szCs w:val="20"/>
        </w:rPr>
        <w:t>mparo</w:t>
      </w:r>
      <w:r w:rsidRPr="00FF5042">
        <w:rPr>
          <w:rFonts w:asciiTheme="majorHAnsi" w:hAnsiTheme="majorHAnsi"/>
          <w:sz w:val="20"/>
          <w:szCs w:val="20"/>
        </w:rPr>
        <w:t xml:space="preserve"> </w:t>
      </w:r>
      <w:r w:rsidRPr="00893540">
        <w:rPr>
          <w:rFonts w:asciiTheme="majorHAnsi" w:hAnsiTheme="majorHAnsi"/>
          <w:sz w:val="20"/>
          <w:szCs w:val="20"/>
        </w:rPr>
        <w:t xml:space="preserve">appeal filed by the alleged victims, and that on February </w:t>
      </w:r>
      <w:r>
        <w:rPr>
          <w:rFonts w:asciiTheme="majorHAnsi" w:hAnsiTheme="majorHAnsi"/>
          <w:sz w:val="20"/>
          <w:szCs w:val="20"/>
        </w:rPr>
        <w:t xml:space="preserve">6, </w:t>
      </w:r>
      <w:r w:rsidRPr="00893540">
        <w:rPr>
          <w:rFonts w:asciiTheme="majorHAnsi" w:hAnsiTheme="majorHAnsi"/>
          <w:sz w:val="20"/>
          <w:szCs w:val="20"/>
        </w:rPr>
        <w:t>2013</w:t>
      </w:r>
      <w:r>
        <w:rPr>
          <w:rFonts w:asciiTheme="majorHAnsi" w:hAnsiTheme="majorHAnsi"/>
          <w:sz w:val="20"/>
          <w:szCs w:val="20"/>
        </w:rPr>
        <w:t>, it ruled to dismiss it</w:t>
      </w:r>
      <w:r w:rsidRPr="00893540">
        <w:rPr>
          <w:rFonts w:asciiTheme="majorHAnsi" w:hAnsiTheme="majorHAnsi"/>
          <w:sz w:val="20"/>
          <w:szCs w:val="20"/>
        </w:rPr>
        <w:t xml:space="preserve"> (</w:t>
      </w:r>
      <w:r>
        <w:rPr>
          <w:rFonts w:asciiTheme="majorHAnsi" w:hAnsiTheme="majorHAnsi"/>
          <w:sz w:val="20"/>
          <w:szCs w:val="20"/>
        </w:rPr>
        <w:t>by</w:t>
      </w:r>
      <w:r w:rsidRPr="00893540">
        <w:rPr>
          <w:rFonts w:asciiTheme="majorHAnsi" w:hAnsiTheme="majorHAnsi"/>
          <w:sz w:val="20"/>
          <w:szCs w:val="20"/>
        </w:rPr>
        <w:t xml:space="preserve"> 13 </w:t>
      </w:r>
      <w:r>
        <w:rPr>
          <w:rFonts w:asciiTheme="majorHAnsi" w:hAnsiTheme="majorHAnsi"/>
          <w:sz w:val="20"/>
          <w:szCs w:val="20"/>
        </w:rPr>
        <w:t>votes in</w:t>
      </w:r>
      <w:r w:rsidRPr="00893540">
        <w:rPr>
          <w:rFonts w:asciiTheme="majorHAnsi" w:hAnsiTheme="majorHAnsi"/>
          <w:sz w:val="20"/>
          <w:szCs w:val="20"/>
        </w:rPr>
        <w:t xml:space="preserve"> favor </w:t>
      </w:r>
      <w:r>
        <w:rPr>
          <w:rFonts w:asciiTheme="majorHAnsi" w:hAnsiTheme="majorHAnsi"/>
          <w:sz w:val="20"/>
          <w:szCs w:val="20"/>
        </w:rPr>
        <w:t>and</w:t>
      </w:r>
      <w:r w:rsidRPr="00893540">
        <w:rPr>
          <w:rFonts w:asciiTheme="majorHAnsi" w:hAnsiTheme="majorHAnsi"/>
          <w:sz w:val="20"/>
          <w:szCs w:val="20"/>
        </w:rPr>
        <w:t xml:space="preserve"> 2 </w:t>
      </w:r>
      <w:r>
        <w:rPr>
          <w:rFonts w:asciiTheme="majorHAnsi" w:hAnsiTheme="majorHAnsi"/>
          <w:sz w:val="20"/>
          <w:szCs w:val="20"/>
        </w:rPr>
        <w:t>votes against</w:t>
      </w:r>
      <w:r w:rsidRPr="00893540">
        <w:rPr>
          <w:rFonts w:asciiTheme="majorHAnsi" w:hAnsiTheme="majorHAnsi"/>
          <w:sz w:val="20"/>
          <w:szCs w:val="20"/>
        </w:rPr>
        <w:t xml:space="preserve">), </w:t>
      </w:r>
      <w:r>
        <w:rPr>
          <w:rFonts w:asciiTheme="majorHAnsi" w:hAnsiTheme="majorHAnsi"/>
          <w:sz w:val="20"/>
          <w:szCs w:val="20"/>
        </w:rPr>
        <w:t xml:space="preserve">arguing that it lacked jurisdiction to hear or decide it. </w:t>
      </w:r>
      <w:r w:rsidRPr="00893540">
        <w:rPr>
          <w:rFonts w:asciiTheme="majorHAnsi" w:hAnsiTheme="majorHAnsi"/>
          <w:sz w:val="20"/>
          <w:szCs w:val="20"/>
        </w:rPr>
        <w:t>The</w:t>
      </w:r>
      <w:r>
        <w:rPr>
          <w:rFonts w:asciiTheme="majorHAnsi" w:hAnsiTheme="majorHAnsi"/>
          <w:sz w:val="20"/>
          <w:szCs w:val="20"/>
        </w:rPr>
        <w:t xml:space="preserve"> petitioners</w:t>
      </w:r>
      <w:r w:rsidRPr="00893540">
        <w:rPr>
          <w:rFonts w:asciiTheme="majorHAnsi" w:hAnsiTheme="majorHAnsi"/>
          <w:sz w:val="20"/>
          <w:szCs w:val="20"/>
        </w:rPr>
        <w:t xml:space="preserve"> indicate that the ruling simply reiterated the arguments of the </w:t>
      </w:r>
      <w:r>
        <w:rPr>
          <w:rFonts w:asciiTheme="majorHAnsi" w:hAnsiTheme="majorHAnsi"/>
          <w:sz w:val="20"/>
          <w:szCs w:val="20"/>
        </w:rPr>
        <w:t>judgment of January 29,</w:t>
      </w:r>
      <w:r w:rsidRPr="00893540">
        <w:rPr>
          <w:rFonts w:asciiTheme="majorHAnsi" w:hAnsiTheme="majorHAnsi"/>
          <w:sz w:val="20"/>
          <w:szCs w:val="20"/>
        </w:rPr>
        <w:t xml:space="preserve"> 2013. They submit that this demonstrates the ineffectiveness of the domestic remedies, the distorted interpretation of basic rights, and the lack of judicial independence of the Supreme </w:t>
      </w:r>
      <w:r w:rsidRPr="007620B6">
        <w:rPr>
          <w:rFonts w:asciiTheme="majorHAnsi" w:hAnsiTheme="majorHAnsi"/>
          <w:sz w:val="20"/>
          <w:szCs w:val="20"/>
        </w:rPr>
        <w:t xml:space="preserve">Court of Justice. </w:t>
      </w:r>
    </w:p>
    <w:p w14:paraId="119F4795" w14:textId="77777777" w:rsidR="00E6692A" w:rsidRPr="00893540" w:rsidRDefault="00E6692A" w:rsidP="00E6692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color w:val="000000" w:themeColor="text1"/>
          <w:sz w:val="20"/>
          <w:szCs w:val="20"/>
        </w:rPr>
      </w:pPr>
    </w:p>
    <w:p w14:paraId="2689CB1D" w14:textId="77777777" w:rsidR="00E6692A" w:rsidRPr="00AE6803" w:rsidRDefault="00E6692A" w:rsidP="00E6692A">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color w:val="000000" w:themeColor="text1"/>
          <w:sz w:val="20"/>
          <w:szCs w:val="20"/>
        </w:rPr>
      </w:pPr>
      <w:r w:rsidRPr="00893540">
        <w:rPr>
          <w:rFonts w:asciiTheme="majorHAnsi" w:hAnsiTheme="majorHAnsi"/>
          <w:sz w:val="20"/>
          <w:szCs w:val="20"/>
        </w:rPr>
        <w:t xml:space="preserve">The petitioners state that they filed an appeal for review of that decision </w:t>
      </w:r>
      <w:r>
        <w:rPr>
          <w:rFonts w:asciiTheme="majorHAnsi" w:hAnsiTheme="majorHAnsi"/>
          <w:sz w:val="20"/>
          <w:szCs w:val="20"/>
        </w:rPr>
        <w:t>(</w:t>
      </w:r>
      <w:r w:rsidRPr="00466298">
        <w:rPr>
          <w:rFonts w:asciiTheme="majorHAnsi" w:hAnsiTheme="majorHAnsi"/>
          <w:i/>
          <w:iCs/>
          <w:sz w:val="20"/>
          <w:szCs w:val="20"/>
        </w:rPr>
        <w:t>recurso de reposición</w:t>
      </w:r>
      <w:r>
        <w:rPr>
          <w:rFonts w:asciiTheme="majorHAnsi" w:hAnsiTheme="majorHAnsi"/>
          <w:sz w:val="20"/>
          <w:szCs w:val="20"/>
        </w:rPr>
        <w:t xml:space="preserve">) </w:t>
      </w:r>
      <w:r w:rsidRPr="00893540">
        <w:rPr>
          <w:rFonts w:asciiTheme="majorHAnsi" w:hAnsiTheme="majorHAnsi"/>
          <w:sz w:val="20"/>
          <w:szCs w:val="20"/>
        </w:rPr>
        <w:t xml:space="preserve">but that </w:t>
      </w:r>
      <w:r>
        <w:rPr>
          <w:rFonts w:asciiTheme="majorHAnsi" w:hAnsiTheme="majorHAnsi"/>
          <w:sz w:val="20"/>
          <w:szCs w:val="20"/>
        </w:rPr>
        <w:t xml:space="preserve">on February 18, 2013, </w:t>
      </w:r>
      <w:r w:rsidRPr="00893540">
        <w:rPr>
          <w:rFonts w:asciiTheme="majorHAnsi" w:hAnsiTheme="majorHAnsi"/>
          <w:sz w:val="20"/>
          <w:szCs w:val="20"/>
        </w:rPr>
        <w:t>the Plenary of the Supreme Court dismissed it (again by 13 votes in favor and 2 against)</w:t>
      </w:r>
      <w:r>
        <w:rPr>
          <w:rFonts w:asciiTheme="majorHAnsi" w:hAnsiTheme="majorHAnsi"/>
          <w:sz w:val="20"/>
          <w:szCs w:val="20"/>
        </w:rPr>
        <w:t>, on the grounds that judgments, once signed, cannot be changed.</w:t>
      </w:r>
      <w:r w:rsidRPr="00893540">
        <w:rPr>
          <w:rFonts w:asciiTheme="majorHAnsi" w:hAnsiTheme="majorHAnsi"/>
          <w:sz w:val="20"/>
          <w:szCs w:val="20"/>
        </w:rPr>
        <w:t xml:space="preserve"> </w:t>
      </w:r>
      <w:r w:rsidRPr="00AE6803">
        <w:rPr>
          <w:rFonts w:asciiTheme="majorHAnsi" w:hAnsiTheme="majorHAnsi"/>
          <w:sz w:val="20"/>
          <w:szCs w:val="20"/>
        </w:rPr>
        <w:t xml:space="preserve">They </w:t>
      </w:r>
      <w:r>
        <w:rPr>
          <w:rFonts w:asciiTheme="majorHAnsi" w:hAnsiTheme="majorHAnsi"/>
          <w:sz w:val="20"/>
          <w:szCs w:val="20"/>
        </w:rPr>
        <w:t>argue</w:t>
      </w:r>
      <w:r w:rsidRPr="00AE6803">
        <w:rPr>
          <w:rFonts w:asciiTheme="majorHAnsi" w:hAnsiTheme="majorHAnsi"/>
          <w:sz w:val="20"/>
          <w:szCs w:val="20"/>
        </w:rPr>
        <w:t xml:space="preserve"> that this confirmed that the domestic remedies are merely useless and ineffective formalities, as</w:t>
      </w:r>
      <w:r>
        <w:rPr>
          <w:rFonts w:asciiTheme="majorHAnsi" w:hAnsiTheme="majorHAnsi"/>
          <w:sz w:val="20"/>
          <w:szCs w:val="20"/>
        </w:rPr>
        <w:t xml:space="preserve"> they led to the complete denial of justice to the alleged victims. </w:t>
      </w:r>
      <w:r w:rsidRPr="00AE6803">
        <w:rPr>
          <w:rFonts w:asciiTheme="majorHAnsi" w:hAnsiTheme="majorHAnsi"/>
          <w:sz w:val="20"/>
          <w:szCs w:val="20"/>
        </w:rPr>
        <w:t>They also maintain that having been illegally and arbitrarily dismissed, the alleged victims have been deprived of th</w:t>
      </w:r>
      <w:r>
        <w:rPr>
          <w:rFonts w:asciiTheme="majorHAnsi" w:hAnsiTheme="majorHAnsi"/>
          <w:sz w:val="20"/>
          <w:szCs w:val="20"/>
        </w:rPr>
        <w:t>eir right to remain in office and of the opportunity to be reelected, which thus violated their right to work.</w:t>
      </w:r>
    </w:p>
    <w:p w14:paraId="0F41E2EB" w14:textId="77777777" w:rsidR="00E6692A" w:rsidRPr="00AE6803" w:rsidRDefault="00E6692A" w:rsidP="00E6692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color w:val="000000" w:themeColor="text1"/>
          <w:sz w:val="20"/>
          <w:szCs w:val="20"/>
        </w:rPr>
      </w:pPr>
    </w:p>
    <w:p w14:paraId="6DAAFA81" w14:textId="77777777" w:rsidR="00E6692A" w:rsidRPr="002115E2" w:rsidRDefault="00E6692A" w:rsidP="00E6692A">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color w:val="000000" w:themeColor="text1"/>
          <w:sz w:val="20"/>
          <w:szCs w:val="20"/>
        </w:rPr>
      </w:pPr>
      <w:r w:rsidRPr="002700E4">
        <w:rPr>
          <w:rFonts w:asciiTheme="majorHAnsi" w:hAnsiTheme="majorHAnsi"/>
          <w:sz w:val="20"/>
          <w:szCs w:val="20"/>
        </w:rPr>
        <w:t xml:space="preserve">The petitioners </w:t>
      </w:r>
      <w:r>
        <w:rPr>
          <w:rFonts w:asciiTheme="majorHAnsi" w:hAnsiTheme="majorHAnsi"/>
          <w:sz w:val="20"/>
          <w:szCs w:val="20"/>
        </w:rPr>
        <w:t>point out</w:t>
      </w:r>
      <w:r w:rsidRPr="002700E4">
        <w:rPr>
          <w:rFonts w:asciiTheme="majorHAnsi" w:hAnsiTheme="majorHAnsi"/>
          <w:sz w:val="20"/>
          <w:szCs w:val="20"/>
        </w:rPr>
        <w:t xml:space="preserve"> that since the four justices were wrongfully removed, the Constitutional Chamber is made up of illegally appointed </w:t>
      </w:r>
      <w:r>
        <w:rPr>
          <w:rFonts w:asciiTheme="majorHAnsi" w:hAnsiTheme="majorHAnsi"/>
          <w:sz w:val="20"/>
          <w:szCs w:val="20"/>
        </w:rPr>
        <w:t xml:space="preserve">replacements. </w:t>
      </w:r>
      <w:r w:rsidRPr="002115E2">
        <w:rPr>
          <w:rFonts w:asciiTheme="majorHAnsi" w:hAnsiTheme="majorHAnsi"/>
          <w:sz w:val="20"/>
          <w:szCs w:val="20"/>
        </w:rPr>
        <w:t>They indicate that this demonstrates the judiciary</w:t>
      </w:r>
      <w:r>
        <w:rPr>
          <w:rFonts w:asciiTheme="majorHAnsi" w:hAnsiTheme="majorHAnsi"/>
          <w:sz w:val="20"/>
          <w:szCs w:val="20"/>
        </w:rPr>
        <w:t>’s</w:t>
      </w:r>
      <w:r w:rsidRPr="002115E2">
        <w:rPr>
          <w:rFonts w:asciiTheme="majorHAnsi" w:hAnsiTheme="majorHAnsi"/>
          <w:sz w:val="20"/>
          <w:szCs w:val="20"/>
        </w:rPr>
        <w:t xml:space="preserve"> submission </w:t>
      </w:r>
      <w:r>
        <w:rPr>
          <w:rFonts w:asciiTheme="majorHAnsi" w:hAnsiTheme="majorHAnsi"/>
          <w:sz w:val="20"/>
          <w:szCs w:val="20"/>
        </w:rPr>
        <w:t xml:space="preserve">to the legislative and executive branches. </w:t>
      </w:r>
      <w:r w:rsidRPr="002115E2">
        <w:rPr>
          <w:rFonts w:asciiTheme="majorHAnsi" w:hAnsiTheme="majorHAnsi"/>
          <w:sz w:val="20"/>
          <w:szCs w:val="20"/>
        </w:rPr>
        <w:t>Moreover, they claim that the alleged victims, since their dismissal, have been constantly threatened and harassed by police officers an</w:t>
      </w:r>
      <w:r>
        <w:rPr>
          <w:rFonts w:asciiTheme="majorHAnsi" w:hAnsiTheme="majorHAnsi"/>
          <w:sz w:val="20"/>
          <w:szCs w:val="20"/>
        </w:rPr>
        <w:t xml:space="preserve">d unidentified individuals. </w:t>
      </w:r>
      <w:r w:rsidRPr="002115E2">
        <w:rPr>
          <w:rFonts w:asciiTheme="majorHAnsi" w:hAnsiTheme="majorHAnsi"/>
          <w:sz w:val="20"/>
          <w:szCs w:val="20"/>
        </w:rPr>
        <w:t xml:space="preserve">They submit that these incidents have been </w:t>
      </w:r>
      <w:r w:rsidRPr="00FA14E5">
        <w:rPr>
          <w:rFonts w:asciiTheme="majorHAnsi" w:hAnsiTheme="majorHAnsi"/>
          <w:sz w:val="20"/>
          <w:szCs w:val="20"/>
        </w:rPr>
        <w:t>reported to the Attorney General’s Office and</w:t>
      </w:r>
      <w:r w:rsidRPr="002115E2">
        <w:rPr>
          <w:rFonts w:asciiTheme="majorHAnsi" w:hAnsiTheme="majorHAnsi"/>
          <w:sz w:val="20"/>
          <w:szCs w:val="20"/>
        </w:rPr>
        <w:t xml:space="preserve"> brought to the attention of the National </w:t>
      </w:r>
      <w:r w:rsidRPr="002115E2">
        <w:rPr>
          <w:rFonts w:asciiTheme="majorHAnsi" w:hAnsiTheme="majorHAnsi"/>
          <w:sz w:val="20"/>
          <w:szCs w:val="20"/>
        </w:rPr>
        <w:lastRenderedPageBreak/>
        <w:t>Human Rights Commission</w:t>
      </w:r>
      <w:r>
        <w:rPr>
          <w:rFonts w:asciiTheme="majorHAnsi" w:hAnsiTheme="majorHAnsi"/>
          <w:sz w:val="20"/>
          <w:szCs w:val="20"/>
        </w:rPr>
        <w:t xml:space="preserve"> </w:t>
      </w:r>
      <w:r w:rsidRPr="002115E2">
        <w:rPr>
          <w:rFonts w:asciiTheme="majorHAnsi" w:hAnsiTheme="majorHAnsi"/>
          <w:sz w:val="20"/>
          <w:szCs w:val="20"/>
        </w:rPr>
        <w:t xml:space="preserve">and the Committee of Relatives of the </w:t>
      </w:r>
      <w:r>
        <w:rPr>
          <w:rFonts w:asciiTheme="majorHAnsi" w:hAnsiTheme="majorHAnsi"/>
          <w:sz w:val="20"/>
          <w:szCs w:val="20"/>
        </w:rPr>
        <w:t>Detained–</w:t>
      </w:r>
      <w:r w:rsidRPr="002115E2">
        <w:rPr>
          <w:rFonts w:asciiTheme="majorHAnsi" w:hAnsiTheme="majorHAnsi"/>
          <w:sz w:val="20"/>
          <w:szCs w:val="20"/>
        </w:rPr>
        <w:t>Disappeared in Honduras but that St</w:t>
      </w:r>
      <w:r>
        <w:rPr>
          <w:rFonts w:asciiTheme="majorHAnsi" w:hAnsiTheme="majorHAnsi"/>
          <w:sz w:val="20"/>
          <w:szCs w:val="20"/>
        </w:rPr>
        <w:t xml:space="preserve">ate authorities have failed to take any steps to investigate or afford protection. </w:t>
      </w:r>
      <w:r w:rsidRPr="002115E2">
        <w:rPr>
          <w:rFonts w:asciiTheme="majorHAnsi" w:hAnsiTheme="majorHAnsi"/>
          <w:sz w:val="20"/>
          <w:szCs w:val="20"/>
        </w:rPr>
        <w:t>Furthermore, the petitioners claim that both the President of the Republic and the President and deputies of the Congress have lodged frivolous and malicious accusations against the alleged victims, which harm the dign</w:t>
      </w:r>
      <w:r>
        <w:rPr>
          <w:rFonts w:asciiTheme="majorHAnsi" w:hAnsiTheme="majorHAnsi"/>
          <w:sz w:val="20"/>
          <w:szCs w:val="20"/>
        </w:rPr>
        <w:t xml:space="preserve">ity and honor of the alleged victims themselves and their families. </w:t>
      </w:r>
    </w:p>
    <w:p w14:paraId="53591C5A" w14:textId="77777777" w:rsidR="00E6692A" w:rsidRPr="002115E2" w:rsidRDefault="00E6692A" w:rsidP="00E6692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color w:val="000000" w:themeColor="text1"/>
          <w:sz w:val="20"/>
          <w:szCs w:val="20"/>
        </w:rPr>
      </w:pPr>
    </w:p>
    <w:p w14:paraId="1CA17B58" w14:textId="77777777" w:rsidR="00E6692A" w:rsidRPr="00DB55CD" w:rsidRDefault="00E6692A" w:rsidP="00E6692A">
      <w:pPr>
        <w:pStyle w:val="Heading2"/>
        <w:numPr>
          <w:ilvl w:val="0"/>
          <w:numId w:val="66"/>
        </w:numPr>
        <w:jc w:val="left"/>
      </w:pPr>
      <w:bookmarkStart w:id="6" w:name="_Toc69410056"/>
      <w:r>
        <w:t>State</w:t>
      </w:r>
      <w:bookmarkEnd w:id="6"/>
      <w:r w:rsidRPr="00DB55CD">
        <w:t xml:space="preserve"> </w:t>
      </w:r>
    </w:p>
    <w:p w14:paraId="7A059FDA" w14:textId="77777777" w:rsidR="00E6692A" w:rsidRPr="00DB55CD" w:rsidRDefault="00E6692A" w:rsidP="00E6692A">
      <w:pPr>
        <w:tabs>
          <w:tab w:val="left" w:pos="360"/>
        </w:tabs>
        <w:suppressAutoHyphens/>
        <w:rPr>
          <w:rFonts w:asciiTheme="majorHAnsi" w:hAnsiTheme="majorHAnsi"/>
          <w:sz w:val="20"/>
          <w:szCs w:val="20"/>
          <w:lang w:val="es-ES_tradnl"/>
        </w:rPr>
      </w:pPr>
    </w:p>
    <w:p w14:paraId="44D279F0" w14:textId="77777777" w:rsidR="00E6692A" w:rsidRPr="006F26CA" w:rsidRDefault="00E6692A" w:rsidP="00E6692A">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color w:val="000000" w:themeColor="text1"/>
          <w:sz w:val="20"/>
          <w:szCs w:val="20"/>
        </w:rPr>
      </w:pPr>
      <w:r w:rsidRPr="006F26CA">
        <w:rPr>
          <w:rFonts w:asciiTheme="majorHAnsi" w:hAnsiTheme="majorHAnsi"/>
          <w:sz w:val="20"/>
          <w:szCs w:val="20"/>
        </w:rPr>
        <w:t xml:space="preserve">For its part, the State maintains that the procedure followed by the National Congress ensured the alleged victims’ right of due process. It claims that on December 10, 2012, the Congress created a </w:t>
      </w:r>
      <w:r>
        <w:rPr>
          <w:rFonts w:asciiTheme="majorHAnsi" w:hAnsiTheme="majorHAnsi"/>
          <w:sz w:val="20"/>
          <w:szCs w:val="20"/>
        </w:rPr>
        <w:t>S</w:t>
      </w:r>
      <w:r w:rsidRPr="006F26CA">
        <w:rPr>
          <w:rFonts w:asciiTheme="majorHAnsi" w:hAnsiTheme="majorHAnsi"/>
          <w:sz w:val="20"/>
          <w:szCs w:val="20"/>
        </w:rPr>
        <w:t>pecial Committee that investigated the administrative conduct of the justices of the Supreme Court</w:t>
      </w:r>
      <w:r>
        <w:rPr>
          <w:rFonts w:asciiTheme="majorHAnsi" w:hAnsiTheme="majorHAnsi"/>
          <w:sz w:val="20"/>
          <w:szCs w:val="20"/>
        </w:rPr>
        <w:t xml:space="preserve">, in particular those on the Constitutional Chamber. </w:t>
      </w:r>
      <w:r w:rsidRPr="006F26CA">
        <w:rPr>
          <w:rFonts w:asciiTheme="majorHAnsi" w:hAnsiTheme="majorHAnsi"/>
          <w:sz w:val="20"/>
          <w:szCs w:val="20"/>
        </w:rPr>
        <w:t>It points out that the investigation concerned “their administrative conduct in matters of public security, by way of complementing the efforts made by the Congress in reforming the Constitution and</w:t>
      </w:r>
      <w:r>
        <w:rPr>
          <w:rFonts w:asciiTheme="majorHAnsi" w:hAnsiTheme="majorHAnsi"/>
          <w:sz w:val="20"/>
          <w:szCs w:val="20"/>
        </w:rPr>
        <w:t xml:space="preserve"> issuing specific laws to afford more security to the citizens.”</w:t>
      </w:r>
      <w:r w:rsidRPr="006F26CA">
        <w:rPr>
          <w:rFonts w:asciiTheme="majorHAnsi" w:hAnsiTheme="majorHAnsi"/>
          <w:sz w:val="20"/>
          <w:szCs w:val="20"/>
        </w:rPr>
        <w:t xml:space="preserve"> </w:t>
      </w:r>
    </w:p>
    <w:p w14:paraId="599CBCE2" w14:textId="77777777" w:rsidR="00E6692A" w:rsidRPr="00E903DC" w:rsidRDefault="00E6692A" w:rsidP="00E6692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color w:val="000000" w:themeColor="text1"/>
          <w:sz w:val="20"/>
          <w:szCs w:val="20"/>
        </w:rPr>
      </w:pPr>
    </w:p>
    <w:p w14:paraId="6D071BFD" w14:textId="77777777" w:rsidR="00E6692A" w:rsidRPr="00AF341F" w:rsidRDefault="00E6692A" w:rsidP="00E6692A">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color w:val="000000" w:themeColor="text1"/>
          <w:sz w:val="20"/>
          <w:szCs w:val="20"/>
        </w:rPr>
      </w:pPr>
      <w:r w:rsidRPr="00E903DC">
        <w:rPr>
          <w:rFonts w:asciiTheme="majorHAnsi" w:hAnsiTheme="majorHAnsi"/>
          <w:sz w:val="20"/>
          <w:szCs w:val="20"/>
        </w:rPr>
        <w:t xml:space="preserve">The State </w:t>
      </w:r>
      <w:r>
        <w:rPr>
          <w:rFonts w:asciiTheme="majorHAnsi" w:hAnsiTheme="majorHAnsi"/>
          <w:sz w:val="20"/>
          <w:szCs w:val="20"/>
        </w:rPr>
        <w:t>submits</w:t>
      </w:r>
      <w:r w:rsidRPr="00E903DC">
        <w:rPr>
          <w:rFonts w:asciiTheme="majorHAnsi" w:hAnsiTheme="majorHAnsi"/>
          <w:sz w:val="20"/>
          <w:szCs w:val="20"/>
        </w:rPr>
        <w:t xml:space="preserve"> that the Committee’s report established that the constitutional complaint filed to challenge the </w:t>
      </w:r>
      <w:r w:rsidRPr="00A44339">
        <w:rPr>
          <w:rFonts w:asciiTheme="majorHAnsi" w:hAnsiTheme="majorHAnsi"/>
          <w:sz w:val="20"/>
          <w:szCs w:val="20"/>
        </w:rPr>
        <w:t xml:space="preserve">Special Law to Purge the Police Force of Corruption was resolved on November 27, 2012, </w:t>
      </w:r>
      <w:r>
        <w:rPr>
          <w:rFonts w:asciiTheme="majorHAnsi" w:hAnsiTheme="majorHAnsi"/>
          <w:sz w:val="20"/>
          <w:szCs w:val="20"/>
        </w:rPr>
        <w:t>after</w:t>
      </w:r>
      <w:r w:rsidRPr="00A44339">
        <w:rPr>
          <w:rFonts w:asciiTheme="majorHAnsi" w:hAnsiTheme="majorHAnsi"/>
          <w:sz w:val="20"/>
          <w:szCs w:val="20"/>
        </w:rPr>
        <w:t xml:space="preserve"> that law was no longer in force. In this regard, it notes that Decree 89-2012 concerning the Special Law to Purge the Police Force of Corruption</w:t>
      </w:r>
      <w:r w:rsidRPr="00E903DC">
        <w:rPr>
          <w:rFonts w:asciiTheme="majorHAnsi" w:hAnsiTheme="majorHAnsi"/>
          <w:sz w:val="20"/>
          <w:szCs w:val="20"/>
        </w:rPr>
        <w:t xml:space="preserve"> was i</w:t>
      </w:r>
      <w:r>
        <w:rPr>
          <w:rFonts w:asciiTheme="majorHAnsi" w:hAnsiTheme="majorHAnsi"/>
          <w:sz w:val="20"/>
          <w:szCs w:val="20"/>
        </w:rPr>
        <w:t xml:space="preserve">n force from May 25, </w:t>
      </w:r>
      <w:r w:rsidRPr="00E903DC">
        <w:rPr>
          <w:rFonts w:asciiTheme="majorHAnsi" w:hAnsiTheme="majorHAnsi"/>
          <w:sz w:val="20"/>
          <w:szCs w:val="20"/>
        </w:rPr>
        <w:t>2012</w:t>
      </w:r>
      <w:r>
        <w:rPr>
          <w:rFonts w:asciiTheme="majorHAnsi" w:hAnsiTheme="majorHAnsi"/>
          <w:sz w:val="20"/>
          <w:szCs w:val="20"/>
        </w:rPr>
        <w:t xml:space="preserve">, to November </w:t>
      </w:r>
      <w:r w:rsidRPr="00E903DC">
        <w:rPr>
          <w:rFonts w:asciiTheme="majorHAnsi" w:hAnsiTheme="majorHAnsi"/>
          <w:sz w:val="20"/>
          <w:szCs w:val="20"/>
        </w:rPr>
        <w:t>25</w:t>
      </w:r>
      <w:r>
        <w:rPr>
          <w:rFonts w:asciiTheme="majorHAnsi" w:hAnsiTheme="majorHAnsi"/>
          <w:sz w:val="20"/>
          <w:szCs w:val="20"/>
        </w:rPr>
        <w:t xml:space="preserve">, </w:t>
      </w:r>
      <w:r w:rsidRPr="00E903DC">
        <w:rPr>
          <w:rFonts w:asciiTheme="majorHAnsi" w:hAnsiTheme="majorHAnsi"/>
          <w:sz w:val="20"/>
          <w:szCs w:val="20"/>
        </w:rPr>
        <w:t xml:space="preserve">2012. </w:t>
      </w:r>
      <w:r w:rsidRPr="00AF341F">
        <w:rPr>
          <w:rFonts w:asciiTheme="majorHAnsi" w:hAnsiTheme="majorHAnsi"/>
          <w:sz w:val="20"/>
          <w:szCs w:val="20"/>
        </w:rPr>
        <w:t xml:space="preserve">The Committee therefore deemed that the Constitutional Chamber’s decision was inconsistent with the security policy implemented by the legislative and executive branches, and </w:t>
      </w:r>
      <w:r w:rsidRPr="00600363">
        <w:rPr>
          <w:rFonts w:asciiTheme="majorHAnsi" w:hAnsiTheme="majorHAnsi"/>
          <w:sz w:val="20"/>
          <w:szCs w:val="20"/>
        </w:rPr>
        <w:t>that it caused serious harm</w:t>
      </w:r>
      <w:r w:rsidRPr="00AF341F">
        <w:rPr>
          <w:rFonts w:asciiTheme="majorHAnsi" w:hAnsiTheme="majorHAnsi"/>
          <w:sz w:val="20"/>
          <w:szCs w:val="20"/>
        </w:rPr>
        <w:t xml:space="preserve"> </w:t>
      </w:r>
      <w:r>
        <w:rPr>
          <w:rFonts w:asciiTheme="majorHAnsi" w:hAnsiTheme="majorHAnsi"/>
          <w:sz w:val="20"/>
          <w:szCs w:val="20"/>
        </w:rPr>
        <w:t>to</w:t>
      </w:r>
      <w:r w:rsidRPr="00AF341F">
        <w:rPr>
          <w:rFonts w:asciiTheme="majorHAnsi" w:hAnsiTheme="majorHAnsi"/>
          <w:sz w:val="20"/>
          <w:szCs w:val="20"/>
        </w:rPr>
        <w:t xml:space="preserve"> the State</w:t>
      </w:r>
      <w:r>
        <w:rPr>
          <w:rFonts w:asciiTheme="majorHAnsi" w:hAnsiTheme="majorHAnsi"/>
          <w:sz w:val="20"/>
          <w:szCs w:val="20"/>
        </w:rPr>
        <w:t xml:space="preserve"> because it represented </w:t>
      </w:r>
      <w:r w:rsidRPr="00AF341F">
        <w:rPr>
          <w:rFonts w:asciiTheme="majorHAnsi" w:hAnsiTheme="majorHAnsi"/>
          <w:sz w:val="20"/>
          <w:szCs w:val="20"/>
        </w:rPr>
        <w:t xml:space="preserve">a setback in the progress </w:t>
      </w:r>
      <w:r>
        <w:rPr>
          <w:rFonts w:asciiTheme="majorHAnsi" w:hAnsiTheme="majorHAnsi"/>
          <w:sz w:val="20"/>
          <w:szCs w:val="20"/>
        </w:rPr>
        <w:t>made</w:t>
      </w:r>
      <w:r w:rsidRPr="00AF341F">
        <w:rPr>
          <w:rFonts w:asciiTheme="majorHAnsi" w:hAnsiTheme="majorHAnsi"/>
          <w:sz w:val="20"/>
          <w:szCs w:val="20"/>
        </w:rPr>
        <w:t xml:space="preserve"> in </w:t>
      </w:r>
      <w:r>
        <w:rPr>
          <w:rFonts w:asciiTheme="majorHAnsi" w:hAnsiTheme="majorHAnsi"/>
          <w:sz w:val="20"/>
          <w:szCs w:val="20"/>
        </w:rPr>
        <w:t>fighting</w:t>
      </w:r>
      <w:r w:rsidRPr="00AF341F">
        <w:rPr>
          <w:rFonts w:asciiTheme="majorHAnsi" w:hAnsiTheme="majorHAnsi"/>
          <w:sz w:val="20"/>
          <w:szCs w:val="20"/>
        </w:rPr>
        <w:t xml:space="preserve"> crime and jeopardized the security of people and their property. </w:t>
      </w:r>
    </w:p>
    <w:p w14:paraId="44C9BCB6" w14:textId="77777777" w:rsidR="00E6692A" w:rsidRPr="00AF341F" w:rsidRDefault="00E6692A" w:rsidP="00E6692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color w:val="000000" w:themeColor="text1"/>
          <w:sz w:val="20"/>
          <w:szCs w:val="20"/>
        </w:rPr>
      </w:pPr>
    </w:p>
    <w:p w14:paraId="0A595914" w14:textId="77777777" w:rsidR="00E6692A" w:rsidRPr="00AF341F" w:rsidRDefault="00E6692A" w:rsidP="00E6692A">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color w:val="000000" w:themeColor="text1"/>
          <w:sz w:val="20"/>
          <w:szCs w:val="20"/>
        </w:rPr>
      </w:pPr>
      <w:r w:rsidRPr="00AF341F">
        <w:rPr>
          <w:rFonts w:asciiTheme="majorHAnsi" w:hAnsiTheme="majorHAnsi"/>
          <w:sz w:val="20"/>
          <w:szCs w:val="20"/>
        </w:rPr>
        <w:t xml:space="preserve">The State indicates that several congressional </w:t>
      </w:r>
      <w:r>
        <w:rPr>
          <w:rFonts w:asciiTheme="majorHAnsi" w:hAnsiTheme="majorHAnsi"/>
          <w:sz w:val="20"/>
          <w:szCs w:val="20"/>
        </w:rPr>
        <w:t>deputies</w:t>
      </w:r>
      <w:r w:rsidRPr="00AF341F">
        <w:rPr>
          <w:rFonts w:asciiTheme="majorHAnsi" w:hAnsiTheme="majorHAnsi"/>
          <w:sz w:val="20"/>
          <w:szCs w:val="20"/>
        </w:rPr>
        <w:t xml:space="preserve"> believed that the conduct of the justices of the Constitutional Chamber was manifestly contrary to the State’s public interest and that, as a result, they lodged a motion request</w:t>
      </w:r>
      <w:r>
        <w:rPr>
          <w:rFonts w:asciiTheme="majorHAnsi" w:hAnsiTheme="majorHAnsi"/>
          <w:sz w:val="20"/>
          <w:szCs w:val="20"/>
        </w:rPr>
        <w:t>ing</w:t>
      </w:r>
      <w:r w:rsidRPr="00AF341F">
        <w:rPr>
          <w:rFonts w:asciiTheme="majorHAnsi" w:hAnsiTheme="majorHAnsi"/>
          <w:sz w:val="20"/>
          <w:szCs w:val="20"/>
        </w:rPr>
        <w:t xml:space="preserve"> their immediate removal from of</w:t>
      </w:r>
      <w:r>
        <w:rPr>
          <w:rFonts w:asciiTheme="majorHAnsi" w:hAnsiTheme="majorHAnsi"/>
          <w:sz w:val="20"/>
          <w:szCs w:val="20"/>
        </w:rPr>
        <w:t xml:space="preserve">fice. </w:t>
      </w:r>
      <w:r w:rsidRPr="00AF341F">
        <w:rPr>
          <w:rFonts w:asciiTheme="majorHAnsi" w:hAnsiTheme="majorHAnsi"/>
          <w:sz w:val="20"/>
          <w:szCs w:val="20"/>
        </w:rPr>
        <w:t xml:space="preserve">The State submits that afterward, the judicial vacancies were filled pursuant to </w:t>
      </w:r>
      <w:r>
        <w:rPr>
          <w:rFonts w:asciiTheme="majorHAnsi" w:hAnsiTheme="majorHAnsi"/>
          <w:sz w:val="20"/>
          <w:szCs w:val="20"/>
        </w:rPr>
        <w:t xml:space="preserve">the provisions of </w:t>
      </w:r>
      <w:r w:rsidRPr="00AF341F">
        <w:rPr>
          <w:rFonts w:asciiTheme="majorHAnsi" w:hAnsiTheme="majorHAnsi"/>
          <w:sz w:val="20"/>
          <w:szCs w:val="20"/>
        </w:rPr>
        <w:t xml:space="preserve">domestic </w:t>
      </w:r>
      <w:r>
        <w:rPr>
          <w:rFonts w:asciiTheme="majorHAnsi" w:hAnsiTheme="majorHAnsi"/>
          <w:sz w:val="20"/>
          <w:szCs w:val="20"/>
        </w:rPr>
        <w:t>law.</w:t>
      </w:r>
      <w:r w:rsidRPr="00AF341F">
        <w:rPr>
          <w:rFonts w:asciiTheme="majorHAnsi" w:hAnsiTheme="majorHAnsi"/>
          <w:sz w:val="20"/>
          <w:szCs w:val="20"/>
        </w:rPr>
        <w:t xml:space="preserve">  </w:t>
      </w:r>
    </w:p>
    <w:p w14:paraId="20BB0845" w14:textId="77777777" w:rsidR="00E6692A" w:rsidRPr="00AF341F" w:rsidRDefault="00E6692A" w:rsidP="00E6692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color w:val="000000" w:themeColor="text1"/>
          <w:sz w:val="20"/>
          <w:szCs w:val="20"/>
        </w:rPr>
      </w:pPr>
    </w:p>
    <w:p w14:paraId="4238F4CA" w14:textId="77777777" w:rsidR="00E6692A" w:rsidRPr="00AF341F" w:rsidRDefault="00E6692A" w:rsidP="00E6692A">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color w:val="000000" w:themeColor="text1"/>
          <w:sz w:val="20"/>
          <w:szCs w:val="20"/>
        </w:rPr>
      </w:pPr>
      <w:r w:rsidRPr="00AF341F">
        <w:rPr>
          <w:rFonts w:asciiTheme="majorHAnsi" w:hAnsiTheme="majorHAnsi"/>
          <w:sz w:val="20"/>
          <w:szCs w:val="20"/>
        </w:rPr>
        <w:t>Lastly, the State affirms that the processing and resolution of the constitutional appeal and the appeal for review were done in full observation of the rights of access to justice and due proces</w:t>
      </w:r>
      <w:r>
        <w:rPr>
          <w:rFonts w:asciiTheme="majorHAnsi" w:hAnsiTheme="majorHAnsi"/>
          <w:sz w:val="20"/>
          <w:szCs w:val="20"/>
        </w:rPr>
        <w:t xml:space="preserve">s, without any constraints on the alleged victims. </w:t>
      </w:r>
    </w:p>
    <w:p w14:paraId="1E13CC4A" w14:textId="77777777" w:rsidR="00E6692A" w:rsidRPr="00AF341F" w:rsidRDefault="00E6692A" w:rsidP="00E6692A">
      <w:pPr>
        <w:pStyle w:val="ListParagraph"/>
        <w:rPr>
          <w:lang w:val="en-US"/>
        </w:rPr>
      </w:pPr>
    </w:p>
    <w:p w14:paraId="789103BA" w14:textId="3D18D3F8" w:rsidR="00E6692A" w:rsidRPr="00FA1D55" w:rsidRDefault="00E6692A" w:rsidP="00E6692A">
      <w:pPr>
        <w:pStyle w:val="Heading1"/>
      </w:pPr>
      <w:bookmarkStart w:id="7" w:name="_Toc69410057"/>
      <w:r>
        <w:t xml:space="preserve">III. </w:t>
      </w:r>
      <w:r w:rsidRPr="00FA1D55">
        <w:t>DETERMINATIONS OF FACT</w:t>
      </w:r>
      <w:bookmarkEnd w:id="7"/>
      <w:r w:rsidRPr="00FA1D55">
        <w:t xml:space="preserve"> </w:t>
      </w:r>
    </w:p>
    <w:p w14:paraId="6E48F665" w14:textId="77777777" w:rsidR="00E6692A" w:rsidRPr="00E6692A" w:rsidRDefault="00E6692A" w:rsidP="00E6692A">
      <w:pPr>
        <w:tabs>
          <w:tab w:val="left" w:pos="360"/>
        </w:tabs>
        <w:rPr>
          <w:rFonts w:asciiTheme="majorHAnsi" w:hAnsiTheme="majorHAnsi"/>
          <w:b/>
          <w:color w:val="FF0000"/>
          <w:sz w:val="20"/>
          <w:szCs w:val="20"/>
        </w:rPr>
      </w:pPr>
    </w:p>
    <w:p w14:paraId="00217C67" w14:textId="77777777" w:rsidR="00E6692A" w:rsidRPr="00DB55CD" w:rsidRDefault="00E6692A" w:rsidP="00E6692A">
      <w:pPr>
        <w:pStyle w:val="Heading2"/>
      </w:pPr>
      <w:bookmarkStart w:id="8" w:name="_Toc65248160"/>
      <w:bookmarkStart w:id="9" w:name="_Toc69410058"/>
      <w:r w:rsidRPr="00DB55CD">
        <w:t xml:space="preserve">A. </w:t>
      </w:r>
      <w:bookmarkEnd w:id="8"/>
      <w:r>
        <w:t>Relevant legal framework</w:t>
      </w:r>
      <w:bookmarkEnd w:id="9"/>
    </w:p>
    <w:p w14:paraId="1FAE2AB3" w14:textId="77777777" w:rsidR="00E6692A" w:rsidRPr="00E6692A" w:rsidRDefault="00E6692A" w:rsidP="00E6692A"/>
    <w:p w14:paraId="77A8E01B" w14:textId="77777777" w:rsidR="00E6692A" w:rsidRPr="00F32C92" w:rsidRDefault="00E6692A" w:rsidP="00E6692A">
      <w:pPr>
        <w:pStyle w:val="parrafos"/>
        <w:ind w:left="360" w:hanging="360"/>
        <w:rPr>
          <w:lang w:val="en-US"/>
        </w:rPr>
      </w:pPr>
      <w:r w:rsidRPr="00F32C92">
        <w:rPr>
          <w:lang w:val="en-US"/>
        </w:rPr>
        <w:t>The Constitution of Honduras establishes the following:</w:t>
      </w:r>
    </w:p>
    <w:p w14:paraId="24AA5430" w14:textId="77777777" w:rsidR="00E6692A" w:rsidRPr="00F32C92" w:rsidRDefault="00E6692A" w:rsidP="00E6692A">
      <w:pPr>
        <w:pStyle w:val="parrafos"/>
        <w:numPr>
          <w:ilvl w:val="0"/>
          <w:numId w:val="0"/>
        </w:numPr>
        <w:rPr>
          <w:lang w:val="en-US"/>
        </w:rPr>
      </w:pPr>
    </w:p>
    <w:p w14:paraId="356C69F7" w14:textId="77777777" w:rsidR="00E6692A" w:rsidRPr="00F32C92" w:rsidRDefault="00E6692A" w:rsidP="00E6692A">
      <w:pPr>
        <w:pStyle w:val="parrafos"/>
        <w:numPr>
          <w:ilvl w:val="0"/>
          <w:numId w:val="0"/>
        </w:numPr>
        <w:rPr>
          <w:lang w:val="en-US"/>
        </w:rPr>
      </w:pPr>
      <w:r w:rsidRPr="00515399">
        <w:rPr>
          <w:lang w:val="en-US"/>
        </w:rPr>
        <w:t xml:space="preserve">Article 205. </w:t>
      </w:r>
      <w:r w:rsidRPr="00F32C92">
        <w:rPr>
          <w:lang w:val="en-US"/>
        </w:rPr>
        <w:t>The National Congress shall have the following powers:</w:t>
      </w:r>
    </w:p>
    <w:p w14:paraId="1B29E8DF" w14:textId="77777777" w:rsidR="00E6692A" w:rsidRPr="00F32C92" w:rsidRDefault="00E6692A" w:rsidP="00E6692A">
      <w:pPr>
        <w:pStyle w:val="parrafos"/>
        <w:numPr>
          <w:ilvl w:val="0"/>
          <w:numId w:val="0"/>
        </w:numPr>
        <w:rPr>
          <w:lang w:val="en-US"/>
        </w:rPr>
      </w:pPr>
    </w:p>
    <w:p w14:paraId="31D77912" w14:textId="77777777" w:rsidR="00E6692A" w:rsidRPr="002F7C4A" w:rsidRDefault="00E6692A" w:rsidP="00E6692A">
      <w:pPr>
        <w:pStyle w:val="parrafos"/>
        <w:numPr>
          <w:ilvl w:val="0"/>
          <w:numId w:val="0"/>
        </w:numPr>
        <w:rPr>
          <w:lang w:val="en-US"/>
        </w:rPr>
      </w:pPr>
      <w:r>
        <w:rPr>
          <w:lang w:val="en-US"/>
        </w:rPr>
        <w:t xml:space="preserve">…. </w:t>
      </w:r>
      <w:r w:rsidRPr="002F7C4A">
        <w:rPr>
          <w:lang w:val="en-US"/>
        </w:rPr>
        <w:t xml:space="preserve">9. To elect for the corresponding term, and from the nominee pool of candidates proposed by the Nominating Board referred to in this </w:t>
      </w:r>
      <w:r>
        <w:rPr>
          <w:lang w:val="en-US"/>
        </w:rPr>
        <w:t>C</w:t>
      </w:r>
      <w:r w:rsidRPr="002F7C4A">
        <w:rPr>
          <w:lang w:val="en-US"/>
        </w:rPr>
        <w:t>onstitution, the Justices of the Supre</w:t>
      </w:r>
      <w:r>
        <w:rPr>
          <w:lang w:val="en-US"/>
        </w:rPr>
        <w:t xml:space="preserve">me Court of Justice…. </w:t>
      </w:r>
    </w:p>
    <w:p w14:paraId="324C7B03" w14:textId="77777777" w:rsidR="00E6692A" w:rsidRPr="00515399" w:rsidRDefault="00E6692A" w:rsidP="00E6692A">
      <w:pPr>
        <w:pStyle w:val="parrafos"/>
        <w:numPr>
          <w:ilvl w:val="0"/>
          <w:numId w:val="0"/>
        </w:numPr>
        <w:rPr>
          <w:lang w:val="en-US"/>
        </w:rPr>
      </w:pPr>
      <w:r w:rsidRPr="00515399">
        <w:rPr>
          <w:lang w:val="en-US"/>
        </w:rPr>
        <w:t>20. To approve or disapprove the administrative conduct of the executive branch, the judicial branch and the Supreme Election</w:t>
      </w:r>
      <w:r>
        <w:rPr>
          <w:lang w:val="en-US"/>
        </w:rPr>
        <w:t>s</w:t>
      </w:r>
      <w:r w:rsidRPr="00515399">
        <w:rPr>
          <w:lang w:val="en-US"/>
        </w:rPr>
        <w:t xml:space="preserve"> Tribunal, the Superior Tribunal of Accounts, the Office of the Attorney General of the Republic, the Office of the Attorney for the Environment, </w:t>
      </w:r>
      <w:r w:rsidRPr="00DD66AA">
        <w:rPr>
          <w:lang w:val="en-US"/>
        </w:rPr>
        <w:t>Public Ministry,</w:t>
      </w:r>
      <w:r w:rsidRPr="00515399">
        <w:rPr>
          <w:lang w:val="en-US"/>
        </w:rPr>
        <w:t xml:space="preserve"> Of</w:t>
      </w:r>
      <w:r>
        <w:rPr>
          <w:lang w:val="en-US"/>
        </w:rPr>
        <w:t>fice of the National Commissioner of Human Rights, National Registry of Persons, decentralized institutions and other Auxiliary and Special Institutions of the Stat</w:t>
      </w:r>
      <w:r w:rsidRPr="00DD66AA">
        <w:rPr>
          <w:lang w:val="en-US"/>
        </w:rPr>
        <w:t>e</w:t>
      </w:r>
      <w:r>
        <w:rPr>
          <w:lang w:val="en-US"/>
        </w:rPr>
        <w:t xml:space="preserve">. </w:t>
      </w:r>
    </w:p>
    <w:p w14:paraId="3B17E2E7" w14:textId="77777777" w:rsidR="00E6692A" w:rsidRPr="00515399" w:rsidRDefault="00E6692A" w:rsidP="00E6692A">
      <w:pPr>
        <w:pStyle w:val="parrafos"/>
        <w:numPr>
          <w:ilvl w:val="0"/>
          <w:numId w:val="0"/>
        </w:numPr>
        <w:rPr>
          <w:lang w:val="en-US"/>
        </w:rPr>
      </w:pPr>
      <w:r w:rsidRPr="00515399">
        <w:rPr>
          <w:lang w:val="en-US"/>
        </w:rPr>
        <w:t xml:space="preserve">21. To appoint special committees to investigate matters of national interest. The summons of such committees shall be compulsory under the </w:t>
      </w:r>
      <w:r>
        <w:rPr>
          <w:lang w:val="en-US"/>
        </w:rPr>
        <w:t xml:space="preserve">same penalty </w:t>
      </w:r>
      <w:r w:rsidRPr="00DD66AA">
        <w:rPr>
          <w:lang w:val="en-US"/>
        </w:rPr>
        <w:t>of contempt as</w:t>
      </w:r>
      <w:r>
        <w:rPr>
          <w:lang w:val="en-US"/>
        </w:rPr>
        <w:t xml:space="preserve"> the one used in the judicial process…. </w:t>
      </w:r>
    </w:p>
    <w:p w14:paraId="1E689654" w14:textId="77777777" w:rsidR="00E6692A" w:rsidRPr="00515399" w:rsidRDefault="00E6692A" w:rsidP="00E6692A">
      <w:pPr>
        <w:pStyle w:val="parrafos"/>
        <w:numPr>
          <w:ilvl w:val="0"/>
          <w:numId w:val="0"/>
        </w:numPr>
        <w:rPr>
          <w:lang w:val="en-US"/>
        </w:rPr>
      </w:pPr>
    </w:p>
    <w:p w14:paraId="2D5BE943" w14:textId="77777777" w:rsidR="00E6692A" w:rsidRPr="00515399" w:rsidRDefault="00E6692A" w:rsidP="00E6692A">
      <w:pPr>
        <w:pStyle w:val="parrafos"/>
        <w:numPr>
          <w:ilvl w:val="0"/>
          <w:numId w:val="0"/>
        </w:numPr>
        <w:rPr>
          <w:lang w:val="en-US"/>
        </w:rPr>
      </w:pPr>
      <w:r w:rsidRPr="003D05E9">
        <w:rPr>
          <w:lang w:val="en-US"/>
        </w:rPr>
        <w:t xml:space="preserve">Article 303. </w:t>
      </w:r>
      <w:r w:rsidRPr="00515399">
        <w:rPr>
          <w:lang w:val="en-US"/>
        </w:rPr>
        <w:t xml:space="preserve">The power to dispense justice emanates from the people and is administered free of charge on behalf of the State by independent justices and judges, subject only to the Constitution and the laws. The judicial branch consists of a Supreme Court of Justice, the Courts of Appeals, the courts, </w:t>
      </w:r>
      <w:r>
        <w:rPr>
          <w:lang w:val="en-US"/>
        </w:rPr>
        <w:t xml:space="preserve">by </w:t>
      </w:r>
      <w:r w:rsidRPr="00515399">
        <w:rPr>
          <w:lang w:val="en-US"/>
        </w:rPr>
        <w:t xml:space="preserve">tribunals with exclusive </w:t>
      </w:r>
      <w:r>
        <w:rPr>
          <w:lang w:val="en-US"/>
        </w:rPr>
        <w:t>competence in zones</w:t>
      </w:r>
      <w:r w:rsidRPr="00515399">
        <w:rPr>
          <w:lang w:val="en-US"/>
        </w:rPr>
        <w:t xml:space="preserve"> of the country subject to special regimes created by the Constitution of the Republic and additional offices specified by la</w:t>
      </w:r>
      <w:r>
        <w:rPr>
          <w:lang w:val="en-US"/>
        </w:rPr>
        <w:t xml:space="preserve">w…. </w:t>
      </w:r>
    </w:p>
    <w:p w14:paraId="3A107386" w14:textId="77777777" w:rsidR="00E6692A" w:rsidRPr="00515399" w:rsidRDefault="00E6692A" w:rsidP="00E6692A">
      <w:pPr>
        <w:pStyle w:val="parrafos"/>
        <w:numPr>
          <w:ilvl w:val="0"/>
          <w:numId w:val="0"/>
        </w:numPr>
        <w:rPr>
          <w:lang w:val="en-US"/>
        </w:rPr>
      </w:pPr>
    </w:p>
    <w:p w14:paraId="242CC0C3" w14:textId="77777777" w:rsidR="00E6692A" w:rsidRPr="003D05E9" w:rsidRDefault="00E6692A" w:rsidP="00E6692A">
      <w:pPr>
        <w:pStyle w:val="parrafos"/>
        <w:numPr>
          <w:ilvl w:val="0"/>
          <w:numId w:val="0"/>
        </w:numPr>
        <w:rPr>
          <w:lang w:val="en-US"/>
        </w:rPr>
      </w:pPr>
      <w:r w:rsidRPr="003D05E9">
        <w:rPr>
          <w:lang w:val="en-US"/>
        </w:rPr>
        <w:t xml:space="preserve">Article 311. </w:t>
      </w:r>
      <w:r w:rsidRPr="00515399">
        <w:rPr>
          <w:lang w:val="en-US"/>
        </w:rPr>
        <w:t xml:space="preserve">The Justices of the Supreme Court of Justice shall be elected by the National Congress, with the favorable vote of two thirds of its total membership, from a nominee pool of candidates of no </w:t>
      </w:r>
      <w:r>
        <w:rPr>
          <w:lang w:val="en-US"/>
        </w:rPr>
        <w:t>less</w:t>
      </w:r>
      <w:r w:rsidRPr="00515399">
        <w:rPr>
          <w:lang w:val="en-US"/>
        </w:rPr>
        <w:t xml:space="preserve"> than three for each one of the justices to be elected</w:t>
      </w:r>
      <w:r>
        <w:rPr>
          <w:lang w:val="en-US"/>
        </w:rPr>
        <w:t>….</w:t>
      </w:r>
    </w:p>
    <w:p w14:paraId="63EBAD96" w14:textId="77777777" w:rsidR="00E6692A" w:rsidRPr="003D05E9" w:rsidRDefault="00E6692A" w:rsidP="00E6692A">
      <w:pPr>
        <w:pStyle w:val="parrafos"/>
        <w:numPr>
          <w:ilvl w:val="0"/>
          <w:numId w:val="0"/>
        </w:numPr>
        <w:rPr>
          <w:lang w:val="en-US"/>
        </w:rPr>
      </w:pPr>
    </w:p>
    <w:p w14:paraId="636F4EE6" w14:textId="77777777" w:rsidR="00E6692A" w:rsidRPr="008B5C08" w:rsidRDefault="00E6692A" w:rsidP="00E6692A">
      <w:pPr>
        <w:pStyle w:val="parrafos"/>
        <w:numPr>
          <w:ilvl w:val="0"/>
          <w:numId w:val="0"/>
        </w:numPr>
        <w:rPr>
          <w:lang w:val="en-US"/>
        </w:rPr>
      </w:pPr>
      <w:r w:rsidRPr="003D05E9">
        <w:rPr>
          <w:lang w:val="en-US"/>
        </w:rPr>
        <w:t xml:space="preserve">Article 314. </w:t>
      </w:r>
      <w:r w:rsidRPr="008B5C08">
        <w:rPr>
          <w:lang w:val="en-US"/>
        </w:rPr>
        <w:t xml:space="preserve">The term of </w:t>
      </w:r>
      <w:r>
        <w:rPr>
          <w:lang w:val="en-US"/>
        </w:rPr>
        <w:t xml:space="preserve">the </w:t>
      </w:r>
      <w:r w:rsidRPr="008B5C08">
        <w:rPr>
          <w:lang w:val="en-US"/>
        </w:rPr>
        <w:t>Justice of the Supreme Court of Justice shall be seven years beginning at the date on which they take oath, and they may be re-elected. In the case of death, disability that impedes the exercise of office, substitution for legal reasons or resignation, the Justice that fills the vacancy shall occupy the office for the rest of the term and shall be elected by the National Congress through th</w:t>
      </w:r>
      <w:r>
        <w:rPr>
          <w:lang w:val="en-US"/>
        </w:rPr>
        <w:t xml:space="preserve">e favorable vote of two thirds of the total membership. </w:t>
      </w:r>
      <w:r w:rsidRPr="008B5C08">
        <w:rPr>
          <w:lang w:val="en-US"/>
        </w:rPr>
        <w:t xml:space="preserve">The substitute shall be elected from the remaining candidates proposed by the Nominating Board at the beginning of the term. </w:t>
      </w:r>
    </w:p>
    <w:p w14:paraId="4032AD9D" w14:textId="77777777" w:rsidR="00E6692A" w:rsidRPr="008B5C08" w:rsidRDefault="00E6692A" w:rsidP="00E6692A">
      <w:pPr>
        <w:pStyle w:val="parrafos"/>
        <w:numPr>
          <w:ilvl w:val="0"/>
          <w:numId w:val="0"/>
        </w:numPr>
        <w:rPr>
          <w:lang w:val="en-US"/>
        </w:rPr>
      </w:pPr>
    </w:p>
    <w:p w14:paraId="733B34A0" w14:textId="77777777" w:rsidR="00E6692A" w:rsidRPr="003E1265" w:rsidRDefault="00E6692A" w:rsidP="00E6692A">
      <w:pPr>
        <w:pStyle w:val="parrafos"/>
        <w:numPr>
          <w:ilvl w:val="0"/>
          <w:numId w:val="0"/>
        </w:numPr>
        <w:rPr>
          <w:lang w:val="en-US"/>
        </w:rPr>
      </w:pPr>
      <w:r w:rsidRPr="003D05E9">
        <w:rPr>
          <w:lang w:val="en-US"/>
        </w:rPr>
        <w:t xml:space="preserve">Article 316. </w:t>
      </w:r>
      <w:r w:rsidRPr="003714C7">
        <w:rPr>
          <w:lang w:val="en-US"/>
        </w:rPr>
        <w:t xml:space="preserve">The Supreme Court of Justice is organized in chambers, one of which is the Constitutional </w:t>
      </w:r>
      <w:r>
        <w:rPr>
          <w:lang w:val="en-US"/>
        </w:rPr>
        <w:t>[</w:t>
      </w:r>
      <w:r w:rsidRPr="003714C7">
        <w:rPr>
          <w:lang w:val="en-US"/>
        </w:rPr>
        <w:t>Chamber</w:t>
      </w:r>
      <w:r>
        <w:rPr>
          <w:lang w:val="en-US"/>
        </w:rPr>
        <w:t>]</w:t>
      </w:r>
      <w:r w:rsidRPr="003714C7">
        <w:rPr>
          <w:lang w:val="en-US"/>
        </w:rPr>
        <w:t xml:space="preserve">, formed by five Justices. When the decisions of the chambers are pronounced by unanimity of votes, they must be put forth in the name of the Supreme Court of Justice and </w:t>
      </w:r>
      <w:r w:rsidRPr="00A15114">
        <w:rPr>
          <w:lang w:val="en-US"/>
        </w:rPr>
        <w:t>have decisive character.</w:t>
      </w:r>
      <w:r w:rsidRPr="003714C7">
        <w:rPr>
          <w:lang w:val="en-US"/>
        </w:rPr>
        <w:t xml:space="preserve">  When there is not unanimity in making the decision on the matter, the justices who have participated in the chamber may not be included in the full court. </w:t>
      </w:r>
      <w:r w:rsidRPr="003E1265">
        <w:rPr>
          <w:lang w:val="en-US"/>
        </w:rPr>
        <w:t xml:space="preserve">The </w:t>
      </w:r>
      <w:r>
        <w:rPr>
          <w:lang w:val="en-US"/>
        </w:rPr>
        <w:t>c</w:t>
      </w:r>
      <w:r w:rsidRPr="003E1265">
        <w:rPr>
          <w:lang w:val="en-US"/>
        </w:rPr>
        <w:t xml:space="preserve">onstitutional </w:t>
      </w:r>
      <w:r>
        <w:rPr>
          <w:lang w:val="en-US"/>
        </w:rPr>
        <w:t>c</w:t>
      </w:r>
      <w:r w:rsidRPr="003E1265">
        <w:rPr>
          <w:lang w:val="en-US"/>
        </w:rPr>
        <w:t xml:space="preserve">hamber has the following powers and duties: </w:t>
      </w:r>
    </w:p>
    <w:p w14:paraId="415EE11A" w14:textId="77777777" w:rsidR="00E6692A" w:rsidRPr="003714C7" w:rsidRDefault="00E6692A" w:rsidP="00E6692A">
      <w:pPr>
        <w:pStyle w:val="parrafos"/>
        <w:numPr>
          <w:ilvl w:val="0"/>
          <w:numId w:val="0"/>
        </w:numPr>
        <w:rPr>
          <w:lang w:val="en-US"/>
        </w:rPr>
      </w:pPr>
      <w:r w:rsidRPr="003714C7">
        <w:rPr>
          <w:lang w:val="en-US"/>
        </w:rPr>
        <w:t>1. To take cognizance</w:t>
      </w:r>
      <w:r>
        <w:rPr>
          <w:lang w:val="en-US"/>
        </w:rPr>
        <w:t xml:space="preserve"> of</w:t>
      </w:r>
      <w:r w:rsidRPr="003714C7">
        <w:rPr>
          <w:lang w:val="en-US"/>
        </w:rPr>
        <w:t>, in accordance with th</w:t>
      </w:r>
      <w:r>
        <w:rPr>
          <w:lang w:val="en-US"/>
        </w:rPr>
        <w:t>is</w:t>
      </w:r>
      <w:r w:rsidRPr="003714C7">
        <w:rPr>
          <w:lang w:val="en-US"/>
        </w:rPr>
        <w:t xml:space="preserve"> Constitution and the law, of writs of habeas corpus or personal appearance, habeas data, </w:t>
      </w:r>
      <w:r w:rsidRPr="0091374A">
        <w:rPr>
          <w:lang w:val="en-US"/>
        </w:rPr>
        <w:t>amparo</w:t>
      </w:r>
      <w:r w:rsidRPr="003714C7">
        <w:rPr>
          <w:lang w:val="en-US"/>
        </w:rPr>
        <w:t xml:space="preserve">, unconstitutionality, and review; and </w:t>
      </w:r>
    </w:p>
    <w:p w14:paraId="6FEE6966" w14:textId="77777777" w:rsidR="00E6692A" w:rsidRPr="003714C7" w:rsidRDefault="00E6692A" w:rsidP="00E6692A">
      <w:pPr>
        <w:pStyle w:val="parrafos"/>
        <w:numPr>
          <w:ilvl w:val="0"/>
          <w:numId w:val="0"/>
        </w:numPr>
        <w:rPr>
          <w:lang w:val="en-US"/>
        </w:rPr>
      </w:pPr>
      <w:r w:rsidRPr="003714C7">
        <w:rPr>
          <w:lang w:val="en-US"/>
        </w:rPr>
        <w:t xml:space="preserve">2. To resolve conflicts between the powers of state, including the Supreme Elections Tribunal, as well as between the other entities and bodies indicated by law. The decisions in which unconstitutionality of a law is declared are of immediate execution and have general effect, and abrogate the unconstitutional law, and must be communicated to the National Congress, which shall make it published in the </w:t>
      </w:r>
      <w:r>
        <w:rPr>
          <w:lang w:val="en-US"/>
        </w:rPr>
        <w:t>official journal La Gaceta</w:t>
      </w:r>
      <w:r w:rsidRPr="003714C7">
        <w:rPr>
          <w:lang w:val="en-US"/>
        </w:rPr>
        <w:t xml:space="preserve">. The regulations shall establish the organization and operation of the chambers. </w:t>
      </w:r>
    </w:p>
    <w:p w14:paraId="284E6EC9" w14:textId="77777777" w:rsidR="00E6692A" w:rsidRPr="003714C7" w:rsidRDefault="00E6692A" w:rsidP="00E6692A"/>
    <w:p w14:paraId="63FCCAE4" w14:textId="77777777" w:rsidR="00E6692A" w:rsidRPr="003E1265" w:rsidRDefault="00E6692A" w:rsidP="00E6692A">
      <w:pPr>
        <w:pStyle w:val="Heading2"/>
        <w:rPr>
          <w:lang w:val="en-US"/>
        </w:rPr>
      </w:pPr>
      <w:bookmarkStart w:id="10" w:name="_Toc65248161"/>
      <w:bookmarkStart w:id="11" w:name="_Toc69410059"/>
      <w:r w:rsidRPr="003E1265">
        <w:rPr>
          <w:lang w:val="en-US"/>
        </w:rPr>
        <w:t xml:space="preserve">B. </w:t>
      </w:r>
      <w:r>
        <w:rPr>
          <w:lang w:val="en-US"/>
        </w:rPr>
        <w:t>A</w:t>
      </w:r>
      <w:r w:rsidRPr="003E1265">
        <w:rPr>
          <w:lang w:val="en-US"/>
        </w:rPr>
        <w:t>ppointment of the alleged victims and decisions issued by the Constitutional Chamber of the Supreme Court</w:t>
      </w:r>
      <w:bookmarkEnd w:id="10"/>
      <w:bookmarkEnd w:id="11"/>
      <w:r w:rsidRPr="003E1265">
        <w:rPr>
          <w:lang w:val="en-US"/>
        </w:rPr>
        <w:t xml:space="preserve">  </w:t>
      </w:r>
    </w:p>
    <w:p w14:paraId="74007DAB" w14:textId="77777777" w:rsidR="00E6692A" w:rsidRPr="003E1265" w:rsidRDefault="00E6692A" w:rsidP="00E6692A">
      <w:pPr>
        <w:pStyle w:val="parrafos"/>
        <w:numPr>
          <w:ilvl w:val="0"/>
          <w:numId w:val="0"/>
        </w:numPr>
        <w:rPr>
          <w:b/>
          <w:color w:val="auto"/>
          <w:lang w:val="en-US"/>
        </w:rPr>
      </w:pPr>
    </w:p>
    <w:p w14:paraId="51E1F817" w14:textId="77777777" w:rsidR="00E6692A" w:rsidRPr="003E1265" w:rsidRDefault="00E6692A" w:rsidP="00E6692A">
      <w:pPr>
        <w:pStyle w:val="parrafos"/>
        <w:numPr>
          <w:ilvl w:val="0"/>
          <w:numId w:val="0"/>
        </w:numPr>
        <w:rPr>
          <w:b/>
          <w:color w:val="auto"/>
          <w:lang w:val="en-US"/>
        </w:rPr>
      </w:pPr>
    </w:p>
    <w:p w14:paraId="64F764A4" w14:textId="77777777" w:rsidR="00E6692A" w:rsidRPr="008E12EC" w:rsidRDefault="00E6692A" w:rsidP="00E6692A">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heme="majorHAnsi" w:hAnsiTheme="majorHAnsi"/>
          <w:color w:val="000000" w:themeColor="text1"/>
          <w:sz w:val="20"/>
          <w:szCs w:val="20"/>
        </w:rPr>
      </w:pPr>
      <w:r w:rsidRPr="008E12EC">
        <w:rPr>
          <w:rFonts w:asciiTheme="majorHAnsi" w:hAnsiTheme="majorHAnsi"/>
          <w:sz w:val="20"/>
          <w:szCs w:val="20"/>
        </w:rPr>
        <w:t>José Francisco Ruiz Gaekel, José Antonio Gutiérrez Navas, Gustavo Enrique Bustillo Palma, and Rosalinda Cruz Sequeira were elected by the Congress of the Republic, by means of Decree No. 02-2009 of January 26, 2009, as justices of the Constitutional Chamber of the Supreme Court for the constitutional term of January 26, 2009,</w:t>
      </w:r>
      <w:r>
        <w:rPr>
          <w:rFonts w:asciiTheme="majorHAnsi" w:hAnsiTheme="majorHAnsi"/>
          <w:sz w:val="20"/>
          <w:szCs w:val="20"/>
        </w:rPr>
        <w:t xml:space="preserve"> to January </w:t>
      </w:r>
      <w:r w:rsidRPr="008E12EC">
        <w:rPr>
          <w:rFonts w:asciiTheme="majorHAnsi" w:hAnsiTheme="majorHAnsi"/>
          <w:sz w:val="20"/>
          <w:szCs w:val="20"/>
        </w:rPr>
        <w:t>25</w:t>
      </w:r>
      <w:r>
        <w:rPr>
          <w:rFonts w:asciiTheme="majorHAnsi" w:hAnsiTheme="majorHAnsi"/>
          <w:sz w:val="20"/>
          <w:szCs w:val="20"/>
        </w:rPr>
        <w:t>,</w:t>
      </w:r>
      <w:r w:rsidRPr="008E12EC">
        <w:rPr>
          <w:rFonts w:asciiTheme="majorHAnsi" w:hAnsiTheme="majorHAnsi"/>
          <w:sz w:val="20"/>
          <w:szCs w:val="20"/>
        </w:rPr>
        <w:t xml:space="preserve"> 2016</w:t>
      </w:r>
      <w:r>
        <w:rPr>
          <w:rFonts w:asciiTheme="majorHAnsi" w:hAnsiTheme="majorHAnsi"/>
          <w:sz w:val="20"/>
          <w:szCs w:val="20"/>
        </w:rPr>
        <w:t>.</w:t>
      </w:r>
      <w:r w:rsidRPr="00961EF3">
        <w:rPr>
          <w:rStyle w:val="FootnoteReference"/>
          <w:rFonts w:asciiTheme="majorHAnsi" w:hAnsiTheme="majorHAnsi"/>
          <w:sz w:val="20"/>
          <w:szCs w:val="20"/>
        </w:rPr>
        <w:footnoteReference w:id="3"/>
      </w:r>
    </w:p>
    <w:p w14:paraId="01DCE310" w14:textId="77777777" w:rsidR="00E6692A" w:rsidRPr="008E12EC" w:rsidRDefault="00E6692A" w:rsidP="00E6692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color w:val="000000" w:themeColor="text1"/>
          <w:sz w:val="20"/>
          <w:szCs w:val="20"/>
        </w:rPr>
      </w:pPr>
    </w:p>
    <w:p w14:paraId="11FF9D7B" w14:textId="77777777" w:rsidR="00E6692A" w:rsidRDefault="00E6692A" w:rsidP="00E6692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sz w:val="20"/>
          <w:szCs w:val="20"/>
        </w:rPr>
      </w:pPr>
      <w:r w:rsidRPr="004B7048">
        <w:rPr>
          <w:rFonts w:asciiTheme="majorHAnsi" w:hAnsiTheme="majorHAnsi"/>
          <w:sz w:val="20"/>
          <w:szCs w:val="20"/>
        </w:rPr>
        <w:t xml:space="preserve">19. </w:t>
      </w:r>
      <w:r w:rsidRPr="00393FEB">
        <w:rPr>
          <w:rFonts w:asciiTheme="majorHAnsi" w:hAnsiTheme="majorHAnsi"/>
          <w:sz w:val="20"/>
          <w:szCs w:val="20"/>
        </w:rPr>
        <w:t>Since the beginning of</w:t>
      </w:r>
      <w:r w:rsidRPr="004B7048">
        <w:rPr>
          <w:rFonts w:asciiTheme="majorHAnsi" w:hAnsiTheme="majorHAnsi"/>
          <w:sz w:val="20"/>
          <w:szCs w:val="20"/>
        </w:rPr>
        <w:t xml:space="preserve"> </w:t>
      </w:r>
      <w:r>
        <w:rPr>
          <w:rFonts w:asciiTheme="majorHAnsi" w:hAnsiTheme="majorHAnsi"/>
          <w:sz w:val="20"/>
          <w:szCs w:val="20"/>
        </w:rPr>
        <w:t>its</w:t>
      </w:r>
      <w:r w:rsidRPr="004B7048">
        <w:rPr>
          <w:rFonts w:asciiTheme="majorHAnsi" w:hAnsiTheme="majorHAnsi"/>
          <w:sz w:val="20"/>
          <w:szCs w:val="20"/>
        </w:rPr>
        <w:t xml:space="preserve"> judicial term, the Constitutional Chamber </w:t>
      </w:r>
      <w:r>
        <w:rPr>
          <w:rFonts w:asciiTheme="majorHAnsi" w:hAnsiTheme="majorHAnsi"/>
          <w:sz w:val="20"/>
          <w:szCs w:val="20"/>
        </w:rPr>
        <w:t xml:space="preserve">heard and ruled on </w:t>
      </w:r>
      <w:r w:rsidRPr="00247F5E">
        <w:rPr>
          <w:rFonts w:asciiTheme="majorHAnsi" w:hAnsiTheme="majorHAnsi"/>
          <w:sz w:val="20"/>
          <w:szCs w:val="20"/>
        </w:rPr>
        <w:t>several laws</w:t>
      </w:r>
      <w:r>
        <w:rPr>
          <w:rFonts w:asciiTheme="majorHAnsi" w:hAnsiTheme="majorHAnsi"/>
          <w:sz w:val="20"/>
          <w:szCs w:val="20"/>
        </w:rPr>
        <w:t xml:space="preserve"> passed </w:t>
      </w:r>
      <w:r w:rsidRPr="004B7048">
        <w:rPr>
          <w:rFonts w:asciiTheme="majorHAnsi" w:hAnsiTheme="majorHAnsi"/>
          <w:sz w:val="20"/>
          <w:szCs w:val="20"/>
        </w:rPr>
        <w:t xml:space="preserve">by the Congress </w:t>
      </w:r>
      <w:r>
        <w:rPr>
          <w:rFonts w:asciiTheme="majorHAnsi" w:hAnsiTheme="majorHAnsi"/>
          <w:sz w:val="20"/>
          <w:szCs w:val="20"/>
        </w:rPr>
        <w:t>that it found unconstitutional</w:t>
      </w:r>
      <w:r w:rsidRPr="004B7048">
        <w:rPr>
          <w:rFonts w:asciiTheme="majorHAnsi" w:hAnsiTheme="majorHAnsi"/>
          <w:sz w:val="20"/>
          <w:szCs w:val="20"/>
        </w:rPr>
        <w:t xml:space="preserve">, </w:t>
      </w:r>
      <w:r>
        <w:rPr>
          <w:rFonts w:asciiTheme="majorHAnsi" w:hAnsiTheme="majorHAnsi"/>
          <w:sz w:val="20"/>
          <w:szCs w:val="20"/>
        </w:rPr>
        <w:t xml:space="preserve">having deemed them to be contrary to the supreme law of Honduras. </w:t>
      </w:r>
      <w:r w:rsidRPr="004B7048">
        <w:rPr>
          <w:rFonts w:asciiTheme="majorHAnsi" w:hAnsiTheme="majorHAnsi"/>
          <w:sz w:val="20"/>
          <w:szCs w:val="20"/>
        </w:rPr>
        <w:t>On February 1, 2012, it declared that Legislative Decree 108-11, known as the “1% Law,”</w:t>
      </w:r>
      <w:r w:rsidRPr="00961EF3">
        <w:rPr>
          <w:rStyle w:val="FootnoteReference"/>
          <w:rFonts w:asciiTheme="majorHAnsi" w:hAnsiTheme="majorHAnsi"/>
          <w:sz w:val="20"/>
          <w:szCs w:val="20"/>
        </w:rPr>
        <w:footnoteReference w:id="4"/>
      </w:r>
      <w:r w:rsidRPr="004B7048">
        <w:rPr>
          <w:rFonts w:asciiTheme="majorHAnsi" w:hAnsiTheme="majorHAnsi"/>
          <w:sz w:val="20"/>
          <w:szCs w:val="20"/>
        </w:rPr>
        <w:t xml:space="preserve"> was unconstitutional, which </w:t>
      </w:r>
      <w:r>
        <w:rPr>
          <w:rFonts w:asciiTheme="majorHAnsi" w:hAnsiTheme="majorHAnsi"/>
          <w:sz w:val="20"/>
          <w:szCs w:val="20"/>
        </w:rPr>
        <w:t>prompted</w:t>
      </w:r>
      <w:r w:rsidRPr="004B7048">
        <w:rPr>
          <w:rFonts w:asciiTheme="majorHAnsi" w:hAnsiTheme="majorHAnsi"/>
          <w:sz w:val="20"/>
          <w:szCs w:val="20"/>
        </w:rPr>
        <w:t xml:space="preserve"> the then-President of the Rep</w:t>
      </w:r>
      <w:r>
        <w:rPr>
          <w:rFonts w:asciiTheme="majorHAnsi" w:hAnsiTheme="majorHAnsi"/>
          <w:sz w:val="20"/>
          <w:szCs w:val="20"/>
        </w:rPr>
        <w:t>ublic</w:t>
      </w:r>
      <w:r w:rsidRPr="004B7048">
        <w:rPr>
          <w:rFonts w:asciiTheme="majorHAnsi" w:hAnsiTheme="majorHAnsi"/>
          <w:sz w:val="20"/>
          <w:szCs w:val="20"/>
        </w:rPr>
        <w:t xml:space="preserve">, Porfirio Lobo, </w:t>
      </w:r>
      <w:r>
        <w:rPr>
          <w:rFonts w:asciiTheme="majorHAnsi" w:hAnsiTheme="majorHAnsi"/>
          <w:sz w:val="20"/>
          <w:szCs w:val="20"/>
        </w:rPr>
        <w:t>to make statements about that action by the judicial branch.</w:t>
      </w:r>
      <w:r w:rsidRPr="00961EF3">
        <w:rPr>
          <w:rStyle w:val="FootnoteReference"/>
          <w:rFonts w:asciiTheme="majorHAnsi" w:hAnsiTheme="majorHAnsi"/>
          <w:sz w:val="20"/>
          <w:szCs w:val="20"/>
        </w:rPr>
        <w:footnoteReference w:id="5"/>
      </w:r>
    </w:p>
    <w:p w14:paraId="164921CC" w14:textId="77777777" w:rsidR="00E6692A" w:rsidRPr="004B7048" w:rsidRDefault="00E6692A" w:rsidP="00E6692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sz w:val="20"/>
          <w:szCs w:val="20"/>
        </w:rPr>
      </w:pPr>
    </w:p>
    <w:p w14:paraId="0EA25CBD" w14:textId="77777777" w:rsidR="00E6692A" w:rsidRPr="003D05E9" w:rsidRDefault="00E6692A" w:rsidP="00E6692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sz w:val="20"/>
          <w:szCs w:val="20"/>
        </w:rPr>
      </w:pPr>
      <w:r w:rsidRPr="003D05E9">
        <w:rPr>
          <w:rFonts w:asciiTheme="majorHAnsi" w:hAnsiTheme="majorHAnsi"/>
          <w:sz w:val="20"/>
          <w:szCs w:val="20"/>
        </w:rPr>
        <w:t xml:space="preserve">20. Subsequently, the Constitutional Chamber </w:t>
      </w:r>
      <w:r>
        <w:rPr>
          <w:rFonts w:asciiTheme="majorHAnsi" w:hAnsiTheme="majorHAnsi"/>
          <w:sz w:val="20"/>
          <w:szCs w:val="20"/>
        </w:rPr>
        <w:t>declared</w:t>
      </w:r>
      <w:r w:rsidRPr="003D05E9">
        <w:rPr>
          <w:rFonts w:asciiTheme="majorHAnsi" w:hAnsiTheme="majorHAnsi"/>
          <w:sz w:val="20"/>
          <w:szCs w:val="20"/>
        </w:rPr>
        <w:t xml:space="preserve"> Decree No. 185-2010, called the “Framework Law on the Evangelical Church in Honduras,”</w:t>
      </w:r>
      <w:r w:rsidRPr="00961EF3">
        <w:rPr>
          <w:rStyle w:val="FootnoteReference"/>
          <w:rFonts w:asciiTheme="majorHAnsi" w:hAnsiTheme="majorHAnsi"/>
          <w:sz w:val="20"/>
          <w:szCs w:val="20"/>
        </w:rPr>
        <w:footnoteReference w:id="6"/>
      </w:r>
      <w:r w:rsidRPr="003D05E9">
        <w:rPr>
          <w:rFonts w:asciiTheme="majorHAnsi" w:hAnsiTheme="majorHAnsi"/>
          <w:sz w:val="20"/>
          <w:szCs w:val="20"/>
        </w:rPr>
        <w:t xml:space="preserve"> to be </w:t>
      </w:r>
      <w:r>
        <w:rPr>
          <w:rFonts w:asciiTheme="majorHAnsi" w:hAnsiTheme="majorHAnsi"/>
          <w:sz w:val="20"/>
          <w:szCs w:val="20"/>
        </w:rPr>
        <w:t>un</w:t>
      </w:r>
      <w:r w:rsidRPr="003D05E9">
        <w:rPr>
          <w:rFonts w:asciiTheme="majorHAnsi" w:hAnsiTheme="majorHAnsi"/>
          <w:sz w:val="20"/>
          <w:szCs w:val="20"/>
        </w:rPr>
        <w:t>constitutional.</w:t>
      </w:r>
      <w:r>
        <w:rPr>
          <w:rFonts w:asciiTheme="majorHAnsi" w:hAnsiTheme="majorHAnsi"/>
          <w:sz w:val="20"/>
          <w:szCs w:val="20"/>
        </w:rPr>
        <w:t xml:space="preserve"> </w:t>
      </w:r>
      <w:r w:rsidRPr="003D05E9">
        <w:rPr>
          <w:rFonts w:asciiTheme="majorHAnsi" w:hAnsiTheme="majorHAnsi"/>
          <w:sz w:val="20"/>
          <w:szCs w:val="20"/>
        </w:rPr>
        <w:t>In response, the then</w:t>
      </w:r>
      <w:r>
        <w:rPr>
          <w:rFonts w:asciiTheme="majorHAnsi" w:hAnsiTheme="majorHAnsi"/>
          <w:sz w:val="20"/>
          <w:szCs w:val="20"/>
        </w:rPr>
        <w:t>-</w:t>
      </w:r>
      <w:r w:rsidRPr="003D05E9">
        <w:rPr>
          <w:rFonts w:asciiTheme="majorHAnsi" w:hAnsiTheme="majorHAnsi"/>
          <w:sz w:val="20"/>
          <w:szCs w:val="20"/>
        </w:rPr>
        <w:t xml:space="preserve">President referred to the Supreme Court publicly, </w:t>
      </w:r>
      <w:r>
        <w:rPr>
          <w:rFonts w:asciiTheme="majorHAnsi" w:hAnsiTheme="majorHAnsi"/>
          <w:sz w:val="20"/>
          <w:szCs w:val="20"/>
        </w:rPr>
        <w:t xml:space="preserve">calling </w:t>
      </w:r>
      <w:r w:rsidRPr="003D05E9">
        <w:rPr>
          <w:rFonts w:asciiTheme="majorHAnsi" w:hAnsiTheme="majorHAnsi"/>
          <w:sz w:val="20"/>
          <w:szCs w:val="20"/>
        </w:rPr>
        <w:t xml:space="preserve">its actions </w:t>
      </w:r>
      <w:r>
        <w:rPr>
          <w:rFonts w:asciiTheme="majorHAnsi" w:hAnsiTheme="majorHAnsi"/>
          <w:sz w:val="20"/>
          <w:szCs w:val="20"/>
        </w:rPr>
        <w:t>into question.</w:t>
      </w:r>
      <w:r w:rsidRPr="00961EF3">
        <w:rPr>
          <w:rStyle w:val="FootnoteReference"/>
          <w:rFonts w:asciiTheme="majorHAnsi" w:hAnsiTheme="majorHAnsi"/>
          <w:sz w:val="20"/>
          <w:szCs w:val="20"/>
        </w:rPr>
        <w:footnoteReference w:id="7"/>
      </w:r>
      <w:r w:rsidRPr="003D05E9">
        <w:rPr>
          <w:rFonts w:asciiTheme="majorHAnsi" w:hAnsiTheme="majorHAnsi"/>
          <w:sz w:val="20"/>
          <w:szCs w:val="20"/>
        </w:rPr>
        <w:t xml:space="preserve">  </w:t>
      </w:r>
    </w:p>
    <w:p w14:paraId="05CC7908" w14:textId="77777777" w:rsidR="00E6692A" w:rsidRPr="003D05E9" w:rsidRDefault="00E6692A" w:rsidP="00E6692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sz w:val="20"/>
          <w:szCs w:val="20"/>
        </w:rPr>
      </w:pPr>
    </w:p>
    <w:p w14:paraId="104BEE7E" w14:textId="77777777" w:rsidR="00E6692A" w:rsidRPr="004204E0" w:rsidRDefault="00E6692A" w:rsidP="00E6692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sz w:val="20"/>
          <w:szCs w:val="20"/>
        </w:rPr>
      </w:pPr>
      <w:r w:rsidRPr="004204E0">
        <w:rPr>
          <w:rFonts w:asciiTheme="majorHAnsi" w:hAnsiTheme="majorHAnsi"/>
          <w:sz w:val="20"/>
          <w:szCs w:val="20"/>
        </w:rPr>
        <w:lastRenderedPageBreak/>
        <w:t xml:space="preserve">21. </w:t>
      </w:r>
      <w:r w:rsidRPr="00991F2B">
        <w:rPr>
          <w:rFonts w:asciiTheme="majorHAnsi" w:hAnsiTheme="majorHAnsi"/>
          <w:sz w:val="20"/>
          <w:szCs w:val="20"/>
        </w:rPr>
        <w:t xml:space="preserve">Another law </w:t>
      </w:r>
      <w:r w:rsidRPr="004204E0">
        <w:rPr>
          <w:rFonts w:asciiTheme="majorHAnsi" w:hAnsiTheme="majorHAnsi"/>
          <w:sz w:val="20"/>
          <w:szCs w:val="20"/>
        </w:rPr>
        <w:t>the Supreme Court found to be unconstitutional was Legislative Decree No. 283-2010,</w:t>
      </w:r>
      <w:r>
        <w:rPr>
          <w:rFonts w:asciiTheme="majorHAnsi" w:hAnsiTheme="majorHAnsi"/>
          <w:sz w:val="20"/>
          <w:szCs w:val="20"/>
        </w:rPr>
        <w:t xml:space="preserve"> known as the “Model Cities Law,”</w:t>
      </w:r>
      <w:r w:rsidRPr="004204E0">
        <w:rPr>
          <w:rFonts w:asciiTheme="majorHAnsi" w:hAnsiTheme="majorHAnsi"/>
          <w:sz w:val="20"/>
          <w:szCs w:val="20"/>
        </w:rPr>
        <w:t xml:space="preserve"> whic</w:t>
      </w:r>
      <w:r>
        <w:rPr>
          <w:rFonts w:asciiTheme="majorHAnsi" w:hAnsiTheme="majorHAnsi"/>
          <w:sz w:val="20"/>
          <w:szCs w:val="20"/>
        </w:rPr>
        <w:t>h created Special Development Regions.</w:t>
      </w:r>
      <w:r w:rsidRPr="00961EF3">
        <w:rPr>
          <w:rStyle w:val="FootnoteReference"/>
          <w:rFonts w:asciiTheme="majorHAnsi" w:hAnsiTheme="majorHAnsi"/>
          <w:sz w:val="20"/>
          <w:szCs w:val="20"/>
        </w:rPr>
        <w:footnoteReference w:id="8"/>
      </w:r>
      <w:r w:rsidRPr="004204E0">
        <w:rPr>
          <w:rFonts w:asciiTheme="majorHAnsi" w:hAnsiTheme="majorHAnsi"/>
          <w:sz w:val="20"/>
          <w:szCs w:val="20"/>
        </w:rPr>
        <w:t xml:space="preserve"> Following the ruling</w:t>
      </w:r>
      <w:r>
        <w:rPr>
          <w:rFonts w:asciiTheme="majorHAnsi" w:hAnsiTheme="majorHAnsi"/>
          <w:sz w:val="20"/>
          <w:szCs w:val="20"/>
        </w:rPr>
        <w:t>,</w:t>
      </w:r>
      <w:r w:rsidRPr="004204E0">
        <w:rPr>
          <w:rFonts w:asciiTheme="majorHAnsi" w:hAnsiTheme="majorHAnsi"/>
          <w:sz w:val="20"/>
          <w:szCs w:val="20"/>
        </w:rPr>
        <w:t xml:space="preserve"> Porfirio Lobo said that “it is lamentable, the ju</w:t>
      </w:r>
      <w:r>
        <w:rPr>
          <w:rFonts w:asciiTheme="majorHAnsi" w:hAnsiTheme="majorHAnsi"/>
          <w:sz w:val="20"/>
          <w:szCs w:val="20"/>
        </w:rPr>
        <w:t>stices are doing great harm to the country.</w:t>
      </w:r>
      <w:r w:rsidRPr="004204E0">
        <w:rPr>
          <w:rFonts w:asciiTheme="majorHAnsi" w:hAnsiTheme="majorHAnsi"/>
          <w:sz w:val="20"/>
          <w:szCs w:val="20"/>
        </w:rPr>
        <w:t>”</w:t>
      </w:r>
      <w:r w:rsidRPr="00961EF3">
        <w:rPr>
          <w:rStyle w:val="FootnoteReference"/>
          <w:rFonts w:asciiTheme="majorHAnsi" w:hAnsiTheme="majorHAnsi"/>
          <w:sz w:val="20"/>
          <w:szCs w:val="20"/>
        </w:rPr>
        <w:footnoteReference w:id="9"/>
      </w:r>
    </w:p>
    <w:p w14:paraId="4C090F4B" w14:textId="77777777" w:rsidR="00E6692A" w:rsidRPr="004204E0" w:rsidRDefault="00E6692A" w:rsidP="00E6692A">
      <w:pPr>
        <w:pStyle w:val="ListParagraph"/>
        <w:rPr>
          <w:lang w:val="en-US"/>
        </w:rPr>
      </w:pPr>
    </w:p>
    <w:p w14:paraId="129CA0F1" w14:textId="77777777" w:rsidR="00E6692A" w:rsidRPr="005372C8" w:rsidRDefault="00E6692A" w:rsidP="00E6692A">
      <w:pPr>
        <w:pStyle w:val="Heading2"/>
        <w:rPr>
          <w:lang w:val="en-US"/>
        </w:rPr>
      </w:pPr>
      <w:bookmarkStart w:id="12" w:name="_Toc65248162"/>
      <w:bookmarkStart w:id="13" w:name="_Toc69410060"/>
      <w:r w:rsidRPr="005372C8">
        <w:rPr>
          <w:lang w:val="en-US"/>
        </w:rPr>
        <w:t xml:space="preserve">C. </w:t>
      </w:r>
      <w:r>
        <w:rPr>
          <w:lang w:val="en-US"/>
        </w:rPr>
        <w:t>D</w:t>
      </w:r>
      <w:r w:rsidRPr="005372C8">
        <w:rPr>
          <w:lang w:val="en-US"/>
        </w:rPr>
        <w:t xml:space="preserve">raft </w:t>
      </w:r>
      <w:r w:rsidRPr="00ED7157">
        <w:rPr>
          <w:lang w:val="en-US"/>
        </w:rPr>
        <w:t xml:space="preserve">judgment on the unconstitutionality of the </w:t>
      </w:r>
      <w:r w:rsidRPr="00ED7157">
        <w:rPr>
          <w:rFonts w:asciiTheme="majorHAnsi" w:hAnsiTheme="majorHAnsi"/>
          <w:szCs w:val="20"/>
          <w:lang w:val="en-US"/>
        </w:rPr>
        <w:t>Special Law to Purge the Police Force of Corruption</w:t>
      </w:r>
      <w:r w:rsidRPr="00ED7157">
        <w:rPr>
          <w:lang w:val="en-US"/>
        </w:rPr>
        <w:t xml:space="preserve"> an</w:t>
      </w:r>
      <w:r>
        <w:rPr>
          <w:lang w:val="en-US"/>
        </w:rPr>
        <w:t>d the alleged victims’ dismissal</w:t>
      </w:r>
      <w:bookmarkEnd w:id="12"/>
      <w:bookmarkEnd w:id="13"/>
      <w:r>
        <w:rPr>
          <w:lang w:val="en-US"/>
        </w:rPr>
        <w:t xml:space="preserve"> </w:t>
      </w:r>
    </w:p>
    <w:p w14:paraId="1DD6F839" w14:textId="77777777" w:rsidR="00E6692A" w:rsidRPr="005372C8" w:rsidRDefault="00E6692A" w:rsidP="00E6692A">
      <w:pPr>
        <w:pStyle w:val="parrafos"/>
        <w:numPr>
          <w:ilvl w:val="0"/>
          <w:numId w:val="0"/>
        </w:numPr>
        <w:tabs>
          <w:tab w:val="clear" w:pos="360"/>
          <w:tab w:val="left" w:pos="5266"/>
        </w:tabs>
        <w:rPr>
          <w:lang w:val="en-US"/>
        </w:rPr>
      </w:pPr>
      <w:r w:rsidRPr="005372C8">
        <w:rPr>
          <w:lang w:val="en-US"/>
        </w:rPr>
        <w:tab/>
      </w:r>
    </w:p>
    <w:p w14:paraId="5AFD5ECC" w14:textId="77777777" w:rsidR="00E6692A" w:rsidRPr="00061319" w:rsidRDefault="00E6692A" w:rsidP="00E6692A">
      <w:pPr>
        <w:pStyle w:val="parrafos"/>
        <w:numPr>
          <w:ilvl w:val="0"/>
          <w:numId w:val="0"/>
        </w:numPr>
        <w:rPr>
          <w:lang w:val="en-US"/>
        </w:rPr>
      </w:pPr>
      <w:r w:rsidRPr="00061319">
        <w:rPr>
          <w:lang w:val="en-US"/>
        </w:rPr>
        <w:t xml:space="preserve">22. </w:t>
      </w:r>
      <w:r>
        <w:rPr>
          <w:lang w:val="en-US"/>
        </w:rPr>
        <w:t>In the course of fulfilling</w:t>
      </w:r>
      <w:r w:rsidRPr="00061319">
        <w:rPr>
          <w:lang w:val="en-US"/>
        </w:rPr>
        <w:t xml:space="preserve"> its duties, the Constitutional Chamber heard two appeals filed by a number of citizens challenging the</w:t>
      </w:r>
      <w:r>
        <w:rPr>
          <w:lang w:val="en-US"/>
        </w:rPr>
        <w:t xml:space="preserve"> constitutionality of </w:t>
      </w:r>
      <w:r w:rsidRPr="00AA7D63">
        <w:rPr>
          <w:lang w:val="en-US"/>
        </w:rPr>
        <w:t>the Special Law to Purge the Police Force of Corruption</w:t>
      </w:r>
      <w:r>
        <w:rPr>
          <w:lang w:val="en-US"/>
        </w:rPr>
        <w:t>,</w:t>
      </w:r>
      <w:r w:rsidRPr="00AA7D63">
        <w:rPr>
          <w:lang w:val="en-US"/>
        </w:rPr>
        <w:t xml:space="preserve"> contained</w:t>
      </w:r>
      <w:r w:rsidRPr="00061319">
        <w:rPr>
          <w:lang w:val="en-US"/>
        </w:rPr>
        <w:t xml:space="preserve"> in Decree 89-2012 </w:t>
      </w:r>
      <w:r>
        <w:rPr>
          <w:lang w:val="en-US"/>
        </w:rPr>
        <w:t>of May</w:t>
      </w:r>
      <w:r w:rsidRPr="00061319">
        <w:rPr>
          <w:lang w:val="en-US"/>
        </w:rPr>
        <w:t xml:space="preserve"> 25</w:t>
      </w:r>
      <w:r>
        <w:rPr>
          <w:lang w:val="en-US"/>
        </w:rPr>
        <w:t xml:space="preserve">, </w:t>
      </w:r>
      <w:r w:rsidRPr="00061319">
        <w:rPr>
          <w:lang w:val="en-US"/>
        </w:rPr>
        <w:t xml:space="preserve">2012, </w:t>
      </w:r>
      <w:r>
        <w:rPr>
          <w:lang w:val="en-US"/>
        </w:rPr>
        <w:t>as well as other regulations related to the institution of the Honduran police.</w:t>
      </w:r>
      <w:r w:rsidRPr="00DB55CD">
        <w:rPr>
          <w:rStyle w:val="FootnoteReference"/>
        </w:rPr>
        <w:footnoteReference w:id="10"/>
      </w:r>
      <w:r w:rsidRPr="00061319">
        <w:rPr>
          <w:lang w:val="en-US"/>
        </w:rPr>
        <w:t xml:space="preserve"> </w:t>
      </w:r>
      <w:r>
        <w:rPr>
          <w:lang w:val="en-US"/>
        </w:rPr>
        <w:t>As part of</w:t>
      </w:r>
      <w:r w:rsidRPr="00061319">
        <w:rPr>
          <w:lang w:val="en-US"/>
        </w:rPr>
        <w:t xml:space="preserve"> the constitutional proceedings, the Office of the Public Prosecutor </w:t>
      </w:r>
      <w:r>
        <w:rPr>
          <w:lang w:val="en-US"/>
        </w:rPr>
        <w:t>[</w:t>
      </w:r>
      <w:r w:rsidRPr="00203C37">
        <w:rPr>
          <w:i/>
          <w:iCs/>
          <w:lang w:val="en-US"/>
        </w:rPr>
        <w:t>Ministerio Público</w:t>
      </w:r>
      <w:r>
        <w:rPr>
          <w:lang w:val="en-US"/>
        </w:rPr>
        <w:t>]</w:t>
      </w:r>
      <w:r w:rsidRPr="00061319">
        <w:rPr>
          <w:lang w:val="en-US"/>
        </w:rPr>
        <w:t xml:space="preserve"> issued an </w:t>
      </w:r>
      <w:r>
        <w:rPr>
          <w:lang w:val="en-US"/>
        </w:rPr>
        <w:t xml:space="preserve">expert </w:t>
      </w:r>
      <w:r w:rsidRPr="00061319">
        <w:rPr>
          <w:lang w:val="en-US"/>
        </w:rPr>
        <w:t>opinion on August</w:t>
      </w:r>
      <w:r>
        <w:rPr>
          <w:lang w:val="en-US"/>
        </w:rPr>
        <w:t xml:space="preserve"> </w:t>
      </w:r>
      <w:r w:rsidRPr="00061319">
        <w:rPr>
          <w:lang w:val="en-US"/>
        </w:rPr>
        <w:t>7</w:t>
      </w:r>
      <w:r>
        <w:rPr>
          <w:lang w:val="en-US"/>
        </w:rPr>
        <w:t xml:space="preserve">, </w:t>
      </w:r>
      <w:r w:rsidRPr="00061319">
        <w:rPr>
          <w:lang w:val="en-US"/>
        </w:rPr>
        <w:t xml:space="preserve">2012, </w:t>
      </w:r>
      <w:r>
        <w:rPr>
          <w:lang w:val="en-US"/>
        </w:rPr>
        <w:t>which deemed that the laws being challenged should be declared unconstitutional.</w:t>
      </w:r>
      <w:r w:rsidRPr="00DB55CD">
        <w:rPr>
          <w:rStyle w:val="FootnoteReference"/>
        </w:rPr>
        <w:footnoteReference w:id="11"/>
      </w:r>
      <w:r w:rsidRPr="00061319">
        <w:rPr>
          <w:lang w:val="en-US"/>
        </w:rPr>
        <w:t xml:space="preserve"> </w:t>
      </w:r>
    </w:p>
    <w:p w14:paraId="452AABE0" w14:textId="77777777" w:rsidR="00E6692A" w:rsidRPr="00061319" w:rsidRDefault="00E6692A" w:rsidP="00E6692A">
      <w:pPr>
        <w:pStyle w:val="parrafos"/>
        <w:numPr>
          <w:ilvl w:val="0"/>
          <w:numId w:val="0"/>
        </w:numPr>
        <w:rPr>
          <w:lang w:val="en-US"/>
        </w:rPr>
      </w:pPr>
    </w:p>
    <w:p w14:paraId="11107C35" w14:textId="77777777" w:rsidR="00E6692A" w:rsidRPr="009863A7" w:rsidRDefault="00E6692A" w:rsidP="00E6692A">
      <w:pPr>
        <w:pStyle w:val="parrafos"/>
        <w:numPr>
          <w:ilvl w:val="0"/>
          <w:numId w:val="0"/>
        </w:numPr>
        <w:rPr>
          <w:lang w:val="en-US"/>
        </w:rPr>
      </w:pPr>
      <w:r w:rsidRPr="00203C37">
        <w:rPr>
          <w:lang w:val="en-US"/>
        </w:rPr>
        <w:t xml:space="preserve">23. On November 27, 2012, the Constitutional Chamber, by a vote of four in favor and one against, declared that the police </w:t>
      </w:r>
      <w:r>
        <w:rPr>
          <w:lang w:val="en-US"/>
        </w:rPr>
        <w:t>regulations</w:t>
      </w:r>
      <w:r w:rsidRPr="00203C37">
        <w:rPr>
          <w:lang w:val="en-US"/>
        </w:rPr>
        <w:t xml:space="preserve"> being </w:t>
      </w:r>
      <w:r>
        <w:rPr>
          <w:lang w:val="en-US"/>
        </w:rPr>
        <w:t>challenged</w:t>
      </w:r>
      <w:r w:rsidRPr="00203C37">
        <w:rPr>
          <w:lang w:val="en-US"/>
        </w:rPr>
        <w:t xml:space="preserve"> wer</w:t>
      </w:r>
      <w:r>
        <w:rPr>
          <w:lang w:val="en-US"/>
        </w:rPr>
        <w:t xml:space="preserve">e unconstitutional and could not be enforced. </w:t>
      </w:r>
      <w:r w:rsidRPr="001E2D1F">
        <w:rPr>
          <w:lang w:val="en-US"/>
        </w:rPr>
        <w:t xml:space="preserve">Nevertheless, since the judgment was not unanimous, as required by law at that time, the </w:t>
      </w:r>
      <w:r>
        <w:rPr>
          <w:lang w:val="en-US"/>
        </w:rPr>
        <w:t xml:space="preserve">ruling was sent to the Plenary of the Supreme Court of </w:t>
      </w:r>
      <w:r w:rsidRPr="00A72CC3">
        <w:rPr>
          <w:lang w:val="en-US"/>
        </w:rPr>
        <w:t>Justice for a final decision.</w:t>
      </w:r>
      <w:r w:rsidRPr="00A72CC3">
        <w:rPr>
          <w:rStyle w:val="FootnoteReference"/>
        </w:rPr>
        <w:footnoteReference w:id="12"/>
      </w:r>
      <w:r w:rsidRPr="009863A7">
        <w:rPr>
          <w:lang w:val="en-US"/>
        </w:rPr>
        <w:t xml:space="preserve"> The four votes in favor were issued by the alleged </w:t>
      </w:r>
      <w:r>
        <w:rPr>
          <w:lang w:val="en-US"/>
        </w:rPr>
        <w:t xml:space="preserve">victims. </w:t>
      </w:r>
    </w:p>
    <w:p w14:paraId="4079A9D6" w14:textId="77777777" w:rsidR="00E6692A" w:rsidRPr="009863A7" w:rsidRDefault="00E6692A" w:rsidP="00E6692A">
      <w:pPr>
        <w:pStyle w:val="parrafos"/>
        <w:numPr>
          <w:ilvl w:val="0"/>
          <w:numId w:val="0"/>
        </w:numPr>
        <w:rPr>
          <w:lang w:val="en-US"/>
        </w:rPr>
      </w:pPr>
    </w:p>
    <w:p w14:paraId="16755382" w14:textId="77777777" w:rsidR="00E6692A" w:rsidRPr="009863A7" w:rsidRDefault="00E6692A" w:rsidP="00E6692A">
      <w:pPr>
        <w:pStyle w:val="parrafos"/>
        <w:numPr>
          <w:ilvl w:val="0"/>
          <w:numId w:val="0"/>
        </w:numPr>
        <w:rPr>
          <w:lang w:val="en-US"/>
        </w:rPr>
      </w:pPr>
      <w:r w:rsidRPr="009863A7">
        <w:rPr>
          <w:lang w:val="en-US"/>
        </w:rPr>
        <w:t>24. On December 4, 2012, the then</w:t>
      </w:r>
      <w:r>
        <w:rPr>
          <w:lang w:val="en-US"/>
        </w:rPr>
        <w:t>-</w:t>
      </w:r>
      <w:r w:rsidRPr="009863A7">
        <w:rPr>
          <w:lang w:val="en-US"/>
        </w:rPr>
        <w:t xml:space="preserve">President called into question the justices of the Constitutional Chamber for their decision, which was reported </w:t>
      </w:r>
      <w:r>
        <w:rPr>
          <w:lang w:val="en-US"/>
        </w:rPr>
        <w:t>in the press as follows:</w:t>
      </w:r>
      <w:r w:rsidRPr="009863A7">
        <w:rPr>
          <w:lang w:val="en-US"/>
        </w:rPr>
        <w:t xml:space="preserve"> </w:t>
      </w:r>
    </w:p>
    <w:p w14:paraId="2E1150C2" w14:textId="77777777" w:rsidR="00E6692A" w:rsidRPr="009863A7" w:rsidRDefault="00E6692A" w:rsidP="00E6692A">
      <w:pPr>
        <w:pStyle w:val="ListParagraph"/>
        <w:rPr>
          <w:lang w:val="en-US"/>
        </w:rPr>
      </w:pPr>
    </w:p>
    <w:p w14:paraId="6953F499" w14:textId="77777777" w:rsidR="00E6692A" w:rsidRPr="006C2465" w:rsidRDefault="00E6692A" w:rsidP="00E6692A">
      <w:pPr>
        <w:pStyle w:val="parrafos"/>
        <w:numPr>
          <w:ilvl w:val="0"/>
          <w:numId w:val="0"/>
        </w:numPr>
        <w:ind w:left="357" w:right="357"/>
        <w:rPr>
          <w:sz w:val="18"/>
          <w:szCs w:val="18"/>
          <w:lang w:val="en-US"/>
        </w:rPr>
      </w:pPr>
      <w:r w:rsidRPr="009A2D86">
        <w:rPr>
          <w:sz w:val="18"/>
          <w:szCs w:val="18"/>
          <w:lang w:val="en-US"/>
        </w:rPr>
        <w:t>“…</w:t>
      </w:r>
      <w:r>
        <w:rPr>
          <w:sz w:val="18"/>
          <w:szCs w:val="18"/>
          <w:lang w:val="en-US"/>
        </w:rPr>
        <w:t xml:space="preserve">. </w:t>
      </w:r>
      <w:r w:rsidRPr="006C2465">
        <w:rPr>
          <w:sz w:val="18"/>
          <w:szCs w:val="18"/>
          <w:lang w:val="en-US"/>
        </w:rPr>
        <w:t>In recent weeks, Lobo unleashed his anger against the Court after the Constitutional Chamber declared (on November 27) tha</w:t>
      </w:r>
      <w:r w:rsidRPr="009A2D86">
        <w:rPr>
          <w:sz w:val="18"/>
          <w:szCs w:val="18"/>
          <w:lang w:val="en-US"/>
        </w:rPr>
        <w:t>t the Special Law to Purge the Police Force of Corruption,</w:t>
      </w:r>
      <w:r w:rsidRPr="006C2465">
        <w:rPr>
          <w:sz w:val="18"/>
          <w:szCs w:val="18"/>
          <w:lang w:val="en-US"/>
        </w:rPr>
        <w:t xml:space="preserve"> approved for six months until November 25, was unconstitutional. </w:t>
      </w:r>
    </w:p>
    <w:p w14:paraId="54DB6E6B" w14:textId="77777777" w:rsidR="00E6692A" w:rsidRPr="00DE3E53" w:rsidRDefault="00E6692A" w:rsidP="00E6692A">
      <w:pPr>
        <w:pStyle w:val="parrafos"/>
        <w:numPr>
          <w:ilvl w:val="0"/>
          <w:numId w:val="0"/>
        </w:numPr>
        <w:ind w:left="357" w:right="357"/>
        <w:rPr>
          <w:sz w:val="18"/>
          <w:szCs w:val="18"/>
          <w:lang w:val="en-US"/>
        </w:rPr>
      </w:pPr>
      <w:r>
        <w:rPr>
          <w:sz w:val="18"/>
          <w:szCs w:val="18"/>
          <w:lang w:val="en-US"/>
        </w:rPr>
        <w:t>“</w:t>
      </w:r>
      <w:r w:rsidRPr="00DE3E53">
        <w:rPr>
          <w:sz w:val="18"/>
          <w:szCs w:val="18"/>
          <w:lang w:val="en-US"/>
        </w:rPr>
        <w:t xml:space="preserve">In last week’s Council of Ministers, the president said </w:t>
      </w:r>
      <w:r>
        <w:rPr>
          <w:sz w:val="18"/>
          <w:szCs w:val="18"/>
          <w:lang w:val="en-US"/>
        </w:rPr>
        <w:t xml:space="preserve">aloud </w:t>
      </w:r>
      <w:r w:rsidRPr="00DE3E53">
        <w:rPr>
          <w:sz w:val="18"/>
          <w:szCs w:val="18"/>
          <w:lang w:val="en-US"/>
        </w:rPr>
        <w:t xml:space="preserve">the names of the four justices of the Constitutional Chamber who voted against the police purge and </w:t>
      </w:r>
      <w:r>
        <w:rPr>
          <w:sz w:val="18"/>
          <w:szCs w:val="18"/>
          <w:lang w:val="en-US"/>
        </w:rPr>
        <w:t>asked</w:t>
      </w:r>
      <w:r w:rsidRPr="00DE3E53">
        <w:rPr>
          <w:sz w:val="18"/>
          <w:szCs w:val="18"/>
          <w:lang w:val="en-US"/>
        </w:rPr>
        <w:t xml:space="preserve">, </w:t>
      </w:r>
      <w:r>
        <w:rPr>
          <w:sz w:val="18"/>
          <w:szCs w:val="18"/>
          <w:lang w:val="en-US"/>
        </w:rPr>
        <w:t>‘Whose</w:t>
      </w:r>
      <w:r w:rsidRPr="00DE3E53">
        <w:rPr>
          <w:sz w:val="18"/>
          <w:szCs w:val="18"/>
          <w:lang w:val="en-US"/>
        </w:rPr>
        <w:t xml:space="preserve"> side are they on</w:t>
      </w:r>
      <w:r>
        <w:rPr>
          <w:sz w:val="18"/>
          <w:szCs w:val="18"/>
          <w:lang w:val="en-US"/>
        </w:rPr>
        <w:t xml:space="preserve">? On the </w:t>
      </w:r>
      <w:r w:rsidRPr="00DE3E53">
        <w:rPr>
          <w:sz w:val="18"/>
          <w:szCs w:val="18"/>
          <w:lang w:val="en-US"/>
        </w:rPr>
        <w:t>side of</w:t>
      </w:r>
      <w:r>
        <w:rPr>
          <w:sz w:val="18"/>
          <w:szCs w:val="18"/>
          <w:lang w:val="en-US"/>
        </w:rPr>
        <w:t xml:space="preserve"> </w:t>
      </w:r>
      <w:r w:rsidRPr="00DE3E53">
        <w:rPr>
          <w:sz w:val="18"/>
          <w:szCs w:val="18"/>
          <w:lang w:val="en-US"/>
        </w:rPr>
        <w:t xml:space="preserve">criminals or </w:t>
      </w:r>
      <w:r>
        <w:rPr>
          <w:sz w:val="18"/>
          <w:szCs w:val="18"/>
          <w:lang w:val="en-US"/>
        </w:rPr>
        <w:t xml:space="preserve">on </w:t>
      </w:r>
      <w:r w:rsidRPr="00DE3E53">
        <w:rPr>
          <w:sz w:val="18"/>
          <w:szCs w:val="18"/>
          <w:lang w:val="en-US"/>
        </w:rPr>
        <w:t xml:space="preserve">the side of the </w:t>
      </w:r>
      <w:r>
        <w:rPr>
          <w:sz w:val="18"/>
          <w:szCs w:val="18"/>
          <w:lang w:val="en-US"/>
        </w:rPr>
        <w:t>honest</w:t>
      </w:r>
      <w:r w:rsidRPr="00DE3E53">
        <w:rPr>
          <w:sz w:val="18"/>
          <w:szCs w:val="18"/>
          <w:lang w:val="en-US"/>
        </w:rPr>
        <w:t xml:space="preserve"> people of</w:t>
      </w:r>
      <w:r>
        <w:rPr>
          <w:sz w:val="18"/>
          <w:szCs w:val="18"/>
          <w:lang w:val="en-US"/>
        </w:rPr>
        <w:t xml:space="preserve"> this country? </w:t>
      </w:r>
      <w:r w:rsidRPr="00DE3E53">
        <w:rPr>
          <w:sz w:val="18"/>
          <w:szCs w:val="18"/>
          <w:lang w:val="en-US"/>
        </w:rPr>
        <w:t>W</w:t>
      </w:r>
      <w:r>
        <w:rPr>
          <w:sz w:val="18"/>
          <w:szCs w:val="18"/>
          <w:lang w:val="en-US"/>
        </w:rPr>
        <w:t>hose</w:t>
      </w:r>
      <w:r w:rsidRPr="00DE3E53">
        <w:rPr>
          <w:sz w:val="18"/>
          <w:szCs w:val="18"/>
          <w:lang w:val="en-US"/>
        </w:rPr>
        <w:t xml:space="preserve"> side are they on</w:t>
      </w:r>
      <w:r>
        <w:rPr>
          <w:sz w:val="18"/>
          <w:szCs w:val="18"/>
          <w:lang w:val="en-US"/>
        </w:rPr>
        <w:t>? The victims or their assailants? I tell you this:</w:t>
      </w:r>
      <w:r w:rsidRPr="00DE3E53">
        <w:rPr>
          <w:sz w:val="18"/>
          <w:szCs w:val="18"/>
          <w:lang w:val="en-US"/>
        </w:rPr>
        <w:t xml:space="preserve"> I</w:t>
      </w:r>
      <w:r>
        <w:rPr>
          <w:sz w:val="18"/>
          <w:szCs w:val="18"/>
          <w:lang w:val="en-US"/>
        </w:rPr>
        <w:t xml:space="preserve"> feel deceived </w:t>
      </w:r>
      <w:r w:rsidRPr="00DE3E53">
        <w:rPr>
          <w:sz w:val="18"/>
          <w:szCs w:val="18"/>
          <w:lang w:val="en-US"/>
        </w:rPr>
        <w:t>[there was silence while he made a gesture of di</w:t>
      </w:r>
      <w:r>
        <w:rPr>
          <w:sz w:val="18"/>
          <w:szCs w:val="18"/>
          <w:lang w:val="en-US"/>
        </w:rPr>
        <w:t xml:space="preserve">sapproval and hit one of his fists on the table], I sincerely do.’ </w:t>
      </w:r>
    </w:p>
    <w:p w14:paraId="0127DABD" w14:textId="77777777" w:rsidR="00E6692A" w:rsidRPr="00DE3E53" w:rsidRDefault="00E6692A" w:rsidP="00E6692A">
      <w:pPr>
        <w:pStyle w:val="parrafos"/>
        <w:numPr>
          <w:ilvl w:val="0"/>
          <w:numId w:val="0"/>
        </w:numPr>
        <w:ind w:left="357" w:right="357"/>
        <w:rPr>
          <w:sz w:val="18"/>
          <w:szCs w:val="18"/>
          <w:lang w:val="en-US"/>
        </w:rPr>
      </w:pPr>
      <w:r>
        <w:rPr>
          <w:sz w:val="18"/>
          <w:szCs w:val="18"/>
          <w:lang w:val="en-US"/>
        </w:rPr>
        <w:t>“</w:t>
      </w:r>
      <w:r w:rsidRPr="00DE3E53">
        <w:rPr>
          <w:sz w:val="18"/>
          <w:szCs w:val="18"/>
          <w:lang w:val="en-US"/>
        </w:rPr>
        <w:t>Last Friday, after participating in a ceremony at the General Francisco Morazán Military Academy,</w:t>
      </w:r>
      <w:r>
        <w:rPr>
          <w:sz w:val="18"/>
          <w:szCs w:val="18"/>
          <w:lang w:val="en-US"/>
        </w:rPr>
        <w:t xml:space="preserve"> </w:t>
      </w:r>
      <w:r w:rsidRPr="00DE3E53">
        <w:rPr>
          <w:sz w:val="18"/>
          <w:szCs w:val="18"/>
          <w:lang w:val="en-US"/>
        </w:rPr>
        <w:t xml:space="preserve">he again called into question the justices of the Constitutional </w:t>
      </w:r>
      <w:r>
        <w:rPr>
          <w:sz w:val="18"/>
          <w:szCs w:val="18"/>
          <w:lang w:val="en-US"/>
        </w:rPr>
        <w:t>Chamber</w:t>
      </w:r>
      <w:r w:rsidRPr="00DE3E53">
        <w:rPr>
          <w:sz w:val="18"/>
          <w:szCs w:val="18"/>
          <w:lang w:val="en-US"/>
        </w:rPr>
        <w:t xml:space="preserve">, and this time he accused </w:t>
      </w:r>
      <w:r w:rsidRPr="00DE3E53">
        <w:rPr>
          <w:i/>
          <w:iCs/>
          <w:sz w:val="18"/>
          <w:szCs w:val="18"/>
          <w:lang w:val="en-US"/>
        </w:rPr>
        <w:t>El Heraldo</w:t>
      </w:r>
      <w:r w:rsidRPr="00DE3E53">
        <w:rPr>
          <w:sz w:val="18"/>
          <w:szCs w:val="18"/>
          <w:lang w:val="en-US"/>
        </w:rPr>
        <w:t xml:space="preserve"> </w:t>
      </w:r>
      <w:r>
        <w:rPr>
          <w:sz w:val="18"/>
          <w:szCs w:val="18"/>
          <w:lang w:val="en-US"/>
        </w:rPr>
        <w:t>and</w:t>
      </w:r>
      <w:r w:rsidRPr="00DE3E53">
        <w:rPr>
          <w:sz w:val="18"/>
          <w:szCs w:val="18"/>
          <w:lang w:val="en-US"/>
        </w:rPr>
        <w:t xml:space="preserve"> </w:t>
      </w:r>
      <w:r w:rsidRPr="00DE3E53">
        <w:rPr>
          <w:i/>
          <w:iCs/>
          <w:sz w:val="18"/>
          <w:szCs w:val="18"/>
          <w:lang w:val="en-US"/>
        </w:rPr>
        <w:t>La Prensa</w:t>
      </w:r>
      <w:r w:rsidRPr="00DE3E53">
        <w:rPr>
          <w:sz w:val="18"/>
          <w:szCs w:val="18"/>
          <w:lang w:val="en-US"/>
        </w:rPr>
        <w:t xml:space="preserve"> </w:t>
      </w:r>
      <w:r>
        <w:rPr>
          <w:sz w:val="18"/>
          <w:szCs w:val="18"/>
          <w:lang w:val="en-US"/>
        </w:rPr>
        <w:t>of conspiring to act as a conduit for reactions from justices, judges, and church sources who called for the independence of powers to be respected.</w:t>
      </w:r>
      <w:r w:rsidRPr="00DE3E53">
        <w:rPr>
          <w:sz w:val="18"/>
          <w:szCs w:val="18"/>
          <w:lang w:val="en-US"/>
        </w:rPr>
        <w:t>”</w:t>
      </w:r>
      <w:r w:rsidRPr="00DB55CD">
        <w:rPr>
          <w:rStyle w:val="FootnoteReference"/>
          <w:sz w:val="18"/>
          <w:szCs w:val="18"/>
        </w:rPr>
        <w:footnoteReference w:id="13"/>
      </w:r>
      <w:r w:rsidRPr="00DE3E53">
        <w:rPr>
          <w:sz w:val="18"/>
          <w:szCs w:val="18"/>
          <w:lang w:val="en-US"/>
        </w:rPr>
        <w:t xml:space="preserve"> </w:t>
      </w:r>
    </w:p>
    <w:p w14:paraId="70FF2C4B" w14:textId="77777777" w:rsidR="00E6692A" w:rsidRPr="00DE3E53" w:rsidRDefault="00E6692A" w:rsidP="00E6692A">
      <w:pPr>
        <w:pStyle w:val="ListParagraph"/>
        <w:rPr>
          <w:lang w:val="en-US"/>
        </w:rPr>
      </w:pPr>
    </w:p>
    <w:p w14:paraId="08533CD3" w14:textId="77777777" w:rsidR="00E6692A" w:rsidRPr="00A869F0" w:rsidRDefault="00E6692A" w:rsidP="00E6692A">
      <w:pPr>
        <w:pStyle w:val="parrafos"/>
        <w:numPr>
          <w:ilvl w:val="0"/>
          <w:numId w:val="0"/>
        </w:numPr>
        <w:rPr>
          <w:lang w:val="en-US"/>
        </w:rPr>
      </w:pPr>
      <w:r w:rsidRPr="00A869F0">
        <w:rPr>
          <w:lang w:val="en-US"/>
        </w:rPr>
        <w:t>25. On December 5, 2012, twelve Supreme Court</w:t>
      </w:r>
      <w:r w:rsidRPr="00DB4D2B">
        <w:rPr>
          <w:lang w:val="en-US"/>
        </w:rPr>
        <w:t xml:space="preserve"> </w:t>
      </w:r>
      <w:r>
        <w:rPr>
          <w:lang w:val="en-US"/>
        </w:rPr>
        <w:t>j</w:t>
      </w:r>
      <w:r w:rsidRPr="00A869F0">
        <w:rPr>
          <w:lang w:val="en-US"/>
        </w:rPr>
        <w:t>ustices</w:t>
      </w:r>
      <w:r>
        <w:rPr>
          <w:lang w:val="en-US"/>
        </w:rPr>
        <w:t xml:space="preserve"> </w:t>
      </w:r>
      <w:r w:rsidRPr="006429DA">
        <w:rPr>
          <w:lang w:val="en-US"/>
        </w:rPr>
        <w:t xml:space="preserve">issued a press release about comments questioning actions </w:t>
      </w:r>
      <w:r>
        <w:rPr>
          <w:lang w:val="en-US"/>
        </w:rPr>
        <w:t>the</w:t>
      </w:r>
      <w:r w:rsidRPr="006429DA">
        <w:rPr>
          <w:lang w:val="en-US"/>
        </w:rPr>
        <w:t xml:space="preserve"> Court had taken through the Constitutional Chamber, </w:t>
      </w:r>
      <w:r>
        <w:rPr>
          <w:lang w:val="en-US"/>
        </w:rPr>
        <w:t>in which they stated</w:t>
      </w:r>
      <w:r w:rsidRPr="006429DA">
        <w:rPr>
          <w:lang w:val="en-US"/>
        </w:rPr>
        <w:t>:</w:t>
      </w:r>
      <w:r>
        <w:rPr>
          <w:lang w:val="en-US"/>
        </w:rPr>
        <w:t xml:space="preserve"> </w:t>
      </w:r>
    </w:p>
    <w:p w14:paraId="7C51282A" w14:textId="77777777" w:rsidR="00E6692A" w:rsidRPr="00A869F0" w:rsidRDefault="00E6692A" w:rsidP="00E6692A">
      <w:pPr>
        <w:pStyle w:val="ListParagraph"/>
        <w:rPr>
          <w:lang w:val="en-US"/>
        </w:rPr>
      </w:pPr>
    </w:p>
    <w:p w14:paraId="507ED854" w14:textId="77777777" w:rsidR="00E6692A" w:rsidRPr="00A62BE0" w:rsidRDefault="00E6692A" w:rsidP="00E6692A">
      <w:pPr>
        <w:pStyle w:val="parrafos"/>
        <w:numPr>
          <w:ilvl w:val="0"/>
          <w:numId w:val="0"/>
        </w:numPr>
        <w:ind w:left="357" w:right="357"/>
        <w:rPr>
          <w:sz w:val="18"/>
          <w:szCs w:val="18"/>
          <w:lang w:val="en-US"/>
        </w:rPr>
      </w:pPr>
      <w:r w:rsidRPr="001E795D">
        <w:rPr>
          <w:sz w:val="18"/>
          <w:szCs w:val="18"/>
          <w:lang w:val="en-US"/>
        </w:rPr>
        <w:t>“…</w:t>
      </w:r>
      <w:r>
        <w:rPr>
          <w:sz w:val="18"/>
          <w:szCs w:val="18"/>
          <w:lang w:val="en-US"/>
        </w:rPr>
        <w:t>.</w:t>
      </w:r>
      <w:r w:rsidRPr="001E795D">
        <w:rPr>
          <w:sz w:val="18"/>
          <w:szCs w:val="18"/>
          <w:lang w:val="en-US"/>
        </w:rPr>
        <w:t xml:space="preserve"> </w:t>
      </w:r>
      <w:r>
        <w:rPr>
          <w:sz w:val="18"/>
          <w:szCs w:val="18"/>
          <w:lang w:val="en-US"/>
        </w:rPr>
        <w:t>Likewise</w:t>
      </w:r>
      <w:r w:rsidRPr="001E795D">
        <w:rPr>
          <w:sz w:val="18"/>
          <w:szCs w:val="18"/>
          <w:lang w:val="en-US"/>
        </w:rPr>
        <w:t>, exercising control</w:t>
      </w:r>
      <w:r w:rsidRPr="00A62BE0">
        <w:rPr>
          <w:sz w:val="18"/>
          <w:szCs w:val="18"/>
          <w:lang w:val="en-US"/>
        </w:rPr>
        <w:t xml:space="preserve"> </w:t>
      </w:r>
      <w:r w:rsidRPr="00DE2FBA">
        <w:rPr>
          <w:sz w:val="18"/>
          <w:szCs w:val="18"/>
          <w:lang w:val="en-US"/>
        </w:rPr>
        <w:t>over</w:t>
      </w:r>
      <w:r w:rsidRPr="00DE2FBA">
        <w:rPr>
          <w:color w:val="auto"/>
          <w:sz w:val="18"/>
          <w:szCs w:val="18"/>
          <w:lang w:val="en-US"/>
        </w:rPr>
        <w:t xml:space="preserve"> [the </w:t>
      </w:r>
      <w:r w:rsidRPr="00DE2FBA">
        <w:rPr>
          <w:sz w:val="18"/>
          <w:szCs w:val="18"/>
          <w:lang w:val="en-US"/>
        </w:rPr>
        <w:t>guarantees] granted to the Supreme Court of Justice through the Constitutional Chamber, in its indisputable capacity</w:t>
      </w:r>
      <w:r w:rsidRPr="00A62BE0">
        <w:rPr>
          <w:sz w:val="18"/>
          <w:szCs w:val="18"/>
          <w:lang w:val="en-US"/>
        </w:rPr>
        <w:t xml:space="preserve"> </w:t>
      </w:r>
      <w:r>
        <w:rPr>
          <w:sz w:val="18"/>
          <w:szCs w:val="18"/>
          <w:lang w:val="en-US"/>
        </w:rPr>
        <w:t>as</w:t>
      </w:r>
      <w:r w:rsidRPr="00A62BE0">
        <w:rPr>
          <w:sz w:val="18"/>
          <w:szCs w:val="18"/>
          <w:lang w:val="en-US"/>
        </w:rPr>
        <w:t xml:space="preserve"> the last and definitive interpreter in the making of decisions submitted </w:t>
      </w:r>
      <w:r>
        <w:rPr>
          <w:sz w:val="18"/>
          <w:szCs w:val="18"/>
          <w:lang w:val="en-US"/>
        </w:rPr>
        <w:t xml:space="preserve">for its consideration. </w:t>
      </w:r>
      <w:r w:rsidRPr="00A62BE0">
        <w:rPr>
          <w:sz w:val="18"/>
          <w:szCs w:val="18"/>
          <w:lang w:val="en-US"/>
        </w:rPr>
        <w:t>When its decisions</w:t>
      </w:r>
      <w:r>
        <w:rPr>
          <w:sz w:val="18"/>
          <w:szCs w:val="18"/>
          <w:lang w:val="en-US"/>
        </w:rPr>
        <w:t xml:space="preserve"> are not unanimous</w:t>
      </w:r>
      <w:r w:rsidRPr="00A62BE0">
        <w:rPr>
          <w:sz w:val="18"/>
          <w:szCs w:val="18"/>
          <w:lang w:val="en-US"/>
        </w:rPr>
        <w:t xml:space="preserve">, [the matter] goes </w:t>
      </w:r>
      <w:r>
        <w:rPr>
          <w:sz w:val="18"/>
          <w:szCs w:val="18"/>
          <w:lang w:val="en-US"/>
        </w:rPr>
        <w:t xml:space="preserve">before </w:t>
      </w:r>
      <w:r w:rsidRPr="00A62BE0">
        <w:rPr>
          <w:sz w:val="18"/>
          <w:szCs w:val="18"/>
          <w:lang w:val="en-US"/>
        </w:rPr>
        <w:t xml:space="preserve">the </w:t>
      </w:r>
      <w:r>
        <w:rPr>
          <w:sz w:val="18"/>
          <w:szCs w:val="18"/>
          <w:lang w:val="en-US"/>
        </w:rPr>
        <w:t>Pl</w:t>
      </w:r>
      <w:r w:rsidRPr="00A62BE0">
        <w:rPr>
          <w:sz w:val="18"/>
          <w:szCs w:val="18"/>
          <w:lang w:val="en-US"/>
        </w:rPr>
        <w:t xml:space="preserve">enary of </w:t>
      </w:r>
      <w:r>
        <w:rPr>
          <w:sz w:val="18"/>
          <w:szCs w:val="18"/>
          <w:lang w:val="en-US"/>
        </w:rPr>
        <w:t>J</w:t>
      </w:r>
      <w:r w:rsidRPr="00A62BE0">
        <w:rPr>
          <w:sz w:val="18"/>
          <w:szCs w:val="18"/>
          <w:lang w:val="en-US"/>
        </w:rPr>
        <w:t xml:space="preserve">ustices to be heard and decided upon. </w:t>
      </w:r>
    </w:p>
    <w:p w14:paraId="2D3DFF22" w14:textId="77777777" w:rsidR="00E6692A" w:rsidRPr="002300C6" w:rsidRDefault="00E6692A" w:rsidP="00E6692A">
      <w:pPr>
        <w:pStyle w:val="parrafos"/>
        <w:numPr>
          <w:ilvl w:val="0"/>
          <w:numId w:val="0"/>
        </w:numPr>
        <w:ind w:left="357" w:right="357"/>
        <w:rPr>
          <w:sz w:val="18"/>
          <w:szCs w:val="18"/>
          <w:lang w:val="en-US"/>
        </w:rPr>
      </w:pPr>
      <w:r>
        <w:rPr>
          <w:sz w:val="18"/>
          <w:szCs w:val="18"/>
          <w:lang w:val="en-US"/>
        </w:rPr>
        <w:t>“</w:t>
      </w:r>
      <w:r w:rsidRPr="002300C6">
        <w:rPr>
          <w:sz w:val="18"/>
          <w:szCs w:val="18"/>
          <w:lang w:val="en-US"/>
        </w:rPr>
        <w:t>That [the Court]</w:t>
      </w:r>
      <w:r>
        <w:rPr>
          <w:sz w:val="18"/>
          <w:szCs w:val="18"/>
          <w:lang w:val="en-US"/>
        </w:rPr>
        <w:t>,</w:t>
      </w:r>
      <w:r w:rsidRPr="002300C6">
        <w:rPr>
          <w:sz w:val="18"/>
          <w:szCs w:val="18"/>
          <w:lang w:val="en-US"/>
        </w:rPr>
        <w:t xml:space="preserve"> fully </w:t>
      </w:r>
      <w:r>
        <w:rPr>
          <w:sz w:val="18"/>
          <w:szCs w:val="18"/>
          <w:lang w:val="en-US"/>
        </w:rPr>
        <w:t>embracing</w:t>
      </w:r>
      <w:r w:rsidRPr="002300C6">
        <w:rPr>
          <w:sz w:val="18"/>
          <w:szCs w:val="18"/>
          <w:lang w:val="en-US"/>
        </w:rPr>
        <w:t xml:space="preserve"> </w:t>
      </w:r>
      <w:r>
        <w:rPr>
          <w:sz w:val="18"/>
          <w:szCs w:val="18"/>
          <w:lang w:val="en-US"/>
        </w:rPr>
        <w:t xml:space="preserve">the </w:t>
      </w:r>
      <w:r w:rsidRPr="002300C6">
        <w:rPr>
          <w:sz w:val="18"/>
          <w:szCs w:val="18"/>
          <w:lang w:val="en-US"/>
        </w:rPr>
        <w:t xml:space="preserve">promise under the law </w:t>
      </w:r>
      <w:r>
        <w:rPr>
          <w:sz w:val="18"/>
          <w:szCs w:val="18"/>
          <w:lang w:val="en-US"/>
        </w:rPr>
        <w:t>‘</w:t>
      </w:r>
      <w:r w:rsidRPr="002300C6">
        <w:rPr>
          <w:sz w:val="18"/>
          <w:szCs w:val="18"/>
          <w:lang w:val="en-US"/>
        </w:rPr>
        <w:t>to be faithful to the Republic, to comply with and enforce the Constitution and laws,</w:t>
      </w:r>
      <w:r>
        <w:rPr>
          <w:sz w:val="18"/>
          <w:szCs w:val="18"/>
          <w:lang w:val="en-US"/>
        </w:rPr>
        <w:t>’</w:t>
      </w:r>
      <w:r w:rsidRPr="002300C6">
        <w:rPr>
          <w:sz w:val="18"/>
          <w:szCs w:val="18"/>
          <w:lang w:val="en-US"/>
        </w:rPr>
        <w:t xml:space="preserve"> with independence of legal judgment and disregarding exogenous elements of any kind, firmly rejects the insinuation that the decisions issued by the Constitutional Court of the Supreme Court of Justice are biased toward one sector of </w:t>
      </w:r>
      <w:r>
        <w:rPr>
          <w:sz w:val="18"/>
          <w:szCs w:val="18"/>
          <w:lang w:val="en-US"/>
        </w:rPr>
        <w:t>the Honduran</w:t>
      </w:r>
      <w:r w:rsidRPr="002300C6">
        <w:rPr>
          <w:sz w:val="18"/>
          <w:szCs w:val="18"/>
          <w:lang w:val="en-US"/>
        </w:rPr>
        <w:t xml:space="preserve"> nation, </w:t>
      </w:r>
      <w:r>
        <w:rPr>
          <w:sz w:val="18"/>
          <w:szCs w:val="18"/>
          <w:lang w:val="en-US"/>
        </w:rPr>
        <w:t xml:space="preserve">something that is incongruous because its </w:t>
      </w:r>
      <w:r>
        <w:rPr>
          <w:sz w:val="18"/>
          <w:szCs w:val="18"/>
          <w:lang w:val="en-US"/>
        </w:rPr>
        <w:lastRenderedPageBreak/>
        <w:t xml:space="preserve">decisions are made solely in compliance with the Constitution and the laws in effect, so that it acts properly, without applying anything beyond the legal criteria. </w:t>
      </w:r>
    </w:p>
    <w:p w14:paraId="3E71956A" w14:textId="77777777" w:rsidR="00E6692A" w:rsidRPr="00EE3051" w:rsidRDefault="00E6692A" w:rsidP="00E6692A">
      <w:pPr>
        <w:pStyle w:val="parrafos"/>
        <w:numPr>
          <w:ilvl w:val="0"/>
          <w:numId w:val="0"/>
        </w:numPr>
        <w:ind w:left="357" w:right="357"/>
        <w:rPr>
          <w:sz w:val="18"/>
          <w:szCs w:val="18"/>
          <w:lang w:val="en-US"/>
        </w:rPr>
      </w:pPr>
      <w:r>
        <w:rPr>
          <w:sz w:val="18"/>
          <w:szCs w:val="18"/>
          <w:lang w:val="en-US"/>
        </w:rPr>
        <w:t>“</w:t>
      </w:r>
      <w:r w:rsidRPr="00EE3051">
        <w:rPr>
          <w:sz w:val="18"/>
          <w:szCs w:val="18"/>
          <w:lang w:val="en-US"/>
        </w:rPr>
        <w:t xml:space="preserve">…. </w:t>
      </w:r>
      <w:r w:rsidRPr="0006119D">
        <w:rPr>
          <w:sz w:val="18"/>
          <w:szCs w:val="18"/>
          <w:lang w:val="en-US"/>
        </w:rPr>
        <w:t xml:space="preserve">It is once again affirmed that the Constitutional Chamber and the Supreme Court of Justice will continue to </w:t>
      </w:r>
      <w:r>
        <w:rPr>
          <w:sz w:val="18"/>
          <w:szCs w:val="18"/>
          <w:lang w:val="en-US"/>
        </w:rPr>
        <w:t>purposefully</w:t>
      </w:r>
      <w:r w:rsidRPr="0006119D">
        <w:rPr>
          <w:sz w:val="18"/>
          <w:szCs w:val="18"/>
          <w:lang w:val="en-US"/>
        </w:rPr>
        <w:t xml:space="preserve"> assume the democratic role that they must maintain in order to ensure unrestricted constitutional supremacy, controlling and submitting to the judicial system the actions of the other branches of government when th</w:t>
      </w:r>
      <w:r>
        <w:rPr>
          <w:sz w:val="18"/>
          <w:szCs w:val="18"/>
          <w:lang w:val="en-US"/>
        </w:rPr>
        <w:t xml:space="preserve">ese do </w:t>
      </w:r>
      <w:r w:rsidRPr="006429DA">
        <w:rPr>
          <w:sz w:val="18"/>
          <w:szCs w:val="18"/>
          <w:lang w:val="en-US"/>
        </w:rPr>
        <w:t>not fit in harmoniously</w:t>
      </w:r>
      <w:r>
        <w:rPr>
          <w:sz w:val="18"/>
          <w:szCs w:val="18"/>
          <w:lang w:val="en-US"/>
        </w:rPr>
        <w:t xml:space="preserve"> with the international human rights instruments, the Constitution, and the laws…. </w:t>
      </w:r>
    </w:p>
    <w:p w14:paraId="267DEA16" w14:textId="77777777" w:rsidR="00E6692A" w:rsidRPr="00E26040" w:rsidRDefault="00E6692A" w:rsidP="00E6692A">
      <w:pPr>
        <w:pStyle w:val="parrafos"/>
        <w:numPr>
          <w:ilvl w:val="0"/>
          <w:numId w:val="0"/>
        </w:numPr>
        <w:ind w:left="357" w:right="357"/>
        <w:rPr>
          <w:sz w:val="18"/>
          <w:szCs w:val="18"/>
          <w:lang w:val="en-US"/>
        </w:rPr>
      </w:pPr>
      <w:r>
        <w:rPr>
          <w:sz w:val="18"/>
          <w:szCs w:val="18"/>
          <w:lang w:val="en-US"/>
        </w:rPr>
        <w:t>“</w:t>
      </w:r>
      <w:r w:rsidRPr="00E26040">
        <w:rPr>
          <w:sz w:val="18"/>
          <w:szCs w:val="18"/>
          <w:lang w:val="en-US"/>
        </w:rPr>
        <w:t xml:space="preserve">For the sake of institutional tranquility </w:t>
      </w:r>
      <w:r w:rsidRPr="00E60BF3">
        <w:rPr>
          <w:sz w:val="18"/>
          <w:szCs w:val="18"/>
          <w:lang w:val="en-US"/>
        </w:rPr>
        <w:t>and respect for the principle of powers, we</w:t>
      </w:r>
      <w:r w:rsidRPr="00E26040">
        <w:rPr>
          <w:sz w:val="18"/>
          <w:szCs w:val="18"/>
          <w:lang w:val="en-US"/>
        </w:rPr>
        <w:t xml:space="preserve"> believe that the attacks on the independence of the judiciary and on democratic institutions must cease, given that the branches of government do not have any more powers than those granted to them expressly by the Constitution and the law, and they must submit themselves to the </w:t>
      </w:r>
      <w:r>
        <w:rPr>
          <w:sz w:val="18"/>
          <w:szCs w:val="18"/>
          <w:lang w:val="en-US"/>
        </w:rPr>
        <w:t>rule of law</w:t>
      </w:r>
      <w:r w:rsidRPr="005D67F4">
        <w:rPr>
          <w:sz w:val="18"/>
          <w:szCs w:val="18"/>
          <w:lang w:val="en-US"/>
        </w:rPr>
        <w:t>.”</w:t>
      </w:r>
      <w:r w:rsidRPr="005D67F4">
        <w:rPr>
          <w:rStyle w:val="FootnoteReference"/>
          <w:sz w:val="18"/>
          <w:szCs w:val="18"/>
          <w:lang w:val="es-ES"/>
        </w:rPr>
        <w:footnoteReference w:id="14"/>
      </w:r>
    </w:p>
    <w:p w14:paraId="478A1B05" w14:textId="77777777" w:rsidR="00E6692A" w:rsidRPr="00E26040" w:rsidRDefault="00E6692A" w:rsidP="00E6692A">
      <w:pPr>
        <w:pStyle w:val="parrafos"/>
        <w:numPr>
          <w:ilvl w:val="0"/>
          <w:numId w:val="0"/>
        </w:numPr>
        <w:ind w:right="357"/>
        <w:rPr>
          <w:sz w:val="18"/>
          <w:szCs w:val="18"/>
          <w:lang w:val="en-US"/>
        </w:rPr>
      </w:pPr>
    </w:p>
    <w:p w14:paraId="183B5E2B" w14:textId="77777777" w:rsidR="00E6692A" w:rsidRPr="004134FF" w:rsidRDefault="00E6692A" w:rsidP="00E6692A">
      <w:pPr>
        <w:pStyle w:val="parrafos"/>
        <w:numPr>
          <w:ilvl w:val="0"/>
          <w:numId w:val="0"/>
        </w:numPr>
        <w:rPr>
          <w:lang w:val="en-US"/>
        </w:rPr>
      </w:pPr>
      <w:r w:rsidRPr="006C35CE">
        <w:rPr>
          <w:lang w:val="en-US"/>
        </w:rPr>
        <w:t xml:space="preserve">26. Subsequently, </w:t>
      </w:r>
      <w:r>
        <w:rPr>
          <w:lang w:val="en-US"/>
        </w:rPr>
        <w:t>Deputy</w:t>
      </w:r>
      <w:r w:rsidRPr="006C35CE">
        <w:rPr>
          <w:lang w:val="en-US"/>
        </w:rPr>
        <w:t xml:space="preserve"> Rodolfo Zelaya of the ruling party, using his prerogative of legislative initiative, presented a motion to the Congress to establish a Special Comm</w:t>
      </w:r>
      <w:r>
        <w:rPr>
          <w:lang w:val="en-US"/>
        </w:rPr>
        <w:t>ittee</w:t>
      </w:r>
      <w:r w:rsidRPr="006C35CE">
        <w:rPr>
          <w:lang w:val="en-US"/>
        </w:rPr>
        <w:t xml:space="preserve"> to investigate the supposed “administrative conduct of the justices of the Supreme Court of Justice of Honduras.”</w:t>
      </w:r>
      <w:r w:rsidRPr="00DB55CD">
        <w:rPr>
          <w:rStyle w:val="FootnoteReference"/>
        </w:rPr>
        <w:footnoteReference w:id="15"/>
      </w:r>
    </w:p>
    <w:p w14:paraId="389858CF" w14:textId="77777777" w:rsidR="00E6692A" w:rsidRPr="004134FF" w:rsidRDefault="00E6692A" w:rsidP="00E6692A">
      <w:pPr>
        <w:pStyle w:val="parrafos"/>
        <w:numPr>
          <w:ilvl w:val="0"/>
          <w:numId w:val="0"/>
        </w:numPr>
        <w:rPr>
          <w:lang w:val="en-US"/>
        </w:rPr>
      </w:pPr>
    </w:p>
    <w:p w14:paraId="4793D816" w14:textId="77777777" w:rsidR="00E6692A" w:rsidRPr="004134FF" w:rsidRDefault="00E6692A" w:rsidP="00E6692A">
      <w:pPr>
        <w:pStyle w:val="parrafos"/>
        <w:numPr>
          <w:ilvl w:val="0"/>
          <w:numId w:val="0"/>
        </w:numPr>
        <w:rPr>
          <w:lang w:val="en-US"/>
        </w:rPr>
      </w:pPr>
      <w:r w:rsidRPr="00BE5CAC">
        <w:rPr>
          <w:lang w:val="en-US"/>
        </w:rPr>
        <w:t xml:space="preserve">27. As the information attached to the case file shows, on December 10, 2012, the </w:t>
      </w:r>
      <w:r>
        <w:rPr>
          <w:lang w:val="en-US"/>
        </w:rPr>
        <w:t xml:space="preserve">Honduran </w:t>
      </w:r>
      <w:r w:rsidRPr="00BE5CAC">
        <w:rPr>
          <w:lang w:val="en-US"/>
        </w:rPr>
        <w:t xml:space="preserve">Congress created a committee to investigate the conduct of the justices of the Constitutional Chamber of the Supreme Court who voted to declare </w:t>
      </w:r>
      <w:r w:rsidRPr="00A75A65">
        <w:rPr>
          <w:lang w:val="en-US"/>
        </w:rPr>
        <w:t>the Special Law to Purge the Police Force of Corruption to be</w:t>
      </w:r>
      <w:r w:rsidRPr="00BE5CAC">
        <w:rPr>
          <w:lang w:val="en-US"/>
        </w:rPr>
        <w:t xml:space="preserve"> unconstitutional. </w:t>
      </w:r>
      <w:r w:rsidRPr="004134FF">
        <w:rPr>
          <w:lang w:val="en-US"/>
        </w:rPr>
        <w:t xml:space="preserve">One news </w:t>
      </w:r>
      <w:r>
        <w:rPr>
          <w:lang w:val="en-US"/>
        </w:rPr>
        <w:t xml:space="preserve">account </w:t>
      </w:r>
      <w:r w:rsidRPr="004134FF">
        <w:rPr>
          <w:lang w:val="en-US"/>
        </w:rPr>
        <w:t>report</w:t>
      </w:r>
      <w:r>
        <w:rPr>
          <w:lang w:val="en-US"/>
        </w:rPr>
        <w:t xml:space="preserve">ed </w:t>
      </w:r>
      <w:r w:rsidRPr="004134FF">
        <w:rPr>
          <w:lang w:val="en-US"/>
        </w:rPr>
        <w:t>the following:</w:t>
      </w:r>
    </w:p>
    <w:p w14:paraId="0DD5AA7F" w14:textId="77777777" w:rsidR="00E6692A" w:rsidRPr="004134FF" w:rsidRDefault="00E6692A" w:rsidP="00E6692A">
      <w:pPr>
        <w:pStyle w:val="ListParagraph"/>
        <w:rPr>
          <w:lang w:val="en-US"/>
        </w:rPr>
      </w:pPr>
    </w:p>
    <w:p w14:paraId="58FA9032" w14:textId="77777777" w:rsidR="00E6692A" w:rsidRPr="00BE5CAC" w:rsidRDefault="00E6692A" w:rsidP="00E6692A">
      <w:pPr>
        <w:pStyle w:val="parrafos"/>
        <w:numPr>
          <w:ilvl w:val="0"/>
          <w:numId w:val="0"/>
        </w:numPr>
        <w:ind w:left="357" w:right="357"/>
        <w:rPr>
          <w:sz w:val="18"/>
          <w:szCs w:val="18"/>
          <w:lang w:val="en-US"/>
        </w:rPr>
      </w:pPr>
      <w:r w:rsidRPr="00BE5CAC">
        <w:rPr>
          <w:sz w:val="18"/>
          <w:szCs w:val="18"/>
          <w:lang w:val="en-US"/>
        </w:rPr>
        <w:t>“The National Congress create</w:t>
      </w:r>
      <w:r>
        <w:rPr>
          <w:sz w:val="18"/>
          <w:szCs w:val="18"/>
          <w:lang w:val="en-US"/>
        </w:rPr>
        <w:t>d</w:t>
      </w:r>
      <w:r w:rsidRPr="00BE5CAC">
        <w:rPr>
          <w:sz w:val="18"/>
          <w:szCs w:val="18"/>
          <w:lang w:val="en-US"/>
        </w:rPr>
        <w:t xml:space="preserve"> a committee made up of four </w:t>
      </w:r>
      <w:r w:rsidRPr="00BE5CAC">
        <w:rPr>
          <w:i/>
          <w:iCs/>
          <w:sz w:val="18"/>
          <w:szCs w:val="18"/>
          <w:lang w:val="en-US"/>
        </w:rPr>
        <w:t>juanorlandista</w:t>
      </w:r>
      <w:r w:rsidRPr="00BE5CAC">
        <w:rPr>
          <w:sz w:val="18"/>
          <w:szCs w:val="18"/>
          <w:lang w:val="en-US"/>
        </w:rPr>
        <w:t xml:space="preserve"> deputies, two from the liberal party, one from the UD, an</w:t>
      </w:r>
      <w:r>
        <w:rPr>
          <w:sz w:val="18"/>
          <w:szCs w:val="18"/>
          <w:lang w:val="en-US"/>
        </w:rPr>
        <w:t xml:space="preserve">d another one from the </w:t>
      </w:r>
      <w:r w:rsidRPr="00BE5CAC">
        <w:rPr>
          <w:sz w:val="18"/>
          <w:szCs w:val="18"/>
          <w:lang w:val="en-US"/>
        </w:rPr>
        <w:t>DC</w:t>
      </w:r>
      <w:r>
        <w:rPr>
          <w:sz w:val="18"/>
          <w:szCs w:val="18"/>
          <w:lang w:val="en-US"/>
        </w:rPr>
        <w:t>, to examine the conduct of the justices of the Constitutional Chamber</w:t>
      </w:r>
      <w:r w:rsidRPr="00BE5CAC">
        <w:rPr>
          <w:sz w:val="18"/>
          <w:szCs w:val="18"/>
          <w:lang w:val="en-US"/>
        </w:rPr>
        <w:t xml:space="preserve">. The measure </w:t>
      </w:r>
      <w:r>
        <w:rPr>
          <w:sz w:val="18"/>
          <w:szCs w:val="18"/>
          <w:lang w:val="en-US"/>
        </w:rPr>
        <w:t>took place</w:t>
      </w:r>
      <w:r w:rsidRPr="00BE5CAC">
        <w:rPr>
          <w:sz w:val="18"/>
          <w:szCs w:val="18"/>
          <w:lang w:val="en-US"/>
        </w:rPr>
        <w:t xml:space="preserve"> two hours after the plenary of the </w:t>
      </w:r>
      <w:r>
        <w:rPr>
          <w:sz w:val="18"/>
          <w:szCs w:val="18"/>
          <w:lang w:val="en-US"/>
        </w:rPr>
        <w:t>CSJ [</w:t>
      </w:r>
      <w:r w:rsidRPr="00BE5CAC">
        <w:rPr>
          <w:sz w:val="18"/>
          <w:szCs w:val="18"/>
          <w:lang w:val="en-US"/>
        </w:rPr>
        <w:t>Supreme Court</w:t>
      </w:r>
      <w:r>
        <w:rPr>
          <w:sz w:val="18"/>
          <w:szCs w:val="18"/>
          <w:lang w:val="en-US"/>
        </w:rPr>
        <w:t>]</w:t>
      </w:r>
      <w:r w:rsidRPr="00BE5CAC">
        <w:rPr>
          <w:sz w:val="18"/>
          <w:szCs w:val="18"/>
          <w:lang w:val="en-US"/>
        </w:rPr>
        <w:t xml:space="preserve"> </w:t>
      </w:r>
      <w:r w:rsidRPr="00A75A65">
        <w:rPr>
          <w:sz w:val="18"/>
          <w:szCs w:val="18"/>
          <w:lang w:val="en-US"/>
        </w:rPr>
        <w:t xml:space="preserve">issued a decision on the legality of the decree that allows members of the police force to be terminated based on </w:t>
      </w:r>
      <w:r>
        <w:rPr>
          <w:sz w:val="18"/>
          <w:szCs w:val="18"/>
          <w:lang w:val="en-US"/>
        </w:rPr>
        <w:t>confidence</w:t>
      </w:r>
      <w:r w:rsidRPr="00A75A65">
        <w:rPr>
          <w:sz w:val="18"/>
          <w:szCs w:val="18"/>
          <w:lang w:val="en-US"/>
        </w:rPr>
        <w:t xml:space="preserve"> tests.</w:t>
      </w:r>
    </w:p>
    <w:p w14:paraId="1F7AA1A3" w14:textId="77777777" w:rsidR="00E6692A" w:rsidRPr="004134FF" w:rsidRDefault="00E6692A" w:rsidP="00E6692A">
      <w:pPr>
        <w:pStyle w:val="parrafos"/>
        <w:numPr>
          <w:ilvl w:val="0"/>
          <w:numId w:val="0"/>
        </w:numPr>
        <w:ind w:left="357" w:right="357"/>
        <w:rPr>
          <w:sz w:val="18"/>
          <w:szCs w:val="18"/>
          <w:lang w:val="en-US"/>
        </w:rPr>
      </w:pPr>
      <w:r>
        <w:rPr>
          <w:sz w:val="18"/>
          <w:szCs w:val="18"/>
          <w:lang w:val="en-US"/>
        </w:rPr>
        <w:t>“</w:t>
      </w:r>
      <w:r w:rsidRPr="00BE5CAC">
        <w:rPr>
          <w:sz w:val="18"/>
          <w:szCs w:val="18"/>
          <w:lang w:val="en-US"/>
        </w:rPr>
        <w:t>…</w:t>
      </w:r>
      <w:r>
        <w:rPr>
          <w:sz w:val="18"/>
          <w:szCs w:val="18"/>
          <w:lang w:val="en-US"/>
        </w:rPr>
        <w:t>.</w:t>
      </w:r>
      <w:r w:rsidRPr="00BE5CAC">
        <w:rPr>
          <w:sz w:val="18"/>
          <w:szCs w:val="18"/>
          <w:lang w:val="en-US"/>
        </w:rPr>
        <w:t xml:space="preserve"> This decision came about after the legislative and executive </w:t>
      </w:r>
      <w:r w:rsidRPr="00271A6F">
        <w:rPr>
          <w:sz w:val="18"/>
          <w:szCs w:val="18"/>
          <w:lang w:val="en-US"/>
        </w:rPr>
        <w:t>branches launched a series</w:t>
      </w:r>
      <w:r w:rsidRPr="00BE5CAC">
        <w:rPr>
          <w:sz w:val="18"/>
          <w:szCs w:val="18"/>
          <w:lang w:val="en-US"/>
        </w:rPr>
        <w:t xml:space="preserve"> of attacks on the </w:t>
      </w:r>
      <w:r>
        <w:rPr>
          <w:sz w:val="18"/>
          <w:szCs w:val="18"/>
          <w:lang w:val="en-US"/>
        </w:rPr>
        <w:t>judiciary</w:t>
      </w:r>
      <w:r w:rsidRPr="00BE5CAC">
        <w:rPr>
          <w:sz w:val="18"/>
          <w:szCs w:val="18"/>
          <w:lang w:val="en-US"/>
        </w:rPr>
        <w:t>, after the Constitutional Chamber voted 4 to 1 against the decree re</w:t>
      </w:r>
      <w:r>
        <w:rPr>
          <w:sz w:val="18"/>
          <w:szCs w:val="18"/>
          <w:lang w:val="en-US"/>
        </w:rPr>
        <w:t>lated to the police purge because they considered it to be unconstitutional.</w:t>
      </w:r>
      <w:r w:rsidRPr="00BE5CAC">
        <w:rPr>
          <w:sz w:val="18"/>
          <w:szCs w:val="18"/>
          <w:lang w:val="en-US"/>
        </w:rPr>
        <w:t>”</w:t>
      </w:r>
      <w:r w:rsidRPr="00DB55CD">
        <w:rPr>
          <w:rStyle w:val="FootnoteReference"/>
          <w:sz w:val="18"/>
          <w:szCs w:val="18"/>
        </w:rPr>
        <w:footnoteReference w:id="16"/>
      </w:r>
    </w:p>
    <w:p w14:paraId="3E97AB07" w14:textId="77777777" w:rsidR="00E6692A" w:rsidRPr="00BE5CAC" w:rsidRDefault="00E6692A" w:rsidP="00E6692A">
      <w:pPr>
        <w:pStyle w:val="parrafos"/>
        <w:numPr>
          <w:ilvl w:val="0"/>
          <w:numId w:val="0"/>
        </w:numPr>
        <w:ind w:right="357"/>
        <w:rPr>
          <w:sz w:val="18"/>
          <w:szCs w:val="18"/>
          <w:lang w:val="en-US"/>
        </w:rPr>
      </w:pPr>
    </w:p>
    <w:p w14:paraId="5B8909F4" w14:textId="77777777" w:rsidR="00E6692A" w:rsidRPr="00AF4594" w:rsidRDefault="00E6692A" w:rsidP="00E6692A">
      <w:pPr>
        <w:pStyle w:val="parrafos"/>
        <w:numPr>
          <w:ilvl w:val="0"/>
          <w:numId w:val="0"/>
        </w:numPr>
        <w:rPr>
          <w:lang w:val="en-US"/>
        </w:rPr>
      </w:pPr>
      <w:r w:rsidRPr="00AF4594">
        <w:rPr>
          <w:lang w:val="en-US"/>
        </w:rPr>
        <w:t xml:space="preserve">28. On the evening of December 11, 2012, the Special Committee appointed by the </w:t>
      </w:r>
      <w:r>
        <w:rPr>
          <w:lang w:val="en-US"/>
        </w:rPr>
        <w:t xml:space="preserve">Honduran </w:t>
      </w:r>
      <w:r w:rsidRPr="00AF4594">
        <w:rPr>
          <w:lang w:val="en-US"/>
        </w:rPr>
        <w:t xml:space="preserve">Congress issued a report </w:t>
      </w:r>
      <w:r>
        <w:rPr>
          <w:lang w:val="en-US"/>
        </w:rPr>
        <w:t xml:space="preserve">affirming </w:t>
      </w:r>
      <w:r w:rsidRPr="00AF4594">
        <w:rPr>
          <w:lang w:val="en-US"/>
        </w:rPr>
        <w:t xml:space="preserve">that administrative irregularities had been committed in the proceeding </w:t>
      </w:r>
      <w:r>
        <w:rPr>
          <w:lang w:val="en-US"/>
        </w:rPr>
        <w:t>related to</w:t>
      </w:r>
      <w:r w:rsidRPr="00AF4594">
        <w:rPr>
          <w:lang w:val="en-US"/>
        </w:rPr>
        <w:t xml:space="preserve"> the </w:t>
      </w:r>
      <w:r>
        <w:rPr>
          <w:lang w:val="en-US"/>
        </w:rPr>
        <w:t xml:space="preserve">constitutional challenge filed against the </w:t>
      </w:r>
      <w:r w:rsidRPr="00271A6F">
        <w:rPr>
          <w:lang w:val="en-US"/>
        </w:rPr>
        <w:t>Special Law to Purge the Police Force of Corruption.</w:t>
      </w:r>
      <w:r>
        <w:rPr>
          <w:lang w:val="en-US"/>
        </w:rPr>
        <w:t xml:space="preserve"> </w:t>
      </w:r>
      <w:r w:rsidRPr="00AF4594">
        <w:rPr>
          <w:lang w:val="en-US"/>
        </w:rPr>
        <w:t xml:space="preserve">This report was approved by the </w:t>
      </w:r>
      <w:r>
        <w:rPr>
          <w:lang w:val="en-US"/>
        </w:rPr>
        <w:t>P</w:t>
      </w:r>
      <w:r w:rsidRPr="00AF4594">
        <w:rPr>
          <w:lang w:val="en-US"/>
        </w:rPr>
        <w:t xml:space="preserve">lenary of the </w:t>
      </w:r>
      <w:r>
        <w:rPr>
          <w:lang w:val="en-US"/>
        </w:rPr>
        <w:t>L</w:t>
      </w:r>
      <w:r w:rsidRPr="00AF4594">
        <w:rPr>
          <w:lang w:val="en-US"/>
        </w:rPr>
        <w:t xml:space="preserve">egislative </w:t>
      </w:r>
      <w:r>
        <w:rPr>
          <w:lang w:val="en-US"/>
        </w:rPr>
        <w:t>C</w:t>
      </w:r>
      <w:r w:rsidRPr="00AF4594">
        <w:rPr>
          <w:lang w:val="en-US"/>
        </w:rPr>
        <w:t>hamber</w:t>
      </w:r>
      <w:r>
        <w:rPr>
          <w:lang w:val="en-US"/>
        </w:rPr>
        <w:t>,</w:t>
      </w:r>
      <w:r w:rsidRPr="00AF4594">
        <w:rPr>
          <w:lang w:val="en-US"/>
        </w:rPr>
        <w:t xml:space="preserve"> and consequently a motion was presented, signed by a number of congressional deputies, calling for the </w:t>
      </w:r>
      <w:r>
        <w:rPr>
          <w:lang w:val="en-US"/>
        </w:rPr>
        <w:t>dismissal</w:t>
      </w:r>
      <w:r w:rsidRPr="00AF4594">
        <w:rPr>
          <w:lang w:val="en-US"/>
        </w:rPr>
        <w:t xml:space="preserve"> of the justices of the Constitutional Chamber for conduct “contrary to th</w:t>
      </w:r>
      <w:r>
        <w:rPr>
          <w:lang w:val="en-US"/>
        </w:rPr>
        <w:t>e public interest.”</w:t>
      </w:r>
      <w:r w:rsidRPr="00DB55CD">
        <w:rPr>
          <w:rStyle w:val="FootnoteReference"/>
        </w:rPr>
        <w:footnoteReference w:id="17"/>
      </w:r>
      <w:r w:rsidRPr="00AF4594">
        <w:rPr>
          <w:lang w:val="en-US"/>
        </w:rPr>
        <w:t xml:space="preserve"> According to publicly available information, the session of Congress took place with the building surrounded by members of t</w:t>
      </w:r>
      <w:r>
        <w:rPr>
          <w:lang w:val="en-US"/>
        </w:rPr>
        <w:t>he armed forces.</w:t>
      </w:r>
      <w:r w:rsidRPr="00DB55CD">
        <w:rPr>
          <w:rStyle w:val="FootnoteReference"/>
        </w:rPr>
        <w:footnoteReference w:id="18"/>
      </w:r>
    </w:p>
    <w:p w14:paraId="334FAA63" w14:textId="77777777" w:rsidR="00E6692A" w:rsidRPr="00AF4594" w:rsidRDefault="00E6692A" w:rsidP="00E6692A">
      <w:pPr>
        <w:pStyle w:val="parrafos"/>
        <w:numPr>
          <w:ilvl w:val="0"/>
          <w:numId w:val="0"/>
        </w:numPr>
        <w:rPr>
          <w:lang w:val="en-US"/>
        </w:rPr>
      </w:pPr>
    </w:p>
    <w:p w14:paraId="12485C27" w14:textId="77777777" w:rsidR="00E6692A" w:rsidRPr="004134FF" w:rsidRDefault="00E6692A" w:rsidP="00E6692A">
      <w:pPr>
        <w:pStyle w:val="parrafos"/>
        <w:numPr>
          <w:ilvl w:val="0"/>
          <w:numId w:val="0"/>
        </w:numPr>
        <w:rPr>
          <w:lang w:val="en-US"/>
        </w:rPr>
      </w:pPr>
      <w:r w:rsidRPr="00FD15A0">
        <w:rPr>
          <w:lang w:val="en-US"/>
        </w:rPr>
        <w:t xml:space="preserve">29. </w:t>
      </w:r>
      <w:r>
        <w:rPr>
          <w:lang w:val="en-US"/>
        </w:rPr>
        <w:t xml:space="preserve">Meeting </w:t>
      </w:r>
      <w:r w:rsidRPr="00FD15A0">
        <w:rPr>
          <w:lang w:val="en-US"/>
        </w:rPr>
        <w:t xml:space="preserve">in session </w:t>
      </w:r>
      <w:r>
        <w:rPr>
          <w:lang w:val="en-US"/>
        </w:rPr>
        <w:t>during</w:t>
      </w:r>
      <w:r w:rsidRPr="00FD15A0">
        <w:rPr>
          <w:lang w:val="en-US"/>
        </w:rPr>
        <w:t xml:space="preserve"> the early morning hours of December 12, 2012, </w:t>
      </w:r>
      <w:r>
        <w:rPr>
          <w:lang w:val="en-US"/>
        </w:rPr>
        <w:t xml:space="preserve">the Honduran Congress decided to remove the </w:t>
      </w:r>
      <w:r w:rsidRPr="00FD15A0">
        <w:rPr>
          <w:lang w:val="en-US"/>
        </w:rPr>
        <w:t>alleged victims</w:t>
      </w:r>
      <w:r>
        <w:rPr>
          <w:lang w:val="en-US"/>
        </w:rPr>
        <w:t xml:space="preserve"> from their posts as justices of the Constitutional Chamber of the Supreme Court. </w:t>
      </w:r>
      <w:r w:rsidRPr="00FD15A0">
        <w:rPr>
          <w:lang w:val="en-US"/>
        </w:rPr>
        <w:t xml:space="preserve">It was also </w:t>
      </w:r>
      <w:r>
        <w:rPr>
          <w:lang w:val="en-US"/>
        </w:rPr>
        <w:t xml:space="preserve">determined </w:t>
      </w:r>
      <w:r w:rsidRPr="00FD15A0">
        <w:rPr>
          <w:lang w:val="en-US"/>
        </w:rPr>
        <w:t xml:space="preserve">that they </w:t>
      </w:r>
      <w:r>
        <w:rPr>
          <w:lang w:val="en-US"/>
        </w:rPr>
        <w:t xml:space="preserve">would </w:t>
      </w:r>
      <w:r w:rsidRPr="00FD15A0">
        <w:rPr>
          <w:lang w:val="en-US"/>
        </w:rPr>
        <w:t xml:space="preserve">be replaced by </w:t>
      </w:r>
      <w:r>
        <w:rPr>
          <w:lang w:val="en-US"/>
        </w:rPr>
        <w:t xml:space="preserve">the </w:t>
      </w:r>
      <w:r w:rsidRPr="00FD15A0">
        <w:rPr>
          <w:lang w:val="en-US"/>
        </w:rPr>
        <w:t>attorneys Germán Vicente García, Silvia Trinidad Santos Moncada, José Elmer Lizardo</w:t>
      </w:r>
      <w:r>
        <w:rPr>
          <w:lang w:val="en-US"/>
        </w:rPr>
        <w:t>, and</w:t>
      </w:r>
      <w:r w:rsidRPr="00FD15A0">
        <w:rPr>
          <w:lang w:val="en-US"/>
        </w:rPr>
        <w:t xml:space="preserve"> Víctor Manuel Lozano</w:t>
      </w:r>
      <w:r>
        <w:rPr>
          <w:lang w:val="en-US"/>
        </w:rPr>
        <w:t>.</w:t>
      </w:r>
      <w:r w:rsidRPr="00DB55CD">
        <w:rPr>
          <w:rStyle w:val="FootnoteReference"/>
        </w:rPr>
        <w:footnoteReference w:id="19"/>
      </w:r>
      <w:r w:rsidRPr="00FD15A0">
        <w:rPr>
          <w:lang w:val="en-US"/>
        </w:rPr>
        <w:t xml:space="preserve"> These decisions were later formalized </w:t>
      </w:r>
      <w:r>
        <w:rPr>
          <w:lang w:val="en-US"/>
        </w:rPr>
        <w:t>through</w:t>
      </w:r>
      <w:r w:rsidRPr="00FD15A0">
        <w:rPr>
          <w:lang w:val="en-US"/>
        </w:rPr>
        <w:t xml:space="preserve"> Decree No. 191-2012 published in the Official Gaz</w:t>
      </w:r>
      <w:r>
        <w:rPr>
          <w:lang w:val="en-US"/>
        </w:rPr>
        <w:t xml:space="preserve">ette on December </w:t>
      </w:r>
      <w:r w:rsidRPr="00FD15A0">
        <w:rPr>
          <w:lang w:val="en-US"/>
        </w:rPr>
        <w:t>29</w:t>
      </w:r>
      <w:r>
        <w:rPr>
          <w:lang w:val="en-US"/>
        </w:rPr>
        <w:t xml:space="preserve">, </w:t>
      </w:r>
      <w:r w:rsidRPr="00FD15A0">
        <w:rPr>
          <w:lang w:val="en-US"/>
        </w:rPr>
        <w:t>2012</w:t>
      </w:r>
      <w:r>
        <w:rPr>
          <w:lang w:val="en-US"/>
        </w:rPr>
        <w:t>.</w:t>
      </w:r>
      <w:r w:rsidRPr="00DB55CD">
        <w:rPr>
          <w:rStyle w:val="FootnoteReference"/>
        </w:rPr>
        <w:footnoteReference w:id="20"/>
      </w:r>
      <w:r w:rsidRPr="00FD15A0">
        <w:rPr>
          <w:lang w:val="en-US"/>
        </w:rPr>
        <w:t xml:space="preserve"> </w:t>
      </w:r>
      <w:r w:rsidRPr="004134FF">
        <w:rPr>
          <w:lang w:val="en-US"/>
        </w:rPr>
        <w:t>Th</w:t>
      </w:r>
      <w:r>
        <w:rPr>
          <w:lang w:val="en-US"/>
        </w:rPr>
        <w:t>at</w:t>
      </w:r>
      <w:r w:rsidRPr="004134FF">
        <w:rPr>
          <w:lang w:val="en-US"/>
        </w:rPr>
        <w:t xml:space="preserve"> decree stated the following:</w:t>
      </w:r>
    </w:p>
    <w:p w14:paraId="7D0402E1" w14:textId="77777777" w:rsidR="00E6692A" w:rsidRPr="004134FF" w:rsidRDefault="00E6692A" w:rsidP="00E6692A">
      <w:pPr>
        <w:pStyle w:val="ListParagraph"/>
        <w:rPr>
          <w:lang w:val="en-US"/>
        </w:rPr>
      </w:pPr>
    </w:p>
    <w:p w14:paraId="1DEF7337" w14:textId="77777777" w:rsidR="00E6692A" w:rsidRPr="00FD15A0" w:rsidRDefault="00E6692A" w:rsidP="00E6692A">
      <w:pPr>
        <w:pStyle w:val="parrafos"/>
        <w:numPr>
          <w:ilvl w:val="0"/>
          <w:numId w:val="0"/>
        </w:numPr>
        <w:ind w:left="357" w:right="357"/>
        <w:rPr>
          <w:sz w:val="18"/>
          <w:szCs w:val="18"/>
          <w:lang w:val="en-US"/>
        </w:rPr>
      </w:pPr>
      <w:r w:rsidRPr="00FD15A0">
        <w:rPr>
          <w:sz w:val="18"/>
          <w:szCs w:val="18"/>
          <w:lang w:val="en-US"/>
        </w:rPr>
        <w:t>“CONSIDERING: That four (4) Justices that belonged to the Constitutional Chamber of the Judicia</w:t>
      </w:r>
      <w:r>
        <w:rPr>
          <w:sz w:val="18"/>
          <w:szCs w:val="18"/>
          <w:lang w:val="en-US"/>
        </w:rPr>
        <w:t>ry</w:t>
      </w:r>
      <w:r w:rsidRPr="00FD15A0">
        <w:rPr>
          <w:sz w:val="18"/>
          <w:szCs w:val="18"/>
          <w:lang w:val="en-US"/>
        </w:rPr>
        <w:t xml:space="preserve"> were removed from office due to disapproval of their administrative conduct, in accordance with Article 205</w:t>
      </w:r>
      <w:r>
        <w:rPr>
          <w:sz w:val="18"/>
          <w:szCs w:val="18"/>
          <w:lang w:val="en-US"/>
        </w:rPr>
        <w:t>,</w:t>
      </w:r>
      <w:r w:rsidRPr="00FD15A0">
        <w:rPr>
          <w:sz w:val="18"/>
          <w:szCs w:val="18"/>
          <w:lang w:val="en-US"/>
        </w:rPr>
        <w:t xml:space="preserve"> Powers, paragraphs </w:t>
      </w:r>
      <w:r w:rsidRPr="00FD15A0">
        <w:rPr>
          <w:sz w:val="18"/>
          <w:szCs w:val="18"/>
          <w:lang w:val="en-US"/>
        </w:rPr>
        <w:lastRenderedPageBreak/>
        <w:t xml:space="preserve">20) and 21) of the Constitution of the Republic, </w:t>
      </w:r>
      <w:r>
        <w:rPr>
          <w:sz w:val="18"/>
          <w:szCs w:val="18"/>
          <w:lang w:val="en-US"/>
        </w:rPr>
        <w:t>the respective vacancies remain, which must be filled to complete the remainder of the term of the substituted justices.</w:t>
      </w:r>
      <w:r w:rsidRPr="00FD15A0">
        <w:rPr>
          <w:sz w:val="18"/>
          <w:szCs w:val="18"/>
          <w:lang w:val="en-US"/>
        </w:rPr>
        <w:t>”</w:t>
      </w:r>
      <w:r w:rsidRPr="00DB55CD">
        <w:rPr>
          <w:rStyle w:val="FootnoteReference"/>
          <w:sz w:val="18"/>
          <w:szCs w:val="18"/>
        </w:rPr>
        <w:footnoteReference w:id="21"/>
      </w:r>
      <w:r w:rsidRPr="00FD15A0">
        <w:rPr>
          <w:sz w:val="18"/>
          <w:szCs w:val="18"/>
          <w:lang w:val="en-US"/>
        </w:rPr>
        <w:t xml:space="preserve"> </w:t>
      </w:r>
    </w:p>
    <w:p w14:paraId="0623DA07" w14:textId="77777777" w:rsidR="00E6692A" w:rsidRPr="00FD15A0" w:rsidRDefault="00E6692A" w:rsidP="00E6692A">
      <w:pPr>
        <w:pStyle w:val="parrafos"/>
        <w:numPr>
          <w:ilvl w:val="0"/>
          <w:numId w:val="0"/>
        </w:numPr>
        <w:ind w:right="357"/>
        <w:rPr>
          <w:sz w:val="18"/>
          <w:szCs w:val="18"/>
          <w:lang w:val="en-US"/>
        </w:rPr>
      </w:pPr>
    </w:p>
    <w:p w14:paraId="286FF83D" w14:textId="77777777" w:rsidR="00E6692A" w:rsidRPr="004134FF" w:rsidRDefault="00E6692A" w:rsidP="00E6692A">
      <w:pPr>
        <w:pStyle w:val="parrafos"/>
        <w:numPr>
          <w:ilvl w:val="0"/>
          <w:numId w:val="0"/>
        </w:numPr>
        <w:rPr>
          <w:lang w:val="en-US"/>
        </w:rPr>
      </w:pPr>
      <w:r w:rsidRPr="00F175D5">
        <w:rPr>
          <w:lang w:val="en-US"/>
        </w:rPr>
        <w:t xml:space="preserve">30. </w:t>
      </w:r>
      <w:r w:rsidRPr="00EE3051">
        <w:rPr>
          <w:lang w:val="en-US"/>
        </w:rPr>
        <w:t xml:space="preserve">In </w:t>
      </w:r>
      <w:r>
        <w:rPr>
          <w:lang w:val="en-US"/>
        </w:rPr>
        <w:t>the face of</w:t>
      </w:r>
      <w:r w:rsidRPr="00EE3051">
        <w:rPr>
          <w:lang w:val="en-US"/>
        </w:rPr>
        <w:t xml:space="preserve"> this</w:t>
      </w:r>
      <w:r w:rsidRPr="00F175D5">
        <w:rPr>
          <w:lang w:val="en-US"/>
        </w:rPr>
        <w:t xml:space="preserve"> situation, the alleged victims issued a communiqué </w:t>
      </w:r>
      <w:r>
        <w:rPr>
          <w:lang w:val="en-US"/>
        </w:rPr>
        <w:t>stating</w:t>
      </w:r>
      <w:r w:rsidRPr="00F175D5">
        <w:rPr>
          <w:lang w:val="en-US"/>
        </w:rPr>
        <w:t xml:space="preserve"> that their </w:t>
      </w:r>
      <w:r>
        <w:rPr>
          <w:lang w:val="en-US"/>
        </w:rPr>
        <w:t>dismissal</w:t>
      </w:r>
      <w:r w:rsidRPr="00F175D5">
        <w:rPr>
          <w:lang w:val="en-US"/>
        </w:rPr>
        <w:t xml:space="preserve"> </w:t>
      </w:r>
      <w:r>
        <w:rPr>
          <w:lang w:val="en-US"/>
        </w:rPr>
        <w:t>was for</w:t>
      </w:r>
      <w:r w:rsidRPr="00F175D5">
        <w:rPr>
          <w:lang w:val="en-US"/>
        </w:rPr>
        <w:t xml:space="preserve"> political, not </w:t>
      </w:r>
      <w:r>
        <w:rPr>
          <w:lang w:val="en-US"/>
        </w:rPr>
        <w:t>juridical</w:t>
      </w:r>
      <w:r w:rsidRPr="00F175D5">
        <w:rPr>
          <w:lang w:val="en-US"/>
        </w:rPr>
        <w:t xml:space="preserve">, reasons, </w:t>
      </w:r>
      <w:r>
        <w:rPr>
          <w:lang w:val="en-US"/>
        </w:rPr>
        <w:t>since</w:t>
      </w:r>
      <w:r w:rsidRPr="00F175D5">
        <w:rPr>
          <w:lang w:val="en-US"/>
        </w:rPr>
        <w:t xml:space="preserve"> they had issued their decisions in a reasoned and independent manner, with</w:t>
      </w:r>
      <w:r>
        <w:rPr>
          <w:lang w:val="en-US"/>
        </w:rPr>
        <w:t xml:space="preserve">out submitting to any type of pressure. </w:t>
      </w:r>
      <w:r w:rsidRPr="004134FF">
        <w:rPr>
          <w:lang w:val="en-US"/>
        </w:rPr>
        <w:t>They also indicated the following:</w:t>
      </w:r>
    </w:p>
    <w:p w14:paraId="6A9310C0" w14:textId="77777777" w:rsidR="00E6692A" w:rsidRPr="004134FF" w:rsidRDefault="00E6692A" w:rsidP="00E6692A">
      <w:pPr>
        <w:pStyle w:val="parrafos"/>
        <w:numPr>
          <w:ilvl w:val="0"/>
          <w:numId w:val="0"/>
        </w:numPr>
        <w:rPr>
          <w:lang w:val="en-US"/>
        </w:rPr>
      </w:pPr>
    </w:p>
    <w:p w14:paraId="26F698BA" w14:textId="77777777" w:rsidR="00E6692A" w:rsidRPr="00F175D5" w:rsidRDefault="00E6692A" w:rsidP="00E6692A">
      <w:pPr>
        <w:pStyle w:val="parrafos"/>
        <w:numPr>
          <w:ilvl w:val="0"/>
          <w:numId w:val="0"/>
        </w:numPr>
        <w:ind w:left="357" w:right="357"/>
        <w:rPr>
          <w:sz w:val="18"/>
          <w:szCs w:val="18"/>
          <w:lang w:val="en-US"/>
        </w:rPr>
      </w:pPr>
      <w:r w:rsidRPr="004134FF">
        <w:rPr>
          <w:sz w:val="18"/>
          <w:szCs w:val="18"/>
          <w:lang w:val="en-US"/>
        </w:rPr>
        <w:t>“</w:t>
      </w:r>
      <w:r>
        <w:rPr>
          <w:sz w:val="18"/>
          <w:szCs w:val="18"/>
          <w:lang w:val="en-US"/>
        </w:rPr>
        <w:t xml:space="preserve">…. </w:t>
      </w:r>
      <w:r w:rsidRPr="00F175D5">
        <w:rPr>
          <w:sz w:val="18"/>
          <w:szCs w:val="18"/>
          <w:lang w:val="en-US"/>
        </w:rPr>
        <w:t xml:space="preserve">That the </w:t>
      </w:r>
      <w:r>
        <w:rPr>
          <w:sz w:val="18"/>
          <w:szCs w:val="18"/>
          <w:lang w:val="en-US"/>
        </w:rPr>
        <w:t>dismissal p</w:t>
      </w:r>
      <w:r w:rsidRPr="00F175D5">
        <w:rPr>
          <w:sz w:val="18"/>
          <w:szCs w:val="18"/>
          <w:lang w:val="en-US"/>
        </w:rPr>
        <w:t>roce</w:t>
      </w:r>
      <w:r>
        <w:rPr>
          <w:sz w:val="18"/>
          <w:szCs w:val="18"/>
          <w:lang w:val="en-US"/>
        </w:rPr>
        <w:t xml:space="preserve">eding </w:t>
      </w:r>
      <w:r w:rsidRPr="00F175D5">
        <w:rPr>
          <w:sz w:val="18"/>
          <w:szCs w:val="18"/>
          <w:lang w:val="en-US"/>
        </w:rPr>
        <w:t xml:space="preserve">that was carried out has no legal basis whatsoever. The </w:t>
      </w:r>
      <w:r>
        <w:rPr>
          <w:sz w:val="18"/>
          <w:szCs w:val="18"/>
          <w:lang w:val="en-US"/>
        </w:rPr>
        <w:t>ostensible</w:t>
      </w:r>
      <w:r w:rsidRPr="00F175D5">
        <w:rPr>
          <w:sz w:val="18"/>
          <w:szCs w:val="18"/>
          <w:lang w:val="en-US"/>
        </w:rPr>
        <w:t xml:space="preserve"> ground for this action was our </w:t>
      </w:r>
      <w:r>
        <w:rPr>
          <w:sz w:val="18"/>
          <w:szCs w:val="18"/>
          <w:lang w:val="en-US"/>
        </w:rPr>
        <w:t>‘</w:t>
      </w:r>
      <w:r w:rsidRPr="00F175D5">
        <w:rPr>
          <w:sz w:val="18"/>
          <w:szCs w:val="18"/>
          <w:lang w:val="en-US"/>
        </w:rPr>
        <w:t>administrative conduct,</w:t>
      </w:r>
      <w:r>
        <w:rPr>
          <w:sz w:val="18"/>
          <w:szCs w:val="18"/>
          <w:lang w:val="en-US"/>
        </w:rPr>
        <w:t>’</w:t>
      </w:r>
      <w:r w:rsidRPr="00F175D5">
        <w:rPr>
          <w:sz w:val="18"/>
          <w:szCs w:val="18"/>
          <w:lang w:val="en-US"/>
        </w:rPr>
        <w:t xml:space="preserve"> </w:t>
      </w:r>
      <w:r>
        <w:rPr>
          <w:sz w:val="18"/>
          <w:szCs w:val="18"/>
          <w:lang w:val="en-US"/>
        </w:rPr>
        <w:t>pursuant to</w:t>
      </w:r>
      <w:r w:rsidRPr="00F175D5">
        <w:rPr>
          <w:sz w:val="18"/>
          <w:szCs w:val="18"/>
          <w:lang w:val="en-US"/>
        </w:rPr>
        <w:t xml:space="preserve"> the power contained in paragraph 20 of Article 205 of the Constitution of the Republic, and the report that was read in the Legislative Chamber refers to a decision issued by the Constitutional </w:t>
      </w:r>
      <w:r>
        <w:rPr>
          <w:sz w:val="18"/>
          <w:szCs w:val="18"/>
          <w:lang w:val="en-US"/>
        </w:rPr>
        <w:t xml:space="preserve">Chamber, which is not yet final, as it was not unanimous and therefore was sent to be heard and decided upon by the Plenary of the Supreme Court of Justice. </w:t>
      </w:r>
      <w:r w:rsidRPr="00F175D5">
        <w:rPr>
          <w:sz w:val="18"/>
          <w:szCs w:val="18"/>
          <w:lang w:val="en-US"/>
        </w:rPr>
        <w:t xml:space="preserve">Said decision was issued pursuant to the </w:t>
      </w:r>
      <w:r>
        <w:rPr>
          <w:sz w:val="18"/>
          <w:szCs w:val="18"/>
          <w:lang w:val="en-US"/>
        </w:rPr>
        <w:t>l</w:t>
      </w:r>
      <w:r w:rsidRPr="00F175D5">
        <w:rPr>
          <w:sz w:val="18"/>
          <w:szCs w:val="18"/>
          <w:lang w:val="en-US"/>
        </w:rPr>
        <w:t xml:space="preserve">aw, as the product of a jurisdictional function of the </w:t>
      </w:r>
      <w:r>
        <w:rPr>
          <w:sz w:val="18"/>
          <w:szCs w:val="18"/>
          <w:lang w:val="en-US"/>
        </w:rPr>
        <w:t>j</w:t>
      </w:r>
      <w:r w:rsidRPr="00F175D5">
        <w:rPr>
          <w:sz w:val="18"/>
          <w:szCs w:val="18"/>
          <w:lang w:val="en-US"/>
        </w:rPr>
        <w:t xml:space="preserve">udicial </w:t>
      </w:r>
      <w:r>
        <w:rPr>
          <w:sz w:val="18"/>
          <w:szCs w:val="18"/>
          <w:lang w:val="en-US"/>
        </w:rPr>
        <w:t>b</w:t>
      </w:r>
      <w:r w:rsidRPr="00F175D5">
        <w:rPr>
          <w:sz w:val="18"/>
          <w:szCs w:val="18"/>
          <w:lang w:val="en-US"/>
        </w:rPr>
        <w:t xml:space="preserve">ranch. It is worth remembering that we justices on the various Chambers of the Supreme Court </w:t>
      </w:r>
      <w:r>
        <w:rPr>
          <w:sz w:val="18"/>
          <w:szCs w:val="18"/>
          <w:lang w:val="en-US"/>
        </w:rPr>
        <w:t xml:space="preserve">of Justice </w:t>
      </w:r>
      <w:r w:rsidRPr="00F175D5">
        <w:rPr>
          <w:sz w:val="18"/>
          <w:szCs w:val="18"/>
          <w:lang w:val="en-US"/>
        </w:rPr>
        <w:t xml:space="preserve">have </w:t>
      </w:r>
      <w:r>
        <w:rPr>
          <w:sz w:val="18"/>
          <w:szCs w:val="18"/>
          <w:lang w:val="en-US"/>
        </w:rPr>
        <w:t xml:space="preserve">no </w:t>
      </w:r>
      <w:r w:rsidRPr="00F175D5">
        <w:rPr>
          <w:sz w:val="18"/>
          <w:szCs w:val="18"/>
          <w:lang w:val="en-US"/>
        </w:rPr>
        <w:t>administrative functions</w:t>
      </w:r>
      <w:r>
        <w:rPr>
          <w:sz w:val="18"/>
          <w:szCs w:val="18"/>
          <w:lang w:val="en-US"/>
        </w:rPr>
        <w:t>, because</w:t>
      </w:r>
      <w:r w:rsidRPr="00F175D5">
        <w:rPr>
          <w:sz w:val="18"/>
          <w:szCs w:val="18"/>
          <w:lang w:val="en-US"/>
        </w:rPr>
        <w:t xml:space="preserve"> the National Congress it</w:t>
      </w:r>
      <w:r>
        <w:rPr>
          <w:sz w:val="18"/>
          <w:szCs w:val="18"/>
          <w:lang w:val="en-US"/>
        </w:rPr>
        <w:t>self</w:t>
      </w:r>
      <w:r w:rsidRPr="005D12D2">
        <w:rPr>
          <w:sz w:val="18"/>
          <w:szCs w:val="18"/>
          <w:lang w:val="en-US"/>
        </w:rPr>
        <w:t xml:space="preserve"> </w:t>
      </w:r>
      <w:r>
        <w:rPr>
          <w:sz w:val="18"/>
          <w:szCs w:val="18"/>
          <w:lang w:val="en-US"/>
        </w:rPr>
        <w:t xml:space="preserve">determined that to be the case since January </w:t>
      </w:r>
      <w:r w:rsidRPr="00F175D5">
        <w:rPr>
          <w:sz w:val="18"/>
          <w:szCs w:val="18"/>
          <w:lang w:val="en-US"/>
        </w:rPr>
        <w:t>2011. The only person in charge of administrative functions is the President of t</w:t>
      </w:r>
      <w:r>
        <w:rPr>
          <w:sz w:val="18"/>
          <w:szCs w:val="18"/>
          <w:lang w:val="en-US"/>
        </w:rPr>
        <w:t xml:space="preserve">he Court, </w:t>
      </w:r>
      <w:r w:rsidRPr="00F175D5">
        <w:rPr>
          <w:sz w:val="18"/>
          <w:szCs w:val="18"/>
          <w:lang w:val="en-US"/>
        </w:rPr>
        <w:t xml:space="preserve">Jorge Alberto Rivera Avilés. </w:t>
      </w:r>
    </w:p>
    <w:p w14:paraId="5D4DDE87" w14:textId="77777777" w:rsidR="00E6692A" w:rsidRPr="00353D9E" w:rsidRDefault="00E6692A" w:rsidP="00E6692A">
      <w:pPr>
        <w:pStyle w:val="parrafos"/>
        <w:numPr>
          <w:ilvl w:val="0"/>
          <w:numId w:val="0"/>
        </w:numPr>
        <w:ind w:left="357" w:right="357"/>
        <w:rPr>
          <w:sz w:val="18"/>
          <w:szCs w:val="18"/>
          <w:lang w:val="en-US"/>
        </w:rPr>
      </w:pPr>
      <w:r>
        <w:rPr>
          <w:sz w:val="18"/>
          <w:szCs w:val="18"/>
          <w:lang w:val="en-US"/>
        </w:rPr>
        <w:t>“</w:t>
      </w:r>
      <w:r w:rsidRPr="00353D9E">
        <w:rPr>
          <w:sz w:val="18"/>
          <w:szCs w:val="18"/>
          <w:lang w:val="en-US"/>
        </w:rPr>
        <w:t xml:space="preserve">That our </w:t>
      </w:r>
      <w:r>
        <w:rPr>
          <w:sz w:val="18"/>
          <w:szCs w:val="18"/>
          <w:lang w:val="en-US"/>
        </w:rPr>
        <w:t>dismissal</w:t>
      </w:r>
      <w:r w:rsidRPr="00353D9E">
        <w:rPr>
          <w:sz w:val="18"/>
          <w:szCs w:val="18"/>
          <w:lang w:val="en-US"/>
        </w:rPr>
        <w:t xml:space="preserve"> has violated our constitutional rights, such as due process, the right </w:t>
      </w:r>
      <w:r>
        <w:rPr>
          <w:sz w:val="18"/>
          <w:szCs w:val="18"/>
          <w:lang w:val="en-US"/>
        </w:rPr>
        <w:t>of</w:t>
      </w:r>
      <w:r w:rsidRPr="00353D9E">
        <w:rPr>
          <w:sz w:val="18"/>
          <w:szCs w:val="18"/>
          <w:lang w:val="en-US"/>
        </w:rPr>
        <w:t xml:space="preserve"> defense, the right to be heard, and other fundamental rights which are recognized in the national as well as international framework and which we will </w:t>
      </w:r>
      <w:r>
        <w:rPr>
          <w:sz w:val="18"/>
          <w:szCs w:val="18"/>
          <w:lang w:val="en-US"/>
        </w:rPr>
        <w:t xml:space="preserve">vindicate by legal means. </w:t>
      </w:r>
    </w:p>
    <w:p w14:paraId="0F5EBB69" w14:textId="77777777" w:rsidR="00E6692A" w:rsidRPr="004379EE" w:rsidRDefault="00E6692A" w:rsidP="00E6692A">
      <w:pPr>
        <w:pStyle w:val="parrafos"/>
        <w:numPr>
          <w:ilvl w:val="0"/>
          <w:numId w:val="0"/>
        </w:numPr>
        <w:ind w:left="357" w:right="357"/>
        <w:rPr>
          <w:lang w:val="en-US"/>
        </w:rPr>
      </w:pPr>
      <w:r>
        <w:rPr>
          <w:sz w:val="18"/>
          <w:szCs w:val="18"/>
          <w:lang w:val="en-US"/>
        </w:rPr>
        <w:t>“</w:t>
      </w:r>
      <w:r w:rsidRPr="004379EE">
        <w:rPr>
          <w:sz w:val="18"/>
          <w:szCs w:val="18"/>
          <w:lang w:val="en-US"/>
        </w:rPr>
        <w:t xml:space="preserve">That the action carried out by a segment of the National Congress of the Republic violates the principle of separation of </w:t>
      </w:r>
      <w:r>
        <w:rPr>
          <w:sz w:val="18"/>
          <w:szCs w:val="18"/>
          <w:lang w:val="en-US"/>
        </w:rPr>
        <w:t>p</w:t>
      </w:r>
      <w:r w:rsidRPr="004379EE">
        <w:rPr>
          <w:sz w:val="18"/>
          <w:szCs w:val="18"/>
          <w:lang w:val="en-US"/>
        </w:rPr>
        <w:t xml:space="preserve">owers contained in the Constitution of the Republic and has abruptly interfered with the jurisdictional function of this </w:t>
      </w:r>
      <w:r>
        <w:rPr>
          <w:sz w:val="18"/>
          <w:szCs w:val="18"/>
          <w:lang w:val="en-US"/>
        </w:rPr>
        <w:t>b</w:t>
      </w:r>
      <w:r w:rsidRPr="004379EE">
        <w:rPr>
          <w:sz w:val="18"/>
          <w:szCs w:val="18"/>
          <w:lang w:val="en-US"/>
        </w:rPr>
        <w:t xml:space="preserve">ranch of </w:t>
      </w:r>
      <w:r>
        <w:rPr>
          <w:sz w:val="18"/>
          <w:szCs w:val="18"/>
          <w:lang w:val="en-US"/>
        </w:rPr>
        <w:t>g</w:t>
      </w:r>
      <w:r w:rsidRPr="004379EE">
        <w:rPr>
          <w:sz w:val="18"/>
          <w:szCs w:val="18"/>
          <w:lang w:val="en-US"/>
        </w:rPr>
        <w:t>overnment, in such a way that it has resulted in an alte</w:t>
      </w:r>
      <w:r>
        <w:rPr>
          <w:sz w:val="18"/>
          <w:szCs w:val="18"/>
          <w:lang w:val="en-US"/>
        </w:rPr>
        <w:t>ration of the constitutional order, as the Congress does not have the authority to take that action.</w:t>
      </w:r>
      <w:r w:rsidRPr="004379EE">
        <w:rPr>
          <w:sz w:val="18"/>
          <w:szCs w:val="18"/>
          <w:lang w:val="en-US"/>
        </w:rPr>
        <w:t>”</w:t>
      </w:r>
      <w:r w:rsidRPr="00DB55CD">
        <w:rPr>
          <w:rStyle w:val="FootnoteReference"/>
          <w:sz w:val="18"/>
          <w:szCs w:val="18"/>
        </w:rPr>
        <w:footnoteReference w:id="22"/>
      </w:r>
      <w:r w:rsidRPr="004379EE">
        <w:rPr>
          <w:sz w:val="18"/>
          <w:szCs w:val="18"/>
          <w:lang w:val="en-US"/>
        </w:rPr>
        <w:t xml:space="preserve"> </w:t>
      </w:r>
    </w:p>
    <w:p w14:paraId="404860DE" w14:textId="77777777" w:rsidR="00E6692A" w:rsidRPr="004379EE" w:rsidRDefault="00E6692A" w:rsidP="00E6692A">
      <w:pPr>
        <w:pStyle w:val="parrafos"/>
        <w:numPr>
          <w:ilvl w:val="0"/>
          <w:numId w:val="0"/>
        </w:numPr>
        <w:ind w:right="357"/>
        <w:rPr>
          <w:sz w:val="18"/>
          <w:szCs w:val="18"/>
          <w:lang w:val="en-US"/>
        </w:rPr>
      </w:pPr>
    </w:p>
    <w:p w14:paraId="33B9078E" w14:textId="77777777" w:rsidR="00E6692A" w:rsidRPr="00362666" w:rsidRDefault="00E6692A" w:rsidP="00E6692A">
      <w:pPr>
        <w:pStyle w:val="parrafos"/>
        <w:numPr>
          <w:ilvl w:val="0"/>
          <w:numId w:val="0"/>
        </w:numPr>
        <w:rPr>
          <w:lang w:val="en-US"/>
        </w:rPr>
      </w:pPr>
      <w:r w:rsidRPr="00362666">
        <w:rPr>
          <w:lang w:val="en-US"/>
        </w:rPr>
        <w:t xml:space="preserve">31. Along the same lines, seven </w:t>
      </w:r>
      <w:r>
        <w:rPr>
          <w:lang w:val="en-US"/>
        </w:rPr>
        <w:t>j</w:t>
      </w:r>
      <w:r w:rsidRPr="00362666">
        <w:rPr>
          <w:lang w:val="en-US"/>
        </w:rPr>
        <w:t xml:space="preserve">ustices of the Supreme Court also issued a communiqué expressing their concern regarding </w:t>
      </w:r>
      <w:r>
        <w:rPr>
          <w:lang w:val="en-US"/>
        </w:rPr>
        <w:t xml:space="preserve">their </w:t>
      </w:r>
      <w:r w:rsidRPr="00362666">
        <w:rPr>
          <w:lang w:val="en-US"/>
        </w:rPr>
        <w:t>colleagues</w:t>
      </w:r>
      <w:r>
        <w:rPr>
          <w:lang w:val="en-US"/>
        </w:rPr>
        <w:t>’ dismissal</w:t>
      </w:r>
      <w:r w:rsidRPr="00362666">
        <w:rPr>
          <w:lang w:val="en-US"/>
        </w:rPr>
        <w:t xml:space="preserve">:  </w:t>
      </w:r>
    </w:p>
    <w:p w14:paraId="5C63A36F" w14:textId="77777777" w:rsidR="00E6692A" w:rsidRPr="00362666" w:rsidRDefault="00E6692A" w:rsidP="00E6692A">
      <w:pPr>
        <w:pStyle w:val="parrafos"/>
        <w:numPr>
          <w:ilvl w:val="0"/>
          <w:numId w:val="0"/>
        </w:numPr>
        <w:rPr>
          <w:lang w:val="en-US"/>
        </w:rPr>
      </w:pPr>
    </w:p>
    <w:p w14:paraId="7581B2C9" w14:textId="77777777" w:rsidR="00E6692A" w:rsidRPr="00B270D1" w:rsidRDefault="00E6692A" w:rsidP="00E6692A">
      <w:pPr>
        <w:pStyle w:val="parrafos"/>
        <w:numPr>
          <w:ilvl w:val="0"/>
          <w:numId w:val="0"/>
        </w:numPr>
        <w:ind w:left="357" w:right="357"/>
        <w:rPr>
          <w:sz w:val="18"/>
          <w:szCs w:val="18"/>
          <w:lang w:val="en-US"/>
        </w:rPr>
      </w:pPr>
      <w:r w:rsidRPr="00B270D1">
        <w:rPr>
          <w:sz w:val="18"/>
          <w:szCs w:val="18"/>
          <w:lang w:val="en-US"/>
        </w:rPr>
        <w:t>“…</w:t>
      </w:r>
      <w:r>
        <w:rPr>
          <w:sz w:val="18"/>
          <w:szCs w:val="18"/>
          <w:lang w:val="en-US"/>
        </w:rPr>
        <w:t>.</w:t>
      </w:r>
      <w:r w:rsidRPr="00B270D1">
        <w:rPr>
          <w:sz w:val="18"/>
          <w:szCs w:val="18"/>
          <w:lang w:val="en-US"/>
        </w:rPr>
        <w:t xml:space="preserve"> That given the decision by a branch of the State that resulted in the substitution of four Justices of the Constitutional Chamber, we consider that this is not consistent with democratic institutions and represents an attack on</w:t>
      </w:r>
      <w:r>
        <w:rPr>
          <w:sz w:val="18"/>
          <w:szCs w:val="18"/>
          <w:lang w:val="en-US"/>
        </w:rPr>
        <w:t xml:space="preserve"> the independence of the judicial branch</w:t>
      </w:r>
      <w:r w:rsidRPr="00B270D1">
        <w:rPr>
          <w:sz w:val="18"/>
          <w:szCs w:val="18"/>
          <w:lang w:val="en-US"/>
        </w:rPr>
        <w:t xml:space="preserve">. </w:t>
      </w:r>
    </w:p>
    <w:p w14:paraId="0BB4C494" w14:textId="77777777" w:rsidR="00E6692A" w:rsidRPr="00B270D1" w:rsidRDefault="00E6692A" w:rsidP="00E6692A">
      <w:pPr>
        <w:pStyle w:val="parrafos"/>
        <w:numPr>
          <w:ilvl w:val="0"/>
          <w:numId w:val="0"/>
        </w:numPr>
        <w:ind w:left="357" w:right="357"/>
        <w:rPr>
          <w:sz w:val="18"/>
          <w:szCs w:val="18"/>
          <w:lang w:val="en-US"/>
        </w:rPr>
      </w:pPr>
      <w:r>
        <w:rPr>
          <w:sz w:val="18"/>
          <w:szCs w:val="18"/>
          <w:lang w:val="en-US"/>
        </w:rPr>
        <w:t>“</w:t>
      </w:r>
      <w:r w:rsidRPr="00B270D1">
        <w:rPr>
          <w:sz w:val="18"/>
          <w:szCs w:val="18"/>
          <w:lang w:val="en-US"/>
        </w:rPr>
        <w:t xml:space="preserve">That judicial independence is not a privilege of Judges and Justices but a right of citizens, so that the cases that are </w:t>
      </w:r>
      <w:r>
        <w:rPr>
          <w:sz w:val="18"/>
          <w:szCs w:val="18"/>
          <w:lang w:val="en-US"/>
        </w:rPr>
        <w:t>brought</w:t>
      </w:r>
      <w:r w:rsidRPr="00B270D1">
        <w:rPr>
          <w:sz w:val="18"/>
          <w:szCs w:val="18"/>
          <w:lang w:val="en-US"/>
        </w:rPr>
        <w:t xml:space="preserve"> before the judicial system may be resolved without undue interference from any authority or individuals, but only in accordance with the proven facts of the case and the applic</w:t>
      </w:r>
      <w:r>
        <w:rPr>
          <w:sz w:val="18"/>
          <w:szCs w:val="18"/>
          <w:lang w:val="en-US"/>
        </w:rPr>
        <w:t>ation of the legal regime.</w:t>
      </w:r>
      <w:r w:rsidRPr="00B270D1">
        <w:rPr>
          <w:sz w:val="18"/>
          <w:szCs w:val="18"/>
          <w:lang w:val="en-US"/>
        </w:rPr>
        <w:t>”</w:t>
      </w:r>
      <w:r w:rsidRPr="00DB55CD">
        <w:rPr>
          <w:rStyle w:val="FootnoteReference"/>
          <w:sz w:val="18"/>
          <w:szCs w:val="18"/>
        </w:rPr>
        <w:footnoteReference w:id="23"/>
      </w:r>
      <w:r w:rsidRPr="00B270D1">
        <w:rPr>
          <w:sz w:val="18"/>
          <w:szCs w:val="18"/>
          <w:lang w:val="en-US"/>
        </w:rPr>
        <w:t xml:space="preserve"> </w:t>
      </w:r>
    </w:p>
    <w:p w14:paraId="30E62979" w14:textId="77777777" w:rsidR="00E6692A" w:rsidRPr="00B270D1" w:rsidRDefault="00E6692A" w:rsidP="00E6692A">
      <w:pPr>
        <w:pStyle w:val="parrafos"/>
        <w:numPr>
          <w:ilvl w:val="0"/>
          <w:numId w:val="0"/>
        </w:numPr>
        <w:rPr>
          <w:lang w:val="en-US"/>
        </w:rPr>
      </w:pPr>
    </w:p>
    <w:p w14:paraId="08D1DA48" w14:textId="77777777" w:rsidR="00E6692A" w:rsidRPr="00D9529D" w:rsidRDefault="00E6692A" w:rsidP="00E6692A">
      <w:pPr>
        <w:pStyle w:val="parrafos"/>
        <w:numPr>
          <w:ilvl w:val="0"/>
          <w:numId w:val="0"/>
        </w:numPr>
        <w:rPr>
          <w:lang w:val="en-US"/>
        </w:rPr>
      </w:pPr>
      <w:r w:rsidRPr="004134FF">
        <w:rPr>
          <w:lang w:val="en-US"/>
        </w:rPr>
        <w:t xml:space="preserve">32.  </w:t>
      </w:r>
      <w:r w:rsidRPr="00D9529D">
        <w:rPr>
          <w:lang w:val="en-US"/>
        </w:rPr>
        <w:t>On January 3, 2013, the President of the Supreme Court</w:t>
      </w:r>
      <w:r>
        <w:rPr>
          <w:lang w:val="en-US"/>
        </w:rPr>
        <w:t xml:space="preserve"> of Justice</w:t>
      </w:r>
      <w:r w:rsidRPr="00D9529D">
        <w:rPr>
          <w:lang w:val="en-US"/>
        </w:rPr>
        <w:t xml:space="preserve">, Jorge Rivera Avilés, issued </w:t>
      </w:r>
      <w:r>
        <w:rPr>
          <w:lang w:val="en-US"/>
        </w:rPr>
        <w:t>O</w:t>
      </w:r>
      <w:r w:rsidRPr="00D9529D">
        <w:rPr>
          <w:lang w:val="en-US"/>
        </w:rPr>
        <w:t xml:space="preserve">fficial </w:t>
      </w:r>
      <w:r>
        <w:rPr>
          <w:lang w:val="en-US"/>
        </w:rPr>
        <w:t>Letter</w:t>
      </w:r>
      <w:r w:rsidRPr="00D9529D">
        <w:rPr>
          <w:lang w:val="en-US"/>
        </w:rPr>
        <w:t xml:space="preserve"> PCSJ No. 001-2013, addressed to the Justices of the Supreme Court, in which he st</w:t>
      </w:r>
      <w:r>
        <w:rPr>
          <w:lang w:val="en-US"/>
        </w:rPr>
        <w:t>ated</w:t>
      </w:r>
      <w:r w:rsidRPr="00D9529D">
        <w:rPr>
          <w:lang w:val="en-US"/>
        </w:rPr>
        <w:t>:</w:t>
      </w:r>
    </w:p>
    <w:p w14:paraId="75AFAF08" w14:textId="77777777" w:rsidR="00E6692A" w:rsidRPr="00D9529D" w:rsidRDefault="00E6692A" w:rsidP="00E6692A">
      <w:pPr>
        <w:pStyle w:val="parrafos"/>
        <w:numPr>
          <w:ilvl w:val="0"/>
          <w:numId w:val="0"/>
        </w:numPr>
        <w:rPr>
          <w:lang w:val="en-US"/>
        </w:rPr>
      </w:pPr>
    </w:p>
    <w:p w14:paraId="6FDAAC8E" w14:textId="77777777" w:rsidR="00E6692A" w:rsidRPr="00AC7A11" w:rsidRDefault="00E6692A" w:rsidP="00E6692A">
      <w:pPr>
        <w:pStyle w:val="parrafos"/>
        <w:numPr>
          <w:ilvl w:val="0"/>
          <w:numId w:val="0"/>
        </w:numPr>
        <w:ind w:left="357" w:right="357"/>
        <w:rPr>
          <w:sz w:val="18"/>
          <w:szCs w:val="18"/>
          <w:lang w:val="en-US"/>
        </w:rPr>
      </w:pPr>
      <w:r w:rsidRPr="00AC7A11">
        <w:rPr>
          <w:sz w:val="18"/>
          <w:szCs w:val="18"/>
          <w:lang w:val="en-US"/>
        </w:rPr>
        <w:t xml:space="preserve">“For your information, you are being sent a copy of Official </w:t>
      </w:r>
      <w:r>
        <w:rPr>
          <w:sz w:val="18"/>
          <w:szCs w:val="18"/>
          <w:lang w:val="en-US"/>
        </w:rPr>
        <w:t>Letter</w:t>
      </w:r>
      <w:r w:rsidRPr="00AC7A11">
        <w:rPr>
          <w:sz w:val="18"/>
          <w:szCs w:val="18"/>
          <w:lang w:val="en-US"/>
        </w:rPr>
        <w:t xml:space="preserve"> No. 462-2012/CN dated December 12, 2012, </w:t>
      </w:r>
      <w:r>
        <w:rPr>
          <w:sz w:val="18"/>
          <w:szCs w:val="18"/>
          <w:lang w:val="en-US"/>
        </w:rPr>
        <w:t xml:space="preserve">subscribed </w:t>
      </w:r>
      <w:r w:rsidRPr="00AC7A11">
        <w:rPr>
          <w:sz w:val="18"/>
          <w:szCs w:val="18"/>
          <w:lang w:val="en-US"/>
        </w:rPr>
        <w:t>by Gladys Aurora López Calderón, Secretary of the Nationa</w:t>
      </w:r>
      <w:r>
        <w:rPr>
          <w:sz w:val="18"/>
          <w:szCs w:val="18"/>
          <w:lang w:val="en-US"/>
        </w:rPr>
        <w:t xml:space="preserve">l Congress, and the Certification dated December 19, 2012, subscribed by Attorney </w:t>
      </w:r>
      <w:r w:rsidRPr="00AC7A11">
        <w:rPr>
          <w:sz w:val="18"/>
          <w:szCs w:val="18"/>
          <w:lang w:val="en-US"/>
        </w:rPr>
        <w:t xml:space="preserve">Rigoberto Chang Castillo, </w:t>
      </w:r>
      <w:r>
        <w:rPr>
          <w:sz w:val="18"/>
          <w:szCs w:val="18"/>
          <w:lang w:val="en-US"/>
        </w:rPr>
        <w:t xml:space="preserve">First Secretary of the National Congress. </w:t>
      </w:r>
    </w:p>
    <w:p w14:paraId="331ABE18" w14:textId="77777777" w:rsidR="00E6692A" w:rsidRPr="00A44FEF" w:rsidRDefault="00E6692A" w:rsidP="00E6692A">
      <w:pPr>
        <w:pStyle w:val="parrafos"/>
        <w:numPr>
          <w:ilvl w:val="0"/>
          <w:numId w:val="0"/>
        </w:numPr>
        <w:ind w:left="357" w:right="357"/>
        <w:rPr>
          <w:sz w:val="18"/>
          <w:szCs w:val="18"/>
          <w:lang w:val="en-US"/>
        </w:rPr>
      </w:pPr>
      <w:r>
        <w:rPr>
          <w:sz w:val="18"/>
          <w:szCs w:val="18"/>
          <w:lang w:val="en-US"/>
        </w:rPr>
        <w:t>“</w:t>
      </w:r>
      <w:r w:rsidRPr="00A44FEF">
        <w:rPr>
          <w:sz w:val="18"/>
          <w:szCs w:val="18"/>
          <w:lang w:val="en-US"/>
        </w:rPr>
        <w:t xml:space="preserve">Taking into consideration the aforementioned documents and in order for you to express an opinion regarding the invitation to refrain from hearing </w:t>
      </w:r>
      <w:r w:rsidRPr="008C4C06">
        <w:rPr>
          <w:i/>
          <w:iCs/>
          <w:sz w:val="18"/>
          <w:szCs w:val="18"/>
          <w:lang w:val="en-US"/>
        </w:rPr>
        <w:t>amparo</w:t>
      </w:r>
      <w:r w:rsidRPr="00A44FEF">
        <w:rPr>
          <w:sz w:val="18"/>
          <w:szCs w:val="18"/>
          <w:lang w:val="en-US"/>
        </w:rPr>
        <w:t xml:space="preserve"> </w:t>
      </w:r>
      <w:r>
        <w:rPr>
          <w:sz w:val="18"/>
          <w:szCs w:val="18"/>
          <w:lang w:val="en-US"/>
        </w:rPr>
        <w:t xml:space="preserve">appeal </w:t>
      </w:r>
      <w:r w:rsidRPr="00A44FEF">
        <w:rPr>
          <w:sz w:val="18"/>
          <w:szCs w:val="18"/>
          <w:lang w:val="en-US"/>
        </w:rPr>
        <w:t>No. 1026-12, t</w:t>
      </w:r>
      <w:r>
        <w:rPr>
          <w:sz w:val="18"/>
          <w:szCs w:val="18"/>
          <w:lang w:val="en-US"/>
        </w:rPr>
        <w:t xml:space="preserve">he Presidency of the Supreme Court of Justice, pursuant to the provisions established in Article </w:t>
      </w:r>
      <w:r w:rsidRPr="00A44FEF">
        <w:rPr>
          <w:sz w:val="18"/>
          <w:szCs w:val="18"/>
          <w:lang w:val="en-US"/>
        </w:rPr>
        <w:t xml:space="preserve">16 </w:t>
      </w:r>
      <w:r>
        <w:rPr>
          <w:sz w:val="18"/>
          <w:szCs w:val="18"/>
          <w:lang w:val="en-US"/>
        </w:rPr>
        <w:t>of the Internal Rules of Procedure of this Supreme Court, determines to</w:t>
      </w:r>
      <w:r w:rsidRPr="00A44FEF">
        <w:rPr>
          <w:sz w:val="18"/>
          <w:szCs w:val="18"/>
          <w:lang w:val="en-US"/>
        </w:rPr>
        <w:t xml:space="preserve">: </w:t>
      </w:r>
    </w:p>
    <w:p w14:paraId="23FB77F6" w14:textId="77777777" w:rsidR="00E6692A" w:rsidRPr="00A44FEF" w:rsidRDefault="00E6692A" w:rsidP="00E6692A">
      <w:pPr>
        <w:pStyle w:val="parrafos"/>
        <w:numPr>
          <w:ilvl w:val="0"/>
          <w:numId w:val="0"/>
        </w:numPr>
        <w:ind w:left="357" w:right="357"/>
        <w:rPr>
          <w:sz w:val="18"/>
          <w:szCs w:val="18"/>
          <w:lang w:val="en-US"/>
        </w:rPr>
      </w:pPr>
      <w:r>
        <w:rPr>
          <w:sz w:val="18"/>
          <w:szCs w:val="18"/>
          <w:lang w:val="en-US"/>
        </w:rPr>
        <w:t>“</w:t>
      </w:r>
      <w:r w:rsidRPr="00A44FEF">
        <w:rPr>
          <w:sz w:val="18"/>
          <w:szCs w:val="18"/>
          <w:lang w:val="en-US"/>
        </w:rPr>
        <w:t>1. Designate as members of the Constitutional Chamber, in addition to Justice Oscar Fernando Chinchilla Banegas, who is alrea</w:t>
      </w:r>
      <w:r>
        <w:rPr>
          <w:sz w:val="18"/>
          <w:szCs w:val="18"/>
          <w:lang w:val="en-US"/>
        </w:rPr>
        <w:t xml:space="preserve">dy a member, the attorneys </w:t>
      </w:r>
      <w:r w:rsidRPr="00A44FEF">
        <w:rPr>
          <w:sz w:val="18"/>
          <w:szCs w:val="18"/>
          <w:lang w:val="en-US"/>
        </w:rPr>
        <w:t>Silvia Trinidad Santos Moncada, Germán Vicente García, José Elmer Lizardo</w:t>
      </w:r>
      <w:r>
        <w:rPr>
          <w:sz w:val="18"/>
          <w:szCs w:val="18"/>
          <w:lang w:val="en-US"/>
        </w:rPr>
        <w:t xml:space="preserve">, and </w:t>
      </w:r>
      <w:r w:rsidRPr="00A44FEF">
        <w:rPr>
          <w:sz w:val="18"/>
          <w:szCs w:val="18"/>
          <w:lang w:val="en-US"/>
        </w:rPr>
        <w:t>Víctor Manuel Lozano.</w:t>
      </w:r>
    </w:p>
    <w:p w14:paraId="0135D8A9" w14:textId="77777777" w:rsidR="00E6692A" w:rsidRPr="00A44FEF" w:rsidRDefault="00E6692A" w:rsidP="00E6692A">
      <w:pPr>
        <w:pStyle w:val="parrafos"/>
        <w:numPr>
          <w:ilvl w:val="0"/>
          <w:numId w:val="0"/>
        </w:numPr>
        <w:ind w:left="357" w:right="357"/>
        <w:rPr>
          <w:sz w:val="18"/>
          <w:szCs w:val="18"/>
          <w:lang w:val="en-US"/>
        </w:rPr>
      </w:pPr>
      <w:r>
        <w:rPr>
          <w:sz w:val="18"/>
          <w:szCs w:val="18"/>
          <w:lang w:val="en-US"/>
        </w:rPr>
        <w:t>“</w:t>
      </w:r>
      <w:r w:rsidRPr="00A44FEF">
        <w:rPr>
          <w:sz w:val="18"/>
          <w:szCs w:val="18"/>
          <w:lang w:val="en-US"/>
        </w:rPr>
        <w:t>2. Designate Justice Oscar Fernando Chinchilla Banegas as President of the Constitutional Chamber as of today’s date and until January 27, 201[illegible].”</w:t>
      </w:r>
      <w:r w:rsidRPr="00DB55CD">
        <w:rPr>
          <w:rStyle w:val="FootnoteReference"/>
          <w:sz w:val="18"/>
          <w:szCs w:val="18"/>
        </w:rPr>
        <w:footnoteReference w:id="24"/>
      </w:r>
      <w:r w:rsidRPr="00A44FEF">
        <w:rPr>
          <w:sz w:val="18"/>
          <w:szCs w:val="18"/>
          <w:lang w:val="en-US"/>
        </w:rPr>
        <w:t xml:space="preserve"> </w:t>
      </w:r>
    </w:p>
    <w:p w14:paraId="09C57908" w14:textId="77777777" w:rsidR="00E6692A" w:rsidRPr="00A44FEF" w:rsidRDefault="00E6692A" w:rsidP="00E6692A">
      <w:pPr>
        <w:rPr>
          <w:rFonts w:asciiTheme="majorHAnsi" w:hAnsiTheme="majorHAnsi"/>
          <w:b/>
          <w:sz w:val="20"/>
          <w:szCs w:val="20"/>
        </w:rPr>
      </w:pPr>
    </w:p>
    <w:p w14:paraId="77C0CCC5" w14:textId="77777777" w:rsidR="00E6692A" w:rsidRPr="0054745D" w:rsidRDefault="00E6692A" w:rsidP="00E6692A">
      <w:pPr>
        <w:pStyle w:val="Heading2"/>
        <w:rPr>
          <w:lang w:val="en-US"/>
        </w:rPr>
      </w:pPr>
      <w:bookmarkStart w:id="15" w:name="_Toc65248163"/>
      <w:bookmarkStart w:id="16" w:name="_Toc69410061"/>
      <w:r w:rsidRPr="0054745D">
        <w:rPr>
          <w:lang w:val="en-US"/>
        </w:rPr>
        <w:t xml:space="preserve">D. </w:t>
      </w:r>
      <w:r>
        <w:rPr>
          <w:lang w:val="en-US"/>
        </w:rPr>
        <w:t>Constitutional</w:t>
      </w:r>
      <w:r w:rsidRPr="0054745D">
        <w:rPr>
          <w:lang w:val="en-US"/>
        </w:rPr>
        <w:t xml:space="preserve"> appeal filed to challenge the </w:t>
      </w:r>
      <w:r>
        <w:rPr>
          <w:lang w:val="en-US"/>
        </w:rPr>
        <w:t>dismissal</w:t>
      </w:r>
      <w:r w:rsidRPr="0054745D">
        <w:rPr>
          <w:lang w:val="en-US"/>
        </w:rPr>
        <w:t xml:space="preserve"> decision</w:t>
      </w:r>
      <w:bookmarkEnd w:id="15"/>
      <w:bookmarkEnd w:id="16"/>
      <w:r w:rsidRPr="0054745D">
        <w:rPr>
          <w:lang w:val="en-US"/>
        </w:rPr>
        <w:t xml:space="preserve"> </w:t>
      </w:r>
    </w:p>
    <w:p w14:paraId="3A7C94FE" w14:textId="77777777" w:rsidR="00E6692A" w:rsidRPr="0054745D" w:rsidRDefault="00E6692A" w:rsidP="00E6692A">
      <w:pPr>
        <w:rPr>
          <w:rFonts w:asciiTheme="majorHAnsi" w:hAnsiTheme="majorHAnsi"/>
          <w:b/>
          <w:sz w:val="20"/>
          <w:szCs w:val="20"/>
        </w:rPr>
      </w:pPr>
    </w:p>
    <w:p w14:paraId="586CBA66" w14:textId="77777777" w:rsidR="00E6692A" w:rsidRPr="00FD42C3" w:rsidRDefault="00E6692A" w:rsidP="00E6692A">
      <w:pPr>
        <w:pStyle w:val="parrafos"/>
        <w:numPr>
          <w:ilvl w:val="0"/>
          <w:numId w:val="0"/>
        </w:numPr>
        <w:rPr>
          <w:lang w:val="en-US"/>
        </w:rPr>
      </w:pPr>
      <w:r w:rsidRPr="0054745D">
        <w:rPr>
          <w:lang w:val="en-US"/>
        </w:rPr>
        <w:lastRenderedPageBreak/>
        <w:t xml:space="preserve">33. On December 12, 2012, José Francisco Ruiz Gaekel, José Antonio Gutiérrez Navas, Gustavo Enrique Bustillo Palma, and Rosalinda Cruz Sequeira, representing themselves, </w:t>
      </w:r>
      <w:r>
        <w:rPr>
          <w:lang w:val="en-US"/>
        </w:rPr>
        <w:t>lodged</w:t>
      </w:r>
      <w:r w:rsidRPr="0054745D">
        <w:rPr>
          <w:lang w:val="en-US"/>
        </w:rPr>
        <w:t xml:space="preserve"> an appeal for protection of constitutional rights (</w:t>
      </w:r>
      <w:r w:rsidRPr="0054745D">
        <w:rPr>
          <w:i/>
          <w:iCs/>
          <w:lang w:val="en-US"/>
        </w:rPr>
        <w:t>recurso de amparo</w:t>
      </w:r>
      <w:r w:rsidRPr="0054745D">
        <w:rPr>
          <w:lang w:val="en-US"/>
        </w:rPr>
        <w:t xml:space="preserve">) challenging the decision made by the Congress of the Republic to </w:t>
      </w:r>
      <w:r>
        <w:rPr>
          <w:lang w:val="en-US"/>
        </w:rPr>
        <w:t>dismiss</w:t>
      </w:r>
      <w:r w:rsidRPr="0054745D">
        <w:rPr>
          <w:lang w:val="en-US"/>
        </w:rPr>
        <w:t xml:space="preserve"> them</w:t>
      </w:r>
      <w:r>
        <w:rPr>
          <w:lang w:val="en-US"/>
        </w:rPr>
        <w:t xml:space="preserve"> from office</w:t>
      </w:r>
      <w:r w:rsidRPr="0054745D">
        <w:rPr>
          <w:lang w:val="en-US"/>
        </w:rPr>
        <w:t>.</w:t>
      </w:r>
      <w:r w:rsidRPr="00DB55CD">
        <w:rPr>
          <w:rStyle w:val="FootnoteReference"/>
        </w:rPr>
        <w:footnoteReference w:id="25"/>
      </w:r>
      <w:r w:rsidRPr="0054745D">
        <w:rPr>
          <w:lang w:val="en-US"/>
        </w:rPr>
        <w:t xml:space="preserve"> </w:t>
      </w:r>
      <w:r w:rsidRPr="00FD42C3">
        <w:rPr>
          <w:lang w:val="en-US"/>
        </w:rPr>
        <w:t xml:space="preserve">In addition, Mauricio Torres Molinero and Rafael Virgilio Padilla Paz filed another writ of </w:t>
      </w:r>
      <w:r w:rsidRPr="00E64231">
        <w:rPr>
          <w:i/>
          <w:iCs/>
          <w:lang w:val="en-US"/>
        </w:rPr>
        <w:t>amparo</w:t>
      </w:r>
      <w:r w:rsidRPr="00FD42C3">
        <w:rPr>
          <w:lang w:val="en-US"/>
        </w:rPr>
        <w:t xml:space="preserve"> on behalf</w:t>
      </w:r>
      <w:r>
        <w:rPr>
          <w:lang w:val="en-US"/>
        </w:rPr>
        <w:t xml:space="preserve"> </w:t>
      </w:r>
      <w:r w:rsidRPr="00FD42C3">
        <w:rPr>
          <w:lang w:val="en-US"/>
        </w:rPr>
        <w:t xml:space="preserve">of the alleged victims </w:t>
      </w:r>
      <w:r>
        <w:rPr>
          <w:lang w:val="en-US"/>
        </w:rPr>
        <w:t>to appeal</w:t>
      </w:r>
      <w:r w:rsidRPr="00FD42C3">
        <w:rPr>
          <w:lang w:val="en-US"/>
        </w:rPr>
        <w:t xml:space="preserve"> their separation</w:t>
      </w:r>
      <w:r>
        <w:rPr>
          <w:lang w:val="en-US"/>
        </w:rPr>
        <w:t>.</w:t>
      </w:r>
      <w:r w:rsidRPr="00DB55CD">
        <w:rPr>
          <w:rStyle w:val="FootnoteReference"/>
        </w:rPr>
        <w:footnoteReference w:id="26"/>
      </w:r>
    </w:p>
    <w:p w14:paraId="5E37CAFF" w14:textId="77777777" w:rsidR="00E6692A" w:rsidRPr="00FD42C3" w:rsidRDefault="00E6692A" w:rsidP="00E6692A">
      <w:pPr>
        <w:pStyle w:val="parrafos"/>
        <w:numPr>
          <w:ilvl w:val="0"/>
          <w:numId w:val="0"/>
        </w:numPr>
        <w:rPr>
          <w:lang w:val="en-US"/>
        </w:rPr>
      </w:pPr>
    </w:p>
    <w:p w14:paraId="1D7380B7" w14:textId="77777777" w:rsidR="00E6692A" w:rsidRPr="001D2683" w:rsidRDefault="00E6692A" w:rsidP="00E6692A">
      <w:pPr>
        <w:pStyle w:val="parrafos"/>
        <w:numPr>
          <w:ilvl w:val="0"/>
          <w:numId w:val="0"/>
        </w:numPr>
        <w:rPr>
          <w:lang w:val="en-US"/>
        </w:rPr>
      </w:pPr>
      <w:r w:rsidRPr="001D2683">
        <w:rPr>
          <w:lang w:val="en-US"/>
        </w:rPr>
        <w:t xml:space="preserve">34. The alleged victims argued that the Honduran Congress arrogated to itself the power to remove them from their positions as justices, even though that power had not been conferred on </w:t>
      </w:r>
      <w:r>
        <w:rPr>
          <w:lang w:val="en-US"/>
        </w:rPr>
        <w:t xml:space="preserve">it </w:t>
      </w:r>
      <w:r w:rsidRPr="001D2683">
        <w:rPr>
          <w:lang w:val="en-US"/>
        </w:rPr>
        <w:t>by the Constitution</w:t>
      </w:r>
      <w:r>
        <w:rPr>
          <w:lang w:val="en-US"/>
        </w:rPr>
        <w:t>,</w:t>
      </w:r>
      <w:r w:rsidRPr="001D2683">
        <w:rPr>
          <w:lang w:val="en-US"/>
        </w:rPr>
        <w:t xml:space="preserve"> and </w:t>
      </w:r>
      <w:r>
        <w:rPr>
          <w:lang w:val="en-US"/>
        </w:rPr>
        <w:t xml:space="preserve">that this was </w:t>
      </w:r>
      <w:r w:rsidRPr="001D2683">
        <w:rPr>
          <w:lang w:val="en-US"/>
        </w:rPr>
        <w:t>th</w:t>
      </w:r>
      <w:r>
        <w:rPr>
          <w:lang w:val="en-US"/>
        </w:rPr>
        <w:t>erefore an arbitrary and illegal act. T</w:t>
      </w:r>
      <w:r w:rsidRPr="001D2683">
        <w:rPr>
          <w:lang w:val="en-US"/>
        </w:rPr>
        <w:t xml:space="preserve">hey </w:t>
      </w:r>
      <w:r>
        <w:rPr>
          <w:lang w:val="en-US"/>
        </w:rPr>
        <w:t>further claimed</w:t>
      </w:r>
      <w:r w:rsidRPr="001D2683">
        <w:rPr>
          <w:lang w:val="en-US"/>
        </w:rPr>
        <w:t xml:space="preserve"> that there had been a violation of judicial independence and </w:t>
      </w:r>
      <w:r>
        <w:rPr>
          <w:lang w:val="en-US"/>
        </w:rPr>
        <w:t xml:space="preserve">the </w:t>
      </w:r>
      <w:r w:rsidRPr="001D2683">
        <w:rPr>
          <w:lang w:val="en-US"/>
        </w:rPr>
        <w:t xml:space="preserve">minimum guarantees </w:t>
      </w:r>
      <w:r>
        <w:rPr>
          <w:lang w:val="en-US"/>
        </w:rPr>
        <w:t xml:space="preserve">of </w:t>
      </w:r>
      <w:r w:rsidRPr="001D2683">
        <w:rPr>
          <w:lang w:val="en-US"/>
        </w:rPr>
        <w:t xml:space="preserve">due process, and noted that the decision to </w:t>
      </w:r>
      <w:r>
        <w:rPr>
          <w:lang w:val="en-US"/>
        </w:rPr>
        <w:t>dismiss</w:t>
      </w:r>
      <w:r w:rsidRPr="001D2683">
        <w:rPr>
          <w:lang w:val="en-US"/>
        </w:rPr>
        <w:t xml:space="preserve"> them was an unnecessary response to a judgment issued by the justices of the Constitutional Chamber in the exercise of their j</w:t>
      </w:r>
      <w:r>
        <w:rPr>
          <w:lang w:val="en-US"/>
        </w:rPr>
        <w:t xml:space="preserve">urisdictional authority. </w:t>
      </w:r>
      <w:r w:rsidRPr="001D2683">
        <w:rPr>
          <w:lang w:val="en-US"/>
        </w:rPr>
        <w:t xml:space="preserve">Lastly, they requested that Justice Oscar Fernando Chinchilla Banegas recuse himself from hearing the </w:t>
      </w:r>
      <w:r w:rsidRPr="001D2683">
        <w:rPr>
          <w:i/>
          <w:iCs/>
          <w:lang w:val="en-US"/>
        </w:rPr>
        <w:t>amparo</w:t>
      </w:r>
      <w:r>
        <w:rPr>
          <w:lang w:val="en-US"/>
        </w:rPr>
        <w:t xml:space="preserve"> case</w:t>
      </w:r>
      <w:r w:rsidRPr="001D2683">
        <w:rPr>
          <w:lang w:val="en-US"/>
        </w:rPr>
        <w:t xml:space="preserve">, </w:t>
      </w:r>
      <w:r>
        <w:rPr>
          <w:lang w:val="en-US"/>
        </w:rPr>
        <w:t>due to his personal and direct relationship with the act being challenged.</w:t>
      </w:r>
      <w:r w:rsidRPr="00DB55CD">
        <w:rPr>
          <w:rStyle w:val="FootnoteReference"/>
          <w:lang w:val="es-BO"/>
        </w:rPr>
        <w:footnoteReference w:id="27"/>
      </w:r>
      <w:r w:rsidRPr="001D2683">
        <w:rPr>
          <w:lang w:val="en-US"/>
        </w:rPr>
        <w:t xml:space="preserve">  </w:t>
      </w:r>
    </w:p>
    <w:p w14:paraId="731DAB6B" w14:textId="77777777" w:rsidR="00E6692A" w:rsidRPr="001D2683" w:rsidRDefault="00E6692A" w:rsidP="00E6692A">
      <w:pPr>
        <w:pStyle w:val="parrafos"/>
        <w:numPr>
          <w:ilvl w:val="0"/>
          <w:numId w:val="0"/>
        </w:numPr>
        <w:rPr>
          <w:lang w:val="en-US"/>
        </w:rPr>
      </w:pPr>
    </w:p>
    <w:p w14:paraId="544617E3" w14:textId="77777777" w:rsidR="00E6692A" w:rsidRPr="005D6D31" w:rsidRDefault="00E6692A" w:rsidP="00E6692A">
      <w:pPr>
        <w:pStyle w:val="parrafos"/>
        <w:numPr>
          <w:ilvl w:val="0"/>
          <w:numId w:val="0"/>
        </w:numPr>
        <w:rPr>
          <w:lang w:val="en-US"/>
        </w:rPr>
      </w:pPr>
      <w:r w:rsidRPr="00912095">
        <w:rPr>
          <w:lang w:val="en-US"/>
        </w:rPr>
        <w:t xml:space="preserve">35. The aforementioned constitutional actions were registered </w:t>
      </w:r>
      <w:r>
        <w:rPr>
          <w:lang w:val="en-US"/>
        </w:rPr>
        <w:t>under</w:t>
      </w:r>
      <w:r w:rsidRPr="00912095">
        <w:rPr>
          <w:lang w:val="en-US"/>
        </w:rPr>
        <w:t xml:space="preserve"> the numbers 1019 and 1026 of 2012, but </w:t>
      </w:r>
      <w:r>
        <w:rPr>
          <w:lang w:val="en-US"/>
        </w:rPr>
        <w:t>because they were pursuing the same objective, they were joined for a joint decision.</w:t>
      </w:r>
      <w:r w:rsidRPr="00DB55CD">
        <w:rPr>
          <w:rStyle w:val="FootnoteReference"/>
        </w:rPr>
        <w:footnoteReference w:id="28"/>
      </w:r>
      <w:r w:rsidRPr="00912095">
        <w:rPr>
          <w:lang w:val="en-US"/>
        </w:rPr>
        <w:t xml:space="preserve"> </w:t>
      </w:r>
      <w:r w:rsidRPr="00BD1E34">
        <w:rPr>
          <w:lang w:val="en-US"/>
        </w:rPr>
        <w:t xml:space="preserve">The petitioners </w:t>
      </w:r>
      <w:r>
        <w:rPr>
          <w:lang w:val="en-US"/>
        </w:rPr>
        <w:t>argued</w:t>
      </w:r>
      <w:r w:rsidRPr="00BD1E34">
        <w:rPr>
          <w:lang w:val="en-US"/>
        </w:rPr>
        <w:t xml:space="preserve"> that the President of the Supreme Court installed the </w:t>
      </w:r>
      <w:r>
        <w:rPr>
          <w:lang w:val="en-US"/>
        </w:rPr>
        <w:t>replacement</w:t>
      </w:r>
      <w:r w:rsidRPr="00BD1E34">
        <w:rPr>
          <w:lang w:val="en-US"/>
        </w:rPr>
        <w:t xml:space="preserve"> justice</w:t>
      </w:r>
      <w:r>
        <w:rPr>
          <w:lang w:val="en-US"/>
        </w:rPr>
        <w:t>s</w:t>
      </w:r>
      <w:r w:rsidRPr="00BD1E34">
        <w:rPr>
          <w:lang w:val="en-US"/>
        </w:rPr>
        <w:t xml:space="preserve"> without first having resolved the constitutional</w:t>
      </w:r>
      <w:r>
        <w:rPr>
          <w:lang w:val="en-US"/>
        </w:rPr>
        <w:t xml:space="preserve"> appeal. </w:t>
      </w:r>
      <w:r w:rsidRPr="00BD1E34">
        <w:rPr>
          <w:lang w:val="en-US"/>
        </w:rPr>
        <w:t xml:space="preserve">Subsequently, the Constitutional Chamber </w:t>
      </w:r>
      <w:r>
        <w:rPr>
          <w:lang w:val="en-US"/>
        </w:rPr>
        <w:t>declined to hear</w:t>
      </w:r>
      <w:r w:rsidRPr="00BD1E34">
        <w:rPr>
          <w:lang w:val="en-US"/>
        </w:rPr>
        <w:t xml:space="preserve"> the action in question, and so the President of the Supreme Court proceeded to </w:t>
      </w:r>
      <w:r>
        <w:rPr>
          <w:lang w:val="en-US"/>
        </w:rPr>
        <w:t>set up</w:t>
      </w:r>
      <w:r w:rsidRPr="00BD1E34">
        <w:rPr>
          <w:lang w:val="en-US"/>
        </w:rPr>
        <w:t xml:space="preserve"> a Special Chamber with other justices from the </w:t>
      </w:r>
      <w:r>
        <w:rPr>
          <w:lang w:val="en-US"/>
        </w:rPr>
        <w:t>P</w:t>
      </w:r>
      <w:r w:rsidRPr="00BD1E34">
        <w:rPr>
          <w:lang w:val="en-US"/>
        </w:rPr>
        <w:t>lenary, who in turn</w:t>
      </w:r>
      <w:r>
        <w:rPr>
          <w:lang w:val="en-US"/>
        </w:rPr>
        <w:t xml:space="preserve"> declined to hear the case. </w:t>
      </w:r>
      <w:r w:rsidRPr="00DD1CEF">
        <w:rPr>
          <w:lang w:val="en-US"/>
        </w:rPr>
        <w:t xml:space="preserve">Finally, a Special Chamber was established, made up three justices from the </w:t>
      </w:r>
      <w:r>
        <w:rPr>
          <w:lang w:val="en-US"/>
        </w:rPr>
        <w:t>P</w:t>
      </w:r>
      <w:r w:rsidRPr="00DD1CEF">
        <w:rPr>
          <w:lang w:val="en-US"/>
        </w:rPr>
        <w:t xml:space="preserve">lenary, </w:t>
      </w:r>
      <w:r>
        <w:rPr>
          <w:lang w:val="en-US"/>
        </w:rPr>
        <w:t>including</w:t>
      </w:r>
      <w:r w:rsidRPr="00DD1CEF">
        <w:rPr>
          <w:lang w:val="en-US"/>
        </w:rPr>
        <w:t xml:space="preserve"> the President of the Court and two member justices.</w:t>
      </w:r>
      <w:r w:rsidRPr="00DB55CD">
        <w:rPr>
          <w:rStyle w:val="FootnoteReference"/>
        </w:rPr>
        <w:footnoteReference w:id="29"/>
      </w:r>
      <w:r w:rsidRPr="005D6D31">
        <w:rPr>
          <w:lang w:val="en-US"/>
        </w:rPr>
        <w:t xml:space="preserve">     </w:t>
      </w:r>
    </w:p>
    <w:p w14:paraId="200F4E96" w14:textId="77777777" w:rsidR="00E6692A" w:rsidRPr="005D6D31" w:rsidRDefault="00E6692A" w:rsidP="00E6692A">
      <w:pPr>
        <w:pStyle w:val="ListParagraph"/>
        <w:rPr>
          <w:lang w:val="en-US"/>
        </w:rPr>
      </w:pPr>
    </w:p>
    <w:p w14:paraId="06469248" w14:textId="77777777" w:rsidR="00E6692A" w:rsidRPr="005D6D31" w:rsidRDefault="00E6692A" w:rsidP="00E6692A">
      <w:pPr>
        <w:pStyle w:val="parrafos"/>
        <w:numPr>
          <w:ilvl w:val="0"/>
          <w:numId w:val="0"/>
        </w:numPr>
        <w:rPr>
          <w:lang w:val="en-US"/>
        </w:rPr>
      </w:pPr>
      <w:r w:rsidRPr="005D6D31">
        <w:rPr>
          <w:lang w:val="en-US"/>
        </w:rPr>
        <w:t xml:space="preserve">36. On January 29, 2013, the Special Constitutional Chamber of the Supreme Court </w:t>
      </w:r>
      <w:r>
        <w:rPr>
          <w:lang w:val="en-US"/>
        </w:rPr>
        <w:t xml:space="preserve">of Justice </w:t>
      </w:r>
      <w:r w:rsidRPr="005D6D31">
        <w:rPr>
          <w:lang w:val="en-US"/>
        </w:rPr>
        <w:t xml:space="preserve">decided to reject the </w:t>
      </w:r>
      <w:r w:rsidRPr="005D6D31">
        <w:rPr>
          <w:i/>
          <w:iCs/>
          <w:lang w:val="en-US"/>
        </w:rPr>
        <w:t>amparo</w:t>
      </w:r>
      <w:r w:rsidRPr="005D6D31">
        <w:rPr>
          <w:lang w:val="en-US"/>
        </w:rPr>
        <w:t xml:space="preserve"> appeal, indicating </w:t>
      </w:r>
      <w:r>
        <w:rPr>
          <w:lang w:val="en-US"/>
        </w:rPr>
        <w:t>the following</w:t>
      </w:r>
      <w:r w:rsidRPr="005D6D31">
        <w:rPr>
          <w:lang w:val="en-US"/>
        </w:rPr>
        <w:t>:</w:t>
      </w:r>
    </w:p>
    <w:p w14:paraId="5C669A10" w14:textId="77777777" w:rsidR="00E6692A" w:rsidRPr="005D6D31" w:rsidRDefault="00E6692A" w:rsidP="00E6692A">
      <w:pPr>
        <w:pStyle w:val="ListParagraph"/>
        <w:rPr>
          <w:lang w:val="en-US"/>
        </w:rPr>
      </w:pPr>
    </w:p>
    <w:p w14:paraId="673143B5" w14:textId="77777777" w:rsidR="00E6692A" w:rsidRPr="0077788B" w:rsidRDefault="00E6692A" w:rsidP="00E6692A">
      <w:pPr>
        <w:pStyle w:val="parrafos"/>
        <w:numPr>
          <w:ilvl w:val="0"/>
          <w:numId w:val="0"/>
        </w:numPr>
        <w:ind w:left="357" w:right="357"/>
        <w:rPr>
          <w:sz w:val="18"/>
          <w:szCs w:val="18"/>
          <w:lang w:val="en-US"/>
        </w:rPr>
      </w:pPr>
      <w:r w:rsidRPr="0077788B">
        <w:rPr>
          <w:sz w:val="18"/>
          <w:szCs w:val="18"/>
          <w:lang w:val="en-US"/>
        </w:rPr>
        <w:t>“…</w:t>
      </w:r>
      <w:r>
        <w:rPr>
          <w:sz w:val="18"/>
          <w:szCs w:val="18"/>
          <w:lang w:val="en-US"/>
        </w:rPr>
        <w:t>.</w:t>
      </w:r>
      <w:r w:rsidRPr="0077788B">
        <w:rPr>
          <w:sz w:val="18"/>
          <w:szCs w:val="18"/>
          <w:lang w:val="en-US"/>
        </w:rPr>
        <w:t xml:space="preserve"> </w:t>
      </w:r>
      <w:r w:rsidRPr="00C03C71">
        <w:rPr>
          <w:sz w:val="18"/>
          <w:szCs w:val="18"/>
          <w:lang w:val="en-US"/>
        </w:rPr>
        <w:t>It can be concluded</w:t>
      </w:r>
      <w:r w:rsidRPr="0077788B">
        <w:rPr>
          <w:sz w:val="18"/>
          <w:szCs w:val="18"/>
          <w:lang w:val="en-US"/>
        </w:rPr>
        <w:t xml:space="preserve"> </w:t>
      </w:r>
      <w:r>
        <w:rPr>
          <w:sz w:val="18"/>
          <w:szCs w:val="18"/>
          <w:lang w:val="en-US"/>
        </w:rPr>
        <w:t>by</w:t>
      </w:r>
      <w:r w:rsidRPr="0077788B">
        <w:rPr>
          <w:sz w:val="18"/>
          <w:szCs w:val="18"/>
          <w:lang w:val="en-US"/>
        </w:rPr>
        <w:t xml:space="preserve"> constitutional </w:t>
      </w:r>
      <w:r>
        <w:rPr>
          <w:sz w:val="18"/>
          <w:szCs w:val="18"/>
          <w:lang w:val="en-US"/>
        </w:rPr>
        <w:t>provision</w:t>
      </w:r>
      <w:r w:rsidRPr="0077788B">
        <w:rPr>
          <w:sz w:val="18"/>
          <w:szCs w:val="18"/>
          <w:lang w:val="en-US"/>
        </w:rPr>
        <w:t>, as well as the provisions of Article 9</w:t>
      </w:r>
      <w:r>
        <w:rPr>
          <w:sz w:val="18"/>
          <w:szCs w:val="18"/>
          <w:lang w:val="en-US"/>
        </w:rPr>
        <w:t>,</w:t>
      </w:r>
      <w:r w:rsidRPr="0077788B">
        <w:rPr>
          <w:sz w:val="18"/>
          <w:szCs w:val="18"/>
          <w:lang w:val="en-US"/>
        </w:rPr>
        <w:t xml:space="preserve"> paragraph 2</w:t>
      </w:r>
      <w:r>
        <w:rPr>
          <w:sz w:val="18"/>
          <w:szCs w:val="18"/>
          <w:lang w:val="en-US"/>
        </w:rPr>
        <w:t>,</w:t>
      </w:r>
      <w:r w:rsidRPr="0077788B">
        <w:rPr>
          <w:sz w:val="18"/>
          <w:szCs w:val="18"/>
          <w:lang w:val="en-US"/>
        </w:rPr>
        <w:t xml:space="preserve"> and paragraph 3</w:t>
      </w:r>
      <w:r>
        <w:rPr>
          <w:sz w:val="18"/>
          <w:szCs w:val="18"/>
          <w:lang w:val="en-US"/>
        </w:rPr>
        <w:t>,</w:t>
      </w:r>
      <w:r w:rsidRPr="0077788B">
        <w:rPr>
          <w:sz w:val="18"/>
          <w:szCs w:val="18"/>
          <w:lang w:val="en-US"/>
        </w:rPr>
        <w:t xml:space="preserve"> subparagraphs a), b), c), and d)</w:t>
      </w:r>
      <w:r>
        <w:rPr>
          <w:sz w:val="18"/>
          <w:szCs w:val="18"/>
          <w:lang w:val="en-US"/>
        </w:rPr>
        <w:t>,</w:t>
      </w:r>
      <w:r w:rsidRPr="0077788B">
        <w:rPr>
          <w:sz w:val="18"/>
          <w:szCs w:val="18"/>
          <w:lang w:val="en-US"/>
        </w:rPr>
        <w:t xml:space="preserve"> of the </w:t>
      </w:r>
      <w:r>
        <w:rPr>
          <w:sz w:val="18"/>
          <w:szCs w:val="18"/>
          <w:lang w:val="en-US"/>
        </w:rPr>
        <w:t xml:space="preserve">Law on </w:t>
      </w:r>
      <w:r w:rsidRPr="0077788B">
        <w:rPr>
          <w:sz w:val="18"/>
          <w:szCs w:val="18"/>
          <w:lang w:val="en-US"/>
        </w:rPr>
        <w:t xml:space="preserve">Constitutional Justice, that the actions arising from the legislative branch in the exercise of its powers, which those affected believe violate fundamental rights, are not subject to challenge by means of an </w:t>
      </w:r>
      <w:r w:rsidRPr="00F01512">
        <w:rPr>
          <w:i/>
          <w:iCs/>
          <w:sz w:val="18"/>
          <w:szCs w:val="18"/>
          <w:lang w:val="en-US"/>
        </w:rPr>
        <w:t>amparo</w:t>
      </w:r>
      <w:r w:rsidRPr="0077788B">
        <w:rPr>
          <w:sz w:val="18"/>
          <w:szCs w:val="18"/>
          <w:lang w:val="en-US"/>
        </w:rPr>
        <w:t xml:space="preserve"> action, given that the members of the legislative branch (DEPUTIES) are not considered OFFIC</w:t>
      </w:r>
      <w:r>
        <w:rPr>
          <w:sz w:val="18"/>
          <w:szCs w:val="18"/>
          <w:lang w:val="en-US"/>
        </w:rPr>
        <w:t>ER</w:t>
      </w:r>
      <w:r w:rsidRPr="0077788B">
        <w:rPr>
          <w:sz w:val="18"/>
          <w:szCs w:val="18"/>
          <w:lang w:val="en-US"/>
        </w:rPr>
        <w:t xml:space="preserve">S imbued with authority or power </w:t>
      </w:r>
      <w:r>
        <w:rPr>
          <w:sz w:val="18"/>
          <w:szCs w:val="18"/>
          <w:lang w:val="en-US"/>
        </w:rPr>
        <w:t>derived</w:t>
      </w:r>
      <w:r w:rsidRPr="0077788B">
        <w:rPr>
          <w:sz w:val="18"/>
          <w:szCs w:val="18"/>
          <w:lang w:val="en-US"/>
        </w:rPr>
        <w:t xml:space="preserve"> from the application of laws in the jurisdictional and administrative </w:t>
      </w:r>
      <w:r>
        <w:rPr>
          <w:sz w:val="18"/>
          <w:szCs w:val="18"/>
          <w:lang w:val="en-US"/>
        </w:rPr>
        <w:t>system. C</w:t>
      </w:r>
      <w:r w:rsidRPr="0077788B">
        <w:rPr>
          <w:sz w:val="18"/>
          <w:szCs w:val="18"/>
          <w:lang w:val="en-US"/>
        </w:rPr>
        <w:t xml:space="preserve">onsequently, the act of the National Congress that occurred on December 12, 2012, </w:t>
      </w:r>
      <w:r>
        <w:rPr>
          <w:sz w:val="18"/>
          <w:szCs w:val="18"/>
          <w:lang w:val="en-US"/>
        </w:rPr>
        <w:t xml:space="preserve">having been challenged by means of an </w:t>
      </w:r>
      <w:r w:rsidRPr="00C03C71">
        <w:rPr>
          <w:i/>
          <w:iCs/>
          <w:sz w:val="18"/>
          <w:szCs w:val="18"/>
          <w:lang w:val="en-US"/>
        </w:rPr>
        <w:t>amparo</w:t>
      </w:r>
      <w:r w:rsidRPr="0077788B">
        <w:rPr>
          <w:sz w:val="18"/>
          <w:szCs w:val="18"/>
          <w:lang w:val="en-US"/>
        </w:rPr>
        <w:t xml:space="preserve"> </w:t>
      </w:r>
      <w:r>
        <w:rPr>
          <w:sz w:val="18"/>
          <w:szCs w:val="18"/>
          <w:lang w:val="en-US"/>
        </w:rPr>
        <w:t>a</w:t>
      </w:r>
      <w:r w:rsidRPr="0077788B">
        <w:rPr>
          <w:sz w:val="18"/>
          <w:szCs w:val="18"/>
          <w:lang w:val="en-US"/>
        </w:rPr>
        <w:t xml:space="preserve">ction or </w:t>
      </w:r>
      <w:r>
        <w:rPr>
          <w:sz w:val="18"/>
          <w:szCs w:val="18"/>
          <w:lang w:val="en-US"/>
        </w:rPr>
        <w:t>g</w:t>
      </w:r>
      <w:r w:rsidRPr="0077788B">
        <w:rPr>
          <w:sz w:val="18"/>
          <w:szCs w:val="18"/>
          <w:lang w:val="en-US"/>
        </w:rPr>
        <w:t>uarantee</w:t>
      </w:r>
      <w:r>
        <w:rPr>
          <w:sz w:val="18"/>
          <w:szCs w:val="18"/>
          <w:lang w:val="en-US"/>
        </w:rPr>
        <w:t xml:space="preserve"> of protection,</w:t>
      </w:r>
      <w:r w:rsidRPr="0077788B">
        <w:rPr>
          <w:sz w:val="18"/>
          <w:szCs w:val="18"/>
          <w:lang w:val="en-US"/>
        </w:rPr>
        <w:t xml:space="preserve"> falls outside the purview of the Constitutional Chamber of the Honorable Supreme Court of </w:t>
      </w:r>
      <w:r>
        <w:rPr>
          <w:sz w:val="18"/>
          <w:szCs w:val="18"/>
          <w:lang w:val="en-US"/>
        </w:rPr>
        <w:t>Justice, as that body lacks jurisdiction or authority to hear and decide upon it; therefore, this Supreme Court of Justice deems it appropriate to refuse from the outset to hear this appeal or action for the reasons indicated above.</w:t>
      </w:r>
      <w:r w:rsidRPr="0077788B">
        <w:rPr>
          <w:sz w:val="18"/>
          <w:szCs w:val="18"/>
          <w:lang w:val="en-US"/>
        </w:rPr>
        <w:t>”</w:t>
      </w:r>
      <w:r w:rsidRPr="00DB55CD">
        <w:rPr>
          <w:rStyle w:val="FootnoteReference"/>
          <w:sz w:val="18"/>
          <w:szCs w:val="18"/>
          <w:lang w:val="es-ES_tradnl"/>
        </w:rPr>
        <w:footnoteReference w:id="30"/>
      </w:r>
      <w:r w:rsidRPr="0077788B">
        <w:rPr>
          <w:sz w:val="18"/>
          <w:szCs w:val="18"/>
          <w:lang w:val="en-US"/>
        </w:rPr>
        <w:t xml:space="preserve"> </w:t>
      </w:r>
    </w:p>
    <w:p w14:paraId="67FF662C" w14:textId="77777777" w:rsidR="00E6692A" w:rsidRPr="0077788B" w:rsidRDefault="00E6692A" w:rsidP="00E6692A"/>
    <w:p w14:paraId="4BFF83A5" w14:textId="77777777" w:rsidR="00E6692A" w:rsidRPr="00AC20BE" w:rsidRDefault="00E6692A" w:rsidP="00E6692A">
      <w:pPr>
        <w:pStyle w:val="parrafos"/>
        <w:numPr>
          <w:ilvl w:val="0"/>
          <w:numId w:val="67"/>
        </w:numPr>
        <w:rPr>
          <w:lang w:val="en-US"/>
        </w:rPr>
      </w:pPr>
      <w:r w:rsidRPr="00AC20BE">
        <w:rPr>
          <w:lang w:val="en-US"/>
        </w:rPr>
        <w:t>It likewise indicated the following:</w:t>
      </w:r>
    </w:p>
    <w:p w14:paraId="246A2CBB" w14:textId="77777777" w:rsidR="00E6692A" w:rsidRPr="00AC20BE" w:rsidRDefault="00E6692A" w:rsidP="00E6692A">
      <w:pPr>
        <w:pStyle w:val="parrafos"/>
        <w:numPr>
          <w:ilvl w:val="0"/>
          <w:numId w:val="0"/>
        </w:numPr>
        <w:rPr>
          <w:lang w:val="en-US"/>
        </w:rPr>
      </w:pPr>
    </w:p>
    <w:p w14:paraId="1842C8F8" w14:textId="77777777" w:rsidR="00E6692A" w:rsidRPr="00896D4D" w:rsidRDefault="00E6692A" w:rsidP="00E6692A">
      <w:pPr>
        <w:pStyle w:val="parrafos"/>
        <w:numPr>
          <w:ilvl w:val="0"/>
          <w:numId w:val="0"/>
        </w:numPr>
        <w:ind w:left="357" w:right="357"/>
        <w:rPr>
          <w:sz w:val="18"/>
          <w:szCs w:val="18"/>
          <w:lang w:val="en-US"/>
        </w:rPr>
      </w:pPr>
      <w:r w:rsidRPr="007C61C5">
        <w:rPr>
          <w:sz w:val="18"/>
          <w:szCs w:val="18"/>
          <w:lang w:val="en-US"/>
        </w:rPr>
        <w:t xml:space="preserve">“CONSIDERING: That in accordance with the provisions established in Article 41, final paragraph, and Article 70 of the Law on Constitutional Justice, when the jurisdictional body declares that it lacks competence to consider an </w:t>
      </w:r>
      <w:r w:rsidRPr="005A05D0">
        <w:rPr>
          <w:i/>
          <w:iCs/>
          <w:sz w:val="18"/>
          <w:szCs w:val="18"/>
          <w:lang w:val="en-US"/>
        </w:rPr>
        <w:t>amparo</w:t>
      </w:r>
      <w:r w:rsidRPr="007C61C5">
        <w:rPr>
          <w:sz w:val="18"/>
          <w:szCs w:val="18"/>
          <w:lang w:val="en-US"/>
        </w:rPr>
        <w:t xml:space="preserve"> action, it shall </w:t>
      </w:r>
      <w:r>
        <w:rPr>
          <w:sz w:val="18"/>
          <w:szCs w:val="18"/>
          <w:lang w:val="en-US"/>
        </w:rPr>
        <w:t>forward</w:t>
      </w:r>
      <w:r w:rsidRPr="007C61C5">
        <w:rPr>
          <w:sz w:val="18"/>
          <w:szCs w:val="18"/>
          <w:lang w:val="en-US"/>
        </w:rPr>
        <w:t xml:space="preserve"> the original to the competent </w:t>
      </w:r>
      <w:r>
        <w:rPr>
          <w:sz w:val="18"/>
          <w:szCs w:val="18"/>
          <w:lang w:val="en-US"/>
        </w:rPr>
        <w:t>officer</w:t>
      </w:r>
      <w:r w:rsidRPr="007C61C5">
        <w:rPr>
          <w:sz w:val="18"/>
          <w:szCs w:val="18"/>
          <w:lang w:val="en-US"/>
        </w:rPr>
        <w:t xml:space="preserve"> within no later than twenty-four hours </w:t>
      </w:r>
      <w:r>
        <w:rPr>
          <w:sz w:val="18"/>
          <w:szCs w:val="18"/>
          <w:lang w:val="en-US"/>
        </w:rPr>
        <w:t xml:space="preserve">for the proper course of action. However, such a situation, due to the legal nature of the Constitutional Chamber’s lack of jurisdiction to hear the appeal, as well as the impossibility of another jurisdictional body having competence to hear and decide the case, [the Special Constitutional Chamber] declines to forward the </w:t>
      </w:r>
      <w:r w:rsidRPr="005A05D0">
        <w:rPr>
          <w:i/>
          <w:iCs/>
          <w:sz w:val="18"/>
          <w:szCs w:val="18"/>
          <w:lang w:val="en-US"/>
        </w:rPr>
        <w:t>amparo</w:t>
      </w:r>
      <w:r>
        <w:rPr>
          <w:sz w:val="18"/>
          <w:szCs w:val="18"/>
          <w:lang w:val="en-US"/>
        </w:rPr>
        <w:t xml:space="preserve"> briefs to a particular official or Court.</w:t>
      </w:r>
      <w:r w:rsidRPr="00896D4D">
        <w:rPr>
          <w:sz w:val="18"/>
          <w:szCs w:val="18"/>
          <w:lang w:val="en-US"/>
        </w:rPr>
        <w:t>”</w:t>
      </w:r>
      <w:r w:rsidRPr="00DB55CD">
        <w:rPr>
          <w:rStyle w:val="FootnoteReference"/>
          <w:sz w:val="18"/>
          <w:szCs w:val="18"/>
        </w:rPr>
        <w:footnoteReference w:id="31"/>
      </w:r>
    </w:p>
    <w:p w14:paraId="55248D10" w14:textId="77777777" w:rsidR="00E6692A" w:rsidRPr="00896D4D" w:rsidRDefault="00E6692A" w:rsidP="00E6692A">
      <w:pPr>
        <w:pStyle w:val="parrafos"/>
        <w:numPr>
          <w:ilvl w:val="0"/>
          <w:numId w:val="0"/>
        </w:numPr>
        <w:rPr>
          <w:lang w:val="en-US"/>
        </w:rPr>
      </w:pPr>
    </w:p>
    <w:p w14:paraId="764476C6" w14:textId="77777777" w:rsidR="00E6692A" w:rsidRPr="004134FF" w:rsidRDefault="00E6692A" w:rsidP="00E6692A">
      <w:pPr>
        <w:pStyle w:val="parrafos"/>
        <w:numPr>
          <w:ilvl w:val="0"/>
          <w:numId w:val="0"/>
        </w:numPr>
        <w:rPr>
          <w:lang w:val="en-US"/>
        </w:rPr>
      </w:pPr>
      <w:r w:rsidRPr="00DF5231">
        <w:rPr>
          <w:lang w:val="en-US"/>
        </w:rPr>
        <w:lastRenderedPageBreak/>
        <w:t xml:space="preserve">38. For his part, </w:t>
      </w:r>
      <w:r>
        <w:rPr>
          <w:lang w:val="en-US"/>
        </w:rPr>
        <w:t>J</w:t>
      </w:r>
      <w:r w:rsidRPr="00DF5231">
        <w:rPr>
          <w:lang w:val="en-US"/>
        </w:rPr>
        <w:t xml:space="preserve">ustice Raúl Henriquez Interiano </w:t>
      </w:r>
      <w:r>
        <w:rPr>
          <w:lang w:val="en-US"/>
        </w:rPr>
        <w:t>cast</w:t>
      </w:r>
      <w:r w:rsidRPr="00DF5231">
        <w:rPr>
          <w:lang w:val="en-US"/>
        </w:rPr>
        <w:t xml:space="preserve"> his individual vote on February 4, 2013, in which he</w:t>
      </w:r>
      <w:r>
        <w:rPr>
          <w:lang w:val="en-US"/>
        </w:rPr>
        <w:t xml:space="preserve"> expressed his</w:t>
      </w:r>
      <w:r w:rsidRPr="00DF5231">
        <w:rPr>
          <w:lang w:val="en-US"/>
        </w:rPr>
        <w:t xml:space="preserve"> dissent from the January 29, 2013</w:t>
      </w:r>
      <w:r>
        <w:rPr>
          <w:lang w:val="en-US"/>
        </w:rPr>
        <w:t xml:space="preserve">, </w:t>
      </w:r>
      <w:r w:rsidRPr="00DF5231">
        <w:rPr>
          <w:lang w:val="en-US"/>
        </w:rPr>
        <w:t xml:space="preserve">resolution </w:t>
      </w:r>
      <w:r>
        <w:rPr>
          <w:lang w:val="en-US"/>
        </w:rPr>
        <w:t xml:space="preserve">that rejected the </w:t>
      </w:r>
      <w:r w:rsidRPr="00075398">
        <w:rPr>
          <w:i/>
          <w:iCs/>
          <w:lang w:val="en-US"/>
        </w:rPr>
        <w:t>amparo</w:t>
      </w:r>
      <w:r>
        <w:rPr>
          <w:lang w:val="en-US"/>
        </w:rPr>
        <w:t xml:space="preserve"> outright, because he believed that the constitutional appeal should have been admitted and the alleged victims reinstated in their positions.</w:t>
      </w:r>
      <w:r w:rsidRPr="00DB55CD">
        <w:rPr>
          <w:rStyle w:val="FootnoteReference"/>
        </w:rPr>
        <w:footnoteReference w:id="32"/>
      </w:r>
      <w:r w:rsidRPr="00DF5231">
        <w:rPr>
          <w:lang w:val="en-US"/>
        </w:rPr>
        <w:t xml:space="preserve"> </w:t>
      </w:r>
      <w:r w:rsidRPr="004134FF">
        <w:rPr>
          <w:lang w:val="en-US"/>
        </w:rPr>
        <w:t>The dissenting justice indicated the following with his vote:</w:t>
      </w:r>
    </w:p>
    <w:p w14:paraId="3B8D9393" w14:textId="77777777" w:rsidR="00E6692A" w:rsidRPr="004134FF" w:rsidRDefault="00E6692A" w:rsidP="00E6692A">
      <w:pPr>
        <w:pStyle w:val="parrafos"/>
        <w:numPr>
          <w:ilvl w:val="0"/>
          <w:numId w:val="0"/>
        </w:numPr>
        <w:rPr>
          <w:lang w:val="en-US"/>
        </w:rPr>
      </w:pPr>
    </w:p>
    <w:p w14:paraId="41633BCE" w14:textId="77777777" w:rsidR="00E6692A" w:rsidRPr="004E79A4" w:rsidRDefault="00E6692A" w:rsidP="00E6692A">
      <w:pPr>
        <w:pStyle w:val="parrafos"/>
        <w:numPr>
          <w:ilvl w:val="0"/>
          <w:numId w:val="0"/>
        </w:numPr>
        <w:ind w:left="357" w:right="357"/>
        <w:rPr>
          <w:sz w:val="18"/>
          <w:szCs w:val="18"/>
          <w:lang w:val="en-US"/>
        </w:rPr>
      </w:pPr>
      <w:r w:rsidRPr="00CC57DD">
        <w:rPr>
          <w:sz w:val="18"/>
          <w:szCs w:val="18"/>
          <w:lang w:val="en-US"/>
        </w:rPr>
        <w:t>“…</w:t>
      </w:r>
      <w:r>
        <w:rPr>
          <w:sz w:val="18"/>
          <w:szCs w:val="18"/>
          <w:lang w:val="en-US"/>
        </w:rPr>
        <w:t>.</w:t>
      </w:r>
      <w:r w:rsidRPr="00CC57DD">
        <w:rPr>
          <w:sz w:val="18"/>
          <w:szCs w:val="18"/>
          <w:lang w:val="en-US"/>
        </w:rPr>
        <w:t xml:space="preserve"> I am voicing my opinion in that respect, expressing my surprise that my colleagues in the Chamber have avoided referring to Article 42 </w:t>
      </w:r>
      <w:r>
        <w:rPr>
          <w:sz w:val="18"/>
          <w:szCs w:val="18"/>
          <w:lang w:val="en-US"/>
        </w:rPr>
        <w:t xml:space="preserve">of the Law on Constitutional Justice; to the contrary, they skipped from Article 41 to 43, it being precisely Article </w:t>
      </w:r>
      <w:r w:rsidRPr="005351AC">
        <w:rPr>
          <w:sz w:val="18"/>
          <w:szCs w:val="18"/>
          <w:lang w:val="en-US"/>
        </w:rPr>
        <w:t xml:space="preserve">42 </w:t>
      </w:r>
      <w:r>
        <w:rPr>
          <w:sz w:val="18"/>
          <w:szCs w:val="18"/>
          <w:lang w:val="en-US"/>
        </w:rPr>
        <w:t>that allows constitutional</w:t>
      </w:r>
      <w:r w:rsidRPr="00F008D1">
        <w:rPr>
          <w:sz w:val="18"/>
          <w:szCs w:val="18"/>
          <w:lang w:val="en-US"/>
        </w:rPr>
        <w:t xml:space="preserve"> protection</w:t>
      </w:r>
      <w:r>
        <w:rPr>
          <w:sz w:val="18"/>
          <w:szCs w:val="18"/>
          <w:lang w:val="en-US"/>
        </w:rPr>
        <w:t xml:space="preserve"> actions directed against the National Congress to be admitted and resolved. </w:t>
      </w:r>
      <w:r w:rsidRPr="00863366">
        <w:rPr>
          <w:sz w:val="18"/>
          <w:szCs w:val="18"/>
          <w:lang w:val="en-US"/>
        </w:rPr>
        <w:t xml:space="preserve">That article dictates that an </w:t>
      </w:r>
      <w:r w:rsidRPr="00F008D1">
        <w:rPr>
          <w:i/>
          <w:iCs/>
          <w:sz w:val="18"/>
          <w:szCs w:val="18"/>
          <w:lang w:val="en-US"/>
        </w:rPr>
        <w:t>amparo</w:t>
      </w:r>
      <w:r w:rsidRPr="00863366">
        <w:rPr>
          <w:sz w:val="18"/>
          <w:szCs w:val="18"/>
          <w:lang w:val="en-US"/>
        </w:rPr>
        <w:t xml:space="preserve"> action </w:t>
      </w:r>
      <w:r>
        <w:rPr>
          <w:sz w:val="18"/>
          <w:szCs w:val="18"/>
          <w:lang w:val="en-US"/>
        </w:rPr>
        <w:t>is appropriate</w:t>
      </w:r>
      <w:r w:rsidRPr="00863366">
        <w:rPr>
          <w:sz w:val="18"/>
          <w:szCs w:val="18"/>
          <w:lang w:val="en-US"/>
        </w:rPr>
        <w:t xml:space="preserve"> against resolutions, acts, and </w:t>
      </w:r>
      <w:r>
        <w:rPr>
          <w:sz w:val="18"/>
          <w:szCs w:val="18"/>
          <w:lang w:val="en-US"/>
        </w:rPr>
        <w:t>deeds</w:t>
      </w:r>
      <w:r w:rsidRPr="00863366">
        <w:rPr>
          <w:sz w:val="18"/>
          <w:szCs w:val="18"/>
          <w:lang w:val="en-US"/>
        </w:rPr>
        <w:t xml:space="preserve"> of the </w:t>
      </w:r>
      <w:r>
        <w:rPr>
          <w:sz w:val="18"/>
          <w:szCs w:val="18"/>
          <w:lang w:val="en-US"/>
        </w:rPr>
        <w:t>b</w:t>
      </w:r>
      <w:r w:rsidRPr="00863366">
        <w:rPr>
          <w:sz w:val="18"/>
          <w:szCs w:val="18"/>
          <w:lang w:val="en-US"/>
        </w:rPr>
        <w:t>ranches of the St</w:t>
      </w:r>
      <w:r>
        <w:rPr>
          <w:sz w:val="18"/>
          <w:szCs w:val="18"/>
          <w:lang w:val="en-US"/>
        </w:rPr>
        <w:t xml:space="preserve">ate. </w:t>
      </w:r>
      <w:r w:rsidRPr="00863366">
        <w:rPr>
          <w:sz w:val="18"/>
          <w:szCs w:val="18"/>
          <w:lang w:val="en-US"/>
        </w:rPr>
        <w:t xml:space="preserve">The National Congress being the body of the </w:t>
      </w:r>
      <w:r>
        <w:rPr>
          <w:sz w:val="18"/>
          <w:szCs w:val="18"/>
          <w:lang w:val="en-US"/>
        </w:rPr>
        <w:t>l</w:t>
      </w:r>
      <w:r w:rsidRPr="00863366">
        <w:rPr>
          <w:sz w:val="18"/>
          <w:szCs w:val="18"/>
          <w:lang w:val="en-US"/>
        </w:rPr>
        <w:t xml:space="preserve">egislative </w:t>
      </w:r>
      <w:r>
        <w:rPr>
          <w:sz w:val="18"/>
          <w:szCs w:val="18"/>
          <w:lang w:val="en-US"/>
        </w:rPr>
        <w:t>b</w:t>
      </w:r>
      <w:r w:rsidRPr="00863366">
        <w:rPr>
          <w:sz w:val="18"/>
          <w:szCs w:val="18"/>
          <w:lang w:val="en-US"/>
        </w:rPr>
        <w:t xml:space="preserve">ranch and this being a </w:t>
      </w:r>
      <w:r>
        <w:rPr>
          <w:sz w:val="18"/>
          <w:szCs w:val="18"/>
          <w:lang w:val="en-US"/>
        </w:rPr>
        <w:t>b</w:t>
      </w:r>
      <w:r w:rsidRPr="00863366">
        <w:rPr>
          <w:sz w:val="18"/>
          <w:szCs w:val="18"/>
          <w:lang w:val="en-US"/>
        </w:rPr>
        <w:t>ranch of the St</w:t>
      </w:r>
      <w:r>
        <w:rPr>
          <w:sz w:val="18"/>
          <w:szCs w:val="18"/>
          <w:lang w:val="en-US"/>
        </w:rPr>
        <w:t xml:space="preserve">ate, the </w:t>
      </w:r>
      <w:r w:rsidRPr="0094026C">
        <w:rPr>
          <w:i/>
          <w:iCs/>
          <w:sz w:val="18"/>
          <w:szCs w:val="18"/>
          <w:lang w:val="en-US"/>
        </w:rPr>
        <w:t>amparo</w:t>
      </w:r>
      <w:r>
        <w:rPr>
          <w:sz w:val="18"/>
          <w:szCs w:val="18"/>
          <w:lang w:val="en-US"/>
        </w:rPr>
        <w:t xml:space="preserve"> guarantees should have been found to be admissible. </w:t>
      </w:r>
    </w:p>
    <w:p w14:paraId="16FA19AB" w14:textId="77777777" w:rsidR="00E6692A" w:rsidRPr="00EC6182" w:rsidRDefault="00E6692A" w:rsidP="00E6692A">
      <w:pPr>
        <w:pStyle w:val="parrafos"/>
        <w:numPr>
          <w:ilvl w:val="0"/>
          <w:numId w:val="0"/>
        </w:numPr>
        <w:ind w:left="357" w:right="357"/>
        <w:rPr>
          <w:sz w:val="18"/>
          <w:szCs w:val="18"/>
          <w:lang w:val="en-US"/>
        </w:rPr>
      </w:pPr>
      <w:r>
        <w:rPr>
          <w:sz w:val="18"/>
          <w:szCs w:val="18"/>
          <w:lang w:val="en-US"/>
        </w:rPr>
        <w:t>“</w:t>
      </w:r>
      <w:r w:rsidRPr="00EB2E69">
        <w:rPr>
          <w:sz w:val="18"/>
          <w:szCs w:val="18"/>
          <w:lang w:val="en-US"/>
        </w:rPr>
        <w:t>…</w:t>
      </w:r>
      <w:r>
        <w:rPr>
          <w:sz w:val="18"/>
          <w:szCs w:val="18"/>
          <w:lang w:val="en-US"/>
        </w:rPr>
        <w:t>.</w:t>
      </w:r>
      <w:r w:rsidRPr="00EB2E69">
        <w:rPr>
          <w:sz w:val="18"/>
          <w:szCs w:val="18"/>
          <w:lang w:val="en-US"/>
        </w:rPr>
        <w:t xml:space="preserve"> To think about exceptions, as my colleagues in this Chamber are doing, would be to “create islands of power” in the State, an absolute and unlimited power, dangerous </w:t>
      </w:r>
      <w:r>
        <w:rPr>
          <w:sz w:val="18"/>
          <w:szCs w:val="18"/>
          <w:lang w:val="en-US"/>
        </w:rPr>
        <w:t>to</w:t>
      </w:r>
      <w:r w:rsidRPr="00EB2E69">
        <w:rPr>
          <w:sz w:val="18"/>
          <w:szCs w:val="18"/>
          <w:lang w:val="en-US"/>
        </w:rPr>
        <w:t xml:space="preserve"> </w:t>
      </w:r>
      <w:r>
        <w:rPr>
          <w:sz w:val="18"/>
          <w:szCs w:val="18"/>
          <w:lang w:val="en-US"/>
        </w:rPr>
        <w:t>all the country’s citizens.</w:t>
      </w:r>
      <w:r w:rsidRPr="00EB2E69">
        <w:rPr>
          <w:sz w:val="18"/>
          <w:szCs w:val="18"/>
          <w:lang w:val="en-US"/>
        </w:rPr>
        <w:t xml:space="preserve"> </w:t>
      </w:r>
      <w:r w:rsidRPr="00EC6182">
        <w:rPr>
          <w:sz w:val="18"/>
          <w:szCs w:val="18"/>
          <w:lang w:val="en-US"/>
        </w:rPr>
        <w:t xml:space="preserve">To make interpretations such as </w:t>
      </w:r>
      <w:r>
        <w:rPr>
          <w:sz w:val="18"/>
          <w:szCs w:val="18"/>
          <w:lang w:val="en-US"/>
        </w:rPr>
        <w:t xml:space="preserve">those made by </w:t>
      </w:r>
      <w:r w:rsidRPr="00EC6182">
        <w:rPr>
          <w:sz w:val="18"/>
          <w:szCs w:val="18"/>
          <w:lang w:val="en-US"/>
        </w:rPr>
        <w:t>my colleagues in the Chamber</w:t>
      </w:r>
      <w:r>
        <w:rPr>
          <w:sz w:val="18"/>
          <w:szCs w:val="18"/>
          <w:lang w:val="en-US"/>
        </w:rPr>
        <w:t xml:space="preserve"> </w:t>
      </w:r>
      <w:r w:rsidRPr="00EC6182">
        <w:rPr>
          <w:sz w:val="18"/>
          <w:szCs w:val="18"/>
          <w:lang w:val="en-US"/>
        </w:rPr>
        <w:t xml:space="preserve">is to leave vacuums that would allow citizens to be left </w:t>
      </w:r>
      <w:r>
        <w:rPr>
          <w:sz w:val="18"/>
          <w:szCs w:val="18"/>
          <w:lang w:val="en-US"/>
        </w:rPr>
        <w:t>abandoned</w:t>
      </w:r>
      <w:r w:rsidRPr="00EC6182">
        <w:rPr>
          <w:sz w:val="18"/>
          <w:szCs w:val="18"/>
          <w:lang w:val="en-US"/>
        </w:rPr>
        <w:t xml:space="preserve"> or without protection from </w:t>
      </w:r>
      <w:r>
        <w:rPr>
          <w:sz w:val="18"/>
          <w:szCs w:val="18"/>
          <w:lang w:val="en-US"/>
        </w:rPr>
        <w:t xml:space="preserve">actions of the State, specifically on the part of the National Congress, which would be left with the authority to violate individual rights and guarantees with no accountability. </w:t>
      </w:r>
    </w:p>
    <w:p w14:paraId="13B761B5" w14:textId="77777777" w:rsidR="00E6692A" w:rsidRPr="00EC6182" w:rsidRDefault="00E6692A" w:rsidP="00E6692A">
      <w:pPr>
        <w:pStyle w:val="parrafos"/>
        <w:numPr>
          <w:ilvl w:val="0"/>
          <w:numId w:val="0"/>
        </w:numPr>
        <w:ind w:left="357" w:right="357"/>
        <w:rPr>
          <w:sz w:val="18"/>
          <w:szCs w:val="18"/>
          <w:lang w:val="en-US"/>
        </w:rPr>
      </w:pPr>
      <w:r>
        <w:rPr>
          <w:sz w:val="18"/>
          <w:szCs w:val="18"/>
          <w:lang w:val="en-US"/>
        </w:rPr>
        <w:t>“</w:t>
      </w:r>
      <w:r w:rsidRPr="00EC6182">
        <w:rPr>
          <w:sz w:val="18"/>
          <w:szCs w:val="18"/>
          <w:lang w:val="en-US"/>
        </w:rPr>
        <w:t>…</w:t>
      </w:r>
      <w:r>
        <w:rPr>
          <w:sz w:val="18"/>
          <w:szCs w:val="18"/>
          <w:lang w:val="en-US"/>
        </w:rPr>
        <w:t>.</w:t>
      </w:r>
      <w:r w:rsidRPr="00EC6182">
        <w:rPr>
          <w:sz w:val="18"/>
          <w:szCs w:val="18"/>
          <w:lang w:val="en-US"/>
        </w:rPr>
        <w:t xml:space="preserve"> How is it possible that judges, who </w:t>
      </w:r>
      <w:r>
        <w:rPr>
          <w:sz w:val="18"/>
          <w:szCs w:val="18"/>
          <w:lang w:val="en-US"/>
        </w:rPr>
        <w:t xml:space="preserve">can be assumed to be </w:t>
      </w:r>
      <w:r w:rsidRPr="00EC6182">
        <w:rPr>
          <w:sz w:val="18"/>
          <w:szCs w:val="18"/>
          <w:lang w:val="en-US"/>
        </w:rPr>
        <w:t xml:space="preserve">guarantors of protection of fundamental rights, </w:t>
      </w:r>
      <w:r>
        <w:rPr>
          <w:sz w:val="18"/>
          <w:szCs w:val="18"/>
          <w:lang w:val="en-US"/>
        </w:rPr>
        <w:t>refuse to</w:t>
      </w:r>
      <w:r w:rsidRPr="00EC6182">
        <w:rPr>
          <w:sz w:val="18"/>
          <w:szCs w:val="18"/>
          <w:lang w:val="en-US"/>
        </w:rPr>
        <w:t xml:space="preserve"> review acts of authority that </w:t>
      </w:r>
      <w:r>
        <w:rPr>
          <w:sz w:val="18"/>
          <w:szCs w:val="18"/>
          <w:lang w:val="en-US"/>
        </w:rPr>
        <w:t xml:space="preserve">might be in violation of human rights? </w:t>
      </w:r>
      <w:r w:rsidRPr="00EC6182">
        <w:rPr>
          <w:sz w:val="18"/>
          <w:szCs w:val="18"/>
          <w:lang w:val="en-US"/>
        </w:rPr>
        <w:t>In their eagerness to avoid hearing the case</w:t>
      </w:r>
      <w:r>
        <w:rPr>
          <w:sz w:val="18"/>
          <w:szCs w:val="18"/>
          <w:lang w:val="en-US"/>
        </w:rPr>
        <w:t xml:space="preserve"> at hand</w:t>
      </w:r>
      <w:r w:rsidRPr="00EC6182">
        <w:rPr>
          <w:sz w:val="18"/>
          <w:szCs w:val="18"/>
          <w:lang w:val="en-US"/>
        </w:rPr>
        <w:t xml:space="preserve">, they did not even realize that the act that is the subject </w:t>
      </w:r>
      <w:r>
        <w:rPr>
          <w:sz w:val="18"/>
          <w:szCs w:val="18"/>
          <w:lang w:val="en-US"/>
        </w:rPr>
        <w:t>of the challenge was not</w:t>
      </w:r>
      <w:r w:rsidRPr="00044BBA">
        <w:rPr>
          <w:sz w:val="18"/>
          <w:szCs w:val="18"/>
          <w:lang w:val="en-US"/>
        </w:rPr>
        <w:t xml:space="preserve"> </w:t>
      </w:r>
      <w:r>
        <w:rPr>
          <w:sz w:val="18"/>
          <w:szCs w:val="18"/>
          <w:lang w:val="en-US"/>
        </w:rPr>
        <w:t xml:space="preserve">committed </w:t>
      </w:r>
      <w:r w:rsidRPr="00EC6182">
        <w:rPr>
          <w:sz w:val="18"/>
          <w:szCs w:val="18"/>
          <w:lang w:val="en-US"/>
        </w:rPr>
        <w:t>in any case</w:t>
      </w:r>
      <w:r>
        <w:rPr>
          <w:sz w:val="18"/>
          <w:szCs w:val="18"/>
          <w:lang w:val="en-US"/>
        </w:rPr>
        <w:t xml:space="preserve"> by a deputy or a group of deputies but by the National Congress as a whole.</w:t>
      </w:r>
      <w:r w:rsidRPr="00EC6182">
        <w:rPr>
          <w:sz w:val="18"/>
          <w:szCs w:val="18"/>
          <w:lang w:val="en-US"/>
        </w:rPr>
        <w:t>”</w:t>
      </w:r>
      <w:r w:rsidRPr="00DB55CD">
        <w:rPr>
          <w:rStyle w:val="FootnoteReference"/>
          <w:sz w:val="18"/>
          <w:szCs w:val="18"/>
        </w:rPr>
        <w:footnoteReference w:id="33"/>
      </w:r>
    </w:p>
    <w:p w14:paraId="7D2C1326" w14:textId="77777777" w:rsidR="00E6692A" w:rsidRPr="00EC6182" w:rsidRDefault="00E6692A" w:rsidP="00E6692A">
      <w:pPr>
        <w:pStyle w:val="parrafos"/>
        <w:numPr>
          <w:ilvl w:val="0"/>
          <w:numId w:val="0"/>
        </w:numPr>
        <w:rPr>
          <w:lang w:val="en-US"/>
        </w:rPr>
      </w:pPr>
    </w:p>
    <w:p w14:paraId="1EE79410" w14:textId="77777777" w:rsidR="00E6692A" w:rsidRPr="004337CC" w:rsidRDefault="00E6692A" w:rsidP="00E6692A">
      <w:pPr>
        <w:pStyle w:val="parrafos"/>
        <w:numPr>
          <w:ilvl w:val="0"/>
          <w:numId w:val="0"/>
        </w:numPr>
        <w:rPr>
          <w:lang w:val="en-US"/>
        </w:rPr>
      </w:pPr>
      <w:r w:rsidRPr="00EB58F7">
        <w:rPr>
          <w:lang w:val="en-US"/>
        </w:rPr>
        <w:t xml:space="preserve">39. In response to this situation, on February 13, 2013, the alleged victims filed an appeal for review, arguing that the Supreme Court’s rejection of the </w:t>
      </w:r>
      <w:r w:rsidRPr="00795366">
        <w:rPr>
          <w:i/>
          <w:iCs/>
          <w:lang w:val="en-US"/>
        </w:rPr>
        <w:t>amparo</w:t>
      </w:r>
      <w:r w:rsidRPr="00EB58F7">
        <w:rPr>
          <w:lang w:val="en-US"/>
        </w:rPr>
        <w:t xml:space="preserve"> appeal constituted an absolute denial of justice and resulted in a situation in which the </w:t>
      </w:r>
      <w:r>
        <w:rPr>
          <w:lang w:val="en-US"/>
        </w:rPr>
        <w:t>dismissed</w:t>
      </w:r>
      <w:r w:rsidRPr="00EB58F7">
        <w:rPr>
          <w:lang w:val="en-US"/>
        </w:rPr>
        <w:t xml:space="preserve"> justices were </w:t>
      </w:r>
      <w:r>
        <w:rPr>
          <w:lang w:val="en-US"/>
        </w:rPr>
        <w:t xml:space="preserve">left </w:t>
      </w:r>
      <w:r w:rsidRPr="00EB58F7">
        <w:rPr>
          <w:lang w:val="en-US"/>
        </w:rPr>
        <w:t>defensel</w:t>
      </w:r>
      <w:r>
        <w:rPr>
          <w:lang w:val="en-US"/>
        </w:rPr>
        <w:t>e</w:t>
      </w:r>
      <w:r w:rsidRPr="00EB58F7">
        <w:rPr>
          <w:lang w:val="en-US"/>
        </w:rPr>
        <w:t>s</w:t>
      </w:r>
      <w:r>
        <w:rPr>
          <w:lang w:val="en-US"/>
        </w:rPr>
        <w:t>s.</w:t>
      </w:r>
      <w:r w:rsidRPr="00DB55CD">
        <w:rPr>
          <w:rStyle w:val="FootnoteReference"/>
        </w:rPr>
        <w:footnoteReference w:id="34"/>
      </w:r>
      <w:r w:rsidRPr="00EB58F7">
        <w:rPr>
          <w:lang w:val="en-US"/>
        </w:rPr>
        <w:t xml:space="preserve"> </w:t>
      </w:r>
      <w:r w:rsidRPr="004337CC">
        <w:rPr>
          <w:lang w:val="en-US"/>
        </w:rPr>
        <w:t xml:space="preserve">Mauricio Torres Molinero and Rafael Virgilio Padilla Paz also filed an appeal for review of the decision rejecting the constitutional </w:t>
      </w:r>
      <w:r w:rsidRPr="00A93E93">
        <w:rPr>
          <w:i/>
          <w:iCs/>
          <w:lang w:val="en-US"/>
        </w:rPr>
        <w:t>amparo</w:t>
      </w:r>
      <w:r>
        <w:rPr>
          <w:lang w:val="en-US"/>
        </w:rPr>
        <w:t xml:space="preserve"> action.</w:t>
      </w:r>
      <w:r w:rsidRPr="00DB55CD">
        <w:rPr>
          <w:rStyle w:val="FootnoteReference"/>
        </w:rPr>
        <w:footnoteReference w:id="35"/>
      </w:r>
    </w:p>
    <w:p w14:paraId="3527FC03" w14:textId="77777777" w:rsidR="00E6692A" w:rsidRPr="004337CC" w:rsidRDefault="00E6692A" w:rsidP="00E6692A">
      <w:pPr>
        <w:pStyle w:val="parrafos"/>
        <w:numPr>
          <w:ilvl w:val="0"/>
          <w:numId w:val="0"/>
        </w:numPr>
        <w:rPr>
          <w:lang w:val="en-US"/>
        </w:rPr>
      </w:pPr>
    </w:p>
    <w:p w14:paraId="59FBBC88" w14:textId="77777777" w:rsidR="00E6692A" w:rsidRPr="004134FF" w:rsidRDefault="00E6692A" w:rsidP="00E6692A">
      <w:pPr>
        <w:pStyle w:val="parrafos"/>
        <w:numPr>
          <w:ilvl w:val="0"/>
          <w:numId w:val="0"/>
        </w:numPr>
        <w:rPr>
          <w:lang w:val="en-US"/>
        </w:rPr>
      </w:pPr>
      <w:r w:rsidRPr="004337CC">
        <w:rPr>
          <w:lang w:val="en-US"/>
        </w:rPr>
        <w:t>40. On February 18, 2013, the Supreme Court declared the appeal for review filed by the alleged victims to be</w:t>
      </w:r>
      <w:r>
        <w:rPr>
          <w:lang w:val="en-US"/>
        </w:rPr>
        <w:t xml:space="preserve"> inadmissible. </w:t>
      </w:r>
      <w:r w:rsidRPr="004134FF">
        <w:rPr>
          <w:lang w:val="en-US"/>
        </w:rPr>
        <w:t xml:space="preserve">It argued that: </w:t>
      </w:r>
    </w:p>
    <w:p w14:paraId="297C8526" w14:textId="77777777" w:rsidR="00E6692A" w:rsidRPr="004134FF" w:rsidRDefault="00E6692A" w:rsidP="00E6692A">
      <w:pPr>
        <w:pStyle w:val="ListParagraph"/>
        <w:rPr>
          <w:lang w:val="en-US"/>
        </w:rPr>
      </w:pPr>
    </w:p>
    <w:p w14:paraId="290CD12E" w14:textId="77777777" w:rsidR="00E6692A" w:rsidRPr="00976A9C" w:rsidRDefault="00E6692A" w:rsidP="00E6692A">
      <w:pPr>
        <w:pStyle w:val="parrafos"/>
        <w:numPr>
          <w:ilvl w:val="0"/>
          <w:numId w:val="0"/>
        </w:numPr>
        <w:ind w:left="357" w:right="357"/>
        <w:rPr>
          <w:sz w:val="18"/>
          <w:szCs w:val="18"/>
          <w:lang w:val="en-US"/>
        </w:rPr>
      </w:pPr>
      <w:r w:rsidRPr="00976A9C">
        <w:rPr>
          <w:sz w:val="18"/>
          <w:szCs w:val="18"/>
          <w:lang w:val="en-US"/>
        </w:rPr>
        <w:t>“…</w:t>
      </w:r>
      <w:r>
        <w:rPr>
          <w:sz w:val="18"/>
          <w:szCs w:val="18"/>
          <w:lang w:val="en-US"/>
        </w:rPr>
        <w:t>.</w:t>
      </w:r>
      <w:r w:rsidRPr="00976A9C">
        <w:rPr>
          <w:sz w:val="18"/>
          <w:szCs w:val="18"/>
          <w:lang w:val="en-US"/>
        </w:rPr>
        <w:t xml:space="preserve"> in view of the principle of the immutability of judgments, Article 6 of the</w:t>
      </w:r>
      <w:r>
        <w:rPr>
          <w:sz w:val="18"/>
          <w:szCs w:val="18"/>
          <w:lang w:val="en-US"/>
        </w:rPr>
        <w:t xml:space="preserve"> </w:t>
      </w:r>
      <w:r w:rsidRPr="00976A9C">
        <w:rPr>
          <w:sz w:val="18"/>
          <w:szCs w:val="18"/>
          <w:lang w:val="en-US"/>
        </w:rPr>
        <w:t>Law on Constitutional Justice</w:t>
      </w:r>
      <w:r>
        <w:rPr>
          <w:sz w:val="18"/>
          <w:szCs w:val="18"/>
          <w:lang w:val="en-US"/>
        </w:rPr>
        <w:t xml:space="preserve"> itself</w:t>
      </w:r>
      <w:r w:rsidRPr="00976A9C">
        <w:rPr>
          <w:sz w:val="18"/>
          <w:szCs w:val="18"/>
          <w:lang w:val="en-US"/>
        </w:rPr>
        <w:t>, in its first paragraph, states: The jurisdictional bodies, in the exercise of constitutional justice, may not change or modify their judgments once they are signed</w:t>
      </w:r>
      <w:r>
        <w:rPr>
          <w:sz w:val="18"/>
          <w:szCs w:val="18"/>
          <w:lang w:val="en-US"/>
        </w:rPr>
        <w:t>,</w:t>
      </w:r>
      <w:r w:rsidRPr="00976A9C">
        <w:rPr>
          <w:sz w:val="18"/>
          <w:szCs w:val="18"/>
          <w:lang w:val="en-US"/>
        </w:rPr>
        <w:t xml:space="preserve"> but may clarify </w:t>
      </w:r>
      <w:r>
        <w:rPr>
          <w:sz w:val="18"/>
          <w:szCs w:val="18"/>
          <w:lang w:val="en-US"/>
        </w:rPr>
        <w:t>an</w:t>
      </w:r>
      <w:r w:rsidRPr="00976A9C">
        <w:rPr>
          <w:sz w:val="18"/>
          <w:szCs w:val="18"/>
          <w:lang w:val="en-US"/>
        </w:rPr>
        <w:t xml:space="preserve"> unclear concept or correct material errors.”</w:t>
      </w:r>
      <w:r w:rsidRPr="00DB55CD">
        <w:rPr>
          <w:rStyle w:val="FootnoteReference"/>
          <w:sz w:val="18"/>
          <w:szCs w:val="18"/>
        </w:rPr>
        <w:footnoteReference w:id="36"/>
      </w:r>
      <w:r w:rsidRPr="00976A9C">
        <w:rPr>
          <w:sz w:val="18"/>
          <w:szCs w:val="18"/>
          <w:lang w:val="en-US"/>
        </w:rPr>
        <w:t xml:space="preserve"> </w:t>
      </w:r>
    </w:p>
    <w:p w14:paraId="6BC1AB66" w14:textId="77777777" w:rsidR="00E6692A" w:rsidRPr="00976A9C" w:rsidRDefault="00E6692A" w:rsidP="00E6692A"/>
    <w:p w14:paraId="7FD95226" w14:textId="77777777" w:rsidR="00E6692A" w:rsidRPr="009F1DD3" w:rsidRDefault="00E6692A" w:rsidP="00E6692A">
      <w:pPr>
        <w:pStyle w:val="Heading2"/>
        <w:rPr>
          <w:lang w:val="en-US"/>
        </w:rPr>
      </w:pPr>
      <w:bookmarkStart w:id="17" w:name="_Toc65248164"/>
      <w:bookmarkStart w:id="18" w:name="_Toc69410062"/>
      <w:r w:rsidRPr="009F1DD3">
        <w:rPr>
          <w:lang w:val="en-US"/>
        </w:rPr>
        <w:t xml:space="preserve">E. Complaints </w:t>
      </w:r>
      <w:r>
        <w:rPr>
          <w:lang w:val="en-US"/>
        </w:rPr>
        <w:t>regarding</w:t>
      </w:r>
      <w:r w:rsidRPr="009F1DD3">
        <w:rPr>
          <w:lang w:val="en-US"/>
        </w:rPr>
        <w:t xml:space="preserve"> the violation of judicial independence by the legislative and executive br</w:t>
      </w:r>
      <w:r>
        <w:rPr>
          <w:lang w:val="en-US"/>
        </w:rPr>
        <w:t>anches</w:t>
      </w:r>
      <w:bookmarkEnd w:id="17"/>
      <w:bookmarkEnd w:id="18"/>
    </w:p>
    <w:p w14:paraId="4F3183CD" w14:textId="77777777" w:rsidR="00E6692A" w:rsidRPr="009F1DD3" w:rsidRDefault="00E6692A" w:rsidP="00E6692A">
      <w:pPr>
        <w:rPr>
          <w:rFonts w:asciiTheme="majorHAnsi" w:hAnsiTheme="majorHAnsi"/>
          <w:b/>
          <w:sz w:val="20"/>
          <w:szCs w:val="20"/>
        </w:rPr>
      </w:pPr>
    </w:p>
    <w:p w14:paraId="399A1D06" w14:textId="77777777" w:rsidR="00E6692A" w:rsidRPr="00B11F99" w:rsidRDefault="00E6692A" w:rsidP="00E6692A">
      <w:pPr>
        <w:pStyle w:val="parrafos"/>
        <w:numPr>
          <w:ilvl w:val="0"/>
          <w:numId w:val="0"/>
        </w:numPr>
        <w:rPr>
          <w:lang w:val="en-US"/>
        </w:rPr>
      </w:pPr>
      <w:r w:rsidRPr="00B11F99">
        <w:rPr>
          <w:lang w:val="en-US"/>
        </w:rPr>
        <w:t>41. The case file includes information regarding statements that the then</w:t>
      </w:r>
      <w:r>
        <w:rPr>
          <w:lang w:val="en-US"/>
        </w:rPr>
        <w:t>-</w:t>
      </w:r>
      <w:r w:rsidRPr="00B11F99">
        <w:rPr>
          <w:lang w:val="en-US"/>
        </w:rPr>
        <w:t>President of the Republic made against the justice</w:t>
      </w:r>
      <w:r>
        <w:rPr>
          <w:lang w:val="en-US"/>
        </w:rPr>
        <w:t>s</w:t>
      </w:r>
      <w:r w:rsidRPr="00B11F99">
        <w:rPr>
          <w:lang w:val="en-US"/>
        </w:rPr>
        <w:t xml:space="preserve"> of the Constitution</w:t>
      </w:r>
      <w:r>
        <w:rPr>
          <w:lang w:val="en-US"/>
        </w:rPr>
        <w:t xml:space="preserve">al Chamber of the Supreme Court. </w:t>
      </w:r>
      <w:r w:rsidRPr="00B11F99">
        <w:rPr>
          <w:lang w:val="en-US"/>
        </w:rPr>
        <w:t>The former leader expressed his approval of the alleged victims</w:t>
      </w:r>
      <w:r>
        <w:rPr>
          <w:lang w:val="en-US"/>
        </w:rPr>
        <w:t>’ dismissal</w:t>
      </w:r>
      <w:r w:rsidRPr="00B11F99">
        <w:rPr>
          <w:lang w:val="en-US"/>
        </w:rPr>
        <w:t>:</w:t>
      </w:r>
    </w:p>
    <w:p w14:paraId="685848F1" w14:textId="77777777" w:rsidR="00E6692A" w:rsidRPr="00B11F99" w:rsidRDefault="00E6692A" w:rsidP="00E6692A">
      <w:pPr>
        <w:pStyle w:val="parrafos"/>
        <w:numPr>
          <w:ilvl w:val="0"/>
          <w:numId w:val="0"/>
        </w:numPr>
        <w:rPr>
          <w:lang w:val="en-US"/>
        </w:rPr>
      </w:pPr>
    </w:p>
    <w:p w14:paraId="1DF3369F" w14:textId="77777777" w:rsidR="00E6692A" w:rsidRPr="00B11F99" w:rsidRDefault="00E6692A" w:rsidP="00E6692A">
      <w:pPr>
        <w:pStyle w:val="parrafos"/>
        <w:numPr>
          <w:ilvl w:val="0"/>
          <w:numId w:val="0"/>
        </w:numPr>
        <w:ind w:left="357" w:right="357"/>
        <w:rPr>
          <w:sz w:val="18"/>
          <w:szCs w:val="18"/>
          <w:lang w:val="en-US"/>
        </w:rPr>
      </w:pPr>
      <w:r w:rsidRPr="00B11F99">
        <w:rPr>
          <w:sz w:val="18"/>
          <w:szCs w:val="18"/>
          <w:lang w:val="en-US"/>
        </w:rPr>
        <w:t xml:space="preserve">“President Porfirio Lobo yesterday reiterated his support of the decision by the National Congress which last week </w:t>
      </w:r>
      <w:r>
        <w:rPr>
          <w:sz w:val="18"/>
          <w:szCs w:val="18"/>
          <w:lang w:val="en-US"/>
        </w:rPr>
        <w:t>dismissed</w:t>
      </w:r>
      <w:r w:rsidRPr="00B11F99">
        <w:rPr>
          <w:sz w:val="18"/>
          <w:szCs w:val="18"/>
          <w:lang w:val="en-US"/>
        </w:rPr>
        <w:t xml:space="preserve"> four of the five justices of the Constitution</w:t>
      </w:r>
      <w:r>
        <w:rPr>
          <w:sz w:val="18"/>
          <w:szCs w:val="18"/>
          <w:lang w:val="en-US"/>
        </w:rPr>
        <w:t xml:space="preserve">al Chamber of the Supreme Court of Justice. </w:t>
      </w:r>
    </w:p>
    <w:p w14:paraId="168328E9" w14:textId="77777777" w:rsidR="00E6692A" w:rsidRPr="00B11F99" w:rsidRDefault="00E6692A" w:rsidP="00E6692A">
      <w:pPr>
        <w:pStyle w:val="parrafos"/>
        <w:numPr>
          <w:ilvl w:val="0"/>
          <w:numId w:val="0"/>
        </w:numPr>
        <w:ind w:left="357" w:right="357"/>
        <w:rPr>
          <w:sz w:val="18"/>
          <w:szCs w:val="18"/>
          <w:lang w:val="en-US"/>
        </w:rPr>
      </w:pPr>
      <w:r>
        <w:rPr>
          <w:sz w:val="18"/>
          <w:szCs w:val="18"/>
          <w:lang w:val="en-US"/>
        </w:rPr>
        <w:t>“</w:t>
      </w:r>
      <w:r w:rsidRPr="00B11F99">
        <w:rPr>
          <w:sz w:val="18"/>
          <w:szCs w:val="18"/>
          <w:lang w:val="en-US"/>
        </w:rPr>
        <w:t xml:space="preserve">The head of the executive branch maintained that he is </w:t>
      </w:r>
      <w:r>
        <w:rPr>
          <w:sz w:val="18"/>
          <w:szCs w:val="18"/>
          <w:lang w:val="en-US"/>
        </w:rPr>
        <w:t>‘</w:t>
      </w:r>
      <w:r w:rsidRPr="00B11F99">
        <w:rPr>
          <w:sz w:val="18"/>
          <w:szCs w:val="18"/>
          <w:lang w:val="en-US"/>
        </w:rPr>
        <w:t>totally in agreement</w:t>
      </w:r>
      <w:r>
        <w:rPr>
          <w:sz w:val="18"/>
          <w:szCs w:val="18"/>
          <w:lang w:val="en-US"/>
        </w:rPr>
        <w:t>’</w:t>
      </w:r>
      <w:r w:rsidRPr="00B11F99">
        <w:rPr>
          <w:sz w:val="18"/>
          <w:szCs w:val="18"/>
          <w:lang w:val="en-US"/>
        </w:rPr>
        <w:t xml:space="preserve"> with the </w:t>
      </w:r>
      <w:r>
        <w:rPr>
          <w:sz w:val="18"/>
          <w:szCs w:val="18"/>
          <w:lang w:val="en-US"/>
        </w:rPr>
        <w:t>dismissal</w:t>
      </w:r>
      <w:r w:rsidRPr="00B11F99">
        <w:rPr>
          <w:sz w:val="18"/>
          <w:szCs w:val="18"/>
          <w:lang w:val="en-US"/>
        </w:rPr>
        <w:t xml:space="preserve"> of the justices, who were </w:t>
      </w:r>
      <w:r>
        <w:rPr>
          <w:sz w:val="18"/>
          <w:szCs w:val="18"/>
          <w:lang w:val="en-US"/>
        </w:rPr>
        <w:t>removed from office</w:t>
      </w:r>
      <w:r w:rsidRPr="00B11F99">
        <w:rPr>
          <w:sz w:val="18"/>
          <w:szCs w:val="18"/>
          <w:lang w:val="en-US"/>
        </w:rPr>
        <w:t xml:space="preserve"> for declaring </w:t>
      </w:r>
      <w:r w:rsidRPr="00886E40">
        <w:rPr>
          <w:sz w:val="18"/>
          <w:szCs w:val="18"/>
          <w:lang w:val="en-US"/>
        </w:rPr>
        <w:t>the Special Law to Purge the Police Force of Corruption to</w:t>
      </w:r>
      <w:r>
        <w:rPr>
          <w:sz w:val="18"/>
          <w:szCs w:val="18"/>
          <w:lang w:val="en-US"/>
        </w:rPr>
        <w:t xml:space="preserve"> be unconstitutional. </w:t>
      </w:r>
    </w:p>
    <w:p w14:paraId="40C5407F" w14:textId="77777777" w:rsidR="00E6692A" w:rsidRPr="00B11F99" w:rsidRDefault="00E6692A" w:rsidP="00E6692A">
      <w:pPr>
        <w:pStyle w:val="parrafos"/>
        <w:numPr>
          <w:ilvl w:val="0"/>
          <w:numId w:val="0"/>
        </w:numPr>
        <w:ind w:left="357" w:right="357"/>
        <w:rPr>
          <w:sz w:val="18"/>
          <w:szCs w:val="18"/>
          <w:lang w:val="en-US"/>
        </w:rPr>
      </w:pPr>
      <w:r>
        <w:rPr>
          <w:sz w:val="18"/>
          <w:szCs w:val="18"/>
          <w:lang w:val="en-US"/>
        </w:rPr>
        <w:t>“</w:t>
      </w:r>
      <w:r w:rsidRPr="00B11F99">
        <w:rPr>
          <w:sz w:val="18"/>
          <w:szCs w:val="18"/>
          <w:lang w:val="en-US"/>
        </w:rPr>
        <w:t xml:space="preserve">Lobo said that if asked if he is in favor of the justices’ removal, he would raise his hand and even his feet because in his opinion, the members of the Constitutional Chamber do not </w:t>
      </w:r>
      <w:r>
        <w:rPr>
          <w:sz w:val="18"/>
          <w:szCs w:val="18"/>
          <w:lang w:val="en-US"/>
        </w:rPr>
        <w:t>deserve</w:t>
      </w:r>
      <w:r w:rsidRPr="00B11F99">
        <w:rPr>
          <w:sz w:val="18"/>
          <w:szCs w:val="18"/>
          <w:lang w:val="en-US"/>
        </w:rPr>
        <w:t xml:space="preserve"> the </w:t>
      </w:r>
      <w:r>
        <w:rPr>
          <w:sz w:val="18"/>
          <w:szCs w:val="18"/>
          <w:lang w:val="en-US"/>
        </w:rPr>
        <w:t>trust</w:t>
      </w:r>
      <w:r w:rsidRPr="00B11F99">
        <w:rPr>
          <w:sz w:val="18"/>
          <w:szCs w:val="18"/>
          <w:lang w:val="en-US"/>
        </w:rPr>
        <w:t xml:space="preserve"> of the Honduran people for </w:t>
      </w:r>
      <w:r>
        <w:rPr>
          <w:sz w:val="18"/>
          <w:szCs w:val="18"/>
          <w:lang w:val="en-US"/>
        </w:rPr>
        <w:t xml:space="preserve">opposing the police purge. </w:t>
      </w:r>
    </w:p>
    <w:p w14:paraId="6A481769" w14:textId="77777777" w:rsidR="00E6692A" w:rsidRPr="00D848A4" w:rsidRDefault="00E6692A" w:rsidP="00E6692A">
      <w:pPr>
        <w:pStyle w:val="parrafos"/>
        <w:numPr>
          <w:ilvl w:val="0"/>
          <w:numId w:val="0"/>
        </w:numPr>
        <w:ind w:left="357" w:right="357"/>
        <w:rPr>
          <w:sz w:val="18"/>
          <w:szCs w:val="18"/>
          <w:lang w:val="en-US"/>
        </w:rPr>
      </w:pPr>
      <w:r w:rsidRPr="00B11F99">
        <w:rPr>
          <w:sz w:val="18"/>
          <w:szCs w:val="18"/>
          <w:lang w:val="en-US"/>
        </w:rPr>
        <w:lastRenderedPageBreak/>
        <w:t>“</w:t>
      </w:r>
      <w:r>
        <w:rPr>
          <w:sz w:val="18"/>
          <w:szCs w:val="18"/>
          <w:lang w:val="en-US"/>
        </w:rPr>
        <w:t>‘</w:t>
      </w:r>
      <w:r w:rsidRPr="00B11F99">
        <w:rPr>
          <w:sz w:val="18"/>
          <w:szCs w:val="18"/>
          <w:lang w:val="en-US"/>
        </w:rPr>
        <w:t xml:space="preserve">Who elects the President? The Honduran people. </w:t>
      </w:r>
      <w:r>
        <w:rPr>
          <w:sz w:val="18"/>
          <w:szCs w:val="18"/>
          <w:lang w:val="en-US"/>
        </w:rPr>
        <w:t xml:space="preserve">Who elects the deputies? The people. Who elects the Court? The deputies, and if the Court misbehaves, what does the Congress have to do? Cut them. </w:t>
      </w:r>
      <w:r w:rsidRPr="00D848A4">
        <w:rPr>
          <w:sz w:val="18"/>
          <w:szCs w:val="18"/>
          <w:lang w:val="en-US"/>
        </w:rPr>
        <w:t>What’s the problem?’ he said.”</w:t>
      </w:r>
      <w:r w:rsidRPr="00DB55CD">
        <w:rPr>
          <w:rStyle w:val="FootnoteReference"/>
          <w:sz w:val="18"/>
          <w:szCs w:val="18"/>
        </w:rPr>
        <w:footnoteReference w:id="37"/>
      </w:r>
    </w:p>
    <w:p w14:paraId="6AB6F7BA" w14:textId="77777777" w:rsidR="00E6692A" w:rsidRPr="00D848A4" w:rsidRDefault="00E6692A" w:rsidP="00E6692A">
      <w:pPr>
        <w:pStyle w:val="parrafos"/>
        <w:numPr>
          <w:ilvl w:val="0"/>
          <w:numId w:val="0"/>
        </w:numPr>
        <w:ind w:right="357"/>
        <w:rPr>
          <w:sz w:val="18"/>
          <w:szCs w:val="18"/>
          <w:lang w:val="en-US"/>
        </w:rPr>
      </w:pPr>
    </w:p>
    <w:p w14:paraId="084A7995" w14:textId="77777777" w:rsidR="00E6692A" w:rsidRPr="004F39FA" w:rsidRDefault="00E6692A" w:rsidP="00E6692A">
      <w:pPr>
        <w:pStyle w:val="parrafos"/>
        <w:numPr>
          <w:ilvl w:val="0"/>
          <w:numId w:val="0"/>
        </w:numPr>
        <w:rPr>
          <w:lang w:val="en-US"/>
        </w:rPr>
      </w:pPr>
      <w:r w:rsidRPr="004F39FA">
        <w:rPr>
          <w:lang w:val="en-US"/>
        </w:rPr>
        <w:t>42. Along the same lines, according to press reports, the then</w:t>
      </w:r>
      <w:r>
        <w:rPr>
          <w:lang w:val="en-US"/>
        </w:rPr>
        <w:t>-</w:t>
      </w:r>
      <w:r w:rsidRPr="004F39FA">
        <w:rPr>
          <w:lang w:val="en-US"/>
        </w:rPr>
        <w:t>President of the Congress, Juan Orlando Hernández, had told a media outlet that “he had discussed the issue of the justices</w:t>
      </w:r>
      <w:r>
        <w:rPr>
          <w:lang w:val="en-US"/>
        </w:rPr>
        <w:t xml:space="preserve">’ </w:t>
      </w:r>
      <w:r w:rsidRPr="004F39FA">
        <w:rPr>
          <w:lang w:val="en-US"/>
        </w:rPr>
        <w:t xml:space="preserve">removal with President Lobo and that they had </w:t>
      </w:r>
      <w:r>
        <w:rPr>
          <w:lang w:val="en-US"/>
        </w:rPr>
        <w:t>come to</w:t>
      </w:r>
      <w:r w:rsidRPr="004F39FA">
        <w:rPr>
          <w:lang w:val="en-US"/>
        </w:rPr>
        <w:t xml:space="preserve"> a consensus that this would be best for the country</w:t>
      </w:r>
      <w:r>
        <w:rPr>
          <w:lang w:val="en-US"/>
        </w:rPr>
        <w:t>,</w:t>
      </w:r>
      <w:r w:rsidRPr="004F39FA">
        <w:rPr>
          <w:lang w:val="en-US"/>
        </w:rPr>
        <w:t xml:space="preserve"> and that agreement had been reached with the President of the Supreme Court </w:t>
      </w:r>
      <w:r>
        <w:rPr>
          <w:lang w:val="en-US"/>
        </w:rPr>
        <w:t xml:space="preserve">of Justice </w:t>
      </w:r>
      <w:r w:rsidRPr="004F39FA">
        <w:rPr>
          <w:lang w:val="en-US"/>
        </w:rPr>
        <w:t>regarding the appointment of the new justices.”</w:t>
      </w:r>
      <w:r w:rsidRPr="00DB55CD">
        <w:rPr>
          <w:rStyle w:val="FootnoteReference"/>
        </w:rPr>
        <w:footnoteReference w:id="38"/>
      </w:r>
      <w:r w:rsidRPr="004F39FA">
        <w:rPr>
          <w:lang w:val="en-US"/>
        </w:rPr>
        <w:t xml:space="preserve"> </w:t>
      </w:r>
    </w:p>
    <w:p w14:paraId="2C2708E5" w14:textId="77777777" w:rsidR="00E6692A" w:rsidRPr="004F39FA" w:rsidRDefault="00E6692A" w:rsidP="00E6692A">
      <w:pPr>
        <w:pStyle w:val="parrafos"/>
        <w:numPr>
          <w:ilvl w:val="0"/>
          <w:numId w:val="0"/>
        </w:numPr>
        <w:rPr>
          <w:lang w:val="en-US"/>
        </w:rPr>
      </w:pPr>
    </w:p>
    <w:p w14:paraId="708D02C5" w14:textId="77777777" w:rsidR="00E6692A" w:rsidRPr="00D848A4" w:rsidRDefault="00E6692A" w:rsidP="00E6692A">
      <w:pPr>
        <w:pStyle w:val="parrafos"/>
        <w:numPr>
          <w:ilvl w:val="0"/>
          <w:numId w:val="0"/>
        </w:numPr>
        <w:rPr>
          <w:lang w:val="en-US"/>
        </w:rPr>
      </w:pPr>
      <w:r w:rsidRPr="004F5EFD">
        <w:rPr>
          <w:lang w:val="en-US"/>
        </w:rPr>
        <w:t>43. On January 4, 2013, the National Human Rights Commission presented a report on the State’s institutional crisis as a result of the replacement of the justices of the Constitutional Chamber of the Supreme Court and recommended rectification of the</w:t>
      </w:r>
      <w:r>
        <w:rPr>
          <w:lang w:val="en-US"/>
        </w:rPr>
        <w:t>ir</w:t>
      </w:r>
      <w:r w:rsidRPr="004F5EFD">
        <w:rPr>
          <w:lang w:val="en-US"/>
        </w:rPr>
        <w:t xml:space="preserve"> dismissal, which </w:t>
      </w:r>
      <w:r>
        <w:rPr>
          <w:lang w:val="en-US"/>
        </w:rPr>
        <w:t>it</w:t>
      </w:r>
      <w:r w:rsidRPr="004F5EFD">
        <w:rPr>
          <w:lang w:val="en-US"/>
        </w:rPr>
        <w:t xml:space="preserve"> considered illegal. </w:t>
      </w:r>
      <w:r w:rsidRPr="00D848A4">
        <w:rPr>
          <w:lang w:val="en-US"/>
        </w:rPr>
        <w:t>I</w:t>
      </w:r>
      <w:r>
        <w:rPr>
          <w:lang w:val="en-US"/>
        </w:rPr>
        <w:t>t stated the following</w:t>
      </w:r>
      <w:r w:rsidRPr="00D848A4">
        <w:rPr>
          <w:lang w:val="en-US"/>
        </w:rPr>
        <w:t xml:space="preserve">: </w:t>
      </w:r>
    </w:p>
    <w:p w14:paraId="6CB027A4" w14:textId="77777777" w:rsidR="00E6692A" w:rsidRPr="00D848A4" w:rsidRDefault="00E6692A" w:rsidP="00E6692A">
      <w:pPr>
        <w:pStyle w:val="parrafos"/>
        <w:numPr>
          <w:ilvl w:val="0"/>
          <w:numId w:val="0"/>
        </w:numPr>
        <w:rPr>
          <w:lang w:val="en-US"/>
        </w:rPr>
      </w:pPr>
    </w:p>
    <w:p w14:paraId="3CEDA3F5" w14:textId="77777777" w:rsidR="00E6692A" w:rsidRPr="004F5EFD" w:rsidRDefault="00E6692A" w:rsidP="00E6692A">
      <w:pPr>
        <w:pStyle w:val="parrafos"/>
        <w:numPr>
          <w:ilvl w:val="0"/>
          <w:numId w:val="0"/>
        </w:numPr>
        <w:ind w:left="357" w:right="357"/>
        <w:rPr>
          <w:sz w:val="18"/>
          <w:szCs w:val="18"/>
          <w:lang w:val="en-US"/>
        </w:rPr>
      </w:pPr>
      <w:r w:rsidRPr="004F5EFD">
        <w:rPr>
          <w:sz w:val="18"/>
          <w:szCs w:val="18"/>
          <w:lang w:val="en-US"/>
        </w:rPr>
        <w:t xml:space="preserve">“The four justices of the Supreme Court </w:t>
      </w:r>
      <w:r>
        <w:rPr>
          <w:sz w:val="18"/>
          <w:szCs w:val="18"/>
          <w:lang w:val="en-US"/>
        </w:rPr>
        <w:t xml:space="preserve">of Justice </w:t>
      </w:r>
      <w:r w:rsidRPr="004F5EFD">
        <w:rPr>
          <w:sz w:val="18"/>
          <w:szCs w:val="18"/>
          <w:lang w:val="en-US"/>
        </w:rPr>
        <w:t xml:space="preserve">were dismissed without any legal cause having been established. </w:t>
      </w:r>
    </w:p>
    <w:p w14:paraId="03B7BEB5" w14:textId="77777777" w:rsidR="00E6692A" w:rsidRPr="00574184" w:rsidRDefault="00E6692A" w:rsidP="00E6692A">
      <w:pPr>
        <w:pStyle w:val="parrafos"/>
        <w:numPr>
          <w:ilvl w:val="0"/>
          <w:numId w:val="0"/>
        </w:numPr>
        <w:ind w:left="357" w:right="357"/>
        <w:rPr>
          <w:sz w:val="18"/>
          <w:szCs w:val="18"/>
          <w:lang w:val="en-US"/>
        </w:rPr>
      </w:pPr>
      <w:r w:rsidRPr="00574184">
        <w:rPr>
          <w:sz w:val="18"/>
          <w:szCs w:val="18"/>
          <w:lang w:val="en-US"/>
        </w:rPr>
        <w:t>“The act</w:t>
      </w:r>
      <w:r>
        <w:rPr>
          <w:sz w:val="18"/>
          <w:szCs w:val="18"/>
          <w:lang w:val="en-US"/>
        </w:rPr>
        <w:t>ion</w:t>
      </w:r>
      <w:r w:rsidRPr="00574184">
        <w:rPr>
          <w:sz w:val="18"/>
          <w:szCs w:val="18"/>
          <w:lang w:val="en-US"/>
        </w:rPr>
        <w:t xml:space="preserve"> of replacement may be an incorrect way to do things, through an arbitrary, abusive, and flawed act </w:t>
      </w:r>
      <w:r>
        <w:rPr>
          <w:sz w:val="18"/>
          <w:szCs w:val="18"/>
          <w:lang w:val="en-US"/>
        </w:rPr>
        <w:t>performed by</w:t>
      </w:r>
      <w:r w:rsidRPr="00574184">
        <w:rPr>
          <w:sz w:val="18"/>
          <w:szCs w:val="18"/>
          <w:lang w:val="en-US"/>
        </w:rPr>
        <w:t xml:space="preserve"> the National Congress of the Republic, ignoring </w:t>
      </w:r>
      <w:r>
        <w:rPr>
          <w:sz w:val="18"/>
          <w:szCs w:val="18"/>
          <w:lang w:val="en-US"/>
        </w:rPr>
        <w:t xml:space="preserve">the fact </w:t>
      </w:r>
      <w:r w:rsidRPr="00574184">
        <w:rPr>
          <w:sz w:val="18"/>
          <w:szCs w:val="18"/>
          <w:lang w:val="en-US"/>
        </w:rPr>
        <w:t xml:space="preserve">that Article 314 </w:t>
      </w:r>
      <w:r>
        <w:rPr>
          <w:sz w:val="18"/>
          <w:szCs w:val="18"/>
          <w:lang w:val="en-US"/>
        </w:rPr>
        <w:t xml:space="preserve">of the Constitution of the Republic establishes that justices of the CSJ [Supreme Court] may be removed only due to death, disability that impedes the exercise of office, substitution for </w:t>
      </w:r>
      <w:r w:rsidRPr="000E1F3C">
        <w:rPr>
          <w:sz w:val="18"/>
          <w:szCs w:val="18"/>
          <w:lang w:val="en-US"/>
        </w:rPr>
        <w:t xml:space="preserve">legal </w:t>
      </w:r>
      <w:r>
        <w:rPr>
          <w:sz w:val="18"/>
          <w:szCs w:val="18"/>
          <w:lang w:val="en-US"/>
        </w:rPr>
        <w:t>reasons</w:t>
      </w:r>
      <w:r w:rsidRPr="000E1F3C">
        <w:rPr>
          <w:sz w:val="18"/>
          <w:szCs w:val="18"/>
          <w:lang w:val="en-US"/>
        </w:rPr>
        <w:t>,</w:t>
      </w:r>
      <w:r>
        <w:rPr>
          <w:sz w:val="18"/>
          <w:szCs w:val="18"/>
          <w:lang w:val="en-US"/>
        </w:rPr>
        <w:t xml:space="preserve"> or resignation. </w:t>
      </w:r>
      <w:r w:rsidRPr="00574184">
        <w:rPr>
          <w:sz w:val="18"/>
          <w:szCs w:val="18"/>
          <w:lang w:val="en-US"/>
        </w:rPr>
        <w:t xml:space="preserve">According to several legal dictionaries, </w:t>
      </w:r>
      <w:r w:rsidRPr="004873CC">
        <w:rPr>
          <w:sz w:val="18"/>
          <w:szCs w:val="18"/>
          <w:lang w:val="en-US"/>
        </w:rPr>
        <w:t>legal cause is the</w:t>
      </w:r>
      <w:r w:rsidRPr="00574184">
        <w:rPr>
          <w:sz w:val="18"/>
          <w:szCs w:val="18"/>
          <w:lang w:val="en-US"/>
        </w:rPr>
        <w:t xml:space="preserve"> </w:t>
      </w:r>
      <w:r>
        <w:rPr>
          <w:sz w:val="18"/>
          <w:szCs w:val="18"/>
          <w:lang w:val="en-US"/>
        </w:rPr>
        <w:t>‘</w:t>
      </w:r>
      <w:r w:rsidRPr="00574184">
        <w:rPr>
          <w:sz w:val="18"/>
          <w:szCs w:val="18"/>
          <w:lang w:val="en-US"/>
        </w:rPr>
        <w:t>file or proceeding</w:t>
      </w:r>
      <w:r>
        <w:rPr>
          <w:sz w:val="18"/>
          <w:szCs w:val="18"/>
          <w:lang w:val="en-US"/>
        </w:rPr>
        <w:t>s</w:t>
      </w:r>
      <w:r w:rsidRPr="00574184">
        <w:rPr>
          <w:sz w:val="18"/>
          <w:szCs w:val="18"/>
          <w:lang w:val="en-US"/>
        </w:rPr>
        <w:t xml:space="preserve"> created to investigate an act and establish the appropriate resolution.</w:t>
      </w:r>
      <w:r>
        <w:rPr>
          <w:sz w:val="18"/>
          <w:szCs w:val="18"/>
          <w:lang w:val="en-US"/>
        </w:rPr>
        <w:t xml:space="preserve">’ </w:t>
      </w:r>
      <w:r w:rsidRPr="00574184">
        <w:rPr>
          <w:sz w:val="18"/>
          <w:szCs w:val="18"/>
          <w:lang w:val="en-US"/>
        </w:rPr>
        <w:t>A</w:t>
      </w:r>
      <w:r>
        <w:rPr>
          <w:sz w:val="18"/>
          <w:szCs w:val="18"/>
          <w:lang w:val="en-US"/>
        </w:rPr>
        <w:t xml:space="preserve">nd so far, </w:t>
      </w:r>
      <w:r w:rsidRPr="00574184">
        <w:rPr>
          <w:sz w:val="18"/>
          <w:szCs w:val="18"/>
          <w:lang w:val="en-US"/>
        </w:rPr>
        <w:t xml:space="preserve">I </w:t>
      </w:r>
      <w:r>
        <w:rPr>
          <w:sz w:val="18"/>
          <w:szCs w:val="18"/>
          <w:lang w:val="en-US"/>
        </w:rPr>
        <w:t>must</w:t>
      </w:r>
      <w:r w:rsidRPr="00574184">
        <w:rPr>
          <w:sz w:val="18"/>
          <w:szCs w:val="18"/>
          <w:lang w:val="en-US"/>
        </w:rPr>
        <w:t xml:space="preserve"> and do understand that none of the four justices was subject to a legal cause that would </w:t>
      </w:r>
      <w:r>
        <w:rPr>
          <w:sz w:val="18"/>
          <w:szCs w:val="18"/>
          <w:lang w:val="en-US"/>
        </w:rPr>
        <w:t>provide grounds for</w:t>
      </w:r>
      <w:r w:rsidRPr="00574184">
        <w:rPr>
          <w:sz w:val="18"/>
          <w:szCs w:val="18"/>
          <w:lang w:val="en-US"/>
        </w:rPr>
        <w:t xml:space="preserve"> </w:t>
      </w:r>
      <w:r>
        <w:rPr>
          <w:sz w:val="18"/>
          <w:szCs w:val="18"/>
          <w:lang w:val="en-US"/>
        </w:rPr>
        <w:t xml:space="preserve">his or her replacement for legal reasons as established in Article </w:t>
      </w:r>
      <w:r w:rsidRPr="00574184">
        <w:rPr>
          <w:sz w:val="18"/>
          <w:szCs w:val="18"/>
          <w:lang w:val="en-US"/>
        </w:rPr>
        <w:t xml:space="preserve">314 </w:t>
      </w:r>
      <w:r>
        <w:rPr>
          <w:sz w:val="18"/>
          <w:szCs w:val="18"/>
          <w:lang w:val="en-US"/>
        </w:rPr>
        <w:t>of the Constitution</w:t>
      </w:r>
      <w:r w:rsidRPr="00574184">
        <w:rPr>
          <w:sz w:val="18"/>
          <w:szCs w:val="18"/>
          <w:lang w:val="en-US"/>
        </w:rPr>
        <w:t>.</w:t>
      </w:r>
    </w:p>
    <w:p w14:paraId="3B1BCAEB" w14:textId="77777777" w:rsidR="00E6692A" w:rsidRPr="009B484B" w:rsidRDefault="00E6692A" w:rsidP="00E6692A">
      <w:pPr>
        <w:pStyle w:val="parrafos"/>
        <w:numPr>
          <w:ilvl w:val="0"/>
          <w:numId w:val="0"/>
        </w:numPr>
        <w:ind w:left="357" w:right="357"/>
        <w:rPr>
          <w:lang w:val="en-US"/>
        </w:rPr>
      </w:pPr>
      <w:r w:rsidRPr="009B484B">
        <w:rPr>
          <w:sz w:val="18"/>
          <w:szCs w:val="18"/>
          <w:lang w:val="en-US"/>
        </w:rPr>
        <w:t>“The President of the Supreme Court’s acquiescence with what was approved by the National Congress in this case</w:t>
      </w:r>
      <w:r>
        <w:rPr>
          <w:sz w:val="18"/>
          <w:szCs w:val="18"/>
          <w:lang w:val="en-US"/>
        </w:rPr>
        <w:t>…</w:t>
      </w:r>
      <w:r w:rsidRPr="009B484B">
        <w:rPr>
          <w:sz w:val="18"/>
          <w:szCs w:val="18"/>
          <w:lang w:val="en-US"/>
        </w:rPr>
        <w:t>is</w:t>
      </w:r>
      <w:r>
        <w:rPr>
          <w:sz w:val="18"/>
          <w:szCs w:val="18"/>
          <w:lang w:val="en-US"/>
        </w:rPr>
        <w:t xml:space="preserve">, </w:t>
      </w:r>
      <w:r w:rsidRPr="009B484B">
        <w:rPr>
          <w:sz w:val="18"/>
          <w:szCs w:val="18"/>
          <w:lang w:val="en-US"/>
        </w:rPr>
        <w:t>ipso facto</w:t>
      </w:r>
      <w:r>
        <w:rPr>
          <w:sz w:val="18"/>
          <w:szCs w:val="18"/>
          <w:lang w:val="en-US"/>
        </w:rPr>
        <w:t>,</w:t>
      </w:r>
      <w:r w:rsidRPr="009B484B">
        <w:rPr>
          <w:sz w:val="18"/>
          <w:szCs w:val="18"/>
          <w:lang w:val="en-US"/>
        </w:rPr>
        <w:t xml:space="preserve"> an example of unconstitutional subordination which instead of resolving</w:t>
      </w:r>
      <w:r>
        <w:rPr>
          <w:sz w:val="18"/>
          <w:szCs w:val="18"/>
          <w:lang w:val="en-US"/>
        </w:rPr>
        <w:t xml:space="preserve"> </w:t>
      </w:r>
      <w:r w:rsidRPr="009B484B">
        <w:rPr>
          <w:sz w:val="18"/>
          <w:szCs w:val="18"/>
          <w:lang w:val="en-US"/>
        </w:rPr>
        <w:t>the crisis affecting the State’s institutional framework instead ends up complicating it, without resol</w:t>
      </w:r>
      <w:r>
        <w:rPr>
          <w:sz w:val="18"/>
          <w:szCs w:val="18"/>
          <w:lang w:val="en-US"/>
        </w:rPr>
        <w:t xml:space="preserve">ving what has an institutional and constitutional solution, because all actions in jurisdictional matters from now on may have the </w:t>
      </w:r>
      <w:r w:rsidRPr="00FB5B19">
        <w:rPr>
          <w:sz w:val="18"/>
          <w:szCs w:val="18"/>
          <w:lang w:val="en-US"/>
        </w:rPr>
        <w:t>taint</w:t>
      </w:r>
      <w:r>
        <w:rPr>
          <w:sz w:val="18"/>
          <w:szCs w:val="18"/>
          <w:lang w:val="en-US"/>
        </w:rPr>
        <w:t xml:space="preserve"> of</w:t>
      </w:r>
      <w:r w:rsidRPr="00FB5B19">
        <w:rPr>
          <w:sz w:val="18"/>
          <w:szCs w:val="18"/>
          <w:lang w:val="en-US"/>
        </w:rPr>
        <w:t xml:space="preserve"> invalid</w:t>
      </w:r>
      <w:r>
        <w:rPr>
          <w:sz w:val="18"/>
          <w:szCs w:val="18"/>
          <w:lang w:val="en-US"/>
        </w:rPr>
        <w:t>ity</w:t>
      </w:r>
      <w:r w:rsidRPr="00FB5B19">
        <w:rPr>
          <w:sz w:val="18"/>
          <w:szCs w:val="18"/>
          <w:lang w:val="en-US"/>
        </w:rPr>
        <w:t>.</w:t>
      </w:r>
      <w:r>
        <w:rPr>
          <w:sz w:val="18"/>
          <w:szCs w:val="18"/>
          <w:lang w:val="en-US"/>
        </w:rPr>
        <w:t xml:space="preserve"> </w:t>
      </w:r>
      <w:r w:rsidRPr="009B484B">
        <w:rPr>
          <w:sz w:val="18"/>
          <w:szCs w:val="18"/>
          <w:lang w:val="en-US"/>
        </w:rPr>
        <w:t xml:space="preserve">If the note that is circulating, </w:t>
      </w:r>
      <w:r>
        <w:rPr>
          <w:sz w:val="18"/>
          <w:szCs w:val="18"/>
          <w:lang w:val="en-US"/>
        </w:rPr>
        <w:t>signed</w:t>
      </w:r>
      <w:r w:rsidRPr="009B484B">
        <w:rPr>
          <w:sz w:val="18"/>
          <w:szCs w:val="18"/>
          <w:lang w:val="en-US"/>
        </w:rPr>
        <w:t xml:space="preserve"> by </w:t>
      </w:r>
      <w:r>
        <w:rPr>
          <w:sz w:val="18"/>
          <w:szCs w:val="18"/>
          <w:lang w:val="en-US"/>
        </w:rPr>
        <w:t>the</w:t>
      </w:r>
      <w:r w:rsidRPr="009B484B">
        <w:rPr>
          <w:sz w:val="18"/>
          <w:szCs w:val="18"/>
          <w:lang w:val="en-US"/>
        </w:rPr>
        <w:t xml:space="preserve"> Secretary of the National Congress, is genuine, asking that the </w:t>
      </w:r>
      <w:r>
        <w:rPr>
          <w:sz w:val="18"/>
          <w:szCs w:val="18"/>
          <w:lang w:val="en-US"/>
        </w:rPr>
        <w:t>replacements</w:t>
      </w:r>
      <w:r w:rsidRPr="009B484B">
        <w:rPr>
          <w:sz w:val="18"/>
          <w:szCs w:val="18"/>
          <w:lang w:val="en-US"/>
        </w:rPr>
        <w:t xml:space="preserve"> please be incorporated, </w:t>
      </w:r>
      <w:r>
        <w:rPr>
          <w:sz w:val="18"/>
          <w:szCs w:val="18"/>
          <w:lang w:val="en-US"/>
        </w:rPr>
        <w:t>this</w:t>
      </w:r>
      <w:r w:rsidRPr="009B484B">
        <w:rPr>
          <w:sz w:val="18"/>
          <w:szCs w:val="18"/>
          <w:lang w:val="en-US"/>
        </w:rPr>
        <w:t xml:space="preserve"> is yet another reason to express our disagreement with the way </w:t>
      </w:r>
      <w:r>
        <w:rPr>
          <w:sz w:val="18"/>
          <w:szCs w:val="18"/>
          <w:lang w:val="en-US"/>
        </w:rPr>
        <w:t xml:space="preserve">that relations among the branches of the </w:t>
      </w:r>
      <w:r w:rsidRPr="009B484B">
        <w:rPr>
          <w:sz w:val="18"/>
          <w:szCs w:val="18"/>
          <w:lang w:val="en-US"/>
        </w:rPr>
        <w:t>S</w:t>
      </w:r>
      <w:r>
        <w:rPr>
          <w:sz w:val="18"/>
          <w:szCs w:val="18"/>
          <w:lang w:val="en-US"/>
        </w:rPr>
        <w:t>tate are unfolding.</w:t>
      </w:r>
      <w:r w:rsidRPr="009B484B">
        <w:rPr>
          <w:sz w:val="18"/>
          <w:szCs w:val="18"/>
          <w:lang w:val="en-US"/>
        </w:rPr>
        <w:t>”</w:t>
      </w:r>
      <w:r w:rsidRPr="00DB55CD">
        <w:rPr>
          <w:rStyle w:val="FootnoteReference"/>
          <w:sz w:val="18"/>
          <w:szCs w:val="18"/>
        </w:rPr>
        <w:footnoteReference w:id="39"/>
      </w:r>
      <w:r w:rsidRPr="009B484B">
        <w:rPr>
          <w:lang w:val="en-US"/>
        </w:rPr>
        <w:t xml:space="preserve"> </w:t>
      </w:r>
    </w:p>
    <w:p w14:paraId="344476CF" w14:textId="77777777" w:rsidR="00E6692A" w:rsidRPr="009B484B" w:rsidRDefault="00E6692A" w:rsidP="00E6692A">
      <w:pPr>
        <w:pStyle w:val="parrafos"/>
        <w:numPr>
          <w:ilvl w:val="0"/>
          <w:numId w:val="0"/>
        </w:numPr>
        <w:ind w:right="357"/>
        <w:rPr>
          <w:lang w:val="en-US"/>
        </w:rPr>
      </w:pPr>
    </w:p>
    <w:p w14:paraId="418EAA15" w14:textId="77777777" w:rsidR="00E6692A" w:rsidRPr="00235801" w:rsidRDefault="00E6692A" w:rsidP="00E6692A">
      <w:pPr>
        <w:pStyle w:val="parrafos"/>
        <w:numPr>
          <w:ilvl w:val="0"/>
          <w:numId w:val="0"/>
        </w:numPr>
        <w:rPr>
          <w:lang w:val="en-US"/>
        </w:rPr>
      </w:pPr>
      <w:r w:rsidRPr="002A59ED">
        <w:rPr>
          <w:lang w:val="en-US"/>
        </w:rPr>
        <w:t>44. On January 3, 2013, the Inter-American Commission on Human Rights, in response to the situation involving the justices of the Constitutional Chamber of the Supreme Court</w:t>
      </w:r>
      <w:r>
        <w:rPr>
          <w:lang w:val="en-US"/>
        </w:rPr>
        <w:t xml:space="preserve"> of Honduras</w:t>
      </w:r>
      <w:r w:rsidRPr="002A59ED">
        <w:rPr>
          <w:lang w:val="en-US"/>
        </w:rPr>
        <w:t xml:space="preserve">, issued a press release stressing the importance of the principle </w:t>
      </w:r>
      <w:r w:rsidRPr="006E2126">
        <w:rPr>
          <w:lang w:val="en-US"/>
        </w:rPr>
        <w:t>of separation and independence of</w:t>
      </w:r>
      <w:r w:rsidRPr="002A59ED">
        <w:rPr>
          <w:lang w:val="en-US"/>
        </w:rPr>
        <w:t xml:space="preserve"> the branches of government as an </w:t>
      </w:r>
      <w:r>
        <w:rPr>
          <w:lang w:val="en-US"/>
        </w:rPr>
        <w:t xml:space="preserve">essential element of the rule of law. </w:t>
      </w:r>
      <w:r w:rsidRPr="00235801">
        <w:rPr>
          <w:lang w:val="en-US"/>
        </w:rPr>
        <w:t>It indicated that the grounds for disciplinary sanctions imposed on a judge should never be the legal judgment developed in a decision.</w:t>
      </w:r>
      <w:r w:rsidRPr="00DB55CD">
        <w:rPr>
          <w:rStyle w:val="FootnoteReference"/>
        </w:rPr>
        <w:footnoteReference w:id="40"/>
      </w:r>
      <w:r w:rsidRPr="00235801">
        <w:rPr>
          <w:lang w:val="en-US"/>
        </w:rPr>
        <w:t xml:space="preserve"> </w:t>
      </w:r>
    </w:p>
    <w:p w14:paraId="191FBB07" w14:textId="77777777" w:rsidR="00E6692A" w:rsidRPr="00235801" w:rsidRDefault="00E6692A" w:rsidP="00E6692A">
      <w:pPr>
        <w:pStyle w:val="parrafos"/>
        <w:numPr>
          <w:ilvl w:val="0"/>
          <w:numId w:val="0"/>
        </w:numPr>
        <w:rPr>
          <w:lang w:val="en-US"/>
        </w:rPr>
      </w:pPr>
    </w:p>
    <w:p w14:paraId="7156B563" w14:textId="77777777" w:rsidR="00E6692A" w:rsidRPr="00962CE5" w:rsidRDefault="00E6692A" w:rsidP="00E6692A">
      <w:pPr>
        <w:pStyle w:val="parrafos"/>
        <w:numPr>
          <w:ilvl w:val="0"/>
          <w:numId w:val="0"/>
        </w:numPr>
        <w:rPr>
          <w:lang w:val="en-US"/>
        </w:rPr>
      </w:pPr>
      <w:r w:rsidRPr="00962CE5">
        <w:rPr>
          <w:lang w:val="en-US"/>
        </w:rPr>
        <w:t xml:space="preserve">45. On January 29, 2013, the United Nations Special Rapporteur on the </w:t>
      </w:r>
      <w:r>
        <w:rPr>
          <w:lang w:val="en-US"/>
        </w:rPr>
        <w:t>independence of judges</w:t>
      </w:r>
      <w:r w:rsidRPr="00962CE5">
        <w:rPr>
          <w:lang w:val="en-US"/>
        </w:rPr>
        <w:t xml:space="preserve"> and lawyers issued a press release expressing her concern about the </w:t>
      </w:r>
      <w:r>
        <w:rPr>
          <w:lang w:val="en-US"/>
        </w:rPr>
        <w:t>dismissal</w:t>
      </w:r>
      <w:r w:rsidRPr="00962CE5">
        <w:rPr>
          <w:lang w:val="en-US"/>
        </w:rPr>
        <w:t xml:space="preserve"> of the alleged victims and stated: </w:t>
      </w:r>
    </w:p>
    <w:p w14:paraId="2679797F" w14:textId="77777777" w:rsidR="00E6692A" w:rsidRPr="00962CE5" w:rsidRDefault="00E6692A" w:rsidP="00E6692A">
      <w:pPr>
        <w:pStyle w:val="parrafos"/>
        <w:numPr>
          <w:ilvl w:val="0"/>
          <w:numId w:val="0"/>
        </w:numPr>
        <w:rPr>
          <w:lang w:val="en-US"/>
        </w:rPr>
      </w:pPr>
    </w:p>
    <w:p w14:paraId="1D36D195" w14:textId="77777777" w:rsidR="00E6692A" w:rsidRPr="00D848A4" w:rsidRDefault="00E6692A" w:rsidP="00E6692A">
      <w:pPr>
        <w:pStyle w:val="parrafos"/>
        <w:numPr>
          <w:ilvl w:val="0"/>
          <w:numId w:val="0"/>
        </w:numPr>
        <w:ind w:left="357" w:right="357"/>
        <w:rPr>
          <w:sz w:val="18"/>
          <w:szCs w:val="18"/>
          <w:lang w:val="en-US"/>
        </w:rPr>
      </w:pPr>
      <w:r w:rsidRPr="00962CE5">
        <w:rPr>
          <w:sz w:val="18"/>
          <w:szCs w:val="18"/>
          <w:lang w:val="en-US"/>
        </w:rPr>
        <w:t xml:space="preserve">“The National Congress of Honduras exercises considerable control over the judiciary, which is incompatible with the principle of separation of powers and the independence of the judiciary, fundamental elements of every democracy and </w:t>
      </w:r>
      <w:r>
        <w:rPr>
          <w:sz w:val="18"/>
          <w:szCs w:val="18"/>
          <w:lang w:val="en-US"/>
        </w:rPr>
        <w:t xml:space="preserve">the </w:t>
      </w:r>
      <w:r w:rsidRPr="00962CE5">
        <w:rPr>
          <w:sz w:val="18"/>
          <w:szCs w:val="18"/>
          <w:lang w:val="en-US"/>
        </w:rPr>
        <w:t xml:space="preserve">rule of </w:t>
      </w:r>
      <w:r>
        <w:rPr>
          <w:sz w:val="18"/>
          <w:szCs w:val="18"/>
          <w:lang w:val="en-US"/>
        </w:rPr>
        <w:t>law.</w:t>
      </w:r>
      <w:r w:rsidRPr="00962CE5">
        <w:rPr>
          <w:sz w:val="18"/>
          <w:szCs w:val="18"/>
          <w:lang w:val="en-US"/>
        </w:rPr>
        <w:t>”</w:t>
      </w:r>
      <w:r w:rsidRPr="00DB55CD">
        <w:rPr>
          <w:rStyle w:val="FootnoteReference"/>
          <w:sz w:val="18"/>
          <w:szCs w:val="18"/>
        </w:rPr>
        <w:footnoteReference w:id="41"/>
      </w:r>
    </w:p>
    <w:p w14:paraId="5B130FCD" w14:textId="77777777" w:rsidR="00E6692A" w:rsidRPr="00962CE5" w:rsidRDefault="00E6692A" w:rsidP="00E6692A">
      <w:pPr>
        <w:pStyle w:val="parrafos"/>
        <w:numPr>
          <w:ilvl w:val="0"/>
          <w:numId w:val="0"/>
        </w:numPr>
        <w:ind w:right="357"/>
        <w:rPr>
          <w:sz w:val="18"/>
          <w:szCs w:val="18"/>
          <w:lang w:val="en-US"/>
        </w:rPr>
      </w:pPr>
    </w:p>
    <w:p w14:paraId="0552210A" w14:textId="77777777" w:rsidR="00E6692A" w:rsidRPr="00962CE5" w:rsidRDefault="00E6692A" w:rsidP="00E6692A">
      <w:pPr>
        <w:pStyle w:val="Heading2"/>
        <w:rPr>
          <w:lang w:val="en-US"/>
        </w:rPr>
      </w:pPr>
      <w:bookmarkStart w:id="19" w:name="_Toc65248165"/>
      <w:bookmarkStart w:id="20" w:name="_Toc69410063"/>
      <w:r w:rsidRPr="00D848A4">
        <w:rPr>
          <w:lang w:val="en-US"/>
        </w:rPr>
        <w:t xml:space="preserve">F.  </w:t>
      </w:r>
      <w:r>
        <w:rPr>
          <w:lang w:val="en-US"/>
        </w:rPr>
        <w:t>Purported</w:t>
      </w:r>
      <w:r w:rsidRPr="00962CE5">
        <w:rPr>
          <w:lang w:val="en-US"/>
        </w:rPr>
        <w:t xml:space="preserve"> harassment and threats against the alleged victims</w:t>
      </w:r>
      <w:bookmarkEnd w:id="19"/>
      <w:bookmarkEnd w:id="20"/>
      <w:r w:rsidRPr="00962CE5">
        <w:rPr>
          <w:lang w:val="en-US"/>
        </w:rPr>
        <w:t xml:space="preserve"> </w:t>
      </w:r>
    </w:p>
    <w:p w14:paraId="3ACA2FE2" w14:textId="77777777" w:rsidR="00E6692A" w:rsidRPr="00962CE5" w:rsidRDefault="00E6692A" w:rsidP="00E6692A">
      <w:pPr>
        <w:pStyle w:val="parrafos"/>
        <w:numPr>
          <w:ilvl w:val="0"/>
          <w:numId w:val="0"/>
        </w:numPr>
        <w:ind w:right="357"/>
        <w:rPr>
          <w:b/>
          <w:bCs/>
          <w:lang w:val="en-US"/>
        </w:rPr>
      </w:pPr>
    </w:p>
    <w:p w14:paraId="799BD43A" w14:textId="77777777" w:rsidR="00E6692A" w:rsidRPr="00E0470E" w:rsidRDefault="00E6692A" w:rsidP="00E6692A">
      <w:pPr>
        <w:pStyle w:val="parrafos"/>
        <w:numPr>
          <w:ilvl w:val="0"/>
          <w:numId w:val="0"/>
        </w:numPr>
        <w:rPr>
          <w:lang w:val="en-US"/>
        </w:rPr>
      </w:pPr>
      <w:r w:rsidRPr="00D269B5">
        <w:rPr>
          <w:lang w:val="en-US"/>
        </w:rPr>
        <w:t>46. In December 2012, Justice Gutiérrez Navas reported that he had received a death threat by telephone after he appeared on a television program. He stated: “They called and told me that i</w:t>
      </w:r>
      <w:r>
        <w:rPr>
          <w:lang w:val="en-US"/>
        </w:rPr>
        <w:t>f</w:t>
      </w:r>
      <w:r w:rsidRPr="00D269B5">
        <w:rPr>
          <w:lang w:val="en-US"/>
        </w:rPr>
        <w:t xml:space="preserve"> I continued </w:t>
      </w:r>
      <w:r>
        <w:rPr>
          <w:lang w:val="en-US"/>
        </w:rPr>
        <w:t xml:space="preserve">down that path, </w:t>
      </w:r>
      <w:r>
        <w:rPr>
          <w:lang w:val="en-US"/>
        </w:rPr>
        <w:lastRenderedPageBreak/>
        <w:t>my life would be in danger.</w:t>
      </w:r>
      <w:r w:rsidRPr="00D269B5">
        <w:rPr>
          <w:lang w:val="en-US"/>
        </w:rPr>
        <w:t>”</w:t>
      </w:r>
      <w:r w:rsidRPr="00DB55CD">
        <w:rPr>
          <w:rStyle w:val="FootnoteReference"/>
        </w:rPr>
        <w:footnoteReference w:id="42"/>
      </w:r>
      <w:r w:rsidRPr="00D269B5">
        <w:rPr>
          <w:lang w:val="en-US"/>
        </w:rPr>
        <w:t xml:space="preserve"> </w:t>
      </w:r>
      <w:r>
        <w:rPr>
          <w:lang w:val="en-US"/>
        </w:rPr>
        <w:t>Due to t</w:t>
      </w:r>
      <w:r w:rsidRPr="00E0470E">
        <w:rPr>
          <w:lang w:val="en-US"/>
        </w:rPr>
        <w:t>he fear of suffering an attack on his life and integrity and on that of his family, the alleged victim left the country fo</w:t>
      </w:r>
      <w:r>
        <w:rPr>
          <w:lang w:val="en-US"/>
        </w:rPr>
        <w:t>r a time and sought political asylum in Spain.</w:t>
      </w:r>
      <w:r w:rsidRPr="00DB55CD">
        <w:rPr>
          <w:rStyle w:val="FootnoteReference"/>
        </w:rPr>
        <w:footnoteReference w:id="43"/>
      </w:r>
    </w:p>
    <w:p w14:paraId="6A29C12F" w14:textId="77777777" w:rsidR="00E6692A" w:rsidRPr="00E0470E" w:rsidRDefault="00E6692A" w:rsidP="00E6692A">
      <w:pPr>
        <w:pStyle w:val="parrafos"/>
        <w:numPr>
          <w:ilvl w:val="0"/>
          <w:numId w:val="0"/>
        </w:numPr>
        <w:rPr>
          <w:lang w:val="en-US"/>
        </w:rPr>
      </w:pPr>
    </w:p>
    <w:p w14:paraId="5EE51BB0" w14:textId="77777777" w:rsidR="00E6692A" w:rsidRPr="00BE21E2" w:rsidRDefault="00E6692A" w:rsidP="00E6692A">
      <w:pPr>
        <w:pStyle w:val="parrafos"/>
        <w:numPr>
          <w:ilvl w:val="0"/>
          <w:numId w:val="0"/>
        </w:numPr>
        <w:rPr>
          <w:lang w:val="en-US"/>
        </w:rPr>
      </w:pPr>
      <w:r w:rsidRPr="00B32D5C">
        <w:rPr>
          <w:lang w:val="en-US"/>
        </w:rPr>
        <w:t>47. On October 13, 2014, while the alleged victim was working as a university professor, he received an anonymous package that contained a keepsake from the end of the novena held for the death of his father, whic</w:t>
      </w:r>
      <w:r>
        <w:rPr>
          <w:lang w:val="en-US"/>
        </w:rPr>
        <w:t xml:space="preserve">h had taken place in </w:t>
      </w:r>
      <w:r w:rsidRPr="00B32D5C">
        <w:rPr>
          <w:lang w:val="en-US"/>
        </w:rPr>
        <w:t xml:space="preserve">2012. </w:t>
      </w:r>
      <w:r w:rsidRPr="00BE21E2">
        <w:rPr>
          <w:lang w:val="en-US"/>
        </w:rPr>
        <w:t>Mr. Gutiérrez Navas reported the incidents to the Committee of Relatives of the Detained</w:t>
      </w:r>
      <w:r>
        <w:rPr>
          <w:lang w:val="en-US"/>
        </w:rPr>
        <w:t>–Disappeared in</w:t>
      </w:r>
      <w:r w:rsidRPr="00BE21E2">
        <w:rPr>
          <w:lang w:val="en-US"/>
        </w:rPr>
        <w:t xml:space="preserve"> Honduras</w:t>
      </w:r>
      <w:r>
        <w:rPr>
          <w:lang w:val="en-US"/>
        </w:rPr>
        <w:t>.</w:t>
      </w:r>
      <w:r w:rsidRPr="00DB55CD">
        <w:rPr>
          <w:rStyle w:val="FootnoteReference"/>
        </w:rPr>
        <w:footnoteReference w:id="44"/>
      </w:r>
      <w:r w:rsidRPr="00BE21E2">
        <w:rPr>
          <w:lang w:val="en-US"/>
        </w:rPr>
        <w:t xml:space="preserve"> </w:t>
      </w:r>
    </w:p>
    <w:p w14:paraId="16641332" w14:textId="77777777" w:rsidR="00E6692A" w:rsidRPr="00BE21E2" w:rsidRDefault="00E6692A" w:rsidP="00E6692A">
      <w:pPr>
        <w:pStyle w:val="ListParagraph"/>
        <w:rPr>
          <w:lang w:val="en-US"/>
        </w:rPr>
      </w:pPr>
    </w:p>
    <w:p w14:paraId="184119FE" w14:textId="77777777" w:rsidR="00E6692A" w:rsidRPr="00044F8C" w:rsidRDefault="00E6692A" w:rsidP="00E6692A">
      <w:pPr>
        <w:pStyle w:val="parrafos"/>
        <w:numPr>
          <w:ilvl w:val="0"/>
          <w:numId w:val="0"/>
        </w:numPr>
        <w:rPr>
          <w:lang w:val="en-US"/>
        </w:rPr>
      </w:pPr>
      <w:r w:rsidRPr="00CF15EC">
        <w:rPr>
          <w:lang w:val="en-US"/>
        </w:rPr>
        <w:t xml:space="preserve">48. On February 21, 2013, one of Justice Cruz Sequeira’s daughters was </w:t>
      </w:r>
      <w:r>
        <w:rPr>
          <w:lang w:val="en-US"/>
        </w:rPr>
        <w:t>the target of</w:t>
      </w:r>
      <w:r w:rsidRPr="00CF15EC">
        <w:rPr>
          <w:lang w:val="en-US"/>
        </w:rPr>
        <w:t xml:space="preserve"> a car chase, and later the home </w:t>
      </w:r>
      <w:r>
        <w:rPr>
          <w:lang w:val="en-US"/>
        </w:rPr>
        <w:t xml:space="preserve">of the </w:t>
      </w:r>
      <w:r w:rsidRPr="00CF15EC">
        <w:rPr>
          <w:lang w:val="en-US"/>
        </w:rPr>
        <w:t xml:space="preserve">alleged victim’s </w:t>
      </w:r>
      <w:r>
        <w:rPr>
          <w:lang w:val="en-US"/>
        </w:rPr>
        <w:t xml:space="preserve">family </w:t>
      </w:r>
      <w:r w:rsidRPr="00CF15EC">
        <w:rPr>
          <w:lang w:val="en-US"/>
        </w:rPr>
        <w:t xml:space="preserve">was surveilled at night by unidentified subjects </w:t>
      </w:r>
      <w:r>
        <w:rPr>
          <w:lang w:val="en-US"/>
        </w:rPr>
        <w:t xml:space="preserve">in a dark vehicle. </w:t>
      </w:r>
      <w:r w:rsidRPr="00044F8C">
        <w:rPr>
          <w:lang w:val="en-US"/>
        </w:rPr>
        <w:t xml:space="preserve">Mrs. Cruz Sequeira reported the incidents and requested security measures from the National Human Rights Commission, an agency that </w:t>
      </w:r>
      <w:r>
        <w:rPr>
          <w:lang w:val="en-US"/>
        </w:rPr>
        <w:t>for a time</w:t>
      </w:r>
      <w:r w:rsidRPr="00044F8C">
        <w:rPr>
          <w:lang w:val="en-US"/>
        </w:rPr>
        <w:t xml:space="preserve"> as</w:t>
      </w:r>
      <w:r>
        <w:rPr>
          <w:lang w:val="en-US"/>
        </w:rPr>
        <w:t>signed her</w:t>
      </w:r>
      <w:r w:rsidRPr="00044F8C">
        <w:rPr>
          <w:lang w:val="en-US"/>
        </w:rPr>
        <w:t xml:space="preserve"> a police officer for protection</w:t>
      </w:r>
      <w:r>
        <w:rPr>
          <w:lang w:val="en-US"/>
        </w:rPr>
        <w:t>.</w:t>
      </w:r>
      <w:r w:rsidRPr="00DB55CD">
        <w:rPr>
          <w:rStyle w:val="FootnoteReference"/>
        </w:rPr>
        <w:footnoteReference w:id="45"/>
      </w:r>
      <w:r w:rsidRPr="00044F8C">
        <w:rPr>
          <w:lang w:val="en-US"/>
        </w:rPr>
        <w:t xml:space="preserve">  </w:t>
      </w:r>
    </w:p>
    <w:p w14:paraId="148EDAED" w14:textId="77777777" w:rsidR="00E6692A" w:rsidRPr="00044F8C" w:rsidRDefault="00E6692A" w:rsidP="00E6692A">
      <w:pPr>
        <w:pStyle w:val="ListParagraph"/>
        <w:rPr>
          <w:lang w:val="en-US"/>
        </w:rPr>
      </w:pPr>
    </w:p>
    <w:p w14:paraId="47716BAC" w14:textId="77777777" w:rsidR="00E6692A" w:rsidRPr="00D370C0" w:rsidRDefault="00E6692A" w:rsidP="00E6692A">
      <w:pPr>
        <w:pStyle w:val="parrafos"/>
        <w:numPr>
          <w:ilvl w:val="0"/>
          <w:numId w:val="0"/>
        </w:numPr>
        <w:rPr>
          <w:lang w:val="en-US"/>
        </w:rPr>
      </w:pPr>
      <w:r w:rsidRPr="00D370C0">
        <w:rPr>
          <w:lang w:val="en-US"/>
        </w:rPr>
        <w:t xml:space="preserve">49. The petitioners alleged that the State authorities failed to </w:t>
      </w:r>
      <w:r>
        <w:rPr>
          <w:lang w:val="en-US"/>
        </w:rPr>
        <w:t xml:space="preserve">take any </w:t>
      </w:r>
      <w:r w:rsidRPr="00656553">
        <w:rPr>
          <w:lang w:val="en-US"/>
        </w:rPr>
        <w:t>steps to investigate or afford protection</w:t>
      </w:r>
      <w:r>
        <w:rPr>
          <w:lang w:val="en-US"/>
        </w:rPr>
        <w:t xml:space="preserve"> in response to the incidents that were reported.</w:t>
      </w:r>
      <w:r w:rsidRPr="00DB55CD">
        <w:rPr>
          <w:rStyle w:val="FootnoteReference"/>
        </w:rPr>
        <w:footnoteReference w:id="46"/>
      </w:r>
    </w:p>
    <w:p w14:paraId="653C7A73" w14:textId="77777777" w:rsidR="00E6692A" w:rsidRPr="00D370C0" w:rsidRDefault="00E6692A" w:rsidP="00E6692A">
      <w:pPr>
        <w:pStyle w:val="parrafos"/>
        <w:numPr>
          <w:ilvl w:val="0"/>
          <w:numId w:val="0"/>
        </w:numPr>
        <w:ind w:right="357"/>
        <w:rPr>
          <w:lang w:val="en-US"/>
        </w:rPr>
      </w:pPr>
    </w:p>
    <w:p w14:paraId="5C328D3B" w14:textId="1D7981E7" w:rsidR="00E6692A" w:rsidRPr="00DB55CD" w:rsidRDefault="00E6692A" w:rsidP="00E6692A">
      <w:pPr>
        <w:pStyle w:val="Heading1"/>
      </w:pPr>
      <w:bookmarkStart w:id="21" w:name="_Toc69410064"/>
      <w:r>
        <w:t>IV. ANALYSIS OF LAW</w:t>
      </w:r>
      <w:bookmarkEnd w:id="21"/>
    </w:p>
    <w:p w14:paraId="1A60E927" w14:textId="77777777" w:rsidR="00E6692A" w:rsidRPr="00E6692A" w:rsidRDefault="00E6692A" w:rsidP="00E6692A">
      <w:pPr>
        <w:rPr>
          <w:rFonts w:asciiTheme="majorHAnsi" w:hAnsiTheme="majorHAnsi"/>
          <w:sz w:val="20"/>
          <w:szCs w:val="20"/>
        </w:rPr>
      </w:pPr>
    </w:p>
    <w:p w14:paraId="12DD330B" w14:textId="77777777" w:rsidR="00E6692A" w:rsidRPr="00EB29A9" w:rsidRDefault="00E6692A" w:rsidP="00E6692A">
      <w:pPr>
        <w:pStyle w:val="Heading2"/>
        <w:rPr>
          <w:lang w:val="en-US"/>
        </w:rPr>
      </w:pPr>
      <w:bookmarkStart w:id="22" w:name="_Toc514247647"/>
      <w:bookmarkStart w:id="23" w:name="_Toc42786701"/>
      <w:bookmarkStart w:id="24" w:name="_Toc65248167"/>
      <w:bookmarkStart w:id="25" w:name="_Toc69410065"/>
      <w:r w:rsidRPr="00EB29A9">
        <w:rPr>
          <w:lang w:val="en-US"/>
        </w:rPr>
        <w:t xml:space="preserve">A. Right to </w:t>
      </w:r>
      <w:r>
        <w:rPr>
          <w:lang w:val="en-US"/>
        </w:rPr>
        <w:t>judicial guarantees</w:t>
      </w:r>
      <w:r w:rsidRPr="00EB29A9">
        <w:rPr>
          <w:lang w:val="en-US"/>
        </w:rPr>
        <w:t>, principle of legality, principle of judicial independence and judicial protection, and political rights</w:t>
      </w:r>
      <w:bookmarkStart w:id="26" w:name="_Toc505936567"/>
      <w:bookmarkEnd w:id="22"/>
      <w:bookmarkEnd w:id="23"/>
      <w:bookmarkEnd w:id="24"/>
      <w:bookmarkEnd w:id="25"/>
      <w:r w:rsidRPr="00EB29A9">
        <w:rPr>
          <w:lang w:val="en-US"/>
        </w:rPr>
        <w:t xml:space="preserve"> </w:t>
      </w:r>
    </w:p>
    <w:p w14:paraId="4AFBF779" w14:textId="77777777" w:rsidR="00E6692A" w:rsidRPr="00EB29A9" w:rsidRDefault="00E6692A" w:rsidP="00E6692A"/>
    <w:p w14:paraId="3F51CBED" w14:textId="77777777" w:rsidR="00E6692A" w:rsidRPr="00BB7BDC" w:rsidRDefault="00E6692A" w:rsidP="00E6692A">
      <w:pPr>
        <w:pStyle w:val="Heading3"/>
        <w:numPr>
          <w:ilvl w:val="0"/>
          <w:numId w:val="0"/>
        </w:numPr>
      </w:pPr>
      <w:bookmarkStart w:id="27" w:name="_Toc514247648"/>
      <w:bookmarkStart w:id="28" w:name="_Toc42786702"/>
      <w:bookmarkStart w:id="29" w:name="_Toc65248168"/>
      <w:bookmarkStart w:id="30" w:name="_Toc69410066"/>
      <w:r w:rsidRPr="00BB7BDC">
        <w:t xml:space="preserve">1. General considerations </w:t>
      </w:r>
      <w:r>
        <w:t>regarding</w:t>
      </w:r>
      <w:r w:rsidRPr="00BB7BDC">
        <w:t xml:space="preserve"> applicable guarantees</w:t>
      </w:r>
      <w:bookmarkEnd w:id="26"/>
      <w:bookmarkEnd w:id="27"/>
      <w:bookmarkEnd w:id="28"/>
      <w:bookmarkEnd w:id="29"/>
      <w:bookmarkEnd w:id="30"/>
      <w:r w:rsidRPr="00BB7BDC">
        <w:t xml:space="preserve">  </w:t>
      </w:r>
    </w:p>
    <w:p w14:paraId="40091D50" w14:textId="77777777" w:rsidR="00E6692A" w:rsidRPr="00BB7BDC" w:rsidRDefault="00E6692A" w:rsidP="00E6692A">
      <w:pPr>
        <w:tabs>
          <w:tab w:val="left" w:pos="720"/>
          <w:tab w:val="left" w:pos="1440"/>
        </w:tabs>
        <w:jc w:val="both"/>
        <w:rPr>
          <w:rFonts w:asciiTheme="majorHAnsi" w:hAnsiTheme="majorHAnsi"/>
          <w:sz w:val="20"/>
          <w:szCs w:val="20"/>
          <w:lang w:eastAsia="es-ES"/>
        </w:rPr>
      </w:pPr>
    </w:p>
    <w:p w14:paraId="38B65437" w14:textId="77777777" w:rsidR="00E6692A" w:rsidRPr="00E87F38" w:rsidRDefault="00E6692A" w:rsidP="00E6692A">
      <w:pPr>
        <w:pStyle w:val="parrafos"/>
        <w:numPr>
          <w:ilvl w:val="0"/>
          <w:numId w:val="0"/>
        </w:numPr>
        <w:rPr>
          <w:lang w:val="en-US"/>
        </w:rPr>
      </w:pPr>
      <w:r w:rsidRPr="007910BB">
        <w:rPr>
          <w:lang w:val="en-US"/>
        </w:rPr>
        <w:t xml:space="preserve">50. The Commission </w:t>
      </w:r>
      <w:r>
        <w:rPr>
          <w:lang w:val="en-US"/>
        </w:rPr>
        <w:t>recalls</w:t>
      </w:r>
      <w:r w:rsidRPr="007910BB">
        <w:rPr>
          <w:lang w:val="en-US"/>
        </w:rPr>
        <w:t xml:space="preserve"> that both bodies of the inter-American</w:t>
      </w:r>
      <w:r>
        <w:rPr>
          <w:lang w:val="en-US"/>
        </w:rPr>
        <w:t xml:space="preserve"> </w:t>
      </w:r>
      <w:r w:rsidRPr="007910BB">
        <w:rPr>
          <w:lang w:val="en-US"/>
        </w:rPr>
        <w:t xml:space="preserve">system have indicated that the guarantees </w:t>
      </w:r>
      <w:r>
        <w:rPr>
          <w:lang w:val="en-US"/>
        </w:rPr>
        <w:t>set forth</w:t>
      </w:r>
      <w:r w:rsidRPr="007910BB">
        <w:rPr>
          <w:lang w:val="en-US"/>
        </w:rPr>
        <w:t xml:space="preserve"> in Article 8 o</w:t>
      </w:r>
      <w:r>
        <w:rPr>
          <w:lang w:val="en-US"/>
        </w:rPr>
        <w:t>f the American Convention are not confined to criminal proceedings but are applicable to other types of proceedings as well.</w:t>
      </w:r>
      <w:r w:rsidRPr="00DB55CD">
        <w:rPr>
          <w:vertAlign w:val="superscript"/>
        </w:rPr>
        <w:footnoteReference w:id="47"/>
      </w:r>
      <w:r w:rsidRPr="007910BB">
        <w:rPr>
          <w:lang w:val="en-US"/>
        </w:rPr>
        <w:t xml:space="preserve"> </w:t>
      </w:r>
      <w:r w:rsidRPr="000012EB">
        <w:rPr>
          <w:lang w:val="en-US"/>
        </w:rPr>
        <w:t>Specifically, both</w:t>
      </w:r>
      <w:r>
        <w:rPr>
          <w:lang w:val="en-US"/>
        </w:rPr>
        <w:t xml:space="preserve"> </w:t>
      </w:r>
      <w:r w:rsidRPr="000012EB">
        <w:rPr>
          <w:lang w:val="en-US"/>
        </w:rPr>
        <w:t xml:space="preserve">bodies have indicated that the guarantees for criminal proceedings apply </w:t>
      </w:r>
      <w:r>
        <w:rPr>
          <w:lang w:val="en-US"/>
        </w:rPr>
        <w:t>by analogy</w:t>
      </w:r>
      <w:r w:rsidRPr="004C7344">
        <w:rPr>
          <w:lang w:val="en-US"/>
        </w:rPr>
        <w:t xml:space="preserve"> </w:t>
      </w:r>
      <w:r>
        <w:rPr>
          <w:lang w:val="en-US"/>
        </w:rPr>
        <w:t xml:space="preserve">to sanctions proceedings, </w:t>
      </w:r>
      <w:r w:rsidRPr="000012EB">
        <w:rPr>
          <w:lang w:val="en-US"/>
        </w:rPr>
        <w:t>as</w:t>
      </w:r>
      <w:r>
        <w:rPr>
          <w:lang w:val="en-US"/>
        </w:rPr>
        <w:t xml:space="preserve"> </w:t>
      </w:r>
      <w:r w:rsidRPr="000012EB">
        <w:rPr>
          <w:lang w:val="en-US"/>
        </w:rPr>
        <w:t>the</w:t>
      </w:r>
      <w:r>
        <w:rPr>
          <w:lang w:val="en-US"/>
        </w:rPr>
        <w:t>se involve the</w:t>
      </w:r>
      <w:r w:rsidRPr="000012EB">
        <w:rPr>
          <w:lang w:val="en-US"/>
        </w:rPr>
        <w:t xml:space="preserve"> exercise of</w:t>
      </w:r>
      <w:r>
        <w:rPr>
          <w:lang w:val="en-US"/>
        </w:rPr>
        <w:t xml:space="preserve"> the State’s punitive power.</w:t>
      </w:r>
      <w:r w:rsidRPr="00DB55CD">
        <w:rPr>
          <w:vertAlign w:val="superscript"/>
        </w:rPr>
        <w:footnoteReference w:id="48"/>
      </w:r>
      <w:r w:rsidRPr="000012EB">
        <w:rPr>
          <w:lang w:val="en-US"/>
        </w:rPr>
        <w:t xml:space="preserve"> </w:t>
      </w:r>
      <w:r w:rsidRPr="00E87F38">
        <w:rPr>
          <w:lang w:val="en-US"/>
        </w:rPr>
        <w:t xml:space="preserve">Given that in the instant case the alleged victims were removed from office as justices of the Constitutional Chamber of the Supreme Court, the guarantees of due process and the principle of legality are applicable, in accordance with Articles 8(1), 8(2), and 9 of the American Convention. </w:t>
      </w:r>
    </w:p>
    <w:p w14:paraId="45C986C4" w14:textId="77777777" w:rsidR="00E6692A" w:rsidRPr="00E87F38" w:rsidRDefault="00E6692A" w:rsidP="00E6692A">
      <w:pPr>
        <w:pStyle w:val="parrafos"/>
        <w:numPr>
          <w:ilvl w:val="0"/>
          <w:numId w:val="0"/>
        </w:numPr>
        <w:rPr>
          <w:lang w:val="en-US"/>
        </w:rPr>
      </w:pPr>
    </w:p>
    <w:p w14:paraId="5F43DD4D" w14:textId="77777777" w:rsidR="00E6692A" w:rsidRPr="00372A7F" w:rsidRDefault="00E6692A" w:rsidP="00E6692A">
      <w:pPr>
        <w:pStyle w:val="parrafos"/>
        <w:numPr>
          <w:ilvl w:val="0"/>
          <w:numId w:val="0"/>
        </w:numPr>
        <w:rPr>
          <w:lang w:val="en-US"/>
        </w:rPr>
      </w:pPr>
      <w:r w:rsidRPr="0094176E">
        <w:rPr>
          <w:lang w:val="en-US" w:eastAsia="es-ES"/>
        </w:rPr>
        <w:t>51. In addition, the IACHR notes that disciplinary proceedings against justice operators must be exercised in a way that is compatible with</w:t>
      </w:r>
      <w:r>
        <w:rPr>
          <w:lang w:val="en-US" w:eastAsia="es-ES"/>
        </w:rPr>
        <w:t xml:space="preserve"> the principle of judicial independence. </w:t>
      </w:r>
      <w:r w:rsidRPr="005B0E0C">
        <w:rPr>
          <w:rFonts w:ascii="Cambria" w:hAnsi="Cambria"/>
          <w:lang w:val="en-US"/>
        </w:rPr>
        <w:t>Th</w:t>
      </w:r>
      <w:r>
        <w:rPr>
          <w:rFonts w:ascii="Cambria" w:hAnsi="Cambria"/>
          <w:lang w:val="en-US"/>
        </w:rPr>
        <w:t>is</w:t>
      </w:r>
      <w:r w:rsidRPr="005B0E0C">
        <w:rPr>
          <w:lang w:val="en-US" w:eastAsia="es-ES"/>
        </w:rPr>
        <w:t xml:space="preserve"> principle is</w:t>
      </w:r>
      <w:r w:rsidRPr="005B0E0C">
        <w:rPr>
          <w:rFonts w:ascii="Cambria" w:hAnsi="Cambria"/>
          <w:lang w:val="en-US"/>
        </w:rPr>
        <w:t xml:space="preserve"> an inherent requirement of a democratic system and a fundamental prerequisite for the protection of human ri</w:t>
      </w:r>
      <w:r>
        <w:rPr>
          <w:rFonts w:ascii="Cambria" w:hAnsi="Cambria"/>
          <w:lang w:val="en-US"/>
        </w:rPr>
        <w:t>ghts.</w:t>
      </w:r>
      <w:r w:rsidRPr="00DB55CD">
        <w:rPr>
          <w:rStyle w:val="FootnoteReference"/>
          <w:rFonts w:ascii="Cambria" w:hAnsi="Cambria"/>
          <w:lang w:val="es-CO"/>
        </w:rPr>
        <w:footnoteReference w:id="49"/>
      </w:r>
      <w:r w:rsidRPr="005B0E0C">
        <w:rPr>
          <w:rFonts w:ascii="Cambria" w:hAnsi="Cambria"/>
          <w:lang w:val="en-US"/>
        </w:rPr>
        <w:t xml:space="preserve"> </w:t>
      </w:r>
      <w:r w:rsidRPr="00A35BC1">
        <w:rPr>
          <w:rFonts w:ascii="Cambria" w:hAnsi="Cambria"/>
          <w:lang w:val="en-US"/>
        </w:rPr>
        <w:t>Th</w:t>
      </w:r>
      <w:r>
        <w:rPr>
          <w:rFonts w:ascii="Cambria" w:hAnsi="Cambria"/>
          <w:lang w:val="en-US"/>
        </w:rPr>
        <w:t>e principle</w:t>
      </w:r>
      <w:r w:rsidRPr="00132A08">
        <w:rPr>
          <w:lang w:val="en-US" w:eastAsia="es-ES"/>
        </w:rPr>
        <w:t xml:space="preserve"> </w:t>
      </w:r>
      <w:r w:rsidRPr="005B0E0C">
        <w:rPr>
          <w:lang w:val="en-US" w:eastAsia="es-ES"/>
        </w:rPr>
        <w:t xml:space="preserve">of </w:t>
      </w:r>
      <w:r w:rsidRPr="005B0E0C">
        <w:rPr>
          <w:lang w:val="en-US" w:eastAsia="es-ES"/>
        </w:rPr>
        <w:lastRenderedPageBreak/>
        <w:t>judicial independence</w:t>
      </w:r>
      <w:r w:rsidRPr="00A35BC1">
        <w:rPr>
          <w:rFonts w:ascii="Cambria" w:hAnsi="Cambria"/>
          <w:lang w:val="en-US"/>
        </w:rPr>
        <w:t xml:space="preserve"> is </w:t>
      </w:r>
      <w:r>
        <w:rPr>
          <w:rFonts w:ascii="Cambria" w:hAnsi="Cambria"/>
          <w:lang w:val="en-US"/>
        </w:rPr>
        <w:t>enshrined</w:t>
      </w:r>
      <w:r w:rsidRPr="00A35BC1">
        <w:rPr>
          <w:rFonts w:ascii="Cambria" w:hAnsi="Cambria"/>
          <w:lang w:val="en-US"/>
        </w:rPr>
        <w:t xml:space="preserve"> as one of the guarantees </w:t>
      </w:r>
      <w:r>
        <w:rPr>
          <w:rFonts w:ascii="Cambria" w:hAnsi="Cambria"/>
          <w:lang w:val="en-US"/>
        </w:rPr>
        <w:t xml:space="preserve">of </w:t>
      </w:r>
      <w:r w:rsidRPr="00A35BC1">
        <w:rPr>
          <w:rFonts w:ascii="Cambria" w:hAnsi="Cambria"/>
          <w:lang w:val="en-US"/>
        </w:rPr>
        <w:t xml:space="preserve">due process </w:t>
      </w:r>
      <w:r>
        <w:rPr>
          <w:rFonts w:ascii="Cambria" w:hAnsi="Cambria"/>
          <w:lang w:val="en-US"/>
        </w:rPr>
        <w:t xml:space="preserve">of law </w:t>
      </w:r>
      <w:r w:rsidRPr="00A35BC1">
        <w:rPr>
          <w:rFonts w:ascii="Cambria" w:hAnsi="Cambria"/>
          <w:lang w:val="en-US"/>
        </w:rPr>
        <w:t>protected by Article 8(1)</w:t>
      </w:r>
      <w:r>
        <w:rPr>
          <w:rFonts w:ascii="Cambria" w:hAnsi="Cambria"/>
          <w:lang w:val="en-US"/>
        </w:rPr>
        <w:t xml:space="preserve"> </w:t>
      </w:r>
      <w:r w:rsidRPr="00A35BC1">
        <w:rPr>
          <w:rFonts w:ascii="Cambria" w:hAnsi="Cambria"/>
          <w:lang w:val="en-US"/>
        </w:rPr>
        <w:t xml:space="preserve">of the American Convention and, moreover, </w:t>
      </w:r>
      <w:r>
        <w:rPr>
          <w:rFonts w:ascii="Cambria" w:hAnsi="Cambria"/>
          <w:lang w:val="en-US"/>
        </w:rPr>
        <w:t xml:space="preserve">this principle gives rise to </w:t>
      </w:r>
      <w:r w:rsidRPr="00A35BC1">
        <w:rPr>
          <w:rFonts w:ascii="Cambria" w:hAnsi="Cambria"/>
          <w:lang w:val="en-US"/>
        </w:rPr>
        <w:t>“reinforced”</w:t>
      </w:r>
      <w:r w:rsidRPr="00DB55CD">
        <w:rPr>
          <w:rStyle w:val="FootnoteReference"/>
          <w:rFonts w:ascii="Cambria" w:hAnsi="Cambria"/>
          <w:lang w:val="es-CO"/>
        </w:rPr>
        <w:footnoteReference w:id="50"/>
      </w:r>
      <w:r w:rsidRPr="00A35BC1">
        <w:rPr>
          <w:rFonts w:ascii="Cambria" w:hAnsi="Cambria"/>
          <w:lang w:val="en-US"/>
        </w:rPr>
        <w:t xml:space="preserve"> </w:t>
      </w:r>
      <w:r>
        <w:rPr>
          <w:rFonts w:ascii="Cambria" w:hAnsi="Cambria"/>
          <w:lang w:val="en-US"/>
        </w:rPr>
        <w:t>guarantees that States must provide judges in order to ensure their independence.</w:t>
      </w:r>
      <w:r w:rsidRPr="00DB55CD">
        <w:rPr>
          <w:rStyle w:val="FootnoteReference"/>
          <w:rFonts w:ascii="Cambria" w:hAnsi="Cambria"/>
          <w:lang w:val="es-CO"/>
        </w:rPr>
        <w:footnoteReference w:id="51"/>
      </w:r>
      <w:r w:rsidRPr="00A35BC1">
        <w:rPr>
          <w:rFonts w:ascii="Cambria" w:hAnsi="Cambria"/>
          <w:lang w:val="en-US"/>
        </w:rPr>
        <w:t xml:space="preserve"> </w:t>
      </w:r>
      <w:r w:rsidRPr="008048EA">
        <w:rPr>
          <w:rFonts w:ascii="Cambria" w:hAnsi="Cambria"/>
          <w:lang w:val="en-US"/>
        </w:rPr>
        <w:t xml:space="preserve">The bodies of the inter-American system have interpreted the principle of judicial independence in the sense of incorporating the following guarantees: an </w:t>
      </w:r>
      <w:r>
        <w:rPr>
          <w:rFonts w:ascii="Cambria" w:hAnsi="Cambria"/>
          <w:lang w:val="en-US"/>
        </w:rPr>
        <w:t>appropriate</w:t>
      </w:r>
      <w:r w:rsidRPr="008048EA">
        <w:rPr>
          <w:rFonts w:ascii="Cambria" w:hAnsi="Cambria"/>
          <w:lang w:val="en-US"/>
        </w:rPr>
        <w:t xml:space="preserve"> appointment process, tenure in the position, and the guarantee against external pressures.</w:t>
      </w:r>
      <w:r w:rsidRPr="00DB55CD">
        <w:rPr>
          <w:rStyle w:val="FootnoteReference"/>
          <w:rFonts w:ascii="Cambria" w:hAnsi="Cambria"/>
          <w:lang w:val="es-CO"/>
        </w:rPr>
        <w:footnoteReference w:id="52"/>
      </w:r>
      <w:r w:rsidRPr="008048EA">
        <w:rPr>
          <w:rFonts w:ascii="Cambria" w:hAnsi="Cambria"/>
          <w:lang w:val="en-US"/>
        </w:rPr>
        <w:t xml:space="preserve"> Specifically, as pertains to the instant case, the Court has indicated with respect to guaranteed tenure that “the scope of judicial independence results in the subjective right of judges to be dismissed exclusively for the reasons permitted, either by a proceeding that complies with judicial guarantees or because their mandate has terminated.</w:t>
      </w:r>
      <w:r w:rsidRPr="008048EA">
        <w:rPr>
          <w:rFonts w:ascii="Cambria" w:eastAsia="Times New Roman" w:hAnsi="Cambria"/>
          <w:lang w:val="en-US"/>
        </w:rPr>
        <w:t>”</w:t>
      </w:r>
      <w:r w:rsidRPr="00DB55CD">
        <w:rPr>
          <w:rStyle w:val="FootnoteReference"/>
          <w:rFonts w:ascii="Cambria" w:hAnsi="Cambria"/>
          <w:lang w:val="es-CO"/>
        </w:rPr>
        <w:footnoteReference w:id="53"/>
      </w:r>
      <w:r w:rsidRPr="008048EA">
        <w:rPr>
          <w:rFonts w:ascii="Cambria" w:eastAsia="Times New Roman" w:hAnsi="Cambria"/>
          <w:lang w:val="en-US"/>
        </w:rPr>
        <w:t xml:space="preserve"> </w:t>
      </w:r>
      <w:r w:rsidRPr="00372A7F">
        <w:rPr>
          <w:rFonts w:ascii="Cambria" w:eastAsia="Times New Roman" w:hAnsi="Cambria"/>
          <w:lang w:val="en-US"/>
        </w:rPr>
        <w:t>When judges’ tenure is arbitrarily impaired, “the right to judicial independence recognized in Article 8(1) of the American Convention is violated.”</w:t>
      </w:r>
      <w:r w:rsidRPr="00DB55CD">
        <w:rPr>
          <w:rStyle w:val="FootnoteReference"/>
          <w:rFonts w:ascii="Cambria" w:hAnsi="Cambria"/>
          <w:lang w:val="es-CO"/>
        </w:rPr>
        <w:footnoteReference w:id="54"/>
      </w:r>
      <w:r w:rsidRPr="00372A7F">
        <w:rPr>
          <w:rFonts w:ascii="Cambria" w:eastAsia="Times New Roman" w:hAnsi="Cambria"/>
          <w:lang w:val="en-US"/>
        </w:rPr>
        <w:t xml:space="preserve"> </w:t>
      </w:r>
    </w:p>
    <w:p w14:paraId="498DB37B" w14:textId="77777777" w:rsidR="00E6692A" w:rsidRPr="00372A7F" w:rsidRDefault="00E6692A" w:rsidP="00E669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eastAsia="es-ES"/>
        </w:rPr>
      </w:pPr>
    </w:p>
    <w:p w14:paraId="5C2B4DB9" w14:textId="77777777" w:rsidR="00E6692A" w:rsidRPr="00D848A4" w:rsidRDefault="00E6692A" w:rsidP="00E6692A">
      <w:pPr>
        <w:pStyle w:val="Heading3"/>
        <w:numPr>
          <w:ilvl w:val="0"/>
          <w:numId w:val="0"/>
        </w:numPr>
        <w:jc w:val="both"/>
        <w:rPr>
          <w:szCs w:val="20"/>
        </w:rPr>
      </w:pPr>
      <w:bookmarkStart w:id="31" w:name="_Toc65248169"/>
      <w:bookmarkStart w:id="32" w:name="_Toc69410067"/>
      <w:bookmarkStart w:id="33" w:name="_Toc514247649"/>
      <w:bookmarkStart w:id="34" w:name="_Toc42786703"/>
      <w:r w:rsidRPr="00D848A4">
        <w:rPr>
          <w:szCs w:val="20"/>
        </w:rPr>
        <w:t xml:space="preserve">2. </w:t>
      </w:r>
      <w:bookmarkEnd w:id="31"/>
      <w:r>
        <w:rPr>
          <w:szCs w:val="20"/>
        </w:rPr>
        <w:t>G</w:t>
      </w:r>
      <w:r w:rsidRPr="00D848A4">
        <w:rPr>
          <w:szCs w:val="20"/>
        </w:rPr>
        <w:t>uarantee of competence</w:t>
      </w:r>
      <w:bookmarkEnd w:id="32"/>
    </w:p>
    <w:p w14:paraId="04519C76" w14:textId="77777777" w:rsidR="00E6692A" w:rsidRPr="00D848A4" w:rsidRDefault="00E6692A" w:rsidP="00E6692A">
      <w:pPr>
        <w:pStyle w:val="Heading3"/>
        <w:numPr>
          <w:ilvl w:val="0"/>
          <w:numId w:val="0"/>
        </w:numPr>
        <w:jc w:val="both"/>
        <w:rPr>
          <w:szCs w:val="20"/>
        </w:rPr>
      </w:pPr>
    </w:p>
    <w:p w14:paraId="49EBFDB5" w14:textId="77777777" w:rsidR="00E6692A" w:rsidRPr="00452729" w:rsidRDefault="00E6692A" w:rsidP="00E6692A">
      <w:pPr>
        <w:pStyle w:val="parrafos"/>
        <w:numPr>
          <w:ilvl w:val="0"/>
          <w:numId w:val="0"/>
        </w:numPr>
        <w:rPr>
          <w:lang w:val="en-US"/>
        </w:rPr>
      </w:pPr>
      <w:r w:rsidRPr="009D4935">
        <w:rPr>
          <w:lang w:val="en-US"/>
        </w:rPr>
        <w:t>52. Under Article 8(1) of the Convention, decisions affecting the rights of persons must be adopted by a competent authority, in accordance with domestic law.</w:t>
      </w:r>
      <w:r w:rsidRPr="00DB55CD">
        <w:rPr>
          <w:rStyle w:val="FootnoteReference"/>
        </w:rPr>
        <w:footnoteReference w:id="55"/>
      </w:r>
      <w:r w:rsidRPr="009D4935">
        <w:rPr>
          <w:lang w:val="en-US"/>
        </w:rPr>
        <w:t xml:space="preserve"> </w:t>
      </w:r>
      <w:r w:rsidRPr="000525C3">
        <w:rPr>
          <w:rFonts w:eastAsia="MS Mincho"/>
          <w:bCs/>
          <w:color w:val="auto"/>
          <w:bdr w:val="none" w:sz="0" w:space="0" w:color="auto"/>
          <w:lang w:val="en-US"/>
        </w:rPr>
        <w:t>Thus, “everyone shall have the right to be tried by ordinary courts or tribunals using establishe</w:t>
      </w:r>
      <w:r>
        <w:rPr>
          <w:rFonts w:eastAsia="MS Mincho"/>
          <w:bCs/>
          <w:color w:val="auto"/>
          <w:bdr w:val="none" w:sz="0" w:space="0" w:color="auto"/>
          <w:lang w:val="en-US"/>
        </w:rPr>
        <w:t xml:space="preserve">d legal procedures. </w:t>
      </w:r>
      <w:r w:rsidRPr="000525C3">
        <w:rPr>
          <w:rFonts w:eastAsia="MS Mincho"/>
          <w:bCs/>
          <w:color w:val="auto"/>
          <w:bdr w:val="none" w:sz="0" w:space="0" w:color="auto"/>
          <w:lang w:val="en-US"/>
        </w:rPr>
        <w:t>T</w:t>
      </w:r>
      <w:r w:rsidRPr="000525C3">
        <w:rPr>
          <w:rFonts w:eastAsia="MS Mincho"/>
          <w:color w:val="auto"/>
          <w:bdr w:val="none" w:sz="0" w:space="0" w:color="auto"/>
          <w:lang w:val="en-US"/>
        </w:rPr>
        <w:t>ribunals that do not use the duly established procedures of the legal process shall not be created to displace the jurisdiction belong</w:t>
      </w:r>
      <w:r>
        <w:rPr>
          <w:rFonts w:eastAsia="MS Mincho"/>
          <w:color w:val="auto"/>
          <w:bdr w:val="none" w:sz="0" w:space="0" w:color="auto"/>
          <w:lang w:val="en-US"/>
        </w:rPr>
        <w:t>ing to the ordinary courts or judicial tribunals.</w:t>
      </w:r>
      <w:r w:rsidRPr="000525C3">
        <w:rPr>
          <w:rFonts w:eastAsia="MS Mincho"/>
          <w:color w:val="auto"/>
          <w:bdr w:val="none" w:sz="0" w:space="0" w:color="auto"/>
          <w:lang w:val="en-US"/>
        </w:rPr>
        <w:t>”</w:t>
      </w:r>
      <w:r w:rsidRPr="00DB55CD">
        <w:rPr>
          <w:rFonts w:eastAsia="MS Mincho"/>
          <w:color w:val="auto"/>
          <w:bdr w:val="none" w:sz="0" w:space="0" w:color="auto"/>
          <w:vertAlign w:val="superscript"/>
          <w:lang w:val="es-UY"/>
        </w:rPr>
        <w:footnoteReference w:id="56"/>
      </w:r>
      <w:r w:rsidRPr="000525C3">
        <w:rPr>
          <w:rFonts w:eastAsia="MS Mincho"/>
          <w:color w:val="auto"/>
          <w:bdr w:val="none" w:sz="0" w:space="0" w:color="auto"/>
          <w:lang w:val="en-US"/>
        </w:rPr>
        <w:t xml:space="preserve"> </w:t>
      </w:r>
      <w:r>
        <w:rPr>
          <w:rFonts w:eastAsia="MS Mincho"/>
          <w:color w:val="auto"/>
          <w:bdr w:val="none" w:sz="0" w:space="0" w:color="auto"/>
          <w:lang w:val="en-US"/>
        </w:rPr>
        <w:t xml:space="preserve">The purpose of this is </w:t>
      </w:r>
      <w:r w:rsidRPr="00452729">
        <w:rPr>
          <w:rFonts w:eastAsia="MS Mincho"/>
          <w:color w:val="auto"/>
          <w:bdr w:val="none" w:sz="0" w:space="0" w:color="auto"/>
          <w:lang w:val="en-US"/>
        </w:rPr>
        <w:t xml:space="preserve">to </w:t>
      </w:r>
      <w:r>
        <w:rPr>
          <w:rFonts w:eastAsia="MS Mincho"/>
          <w:color w:val="auto"/>
          <w:bdr w:val="none" w:sz="0" w:space="0" w:color="auto"/>
          <w:lang w:val="en-US"/>
        </w:rPr>
        <w:t>prevent</w:t>
      </w:r>
      <w:r w:rsidRPr="00452729">
        <w:rPr>
          <w:rFonts w:eastAsia="MS Mincho"/>
          <w:color w:val="auto"/>
          <w:bdr w:val="none" w:sz="0" w:space="0" w:color="auto"/>
          <w:lang w:val="en-US"/>
        </w:rPr>
        <w:t xml:space="preserve"> </w:t>
      </w:r>
      <w:r>
        <w:rPr>
          <w:rFonts w:eastAsia="MS Mincho"/>
          <w:color w:val="auto"/>
          <w:bdr w:val="none" w:sz="0" w:space="0" w:color="auto"/>
          <w:lang w:val="en-US"/>
        </w:rPr>
        <w:t>individuals</w:t>
      </w:r>
      <w:r w:rsidRPr="00452729">
        <w:rPr>
          <w:rFonts w:eastAsia="MS Mincho"/>
          <w:color w:val="auto"/>
          <w:bdr w:val="none" w:sz="0" w:space="0" w:color="auto"/>
          <w:lang w:val="en-US"/>
        </w:rPr>
        <w:t xml:space="preserve"> </w:t>
      </w:r>
      <w:r>
        <w:rPr>
          <w:rFonts w:eastAsia="MS Mincho"/>
          <w:color w:val="auto"/>
          <w:bdr w:val="none" w:sz="0" w:space="0" w:color="auto"/>
          <w:lang w:val="en-US"/>
        </w:rPr>
        <w:t>from being</w:t>
      </w:r>
      <w:r w:rsidRPr="00452729">
        <w:rPr>
          <w:rFonts w:eastAsia="MS Mincho"/>
          <w:color w:val="auto"/>
          <w:bdr w:val="none" w:sz="0" w:space="0" w:color="auto"/>
          <w:lang w:val="en-US"/>
        </w:rPr>
        <w:t xml:space="preserve"> tried </w:t>
      </w:r>
      <w:r>
        <w:rPr>
          <w:rFonts w:eastAsia="MS Mincho"/>
          <w:color w:val="auto"/>
          <w:bdr w:val="none" w:sz="0" w:space="0" w:color="auto"/>
          <w:lang w:val="en-US"/>
        </w:rPr>
        <w:t>by special or ad hoc tribunals.</w:t>
      </w:r>
      <w:r w:rsidRPr="00DB55CD">
        <w:rPr>
          <w:rFonts w:eastAsia="MS Mincho"/>
          <w:color w:val="auto"/>
          <w:bdr w:val="none" w:sz="0" w:space="0" w:color="auto"/>
          <w:vertAlign w:val="superscript"/>
          <w:lang w:val="es-UY"/>
        </w:rPr>
        <w:footnoteReference w:id="57"/>
      </w:r>
    </w:p>
    <w:p w14:paraId="7D70F459" w14:textId="77777777" w:rsidR="00E6692A" w:rsidRPr="00452729" w:rsidRDefault="00E6692A" w:rsidP="00E6692A">
      <w:pPr>
        <w:pStyle w:val="parrafos"/>
        <w:numPr>
          <w:ilvl w:val="0"/>
          <w:numId w:val="0"/>
        </w:numPr>
        <w:rPr>
          <w:lang w:val="en-US"/>
        </w:rPr>
      </w:pPr>
    </w:p>
    <w:p w14:paraId="715AF43D" w14:textId="77777777" w:rsidR="00E6692A" w:rsidRPr="00D636CD" w:rsidRDefault="00E6692A" w:rsidP="00E6692A">
      <w:pPr>
        <w:pStyle w:val="parrafos"/>
        <w:numPr>
          <w:ilvl w:val="0"/>
          <w:numId w:val="0"/>
        </w:numPr>
        <w:rPr>
          <w:lang w:val="en-US"/>
        </w:rPr>
      </w:pPr>
      <w:r w:rsidRPr="00D636CD">
        <w:rPr>
          <w:lang w:val="en-US"/>
        </w:rPr>
        <w:t xml:space="preserve">53. In the case at hand, the Commission observes that when the </w:t>
      </w:r>
      <w:r>
        <w:rPr>
          <w:lang w:val="en-US"/>
        </w:rPr>
        <w:t>National</w:t>
      </w:r>
      <w:r w:rsidRPr="00D636CD">
        <w:rPr>
          <w:lang w:val="en-US"/>
        </w:rPr>
        <w:t xml:space="preserve"> Congress decided to </w:t>
      </w:r>
      <w:r>
        <w:rPr>
          <w:lang w:val="en-US"/>
        </w:rPr>
        <w:t>dismiss</w:t>
      </w:r>
      <w:r w:rsidRPr="00D636CD">
        <w:rPr>
          <w:lang w:val="en-US"/>
        </w:rPr>
        <w:t xml:space="preserve"> the four justices </w:t>
      </w:r>
      <w:r>
        <w:rPr>
          <w:lang w:val="en-US"/>
        </w:rPr>
        <w:t xml:space="preserve">of the </w:t>
      </w:r>
      <w:r w:rsidRPr="00D636CD">
        <w:rPr>
          <w:lang w:val="en-US"/>
        </w:rPr>
        <w:t xml:space="preserve">Constitutional </w:t>
      </w:r>
      <w:r>
        <w:rPr>
          <w:lang w:val="en-US"/>
        </w:rPr>
        <w:t>Chamber</w:t>
      </w:r>
      <w:r w:rsidRPr="00D636CD">
        <w:rPr>
          <w:lang w:val="en-US"/>
        </w:rPr>
        <w:t xml:space="preserve">, Honduras did not have any legal or constitutional provisions </w:t>
      </w:r>
      <w:r>
        <w:rPr>
          <w:lang w:val="en-US"/>
        </w:rPr>
        <w:t xml:space="preserve">in place </w:t>
      </w:r>
      <w:r w:rsidRPr="00D636CD">
        <w:rPr>
          <w:lang w:val="en-US"/>
        </w:rPr>
        <w:t xml:space="preserve">to regulate </w:t>
      </w:r>
      <w:r>
        <w:rPr>
          <w:lang w:val="en-US"/>
        </w:rPr>
        <w:t>disciplinary proceedings</w:t>
      </w:r>
      <w:r w:rsidRPr="00D636CD">
        <w:rPr>
          <w:lang w:val="en-US"/>
        </w:rPr>
        <w:t xml:space="preserve"> </w:t>
      </w:r>
      <w:r>
        <w:rPr>
          <w:lang w:val="en-US"/>
        </w:rPr>
        <w:t>against</w:t>
      </w:r>
      <w:r w:rsidRPr="00D636CD">
        <w:rPr>
          <w:lang w:val="en-US"/>
        </w:rPr>
        <w:t xml:space="preserve"> justices of the Supreme Court. </w:t>
      </w:r>
      <w:r>
        <w:rPr>
          <w:lang w:val="en-US"/>
        </w:rPr>
        <w:t>Nor is it evident from the constitutional framework that the Congress had jurisdiction to remove the members of the highest court through any type of summary proceeding</w:t>
      </w:r>
      <w:r w:rsidRPr="00D636CD">
        <w:rPr>
          <w:lang w:val="en-US"/>
        </w:rPr>
        <w:t xml:space="preserve">. </w:t>
      </w:r>
    </w:p>
    <w:p w14:paraId="4958B661" w14:textId="77777777" w:rsidR="00E6692A" w:rsidRPr="00D636CD" w:rsidRDefault="00E6692A" w:rsidP="00E6692A">
      <w:pPr>
        <w:pStyle w:val="ListParagraph"/>
        <w:rPr>
          <w:lang w:val="en-US"/>
        </w:rPr>
      </w:pPr>
    </w:p>
    <w:p w14:paraId="6B598891" w14:textId="77777777" w:rsidR="00E6692A" w:rsidRPr="001164D3" w:rsidRDefault="00E6692A" w:rsidP="00E6692A">
      <w:pPr>
        <w:pStyle w:val="parrafos"/>
        <w:numPr>
          <w:ilvl w:val="0"/>
          <w:numId w:val="0"/>
        </w:numPr>
        <w:rPr>
          <w:lang w:val="en-US"/>
        </w:rPr>
      </w:pPr>
      <w:r w:rsidRPr="00A60025">
        <w:rPr>
          <w:lang w:val="en-US"/>
        </w:rPr>
        <w:t xml:space="preserve">54. </w:t>
      </w:r>
      <w:r>
        <w:rPr>
          <w:lang w:val="en-US"/>
        </w:rPr>
        <w:t>The Commission notes</w:t>
      </w:r>
      <w:r w:rsidRPr="00A60025">
        <w:rPr>
          <w:lang w:val="en-US"/>
        </w:rPr>
        <w:t xml:space="preserve"> that the provisions contained in Article 205, paragraphs 20 and 21, of the Constitution, which determine that the National Congress has the power to “approve or disapprove the administrative conduct…of the judicial branch” and to “appoint special committees to investigate matters of national </w:t>
      </w:r>
      <w:r w:rsidRPr="00191D78">
        <w:rPr>
          <w:lang w:val="en-US"/>
        </w:rPr>
        <w:t>interest,” do not comply with the terms established for regular disciplinary proceedings, previously established by law, pursued against justices of the Supreme Court. Moreover, the reference to “administrative conduct” does not imply that the National Congress has competence to judge justices based on their decisions. Consequently, these cannot serve as the justification</w:t>
      </w:r>
      <w:r w:rsidRPr="000D029A">
        <w:rPr>
          <w:lang w:val="en-US"/>
        </w:rPr>
        <w:t xml:space="preserve"> or basis for the summary decisions to remove justices who were properly appointed to their positions. </w:t>
      </w:r>
    </w:p>
    <w:p w14:paraId="64D92101" w14:textId="77777777" w:rsidR="00E6692A" w:rsidRPr="000D029A" w:rsidRDefault="00E6692A" w:rsidP="00E6692A">
      <w:pPr>
        <w:pStyle w:val="ListParagraph"/>
        <w:rPr>
          <w:lang w:val="en-US"/>
        </w:rPr>
      </w:pPr>
    </w:p>
    <w:p w14:paraId="78D406CA" w14:textId="77777777" w:rsidR="00E6692A" w:rsidRDefault="00E6692A" w:rsidP="00E6692A">
      <w:pPr>
        <w:pStyle w:val="parrafos"/>
        <w:numPr>
          <w:ilvl w:val="0"/>
          <w:numId w:val="0"/>
        </w:numPr>
        <w:rPr>
          <w:lang w:val="en-US"/>
        </w:rPr>
      </w:pPr>
      <w:r w:rsidRPr="00D848A4">
        <w:rPr>
          <w:lang w:val="en-US"/>
        </w:rPr>
        <w:t xml:space="preserve">55. In this regard, the Commission considers that the legal framework in existence at that time lacked provisions that would govern the </w:t>
      </w:r>
      <w:r>
        <w:rPr>
          <w:lang w:val="en-US"/>
        </w:rPr>
        <w:t>jurisdiction</w:t>
      </w:r>
      <w:r w:rsidRPr="00D848A4">
        <w:rPr>
          <w:lang w:val="en-US"/>
        </w:rPr>
        <w:t xml:space="preserve"> of an authority and the </w:t>
      </w:r>
      <w:r>
        <w:rPr>
          <w:lang w:val="en-US"/>
        </w:rPr>
        <w:t>sanctions</w:t>
      </w:r>
      <w:r w:rsidRPr="00D848A4">
        <w:rPr>
          <w:lang w:val="en-US"/>
        </w:rPr>
        <w:t xml:space="preserve"> </w:t>
      </w:r>
      <w:r>
        <w:rPr>
          <w:lang w:val="en-US"/>
        </w:rPr>
        <w:t>proceedings</w:t>
      </w:r>
      <w:r w:rsidRPr="001164D3">
        <w:rPr>
          <w:lang w:val="en-US"/>
        </w:rPr>
        <w:t xml:space="preserve"> </w:t>
      </w:r>
      <w:r w:rsidRPr="00D848A4">
        <w:rPr>
          <w:lang w:val="en-US"/>
        </w:rPr>
        <w:t xml:space="preserve">of a political nature </w:t>
      </w:r>
      <w:r w:rsidRPr="00D848A4">
        <w:rPr>
          <w:lang w:val="en-US"/>
        </w:rPr>
        <w:lastRenderedPageBreak/>
        <w:t>to which the four justices of the Con</w:t>
      </w:r>
      <w:r>
        <w:rPr>
          <w:lang w:val="en-US"/>
        </w:rPr>
        <w:t xml:space="preserve">stitutional Chamber were subjected. </w:t>
      </w:r>
      <w:r w:rsidRPr="00D848A4">
        <w:rPr>
          <w:lang w:val="en-US"/>
        </w:rPr>
        <w:t xml:space="preserve">The text of the Constitution granted </w:t>
      </w:r>
      <w:r>
        <w:rPr>
          <w:lang w:val="en-US"/>
        </w:rPr>
        <w:t xml:space="preserve">the Honduran </w:t>
      </w:r>
      <w:r w:rsidRPr="00D848A4">
        <w:rPr>
          <w:lang w:val="en-US"/>
        </w:rPr>
        <w:t xml:space="preserve">Congress competence to elect Supreme Court justices and to approve or disapprove of their administrative conduct but did not grant </w:t>
      </w:r>
      <w:r>
        <w:rPr>
          <w:lang w:val="en-US"/>
        </w:rPr>
        <w:t>the Congress</w:t>
      </w:r>
      <w:r w:rsidRPr="00D848A4">
        <w:rPr>
          <w:lang w:val="en-US"/>
        </w:rPr>
        <w:t xml:space="preserve"> competence to </w:t>
      </w:r>
      <w:r>
        <w:rPr>
          <w:lang w:val="en-US"/>
        </w:rPr>
        <w:t>remove them from office or to establish itself as the deciding body in an impeachment proceeding against them</w:t>
      </w:r>
      <w:r w:rsidRPr="00D848A4">
        <w:rPr>
          <w:bdr w:val="none" w:sz="0" w:space="0" w:color="auto"/>
          <w:lang w:val="en-US"/>
        </w:rPr>
        <w:t>. In other words, as the Congress was not a competent authority to decide on the alleged victims</w:t>
      </w:r>
      <w:r>
        <w:rPr>
          <w:bdr w:val="none" w:sz="0" w:space="0" w:color="auto"/>
          <w:lang w:val="en-US"/>
        </w:rPr>
        <w:t>’</w:t>
      </w:r>
      <w:r w:rsidRPr="00D848A4">
        <w:rPr>
          <w:bdr w:val="none" w:sz="0" w:space="0" w:color="auto"/>
          <w:lang w:val="en-US"/>
        </w:rPr>
        <w:t xml:space="preserve"> dismissal</w:t>
      </w:r>
      <w:r w:rsidRPr="000A2F23">
        <w:rPr>
          <w:bdr w:val="none" w:sz="0" w:space="0" w:color="auto"/>
          <w:lang w:val="en-US"/>
        </w:rPr>
        <w:t xml:space="preserve">, </w:t>
      </w:r>
      <w:r>
        <w:rPr>
          <w:bdr w:val="none" w:sz="0" w:space="0" w:color="auto"/>
          <w:lang w:val="en-US"/>
        </w:rPr>
        <w:t>in effect</w:t>
      </w:r>
      <w:r w:rsidRPr="000A2F23">
        <w:rPr>
          <w:bdr w:val="none" w:sz="0" w:space="0" w:color="auto"/>
          <w:lang w:val="en-US"/>
        </w:rPr>
        <w:t xml:space="preserve"> it</w:t>
      </w:r>
      <w:r w:rsidRPr="00D848A4">
        <w:rPr>
          <w:bdr w:val="none" w:sz="0" w:space="0" w:color="auto"/>
          <w:lang w:val="en-US"/>
        </w:rPr>
        <w:t xml:space="preserve"> created an ad hoc mechanism used to </w:t>
      </w:r>
      <w:r>
        <w:rPr>
          <w:bdr w:val="none" w:sz="0" w:space="0" w:color="auto"/>
          <w:lang w:val="en-US"/>
        </w:rPr>
        <w:t>remove</w:t>
      </w:r>
      <w:r w:rsidRPr="00D848A4">
        <w:rPr>
          <w:bdr w:val="none" w:sz="0" w:space="0" w:color="auto"/>
          <w:lang w:val="en-US"/>
        </w:rPr>
        <w:t xml:space="preserve"> th</w:t>
      </w:r>
      <w:r>
        <w:rPr>
          <w:bdr w:val="none" w:sz="0" w:space="0" w:color="auto"/>
          <w:lang w:val="en-US"/>
        </w:rPr>
        <w:t>em from office.</w:t>
      </w:r>
      <w:r>
        <w:rPr>
          <w:lang w:val="en-US"/>
        </w:rPr>
        <w:t xml:space="preserve"> </w:t>
      </w:r>
    </w:p>
    <w:p w14:paraId="79157501" w14:textId="77777777" w:rsidR="00E6692A" w:rsidRPr="00D848A4" w:rsidRDefault="00E6692A" w:rsidP="00E6692A">
      <w:pPr>
        <w:pStyle w:val="parrafos"/>
        <w:numPr>
          <w:ilvl w:val="0"/>
          <w:numId w:val="0"/>
        </w:numPr>
        <w:rPr>
          <w:lang w:val="en-US"/>
        </w:rPr>
      </w:pPr>
    </w:p>
    <w:p w14:paraId="4736B0DB" w14:textId="77777777" w:rsidR="00E6692A" w:rsidRPr="003F6A8B" w:rsidRDefault="00E6692A" w:rsidP="00E6692A">
      <w:pPr>
        <w:pStyle w:val="parrafos"/>
        <w:numPr>
          <w:ilvl w:val="0"/>
          <w:numId w:val="0"/>
        </w:numPr>
        <w:rPr>
          <w:lang w:val="en-US"/>
        </w:rPr>
      </w:pPr>
      <w:r w:rsidRPr="00836133">
        <w:rPr>
          <w:lang w:val="en-US"/>
        </w:rPr>
        <w:t xml:space="preserve">56. In addition, the Commission takes into account that only in January 2013 did the </w:t>
      </w:r>
      <w:r>
        <w:rPr>
          <w:lang w:val="en-US"/>
        </w:rPr>
        <w:t xml:space="preserve">Honduran </w:t>
      </w:r>
      <w:r w:rsidRPr="00836133">
        <w:rPr>
          <w:lang w:val="en-US"/>
        </w:rPr>
        <w:t xml:space="preserve">Congress </w:t>
      </w:r>
      <w:r>
        <w:rPr>
          <w:lang w:val="en-US"/>
        </w:rPr>
        <w:t>amend</w:t>
      </w:r>
      <w:r w:rsidRPr="00836133">
        <w:rPr>
          <w:lang w:val="en-US"/>
        </w:rPr>
        <w:t xml:space="preserve"> Article 234 of the Constitution</w:t>
      </w:r>
      <w:r>
        <w:rPr>
          <w:lang w:val="en-US"/>
        </w:rPr>
        <w:t xml:space="preserve"> to include</w:t>
      </w:r>
      <w:r w:rsidRPr="00836133">
        <w:rPr>
          <w:lang w:val="en-US"/>
        </w:rPr>
        <w:t xml:space="preserve"> Supreme Court</w:t>
      </w:r>
      <w:r>
        <w:rPr>
          <w:lang w:val="en-US"/>
        </w:rPr>
        <w:t xml:space="preserve"> </w:t>
      </w:r>
      <w:r w:rsidRPr="00836133">
        <w:rPr>
          <w:lang w:val="en-US"/>
        </w:rPr>
        <w:t xml:space="preserve">justices </w:t>
      </w:r>
      <w:r>
        <w:rPr>
          <w:lang w:val="en-US"/>
        </w:rPr>
        <w:t xml:space="preserve">on the list of authorities who could be investigated and prosecuted through an impeachment proceeding carried out by the Congress. </w:t>
      </w:r>
      <w:r w:rsidRPr="00836133">
        <w:rPr>
          <w:lang w:val="en-US"/>
        </w:rPr>
        <w:t xml:space="preserve">In this regard, the Special Impeachment Law was approved on April 5, 2013, </w:t>
      </w:r>
      <w:r>
        <w:rPr>
          <w:lang w:val="en-US"/>
        </w:rPr>
        <w:t xml:space="preserve">through Decree No. 51-2013, </w:t>
      </w:r>
      <w:r w:rsidRPr="00836133">
        <w:rPr>
          <w:lang w:val="en-US"/>
        </w:rPr>
        <w:t xml:space="preserve">and published in Official Gazette No. 33093 </w:t>
      </w:r>
      <w:r>
        <w:rPr>
          <w:lang w:val="en-US"/>
        </w:rPr>
        <w:t xml:space="preserve">of April </w:t>
      </w:r>
      <w:r w:rsidRPr="00836133">
        <w:rPr>
          <w:lang w:val="en-US"/>
        </w:rPr>
        <w:t>8</w:t>
      </w:r>
      <w:r>
        <w:rPr>
          <w:lang w:val="en-US"/>
        </w:rPr>
        <w:t xml:space="preserve">, </w:t>
      </w:r>
      <w:r w:rsidRPr="00836133">
        <w:rPr>
          <w:lang w:val="en-US"/>
        </w:rPr>
        <w:t xml:space="preserve">2013. </w:t>
      </w:r>
      <w:r w:rsidRPr="003F6A8B">
        <w:rPr>
          <w:lang w:val="en-US"/>
        </w:rPr>
        <w:t xml:space="preserve">That legal provision, which was adopted subsequent to the </w:t>
      </w:r>
      <w:r>
        <w:rPr>
          <w:lang w:val="en-US"/>
        </w:rPr>
        <w:t>events</w:t>
      </w:r>
      <w:r w:rsidRPr="003F6A8B">
        <w:rPr>
          <w:lang w:val="en-US"/>
        </w:rPr>
        <w:t xml:space="preserve"> that are the subject of this petition, establishes an impeachment proceeding against high</w:t>
      </w:r>
      <w:r>
        <w:rPr>
          <w:lang w:val="en-US"/>
        </w:rPr>
        <w:t xml:space="preserve">-level State authorities and regulates its various procedural stages. </w:t>
      </w:r>
    </w:p>
    <w:p w14:paraId="182BA764" w14:textId="77777777" w:rsidR="00E6692A" w:rsidRPr="003F6A8B" w:rsidRDefault="00E6692A" w:rsidP="00E6692A">
      <w:pPr>
        <w:pStyle w:val="ListParagraph"/>
        <w:rPr>
          <w:lang w:val="en-US"/>
        </w:rPr>
      </w:pPr>
    </w:p>
    <w:p w14:paraId="5DC15508" w14:textId="77777777" w:rsidR="00E6692A" w:rsidRPr="002310E4" w:rsidRDefault="00E6692A" w:rsidP="00E6692A">
      <w:pPr>
        <w:pStyle w:val="parrafos"/>
        <w:numPr>
          <w:ilvl w:val="0"/>
          <w:numId w:val="0"/>
        </w:numPr>
        <w:rPr>
          <w:lang w:val="en-US"/>
        </w:rPr>
      </w:pPr>
      <w:r w:rsidRPr="0039579F">
        <w:rPr>
          <w:lang w:val="en-US"/>
        </w:rPr>
        <w:t xml:space="preserve">57. </w:t>
      </w:r>
      <w:r>
        <w:rPr>
          <w:lang w:val="en-US"/>
        </w:rPr>
        <w:t xml:space="preserve">It having been </w:t>
      </w:r>
      <w:r w:rsidRPr="0039579F">
        <w:rPr>
          <w:lang w:val="en-US"/>
        </w:rPr>
        <w:t xml:space="preserve">determined that the </w:t>
      </w:r>
      <w:r>
        <w:rPr>
          <w:lang w:val="en-US"/>
        </w:rPr>
        <w:t xml:space="preserve">National </w:t>
      </w:r>
      <w:r w:rsidRPr="0039579F">
        <w:rPr>
          <w:lang w:val="en-US"/>
        </w:rPr>
        <w:t xml:space="preserve">Congress was not the competent body </w:t>
      </w:r>
      <w:r>
        <w:rPr>
          <w:lang w:val="en-US"/>
        </w:rPr>
        <w:t xml:space="preserve">in this case </w:t>
      </w:r>
      <w:r w:rsidRPr="0039579F">
        <w:rPr>
          <w:lang w:val="en-US"/>
        </w:rPr>
        <w:t xml:space="preserve">and that there was no previously established procedure in place, the Commission concludes that all the actions </w:t>
      </w:r>
      <w:r>
        <w:rPr>
          <w:lang w:val="en-US"/>
        </w:rPr>
        <w:t>that flowed</w:t>
      </w:r>
      <w:r w:rsidRPr="0039579F">
        <w:rPr>
          <w:lang w:val="en-US"/>
        </w:rPr>
        <w:t xml:space="preserve"> from </w:t>
      </w:r>
      <w:r>
        <w:rPr>
          <w:lang w:val="en-US"/>
        </w:rPr>
        <w:t>the Congress</w:t>
      </w:r>
      <w:r w:rsidRPr="0039579F">
        <w:rPr>
          <w:lang w:val="en-US"/>
        </w:rPr>
        <w:t xml:space="preserve"> </w:t>
      </w:r>
      <w:r>
        <w:rPr>
          <w:lang w:val="en-US"/>
        </w:rPr>
        <w:t>in the framework</w:t>
      </w:r>
      <w:r w:rsidRPr="0039579F">
        <w:rPr>
          <w:lang w:val="en-US"/>
        </w:rPr>
        <w:t xml:space="preserve"> of the ad hoc proce</w:t>
      </w:r>
      <w:r>
        <w:rPr>
          <w:lang w:val="en-US"/>
        </w:rPr>
        <w:t xml:space="preserve">dure that was adopted </w:t>
      </w:r>
      <w:r w:rsidRPr="0039579F">
        <w:rPr>
          <w:lang w:val="en-US"/>
        </w:rPr>
        <w:t>in th</w:t>
      </w:r>
      <w:r>
        <w:rPr>
          <w:lang w:val="en-US"/>
        </w:rPr>
        <w:t>e</w:t>
      </w:r>
      <w:r w:rsidRPr="0039579F">
        <w:rPr>
          <w:lang w:val="en-US"/>
        </w:rPr>
        <w:t xml:space="preserve"> case </w:t>
      </w:r>
      <w:r>
        <w:rPr>
          <w:lang w:val="en-US"/>
        </w:rPr>
        <w:t>violated</w:t>
      </w:r>
      <w:r w:rsidRPr="0039579F">
        <w:rPr>
          <w:lang w:val="en-US"/>
        </w:rPr>
        <w:t xml:space="preserve"> Article </w:t>
      </w:r>
      <w:r w:rsidRPr="0039579F">
        <w:rPr>
          <w:bCs/>
          <w:lang w:val="en-US"/>
        </w:rPr>
        <w:t xml:space="preserve">8 </w:t>
      </w:r>
      <w:r>
        <w:rPr>
          <w:bCs/>
          <w:lang w:val="en-US"/>
        </w:rPr>
        <w:t>of the American Convention, rendering it unnecessary to analyze the other guarantees of due process.</w:t>
      </w:r>
      <w:r w:rsidRPr="00DB55CD">
        <w:rPr>
          <w:rStyle w:val="FootnoteReference"/>
          <w:bCs/>
          <w:lang w:val="es-CO"/>
        </w:rPr>
        <w:footnoteReference w:id="58"/>
      </w:r>
      <w:r w:rsidRPr="0039579F">
        <w:rPr>
          <w:bCs/>
          <w:lang w:val="en-US"/>
        </w:rPr>
        <w:t xml:space="preserve"> </w:t>
      </w:r>
      <w:r>
        <w:rPr>
          <w:bCs/>
          <w:lang w:val="en-US"/>
        </w:rPr>
        <w:t>Nevertheless</w:t>
      </w:r>
      <w:r w:rsidRPr="002310E4">
        <w:rPr>
          <w:bCs/>
          <w:lang w:val="en-US"/>
        </w:rPr>
        <w:t xml:space="preserve">, in order </w:t>
      </w:r>
      <w:r>
        <w:rPr>
          <w:bCs/>
          <w:lang w:val="en-US"/>
        </w:rPr>
        <w:t>that the</w:t>
      </w:r>
      <w:r w:rsidRPr="002310E4">
        <w:rPr>
          <w:bCs/>
          <w:lang w:val="en-US"/>
        </w:rPr>
        <w:t xml:space="preserve"> State </w:t>
      </w:r>
      <w:r>
        <w:rPr>
          <w:bCs/>
          <w:lang w:val="en-US"/>
        </w:rPr>
        <w:t>may</w:t>
      </w:r>
      <w:r w:rsidRPr="002310E4">
        <w:rPr>
          <w:bCs/>
          <w:lang w:val="en-US"/>
        </w:rPr>
        <w:t xml:space="preserve"> adopt </w:t>
      </w:r>
      <w:r>
        <w:rPr>
          <w:bCs/>
          <w:lang w:val="en-US"/>
        </w:rPr>
        <w:t>appropriate</w:t>
      </w:r>
      <w:r w:rsidRPr="002310E4">
        <w:rPr>
          <w:bCs/>
          <w:lang w:val="en-US"/>
        </w:rPr>
        <w:t xml:space="preserve"> measures to avoid a recurrence of </w:t>
      </w:r>
      <w:r>
        <w:rPr>
          <w:bCs/>
          <w:lang w:val="en-US"/>
        </w:rPr>
        <w:t>events</w:t>
      </w:r>
      <w:r w:rsidRPr="002310E4">
        <w:rPr>
          <w:bCs/>
          <w:lang w:val="en-US"/>
        </w:rPr>
        <w:t xml:space="preserve"> such as those </w:t>
      </w:r>
      <w:r>
        <w:rPr>
          <w:bCs/>
          <w:lang w:val="en-US"/>
        </w:rPr>
        <w:t xml:space="preserve">that occurred </w:t>
      </w:r>
      <w:r w:rsidRPr="002310E4">
        <w:rPr>
          <w:bCs/>
          <w:lang w:val="en-US"/>
        </w:rPr>
        <w:t xml:space="preserve">in </w:t>
      </w:r>
      <w:r>
        <w:rPr>
          <w:bCs/>
          <w:lang w:val="en-US"/>
        </w:rPr>
        <w:t>the</w:t>
      </w:r>
      <w:r w:rsidRPr="002310E4">
        <w:rPr>
          <w:bCs/>
          <w:lang w:val="en-US"/>
        </w:rPr>
        <w:t xml:space="preserve"> case</w:t>
      </w:r>
      <w:r>
        <w:rPr>
          <w:bCs/>
          <w:lang w:val="en-US"/>
        </w:rPr>
        <w:t xml:space="preserve"> at hand</w:t>
      </w:r>
      <w:r w:rsidRPr="002310E4">
        <w:rPr>
          <w:bCs/>
          <w:lang w:val="en-US"/>
        </w:rPr>
        <w:t xml:space="preserve">, the Commission considers it </w:t>
      </w:r>
      <w:r>
        <w:rPr>
          <w:bCs/>
          <w:lang w:val="en-US"/>
        </w:rPr>
        <w:t>pertinent</w:t>
      </w:r>
      <w:r w:rsidRPr="002310E4">
        <w:rPr>
          <w:bCs/>
          <w:lang w:val="en-US"/>
        </w:rPr>
        <w:t xml:space="preserve"> to examine the guarantees </w:t>
      </w:r>
      <w:r>
        <w:rPr>
          <w:bCs/>
          <w:lang w:val="en-US"/>
        </w:rPr>
        <w:t>that apply to</w:t>
      </w:r>
      <w:r w:rsidRPr="002310E4">
        <w:rPr>
          <w:bCs/>
          <w:lang w:val="en-US"/>
        </w:rPr>
        <w:t xml:space="preserve"> the disciplinary procedure against </w:t>
      </w:r>
      <w:r w:rsidRPr="002310E4">
        <w:rPr>
          <w:lang w:val="en-US"/>
        </w:rPr>
        <w:t>José Antonio Gutiérrez Navas, Rosalinda Cruz Sequeira, José Francisco Ruiz Gaekel</w:t>
      </w:r>
      <w:r>
        <w:rPr>
          <w:lang w:val="en-US"/>
        </w:rPr>
        <w:t>, and</w:t>
      </w:r>
      <w:r w:rsidRPr="002310E4">
        <w:rPr>
          <w:lang w:val="en-US"/>
        </w:rPr>
        <w:t xml:space="preserve"> Gustavo Enrique Bustillo Palma.</w:t>
      </w:r>
    </w:p>
    <w:p w14:paraId="5CE80C77" w14:textId="77777777" w:rsidR="00E6692A" w:rsidRPr="002310E4" w:rsidRDefault="00E6692A" w:rsidP="00E6692A">
      <w:pPr>
        <w:pStyle w:val="parrafos"/>
        <w:numPr>
          <w:ilvl w:val="0"/>
          <w:numId w:val="0"/>
        </w:numPr>
        <w:rPr>
          <w:lang w:val="en-US"/>
        </w:rPr>
      </w:pPr>
    </w:p>
    <w:p w14:paraId="4D331509" w14:textId="77777777" w:rsidR="00E6692A" w:rsidRPr="00F0467B" w:rsidRDefault="00E6692A" w:rsidP="00E6692A">
      <w:pPr>
        <w:pStyle w:val="Heading3"/>
        <w:numPr>
          <w:ilvl w:val="0"/>
          <w:numId w:val="0"/>
        </w:numPr>
        <w:jc w:val="both"/>
        <w:rPr>
          <w:szCs w:val="20"/>
        </w:rPr>
      </w:pPr>
      <w:bookmarkStart w:id="35" w:name="_Toc65248170"/>
      <w:bookmarkStart w:id="36" w:name="_Toc69410068"/>
      <w:r w:rsidRPr="00F0467B">
        <w:rPr>
          <w:szCs w:val="20"/>
        </w:rPr>
        <w:t xml:space="preserve">3. </w:t>
      </w:r>
      <w:r>
        <w:rPr>
          <w:szCs w:val="20"/>
        </w:rPr>
        <w:t>P</w:t>
      </w:r>
      <w:r w:rsidRPr="00F0467B">
        <w:rPr>
          <w:szCs w:val="20"/>
        </w:rPr>
        <w:t xml:space="preserve">rinciple of </w:t>
      </w:r>
      <w:r>
        <w:rPr>
          <w:szCs w:val="20"/>
        </w:rPr>
        <w:t>legality</w:t>
      </w:r>
      <w:r w:rsidRPr="00DB55CD">
        <w:rPr>
          <w:rStyle w:val="FootnoteReference"/>
          <w:szCs w:val="20"/>
        </w:rPr>
        <w:footnoteReference w:id="59"/>
      </w:r>
      <w:bookmarkEnd w:id="33"/>
      <w:bookmarkEnd w:id="34"/>
      <w:bookmarkEnd w:id="35"/>
      <w:bookmarkEnd w:id="36"/>
    </w:p>
    <w:p w14:paraId="3BBAD203" w14:textId="77777777" w:rsidR="00E6692A" w:rsidRPr="00F0467B" w:rsidRDefault="00E6692A" w:rsidP="00E6692A"/>
    <w:p w14:paraId="09178B78" w14:textId="77777777" w:rsidR="00E6692A" w:rsidRPr="007D7F02" w:rsidRDefault="00E6692A" w:rsidP="00E6692A">
      <w:pPr>
        <w:pStyle w:val="parrafos"/>
        <w:numPr>
          <w:ilvl w:val="0"/>
          <w:numId w:val="0"/>
        </w:numPr>
        <w:rPr>
          <w:lang w:val="en-US"/>
        </w:rPr>
      </w:pPr>
      <w:r w:rsidRPr="00AA189F">
        <w:rPr>
          <w:lang w:val="en-US"/>
        </w:rPr>
        <w:t xml:space="preserve">58. The principle of </w:t>
      </w:r>
      <w:r>
        <w:rPr>
          <w:lang w:val="en-US"/>
        </w:rPr>
        <w:t>legality (freedom from ex post facto laws)</w:t>
      </w:r>
      <w:r w:rsidRPr="00AA189F">
        <w:rPr>
          <w:lang w:val="en-US"/>
        </w:rPr>
        <w:t xml:space="preserve"> recognized in Article 9 of the Convention governs the </w:t>
      </w:r>
      <w:r>
        <w:rPr>
          <w:lang w:val="en-US"/>
        </w:rPr>
        <w:t>actions</w:t>
      </w:r>
      <w:r w:rsidRPr="00AA189F">
        <w:rPr>
          <w:lang w:val="en-US"/>
        </w:rPr>
        <w:t xml:space="preserve"> of State bodies </w:t>
      </w:r>
      <w:r>
        <w:rPr>
          <w:lang w:val="en-US"/>
        </w:rPr>
        <w:t>when</w:t>
      </w:r>
      <w:r w:rsidRPr="00AA189F">
        <w:rPr>
          <w:lang w:val="en-US"/>
        </w:rPr>
        <w:t xml:space="preserve"> the</w:t>
      </w:r>
      <w:r>
        <w:rPr>
          <w:lang w:val="en-US"/>
        </w:rPr>
        <w:t>y</w:t>
      </w:r>
      <w:r w:rsidRPr="00AA189F">
        <w:rPr>
          <w:lang w:val="en-US"/>
        </w:rPr>
        <w:t xml:space="preserve"> exercise </w:t>
      </w:r>
      <w:r>
        <w:rPr>
          <w:lang w:val="en-US"/>
        </w:rPr>
        <w:t>their power to punish.</w:t>
      </w:r>
      <w:r w:rsidRPr="00DB55CD">
        <w:rPr>
          <w:vertAlign w:val="superscript"/>
        </w:rPr>
        <w:footnoteReference w:id="60"/>
      </w:r>
      <w:r w:rsidRPr="00AA189F">
        <w:rPr>
          <w:lang w:val="en-US"/>
        </w:rPr>
        <w:t xml:space="preserve"> </w:t>
      </w:r>
      <w:r w:rsidRPr="00892154">
        <w:rPr>
          <w:lang w:val="en-US"/>
        </w:rPr>
        <w:t xml:space="preserve">As indicated above, this principle is applicable to disciplinary </w:t>
      </w:r>
      <w:r>
        <w:rPr>
          <w:lang w:val="en-US"/>
        </w:rPr>
        <w:t>proceedings</w:t>
      </w:r>
      <w:r w:rsidRPr="00892154">
        <w:rPr>
          <w:lang w:val="en-US"/>
        </w:rPr>
        <w:t>, which are “an expression of the punitive powers of the State” as they entail impairment o</w:t>
      </w:r>
      <w:r>
        <w:rPr>
          <w:lang w:val="en-US"/>
        </w:rPr>
        <w:t>r</w:t>
      </w:r>
      <w:r w:rsidRPr="00892154">
        <w:rPr>
          <w:lang w:val="en-US"/>
        </w:rPr>
        <w:t xml:space="preserve"> alteration of human rights as a consequence of </w:t>
      </w:r>
      <w:r>
        <w:rPr>
          <w:lang w:val="en-US"/>
        </w:rPr>
        <w:t>wrongful</w:t>
      </w:r>
      <w:r w:rsidRPr="00892154">
        <w:rPr>
          <w:lang w:val="en-US"/>
        </w:rPr>
        <w:t xml:space="preserve"> conduct.</w:t>
      </w:r>
      <w:r w:rsidRPr="00DB55CD">
        <w:rPr>
          <w:vertAlign w:val="superscript"/>
        </w:rPr>
        <w:footnoteReference w:id="61"/>
      </w:r>
      <w:r w:rsidRPr="007D7F02">
        <w:rPr>
          <w:lang w:val="en-US"/>
        </w:rPr>
        <w:t xml:space="preserve"> </w:t>
      </w:r>
    </w:p>
    <w:p w14:paraId="674E2DEB" w14:textId="77777777" w:rsidR="00E6692A" w:rsidRPr="007D7F02" w:rsidRDefault="00E6692A" w:rsidP="00E6692A">
      <w:pPr>
        <w:pStyle w:val="parrafos"/>
        <w:numPr>
          <w:ilvl w:val="0"/>
          <w:numId w:val="0"/>
        </w:numPr>
        <w:rPr>
          <w:lang w:val="en-US"/>
        </w:rPr>
      </w:pPr>
    </w:p>
    <w:p w14:paraId="3D447A78" w14:textId="77777777" w:rsidR="00E6692A" w:rsidRPr="00E831CB" w:rsidRDefault="00E6692A" w:rsidP="00E6692A">
      <w:pPr>
        <w:pStyle w:val="parrafos"/>
        <w:numPr>
          <w:ilvl w:val="0"/>
          <w:numId w:val="0"/>
        </w:numPr>
        <w:rPr>
          <w:lang w:val="en-US"/>
        </w:rPr>
      </w:pPr>
      <w:r w:rsidRPr="00FC1041">
        <w:rPr>
          <w:lang w:val="en-US"/>
        </w:rPr>
        <w:t xml:space="preserve">59. The Commission notes that States have the authority to design and organize disciplinary </w:t>
      </w:r>
      <w:r>
        <w:rPr>
          <w:lang w:val="en-US"/>
        </w:rPr>
        <w:t>proceedings</w:t>
      </w:r>
      <w:r w:rsidRPr="00FC1041">
        <w:rPr>
          <w:lang w:val="en-US"/>
        </w:rPr>
        <w:t xml:space="preserve">; however, these must be </w:t>
      </w:r>
      <w:r>
        <w:rPr>
          <w:lang w:val="en-US"/>
        </w:rPr>
        <w:t>implemented</w:t>
      </w:r>
      <w:r w:rsidRPr="00FC1041">
        <w:rPr>
          <w:lang w:val="en-US"/>
        </w:rPr>
        <w:t xml:space="preserve"> according to pre-established procedures that indicate the authorities an</w:t>
      </w:r>
      <w:r>
        <w:rPr>
          <w:lang w:val="en-US"/>
        </w:rPr>
        <w:t>d the procedural rules that apply.</w:t>
      </w:r>
      <w:r w:rsidRPr="00DB55CD">
        <w:rPr>
          <w:rStyle w:val="FootnoteReference"/>
        </w:rPr>
        <w:footnoteReference w:id="62"/>
      </w:r>
      <w:r w:rsidRPr="00FC1041">
        <w:rPr>
          <w:lang w:val="en-US"/>
        </w:rPr>
        <w:t xml:space="preserve"> </w:t>
      </w:r>
      <w:r w:rsidRPr="00021817">
        <w:rPr>
          <w:lang w:val="en-US"/>
        </w:rPr>
        <w:t xml:space="preserve">In disciplinary matters, the principle of legality requires that the law give detailed guidance on the infractions that may trigger disciplinary measures, including the seriousness of the infraction </w:t>
      </w:r>
      <w:r>
        <w:rPr>
          <w:lang w:val="en-US"/>
        </w:rPr>
        <w:t>and the type of</w:t>
      </w:r>
      <w:r w:rsidRPr="00021817">
        <w:rPr>
          <w:lang w:val="en-US"/>
        </w:rPr>
        <w:t xml:space="preserve"> disciplinary measure </w:t>
      </w:r>
      <w:r>
        <w:rPr>
          <w:lang w:val="en-US"/>
        </w:rPr>
        <w:t>that may</w:t>
      </w:r>
      <w:r w:rsidRPr="00021817">
        <w:rPr>
          <w:lang w:val="en-US"/>
        </w:rPr>
        <w:t xml:space="preserve"> be applied</w:t>
      </w:r>
      <w:r>
        <w:rPr>
          <w:lang w:val="en-US"/>
        </w:rPr>
        <w:t xml:space="preserve"> in different cases</w:t>
      </w:r>
      <w:r w:rsidRPr="00021817">
        <w:rPr>
          <w:lang w:val="en-US"/>
        </w:rPr>
        <w:t>.</w:t>
      </w:r>
      <w:r>
        <w:rPr>
          <w:lang w:val="en-US"/>
        </w:rPr>
        <w:t xml:space="preserve"> </w:t>
      </w:r>
      <w:r w:rsidRPr="00E831CB">
        <w:rPr>
          <w:lang w:val="en-US"/>
        </w:rPr>
        <w:t xml:space="preserve">The principle of legality requires not only that the impugned measure should have some basis in domestic law, but also that the law containing </w:t>
      </w:r>
      <w:r>
        <w:rPr>
          <w:lang w:val="en-US"/>
        </w:rPr>
        <w:t>the measure</w:t>
      </w:r>
      <w:r w:rsidRPr="00E831CB">
        <w:rPr>
          <w:lang w:val="en-US"/>
        </w:rPr>
        <w:t xml:space="preserve"> should be accessible to the persons concerned and formulated with sufficient precision to enable them </w:t>
      </w:r>
      <w:r>
        <w:rPr>
          <w:lang w:val="en-US"/>
        </w:rPr>
        <w:t>to foresee, to a degree that is reasonable in the circumstances, the consequences which a given action may entail</w:t>
      </w:r>
      <w:r>
        <w:rPr>
          <w:lang w:val="en-US" w:eastAsia="es-ES"/>
        </w:rPr>
        <w:t>.</w:t>
      </w:r>
      <w:r w:rsidRPr="00DB55CD">
        <w:rPr>
          <w:vertAlign w:val="superscript"/>
        </w:rPr>
        <w:footnoteReference w:id="63"/>
      </w:r>
    </w:p>
    <w:p w14:paraId="071B2F3B" w14:textId="77777777" w:rsidR="00E6692A" w:rsidRPr="00E831CB" w:rsidRDefault="00E6692A" w:rsidP="00E6692A">
      <w:pPr>
        <w:pStyle w:val="ListParagraph"/>
        <w:rPr>
          <w:rFonts w:cs="Verdana"/>
          <w:lang w:val="en-US"/>
        </w:rPr>
      </w:pPr>
    </w:p>
    <w:p w14:paraId="38EF918C" w14:textId="77777777" w:rsidR="00E6692A" w:rsidRPr="00D071B9" w:rsidRDefault="00E6692A" w:rsidP="00E6692A">
      <w:pPr>
        <w:pStyle w:val="parrafos"/>
        <w:numPr>
          <w:ilvl w:val="0"/>
          <w:numId w:val="0"/>
        </w:numPr>
        <w:rPr>
          <w:lang w:val="en-US"/>
        </w:rPr>
      </w:pPr>
      <w:r w:rsidRPr="003D16E3">
        <w:rPr>
          <w:rFonts w:cs="Verdana"/>
          <w:lang w:val="en-US"/>
        </w:rPr>
        <w:t>60. Both the Court and the Commission have indicated that the greater the restriction</w:t>
      </w:r>
      <w:r>
        <w:rPr>
          <w:rFonts w:cs="Verdana"/>
          <w:lang w:val="en-US"/>
        </w:rPr>
        <w:t xml:space="preserve"> on a human right</w:t>
      </w:r>
      <w:r w:rsidRPr="003D16E3">
        <w:rPr>
          <w:rFonts w:cs="Verdana"/>
          <w:lang w:val="en-US"/>
        </w:rPr>
        <w:t xml:space="preserve">, the </w:t>
      </w:r>
      <w:r w:rsidRPr="00107D0E">
        <w:rPr>
          <w:rFonts w:cs="Verdana"/>
          <w:lang w:val="en-US"/>
        </w:rPr>
        <w:t>more precise the</w:t>
      </w:r>
      <w:r>
        <w:rPr>
          <w:rFonts w:cs="Verdana"/>
          <w:lang w:val="en-US"/>
        </w:rPr>
        <w:t xml:space="preserve"> provisions establishing that restriction must be.</w:t>
      </w:r>
      <w:r w:rsidRPr="00DB55CD">
        <w:rPr>
          <w:rStyle w:val="FootnoteReference"/>
        </w:rPr>
        <w:footnoteReference w:id="64"/>
      </w:r>
      <w:r w:rsidRPr="003D16E3">
        <w:rPr>
          <w:rFonts w:cs="Verdana"/>
          <w:lang w:val="en-US"/>
        </w:rPr>
        <w:t xml:space="preserve"> </w:t>
      </w:r>
      <w:r w:rsidRPr="00D071B9">
        <w:rPr>
          <w:rFonts w:cs="Verdana"/>
          <w:lang w:val="en-US"/>
        </w:rPr>
        <w:t xml:space="preserve">In terms of judges, the IACHR has indicated that the penalties of suspension or </w:t>
      </w:r>
      <w:r>
        <w:rPr>
          <w:rFonts w:cs="Verdana"/>
          <w:lang w:val="en-US"/>
        </w:rPr>
        <w:t>dismissal</w:t>
      </w:r>
      <w:r w:rsidRPr="00D071B9">
        <w:rPr>
          <w:rFonts w:cs="Verdana"/>
          <w:lang w:val="en-US"/>
        </w:rPr>
        <w:t xml:space="preserve"> must be applied only in</w:t>
      </w:r>
      <w:r>
        <w:rPr>
          <w:rFonts w:cs="Verdana"/>
          <w:lang w:val="en-US"/>
        </w:rPr>
        <w:t xml:space="preserve"> the case of the most serious misconduct</w:t>
      </w:r>
      <w:r w:rsidRPr="00D071B9">
        <w:rPr>
          <w:lang w:val="en-US"/>
        </w:rPr>
        <w:t>. As the Council of Europe recommended with respect to disciplinary offenses, disciplinary measures should become stricter as the seriousness of the offense increases, and can include removal of cases from a judge, assigning the judge other tasks, economic sanctions, and suspension.</w:t>
      </w:r>
      <w:r w:rsidRPr="00DB55CD">
        <w:rPr>
          <w:rStyle w:val="FootnoteReference"/>
          <w:lang w:val="es-CO"/>
        </w:rPr>
        <w:footnoteReference w:id="65"/>
      </w:r>
      <w:r w:rsidRPr="00D071B9">
        <w:rPr>
          <w:lang w:val="en-US"/>
        </w:rPr>
        <w:t xml:space="preserve"> </w:t>
      </w:r>
    </w:p>
    <w:p w14:paraId="59AF7AA7" w14:textId="77777777" w:rsidR="00E6692A" w:rsidRPr="00D071B9" w:rsidRDefault="00E6692A" w:rsidP="00E6692A">
      <w:pPr>
        <w:pStyle w:val="ListParagraph"/>
        <w:rPr>
          <w:lang w:val="en-US"/>
        </w:rPr>
      </w:pPr>
    </w:p>
    <w:p w14:paraId="3C014DDB" w14:textId="77777777" w:rsidR="00E6692A" w:rsidRPr="002B4913" w:rsidRDefault="00E6692A" w:rsidP="00E6692A">
      <w:pPr>
        <w:pStyle w:val="parrafos"/>
        <w:numPr>
          <w:ilvl w:val="0"/>
          <w:numId w:val="0"/>
        </w:numPr>
        <w:rPr>
          <w:lang w:val="en-US"/>
        </w:rPr>
      </w:pPr>
      <w:r w:rsidRPr="00DF7569">
        <w:rPr>
          <w:lang w:val="en-US"/>
        </w:rPr>
        <w:t xml:space="preserve">61. Along these same lines, the Court has indicated that </w:t>
      </w:r>
      <w:r>
        <w:rPr>
          <w:lang w:val="en-US"/>
        </w:rPr>
        <w:t>an overly broad</w:t>
      </w:r>
      <w:r w:rsidRPr="00107D0E">
        <w:rPr>
          <w:lang w:val="en-US"/>
        </w:rPr>
        <w:t xml:space="preserve"> r</w:t>
      </w:r>
      <w:r w:rsidRPr="00DF7569">
        <w:rPr>
          <w:lang w:val="en-US"/>
        </w:rPr>
        <w:t xml:space="preserve">egulatory framework affects the predictability of the sanctions because it permits the dismissal of a judge based on </w:t>
      </w:r>
      <w:r w:rsidRPr="00B04F26">
        <w:rPr>
          <w:lang w:val="en-US"/>
        </w:rPr>
        <w:t>open-ended grounds</w:t>
      </w:r>
      <w:r w:rsidRPr="00DF7569">
        <w:rPr>
          <w:lang w:val="en-US"/>
        </w:rPr>
        <w:t xml:space="preserve"> that </w:t>
      </w:r>
      <w:r>
        <w:rPr>
          <w:lang w:val="en-US"/>
        </w:rPr>
        <w:t>grant</w:t>
      </w:r>
      <w:r w:rsidRPr="00DF7569">
        <w:rPr>
          <w:lang w:val="en-US"/>
        </w:rPr>
        <w:t xml:space="preserve"> excessive discretion</w:t>
      </w:r>
      <w:r>
        <w:rPr>
          <w:lang w:val="en-US"/>
        </w:rPr>
        <w:t>ary power</w:t>
      </w:r>
      <w:r w:rsidRPr="00DF7569">
        <w:rPr>
          <w:lang w:val="en-US"/>
        </w:rPr>
        <w:t xml:space="preserve"> to the body</w:t>
      </w:r>
      <w:r>
        <w:rPr>
          <w:lang w:val="en-US"/>
        </w:rPr>
        <w:t xml:space="preserve"> responsible for applying the sanction.</w:t>
      </w:r>
      <w:r w:rsidRPr="00DB55CD">
        <w:rPr>
          <w:rStyle w:val="FootnoteReference"/>
        </w:rPr>
        <w:footnoteReference w:id="66"/>
      </w:r>
      <w:r w:rsidRPr="00DF7569">
        <w:rPr>
          <w:lang w:val="en-US"/>
        </w:rPr>
        <w:t xml:space="preserve"> </w:t>
      </w:r>
      <w:r w:rsidRPr="002B4913">
        <w:rPr>
          <w:lang w:val="en-US"/>
        </w:rPr>
        <w:t xml:space="preserve">The Court has indicated that </w:t>
      </w:r>
      <w:r>
        <w:rPr>
          <w:lang w:val="en-US"/>
        </w:rPr>
        <w:t>some</w:t>
      </w:r>
      <w:r w:rsidRPr="002B4913">
        <w:rPr>
          <w:lang w:val="en-US"/>
        </w:rPr>
        <w:t xml:space="preserve"> degree of </w:t>
      </w:r>
      <w:r>
        <w:rPr>
          <w:lang w:val="en-US"/>
        </w:rPr>
        <w:t>imprecision</w:t>
      </w:r>
      <w:r w:rsidRPr="002B4913">
        <w:rPr>
          <w:lang w:val="en-US"/>
        </w:rPr>
        <w:t xml:space="preserve"> does not </w:t>
      </w:r>
      <w:r>
        <w:rPr>
          <w:lang w:val="en-US"/>
        </w:rPr>
        <w:t xml:space="preserve">result, </w:t>
      </w:r>
      <w:r w:rsidRPr="002B4913">
        <w:rPr>
          <w:lang w:val="en-US"/>
        </w:rPr>
        <w:t>per se</w:t>
      </w:r>
      <w:r>
        <w:rPr>
          <w:lang w:val="en-US"/>
        </w:rPr>
        <w:t>, in</w:t>
      </w:r>
      <w:r w:rsidRPr="002B4913">
        <w:rPr>
          <w:lang w:val="en-US"/>
        </w:rPr>
        <w:t xml:space="preserve"> a violation of the Convention</w:t>
      </w:r>
      <w:r>
        <w:rPr>
          <w:lang w:val="en-US"/>
        </w:rPr>
        <w:t xml:space="preserve">; in other words, </w:t>
      </w:r>
      <w:r w:rsidRPr="002B4913">
        <w:rPr>
          <w:lang w:val="en-US"/>
        </w:rPr>
        <w:t xml:space="preserve">the fact that a </w:t>
      </w:r>
      <w:r>
        <w:rPr>
          <w:lang w:val="en-US"/>
        </w:rPr>
        <w:t>law</w:t>
      </w:r>
      <w:r w:rsidRPr="002B4913">
        <w:rPr>
          <w:lang w:val="en-US"/>
        </w:rPr>
        <w:t xml:space="preserve"> grants some discretion</w:t>
      </w:r>
      <w:r>
        <w:rPr>
          <w:lang w:val="en-US"/>
        </w:rPr>
        <w:t>ary power</w:t>
      </w:r>
      <w:r w:rsidRPr="002B4913">
        <w:rPr>
          <w:lang w:val="en-US"/>
        </w:rPr>
        <w:t xml:space="preserve"> is not </w:t>
      </w:r>
      <w:r>
        <w:rPr>
          <w:lang w:val="en-US"/>
        </w:rPr>
        <w:t>incompatible</w:t>
      </w:r>
      <w:r w:rsidRPr="002B4913">
        <w:rPr>
          <w:lang w:val="en-US"/>
        </w:rPr>
        <w:t xml:space="preserve"> with the degree of </w:t>
      </w:r>
      <w:r>
        <w:rPr>
          <w:lang w:val="en-US"/>
        </w:rPr>
        <w:t>predictability</w:t>
      </w:r>
      <w:r w:rsidRPr="002B4913">
        <w:rPr>
          <w:lang w:val="en-US"/>
        </w:rPr>
        <w:t xml:space="preserve"> </w:t>
      </w:r>
      <w:r>
        <w:rPr>
          <w:lang w:val="en-US"/>
        </w:rPr>
        <w:t>required</w:t>
      </w:r>
      <w:r w:rsidRPr="002B4913">
        <w:rPr>
          <w:lang w:val="en-US"/>
        </w:rPr>
        <w:t xml:space="preserve">, provided that the scope of </w:t>
      </w:r>
      <w:r>
        <w:rPr>
          <w:lang w:val="en-US"/>
        </w:rPr>
        <w:t xml:space="preserve">the </w:t>
      </w:r>
      <w:r w:rsidRPr="002B4913">
        <w:rPr>
          <w:lang w:val="en-US"/>
        </w:rPr>
        <w:t xml:space="preserve">discretion and the </w:t>
      </w:r>
      <w:r>
        <w:rPr>
          <w:lang w:val="en-US"/>
        </w:rPr>
        <w:t xml:space="preserve">way </w:t>
      </w:r>
      <w:r w:rsidRPr="002B4913">
        <w:rPr>
          <w:lang w:val="en-US"/>
        </w:rPr>
        <w:t xml:space="preserve">in which it should be exercised </w:t>
      </w:r>
      <w:r>
        <w:rPr>
          <w:lang w:val="en-US"/>
        </w:rPr>
        <w:t>are</w:t>
      </w:r>
      <w:r w:rsidRPr="002B4913">
        <w:rPr>
          <w:lang w:val="en-US"/>
        </w:rPr>
        <w:t xml:space="preserve"> indicated with sufficient clarity so as to provi</w:t>
      </w:r>
      <w:r>
        <w:rPr>
          <w:lang w:val="en-US"/>
        </w:rPr>
        <w:t>d</w:t>
      </w:r>
      <w:r w:rsidRPr="002B4913">
        <w:rPr>
          <w:lang w:val="en-US"/>
        </w:rPr>
        <w:t>e adequate</w:t>
      </w:r>
      <w:r>
        <w:rPr>
          <w:lang w:val="en-US"/>
        </w:rPr>
        <w:t xml:space="preserve"> protection against arbitrary interference.</w:t>
      </w:r>
      <w:r w:rsidRPr="00DB55CD">
        <w:rPr>
          <w:rStyle w:val="FootnoteReference"/>
        </w:rPr>
        <w:footnoteReference w:id="67"/>
      </w:r>
    </w:p>
    <w:p w14:paraId="1914A7B2" w14:textId="77777777" w:rsidR="00E6692A" w:rsidRPr="002B4913" w:rsidRDefault="00E6692A" w:rsidP="00E6692A">
      <w:pPr>
        <w:pStyle w:val="ListParagraph"/>
        <w:rPr>
          <w:lang w:val="en-US"/>
        </w:rPr>
      </w:pPr>
    </w:p>
    <w:p w14:paraId="48722909" w14:textId="77777777" w:rsidR="00E6692A" w:rsidRPr="00DE25FB" w:rsidRDefault="00E6692A" w:rsidP="00E6692A">
      <w:pPr>
        <w:pStyle w:val="parrafos"/>
        <w:numPr>
          <w:ilvl w:val="0"/>
          <w:numId w:val="0"/>
        </w:numPr>
        <w:rPr>
          <w:lang w:val="en-US"/>
        </w:rPr>
      </w:pPr>
      <w:r w:rsidRPr="007E2F20">
        <w:rPr>
          <w:lang w:val="en-US"/>
        </w:rPr>
        <w:t xml:space="preserve">62. In the case at hand, the Commission </w:t>
      </w:r>
      <w:r>
        <w:rPr>
          <w:lang w:val="en-US"/>
        </w:rPr>
        <w:t>observes</w:t>
      </w:r>
      <w:r w:rsidRPr="007E2F20">
        <w:rPr>
          <w:lang w:val="en-US"/>
        </w:rPr>
        <w:t xml:space="preserve"> that Article 205</w:t>
      </w:r>
      <w:r>
        <w:rPr>
          <w:lang w:val="en-US"/>
        </w:rPr>
        <w:t xml:space="preserve">, </w:t>
      </w:r>
      <w:r w:rsidRPr="007E2F20">
        <w:rPr>
          <w:lang w:val="en-US"/>
        </w:rPr>
        <w:t>paragraph 20</w:t>
      </w:r>
      <w:r>
        <w:rPr>
          <w:lang w:val="en-US"/>
        </w:rPr>
        <w:t>,</w:t>
      </w:r>
      <w:r w:rsidRPr="007E2F20">
        <w:rPr>
          <w:lang w:val="en-US"/>
        </w:rPr>
        <w:t xml:space="preserve"> of the Constitution states tha</w:t>
      </w:r>
      <w:r>
        <w:rPr>
          <w:lang w:val="en-US"/>
        </w:rPr>
        <w:t xml:space="preserve">t the Congress has the power to “approve or disapprove the administrative conduct…of the judicial branch.” </w:t>
      </w:r>
      <w:r w:rsidRPr="00DE25FB">
        <w:rPr>
          <w:lang w:val="en-US"/>
        </w:rPr>
        <w:t xml:space="preserve">First of all, as established earlier in the context of </w:t>
      </w:r>
      <w:r>
        <w:rPr>
          <w:lang w:val="en-US"/>
        </w:rPr>
        <w:t xml:space="preserve">the guarantee of </w:t>
      </w:r>
      <w:r w:rsidRPr="00DE25FB">
        <w:rPr>
          <w:lang w:val="en-US"/>
        </w:rPr>
        <w:t xml:space="preserve">competence, this provision may not serve as the justification or basis for the summary decisions made by the </w:t>
      </w:r>
      <w:r>
        <w:rPr>
          <w:lang w:val="en-US"/>
        </w:rPr>
        <w:t xml:space="preserve">National </w:t>
      </w:r>
      <w:r w:rsidRPr="00DE25FB">
        <w:rPr>
          <w:lang w:val="en-US"/>
        </w:rPr>
        <w:t>Cong</w:t>
      </w:r>
      <w:r>
        <w:rPr>
          <w:lang w:val="en-US"/>
        </w:rPr>
        <w:t xml:space="preserve">ress </w:t>
      </w:r>
      <w:r w:rsidRPr="00DE25FB">
        <w:rPr>
          <w:lang w:val="en-US"/>
        </w:rPr>
        <w:t xml:space="preserve">to remove </w:t>
      </w:r>
      <w:r>
        <w:rPr>
          <w:lang w:val="en-US"/>
        </w:rPr>
        <w:t xml:space="preserve">the </w:t>
      </w:r>
      <w:r w:rsidRPr="00DE25FB">
        <w:rPr>
          <w:lang w:val="en-US"/>
        </w:rPr>
        <w:t>justices</w:t>
      </w:r>
      <w:r>
        <w:rPr>
          <w:lang w:val="en-US"/>
        </w:rPr>
        <w:t xml:space="preserve"> from office</w:t>
      </w:r>
      <w:r w:rsidRPr="00DE25FB">
        <w:rPr>
          <w:lang w:val="en-US"/>
        </w:rPr>
        <w:t xml:space="preserve">. </w:t>
      </w:r>
    </w:p>
    <w:p w14:paraId="5E9D2226" w14:textId="77777777" w:rsidR="00E6692A" w:rsidRPr="00DE25FB" w:rsidRDefault="00E6692A" w:rsidP="00E6692A">
      <w:pPr>
        <w:pStyle w:val="ListParagraph"/>
        <w:rPr>
          <w:lang w:val="en-US"/>
        </w:rPr>
      </w:pPr>
    </w:p>
    <w:p w14:paraId="4D33EA83" w14:textId="77777777" w:rsidR="00E6692A" w:rsidRPr="00025920" w:rsidRDefault="00E6692A" w:rsidP="00E6692A">
      <w:pPr>
        <w:pStyle w:val="parrafos"/>
        <w:numPr>
          <w:ilvl w:val="0"/>
          <w:numId w:val="0"/>
        </w:numPr>
        <w:rPr>
          <w:lang w:val="en-US"/>
        </w:rPr>
      </w:pPr>
      <w:r w:rsidRPr="00025920">
        <w:rPr>
          <w:lang w:val="en-US"/>
        </w:rPr>
        <w:t xml:space="preserve">63. Second of all, the Commission </w:t>
      </w:r>
      <w:r>
        <w:rPr>
          <w:lang w:val="en-US"/>
        </w:rPr>
        <w:t>notes</w:t>
      </w:r>
      <w:r w:rsidRPr="00025920">
        <w:rPr>
          <w:lang w:val="en-US"/>
        </w:rPr>
        <w:t xml:space="preserve"> that the aforementioned constitutional provision is very broad, as it does not determine </w:t>
      </w:r>
      <w:r>
        <w:rPr>
          <w:lang w:val="en-US"/>
        </w:rPr>
        <w:t xml:space="preserve">or specify particular conduct that would be reproachable from a disciplinary standpoint. </w:t>
      </w:r>
      <w:r w:rsidRPr="00025920">
        <w:rPr>
          <w:lang w:val="en-US"/>
        </w:rPr>
        <w:t xml:space="preserve">The Commission further notes that, contrary to the standards that have been cited, the legal framework </w:t>
      </w:r>
      <w:r>
        <w:rPr>
          <w:lang w:val="en-US"/>
        </w:rPr>
        <w:t xml:space="preserve">does not even </w:t>
      </w:r>
      <w:r w:rsidRPr="00025920">
        <w:rPr>
          <w:lang w:val="en-US"/>
        </w:rPr>
        <w:t>establish the groun</w:t>
      </w:r>
      <w:r>
        <w:rPr>
          <w:lang w:val="en-US"/>
        </w:rPr>
        <w:t xml:space="preserve">ds or the sanctions that would apply if such administrative conduct were to be proved. </w:t>
      </w:r>
      <w:r w:rsidRPr="00025920">
        <w:rPr>
          <w:lang w:val="en-US"/>
        </w:rPr>
        <w:t xml:space="preserve">Finally, the Commission considers that this lack of predictability allowed the </w:t>
      </w:r>
      <w:r>
        <w:rPr>
          <w:lang w:val="en-US"/>
        </w:rPr>
        <w:t xml:space="preserve">National </w:t>
      </w:r>
      <w:r w:rsidRPr="00025920">
        <w:rPr>
          <w:lang w:val="en-US"/>
        </w:rPr>
        <w:t>Congress to have excessive discretion when it came to applying the most</w:t>
      </w:r>
      <w:r>
        <w:rPr>
          <w:lang w:val="en-US"/>
        </w:rPr>
        <w:t xml:space="preserve"> severe sanction, as occurred in this case. </w:t>
      </w:r>
    </w:p>
    <w:p w14:paraId="5BB89435" w14:textId="77777777" w:rsidR="00E6692A" w:rsidRPr="00025920" w:rsidRDefault="00E6692A" w:rsidP="00E6692A">
      <w:pPr>
        <w:pStyle w:val="parrafos"/>
        <w:numPr>
          <w:ilvl w:val="0"/>
          <w:numId w:val="0"/>
        </w:numPr>
        <w:rPr>
          <w:lang w:val="en-US"/>
        </w:rPr>
      </w:pPr>
    </w:p>
    <w:p w14:paraId="531A8F51" w14:textId="77777777" w:rsidR="00E6692A" w:rsidRPr="00DF5E9D" w:rsidRDefault="00E6692A" w:rsidP="00E6692A">
      <w:pPr>
        <w:pStyle w:val="parrafos"/>
        <w:numPr>
          <w:ilvl w:val="0"/>
          <w:numId w:val="0"/>
        </w:numPr>
        <w:rPr>
          <w:lang w:val="en-US"/>
        </w:rPr>
      </w:pPr>
      <w:r w:rsidRPr="00DF5E9D">
        <w:rPr>
          <w:rFonts w:cs="Verdana"/>
          <w:lang w:val="en-US"/>
        </w:rPr>
        <w:t xml:space="preserve">64. Consequently, the Commission considers that basing the dismissal of the four justices from the Constitutional Chamber of the Supreme Court on that article is </w:t>
      </w:r>
      <w:r>
        <w:rPr>
          <w:rFonts w:cs="Verdana"/>
          <w:lang w:val="en-US"/>
        </w:rPr>
        <w:t>clearly</w:t>
      </w:r>
      <w:r w:rsidRPr="00DF5E9D">
        <w:rPr>
          <w:rFonts w:cs="Verdana"/>
          <w:lang w:val="en-US"/>
        </w:rPr>
        <w:t xml:space="preserve"> contrary to the principle of legality in disciplinary matt</w:t>
      </w:r>
      <w:r>
        <w:rPr>
          <w:rFonts w:cs="Verdana"/>
          <w:lang w:val="en-US"/>
        </w:rPr>
        <w:t>ers.</w:t>
      </w:r>
    </w:p>
    <w:p w14:paraId="3CF8FD01" w14:textId="77777777" w:rsidR="00E6692A" w:rsidRPr="00DF5E9D" w:rsidRDefault="00E6692A" w:rsidP="00E6692A">
      <w:pPr>
        <w:pStyle w:val="ListParagraph"/>
        <w:rPr>
          <w:lang w:val="en-US"/>
        </w:rPr>
      </w:pPr>
    </w:p>
    <w:p w14:paraId="370EDC64" w14:textId="77777777" w:rsidR="00E6692A" w:rsidRPr="004E0AC9" w:rsidRDefault="00E6692A" w:rsidP="00E6692A">
      <w:pPr>
        <w:pStyle w:val="parrafos"/>
        <w:numPr>
          <w:ilvl w:val="0"/>
          <w:numId w:val="0"/>
        </w:numPr>
        <w:rPr>
          <w:rFonts w:cs="Verdana"/>
          <w:lang w:val="en-US"/>
        </w:rPr>
      </w:pPr>
      <w:r w:rsidRPr="004E0AC9">
        <w:rPr>
          <w:lang w:val="en-US"/>
        </w:rPr>
        <w:t xml:space="preserve">65. In view of the above considerations, the IACHR concludes that the Honduran State violated Article 9 of the American Convention </w:t>
      </w:r>
      <w:r>
        <w:rPr>
          <w:lang w:val="en-US"/>
        </w:rPr>
        <w:t>in connection with</w:t>
      </w:r>
      <w:r w:rsidRPr="004E0AC9">
        <w:rPr>
          <w:lang w:val="en-US"/>
        </w:rPr>
        <w:t xml:space="preserve"> Articles 1</w:t>
      </w:r>
      <w:r>
        <w:rPr>
          <w:lang w:val="en-US"/>
        </w:rPr>
        <w:t>(</w:t>
      </w:r>
      <w:r w:rsidRPr="004E0AC9">
        <w:rPr>
          <w:lang w:val="en-US"/>
        </w:rPr>
        <w:t>1</w:t>
      </w:r>
      <w:r>
        <w:rPr>
          <w:lang w:val="en-US"/>
        </w:rPr>
        <w:t xml:space="preserve">) and </w:t>
      </w:r>
      <w:r w:rsidRPr="004E0AC9">
        <w:rPr>
          <w:lang w:val="en-US"/>
        </w:rPr>
        <w:t xml:space="preserve">2 </w:t>
      </w:r>
      <w:r>
        <w:rPr>
          <w:lang w:val="en-US"/>
        </w:rPr>
        <w:t xml:space="preserve">thereof, to the detriment of </w:t>
      </w:r>
      <w:r w:rsidRPr="004E0AC9">
        <w:rPr>
          <w:lang w:val="en-US"/>
        </w:rPr>
        <w:t>José Antonio Gutiérrez Navas, Rosalinda Cruz Sequeira, José Francisco Ruiz Gaekel</w:t>
      </w:r>
      <w:r>
        <w:rPr>
          <w:lang w:val="en-US"/>
        </w:rPr>
        <w:t xml:space="preserve">, and </w:t>
      </w:r>
      <w:r w:rsidRPr="004E0AC9">
        <w:rPr>
          <w:lang w:val="en-US"/>
        </w:rPr>
        <w:t>Gustavo Enrique Bustillo Palma.</w:t>
      </w:r>
    </w:p>
    <w:p w14:paraId="5029B7AD" w14:textId="77777777" w:rsidR="00E6692A" w:rsidRPr="004E0AC9" w:rsidRDefault="00E6692A" w:rsidP="00E6692A">
      <w:pPr>
        <w:pStyle w:val="ListParagraph"/>
        <w:rPr>
          <w:lang w:val="en-US"/>
        </w:rPr>
      </w:pPr>
    </w:p>
    <w:p w14:paraId="6B784F65" w14:textId="77777777" w:rsidR="00E6692A" w:rsidRPr="00C22DDB" w:rsidRDefault="00E6692A" w:rsidP="00E6692A">
      <w:pPr>
        <w:pStyle w:val="Heading3"/>
        <w:numPr>
          <w:ilvl w:val="0"/>
          <w:numId w:val="0"/>
        </w:numPr>
      </w:pPr>
      <w:bookmarkStart w:id="37" w:name="_Toc65248171"/>
      <w:bookmarkStart w:id="38" w:name="_Toc69410069"/>
      <w:r w:rsidRPr="00C22DDB">
        <w:t xml:space="preserve">4. </w:t>
      </w:r>
      <w:r>
        <w:t>R</w:t>
      </w:r>
      <w:r w:rsidRPr="00C22DDB">
        <w:t xml:space="preserve">ight </w:t>
      </w:r>
      <w:r>
        <w:t>of</w:t>
      </w:r>
      <w:r w:rsidRPr="00C22DDB">
        <w:t xml:space="preserve"> defense</w:t>
      </w:r>
      <w:r w:rsidRPr="00DB55CD">
        <w:rPr>
          <w:rStyle w:val="FootnoteReference"/>
          <w:b w:val="0"/>
          <w:bCs w:val="0"/>
          <w:lang w:val="es-ES"/>
        </w:rPr>
        <w:footnoteReference w:id="68"/>
      </w:r>
      <w:r w:rsidRPr="00C22DDB">
        <w:t xml:space="preserve"> and </w:t>
      </w:r>
      <w:r w:rsidRPr="00472334">
        <w:t>right to duly substantiated decisions</w:t>
      </w:r>
      <w:r w:rsidRPr="00DB55CD">
        <w:rPr>
          <w:rStyle w:val="FootnoteReference"/>
          <w:b w:val="0"/>
          <w:bCs w:val="0"/>
          <w:lang w:val="es-ES"/>
        </w:rPr>
        <w:footnoteReference w:id="69"/>
      </w:r>
      <w:bookmarkEnd w:id="37"/>
      <w:bookmarkEnd w:id="38"/>
      <w:r w:rsidRPr="00C22DDB">
        <w:rPr>
          <w:rStyle w:val="FootnoteReference"/>
          <w:vertAlign w:val="baseline"/>
        </w:rPr>
        <w:t xml:space="preserve"> </w:t>
      </w:r>
    </w:p>
    <w:p w14:paraId="018AD6F2" w14:textId="77777777" w:rsidR="00E6692A" w:rsidRPr="00C22DDB" w:rsidRDefault="00E6692A" w:rsidP="00E6692A"/>
    <w:p w14:paraId="4664C221" w14:textId="77777777" w:rsidR="00E6692A" w:rsidRPr="00C961D2" w:rsidRDefault="00E6692A" w:rsidP="00E6692A">
      <w:pPr>
        <w:pStyle w:val="parrafos"/>
        <w:numPr>
          <w:ilvl w:val="0"/>
          <w:numId w:val="0"/>
        </w:numPr>
        <w:rPr>
          <w:bdr w:val="none" w:sz="0" w:space="0" w:color="auto"/>
          <w:lang w:val="en-US"/>
        </w:rPr>
      </w:pPr>
      <w:r w:rsidRPr="00C961D2">
        <w:rPr>
          <w:bdr w:val="none" w:sz="0" w:space="0" w:color="auto"/>
          <w:lang w:val="en-US"/>
        </w:rPr>
        <w:t xml:space="preserve">66. </w:t>
      </w:r>
      <w:r>
        <w:rPr>
          <w:bdr w:val="none" w:sz="0" w:space="0" w:color="auto"/>
          <w:lang w:val="en-US"/>
        </w:rPr>
        <w:t>T</w:t>
      </w:r>
      <w:r w:rsidRPr="00C961D2">
        <w:rPr>
          <w:bdr w:val="none" w:sz="0" w:space="0" w:color="auto"/>
          <w:lang w:val="en-US"/>
        </w:rPr>
        <w:t xml:space="preserve">he Inter-American Court has established that </w:t>
      </w:r>
      <w:r>
        <w:rPr>
          <w:bdr w:val="none" w:sz="0" w:space="0" w:color="auto"/>
          <w:lang w:val="en-US"/>
        </w:rPr>
        <w:t>under</w:t>
      </w:r>
      <w:r w:rsidRPr="00C961D2">
        <w:rPr>
          <w:bdr w:val="none" w:sz="0" w:space="0" w:color="auto"/>
          <w:lang w:val="en-US"/>
        </w:rPr>
        <w:t xml:space="preserve"> Article 8 of the Convention, </w:t>
      </w:r>
      <w:r>
        <w:rPr>
          <w:bdr w:val="none" w:sz="0" w:space="0" w:color="auto"/>
          <w:lang w:val="en-US"/>
        </w:rPr>
        <w:t xml:space="preserve">the </w:t>
      </w:r>
      <w:r w:rsidRPr="00C961D2">
        <w:rPr>
          <w:bdr w:val="none" w:sz="0" w:space="0" w:color="auto"/>
          <w:lang w:val="en-US"/>
        </w:rPr>
        <w:t xml:space="preserve">right </w:t>
      </w:r>
      <w:r>
        <w:rPr>
          <w:bdr w:val="none" w:sz="0" w:space="0" w:color="auto"/>
          <w:lang w:val="en-US"/>
        </w:rPr>
        <w:t>of</w:t>
      </w:r>
      <w:r w:rsidRPr="00C961D2">
        <w:rPr>
          <w:bdr w:val="none" w:sz="0" w:space="0" w:color="auto"/>
          <w:lang w:val="en-US"/>
        </w:rPr>
        <w:t xml:space="preserve"> defense is </w:t>
      </w:r>
      <w:r>
        <w:rPr>
          <w:bdr w:val="none" w:sz="0" w:space="0" w:color="auto"/>
          <w:lang w:val="en-US"/>
        </w:rPr>
        <w:t>part</w:t>
      </w:r>
      <w:r w:rsidRPr="00C961D2">
        <w:rPr>
          <w:bdr w:val="none" w:sz="0" w:space="0" w:color="auto"/>
          <w:lang w:val="en-US"/>
        </w:rPr>
        <w:t xml:space="preserve"> of due process and that f</w:t>
      </w:r>
      <w:r w:rsidRPr="006A3A94">
        <w:rPr>
          <w:bdr w:val="none" w:sz="0" w:space="0" w:color="auto"/>
          <w:lang w:val="en-US"/>
        </w:rPr>
        <w:t>or that</w:t>
      </w:r>
      <w:r>
        <w:rPr>
          <w:bdr w:val="none" w:sz="0" w:space="0" w:color="auto"/>
          <w:lang w:val="en-US"/>
        </w:rPr>
        <w:t xml:space="preserve"> right</w:t>
      </w:r>
      <w:r w:rsidRPr="00C961D2">
        <w:rPr>
          <w:bdr w:val="none" w:sz="0" w:space="0" w:color="auto"/>
          <w:lang w:val="en-US"/>
        </w:rPr>
        <w:t xml:space="preserve"> to be observed, a defendant must be able to </w:t>
      </w:r>
      <w:r>
        <w:rPr>
          <w:bdr w:val="none" w:sz="0" w:space="0" w:color="auto"/>
          <w:lang w:val="en-US"/>
        </w:rPr>
        <w:t xml:space="preserve">exercise his rights and </w:t>
      </w:r>
      <w:r w:rsidRPr="00C961D2">
        <w:rPr>
          <w:bdr w:val="none" w:sz="0" w:space="0" w:color="auto"/>
          <w:lang w:val="en-US"/>
        </w:rPr>
        <w:t xml:space="preserve">defend </w:t>
      </w:r>
      <w:r w:rsidRPr="00C961D2">
        <w:rPr>
          <w:bdr w:val="none" w:sz="0" w:space="0" w:color="auto"/>
          <w:lang w:val="en-US"/>
        </w:rPr>
        <w:lastRenderedPageBreak/>
        <w:t>his interests</w:t>
      </w:r>
      <w:r>
        <w:rPr>
          <w:bdr w:val="none" w:sz="0" w:space="0" w:color="auto"/>
          <w:lang w:val="en-US"/>
        </w:rPr>
        <w:t xml:space="preserve"> </w:t>
      </w:r>
      <w:r w:rsidRPr="00C961D2">
        <w:rPr>
          <w:bdr w:val="none" w:sz="0" w:space="0" w:color="auto"/>
          <w:lang w:val="en-US"/>
        </w:rPr>
        <w:t xml:space="preserve">effectively and in full </w:t>
      </w:r>
      <w:r>
        <w:rPr>
          <w:bdr w:val="none" w:sz="0" w:space="0" w:color="auto"/>
          <w:lang w:val="en-US"/>
        </w:rPr>
        <w:t>procedural equality with other defendants</w:t>
      </w:r>
      <w:r w:rsidRPr="00DB55CD">
        <w:rPr>
          <w:bdr w:val="none" w:sz="0" w:space="0" w:color="auto"/>
          <w:vertAlign w:val="superscript"/>
        </w:rPr>
        <w:footnoteReference w:id="70"/>
      </w:r>
      <w:r w:rsidRPr="00C961D2">
        <w:rPr>
          <w:bdr w:val="none" w:sz="0" w:space="0" w:color="auto"/>
          <w:lang w:val="en-US"/>
        </w:rPr>
        <w:t xml:space="preserve"> </w:t>
      </w:r>
      <w:r>
        <w:rPr>
          <w:bdr w:val="none" w:sz="0" w:space="0" w:color="auto"/>
          <w:lang w:val="en-US"/>
        </w:rPr>
        <w:t>and must be fully informed of the charges against him.</w:t>
      </w:r>
      <w:r w:rsidRPr="00DB55CD">
        <w:rPr>
          <w:bdr w:val="none" w:sz="0" w:space="0" w:color="auto"/>
          <w:vertAlign w:val="superscript"/>
        </w:rPr>
        <w:footnoteReference w:id="71"/>
      </w:r>
      <w:r w:rsidRPr="00C961D2">
        <w:rPr>
          <w:bdr w:val="none" w:sz="0" w:space="0" w:color="auto"/>
          <w:lang w:val="en-US"/>
        </w:rPr>
        <w:t xml:space="preserve"> </w:t>
      </w:r>
    </w:p>
    <w:p w14:paraId="22783905" w14:textId="77777777" w:rsidR="00E6692A" w:rsidRPr="00C961D2" w:rsidRDefault="00E6692A" w:rsidP="00E6692A">
      <w:pPr>
        <w:pStyle w:val="ListParagraph"/>
        <w:rPr>
          <w:bdr w:val="none" w:sz="0" w:space="0" w:color="auto"/>
          <w:lang w:val="en-US"/>
        </w:rPr>
      </w:pPr>
    </w:p>
    <w:p w14:paraId="79302943" w14:textId="77777777" w:rsidR="00E6692A" w:rsidRPr="00CD5726" w:rsidRDefault="00E6692A" w:rsidP="00E6692A">
      <w:pPr>
        <w:pStyle w:val="parrafos"/>
        <w:numPr>
          <w:ilvl w:val="0"/>
          <w:numId w:val="0"/>
        </w:numPr>
        <w:rPr>
          <w:bdr w:val="none" w:sz="0" w:space="0" w:color="auto"/>
          <w:lang w:val="en-US"/>
        </w:rPr>
      </w:pPr>
      <w:r w:rsidRPr="00517B2B">
        <w:rPr>
          <w:lang w:val="en-US"/>
        </w:rPr>
        <w:t xml:space="preserve">67. </w:t>
      </w:r>
      <w:r>
        <w:rPr>
          <w:lang w:val="en-US"/>
        </w:rPr>
        <w:t>In the case of</w:t>
      </w:r>
      <w:r w:rsidRPr="00517B2B">
        <w:rPr>
          <w:lang w:val="en-US"/>
        </w:rPr>
        <w:t xml:space="preserve"> disciplinary </w:t>
      </w:r>
      <w:r>
        <w:rPr>
          <w:lang w:val="en-US"/>
        </w:rPr>
        <w:t>proceedings against</w:t>
      </w:r>
      <w:r w:rsidRPr="00517B2B">
        <w:rPr>
          <w:lang w:val="en-US"/>
        </w:rPr>
        <w:t xml:space="preserve"> justice operators, </w:t>
      </w:r>
      <w:r>
        <w:rPr>
          <w:lang w:val="en-US"/>
        </w:rPr>
        <w:t>various</w:t>
      </w:r>
      <w:r w:rsidRPr="00517B2B">
        <w:rPr>
          <w:lang w:val="en-US"/>
        </w:rPr>
        <w:t xml:space="preserve"> instruments of international law </w:t>
      </w:r>
      <w:r w:rsidRPr="002D411E">
        <w:rPr>
          <w:lang w:val="en-US"/>
        </w:rPr>
        <w:t>establish</w:t>
      </w:r>
      <w:r w:rsidRPr="00517B2B">
        <w:rPr>
          <w:lang w:val="en-US"/>
        </w:rPr>
        <w:t xml:space="preserve"> the</w:t>
      </w:r>
      <w:r>
        <w:rPr>
          <w:lang w:val="en-US"/>
        </w:rPr>
        <w:t>ir</w:t>
      </w:r>
      <w:r w:rsidRPr="00517B2B">
        <w:rPr>
          <w:lang w:val="en-US"/>
        </w:rPr>
        <w:t xml:space="preserve"> right to </w:t>
      </w:r>
      <w:r>
        <w:rPr>
          <w:lang w:val="en-US"/>
        </w:rPr>
        <w:t xml:space="preserve">be heard </w:t>
      </w:r>
      <w:r w:rsidRPr="00517B2B">
        <w:rPr>
          <w:lang w:val="en-US"/>
        </w:rPr>
        <w:t xml:space="preserve">in a </w:t>
      </w:r>
      <w:r w:rsidRPr="00191D78">
        <w:rPr>
          <w:lang w:val="en-US"/>
        </w:rPr>
        <w:t>disciplinary proceeding and to exercise their right of defense. In that regard, the Inter-American Court has indicated, in keeping with the United Nations Basic Principles on the Independence of the Judiciary, that the authority in charge of the disciplinary proceeding must behave in accordance with the procedure established for the purpose and allow the justice operator to exercise his or her right of defense.</w:t>
      </w:r>
      <w:r w:rsidRPr="00191D78">
        <w:rPr>
          <w:rStyle w:val="FootnoteReference"/>
        </w:rPr>
        <w:footnoteReference w:id="72"/>
      </w:r>
      <w:r w:rsidRPr="00191D78">
        <w:rPr>
          <w:lang w:val="en-US"/>
        </w:rPr>
        <w:t xml:space="preserve"> Likewise, the Venice Commission</w:t>
      </w:r>
      <w:r w:rsidRPr="00CD5726">
        <w:rPr>
          <w:lang w:val="en-US"/>
        </w:rPr>
        <w:t xml:space="preserve"> has recognized that prosecutors are entitled to be heard in adversarial proceedings,</w:t>
      </w:r>
      <w:r w:rsidRPr="00DB55CD">
        <w:rPr>
          <w:rStyle w:val="FootnoteReference"/>
        </w:rPr>
        <w:footnoteReference w:id="73"/>
      </w:r>
      <w:r w:rsidRPr="00CD5726">
        <w:rPr>
          <w:lang w:val="en-US"/>
        </w:rPr>
        <w:t xml:space="preserve"> and the Basic Principles on the Role of Lawyers, which also apply to public defenders, provide the </w:t>
      </w:r>
      <w:r>
        <w:rPr>
          <w:lang w:val="en-US"/>
        </w:rPr>
        <w:t>right to a fair hearing and the right to be assisted by a lawyer of their choice.</w:t>
      </w:r>
      <w:r w:rsidRPr="00DB55CD">
        <w:rPr>
          <w:rStyle w:val="FootnoteReference"/>
        </w:rPr>
        <w:footnoteReference w:id="74"/>
      </w:r>
    </w:p>
    <w:p w14:paraId="47ABF53D" w14:textId="77777777" w:rsidR="00E6692A" w:rsidRPr="00CD5726" w:rsidRDefault="00E6692A" w:rsidP="00E6692A">
      <w:pPr>
        <w:pStyle w:val="ListParagraph"/>
        <w:rPr>
          <w:bdr w:val="none" w:sz="0" w:space="0" w:color="auto"/>
          <w:lang w:val="en-US"/>
        </w:rPr>
      </w:pPr>
    </w:p>
    <w:p w14:paraId="2AEBEF6A" w14:textId="77777777" w:rsidR="00E6692A" w:rsidRPr="00F571A8" w:rsidRDefault="00E6692A" w:rsidP="00E6692A">
      <w:pPr>
        <w:pStyle w:val="parrafos"/>
        <w:numPr>
          <w:ilvl w:val="0"/>
          <w:numId w:val="0"/>
        </w:numPr>
        <w:rPr>
          <w:bdr w:val="none" w:sz="0" w:space="0" w:color="auto"/>
          <w:lang w:val="en-US"/>
        </w:rPr>
      </w:pPr>
      <w:r w:rsidRPr="00F571A8">
        <w:rPr>
          <w:lang w:val="en-US"/>
        </w:rPr>
        <w:t xml:space="preserve">68. In the </w:t>
      </w:r>
      <w:r w:rsidRPr="00F571A8">
        <w:rPr>
          <w:i/>
          <w:iCs/>
          <w:lang w:val="en-US"/>
        </w:rPr>
        <w:t>Case of the Constitutional Court v. Peru</w:t>
      </w:r>
      <w:r w:rsidRPr="00F571A8">
        <w:rPr>
          <w:lang w:val="en-US"/>
        </w:rPr>
        <w:t xml:space="preserve">, the Inter-American Court indicated that the period of time granted for exercising the right of defense, considering the need to examine the case and review the evidence, as well as the possibility </w:t>
      </w:r>
      <w:r>
        <w:rPr>
          <w:lang w:val="en-US"/>
        </w:rPr>
        <w:t>of</w:t>
      </w:r>
      <w:r w:rsidRPr="00F571A8">
        <w:rPr>
          <w:lang w:val="en-US"/>
        </w:rPr>
        <w:t xml:space="preserve"> cross-examin</w:t>
      </w:r>
      <w:r>
        <w:rPr>
          <w:lang w:val="en-US"/>
        </w:rPr>
        <w:t>ing</w:t>
      </w:r>
      <w:r w:rsidRPr="00F571A8">
        <w:rPr>
          <w:lang w:val="en-US"/>
        </w:rPr>
        <w:t xml:space="preserve"> the witnesses whose testimony formed the basis of th</w:t>
      </w:r>
      <w:r>
        <w:rPr>
          <w:lang w:val="en-US"/>
        </w:rPr>
        <w:t>e charge, constituted elements to be analyzed in considering whether it was possible for the dismissed justices to defend themselves.</w:t>
      </w:r>
      <w:r w:rsidRPr="00DB55CD">
        <w:rPr>
          <w:rStyle w:val="FootnoteReference"/>
        </w:rPr>
        <w:footnoteReference w:id="75"/>
      </w:r>
    </w:p>
    <w:p w14:paraId="384C8F93" w14:textId="77777777" w:rsidR="00E6692A" w:rsidRPr="00F571A8" w:rsidRDefault="00E6692A" w:rsidP="00E6692A">
      <w:pPr>
        <w:pStyle w:val="ListParagraph"/>
        <w:rPr>
          <w:bdr w:val="none" w:sz="0" w:space="0" w:color="auto"/>
          <w:lang w:val="en-US"/>
        </w:rPr>
      </w:pPr>
    </w:p>
    <w:p w14:paraId="6C2CBA9D" w14:textId="77777777" w:rsidR="00E6692A" w:rsidRPr="00EE6D01" w:rsidRDefault="00E6692A" w:rsidP="00E6692A">
      <w:pPr>
        <w:pStyle w:val="parrafos"/>
        <w:numPr>
          <w:ilvl w:val="0"/>
          <w:numId w:val="0"/>
        </w:numPr>
        <w:rPr>
          <w:bdr w:val="none" w:sz="0" w:space="0" w:color="auto"/>
          <w:lang w:val="en-US"/>
        </w:rPr>
      </w:pPr>
      <w:r w:rsidRPr="00EE6D01">
        <w:rPr>
          <w:lang w:val="en-US"/>
        </w:rPr>
        <w:t>69. The Inter-American Commission observes that in the instant case, the four justices of the Constitutional Chamber of the Supreme Court did not have the opportunity to be heard and to prepare an adequate d</w:t>
      </w:r>
      <w:r>
        <w:rPr>
          <w:lang w:val="en-US"/>
        </w:rPr>
        <w:t xml:space="preserve">efense. </w:t>
      </w:r>
      <w:r w:rsidRPr="00EE6D01">
        <w:rPr>
          <w:lang w:val="en-US"/>
        </w:rPr>
        <w:t xml:space="preserve">The Commission notes that neither the Special Committee nor the National Congress summoned the alleged victims involved to exercise their right of defense, since among other aspects of the act of </w:t>
      </w:r>
      <w:r w:rsidRPr="00EE6D01">
        <w:rPr>
          <w:bdr w:val="none" w:sz="0" w:space="0" w:color="auto"/>
          <w:lang w:val="en-US"/>
        </w:rPr>
        <w:t>separation</w:t>
      </w:r>
      <w:r>
        <w:rPr>
          <w:lang w:val="en-US"/>
        </w:rPr>
        <w:t xml:space="preserve">, it was held through a summary proceeding, as established above. </w:t>
      </w:r>
    </w:p>
    <w:p w14:paraId="0B000C6E" w14:textId="77777777" w:rsidR="00E6692A" w:rsidRPr="00EE6D01" w:rsidRDefault="00E6692A" w:rsidP="00E6692A">
      <w:pPr>
        <w:pStyle w:val="ListParagraph"/>
        <w:rPr>
          <w:bdr w:val="none" w:sz="0" w:space="0" w:color="auto"/>
          <w:lang w:val="en-US"/>
        </w:rPr>
      </w:pPr>
    </w:p>
    <w:p w14:paraId="1BE980F3" w14:textId="77777777" w:rsidR="00E6692A" w:rsidRPr="00EE6D01" w:rsidRDefault="00E6692A" w:rsidP="00E6692A">
      <w:pPr>
        <w:pStyle w:val="parrafos"/>
        <w:numPr>
          <w:ilvl w:val="0"/>
          <w:numId w:val="0"/>
        </w:numPr>
        <w:rPr>
          <w:bdr w:val="none" w:sz="0" w:space="0" w:color="auto"/>
          <w:lang w:val="en-US"/>
        </w:rPr>
      </w:pPr>
      <w:r w:rsidRPr="00EE6D01">
        <w:rPr>
          <w:bdr w:val="none" w:sz="0" w:space="0" w:color="auto"/>
          <w:lang w:val="en-US"/>
        </w:rPr>
        <w:t xml:space="preserve">70. Specifically, the Commission notes that the justices were not even legally notified beforehand </w:t>
      </w:r>
      <w:r>
        <w:rPr>
          <w:bdr w:val="none" w:sz="0" w:space="0" w:color="auto"/>
          <w:lang w:val="en-US"/>
        </w:rPr>
        <w:t xml:space="preserve">of </w:t>
      </w:r>
      <w:r w:rsidRPr="00EE6D01">
        <w:rPr>
          <w:bdr w:val="none" w:sz="0" w:space="0" w:color="auto"/>
          <w:lang w:val="en-US"/>
        </w:rPr>
        <w:t xml:space="preserve">some sort of charge or </w:t>
      </w:r>
      <w:r>
        <w:rPr>
          <w:bdr w:val="none" w:sz="0" w:space="0" w:color="auto"/>
          <w:lang w:val="en-US"/>
        </w:rPr>
        <w:t xml:space="preserve">the </w:t>
      </w:r>
      <w:r w:rsidRPr="00EE6D01">
        <w:rPr>
          <w:bdr w:val="none" w:sz="0" w:space="0" w:color="auto"/>
          <w:lang w:val="en-US"/>
        </w:rPr>
        <w:t xml:space="preserve">opening of a disciplinary proceeding; nor were they summoned to testify before the Special Committee of Deputies or before the </w:t>
      </w:r>
      <w:r>
        <w:rPr>
          <w:bdr w:val="none" w:sz="0" w:space="0" w:color="auto"/>
          <w:lang w:val="en-US"/>
        </w:rPr>
        <w:t xml:space="preserve">National </w:t>
      </w:r>
      <w:r w:rsidRPr="00EE6D01">
        <w:rPr>
          <w:bdr w:val="none" w:sz="0" w:space="0" w:color="auto"/>
          <w:lang w:val="en-US"/>
        </w:rPr>
        <w:t xml:space="preserve">Congress that determined their </w:t>
      </w:r>
      <w:r>
        <w:rPr>
          <w:bdr w:val="none" w:sz="0" w:space="0" w:color="auto"/>
          <w:lang w:val="en-US"/>
        </w:rPr>
        <w:t xml:space="preserve">removal from office. </w:t>
      </w:r>
      <w:r w:rsidRPr="00EE6D01">
        <w:rPr>
          <w:bdr w:val="none" w:sz="0" w:space="0" w:color="auto"/>
          <w:lang w:val="en-US"/>
        </w:rPr>
        <w:t xml:space="preserve">In addition, the Commission observes that the alleged victims did not have the opportunity to dispute the arguments that formed the basis for their dismissal, or to present evidence to be analyzed by the relevant authorities. </w:t>
      </w:r>
    </w:p>
    <w:p w14:paraId="6804AB76" w14:textId="77777777" w:rsidR="00E6692A" w:rsidRPr="00EE6D01" w:rsidRDefault="00E6692A" w:rsidP="00E6692A">
      <w:pPr>
        <w:pStyle w:val="ListParagraph"/>
        <w:rPr>
          <w:bdr w:val="none" w:sz="0" w:space="0" w:color="auto"/>
          <w:lang w:val="en-US"/>
        </w:rPr>
      </w:pPr>
    </w:p>
    <w:p w14:paraId="1632CF1F" w14:textId="77777777" w:rsidR="00E6692A" w:rsidRPr="00845FE0" w:rsidRDefault="00E6692A" w:rsidP="00E6692A">
      <w:pPr>
        <w:pStyle w:val="parrafos"/>
        <w:numPr>
          <w:ilvl w:val="0"/>
          <w:numId w:val="0"/>
        </w:numPr>
        <w:rPr>
          <w:bdr w:val="none" w:sz="0" w:space="0" w:color="auto"/>
          <w:lang w:val="en-US"/>
        </w:rPr>
      </w:pPr>
      <w:r w:rsidRPr="005A7BF0">
        <w:rPr>
          <w:bdr w:val="none" w:sz="0" w:space="0" w:color="auto"/>
          <w:lang w:val="en-US"/>
        </w:rPr>
        <w:t>71. Moreover, the Commission considers that the speed by which the Congress determined the maximum penalty against the four justices of the Constitutional Chamber violated their right of defense. The evidence shows that on December 10, 2012, the Congress created a Special Committee to investigate the alleged victims’ administrative conduct; on the evening of December 11, 2012, th</w:t>
      </w:r>
      <w:r>
        <w:rPr>
          <w:bdr w:val="none" w:sz="0" w:space="0" w:color="auto"/>
          <w:lang w:val="en-US"/>
        </w:rPr>
        <w:t xml:space="preserve">e Congress approved the Special Committee’s report; and in the early morning hours of December </w:t>
      </w:r>
      <w:r w:rsidRPr="005A7BF0">
        <w:rPr>
          <w:bdr w:val="none" w:sz="0" w:space="0" w:color="auto"/>
          <w:lang w:val="en-US"/>
        </w:rPr>
        <w:t>12</w:t>
      </w:r>
      <w:r>
        <w:rPr>
          <w:bdr w:val="none" w:sz="0" w:space="0" w:color="auto"/>
          <w:lang w:val="en-US"/>
        </w:rPr>
        <w:t xml:space="preserve">, </w:t>
      </w:r>
      <w:r w:rsidRPr="005A7BF0">
        <w:rPr>
          <w:bdr w:val="none" w:sz="0" w:space="0" w:color="auto"/>
          <w:lang w:val="en-US"/>
        </w:rPr>
        <w:t>2012</w:t>
      </w:r>
      <w:r>
        <w:rPr>
          <w:bdr w:val="none" w:sz="0" w:space="0" w:color="auto"/>
          <w:lang w:val="en-US"/>
        </w:rPr>
        <w:t xml:space="preserve">—only hours later, it must be said—the justices were dismissed. </w:t>
      </w:r>
      <w:r w:rsidRPr="00845FE0">
        <w:rPr>
          <w:bdr w:val="none" w:sz="0" w:space="0" w:color="auto"/>
          <w:lang w:val="en-US"/>
        </w:rPr>
        <w:t>The Commission deems that</w:t>
      </w:r>
      <w:r>
        <w:rPr>
          <w:bdr w:val="none" w:sz="0" w:space="0" w:color="auto"/>
          <w:lang w:val="en-US"/>
        </w:rPr>
        <w:t xml:space="preserve"> </w:t>
      </w:r>
      <w:r w:rsidRPr="00845FE0">
        <w:rPr>
          <w:bdr w:val="none" w:sz="0" w:space="0" w:color="auto"/>
          <w:lang w:val="en-US"/>
        </w:rPr>
        <w:t xml:space="preserve">the excessive speed with which the </w:t>
      </w:r>
      <w:r>
        <w:rPr>
          <w:bdr w:val="none" w:sz="0" w:space="0" w:color="auto"/>
          <w:lang w:val="en-US"/>
        </w:rPr>
        <w:t>Congress acted allowed no room for even a minimal defense on technical or material grounds on the part of the alleged victims.</w:t>
      </w:r>
    </w:p>
    <w:p w14:paraId="36409867" w14:textId="77777777" w:rsidR="00E6692A" w:rsidRPr="00845FE0" w:rsidRDefault="00E6692A" w:rsidP="00E6692A">
      <w:pPr>
        <w:pStyle w:val="ListParagraph"/>
        <w:rPr>
          <w:lang w:val="en-US"/>
        </w:rPr>
      </w:pPr>
    </w:p>
    <w:p w14:paraId="67236D79" w14:textId="77777777" w:rsidR="00E6692A" w:rsidRPr="001767F4" w:rsidRDefault="00E6692A" w:rsidP="00E6692A">
      <w:pPr>
        <w:pStyle w:val="parrafos"/>
        <w:numPr>
          <w:ilvl w:val="0"/>
          <w:numId w:val="0"/>
        </w:numPr>
        <w:rPr>
          <w:bdr w:val="none" w:sz="0" w:space="0" w:color="auto"/>
          <w:lang w:val="en-US"/>
        </w:rPr>
      </w:pPr>
      <w:r w:rsidRPr="001767F4">
        <w:rPr>
          <w:lang w:val="en-US"/>
        </w:rPr>
        <w:t xml:space="preserve">72. Finally, the Commission </w:t>
      </w:r>
      <w:r>
        <w:rPr>
          <w:lang w:val="en-US"/>
        </w:rPr>
        <w:t>takes note</w:t>
      </w:r>
      <w:r w:rsidRPr="001767F4">
        <w:rPr>
          <w:lang w:val="en-US"/>
        </w:rPr>
        <w:t xml:space="preserve"> that the </w:t>
      </w:r>
      <w:r w:rsidRPr="001767F4">
        <w:rPr>
          <w:bdr w:val="none" w:sz="0" w:space="0" w:color="auto"/>
          <w:lang w:val="en-US"/>
        </w:rPr>
        <w:t xml:space="preserve">four justices of the Constitutional Chamber learned </w:t>
      </w:r>
      <w:r>
        <w:rPr>
          <w:bdr w:val="none" w:sz="0" w:space="0" w:color="auto"/>
          <w:lang w:val="en-US"/>
        </w:rPr>
        <w:t>that they had been removed from office</w:t>
      </w:r>
      <w:r w:rsidRPr="001767F4">
        <w:rPr>
          <w:bdr w:val="none" w:sz="0" w:space="0" w:color="auto"/>
          <w:lang w:val="en-US"/>
        </w:rPr>
        <w:t xml:space="preserve"> after the Congress had already announced the sanction, </w:t>
      </w:r>
      <w:r>
        <w:rPr>
          <w:bdr w:val="none" w:sz="0" w:space="0" w:color="auto"/>
          <w:lang w:val="en-US"/>
        </w:rPr>
        <w:t>as</w:t>
      </w:r>
      <w:r w:rsidRPr="001767F4">
        <w:rPr>
          <w:bdr w:val="none" w:sz="0" w:space="0" w:color="auto"/>
          <w:lang w:val="en-US"/>
        </w:rPr>
        <w:t xml:space="preserve"> they were never provided official noti</w:t>
      </w:r>
      <w:r>
        <w:rPr>
          <w:bdr w:val="none" w:sz="0" w:space="0" w:color="auto"/>
          <w:lang w:val="en-US"/>
        </w:rPr>
        <w:t>fication</w:t>
      </w:r>
      <w:r w:rsidRPr="001767F4">
        <w:rPr>
          <w:bdr w:val="none" w:sz="0" w:space="0" w:color="auto"/>
          <w:lang w:val="en-US"/>
        </w:rPr>
        <w:t xml:space="preserve"> of their dismissal.</w:t>
      </w:r>
      <w:r w:rsidRPr="001767F4">
        <w:rPr>
          <w:lang w:val="en-US"/>
        </w:rPr>
        <w:t xml:space="preserve"> </w:t>
      </w:r>
    </w:p>
    <w:p w14:paraId="552BB4CA" w14:textId="77777777" w:rsidR="00E6692A" w:rsidRPr="001767F4" w:rsidRDefault="00E6692A" w:rsidP="00E6692A">
      <w:pPr>
        <w:pStyle w:val="ListParagraph"/>
        <w:rPr>
          <w:bdr w:val="none" w:sz="0" w:space="0" w:color="auto"/>
          <w:lang w:val="en-US"/>
        </w:rPr>
      </w:pPr>
    </w:p>
    <w:p w14:paraId="08C39090" w14:textId="77777777" w:rsidR="00E6692A" w:rsidRPr="00BB7BDC" w:rsidRDefault="00E6692A" w:rsidP="00E6692A">
      <w:pPr>
        <w:pStyle w:val="parrafos"/>
        <w:numPr>
          <w:ilvl w:val="0"/>
          <w:numId w:val="0"/>
        </w:numPr>
        <w:rPr>
          <w:bdr w:val="none" w:sz="0" w:space="0" w:color="auto"/>
          <w:lang w:val="en-US"/>
        </w:rPr>
      </w:pPr>
      <w:r w:rsidRPr="001767F4">
        <w:rPr>
          <w:rFonts w:ascii="Cambria" w:hAnsi="Cambria"/>
          <w:lang w:val="en-US"/>
        </w:rPr>
        <w:t xml:space="preserve">73. In </w:t>
      </w:r>
      <w:r>
        <w:rPr>
          <w:rFonts w:ascii="Cambria" w:hAnsi="Cambria"/>
          <w:lang w:val="en-US"/>
        </w:rPr>
        <w:t>view</w:t>
      </w:r>
      <w:r w:rsidRPr="001767F4">
        <w:rPr>
          <w:rFonts w:ascii="Cambria" w:hAnsi="Cambria"/>
          <w:lang w:val="en-US"/>
        </w:rPr>
        <w:t xml:space="preserve"> of the foregoing considerations, the IACHR considers that the Honduran State is responsible for violating the rights established in Articles </w:t>
      </w:r>
      <w:r w:rsidRPr="001767F4">
        <w:rPr>
          <w:lang w:val="en-US"/>
        </w:rPr>
        <w:t xml:space="preserve">8(1) and 8(2)(b), (c), and (d) </w:t>
      </w:r>
      <w:r>
        <w:rPr>
          <w:lang w:val="en-US"/>
        </w:rPr>
        <w:t xml:space="preserve">of the American Convention in </w:t>
      </w:r>
      <w:r>
        <w:rPr>
          <w:lang w:val="en-US"/>
        </w:rPr>
        <w:lastRenderedPageBreak/>
        <w:t xml:space="preserve">connection with Article 1(1) thereof, to the detriment of </w:t>
      </w:r>
      <w:r w:rsidRPr="001767F4">
        <w:rPr>
          <w:lang w:val="en-US"/>
        </w:rPr>
        <w:t xml:space="preserve">José Antonio Gutiérrez Navas, Rosalinda Cruz Sequeira, José </w:t>
      </w:r>
      <w:r w:rsidRPr="00BB7BDC">
        <w:rPr>
          <w:lang w:val="en-US"/>
        </w:rPr>
        <w:t>Francisco Ruiz Gaekel, and Gustavo Enrique Bustillo Palma.</w:t>
      </w:r>
    </w:p>
    <w:p w14:paraId="518D9C5C" w14:textId="77777777" w:rsidR="00E6692A" w:rsidRPr="00BB7BDC" w:rsidRDefault="00E6692A" w:rsidP="00E6692A">
      <w:pPr>
        <w:pStyle w:val="ListParagraph"/>
        <w:rPr>
          <w:bdr w:val="none" w:sz="0" w:space="0" w:color="auto"/>
          <w:lang w:val="en-US"/>
        </w:rPr>
      </w:pPr>
    </w:p>
    <w:p w14:paraId="40B44A2B" w14:textId="77777777" w:rsidR="00E6692A" w:rsidRPr="00E14577" w:rsidRDefault="00E6692A" w:rsidP="00E6692A">
      <w:pPr>
        <w:pStyle w:val="parrafos"/>
        <w:numPr>
          <w:ilvl w:val="0"/>
          <w:numId w:val="0"/>
        </w:numPr>
        <w:rPr>
          <w:lang w:val="en-US"/>
        </w:rPr>
      </w:pPr>
      <w:r w:rsidRPr="00217931">
        <w:rPr>
          <w:lang w:val="en-US"/>
        </w:rPr>
        <w:t>74</w:t>
      </w:r>
      <w:r w:rsidRPr="00D32D30">
        <w:rPr>
          <w:lang w:val="en-US"/>
        </w:rPr>
        <w:t>. As to the obligation to provide grounds for decisions, inter-American case law has indicated that this translates into the</w:t>
      </w:r>
      <w:r w:rsidRPr="00217931">
        <w:rPr>
          <w:lang w:val="en-US"/>
        </w:rPr>
        <w:t xml:space="preserve"> “reasoned justification” that allows the judge to </w:t>
      </w:r>
      <w:r>
        <w:rPr>
          <w:lang w:val="en-US"/>
        </w:rPr>
        <w:t>arrive at a conclusion.</w:t>
      </w:r>
      <w:r w:rsidRPr="00DB55CD">
        <w:rPr>
          <w:rStyle w:val="FootnoteReference"/>
          <w:rFonts w:ascii="Cambria" w:hAnsi="Cambria" w:cs="Verdana"/>
          <w:lang w:val="es-UY"/>
        </w:rPr>
        <w:footnoteReference w:id="76"/>
      </w:r>
      <w:r w:rsidRPr="00217931">
        <w:rPr>
          <w:lang w:val="en-US"/>
        </w:rPr>
        <w:t xml:space="preserve"> </w:t>
      </w:r>
      <w:r w:rsidRPr="00DE7EA5">
        <w:rPr>
          <w:lang w:val="en-US"/>
        </w:rPr>
        <w:t>The Court has indicated that this “is a guarantee related to the correct administration of justice, which protects the right of the people to be tried for the reasons established by law and grants credibility to judicial decisions in a democratic society.”</w:t>
      </w:r>
      <w:r w:rsidRPr="00DB55CD">
        <w:rPr>
          <w:rStyle w:val="FootnoteReference"/>
          <w:rFonts w:ascii="Cambria" w:hAnsi="Cambria"/>
          <w:lang w:val="es-AR"/>
        </w:rPr>
        <w:footnoteReference w:id="77"/>
      </w:r>
      <w:r w:rsidRPr="00DE7EA5">
        <w:rPr>
          <w:lang w:val="en-US"/>
        </w:rPr>
        <w:t xml:space="preserve"> </w:t>
      </w:r>
      <w:r w:rsidRPr="00360AEA">
        <w:rPr>
          <w:lang w:val="en-US"/>
        </w:rPr>
        <w:t xml:space="preserve">According to the Inter-American Court, administrative disciplinary decisions must indicate the violation precisely </w:t>
      </w:r>
      <w:r w:rsidRPr="007868D4">
        <w:rPr>
          <w:lang w:val="en-US"/>
        </w:rPr>
        <w:t xml:space="preserve">and submit arguments that allow it to be concluded that what occurred is </w:t>
      </w:r>
      <w:r>
        <w:rPr>
          <w:lang w:val="en-US"/>
        </w:rPr>
        <w:t>sufficiently serious</w:t>
      </w:r>
      <w:r w:rsidRPr="007868D4">
        <w:rPr>
          <w:lang w:val="en-US"/>
        </w:rPr>
        <w:t xml:space="preserve"> to justify removing [a public official] from a post.</w:t>
      </w:r>
      <w:r w:rsidRPr="007868D4">
        <w:rPr>
          <w:rStyle w:val="FootnoteReference"/>
          <w:rFonts w:ascii="Cambria" w:hAnsi="Cambria"/>
          <w:lang w:val="es-AR"/>
        </w:rPr>
        <w:footnoteReference w:id="78"/>
      </w:r>
      <w:r w:rsidRPr="00360AEA">
        <w:rPr>
          <w:lang w:val="en-US"/>
        </w:rPr>
        <w:t xml:space="preserve"> </w:t>
      </w:r>
      <w:r w:rsidRPr="00E14577">
        <w:rPr>
          <w:lang w:val="en-US"/>
        </w:rPr>
        <w:t>Moreover, the requirement for proper justification is extremely important because the purpose of disciplinary oversight is to assess a public official</w:t>
      </w:r>
      <w:r>
        <w:rPr>
          <w:lang w:val="en-US"/>
        </w:rPr>
        <w:t xml:space="preserve">’s </w:t>
      </w:r>
      <w:r w:rsidRPr="00E14577">
        <w:rPr>
          <w:lang w:val="en-US"/>
        </w:rPr>
        <w:t>conduct, suitability</w:t>
      </w:r>
      <w:r>
        <w:rPr>
          <w:lang w:val="en-US"/>
        </w:rPr>
        <w:t>,</w:t>
      </w:r>
      <w:r w:rsidRPr="00E14577">
        <w:rPr>
          <w:lang w:val="en-US"/>
        </w:rPr>
        <w:t xml:space="preserve"> and performance, and </w:t>
      </w:r>
      <w:r w:rsidRPr="001B6201">
        <w:rPr>
          <w:lang w:val="en-US"/>
        </w:rPr>
        <w:t>therefore it is in the justification itself where the seriousness of the conduct and the proportionality of the sanction should be analyzed.</w:t>
      </w:r>
      <w:r w:rsidRPr="001B6201">
        <w:rPr>
          <w:rStyle w:val="FootnoteReference"/>
          <w:rFonts w:ascii="Cambria" w:hAnsi="Cambria" w:cs="Calibri"/>
        </w:rPr>
        <w:footnoteReference w:id="79"/>
      </w:r>
    </w:p>
    <w:p w14:paraId="5F8E17CE" w14:textId="77777777" w:rsidR="00E6692A" w:rsidRPr="00E14577" w:rsidRDefault="00E6692A" w:rsidP="00E6692A">
      <w:pPr>
        <w:pStyle w:val="parrafos"/>
        <w:numPr>
          <w:ilvl w:val="0"/>
          <w:numId w:val="0"/>
        </w:numPr>
        <w:rPr>
          <w:lang w:val="en-US"/>
        </w:rPr>
      </w:pPr>
    </w:p>
    <w:p w14:paraId="69341EE9" w14:textId="77777777" w:rsidR="00E6692A" w:rsidRPr="007E1F7D" w:rsidRDefault="00E6692A" w:rsidP="00E6692A">
      <w:pPr>
        <w:pStyle w:val="parrafos"/>
        <w:numPr>
          <w:ilvl w:val="0"/>
          <w:numId w:val="0"/>
        </w:numPr>
        <w:rPr>
          <w:lang w:val="en-US"/>
        </w:rPr>
      </w:pPr>
      <w:r w:rsidRPr="00E14577">
        <w:rPr>
          <w:lang w:val="en-US" w:eastAsia="ko-KR"/>
        </w:rPr>
        <w:t>75. In this regard, it is not the IACHR</w:t>
      </w:r>
      <w:r>
        <w:rPr>
          <w:lang w:val="en-US" w:eastAsia="ko-KR"/>
        </w:rPr>
        <w:t>’s role</w:t>
      </w:r>
      <w:r w:rsidRPr="00E14577">
        <w:rPr>
          <w:lang w:val="en-US" w:eastAsia="ko-KR"/>
        </w:rPr>
        <w:t xml:space="preserve"> to determine whether the laws being challenged were in fact unconstitutional, or whether the decisions issued by the Constitutional </w:t>
      </w:r>
      <w:r>
        <w:rPr>
          <w:lang w:val="en-US" w:eastAsia="ko-KR"/>
        </w:rPr>
        <w:t>Chamber</w:t>
      </w:r>
      <w:r w:rsidRPr="00E14577">
        <w:rPr>
          <w:lang w:val="en-US" w:eastAsia="ko-KR"/>
        </w:rPr>
        <w:t xml:space="preserve"> in</w:t>
      </w:r>
      <w:r>
        <w:rPr>
          <w:lang w:val="en-US" w:eastAsia="ko-KR"/>
        </w:rPr>
        <w:t xml:space="preserve"> relation to those cases were correct, nor whether the alleged victims committed administrative irregularities. </w:t>
      </w:r>
      <w:r w:rsidRPr="007E1F7D">
        <w:rPr>
          <w:lang w:val="en-US" w:eastAsia="ko-KR"/>
        </w:rPr>
        <w:t xml:space="preserve">However, under the standards cited with regard to judicial independence and under the domestic legal framework itself, in a case such as </w:t>
      </w:r>
      <w:r>
        <w:rPr>
          <w:lang w:val="en-US" w:eastAsia="ko-KR"/>
        </w:rPr>
        <w:t xml:space="preserve">the one at hand </w:t>
      </w:r>
      <w:r w:rsidRPr="007E1F7D">
        <w:rPr>
          <w:lang w:val="en-US" w:eastAsia="ko-KR"/>
        </w:rPr>
        <w:t xml:space="preserve">it was the obligation of the authority that decided </w:t>
      </w:r>
      <w:r>
        <w:rPr>
          <w:lang w:val="en-US" w:eastAsia="ko-KR"/>
        </w:rPr>
        <w:t>up</w:t>
      </w:r>
      <w:r w:rsidRPr="007E1F7D">
        <w:rPr>
          <w:lang w:val="en-US" w:eastAsia="ko-KR"/>
        </w:rPr>
        <w:t>on the alle</w:t>
      </w:r>
      <w:r>
        <w:rPr>
          <w:lang w:val="en-US" w:eastAsia="ko-KR"/>
        </w:rPr>
        <w:t>ged victims’ dismissal, in this case the National Congress, to provide a justification that would clearly establish the reasons for the determination to impose</w:t>
      </w:r>
      <w:r w:rsidRPr="007E1F7D">
        <w:rPr>
          <w:lang w:val="en-US" w:eastAsia="ko-KR"/>
        </w:rPr>
        <w:t xml:space="preserve"> </w:t>
      </w:r>
      <w:r>
        <w:rPr>
          <w:lang w:val="en-US" w:eastAsia="ko-KR"/>
        </w:rPr>
        <w:t xml:space="preserve">the most severe sanction. </w:t>
      </w:r>
    </w:p>
    <w:p w14:paraId="0F92D220" w14:textId="77777777" w:rsidR="00E6692A" w:rsidRPr="007E1F7D" w:rsidRDefault="00E6692A" w:rsidP="00E6692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Pr>
          <w:rFonts w:asciiTheme="majorHAnsi" w:hAnsiTheme="majorHAnsi"/>
          <w:sz w:val="20"/>
          <w:szCs w:val="20"/>
          <w:lang w:val="en-US"/>
        </w:rPr>
      </w:pPr>
    </w:p>
    <w:p w14:paraId="0E93C44F" w14:textId="77777777" w:rsidR="00E6692A" w:rsidRPr="00E15222" w:rsidRDefault="00E6692A" w:rsidP="00E6692A">
      <w:pPr>
        <w:pStyle w:val="parrafos"/>
        <w:numPr>
          <w:ilvl w:val="0"/>
          <w:numId w:val="0"/>
        </w:numPr>
        <w:rPr>
          <w:lang w:val="en-US" w:eastAsia="ko-KR"/>
        </w:rPr>
      </w:pPr>
      <w:r w:rsidRPr="001C214F">
        <w:rPr>
          <w:lang w:val="en-US"/>
        </w:rPr>
        <w:t xml:space="preserve">76.  </w:t>
      </w:r>
      <w:r>
        <w:rPr>
          <w:lang w:val="en-US"/>
        </w:rPr>
        <w:t>On that point</w:t>
      </w:r>
      <w:r w:rsidRPr="00CC528B">
        <w:rPr>
          <w:lang w:val="en-US"/>
        </w:rPr>
        <w:t>, the Commission considers that Decree No.</w:t>
      </w:r>
      <w:r>
        <w:rPr>
          <w:lang w:val="en-US"/>
        </w:rPr>
        <w:t xml:space="preserve"> </w:t>
      </w:r>
      <w:r w:rsidRPr="00CC528B">
        <w:rPr>
          <w:lang w:val="en-US"/>
        </w:rPr>
        <w:t xml:space="preserve">191-2012 fails to provide any justification and simply indicates that </w:t>
      </w:r>
      <w:r>
        <w:rPr>
          <w:lang w:val="en-US"/>
        </w:rPr>
        <w:t xml:space="preserve">there was disapproval of </w:t>
      </w:r>
      <w:r w:rsidRPr="00CC528B">
        <w:rPr>
          <w:lang w:val="en-US"/>
        </w:rPr>
        <w:t>the administrative conduct of the four justices of the Constitutional Chambe</w:t>
      </w:r>
      <w:r>
        <w:rPr>
          <w:lang w:val="en-US"/>
        </w:rPr>
        <w:t>r</w:t>
      </w:r>
      <w:r w:rsidRPr="00CC528B">
        <w:rPr>
          <w:lang w:val="en-US"/>
        </w:rPr>
        <w:t>, and that their positions had been left vacant in accordance with Article 205</w:t>
      </w:r>
      <w:r>
        <w:rPr>
          <w:lang w:val="en-US"/>
        </w:rPr>
        <w:t>,</w:t>
      </w:r>
      <w:r w:rsidRPr="00CC528B">
        <w:rPr>
          <w:lang w:val="en-US"/>
        </w:rPr>
        <w:t xml:space="preserve"> </w:t>
      </w:r>
      <w:r>
        <w:rPr>
          <w:lang w:val="en-US"/>
        </w:rPr>
        <w:t xml:space="preserve">paragraphs </w:t>
      </w:r>
      <w:r w:rsidRPr="00CC528B">
        <w:rPr>
          <w:lang w:val="en-US"/>
        </w:rPr>
        <w:t xml:space="preserve">20 </w:t>
      </w:r>
      <w:r>
        <w:rPr>
          <w:lang w:val="en-US"/>
        </w:rPr>
        <w:t>and</w:t>
      </w:r>
      <w:r w:rsidRPr="00CC528B">
        <w:rPr>
          <w:lang w:val="en-US"/>
        </w:rPr>
        <w:t xml:space="preserve"> 21</w:t>
      </w:r>
      <w:r>
        <w:rPr>
          <w:lang w:val="en-US"/>
        </w:rPr>
        <w:t>,</w:t>
      </w:r>
      <w:r w:rsidRPr="00CC528B">
        <w:rPr>
          <w:lang w:val="en-US"/>
        </w:rPr>
        <w:t xml:space="preserve"> </w:t>
      </w:r>
      <w:r>
        <w:rPr>
          <w:lang w:val="en-US"/>
        </w:rPr>
        <w:t>of the Constitution</w:t>
      </w:r>
      <w:r w:rsidRPr="00CC528B">
        <w:rPr>
          <w:lang w:val="en-US"/>
        </w:rPr>
        <w:t xml:space="preserve">. The Commission </w:t>
      </w:r>
      <w:r>
        <w:rPr>
          <w:lang w:val="en-US"/>
        </w:rPr>
        <w:t>takes note</w:t>
      </w:r>
      <w:r w:rsidRPr="00CC528B">
        <w:rPr>
          <w:lang w:val="en-US"/>
        </w:rPr>
        <w:t xml:space="preserve"> that the decision of </w:t>
      </w:r>
      <w:r>
        <w:rPr>
          <w:lang w:val="en-US"/>
        </w:rPr>
        <w:t>dismissal</w:t>
      </w:r>
      <w:r w:rsidRPr="00CC528B">
        <w:rPr>
          <w:lang w:val="en-US"/>
        </w:rPr>
        <w:t xml:space="preserve"> does not include a</w:t>
      </w:r>
      <w:r>
        <w:rPr>
          <w:lang w:val="en-US"/>
        </w:rPr>
        <w:t>ny</w:t>
      </w:r>
      <w:r w:rsidRPr="00CC528B">
        <w:rPr>
          <w:lang w:val="en-US"/>
        </w:rPr>
        <w:t xml:space="preserve"> precise indication of what, in the judgment of the </w:t>
      </w:r>
      <w:r>
        <w:rPr>
          <w:lang w:val="en-US"/>
        </w:rPr>
        <w:t xml:space="preserve">Honduran </w:t>
      </w:r>
      <w:r w:rsidRPr="00CC528B">
        <w:rPr>
          <w:lang w:val="en-US"/>
        </w:rPr>
        <w:t xml:space="preserve">Congress, may have constituted a serious offense or even the alleged </w:t>
      </w:r>
      <w:r>
        <w:rPr>
          <w:lang w:val="en-US"/>
        </w:rPr>
        <w:t>“</w:t>
      </w:r>
      <w:r w:rsidRPr="0008200B">
        <w:rPr>
          <w:lang w:val="en-US"/>
        </w:rPr>
        <w:t>disapproved administrative conduct</w:t>
      </w:r>
      <w:r>
        <w:rPr>
          <w:lang w:val="en-US"/>
        </w:rPr>
        <w:t xml:space="preserve">” on the part of the justices. </w:t>
      </w:r>
      <w:r w:rsidRPr="00E15222">
        <w:rPr>
          <w:lang w:val="en-US"/>
        </w:rPr>
        <w:t>The terse line</w:t>
      </w:r>
      <w:r>
        <w:rPr>
          <w:lang w:val="en-US"/>
        </w:rPr>
        <w:t>s</w:t>
      </w:r>
      <w:r w:rsidRPr="00E15222">
        <w:rPr>
          <w:lang w:val="en-US"/>
        </w:rPr>
        <w:t xml:space="preserve"> </w:t>
      </w:r>
      <w:r>
        <w:rPr>
          <w:lang w:val="en-US"/>
        </w:rPr>
        <w:t xml:space="preserve">of the </w:t>
      </w:r>
      <w:r w:rsidRPr="00E15222">
        <w:rPr>
          <w:lang w:val="en-US"/>
        </w:rPr>
        <w:t>decree in question</w:t>
      </w:r>
      <w:r>
        <w:rPr>
          <w:lang w:val="en-US"/>
        </w:rPr>
        <w:t xml:space="preserve"> </w:t>
      </w:r>
      <w:r w:rsidRPr="00E15222">
        <w:rPr>
          <w:lang w:val="en-US"/>
        </w:rPr>
        <w:t xml:space="preserve">did not develop arguments that would make it possible to conclude that the comments on the alleged victims’ conduct </w:t>
      </w:r>
      <w:r>
        <w:rPr>
          <w:lang w:val="en-US"/>
        </w:rPr>
        <w:t>were</w:t>
      </w:r>
      <w:r w:rsidRPr="00E15222">
        <w:rPr>
          <w:lang w:val="en-US"/>
        </w:rPr>
        <w:t xml:space="preserve"> sufficient</w:t>
      </w:r>
      <w:r>
        <w:rPr>
          <w:lang w:val="en-US"/>
        </w:rPr>
        <w:t xml:space="preserve">ly </w:t>
      </w:r>
      <w:r w:rsidRPr="008F7FFB">
        <w:rPr>
          <w:lang w:val="en-US"/>
        </w:rPr>
        <w:t>serious to warrant removing them from their posts.</w:t>
      </w:r>
      <w:r>
        <w:rPr>
          <w:lang w:val="en-US"/>
        </w:rPr>
        <w:t xml:space="preserve"> </w:t>
      </w:r>
    </w:p>
    <w:p w14:paraId="55DEC465" w14:textId="77777777" w:rsidR="00E6692A" w:rsidRPr="00E15222" w:rsidRDefault="00E6692A" w:rsidP="00E6692A">
      <w:pPr>
        <w:pStyle w:val="ListParagraph"/>
        <w:rPr>
          <w:lang w:val="en-US" w:eastAsia="ko-KR"/>
        </w:rPr>
      </w:pPr>
    </w:p>
    <w:p w14:paraId="5E212B49" w14:textId="77777777" w:rsidR="00E6692A" w:rsidRPr="00E15222" w:rsidRDefault="00E6692A" w:rsidP="00E6692A">
      <w:pPr>
        <w:pStyle w:val="parrafos"/>
        <w:numPr>
          <w:ilvl w:val="0"/>
          <w:numId w:val="0"/>
        </w:numPr>
        <w:rPr>
          <w:lang w:val="en-US" w:eastAsia="ko-KR"/>
        </w:rPr>
      </w:pPr>
      <w:r w:rsidRPr="00E15222">
        <w:rPr>
          <w:lang w:val="en-US" w:eastAsia="ko-KR"/>
        </w:rPr>
        <w:t xml:space="preserve">77. The Commission also observes that this complete lack of argumentation is </w:t>
      </w:r>
      <w:r>
        <w:rPr>
          <w:lang w:val="en-US" w:eastAsia="ko-KR"/>
        </w:rPr>
        <w:t xml:space="preserve">in itself </w:t>
      </w:r>
      <w:r w:rsidRPr="00E15222">
        <w:rPr>
          <w:lang w:val="en-US" w:eastAsia="ko-KR"/>
        </w:rPr>
        <w:t xml:space="preserve">also </w:t>
      </w:r>
      <w:r>
        <w:rPr>
          <w:lang w:val="en-US" w:eastAsia="ko-KR"/>
        </w:rPr>
        <w:t>a</w:t>
      </w:r>
      <w:r w:rsidRPr="00E15222">
        <w:rPr>
          <w:lang w:val="en-US" w:eastAsia="ko-KR"/>
        </w:rPr>
        <w:t xml:space="preserve"> result of the legal vacuum on disciplinary proceedings against high-level judges and </w:t>
      </w:r>
      <w:r>
        <w:rPr>
          <w:lang w:val="en-US" w:eastAsia="ko-KR"/>
        </w:rPr>
        <w:t>a</w:t>
      </w:r>
      <w:r w:rsidRPr="00E15222">
        <w:rPr>
          <w:lang w:val="en-US" w:eastAsia="ko-KR"/>
        </w:rPr>
        <w:t xml:space="preserve"> violation of the principle of</w:t>
      </w:r>
      <w:r>
        <w:rPr>
          <w:lang w:val="en-US" w:eastAsia="ko-KR"/>
        </w:rPr>
        <w:t xml:space="preserve"> legality, as explained above.</w:t>
      </w:r>
    </w:p>
    <w:p w14:paraId="39866C22" w14:textId="77777777" w:rsidR="00E6692A" w:rsidRPr="00E15222" w:rsidRDefault="00E6692A" w:rsidP="00E669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eastAsia="ko-KR"/>
        </w:rPr>
      </w:pPr>
    </w:p>
    <w:p w14:paraId="74EF1B4E" w14:textId="77777777" w:rsidR="00E6692A" w:rsidRPr="007A02D9" w:rsidRDefault="00E6692A" w:rsidP="00E6692A">
      <w:pPr>
        <w:pStyle w:val="parrafos"/>
        <w:numPr>
          <w:ilvl w:val="0"/>
          <w:numId w:val="0"/>
        </w:numPr>
        <w:rPr>
          <w:lang w:val="en-US" w:eastAsia="ko-KR"/>
        </w:rPr>
      </w:pPr>
      <w:r w:rsidRPr="007A02D9">
        <w:rPr>
          <w:lang w:val="en-US" w:eastAsia="ko-KR"/>
        </w:rPr>
        <w:t xml:space="preserve">78. In view of the foregoing considerations, the Commission concludes that the Honduran State, to the detriment of </w:t>
      </w:r>
      <w:r w:rsidRPr="007A02D9">
        <w:rPr>
          <w:lang w:val="en-US"/>
        </w:rPr>
        <w:t>José Antonio Gutiérrez Navas, Rosalinda Cruz Sequeira, José Francisco Ruiz Gaekel, and Gustavo Enrique Bustillo Palma</w:t>
      </w:r>
      <w:r w:rsidRPr="007A02D9">
        <w:rPr>
          <w:lang w:val="en-US" w:eastAsia="ko-KR"/>
        </w:rPr>
        <w:t>, violated the right to duly substantiated decisions</w:t>
      </w:r>
      <w:r>
        <w:rPr>
          <w:lang w:val="en-US" w:eastAsia="ko-KR"/>
        </w:rPr>
        <w:t>,</w:t>
      </w:r>
      <w:r w:rsidRPr="007A02D9">
        <w:rPr>
          <w:lang w:val="en-US" w:eastAsia="ko-KR"/>
        </w:rPr>
        <w:t xml:space="preserve"> established in Article 8</w:t>
      </w:r>
      <w:r>
        <w:rPr>
          <w:lang w:val="en-US" w:eastAsia="ko-KR"/>
        </w:rPr>
        <w:t>(</w:t>
      </w:r>
      <w:r w:rsidRPr="007A02D9">
        <w:rPr>
          <w:lang w:val="en-US" w:eastAsia="ko-KR"/>
        </w:rPr>
        <w:t>1</w:t>
      </w:r>
      <w:r>
        <w:rPr>
          <w:lang w:val="en-US" w:eastAsia="ko-KR"/>
        </w:rPr>
        <w:t xml:space="preserve">) of the American Convention </w:t>
      </w:r>
      <w:r>
        <w:rPr>
          <w:lang w:val="en-US"/>
        </w:rPr>
        <w:t>in connection with</w:t>
      </w:r>
      <w:r w:rsidRPr="004E0AC9">
        <w:rPr>
          <w:lang w:val="en-US"/>
        </w:rPr>
        <w:t xml:space="preserve"> </w:t>
      </w:r>
      <w:r>
        <w:rPr>
          <w:lang w:val="en-US" w:eastAsia="ko-KR"/>
        </w:rPr>
        <w:t xml:space="preserve">Article 1(1) thereof. </w:t>
      </w:r>
    </w:p>
    <w:p w14:paraId="13F78011" w14:textId="77777777" w:rsidR="00E6692A" w:rsidRPr="007A02D9" w:rsidRDefault="00E6692A" w:rsidP="00E6692A">
      <w:pPr>
        <w:pStyle w:val="parrafos"/>
        <w:numPr>
          <w:ilvl w:val="0"/>
          <w:numId w:val="0"/>
        </w:numPr>
        <w:rPr>
          <w:lang w:val="en-US"/>
        </w:rPr>
      </w:pPr>
    </w:p>
    <w:p w14:paraId="18F8C20D" w14:textId="197FA429" w:rsidR="00E6692A" w:rsidRPr="00722254" w:rsidRDefault="00E6692A" w:rsidP="00E6692A">
      <w:pPr>
        <w:pStyle w:val="Heading3"/>
        <w:numPr>
          <w:ilvl w:val="0"/>
          <w:numId w:val="0"/>
        </w:numPr>
        <w:ind w:left="90"/>
        <w:jc w:val="both"/>
        <w:rPr>
          <w:szCs w:val="20"/>
        </w:rPr>
      </w:pPr>
      <w:bookmarkStart w:id="39" w:name="_Toc65248173"/>
      <w:bookmarkStart w:id="40" w:name="_Toc69410070"/>
      <w:r>
        <w:lastRenderedPageBreak/>
        <w:t>5</w:t>
      </w:r>
      <w:r w:rsidRPr="00722254">
        <w:t xml:space="preserve">. </w:t>
      </w:r>
      <w:r>
        <w:rPr>
          <w:szCs w:val="20"/>
        </w:rPr>
        <w:t>R</w:t>
      </w:r>
      <w:r w:rsidRPr="00722254">
        <w:rPr>
          <w:szCs w:val="20"/>
        </w:rPr>
        <w:t>ight to judicial protection</w:t>
      </w:r>
      <w:r w:rsidRPr="00DB55CD">
        <w:rPr>
          <w:szCs w:val="20"/>
          <w:vertAlign w:val="superscript"/>
        </w:rPr>
        <w:footnoteReference w:id="80"/>
      </w:r>
      <w:r w:rsidRPr="00722254">
        <w:rPr>
          <w:szCs w:val="20"/>
        </w:rPr>
        <w:t xml:space="preserve"> and right to </w:t>
      </w:r>
      <w:r>
        <w:rPr>
          <w:szCs w:val="20"/>
        </w:rPr>
        <w:t>judicial guarantees</w:t>
      </w:r>
      <w:r w:rsidRPr="00DB55CD">
        <w:rPr>
          <w:rStyle w:val="FootnoteReference"/>
          <w:lang w:val="es-ES"/>
        </w:rPr>
        <w:footnoteReference w:id="81"/>
      </w:r>
      <w:bookmarkEnd w:id="39"/>
      <w:bookmarkEnd w:id="40"/>
      <w:r w:rsidRPr="00722254">
        <w:t xml:space="preserve"> </w:t>
      </w:r>
    </w:p>
    <w:p w14:paraId="1A393734" w14:textId="77777777" w:rsidR="00E6692A" w:rsidRPr="00722254" w:rsidRDefault="00E6692A" w:rsidP="00E6692A">
      <w:pPr>
        <w:pStyle w:val="parrafos"/>
        <w:numPr>
          <w:ilvl w:val="0"/>
          <w:numId w:val="0"/>
        </w:numPr>
        <w:rPr>
          <w:lang w:val="en-US"/>
        </w:rPr>
      </w:pPr>
    </w:p>
    <w:p w14:paraId="20078E80" w14:textId="77777777" w:rsidR="00E6692A" w:rsidRPr="00440959" w:rsidRDefault="00E6692A" w:rsidP="00E6692A">
      <w:pPr>
        <w:pStyle w:val="parrafos"/>
        <w:numPr>
          <w:ilvl w:val="0"/>
          <w:numId w:val="0"/>
        </w:numPr>
        <w:rPr>
          <w:bdr w:val="none" w:sz="0" w:space="0" w:color="auto"/>
          <w:lang w:val="en-US"/>
        </w:rPr>
      </w:pPr>
      <w:r w:rsidRPr="00E46A79">
        <w:rPr>
          <w:lang w:val="en-US"/>
        </w:rPr>
        <w:t>79. The IACHR calls to mind that State</w:t>
      </w:r>
      <w:r>
        <w:rPr>
          <w:lang w:val="en-US"/>
        </w:rPr>
        <w:t>s</w:t>
      </w:r>
      <w:r w:rsidRPr="00E46A79">
        <w:rPr>
          <w:lang w:val="en-US"/>
        </w:rPr>
        <w:t xml:space="preserve"> ha</w:t>
      </w:r>
      <w:r>
        <w:rPr>
          <w:lang w:val="en-US"/>
        </w:rPr>
        <w:t>ve</w:t>
      </w:r>
      <w:r w:rsidRPr="00E46A79">
        <w:rPr>
          <w:lang w:val="en-US"/>
        </w:rPr>
        <w:t xml:space="preserve"> a general obligation to provide effective judicial </w:t>
      </w:r>
      <w:r>
        <w:rPr>
          <w:lang w:val="en-US"/>
        </w:rPr>
        <w:t>remedies</w:t>
      </w:r>
      <w:r w:rsidRPr="00E46A79">
        <w:rPr>
          <w:lang w:val="en-US"/>
        </w:rPr>
        <w:t xml:space="preserve"> to </w:t>
      </w:r>
      <w:r>
        <w:rPr>
          <w:lang w:val="en-US"/>
        </w:rPr>
        <w:t>persons who allege having been</w:t>
      </w:r>
      <w:r w:rsidRPr="00E46A79">
        <w:rPr>
          <w:lang w:val="en-US"/>
        </w:rPr>
        <w:t xml:space="preserve"> victim</w:t>
      </w:r>
      <w:r>
        <w:rPr>
          <w:lang w:val="en-US"/>
        </w:rPr>
        <w:t>s</w:t>
      </w:r>
      <w:r w:rsidRPr="00E46A79">
        <w:rPr>
          <w:lang w:val="en-US"/>
        </w:rPr>
        <w:t xml:space="preserve"> of human rights violations (Article 25), </w:t>
      </w:r>
      <w:r>
        <w:rPr>
          <w:lang w:val="en-US"/>
        </w:rPr>
        <w:t xml:space="preserve">remedies which must be substantiated according to the rules of due process of law </w:t>
      </w:r>
      <w:r w:rsidRPr="00E46A79">
        <w:rPr>
          <w:lang w:val="en-US"/>
        </w:rPr>
        <w:t>(</w:t>
      </w:r>
      <w:r>
        <w:rPr>
          <w:lang w:val="en-US"/>
        </w:rPr>
        <w:t>Article</w:t>
      </w:r>
      <w:r w:rsidRPr="00E46A79">
        <w:rPr>
          <w:lang w:val="en-US"/>
        </w:rPr>
        <w:t xml:space="preserve"> 8</w:t>
      </w:r>
      <w:r>
        <w:rPr>
          <w:lang w:val="en-US"/>
        </w:rPr>
        <w:t>(</w:t>
      </w:r>
      <w:r w:rsidRPr="00E46A79">
        <w:rPr>
          <w:lang w:val="en-US"/>
        </w:rPr>
        <w:t>1</w:t>
      </w:r>
      <w:r>
        <w:rPr>
          <w:lang w:val="en-US"/>
        </w:rPr>
        <w:t>)</w:t>
      </w:r>
      <w:r w:rsidRPr="00E46A79">
        <w:rPr>
          <w:lang w:val="en-US"/>
        </w:rPr>
        <w:t xml:space="preserve">). </w:t>
      </w:r>
      <w:r w:rsidRPr="00440959">
        <w:rPr>
          <w:lang w:val="en-US"/>
        </w:rPr>
        <w:t>For an effective remedy to exist, it is not enough for it to be established by law; rather, it needs to be truly appropriate for establishing whether ther</w:t>
      </w:r>
      <w:r>
        <w:rPr>
          <w:lang w:val="en-US"/>
        </w:rPr>
        <w:t>e has been a human rights violation and for providing whatever is necessary to remedy it.</w:t>
      </w:r>
      <w:r w:rsidRPr="00DB55CD">
        <w:rPr>
          <w:vertAlign w:val="superscript"/>
        </w:rPr>
        <w:footnoteReference w:id="82"/>
      </w:r>
      <w:r w:rsidRPr="00440959">
        <w:rPr>
          <w:lang w:val="en-US"/>
        </w:rPr>
        <w:t xml:space="preserve"> </w:t>
      </w:r>
    </w:p>
    <w:p w14:paraId="5CF27859" w14:textId="77777777" w:rsidR="00E6692A" w:rsidRPr="00440959" w:rsidRDefault="00E6692A" w:rsidP="00E6692A">
      <w:pPr>
        <w:pStyle w:val="parrafos"/>
        <w:numPr>
          <w:ilvl w:val="0"/>
          <w:numId w:val="0"/>
        </w:numPr>
        <w:rPr>
          <w:bdr w:val="none" w:sz="0" w:space="0" w:color="auto"/>
          <w:lang w:val="en-US"/>
        </w:rPr>
      </w:pPr>
    </w:p>
    <w:p w14:paraId="5CFFE2D8" w14:textId="77777777" w:rsidR="00E6692A" w:rsidRPr="00645C0B" w:rsidRDefault="00E6692A" w:rsidP="00E6692A">
      <w:pPr>
        <w:pStyle w:val="parrafos"/>
        <w:numPr>
          <w:ilvl w:val="0"/>
          <w:numId w:val="0"/>
        </w:numPr>
        <w:rPr>
          <w:bdr w:val="none" w:sz="0" w:space="0" w:color="auto"/>
          <w:lang w:val="en-US"/>
        </w:rPr>
      </w:pPr>
      <w:r w:rsidRPr="00FD1857">
        <w:rPr>
          <w:bdr w:val="none" w:sz="0" w:space="0" w:color="auto"/>
          <w:lang w:val="en-US"/>
        </w:rPr>
        <w:t xml:space="preserve">80. Article 8(1) of the Convention </w:t>
      </w:r>
      <w:r>
        <w:rPr>
          <w:bdr w:val="none" w:sz="0" w:space="0" w:color="auto"/>
          <w:lang w:val="en-US"/>
        </w:rPr>
        <w:t>recognizes</w:t>
      </w:r>
      <w:r w:rsidRPr="00FD1857">
        <w:rPr>
          <w:bdr w:val="none" w:sz="0" w:space="0" w:color="auto"/>
          <w:lang w:val="en-US"/>
        </w:rPr>
        <w:t xml:space="preserve"> the right to </w:t>
      </w:r>
      <w:r>
        <w:rPr>
          <w:bdr w:val="none" w:sz="0" w:space="0" w:color="auto"/>
          <w:lang w:val="en-US"/>
        </w:rPr>
        <w:t>be heard</w:t>
      </w:r>
      <w:r w:rsidRPr="00FD1857">
        <w:rPr>
          <w:bdr w:val="none" w:sz="0" w:space="0" w:color="auto"/>
          <w:lang w:val="en-US"/>
        </w:rPr>
        <w:t xml:space="preserve"> “by a competent…tribunal, previously established by law.” </w:t>
      </w:r>
      <w:r w:rsidRPr="00DA3685">
        <w:rPr>
          <w:bdr w:val="none" w:sz="0" w:space="0" w:color="auto"/>
          <w:lang w:val="en-US"/>
        </w:rPr>
        <w:t xml:space="preserve">Thus, </w:t>
      </w:r>
      <w:r>
        <w:rPr>
          <w:bdr w:val="none" w:sz="0" w:space="0" w:color="auto"/>
          <w:lang w:val="en-US"/>
        </w:rPr>
        <w:t>“</w:t>
      </w:r>
      <w:r w:rsidRPr="00DA3685">
        <w:rPr>
          <w:bdr w:val="none" w:sz="0" w:space="0" w:color="auto"/>
          <w:lang w:val="en-US"/>
        </w:rPr>
        <w:t>people have the right to be tried, in general, by a competent tribunal, in accordance with legally establishe</w:t>
      </w:r>
      <w:r>
        <w:rPr>
          <w:bdr w:val="none" w:sz="0" w:space="0" w:color="auto"/>
          <w:lang w:val="en-US"/>
        </w:rPr>
        <w:t xml:space="preserve">d procedures.” </w:t>
      </w:r>
      <w:r w:rsidRPr="009C04C0">
        <w:rPr>
          <w:bdr w:val="none" w:sz="0" w:space="0" w:color="auto"/>
          <w:lang w:val="en-US"/>
        </w:rPr>
        <w:t xml:space="preserve">The State must not create tribunals that do not </w:t>
      </w:r>
      <w:r>
        <w:rPr>
          <w:bdr w:val="none" w:sz="0" w:space="0" w:color="auto"/>
          <w:lang w:val="en-US"/>
        </w:rPr>
        <w:t>use the</w:t>
      </w:r>
      <w:r w:rsidRPr="009C04C0">
        <w:rPr>
          <w:bdr w:val="none" w:sz="0" w:space="0" w:color="auto"/>
          <w:lang w:val="en-US"/>
        </w:rPr>
        <w:t xml:space="preserve"> duly established procedur</w:t>
      </w:r>
      <w:r>
        <w:rPr>
          <w:bdr w:val="none" w:sz="0" w:space="0" w:color="auto"/>
          <w:lang w:val="en-US"/>
        </w:rPr>
        <w:t xml:space="preserve">es of the legal process “to displace the jurisdiction belonging to the ordinary courts or judicial tribunals.” </w:t>
      </w:r>
      <w:r>
        <w:rPr>
          <w:rFonts w:eastAsia="MS Mincho"/>
          <w:color w:val="auto"/>
          <w:bdr w:val="none" w:sz="0" w:space="0" w:color="auto"/>
          <w:lang w:val="en-US"/>
        </w:rPr>
        <w:t xml:space="preserve">The purpose of this is </w:t>
      </w:r>
      <w:r w:rsidRPr="00452729">
        <w:rPr>
          <w:rFonts w:eastAsia="MS Mincho"/>
          <w:color w:val="auto"/>
          <w:bdr w:val="none" w:sz="0" w:space="0" w:color="auto"/>
          <w:lang w:val="en-US"/>
        </w:rPr>
        <w:t xml:space="preserve">to </w:t>
      </w:r>
      <w:r>
        <w:rPr>
          <w:rFonts w:eastAsia="MS Mincho"/>
          <w:color w:val="auto"/>
          <w:bdr w:val="none" w:sz="0" w:space="0" w:color="auto"/>
          <w:lang w:val="en-US"/>
        </w:rPr>
        <w:t>prevent</w:t>
      </w:r>
      <w:r w:rsidRPr="00452729">
        <w:rPr>
          <w:rFonts w:eastAsia="MS Mincho"/>
          <w:color w:val="auto"/>
          <w:bdr w:val="none" w:sz="0" w:space="0" w:color="auto"/>
          <w:lang w:val="en-US"/>
        </w:rPr>
        <w:t xml:space="preserve"> </w:t>
      </w:r>
      <w:r>
        <w:rPr>
          <w:rFonts w:eastAsia="MS Mincho"/>
          <w:color w:val="auto"/>
          <w:bdr w:val="none" w:sz="0" w:space="0" w:color="auto"/>
          <w:lang w:val="en-US"/>
        </w:rPr>
        <w:t>individuals</w:t>
      </w:r>
      <w:r w:rsidRPr="00452729">
        <w:rPr>
          <w:rFonts w:eastAsia="MS Mincho"/>
          <w:color w:val="auto"/>
          <w:bdr w:val="none" w:sz="0" w:space="0" w:color="auto"/>
          <w:lang w:val="en-US"/>
        </w:rPr>
        <w:t xml:space="preserve"> </w:t>
      </w:r>
      <w:r>
        <w:rPr>
          <w:rFonts w:eastAsia="MS Mincho"/>
          <w:color w:val="auto"/>
          <w:bdr w:val="none" w:sz="0" w:space="0" w:color="auto"/>
          <w:lang w:val="en-US"/>
        </w:rPr>
        <w:t>from being</w:t>
      </w:r>
      <w:r w:rsidRPr="00452729">
        <w:rPr>
          <w:rFonts w:eastAsia="MS Mincho"/>
          <w:color w:val="auto"/>
          <w:bdr w:val="none" w:sz="0" w:space="0" w:color="auto"/>
          <w:lang w:val="en-US"/>
        </w:rPr>
        <w:t xml:space="preserve"> tried </w:t>
      </w:r>
      <w:r>
        <w:rPr>
          <w:rFonts w:eastAsia="MS Mincho"/>
          <w:color w:val="auto"/>
          <w:bdr w:val="none" w:sz="0" w:space="0" w:color="auto"/>
          <w:lang w:val="en-US"/>
        </w:rPr>
        <w:t>by special or ad hoc tribunals.</w:t>
      </w:r>
      <w:r w:rsidRPr="00DB55CD">
        <w:rPr>
          <w:bdr w:val="none" w:sz="0" w:space="0" w:color="auto"/>
          <w:vertAlign w:val="superscript"/>
        </w:rPr>
        <w:footnoteReference w:id="83"/>
      </w:r>
    </w:p>
    <w:p w14:paraId="5FAE639D" w14:textId="77777777" w:rsidR="00E6692A" w:rsidRPr="00645C0B" w:rsidRDefault="00E6692A" w:rsidP="00E6692A">
      <w:pPr>
        <w:pStyle w:val="parrafos"/>
        <w:numPr>
          <w:ilvl w:val="0"/>
          <w:numId w:val="0"/>
        </w:numPr>
        <w:rPr>
          <w:bdr w:val="none" w:sz="0" w:space="0" w:color="auto"/>
          <w:lang w:val="en-US"/>
        </w:rPr>
      </w:pPr>
    </w:p>
    <w:p w14:paraId="4030747F" w14:textId="77777777" w:rsidR="00E6692A" w:rsidRPr="008E7340" w:rsidRDefault="00E6692A" w:rsidP="00E6692A">
      <w:pPr>
        <w:pStyle w:val="parrafos"/>
        <w:numPr>
          <w:ilvl w:val="0"/>
          <w:numId w:val="0"/>
        </w:numPr>
        <w:rPr>
          <w:bdr w:val="none" w:sz="0" w:space="0" w:color="auto"/>
          <w:lang w:val="en-US"/>
        </w:rPr>
      </w:pPr>
      <w:r w:rsidRPr="00A67D2D">
        <w:rPr>
          <w:bdr w:val="none" w:sz="0" w:space="0" w:color="auto"/>
          <w:lang w:val="en-US"/>
        </w:rPr>
        <w:t>81. The independence of judges must be ensured even with</w:t>
      </w:r>
      <w:r>
        <w:rPr>
          <w:bdr w:val="none" w:sz="0" w:space="0" w:color="auto"/>
          <w:lang w:val="en-US"/>
        </w:rPr>
        <w:t xml:space="preserve">in the judicial branch. </w:t>
      </w:r>
      <w:r w:rsidRPr="00A67D2D">
        <w:rPr>
          <w:bdr w:val="none" w:sz="0" w:space="0" w:color="auto"/>
          <w:lang w:val="en-US"/>
        </w:rPr>
        <w:t xml:space="preserve">The purpose of </w:t>
      </w:r>
      <w:r>
        <w:rPr>
          <w:bdr w:val="none" w:sz="0" w:space="0" w:color="auto"/>
          <w:lang w:val="en-US"/>
        </w:rPr>
        <w:t>this</w:t>
      </w:r>
      <w:r w:rsidRPr="00A67D2D">
        <w:rPr>
          <w:bdr w:val="none" w:sz="0" w:space="0" w:color="auto"/>
          <w:lang w:val="en-US"/>
        </w:rPr>
        <w:t xml:space="preserve"> protection </w:t>
      </w:r>
      <w:r>
        <w:rPr>
          <w:bdr w:val="none" w:sz="0" w:space="0" w:color="auto"/>
          <w:lang w:val="en-US"/>
        </w:rPr>
        <w:t>has to do with</w:t>
      </w:r>
      <w:r w:rsidRPr="00A67D2D">
        <w:rPr>
          <w:bdr w:val="none" w:sz="0" w:space="0" w:color="auto"/>
          <w:lang w:val="en-US"/>
        </w:rPr>
        <w:t xml:space="preserve"> </w:t>
      </w:r>
      <w:r>
        <w:rPr>
          <w:bdr w:val="none" w:sz="0" w:space="0" w:color="auto"/>
          <w:lang w:val="en-US"/>
        </w:rPr>
        <w:t>preventing</w:t>
      </w:r>
      <w:r w:rsidRPr="00A67D2D">
        <w:rPr>
          <w:bdr w:val="none" w:sz="0" w:space="0" w:color="auto"/>
          <w:lang w:val="en-US"/>
        </w:rPr>
        <w:t xml:space="preserve"> the judicial sy</w:t>
      </w:r>
      <w:r>
        <w:rPr>
          <w:bdr w:val="none" w:sz="0" w:space="0" w:color="auto"/>
          <w:lang w:val="en-US"/>
        </w:rPr>
        <w:t>stem in general, and its members in particular, from being subjected to possible undue constraints in the exercise of their function by bodies outside the judiciary or even by those judges who exercise review or appeal functions.</w:t>
      </w:r>
      <w:r w:rsidRPr="00DB55CD">
        <w:rPr>
          <w:bdr w:val="none" w:sz="0" w:space="0" w:color="auto"/>
          <w:vertAlign w:val="superscript"/>
        </w:rPr>
        <w:footnoteReference w:id="84"/>
      </w:r>
      <w:r w:rsidRPr="005A2126">
        <w:rPr>
          <w:bdr w:val="none" w:sz="0" w:space="0" w:color="auto"/>
          <w:lang w:val="en-US"/>
        </w:rPr>
        <w:t xml:space="preserve"> </w:t>
      </w:r>
      <w:r w:rsidRPr="008E7340">
        <w:rPr>
          <w:bdr w:val="none" w:sz="0" w:space="0" w:color="auto"/>
          <w:lang w:val="en-US"/>
        </w:rPr>
        <w:t xml:space="preserve">The </w:t>
      </w:r>
      <w:r>
        <w:rPr>
          <w:bdr w:val="none" w:sz="0" w:space="0" w:color="auto"/>
          <w:lang w:val="en-US"/>
        </w:rPr>
        <w:t>parties</w:t>
      </w:r>
      <w:r w:rsidRPr="008E7340">
        <w:rPr>
          <w:bdr w:val="none" w:sz="0" w:space="0" w:color="auto"/>
          <w:lang w:val="en-US"/>
        </w:rPr>
        <w:t xml:space="preserve"> have the right, derived from the American Convention, </w:t>
      </w:r>
      <w:r>
        <w:rPr>
          <w:bdr w:val="none" w:sz="0" w:space="0" w:color="auto"/>
          <w:lang w:val="en-US"/>
        </w:rPr>
        <w:t>for the</w:t>
      </w:r>
      <w:r w:rsidRPr="008E7340">
        <w:rPr>
          <w:bdr w:val="none" w:sz="0" w:space="0" w:color="auto"/>
          <w:lang w:val="en-US"/>
        </w:rPr>
        <w:t xml:space="preserve"> judges </w:t>
      </w:r>
      <w:r>
        <w:rPr>
          <w:bdr w:val="none" w:sz="0" w:space="0" w:color="auto"/>
          <w:lang w:val="en-US"/>
        </w:rPr>
        <w:t>deciding their disputes to be and to appear to be independent.</w:t>
      </w:r>
      <w:r w:rsidRPr="00DB55CD">
        <w:rPr>
          <w:bdr w:val="none" w:sz="0" w:space="0" w:color="auto"/>
          <w:vertAlign w:val="superscript"/>
        </w:rPr>
        <w:footnoteReference w:id="85"/>
      </w:r>
    </w:p>
    <w:p w14:paraId="1DF20CA6" w14:textId="77777777" w:rsidR="00E6692A" w:rsidRPr="008E7340" w:rsidRDefault="00E6692A" w:rsidP="00E6692A">
      <w:pPr>
        <w:rPr>
          <w:bdr w:val="none" w:sz="0" w:space="0" w:color="auto"/>
        </w:rPr>
      </w:pPr>
    </w:p>
    <w:p w14:paraId="69DBEDFB" w14:textId="77777777" w:rsidR="00E6692A" w:rsidRPr="000A3385" w:rsidRDefault="00E6692A" w:rsidP="00E6692A">
      <w:pPr>
        <w:pStyle w:val="parrafos"/>
        <w:numPr>
          <w:ilvl w:val="0"/>
          <w:numId w:val="0"/>
        </w:numPr>
        <w:rPr>
          <w:bdr w:val="none" w:sz="0" w:space="0" w:color="auto"/>
          <w:lang w:val="en-US"/>
        </w:rPr>
      </w:pPr>
      <w:r w:rsidRPr="009535D8">
        <w:rPr>
          <w:rFonts w:ascii="Cambria" w:hAnsi="Cambria"/>
          <w:bdr w:val="none" w:sz="0" w:space="0" w:color="auto"/>
          <w:lang w:val="en-US"/>
        </w:rPr>
        <w:t>82. The guarantee of impartiality implies that the disciplinary authority or the members of the disciplinary tribunal that hear and decide the case “have no direct interest in, a pre-established viewpoint on, or a preference for one of the parties, and that they are not involv</w:t>
      </w:r>
      <w:r>
        <w:rPr>
          <w:rFonts w:ascii="Cambria" w:hAnsi="Cambria"/>
          <w:bdr w:val="none" w:sz="0" w:space="0" w:color="auto"/>
          <w:lang w:val="en-US"/>
        </w:rPr>
        <w:t>ed in the controversy.</w:t>
      </w:r>
      <w:r w:rsidRPr="009535D8">
        <w:rPr>
          <w:rFonts w:ascii="Cambria" w:hAnsi="Cambria" w:cs="Calibri"/>
          <w:bdr w:val="none" w:sz="0" w:space="0" w:color="auto"/>
          <w:lang w:val="en-US"/>
        </w:rPr>
        <w:t>”</w:t>
      </w:r>
      <w:r w:rsidRPr="00DB55CD">
        <w:rPr>
          <w:rFonts w:cs="Calibri"/>
          <w:bdr w:val="none" w:sz="0" w:space="0" w:color="auto"/>
          <w:vertAlign w:val="superscript"/>
        </w:rPr>
        <w:footnoteReference w:id="86"/>
      </w:r>
      <w:r w:rsidRPr="009535D8">
        <w:rPr>
          <w:rFonts w:ascii="Cambria" w:hAnsi="Cambria" w:cs="Calibri"/>
          <w:bdr w:val="none" w:sz="0" w:space="0" w:color="auto"/>
          <w:lang w:val="en-US"/>
        </w:rPr>
        <w:t xml:space="preserve"> </w:t>
      </w:r>
      <w:r>
        <w:rPr>
          <w:rFonts w:ascii="Cambria" w:hAnsi="Cambria" w:cs="Calibri"/>
          <w:bdr w:val="none" w:sz="0" w:space="0" w:color="auto"/>
          <w:lang w:val="en-US"/>
        </w:rPr>
        <w:t>When</w:t>
      </w:r>
      <w:r w:rsidRPr="0056783E">
        <w:rPr>
          <w:rFonts w:ascii="Cambria" w:hAnsi="Cambria" w:cs="Calibri"/>
          <w:bdr w:val="none" w:sz="0" w:space="0" w:color="auto"/>
          <w:lang w:val="en-US"/>
        </w:rPr>
        <w:t xml:space="preserve"> impartiality</w:t>
      </w:r>
      <w:r>
        <w:rPr>
          <w:rFonts w:ascii="Cambria" w:hAnsi="Cambria" w:cs="Calibri"/>
          <w:bdr w:val="none" w:sz="0" w:space="0" w:color="auto"/>
          <w:lang w:val="en-US"/>
        </w:rPr>
        <w:t xml:space="preserve"> is being determined</w:t>
      </w:r>
      <w:r w:rsidRPr="0056783E">
        <w:rPr>
          <w:rFonts w:ascii="Cambria" w:hAnsi="Cambria" w:cs="Calibri"/>
          <w:bdr w:val="none" w:sz="0" w:space="0" w:color="auto"/>
          <w:lang w:val="en-US"/>
        </w:rPr>
        <w:t xml:space="preserve">, </w:t>
      </w:r>
      <w:r>
        <w:rPr>
          <w:rFonts w:ascii="Cambria" w:hAnsi="Cambria" w:cs="Calibri"/>
          <w:bdr w:val="none" w:sz="0" w:space="0" w:color="auto"/>
          <w:lang w:val="en-US"/>
        </w:rPr>
        <w:t xml:space="preserve">regard must be had, from </w:t>
      </w:r>
      <w:r w:rsidRPr="0056783E">
        <w:rPr>
          <w:rFonts w:ascii="Cambria" w:hAnsi="Cambria" w:cs="Calibri"/>
          <w:bdr w:val="none" w:sz="0" w:space="0" w:color="auto"/>
          <w:lang w:val="en-US"/>
        </w:rPr>
        <w:t xml:space="preserve">a subjective </w:t>
      </w:r>
      <w:r>
        <w:rPr>
          <w:rFonts w:ascii="Cambria" w:hAnsi="Cambria" w:cs="Calibri"/>
          <w:bdr w:val="none" w:sz="0" w:space="0" w:color="auto"/>
          <w:lang w:val="en-US"/>
        </w:rPr>
        <w:t>standpoint</w:t>
      </w:r>
      <w:r w:rsidRPr="0056783E">
        <w:rPr>
          <w:rFonts w:ascii="Cambria" w:hAnsi="Cambria" w:cs="Calibri"/>
          <w:bdr w:val="none" w:sz="0" w:space="0" w:color="auto"/>
          <w:lang w:val="en-US"/>
        </w:rPr>
        <w:t xml:space="preserve">, </w:t>
      </w:r>
      <w:r>
        <w:rPr>
          <w:rFonts w:ascii="Cambria" w:hAnsi="Cambria" w:cs="Calibri"/>
          <w:bdr w:val="none" w:sz="0" w:space="0" w:color="auto"/>
          <w:lang w:val="en-US"/>
        </w:rPr>
        <w:t xml:space="preserve">to </w:t>
      </w:r>
      <w:r w:rsidRPr="0056783E">
        <w:rPr>
          <w:rFonts w:ascii="Cambria" w:hAnsi="Cambria" w:cs="Calibri"/>
          <w:bdr w:val="none" w:sz="0" w:space="0" w:color="auto"/>
          <w:lang w:val="en-US"/>
        </w:rPr>
        <w:t>the personal conviction and behavior of a judge in a given case but also,</w:t>
      </w:r>
      <w:r>
        <w:rPr>
          <w:rFonts w:ascii="Cambria" w:hAnsi="Cambria" w:cs="Calibri"/>
          <w:bdr w:val="none" w:sz="0" w:space="0" w:color="auto"/>
          <w:lang w:val="en-US"/>
        </w:rPr>
        <w:t xml:space="preserve"> </w:t>
      </w:r>
      <w:r w:rsidRPr="0056783E">
        <w:rPr>
          <w:rFonts w:ascii="Cambria" w:hAnsi="Cambria" w:cs="Calibri"/>
          <w:bdr w:val="none" w:sz="0" w:space="0" w:color="auto"/>
          <w:lang w:val="en-US"/>
        </w:rPr>
        <w:t xml:space="preserve">from an objective perspective, </w:t>
      </w:r>
      <w:r>
        <w:rPr>
          <w:rFonts w:ascii="Cambria" w:hAnsi="Cambria" w:cs="Calibri"/>
          <w:bdr w:val="none" w:sz="0" w:space="0" w:color="auto"/>
          <w:lang w:val="en-US"/>
        </w:rPr>
        <w:t xml:space="preserve">to </w:t>
      </w:r>
      <w:r w:rsidRPr="0056783E">
        <w:rPr>
          <w:rFonts w:ascii="Cambria" w:hAnsi="Cambria" w:cs="Calibri"/>
          <w:bdr w:val="none" w:sz="0" w:space="0" w:color="auto"/>
          <w:lang w:val="en-US"/>
        </w:rPr>
        <w:t xml:space="preserve">whether </w:t>
      </w:r>
      <w:r>
        <w:rPr>
          <w:rFonts w:ascii="Cambria" w:hAnsi="Cambria" w:cs="Calibri"/>
          <w:bdr w:val="none" w:sz="0" w:space="0" w:color="auto"/>
          <w:lang w:val="en-US"/>
        </w:rPr>
        <w:t xml:space="preserve">the proceeding offers </w:t>
      </w:r>
      <w:r w:rsidRPr="0056783E">
        <w:rPr>
          <w:rFonts w:ascii="Cambria" w:hAnsi="Cambria" w:cs="Calibri"/>
          <w:bdr w:val="none" w:sz="0" w:space="0" w:color="auto"/>
          <w:lang w:val="en-US"/>
        </w:rPr>
        <w:t xml:space="preserve">sufficient guarantees </w:t>
      </w:r>
      <w:r>
        <w:rPr>
          <w:rFonts w:ascii="Cambria" w:hAnsi="Cambria" w:cs="Calibri"/>
          <w:bdr w:val="none" w:sz="0" w:space="0" w:color="auto"/>
          <w:lang w:val="en-US"/>
        </w:rPr>
        <w:t>to exclude any legitimate doubt in that respect.</w:t>
      </w:r>
      <w:r w:rsidRPr="00DB55CD">
        <w:rPr>
          <w:rFonts w:cs="Calibri"/>
          <w:bdr w:val="none" w:sz="0" w:space="0" w:color="auto"/>
          <w:vertAlign w:val="superscript"/>
        </w:rPr>
        <w:footnoteReference w:id="87"/>
      </w:r>
      <w:r w:rsidRPr="0056783E">
        <w:rPr>
          <w:rFonts w:ascii="Cambria" w:hAnsi="Cambria" w:cs="Calibri"/>
          <w:bdr w:val="none" w:sz="0" w:space="0" w:color="auto"/>
          <w:lang w:val="en-US"/>
        </w:rPr>
        <w:t xml:space="preserve"> </w:t>
      </w:r>
      <w:r w:rsidRPr="000A3385">
        <w:rPr>
          <w:rFonts w:ascii="Cambria" w:hAnsi="Cambria" w:cs="Calibri"/>
          <w:bdr w:val="none" w:sz="0" w:space="0" w:color="auto"/>
          <w:lang w:val="en-US"/>
        </w:rPr>
        <w:t>The right to an impartial tribunal is the guarantee that the decision will be adopted based on the reasons that the law provides and not on other criteria that have nothing to</w:t>
      </w:r>
      <w:r>
        <w:rPr>
          <w:rFonts w:ascii="Cambria" w:hAnsi="Cambria" w:cs="Calibri"/>
          <w:bdr w:val="none" w:sz="0" w:space="0" w:color="auto"/>
          <w:lang w:val="en-US"/>
        </w:rPr>
        <w:t xml:space="preserve"> do with the legal framework. </w:t>
      </w:r>
      <w:r w:rsidRPr="000A3385">
        <w:rPr>
          <w:rFonts w:ascii="Cambria" w:hAnsi="Cambria" w:cs="Calibri"/>
          <w:bdr w:val="none" w:sz="0" w:space="0" w:color="auto"/>
          <w:lang w:val="en-US"/>
        </w:rPr>
        <w:t xml:space="preserve">The importance of that is particularly acute where punitive matters are concerned and even more so in punitive proceedings against judges, bearing in mind the principle of judicial independence, as described earlier. </w:t>
      </w:r>
    </w:p>
    <w:p w14:paraId="3545A06F" w14:textId="77777777" w:rsidR="00E6692A" w:rsidRPr="000A3385" w:rsidRDefault="00E6692A" w:rsidP="00E6692A">
      <w:pPr>
        <w:rPr>
          <w:bdr w:val="none" w:sz="0" w:space="0" w:color="auto"/>
        </w:rPr>
      </w:pPr>
    </w:p>
    <w:p w14:paraId="4B288B87" w14:textId="77777777" w:rsidR="00E6692A" w:rsidRPr="00650AB3" w:rsidRDefault="00E6692A" w:rsidP="00E6692A">
      <w:pPr>
        <w:pStyle w:val="parrafos"/>
        <w:numPr>
          <w:ilvl w:val="0"/>
          <w:numId w:val="0"/>
        </w:numPr>
        <w:rPr>
          <w:bdr w:val="none" w:sz="0" w:space="0" w:color="auto"/>
          <w:lang w:val="en-US"/>
        </w:rPr>
      </w:pPr>
      <w:r w:rsidRPr="00FB7D60">
        <w:rPr>
          <w:bdr w:val="none" w:sz="0" w:space="0" w:color="auto"/>
          <w:lang w:val="en-US"/>
        </w:rPr>
        <w:t xml:space="preserve">83. In the instant case, with regard to the guarantee of impartiality, the Commission observes that while the </w:t>
      </w:r>
      <w:r w:rsidRPr="00FB7D60">
        <w:rPr>
          <w:i/>
          <w:iCs/>
          <w:bdr w:val="none" w:sz="0" w:space="0" w:color="auto"/>
          <w:lang w:val="en-US"/>
        </w:rPr>
        <w:t>amparo</w:t>
      </w:r>
      <w:r w:rsidRPr="00FB7D60">
        <w:rPr>
          <w:bdr w:val="none" w:sz="0" w:space="0" w:color="auto"/>
          <w:lang w:val="en-US"/>
        </w:rPr>
        <w:t xml:space="preserve"> appeal lodged by the alleged victims was being processed and a decision was pending before the Supreme Court</w:t>
      </w:r>
      <w:r>
        <w:rPr>
          <w:bdr w:val="none" w:sz="0" w:space="0" w:color="auto"/>
          <w:lang w:val="en-US"/>
        </w:rPr>
        <w:t xml:space="preserve"> of Justice</w:t>
      </w:r>
      <w:r w:rsidRPr="00FB7D60">
        <w:rPr>
          <w:bdr w:val="none" w:sz="0" w:space="0" w:color="auto"/>
          <w:lang w:val="en-US"/>
        </w:rPr>
        <w:t xml:space="preserve">, the President of the Supreme Court, </w:t>
      </w:r>
      <w:r w:rsidRPr="00FB7D60">
        <w:rPr>
          <w:lang w:val="en-US"/>
        </w:rPr>
        <w:t xml:space="preserve">Jorge Rivera Avilés, </w:t>
      </w:r>
      <w:r>
        <w:rPr>
          <w:lang w:val="en-US"/>
        </w:rPr>
        <w:t xml:space="preserve">issued an official statement on January 3, </w:t>
      </w:r>
      <w:r w:rsidRPr="00FB7D60">
        <w:rPr>
          <w:lang w:val="en-US"/>
        </w:rPr>
        <w:t xml:space="preserve">2013, </w:t>
      </w:r>
      <w:r>
        <w:rPr>
          <w:lang w:val="en-US"/>
        </w:rPr>
        <w:t xml:space="preserve">ordering the replacement of the four justices who had been dismissed. </w:t>
      </w:r>
      <w:r w:rsidRPr="00D55C0E">
        <w:rPr>
          <w:lang w:val="en-US"/>
        </w:rPr>
        <w:t xml:space="preserve">The Commission notes that the aforementioned justice, as </w:t>
      </w:r>
      <w:r>
        <w:rPr>
          <w:lang w:val="en-US"/>
        </w:rPr>
        <w:t>head</w:t>
      </w:r>
      <w:r w:rsidRPr="00D55C0E">
        <w:rPr>
          <w:lang w:val="en-US"/>
        </w:rPr>
        <w:t xml:space="preserve"> of the </w:t>
      </w:r>
      <w:r>
        <w:rPr>
          <w:lang w:val="en-US"/>
        </w:rPr>
        <w:t>judiciary</w:t>
      </w:r>
      <w:r w:rsidRPr="00D55C0E">
        <w:rPr>
          <w:lang w:val="en-US"/>
        </w:rPr>
        <w:t xml:space="preserve">, </w:t>
      </w:r>
      <w:r>
        <w:rPr>
          <w:lang w:val="en-US"/>
        </w:rPr>
        <w:t xml:space="preserve">was later part of the Special Constitutional </w:t>
      </w:r>
      <w:r>
        <w:rPr>
          <w:lang w:val="en-US"/>
        </w:rPr>
        <w:lastRenderedPageBreak/>
        <w:t xml:space="preserve">Chamber that rejected the alleged victims’ challenge on constitutional grounds and rejected the </w:t>
      </w:r>
      <w:r w:rsidRPr="00D55C0E">
        <w:rPr>
          <w:lang w:val="en-US"/>
        </w:rPr>
        <w:t>subsequent</w:t>
      </w:r>
      <w:r>
        <w:rPr>
          <w:lang w:val="en-US"/>
        </w:rPr>
        <w:t xml:space="preserve"> appeal for review</w:t>
      </w:r>
      <w:r w:rsidRPr="00650AB3">
        <w:rPr>
          <w:lang w:val="en-US"/>
        </w:rPr>
        <w:t xml:space="preserve">. </w:t>
      </w:r>
    </w:p>
    <w:p w14:paraId="6D7DA5A3" w14:textId="77777777" w:rsidR="00E6692A" w:rsidRPr="00650AB3" w:rsidRDefault="00E6692A" w:rsidP="00E6692A">
      <w:pPr>
        <w:pStyle w:val="ListParagraph"/>
        <w:rPr>
          <w:lang w:val="en-US"/>
        </w:rPr>
      </w:pPr>
    </w:p>
    <w:p w14:paraId="08485820" w14:textId="77777777" w:rsidR="00E6692A" w:rsidRPr="00650AB3" w:rsidRDefault="00E6692A" w:rsidP="00E6692A">
      <w:pPr>
        <w:pStyle w:val="parrafos"/>
        <w:numPr>
          <w:ilvl w:val="0"/>
          <w:numId w:val="0"/>
        </w:numPr>
        <w:rPr>
          <w:bdr w:val="none" w:sz="0" w:space="0" w:color="auto"/>
          <w:lang w:val="en-US"/>
        </w:rPr>
      </w:pPr>
      <w:r w:rsidRPr="00650AB3">
        <w:rPr>
          <w:lang w:val="en-US"/>
        </w:rPr>
        <w:t>84. These actions are problematic, in the Commission’s view, considering that this justice ordered the justices’ replacement and there</w:t>
      </w:r>
      <w:r>
        <w:rPr>
          <w:lang w:val="en-US"/>
        </w:rPr>
        <w:t>by</w:t>
      </w:r>
      <w:r w:rsidRPr="00650AB3">
        <w:rPr>
          <w:lang w:val="en-US"/>
        </w:rPr>
        <w:t xml:space="preserve"> upheld the dismissal that was being challenged by means of a constitutional action that was under his consideration and was pending a decision. </w:t>
      </w:r>
    </w:p>
    <w:p w14:paraId="5A698B7B" w14:textId="77777777" w:rsidR="00E6692A" w:rsidRPr="00650AB3" w:rsidRDefault="00E6692A" w:rsidP="00E6692A">
      <w:pPr>
        <w:pStyle w:val="ListParagraph"/>
        <w:rPr>
          <w:bdr w:val="none" w:sz="0" w:space="0" w:color="auto"/>
          <w:lang w:val="en-US"/>
        </w:rPr>
      </w:pPr>
    </w:p>
    <w:p w14:paraId="1E18CEF1" w14:textId="77777777" w:rsidR="00E6692A" w:rsidRPr="004A2E14" w:rsidRDefault="00E6692A" w:rsidP="00E6692A">
      <w:pPr>
        <w:pStyle w:val="parrafos"/>
        <w:numPr>
          <w:ilvl w:val="0"/>
          <w:numId w:val="0"/>
        </w:numPr>
        <w:rPr>
          <w:bdr w:val="none" w:sz="0" w:space="0" w:color="auto"/>
          <w:lang w:val="en-US"/>
        </w:rPr>
      </w:pPr>
      <w:r w:rsidRPr="004A2E14">
        <w:rPr>
          <w:bdr w:val="none" w:sz="0" w:space="0" w:color="auto"/>
          <w:lang w:val="en-US"/>
        </w:rPr>
        <w:t xml:space="preserve">85. The Commission considers that this situation raises serious doubts about his partiality, as it reveals that his approach to the case </w:t>
      </w:r>
      <w:r>
        <w:rPr>
          <w:bdr w:val="none" w:sz="0" w:space="0" w:color="auto"/>
          <w:lang w:val="en-US"/>
        </w:rPr>
        <w:t>was not devoid of bias and subjectivity</w:t>
      </w:r>
      <w:r w:rsidRPr="004A2E14">
        <w:rPr>
          <w:rFonts w:ascii="Cambria" w:hAnsi="Cambria" w:cs="Calibri"/>
          <w:bdr w:val="none" w:sz="0" w:space="0" w:color="auto"/>
          <w:lang w:val="en-US"/>
        </w:rPr>
        <w:t xml:space="preserve">. Likewise, the Commission does not </w:t>
      </w:r>
      <w:r>
        <w:rPr>
          <w:rFonts w:ascii="Cambria" w:hAnsi="Cambria" w:cs="Calibri"/>
          <w:bdr w:val="none" w:sz="0" w:space="0" w:color="auto"/>
          <w:lang w:val="en-US"/>
        </w:rPr>
        <w:t>observe</w:t>
      </w:r>
      <w:r w:rsidRPr="004A2E14">
        <w:rPr>
          <w:rFonts w:ascii="Cambria" w:hAnsi="Cambria" w:cs="Calibri"/>
          <w:bdr w:val="none" w:sz="0" w:space="0" w:color="auto"/>
          <w:lang w:val="en-US"/>
        </w:rPr>
        <w:t xml:space="preserve"> that the justice </w:t>
      </w:r>
      <w:r>
        <w:rPr>
          <w:rFonts w:ascii="Cambria" w:hAnsi="Cambria" w:cs="Calibri"/>
          <w:bdr w:val="none" w:sz="0" w:space="0" w:color="auto"/>
          <w:lang w:val="en-US"/>
        </w:rPr>
        <w:t>called into</w:t>
      </w:r>
      <w:r w:rsidRPr="004A2E14">
        <w:rPr>
          <w:rFonts w:ascii="Cambria" w:hAnsi="Cambria" w:cs="Calibri"/>
          <w:bdr w:val="none" w:sz="0" w:space="0" w:color="auto"/>
          <w:lang w:val="en-US"/>
        </w:rPr>
        <w:t xml:space="preserve"> question provided convincing evidence that would </w:t>
      </w:r>
      <w:r>
        <w:rPr>
          <w:rFonts w:ascii="Cambria" w:hAnsi="Cambria" w:cs="Calibri"/>
          <w:bdr w:val="none" w:sz="0" w:space="0" w:color="auto"/>
          <w:lang w:val="en-US"/>
        </w:rPr>
        <w:t>erase</w:t>
      </w:r>
      <w:r w:rsidRPr="004A2E14">
        <w:rPr>
          <w:rFonts w:ascii="Cambria" w:hAnsi="Cambria" w:cs="Calibri"/>
          <w:bdr w:val="none" w:sz="0" w:space="0" w:color="auto"/>
          <w:lang w:val="en-US"/>
        </w:rPr>
        <w:t xml:space="preserve"> legitimate </w:t>
      </w:r>
      <w:r>
        <w:rPr>
          <w:rFonts w:ascii="Cambria" w:hAnsi="Cambria" w:cs="Calibri"/>
          <w:bdr w:val="none" w:sz="0" w:space="0" w:color="auto"/>
          <w:lang w:val="en-US"/>
        </w:rPr>
        <w:t xml:space="preserve">fears or reasonable suspicions about his partiality. </w:t>
      </w:r>
    </w:p>
    <w:p w14:paraId="38C7C48D" w14:textId="77777777" w:rsidR="00E6692A" w:rsidRPr="004A2E14" w:rsidRDefault="00E6692A" w:rsidP="00E6692A">
      <w:pPr>
        <w:pStyle w:val="parrafos"/>
        <w:numPr>
          <w:ilvl w:val="0"/>
          <w:numId w:val="0"/>
        </w:numPr>
        <w:rPr>
          <w:lang w:val="en-US"/>
        </w:rPr>
      </w:pPr>
    </w:p>
    <w:p w14:paraId="62CC1642" w14:textId="77777777" w:rsidR="00E6692A" w:rsidRPr="00B509EB" w:rsidRDefault="00E6692A" w:rsidP="00E6692A">
      <w:pPr>
        <w:pStyle w:val="parrafos"/>
        <w:numPr>
          <w:ilvl w:val="0"/>
          <w:numId w:val="0"/>
        </w:numPr>
        <w:rPr>
          <w:lang w:val="en-US"/>
        </w:rPr>
      </w:pPr>
      <w:r w:rsidRPr="00B509EB">
        <w:rPr>
          <w:lang w:val="en-US"/>
        </w:rPr>
        <w:t xml:space="preserve">86. In addition, the Commission </w:t>
      </w:r>
      <w:r>
        <w:rPr>
          <w:lang w:val="en-US"/>
        </w:rPr>
        <w:t>underscores</w:t>
      </w:r>
      <w:r w:rsidRPr="00B509EB">
        <w:rPr>
          <w:lang w:val="en-US"/>
        </w:rPr>
        <w:t xml:space="preserve"> that on January 29, 2013, the Special Chamber of the Supreme Court rejected the </w:t>
      </w:r>
      <w:r>
        <w:rPr>
          <w:lang w:val="en-US"/>
        </w:rPr>
        <w:t>alleged victims’</w:t>
      </w:r>
      <w:r w:rsidRPr="00B509EB">
        <w:rPr>
          <w:lang w:val="en-US"/>
        </w:rPr>
        <w:t xml:space="preserve"> constitutional appeal </w:t>
      </w:r>
      <w:r w:rsidRPr="00B509EB">
        <w:rPr>
          <w:i/>
          <w:iCs/>
          <w:lang w:val="en-US"/>
        </w:rPr>
        <w:t>in limine</w:t>
      </w:r>
      <w:r w:rsidRPr="00B509EB">
        <w:rPr>
          <w:lang w:val="en-US"/>
        </w:rPr>
        <w:t>, in other words without examining the merits of the matter</w:t>
      </w:r>
      <w:r>
        <w:rPr>
          <w:lang w:val="en-US"/>
        </w:rPr>
        <w:t xml:space="preserve">, as it deemed that it did not have the authority to hear </w:t>
      </w:r>
      <w:r w:rsidRPr="00B509EB">
        <w:rPr>
          <w:i/>
          <w:iCs/>
          <w:lang w:val="en-US"/>
        </w:rPr>
        <w:t>amparo</w:t>
      </w:r>
      <w:r>
        <w:rPr>
          <w:lang w:val="en-US"/>
        </w:rPr>
        <w:t xml:space="preserve"> appeals filed against the National Congress. </w:t>
      </w:r>
    </w:p>
    <w:p w14:paraId="4A7ED54A" w14:textId="77777777" w:rsidR="00E6692A" w:rsidRPr="00B509EB" w:rsidRDefault="00E6692A" w:rsidP="00E6692A">
      <w:pPr>
        <w:pStyle w:val="ListParagraph"/>
        <w:rPr>
          <w:lang w:val="en-US"/>
        </w:rPr>
      </w:pPr>
    </w:p>
    <w:p w14:paraId="7EC966A0" w14:textId="77777777" w:rsidR="00E6692A" w:rsidRPr="008E6946" w:rsidRDefault="00E6692A" w:rsidP="00E6692A">
      <w:pPr>
        <w:pStyle w:val="parrafos"/>
        <w:numPr>
          <w:ilvl w:val="0"/>
          <w:numId w:val="0"/>
        </w:numPr>
        <w:rPr>
          <w:lang w:val="en-US"/>
        </w:rPr>
      </w:pPr>
      <w:r w:rsidRPr="00B509EB">
        <w:rPr>
          <w:lang w:val="en-US"/>
        </w:rPr>
        <w:t>87. The Commission notes that the alleged victims attempted to challenge the decision to reject the</w:t>
      </w:r>
      <w:r>
        <w:rPr>
          <w:lang w:val="en-US"/>
        </w:rPr>
        <w:t>ir</w:t>
      </w:r>
      <w:r w:rsidRPr="00B509EB">
        <w:rPr>
          <w:lang w:val="en-US"/>
        </w:rPr>
        <w:t xml:space="preserve"> appeal, filing an appeal for review with the Plenary of the Supreme Court, which was rejected on</w:t>
      </w:r>
      <w:r>
        <w:rPr>
          <w:lang w:val="en-US"/>
        </w:rPr>
        <w:t xml:space="preserve"> February </w:t>
      </w:r>
      <w:r w:rsidRPr="00B509EB">
        <w:rPr>
          <w:lang w:val="en-US"/>
        </w:rPr>
        <w:t>18</w:t>
      </w:r>
      <w:r>
        <w:rPr>
          <w:lang w:val="en-US"/>
        </w:rPr>
        <w:t xml:space="preserve">, </w:t>
      </w:r>
      <w:r w:rsidRPr="00B509EB">
        <w:rPr>
          <w:lang w:val="en-US"/>
        </w:rPr>
        <w:t>2013.</w:t>
      </w:r>
      <w:r>
        <w:rPr>
          <w:lang w:val="en-US"/>
        </w:rPr>
        <w:t xml:space="preserve"> </w:t>
      </w:r>
      <w:r w:rsidRPr="008E6946">
        <w:rPr>
          <w:lang w:val="en-US"/>
        </w:rPr>
        <w:t>The Commission observes that the President of the Supreme Court created the Special Chamber that hear</w:t>
      </w:r>
      <w:r>
        <w:rPr>
          <w:lang w:val="en-US"/>
        </w:rPr>
        <w:t>d</w:t>
      </w:r>
      <w:r w:rsidRPr="008E6946">
        <w:rPr>
          <w:lang w:val="en-US"/>
        </w:rPr>
        <w:t xml:space="preserve"> and decided </w:t>
      </w:r>
      <w:r>
        <w:rPr>
          <w:lang w:val="en-US"/>
        </w:rPr>
        <w:t>up</w:t>
      </w:r>
      <w:r w:rsidRPr="008E6946">
        <w:rPr>
          <w:lang w:val="en-US"/>
        </w:rPr>
        <w:t>on the constitutional appeal, and then later he was part of the Plenary that rejected the appeal for review</w:t>
      </w:r>
      <w:r>
        <w:rPr>
          <w:lang w:val="en-US"/>
        </w:rPr>
        <w:t xml:space="preserve"> lodged by the dismissed justices, as was explained earlier. </w:t>
      </w:r>
    </w:p>
    <w:p w14:paraId="0F72F3CD" w14:textId="77777777" w:rsidR="00E6692A" w:rsidRPr="008E6946" w:rsidRDefault="00E6692A" w:rsidP="00E6692A">
      <w:pPr>
        <w:pStyle w:val="ListParagraph"/>
        <w:rPr>
          <w:lang w:val="en-US"/>
        </w:rPr>
      </w:pPr>
    </w:p>
    <w:p w14:paraId="47FFB3B3" w14:textId="77777777" w:rsidR="00E6692A" w:rsidRPr="0021492C" w:rsidRDefault="00E6692A" w:rsidP="00E6692A">
      <w:pPr>
        <w:pStyle w:val="parrafos"/>
        <w:numPr>
          <w:ilvl w:val="0"/>
          <w:numId w:val="0"/>
        </w:numPr>
        <w:rPr>
          <w:lang w:val="en-US"/>
        </w:rPr>
      </w:pPr>
      <w:r w:rsidRPr="0021492C">
        <w:rPr>
          <w:lang w:val="en-US"/>
        </w:rPr>
        <w:t xml:space="preserve">88. In the Commission’s view, the </w:t>
      </w:r>
      <w:r w:rsidRPr="005133FB">
        <w:rPr>
          <w:i/>
          <w:iCs/>
          <w:lang w:val="en-US"/>
        </w:rPr>
        <w:t>amparo</w:t>
      </w:r>
      <w:r w:rsidRPr="0021492C">
        <w:rPr>
          <w:lang w:val="en-US"/>
        </w:rPr>
        <w:t xml:space="preserve"> appeal that was filed ended up being ineffective to protect </w:t>
      </w:r>
      <w:r>
        <w:rPr>
          <w:lang w:val="en-US"/>
        </w:rPr>
        <w:t xml:space="preserve">the rights in question. </w:t>
      </w:r>
      <w:r w:rsidRPr="0021492C">
        <w:rPr>
          <w:lang w:val="en-US"/>
        </w:rPr>
        <w:t>Therefore, the Supreme Court, through its Special Chamber and later as a Plenary, by declining to review the decision of the Congress on the merits, left the alleged victims completely defense</w:t>
      </w:r>
      <w:r>
        <w:rPr>
          <w:lang w:val="en-US"/>
        </w:rPr>
        <w:t>less</w:t>
      </w:r>
      <w:r w:rsidRPr="0021492C">
        <w:rPr>
          <w:lang w:val="en-US"/>
        </w:rPr>
        <w:t>, as it failed to fully examine th</w:t>
      </w:r>
      <w:r>
        <w:rPr>
          <w:lang w:val="en-US"/>
        </w:rPr>
        <w:t xml:space="preserve">e aspects of </w:t>
      </w:r>
      <w:r w:rsidRPr="0021492C">
        <w:rPr>
          <w:lang w:val="en-US"/>
        </w:rPr>
        <w:t xml:space="preserve">both </w:t>
      </w:r>
      <w:r>
        <w:rPr>
          <w:lang w:val="en-US"/>
        </w:rPr>
        <w:t>fact and law with respect to the decision to remove the four justices of the Constitutional Chamber</w:t>
      </w:r>
      <w:r w:rsidRPr="0021492C">
        <w:rPr>
          <w:lang w:val="en-US"/>
        </w:rPr>
        <w:t xml:space="preserve">, </w:t>
      </w:r>
      <w:r>
        <w:rPr>
          <w:lang w:val="en-US"/>
        </w:rPr>
        <w:t xml:space="preserve">limiting its analysis to matters of jurisdiction. </w:t>
      </w:r>
      <w:r w:rsidRPr="0021492C">
        <w:rPr>
          <w:lang w:val="en-US"/>
        </w:rPr>
        <w:t xml:space="preserve">In addition, the Commission considers that the President of the Supreme Court’s actions </w:t>
      </w:r>
      <w:r>
        <w:rPr>
          <w:lang w:val="en-US"/>
        </w:rPr>
        <w:t xml:space="preserve">as </w:t>
      </w:r>
      <w:r w:rsidRPr="0021492C">
        <w:rPr>
          <w:lang w:val="en-US"/>
        </w:rPr>
        <w:t xml:space="preserve">described earlier </w:t>
      </w:r>
      <w:r>
        <w:rPr>
          <w:lang w:val="en-US"/>
        </w:rPr>
        <w:t>violated</w:t>
      </w:r>
      <w:r w:rsidRPr="0021492C">
        <w:rPr>
          <w:lang w:val="en-US"/>
        </w:rPr>
        <w:t xml:space="preserve"> the guarantee of impartiality in the context of the constitutional </w:t>
      </w:r>
      <w:r w:rsidRPr="002B7DA4">
        <w:rPr>
          <w:i/>
          <w:iCs/>
          <w:lang w:val="en-US"/>
        </w:rPr>
        <w:t>amparo</w:t>
      </w:r>
      <w:r w:rsidRPr="0021492C">
        <w:rPr>
          <w:lang w:val="en-US"/>
        </w:rPr>
        <w:t xml:space="preserve"> appeal lodged by the alleged victims. </w:t>
      </w:r>
    </w:p>
    <w:p w14:paraId="379DA4A8" w14:textId="77777777" w:rsidR="00E6692A" w:rsidRPr="0021492C" w:rsidRDefault="00E6692A" w:rsidP="00E6692A">
      <w:pPr>
        <w:pStyle w:val="parrafos"/>
        <w:numPr>
          <w:ilvl w:val="0"/>
          <w:numId w:val="0"/>
        </w:numPr>
        <w:rPr>
          <w:lang w:val="en-US"/>
        </w:rPr>
      </w:pPr>
    </w:p>
    <w:p w14:paraId="35C29793" w14:textId="77777777" w:rsidR="00E6692A" w:rsidRPr="0021492C" w:rsidRDefault="00E6692A" w:rsidP="00E6692A">
      <w:pPr>
        <w:pStyle w:val="parrafos"/>
        <w:numPr>
          <w:ilvl w:val="0"/>
          <w:numId w:val="0"/>
        </w:numPr>
        <w:rPr>
          <w:lang w:val="en-US"/>
        </w:rPr>
      </w:pPr>
      <w:r w:rsidRPr="0021492C">
        <w:rPr>
          <w:lang w:val="en-US"/>
        </w:rPr>
        <w:t xml:space="preserve">89. In view of the foregoing, the Commission concludes that the </w:t>
      </w:r>
      <w:r w:rsidRPr="00967EE8">
        <w:rPr>
          <w:lang w:val="en-US"/>
        </w:rPr>
        <w:t>Honduran State</w:t>
      </w:r>
      <w:r w:rsidRPr="0021492C">
        <w:rPr>
          <w:lang w:val="en-US"/>
        </w:rPr>
        <w:t xml:space="preserve"> is responsible for violating the rights established in Articles 8(1) and 25(1) of</w:t>
      </w:r>
      <w:r>
        <w:rPr>
          <w:lang w:val="en-US"/>
        </w:rPr>
        <w:t xml:space="preserve"> the American Convention in connection with Article 1(1) thereof, to the detriment of </w:t>
      </w:r>
      <w:r w:rsidRPr="0021492C">
        <w:rPr>
          <w:lang w:val="en-US"/>
        </w:rPr>
        <w:t>José Antonio Gutiérrez Navas, Rosalinda Cruz Sequeira, José Francisco Ruiz Gaekel</w:t>
      </w:r>
      <w:r>
        <w:rPr>
          <w:lang w:val="en-US"/>
        </w:rPr>
        <w:t xml:space="preserve">, and </w:t>
      </w:r>
      <w:r w:rsidRPr="0021492C">
        <w:rPr>
          <w:lang w:val="en-US"/>
        </w:rPr>
        <w:t xml:space="preserve">Gustavo Enrique Bustillo Palma. </w:t>
      </w:r>
    </w:p>
    <w:p w14:paraId="053DB461" w14:textId="77777777" w:rsidR="00E6692A" w:rsidRPr="0021492C" w:rsidRDefault="00E6692A" w:rsidP="00E6692A">
      <w:pPr>
        <w:tabs>
          <w:tab w:val="left" w:pos="720"/>
          <w:tab w:val="left" w:pos="1440"/>
        </w:tabs>
        <w:jc w:val="both"/>
        <w:rPr>
          <w:rFonts w:asciiTheme="majorHAnsi" w:hAnsiTheme="majorHAnsi"/>
          <w:sz w:val="20"/>
          <w:szCs w:val="20"/>
        </w:rPr>
      </w:pPr>
    </w:p>
    <w:p w14:paraId="2B3D95C7" w14:textId="5958154E" w:rsidR="00E6692A" w:rsidRPr="001C214F" w:rsidRDefault="00E6692A" w:rsidP="00E6692A">
      <w:pPr>
        <w:pStyle w:val="Heading3"/>
        <w:numPr>
          <w:ilvl w:val="0"/>
          <w:numId w:val="0"/>
        </w:numPr>
        <w:ind w:left="90"/>
        <w:jc w:val="both"/>
      </w:pPr>
      <w:bookmarkStart w:id="41" w:name="_Toc65248175"/>
      <w:bookmarkStart w:id="42" w:name="_Toc69410071"/>
      <w:bookmarkStart w:id="43" w:name="_Toc514247652"/>
      <w:bookmarkStart w:id="44" w:name="_Toc42786706"/>
      <w:r>
        <w:t>6</w:t>
      </w:r>
      <w:r w:rsidRPr="001C214F">
        <w:t xml:space="preserve">. </w:t>
      </w:r>
      <w:r w:rsidRPr="00885D55">
        <w:t>Political rights</w:t>
      </w:r>
      <w:r w:rsidRPr="00885D55">
        <w:rPr>
          <w:vertAlign w:val="superscript"/>
          <w:lang w:val="es-BO"/>
        </w:rPr>
        <w:footnoteReference w:id="88"/>
      </w:r>
      <w:bookmarkEnd w:id="41"/>
      <w:bookmarkEnd w:id="42"/>
      <w:r w:rsidRPr="001C214F">
        <w:t xml:space="preserve"> </w:t>
      </w:r>
      <w:bookmarkEnd w:id="43"/>
      <w:bookmarkEnd w:id="44"/>
    </w:p>
    <w:p w14:paraId="74A7B108" w14:textId="77777777" w:rsidR="00E6692A" w:rsidRPr="001C214F" w:rsidRDefault="00E6692A" w:rsidP="00E6692A">
      <w:pPr>
        <w:pStyle w:val="parrafos"/>
        <w:numPr>
          <w:ilvl w:val="0"/>
          <w:numId w:val="0"/>
        </w:numPr>
        <w:rPr>
          <w:rFonts w:ascii="Cambria" w:eastAsia="Cambria" w:hAnsi="Cambria" w:cs="Cambria"/>
          <w:color w:val="000000"/>
          <w:sz w:val="18"/>
          <w:szCs w:val="24"/>
          <w:u w:color="000000"/>
          <w:lang w:val="en-US" w:eastAsia="es-ES"/>
        </w:rPr>
      </w:pPr>
    </w:p>
    <w:p w14:paraId="603F7385" w14:textId="77777777" w:rsidR="00E6692A" w:rsidRPr="00990066" w:rsidRDefault="00E6692A" w:rsidP="00E6692A">
      <w:pPr>
        <w:pStyle w:val="parrafos"/>
        <w:numPr>
          <w:ilvl w:val="0"/>
          <w:numId w:val="0"/>
        </w:numPr>
        <w:rPr>
          <w:rFonts w:ascii="Cambria" w:eastAsia="Cambria" w:hAnsi="Cambria" w:cs="Cambria"/>
          <w:color w:val="000000"/>
          <w:sz w:val="18"/>
          <w:szCs w:val="24"/>
          <w:u w:color="000000"/>
          <w:lang w:val="en-US" w:eastAsia="es-ES"/>
        </w:rPr>
      </w:pPr>
      <w:r w:rsidRPr="00FF59F7">
        <w:rPr>
          <w:rFonts w:ascii="Cambria" w:eastAsia="Cambria" w:hAnsi="Cambria" w:cs="Cambria"/>
          <w:color w:val="000000"/>
          <w:sz w:val="18"/>
          <w:szCs w:val="24"/>
          <w:u w:color="000000"/>
          <w:lang w:val="en-US" w:eastAsia="es-ES"/>
        </w:rPr>
        <w:t xml:space="preserve">90. </w:t>
      </w:r>
      <w:r w:rsidRPr="00FF59F7">
        <w:rPr>
          <w:rFonts w:ascii="Cambria" w:eastAsia="Cambria" w:hAnsi="Cambria" w:cs="Cambria"/>
          <w:color w:val="000000"/>
          <w:u w:color="000000"/>
          <w:lang w:val="en-US" w:eastAsia="es-ES"/>
        </w:rPr>
        <w:t xml:space="preserve">The </w:t>
      </w:r>
      <w:r>
        <w:rPr>
          <w:rFonts w:ascii="Cambria" w:eastAsia="Cambria" w:hAnsi="Cambria" w:cs="Cambria"/>
          <w:color w:val="000000"/>
          <w:u w:color="000000"/>
          <w:lang w:val="en-US" w:eastAsia="es-ES"/>
        </w:rPr>
        <w:t xml:space="preserve">Inter-American </w:t>
      </w:r>
      <w:r w:rsidRPr="00FF59F7">
        <w:rPr>
          <w:rFonts w:ascii="Cambria" w:eastAsia="Cambria" w:hAnsi="Cambria" w:cs="Cambria"/>
          <w:color w:val="000000"/>
          <w:u w:color="000000"/>
          <w:lang w:val="en-US" w:eastAsia="es-ES"/>
        </w:rPr>
        <w:t>Court has indicated that</w:t>
      </w:r>
      <w:r w:rsidRPr="00FF59F7">
        <w:rPr>
          <w:lang w:val="en-US"/>
        </w:rPr>
        <w:t xml:space="preserve">: i) respect for judicial guarantees </w:t>
      </w:r>
      <w:r w:rsidRPr="007444DA">
        <w:rPr>
          <w:lang w:val="en-US"/>
        </w:rPr>
        <w:t>implies respect for judicial independence;</w:t>
      </w:r>
      <w:r>
        <w:rPr>
          <w:lang w:val="en-US"/>
        </w:rPr>
        <w:t xml:space="preserve"> </w:t>
      </w:r>
      <w:r w:rsidRPr="007444DA">
        <w:rPr>
          <w:lang w:val="en-US"/>
        </w:rPr>
        <w:t>ii) the scope of judicial independence translates into a judge’s subjective right to be dismissed from his position exclusively for the reasons permitted, either by means of a process that complies with judicial guarantees or because the term or period of his mandate has expired, and iii) when a judge’s tenure is affected in an arbitrary manner, the right to judicial independence is violated</w:t>
      </w:r>
      <w:r>
        <w:rPr>
          <w:lang w:val="en-US"/>
        </w:rPr>
        <w:t>, in conjunction with the right to have access to and remain in public office, under general conditions of equality,</w:t>
      </w:r>
      <w:r w:rsidRPr="007444DA">
        <w:rPr>
          <w:lang w:val="en-US"/>
        </w:rPr>
        <w:t xml:space="preserve"> established in Article 23(1)(c) of the American Convention.</w:t>
      </w:r>
      <w:r w:rsidRPr="00DB55CD">
        <w:rPr>
          <w:rStyle w:val="FootnoteReference"/>
        </w:rPr>
        <w:footnoteReference w:id="89"/>
      </w:r>
      <w:r w:rsidRPr="007444DA">
        <w:rPr>
          <w:lang w:val="en-US"/>
        </w:rPr>
        <w:t xml:space="preserve"> </w:t>
      </w:r>
      <w:r w:rsidRPr="00F34880">
        <w:rPr>
          <w:lang w:val="en-US"/>
        </w:rPr>
        <w:t xml:space="preserve">The Court has </w:t>
      </w:r>
      <w:r>
        <w:rPr>
          <w:lang w:val="en-US"/>
        </w:rPr>
        <w:t>found</w:t>
      </w:r>
      <w:r w:rsidRPr="00F34880">
        <w:rPr>
          <w:lang w:val="en-US"/>
        </w:rPr>
        <w:t xml:space="preserve"> that access in equal conditions would constitute an insufficient guarantee if it were not accompanied by the effective protection of the continuance in what is accessed, which is related to observance of the principle of tenure for judges and the prohibition of their arbitrary dismissal.</w:t>
      </w:r>
      <w:r>
        <w:rPr>
          <w:rStyle w:val="FootnoteReference"/>
        </w:rPr>
        <w:footnoteReference w:id="90"/>
      </w:r>
    </w:p>
    <w:p w14:paraId="7D3F99A4" w14:textId="77777777" w:rsidR="00E6692A" w:rsidRPr="00990066" w:rsidRDefault="00E6692A" w:rsidP="00E6692A">
      <w:pPr>
        <w:pStyle w:val="parrafos"/>
        <w:numPr>
          <w:ilvl w:val="0"/>
          <w:numId w:val="0"/>
        </w:numPr>
        <w:rPr>
          <w:rFonts w:ascii="Cambria" w:eastAsia="Cambria" w:hAnsi="Cambria" w:cs="Cambria"/>
          <w:color w:val="000000"/>
          <w:sz w:val="18"/>
          <w:szCs w:val="24"/>
          <w:u w:color="000000"/>
          <w:lang w:val="en-US" w:eastAsia="es-ES"/>
        </w:rPr>
      </w:pPr>
    </w:p>
    <w:p w14:paraId="0BF6311A" w14:textId="77777777" w:rsidR="00E6692A" w:rsidRPr="00167C92" w:rsidRDefault="00E6692A" w:rsidP="00E6692A">
      <w:pPr>
        <w:pStyle w:val="parrafos"/>
        <w:numPr>
          <w:ilvl w:val="0"/>
          <w:numId w:val="0"/>
        </w:numPr>
        <w:rPr>
          <w:lang w:val="en-US"/>
        </w:rPr>
      </w:pPr>
      <w:r w:rsidRPr="00544AD1">
        <w:rPr>
          <w:lang w:val="en-US"/>
        </w:rPr>
        <w:lastRenderedPageBreak/>
        <w:t xml:space="preserve">91. In the instant case, as has been indicated, the alleged victims’ separation was carried out arbitrarily, without observing due process guarantees, which in addition to having a concrete impact on the individual victims, must be </w:t>
      </w:r>
      <w:r>
        <w:rPr>
          <w:lang w:val="en-US"/>
        </w:rPr>
        <w:t>understood</w:t>
      </w:r>
      <w:r w:rsidRPr="00544AD1">
        <w:rPr>
          <w:lang w:val="en-US"/>
        </w:rPr>
        <w:t xml:space="preserve"> </w:t>
      </w:r>
      <w:r>
        <w:rPr>
          <w:lang w:val="en-US"/>
        </w:rPr>
        <w:t>in relation to</w:t>
      </w:r>
      <w:r w:rsidRPr="00544AD1">
        <w:rPr>
          <w:lang w:val="en-US"/>
        </w:rPr>
        <w:t xml:space="preserve"> the interference</w:t>
      </w:r>
      <w:r>
        <w:rPr>
          <w:lang w:val="en-US"/>
        </w:rPr>
        <w:t xml:space="preserve"> </w:t>
      </w:r>
      <w:r w:rsidRPr="00544AD1">
        <w:rPr>
          <w:lang w:val="en-US"/>
        </w:rPr>
        <w:t xml:space="preserve">with the principle of judicial independence. </w:t>
      </w:r>
      <w:r w:rsidRPr="00167C92">
        <w:rPr>
          <w:lang w:val="en-US"/>
        </w:rPr>
        <w:t xml:space="preserve">In this regard, the Commission </w:t>
      </w:r>
      <w:r>
        <w:rPr>
          <w:lang w:val="en-US"/>
        </w:rPr>
        <w:t>notes</w:t>
      </w:r>
      <w:r w:rsidRPr="00167C92">
        <w:rPr>
          <w:lang w:val="en-US"/>
        </w:rPr>
        <w:t xml:space="preserve"> that in the context </w:t>
      </w:r>
      <w:r>
        <w:rPr>
          <w:lang w:val="en-US"/>
        </w:rPr>
        <w:t>of</w:t>
      </w:r>
      <w:r w:rsidRPr="00167C92">
        <w:rPr>
          <w:lang w:val="en-US"/>
        </w:rPr>
        <w:t xml:space="preserve"> the events of this case, prior to the justices’ dismissal the Constitutional Chamber had declared unconstitutional at least three other laws approved by the government in office</w:t>
      </w:r>
      <w:r>
        <w:rPr>
          <w:lang w:val="en-US"/>
        </w:rPr>
        <w:t>,</w:t>
      </w:r>
      <w:r w:rsidRPr="00167C92">
        <w:rPr>
          <w:lang w:val="en-US"/>
        </w:rPr>
        <w:t xml:space="preserve"> and that </w:t>
      </w:r>
      <w:r>
        <w:rPr>
          <w:lang w:val="en-US"/>
        </w:rPr>
        <w:t>on those occasions</w:t>
      </w:r>
      <w:r w:rsidRPr="00167C92">
        <w:rPr>
          <w:lang w:val="en-US"/>
        </w:rPr>
        <w:t xml:space="preserve">, the Honduran </w:t>
      </w:r>
      <w:r>
        <w:rPr>
          <w:lang w:val="en-US"/>
        </w:rPr>
        <w:t>President</w:t>
      </w:r>
      <w:r w:rsidRPr="00167C92">
        <w:rPr>
          <w:lang w:val="en-US"/>
        </w:rPr>
        <w:t xml:space="preserve"> severely criticized the</w:t>
      </w:r>
      <w:r>
        <w:rPr>
          <w:lang w:val="en-US"/>
        </w:rPr>
        <w:t>se</w:t>
      </w:r>
      <w:r w:rsidRPr="00167C92">
        <w:rPr>
          <w:lang w:val="en-US"/>
        </w:rPr>
        <w:t xml:space="preserve"> judicial decisions.</w:t>
      </w:r>
      <w:r>
        <w:rPr>
          <w:lang w:val="en-US"/>
        </w:rPr>
        <w:t xml:space="preserve"> </w:t>
      </w:r>
    </w:p>
    <w:p w14:paraId="7EC6641F" w14:textId="77777777" w:rsidR="00E6692A" w:rsidRPr="00167C92" w:rsidRDefault="00E6692A" w:rsidP="00E6692A">
      <w:pPr>
        <w:pStyle w:val="ListParagraph"/>
        <w:rPr>
          <w:lang w:val="en-US"/>
        </w:rPr>
      </w:pPr>
    </w:p>
    <w:p w14:paraId="1BFBE383" w14:textId="77777777" w:rsidR="00E6692A" w:rsidRPr="001B183F" w:rsidRDefault="00E6692A" w:rsidP="00E6692A">
      <w:pPr>
        <w:pStyle w:val="parrafos"/>
        <w:numPr>
          <w:ilvl w:val="0"/>
          <w:numId w:val="0"/>
        </w:numPr>
        <w:rPr>
          <w:lang w:val="en-US"/>
        </w:rPr>
      </w:pPr>
      <w:r w:rsidRPr="00F757A2">
        <w:rPr>
          <w:lang w:val="en-US"/>
        </w:rPr>
        <w:t>92. The documents attached to the case file show that the then</w:t>
      </w:r>
      <w:r>
        <w:rPr>
          <w:lang w:val="en-US"/>
        </w:rPr>
        <w:t>-</w:t>
      </w:r>
      <w:r w:rsidRPr="00F757A2">
        <w:rPr>
          <w:lang w:val="en-US"/>
        </w:rPr>
        <w:t xml:space="preserve">President of the Republic, Porfirio Lobo, gave public statements </w:t>
      </w:r>
      <w:r>
        <w:rPr>
          <w:lang w:val="en-US"/>
        </w:rPr>
        <w:t>related</w:t>
      </w:r>
      <w:r w:rsidRPr="00F757A2">
        <w:rPr>
          <w:lang w:val="en-US"/>
        </w:rPr>
        <w:t xml:space="preserve"> the decision by the Constitutional Ch</w:t>
      </w:r>
      <w:r>
        <w:rPr>
          <w:lang w:val="en-US"/>
        </w:rPr>
        <w:t>amber of the Supreme Court</w:t>
      </w:r>
      <w:r w:rsidRPr="00F757A2">
        <w:rPr>
          <w:lang w:val="en-US"/>
        </w:rPr>
        <w:t xml:space="preserve"> to declare the </w:t>
      </w:r>
      <w:r w:rsidRPr="00804789">
        <w:rPr>
          <w:lang w:val="en-US"/>
        </w:rPr>
        <w:t>Special Law to Purge the Police Force of Corruption</w:t>
      </w:r>
      <w:r w:rsidRPr="00F757A2">
        <w:rPr>
          <w:lang w:val="en-US"/>
        </w:rPr>
        <w:t xml:space="preserve"> unconstitu</w:t>
      </w:r>
      <w:r>
        <w:rPr>
          <w:lang w:val="en-US"/>
        </w:rPr>
        <w:t xml:space="preserve">tional. </w:t>
      </w:r>
      <w:r w:rsidRPr="00F757A2">
        <w:rPr>
          <w:lang w:val="en-US"/>
        </w:rPr>
        <w:t xml:space="preserve">He mentioned the names of the four alleged victims to the media, and the motion to set up a Special Committee to investigate </w:t>
      </w:r>
      <w:r>
        <w:rPr>
          <w:lang w:val="en-US"/>
        </w:rPr>
        <w:t xml:space="preserve">the </w:t>
      </w:r>
      <w:r w:rsidRPr="00F757A2">
        <w:rPr>
          <w:lang w:val="en-US"/>
        </w:rPr>
        <w:t xml:space="preserve">“administrative conduct </w:t>
      </w:r>
      <w:r>
        <w:rPr>
          <w:lang w:val="en-US"/>
        </w:rPr>
        <w:t xml:space="preserve">of the justices” </w:t>
      </w:r>
      <w:r w:rsidRPr="00F757A2">
        <w:rPr>
          <w:lang w:val="en-US"/>
        </w:rPr>
        <w:t xml:space="preserve">was put forward by a deputy </w:t>
      </w:r>
      <w:r>
        <w:rPr>
          <w:lang w:val="en-US"/>
        </w:rPr>
        <w:t xml:space="preserve">from the ruling party. </w:t>
      </w:r>
      <w:r w:rsidRPr="00F757A2">
        <w:rPr>
          <w:lang w:val="en-US"/>
        </w:rPr>
        <w:t xml:space="preserve">According to what has already been described, the aforementioned former President said </w:t>
      </w:r>
      <w:r>
        <w:rPr>
          <w:lang w:val="en-US"/>
        </w:rPr>
        <w:t xml:space="preserve">that </w:t>
      </w:r>
      <w:r w:rsidRPr="00F757A2">
        <w:rPr>
          <w:lang w:val="en-US"/>
        </w:rPr>
        <w:t>he was “total</w:t>
      </w:r>
      <w:r>
        <w:rPr>
          <w:lang w:val="en-US"/>
        </w:rPr>
        <w:t>ly in agreement” with the alleged victims’</w:t>
      </w:r>
      <w:r w:rsidRPr="00F757A2">
        <w:rPr>
          <w:sz w:val="18"/>
          <w:szCs w:val="18"/>
          <w:lang w:val="en-US"/>
        </w:rPr>
        <w:t xml:space="preserve"> </w:t>
      </w:r>
      <w:r>
        <w:rPr>
          <w:lang w:val="en-US"/>
        </w:rPr>
        <w:t xml:space="preserve">dismissal and </w:t>
      </w:r>
      <w:r w:rsidRPr="005966D8">
        <w:rPr>
          <w:lang w:val="en-US"/>
        </w:rPr>
        <w:t xml:space="preserve">indicated that </w:t>
      </w:r>
      <w:r>
        <w:rPr>
          <w:lang w:val="en-US"/>
        </w:rPr>
        <w:t>“</w:t>
      </w:r>
      <w:r w:rsidRPr="005966D8">
        <w:rPr>
          <w:lang w:val="en-US"/>
        </w:rPr>
        <w:t>in his opinion, the members of the Constitutional Chamber do not deserve the trust of the Honduran people for opposing the police purge</w:t>
      </w:r>
      <w:r>
        <w:rPr>
          <w:lang w:val="en-US"/>
        </w:rPr>
        <w:t>.</w:t>
      </w:r>
      <w:r w:rsidRPr="005966D8">
        <w:rPr>
          <w:lang w:val="en-US"/>
        </w:rPr>
        <w:t xml:space="preserve">” </w:t>
      </w:r>
      <w:r w:rsidRPr="001B183F">
        <w:rPr>
          <w:lang w:val="en-US"/>
        </w:rPr>
        <w:t>Furthermore, the Commission considers it extremely serious that during the debate that ended with the justices</w:t>
      </w:r>
      <w:r>
        <w:rPr>
          <w:lang w:val="en-US"/>
        </w:rPr>
        <w:t>’</w:t>
      </w:r>
      <w:r w:rsidRPr="001B183F">
        <w:rPr>
          <w:lang w:val="en-US"/>
        </w:rPr>
        <w:t xml:space="preserve"> dismissal, military and police forces surrounded</w:t>
      </w:r>
      <w:r>
        <w:rPr>
          <w:lang w:val="en-US"/>
        </w:rPr>
        <w:t xml:space="preserve"> the parliamentary building. </w:t>
      </w:r>
      <w:r w:rsidRPr="001B183F">
        <w:rPr>
          <w:lang w:val="en-US"/>
        </w:rPr>
        <w:t>There is no doubt that this facto</w:t>
      </w:r>
      <w:r>
        <w:rPr>
          <w:lang w:val="en-US"/>
        </w:rPr>
        <w:t>r</w:t>
      </w:r>
      <w:r w:rsidRPr="001B183F">
        <w:rPr>
          <w:lang w:val="en-US"/>
        </w:rPr>
        <w:t xml:space="preserve"> clear</w:t>
      </w:r>
      <w:r>
        <w:rPr>
          <w:lang w:val="en-US"/>
        </w:rPr>
        <w:t>ly</w:t>
      </w:r>
      <w:r w:rsidRPr="001B183F">
        <w:rPr>
          <w:lang w:val="en-US"/>
        </w:rPr>
        <w:t xml:space="preserve"> </w:t>
      </w:r>
      <w:r>
        <w:rPr>
          <w:lang w:val="en-US"/>
        </w:rPr>
        <w:t>put</w:t>
      </w:r>
      <w:r w:rsidRPr="001B183F">
        <w:rPr>
          <w:lang w:val="en-US"/>
        </w:rPr>
        <w:t xml:space="preserve"> symbolic and material pressure on a democratically elected branch of government. Added to that situation is the statement by the then</w:t>
      </w:r>
      <w:r>
        <w:rPr>
          <w:lang w:val="en-US"/>
        </w:rPr>
        <w:t>-</w:t>
      </w:r>
      <w:r w:rsidRPr="001B183F">
        <w:rPr>
          <w:lang w:val="en-US"/>
        </w:rPr>
        <w:t xml:space="preserve">President of </w:t>
      </w:r>
      <w:r>
        <w:rPr>
          <w:lang w:val="en-US"/>
        </w:rPr>
        <w:t xml:space="preserve">the </w:t>
      </w:r>
      <w:r w:rsidRPr="001B183F">
        <w:rPr>
          <w:lang w:val="en-US"/>
        </w:rPr>
        <w:t xml:space="preserve">Congress, who told a media outlet that </w:t>
      </w:r>
      <w:r w:rsidRPr="004F39FA">
        <w:rPr>
          <w:lang w:val="en-US"/>
        </w:rPr>
        <w:t xml:space="preserve">“he had discussed the issue of the </w:t>
      </w:r>
      <w:r>
        <w:rPr>
          <w:lang w:val="en-US"/>
        </w:rPr>
        <w:t xml:space="preserve">justices’ </w:t>
      </w:r>
      <w:r w:rsidRPr="004F39FA">
        <w:rPr>
          <w:lang w:val="en-US"/>
        </w:rPr>
        <w:t xml:space="preserve">removal with President Lobo and that they had </w:t>
      </w:r>
      <w:r>
        <w:rPr>
          <w:lang w:val="en-US"/>
        </w:rPr>
        <w:t>come to</w:t>
      </w:r>
      <w:r w:rsidRPr="004F39FA">
        <w:rPr>
          <w:lang w:val="en-US"/>
        </w:rPr>
        <w:t xml:space="preserve"> a consensus that this would be best for the country</w:t>
      </w:r>
      <w:r>
        <w:rPr>
          <w:lang w:val="en-US"/>
        </w:rPr>
        <w:t>,</w:t>
      </w:r>
      <w:r w:rsidRPr="004F39FA">
        <w:rPr>
          <w:lang w:val="en-US"/>
        </w:rPr>
        <w:t xml:space="preserve"> and that agreement had been reached with the President of the Supreme Court regarding the appointment of the new justices</w:t>
      </w:r>
      <w:r>
        <w:rPr>
          <w:lang w:val="en-US"/>
        </w:rPr>
        <w:t>.”</w:t>
      </w:r>
    </w:p>
    <w:p w14:paraId="2953E1F2" w14:textId="77777777" w:rsidR="00E6692A" w:rsidRPr="001B183F" w:rsidRDefault="00E6692A" w:rsidP="00E6692A">
      <w:pPr>
        <w:pStyle w:val="parrafos"/>
        <w:numPr>
          <w:ilvl w:val="0"/>
          <w:numId w:val="0"/>
        </w:numPr>
        <w:rPr>
          <w:lang w:val="en-US"/>
        </w:rPr>
      </w:pPr>
    </w:p>
    <w:p w14:paraId="120FD416" w14:textId="77777777" w:rsidR="00E6692A" w:rsidRPr="004B2A55" w:rsidRDefault="00E6692A" w:rsidP="00E6692A">
      <w:pPr>
        <w:pStyle w:val="parrafos"/>
        <w:numPr>
          <w:ilvl w:val="0"/>
          <w:numId w:val="0"/>
        </w:numPr>
        <w:rPr>
          <w:lang w:val="en-US"/>
        </w:rPr>
      </w:pPr>
      <w:r w:rsidRPr="000E2CE2">
        <w:rPr>
          <w:lang w:val="en-US"/>
        </w:rPr>
        <w:t xml:space="preserve">93. Consequently, the Commission </w:t>
      </w:r>
      <w:r>
        <w:rPr>
          <w:lang w:val="en-US"/>
        </w:rPr>
        <w:t>observes</w:t>
      </w:r>
      <w:r w:rsidRPr="000E2CE2">
        <w:rPr>
          <w:lang w:val="en-US"/>
        </w:rPr>
        <w:t xml:space="preserve"> that there was a causal relationship between the statements </w:t>
      </w:r>
      <w:r>
        <w:rPr>
          <w:lang w:val="en-US"/>
        </w:rPr>
        <w:t xml:space="preserve">made by the </w:t>
      </w:r>
      <w:r w:rsidRPr="000E2CE2">
        <w:rPr>
          <w:lang w:val="en-US"/>
        </w:rPr>
        <w:t xml:space="preserve">President of the Republic regarding rulings </w:t>
      </w:r>
      <w:r>
        <w:rPr>
          <w:lang w:val="en-US"/>
        </w:rPr>
        <w:t xml:space="preserve">against </w:t>
      </w:r>
      <w:r w:rsidRPr="000E2CE2">
        <w:rPr>
          <w:lang w:val="en-US"/>
        </w:rPr>
        <w:t xml:space="preserve">the </w:t>
      </w:r>
      <w:r>
        <w:rPr>
          <w:lang w:val="en-US"/>
        </w:rPr>
        <w:t xml:space="preserve">government’s </w:t>
      </w:r>
      <w:r w:rsidRPr="000E2CE2">
        <w:rPr>
          <w:lang w:val="en-US"/>
        </w:rPr>
        <w:t>interests</w:t>
      </w:r>
      <w:r>
        <w:rPr>
          <w:lang w:val="en-US"/>
        </w:rPr>
        <w:t xml:space="preserve"> </w:t>
      </w:r>
      <w:r w:rsidRPr="000E2CE2">
        <w:rPr>
          <w:lang w:val="en-US"/>
        </w:rPr>
        <w:t xml:space="preserve">and the special investigation that was carried out by the </w:t>
      </w:r>
      <w:r>
        <w:rPr>
          <w:lang w:val="en-US"/>
        </w:rPr>
        <w:t xml:space="preserve">Honduran </w:t>
      </w:r>
      <w:r w:rsidRPr="000E2CE2">
        <w:rPr>
          <w:lang w:val="en-US"/>
        </w:rPr>
        <w:t>Congress</w:t>
      </w:r>
      <w:r>
        <w:rPr>
          <w:lang w:val="en-US"/>
        </w:rPr>
        <w:t xml:space="preserve"> and that resulted in the victims’ dismissal. </w:t>
      </w:r>
      <w:r w:rsidRPr="004B2A55">
        <w:rPr>
          <w:lang w:val="en-US"/>
        </w:rPr>
        <w:t>In the Commission’s view, the facts laid out show that the executive and legislative branches exer</w:t>
      </w:r>
      <w:r>
        <w:rPr>
          <w:lang w:val="en-US"/>
        </w:rPr>
        <w:t>ted</w:t>
      </w:r>
      <w:r w:rsidRPr="004B2A55">
        <w:rPr>
          <w:lang w:val="en-US"/>
        </w:rPr>
        <w:t xml:space="preserve"> clear pressur</w:t>
      </w:r>
      <w:r>
        <w:rPr>
          <w:lang w:val="en-US"/>
        </w:rPr>
        <w:t>e</w:t>
      </w:r>
      <w:r w:rsidRPr="004B2A55">
        <w:rPr>
          <w:lang w:val="en-US"/>
        </w:rPr>
        <w:t xml:space="preserve"> against the Constitutional Chamber, </w:t>
      </w:r>
      <w:r>
        <w:rPr>
          <w:lang w:val="en-US"/>
        </w:rPr>
        <w:t>which was serious and ran contrary to the principle of judicial independence enshrined in the American Convention</w:t>
      </w:r>
      <w:r w:rsidRPr="004B2A55">
        <w:rPr>
          <w:lang w:val="en-US"/>
        </w:rPr>
        <w:t>.</w:t>
      </w:r>
    </w:p>
    <w:p w14:paraId="04481B4D" w14:textId="77777777" w:rsidR="00E6692A" w:rsidRPr="004B2A55" w:rsidRDefault="00E6692A" w:rsidP="00E6692A">
      <w:pPr>
        <w:pStyle w:val="ListParagraph"/>
        <w:rPr>
          <w:lang w:val="en-US"/>
        </w:rPr>
      </w:pPr>
    </w:p>
    <w:p w14:paraId="5D4BFB23" w14:textId="77777777" w:rsidR="00E6692A" w:rsidRPr="00E35E5C" w:rsidRDefault="00E6692A" w:rsidP="00E6692A">
      <w:pPr>
        <w:pStyle w:val="parrafos"/>
        <w:numPr>
          <w:ilvl w:val="0"/>
          <w:numId w:val="0"/>
        </w:numPr>
        <w:rPr>
          <w:lang w:val="en-US"/>
        </w:rPr>
      </w:pPr>
      <w:r w:rsidRPr="00E35E5C">
        <w:rPr>
          <w:lang w:val="en-US"/>
        </w:rPr>
        <w:t xml:space="preserve">94. In this regard, the Commission observes that the arbitrary decision of the Congress was not adopted </w:t>
      </w:r>
      <w:r>
        <w:rPr>
          <w:lang w:val="en-US"/>
        </w:rPr>
        <w:t>because of</w:t>
      </w:r>
      <w:r w:rsidRPr="00E35E5C">
        <w:rPr>
          <w:lang w:val="en-US"/>
        </w:rPr>
        <w:t xml:space="preserve"> any possible administrative </w:t>
      </w:r>
      <w:r>
        <w:rPr>
          <w:lang w:val="en-US"/>
        </w:rPr>
        <w:t>actions</w:t>
      </w:r>
      <w:r w:rsidRPr="00E35E5C">
        <w:rPr>
          <w:lang w:val="en-US"/>
        </w:rPr>
        <w:t xml:space="preserve"> or infractions that led to some type of responsibility on the part of the dismissed judges; rather, it</w:t>
      </w:r>
      <w:r>
        <w:rPr>
          <w:lang w:val="en-US"/>
        </w:rPr>
        <w:t xml:space="preserve"> was in pursuit of a completely different purpose and had to do with an abuse of power. </w:t>
      </w:r>
      <w:r w:rsidRPr="00E35E5C">
        <w:rPr>
          <w:lang w:val="en-US"/>
        </w:rPr>
        <w:t xml:space="preserve">This had a highly negative impact on </w:t>
      </w:r>
      <w:r>
        <w:rPr>
          <w:lang w:val="en-US"/>
        </w:rPr>
        <w:t xml:space="preserve">the </w:t>
      </w:r>
      <w:r w:rsidRPr="00E35E5C">
        <w:rPr>
          <w:lang w:val="en-US"/>
        </w:rPr>
        <w:t xml:space="preserve">institutional aspect </w:t>
      </w:r>
      <w:r>
        <w:rPr>
          <w:lang w:val="en-US"/>
        </w:rPr>
        <w:t xml:space="preserve">of </w:t>
      </w:r>
      <w:r w:rsidRPr="00E35E5C">
        <w:rPr>
          <w:lang w:val="en-US"/>
        </w:rPr>
        <w:t>judicial independence, as it constituted an attack on the institution, altered the democratic order and the rule of law, and meant that at that moment there was no real separation of powers</w:t>
      </w:r>
      <w:r>
        <w:rPr>
          <w:lang w:val="en-US"/>
        </w:rPr>
        <w:t xml:space="preserve">. </w:t>
      </w:r>
    </w:p>
    <w:p w14:paraId="46EE6753" w14:textId="77777777" w:rsidR="00E6692A" w:rsidRPr="00E35E5C" w:rsidRDefault="00E6692A" w:rsidP="00E6692A">
      <w:pPr>
        <w:pStyle w:val="parrafos"/>
        <w:numPr>
          <w:ilvl w:val="0"/>
          <w:numId w:val="0"/>
        </w:numPr>
        <w:rPr>
          <w:rFonts w:eastAsia="Times New Roman"/>
          <w:lang w:val="en-US"/>
        </w:rPr>
      </w:pPr>
    </w:p>
    <w:p w14:paraId="42FEAD6C" w14:textId="77777777" w:rsidR="00E6692A" w:rsidRPr="005504E0" w:rsidRDefault="00E6692A" w:rsidP="00E6692A">
      <w:pPr>
        <w:pStyle w:val="parrafos"/>
        <w:numPr>
          <w:ilvl w:val="0"/>
          <w:numId w:val="0"/>
        </w:numPr>
        <w:rPr>
          <w:lang w:val="en-US"/>
        </w:rPr>
      </w:pPr>
      <w:r w:rsidRPr="00F74BBD">
        <w:rPr>
          <w:rFonts w:eastAsia="Times New Roman"/>
          <w:lang w:val="en-US"/>
        </w:rPr>
        <w:t xml:space="preserve">95. </w:t>
      </w:r>
      <w:r w:rsidRPr="00F74BBD">
        <w:rPr>
          <w:lang w:val="en-US"/>
        </w:rPr>
        <w:t xml:space="preserve">In view of what has been laid out, the Commission concludes that in the case </w:t>
      </w:r>
      <w:r>
        <w:rPr>
          <w:lang w:val="en-US"/>
        </w:rPr>
        <w:t xml:space="preserve">at hand </w:t>
      </w:r>
      <w:r w:rsidRPr="00F74BBD">
        <w:rPr>
          <w:lang w:val="en-US"/>
        </w:rPr>
        <w:t xml:space="preserve">it has been established that José Antonio Gutiérrez Navas, Rosalinda Cruz Sequeira, José Francisco Ruiz Gaekel, and Gustavo Enrique Bustillo Palma were </w:t>
      </w:r>
      <w:r>
        <w:rPr>
          <w:lang w:val="en-US"/>
        </w:rPr>
        <w:t>removed from office</w:t>
      </w:r>
      <w:r w:rsidRPr="00F74BBD">
        <w:rPr>
          <w:lang w:val="en-US"/>
        </w:rPr>
        <w:t xml:space="preserve"> in a proceeding in which there were viola</w:t>
      </w:r>
      <w:r>
        <w:rPr>
          <w:lang w:val="en-US"/>
        </w:rPr>
        <w:t xml:space="preserve">tions both to due process of law as well as to the principle of legality under the terms explained throughout this report on the merits. </w:t>
      </w:r>
      <w:r w:rsidRPr="001C214F">
        <w:rPr>
          <w:lang w:val="en-US"/>
        </w:rPr>
        <w:t xml:space="preserve">In addition, it was established that the dismissal </w:t>
      </w:r>
      <w:r w:rsidRPr="00F74BBD">
        <w:rPr>
          <w:lang w:val="en-US"/>
        </w:rPr>
        <w:t xml:space="preserve">proceeding </w:t>
      </w:r>
      <w:r w:rsidRPr="001C214F">
        <w:rPr>
          <w:lang w:val="en-US"/>
        </w:rPr>
        <w:t>carried out by the Congress was implemented arbitrarily,</w:t>
      </w:r>
      <w:r>
        <w:rPr>
          <w:lang w:val="en-US"/>
        </w:rPr>
        <w:t xml:space="preserve"> </w:t>
      </w:r>
      <w:r w:rsidRPr="001C214F">
        <w:rPr>
          <w:lang w:val="en-US"/>
        </w:rPr>
        <w:t xml:space="preserve">in breach of the principle of judicial independence. </w:t>
      </w:r>
      <w:r w:rsidRPr="005504E0">
        <w:rPr>
          <w:lang w:val="en-US"/>
        </w:rPr>
        <w:t xml:space="preserve">Under these circumstances, and in keeping with the criterion mentioned in the preceding paragraph, the Commission considers that the State also violated the right to </w:t>
      </w:r>
      <w:r>
        <w:rPr>
          <w:lang w:val="en-US"/>
        </w:rPr>
        <w:t xml:space="preserve">have </w:t>
      </w:r>
      <w:r w:rsidRPr="005504E0">
        <w:rPr>
          <w:lang w:val="en-US"/>
        </w:rPr>
        <w:t xml:space="preserve">access </w:t>
      </w:r>
      <w:r>
        <w:rPr>
          <w:lang w:val="en-US"/>
        </w:rPr>
        <w:t xml:space="preserve">to </w:t>
      </w:r>
      <w:r w:rsidRPr="005504E0">
        <w:rPr>
          <w:lang w:val="en-US"/>
        </w:rPr>
        <w:t xml:space="preserve">and remain in public office, </w:t>
      </w:r>
      <w:r>
        <w:rPr>
          <w:lang w:val="en-US"/>
        </w:rPr>
        <w:t>under</w:t>
      </w:r>
      <w:r w:rsidRPr="005504E0">
        <w:rPr>
          <w:lang w:val="en-US"/>
        </w:rPr>
        <w:t xml:space="preserve"> general </w:t>
      </w:r>
      <w:r>
        <w:rPr>
          <w:lang w:val="en-US"/>
        </w:rPr>
        <w:t>conditions</w:t>
      </w:r>
      <w:r w:rsidRPr="005504E0">
        <w:rPr>
          <w:lang w:val="en-US"/>
        </w:rPr>
        <w:t xml:space="preserve"> of equality, established in Article 23(1)(c) of the American Convention in connection with Article 1(1) th</w:t>
      </w:r>
      <w:r>
        <w:rPr>
          <w:lang w:val="en-US"/>
        </w:rPr>
        <w:t>ereof,</w:t>
      </w:r>
      <w:r w:rsidRPr="00DB55CD">
        <w:rPr>
          <w:rStyle w:val="FootnoteReference"/>
          <w:lang w:val="es-CO"/>
        </w:rPr>
        <w:footnoteReference w:id="91"/>
      </w:r>
      <w:r w:rsidRPr="005504E0">
        <w:rPr>
          <w:lang w:val="en-US"/>
        </w:rPr>
        <w:t xml:space="preserve"> </w:t>
      </w:r>
      <w:r>
        <w:rPr>
          <w:lang w:val="en-US"/>
        </w:rPr>
        <w:t>to the detriment of</w:t>
      </w:r>
      <w:bookmarkStart w:id="45" w:name="_Hlk63692507"/>
      <w:r>
        <w:rPr>
          <w:lang w:val="en-US"/>
        </w:rPr>
        <w:t xml:space="preserve"> </w:t>
      </w:r>
      <w:r w:rsidRPr="005504E0">
        <w:rPr>
          <w:lang w:val="en-US"/>
        </w:rPr>
        <w:t>José Antonio Gutiérrez Navas, Rosalinda Cruz Sequeira, José Francisco Ruiz Gaekel</w:t>
      </w:r>
      <w:r>
        <w:rPr>
          <w:lang w:val="en-US"/>
        </w:rPr>
        <w:t>, and</w:t>
      </w:r>
      <w:r w:rsidRPr="005504E0">
        <w:rPr>
          <w:lang w:val="en-US"/>
        </w:rPr>
        <w:t xml:space="preserve"> Gustavo Enrique Bustillo Palma.</w:t>
      </w:r>
      <w:bookmarkEnd w:id="45"/>
    </w:p>
    <w:p w14:paraId="3F4FF302" w14:textId="77777777" w:rsidR="00E6692A" w:rsidRPr="005504E0" w:rsidRDefault="00E6692A" w:rsidP="00E6692A">
      <w:pPr>
        <w:pStyle w:val="parrafos"/>
        <w:numPr>
          <w:ilvl w:val="0"/>
          <w:numId w:val="0"/>
        </w:numPr>
        <w:rPr>
          <w:lang w:val="en-US"/>
        </w:rPr>
      </w:pPr>
    </w:p>
    <w:p w14:paraId="792A6758" w14:textId="77777777" w:rsidR="00E6692A" w:rsidRPr="00F7097F" w:rsidRDefault="00E6692A" w:rsidP="00E6692A">
      <w:pPr>
        <w:pStyle w:val="Heading2"/>
        <w:numPr>
          <w:ilvl w:val="0"/>
          <w:numId w:val="66"/>
        </w:numPr>
        <w:jc w:val="left"/>
        <w:rPr>
          <w:lang w:val="en-US"/>
        </w:rPr>
      </w:pPr>
      <w:bookmarkStart w:id="46" w:name="_Toc69410072"/>
      <w:r>
        <w:rPr>
          <w:lang w:val="en-US"/>
        </w:rPr>
        <w:t>R</w:t>
      </w:r>
      <w:r w:rsidRPr="00F7097F">
        <w:rPr>
          <w:lang w:val="en-US"/>
        </w:rPr>
        <w:t>ight to personal i</w:t>
      </w:r>
      <w:r>
        <w:rPr>
          <w:lang w:val="en-US"/>
        </w:rPr>
        <w:t>ntegrity</w:t>
      </w:r>
      <w:bookmarkEnd w:id="46"/>
    </w:p>
    <w:p w14:paraId="6ACB9014" w14:textId="77777777" w:rsidR="00E6692A" w:rsidRPr="00F7097F" w:rsidRDefault="00E6692A" w:rsidP="00E6692A"/>
    <w:p w14:paraId="1E634BE0" w14:textId="77777777" w:rsidR="00E6692A" w:rsidRPr="00F7097F" w:rsidRDefault="00E6692A" w:rsidP="00E6692A">
      <w:pPr>
        <w:jc w:val="both"/>
        <w:rPr>
          <w:rFonts w:asciiTheme="majorHAnsi" w:hAnsiTheme="majorHAnsi"/>
          <w:sz w:val="20"/>
          <w:szCs w:val="20"/>
          <w:bdr w:val="none" w:sz="0" w:space="0" w:color="auto"/>
        </w:rPr>
      </w:pPr>
      <w:r w:rsidRPr="00F7097F">
        <w:rPr>
          <w:rFonts w:asciiTheme="majorHAnsi" w:hAnsiTheme="majorHAnsi"/>
          <w:sz w:val="20"/>
          <w:szCs w:val="20"/>
        </w:rPr>
        <w:lastRenderedPageBreak/>
        <w:t xml:space="preserve">96. </w:t>
      </w:r>
      <w:r>
        <w:rPr>
          <w:rFonts w:asciiTheme="majorHAnsi" w:hAnsiTheme="majorHAnsi"/>
          <w:sz w:val="20"/>
          <w:szCs w:val="20"/>
          <w:bdr w:val="none" w:sz="0" w:space="0" w:color="auto"/>
        </w:rPr>
        <w:t>On a number of occasions</w:t>
      </w:r>
      <w:r w:rsidRPr="00F7097F">
        <w:rPr>
          <w:rFonts w:asciiTheme="majorHAnsi" w:hAnsiTheme="majorHAnsi"/>
          <w:sz w:val="20"/>
          <w:szCs w:val="20"/>
          <w:bdr w:val="none" w:sz="0" w:space="0" w:color="auto"/>
        </w:rPr>
        <w:t xml:space="preserve">, </w:t>
      </w:r>
      <w:r>
        <w:rPr>
          <w:rFonts w:asciiTheme="majorHAnsi" w:hAnsiTheme="majorHAnsi"/>
          <w:sz w:val="20"/>
          <w:szCs w:val="20"/>
          <w:bdr w:val="none" w:sz="0" w:space="0" w:color="auto"/>
        </w:rPr>
        <w:t>pursuant to</w:t>
      </w:r>
      <w:r w:rsidRPr="00F7097F">
        <w:rPr>
          <w:rFonts w:asciiTheme="majorHAnsi" w:hAnsiTheme="majorHAnsi"/>
          <w:sz w:val="20"/>
          <w:szCs w:val="20"/>
          <w:bdr w:val="none" w:sz="0" w:space="0" w:color="auto"/>
        </w:rPr>
        <w:t xml:space="preserve"> the cases </w:t>
      </w:r>
      <w:r>
        <w:rPr>
          <w:rFonts w:asciiTheme="majorHAnsi" w:hAnsiTheme="majorHAnsi"/>
          <w:sz w:val="20"/>
          <w:szCs w:val="20"/>
          <w:bdr w:val="none" w:sz="0" w:space="0" w:color="auto"/>
        </w:rPr>
        <w:t>heard</w:t>
      </w:r>
      <w:r w:rsidRPr="00F7097F">
        <w:rPr>
          <w:rFonts w:asciiTheme="majorHAnsi" w:hAnsiTheme="majorHAnsi"/>
          <w:sz w:val="20"/>
          <w:szCs w:val="20"/>
          <w:bdr w:val="none" w:sz="0" w:space="0" w:color="auto"/>
        </w:rPr>
        <w:t>,</w:t>
      </w:r>
      <w:r>
        <w:rPr>
          <w:rFonts w:asciiTheme="majorHAnsi" w:hAnsiTheme="majorHAnsi"/>
          <w:sz w:val="20"/>
          <w:szCs w:val="20"/>
          <w:bdr w:val="none" w:sz="0" w:space="0" w:color="auto"/>
        </w:rPr>
        <w:t xml:space="preserve"> t</w:t>
      </w:r>
      <w:r w:rsidRPr="00F7097F">
        <w:rPr>
          <w:rFonts w:asciiTheme="majorHAnsi" w:hAnsiTheme="majorHAnsi"/>
          <w:sz w:val="20"/>
          <w:szCs w:val="20"/>
          <w:bdr w:val="none" w:sz="0" w:space="0" w:color="auto"/>
        </w:rPr>
        <w:t xml:space="preserve">he case law of the </w:t>
      </w:r>
      <w:r>
        <w:rPr>
          <w:rFonts w:asciiTheme="majorHAnsi" w:hAnsiTheme="majorHAnsi"/>
          <w:sz w:val="20"/>
          <w:szCs w:val="20"/>
          <w:bdr w:val="none" w:sz="0" w:space="0" w:color="auto"/>
        </w:rPr>
        <w:t xml:space="preserve">Inter-American </w:t>
      </w:r>
      <w:r w:rsidRPr="00F7097F">
        <w:rPr>
          <w:rFonts w:asciiTheme="majorHAnsi" w:hAnsiTheme="majorHAnsi"/>
          <w:sz w:val="20"/>
          <w:szCs w:val="20"/>
          <w:bdr w:val="none" w:sz="0" w:space="0" w:color="auto"/>
        </w:rPr>
        <w:t xml:space="preserve">Court </w:t>
      </w:r>
      <w:r>
        <w:rPr>
          <w:rFonts w:asciiTheme="majorHAnsi" w:hAnsiTheme="majorHAnsi"/>
          <w:sz w:val="20"/>
          <w:szCs w:val="20"/>
          <w:bdr w:val="none" w:sz="0" w:space="0" w:color="auto"/>
        </w:rPr>
        <w:t xml:space="preserve">has referred </w:t>
      </w:r>
      <w:r w:rsidRPr="00F7097F">
        <w:rPr>
          <w:rFonts w:asciiTheme="majorHAnsi" w:hAnsiTheme="majorHAnsi"/>
          <w:sz w:val="20"/>
          <w:szCs w:val="20"/>
          <w:bdr w:val="none" w:sz="0" w:space="0" w:color="auto"/>
        </w:rPr>
        <w:t>to the obligation to investigate attacks on people’s personal integrity</w:t>
      </w:r>
      <w:r>
        <w:rPr>
          <w:rFonts w:asciiTheme="majorHAnsi" w:hAnsiTheme="majorHAnsi"/>
          <w:sz w:val="20"/>
          <w:szCs w:val="20"/>
          <w:bdr w:val="none" w:sz="0" w:space="0" w:color="auto"/>
        </w:rPr>
        <w:t xml:space="preserve"> and on their lives, but also threats or acts of harassment. </w:t>
      </w:r>
      <w:r w:rsidRPr="00F7097F">
        <w:rPr>
          <w:rFonts w:asciiTheme="majorHAnsi" w:hAnsiTheme="majorHAnsi"/>
          <w:sz w:val="20"/>
          <w:szCs w:val="20"/>
          <w:bdr w:val="none" w:sz="0" w:space="0" w:color="auto"/>
        </w:rPr>
        <w:t>The Court has held that the “obligation to investigate” is derived not only from international obligations but “that it is also derived from domestic legislation that refers to the duty to pr</w:t>
      </w:r>
      <w:r>
        <w:rPr>
          <w:rFonts w:asciiTheme="majorHAnsi" w:hAnsiTheme="majorHAnsi"/>
          <w:sz w:val="20"/>
          <w:szCs w:val="20"/>
          <w:bdr w:val="none" w:sz="0" w:space="0" w:color="auto"/>
        </w:rPr>
        <w:t>oactively investigate certain illicit conduct.</w:t>
      </w:r>
      <w:r w:rsidRPr="00F7097F">
        <w:rPr>
          <w:rFonts w:asciiTheme="majorHAnsi" w:hAnsiTheme="majorHAnsi"/>
          <w:sz w:val="20"/>
          <w:szCs w:val="20"/>
          <w:bdr w:val="none" w:sz="0" w:space="0" w:color="auto"/>
        </w:rPr>
        <w:t>”</w:t>
      </w:r>
      <w:r w:rsidRPr="00DB55CD">
        <w:rPr>
          <w:rFonts w:asciiTheme="majorHAnsi" w:hAnsiTheme="majorHAnsi"/>
          <w:sz w:val="20"/>
          <w:szCs w:val="20"/>
          <w:bdr w:val="none" w:sz="0" w:space="0" w:color="auto"/>
          <w:vertAlign w:val="superscript"/>
        </w:rPr>
        <w:footnoteReference w:id="92"/>
      </w:r>
    </w:p>
    <w:p w14:paraId="6262868C" w14:textId="77777777" w:rsidR="00E6692A" w:rsidRPr="00F7097F" w:rsidRDefault="00E6692A" w:rsidP="00E6692A">
      <w:pPr>
        <w:jc w:val="both"/>
        <w:rPr>
          <w:rFonts w:asciiTheme="majorHAnsi" w:hAnsiTheme="majorHAnsi"/>
          <w:sz w:val="20"/>
          <w:szCs w:val="20"/>
          <w:bdr w:val="none" w:sz="0" w:space="0" w:color="auto"/>
        </w:rPr>
      </w:pPr>
    </w:p>
    <w:p w14:paraId="78D08F35" w14:textId="77777777" w:rsidR="00E6692A" w:rsidRPr="0021268C" w:rsidRDefault="00E6692A" w:rsidP="00E6692A">
      <w:pPr>
        <w:jc w:val="both"/>
        <w:rPr>
          <w:rFonts w:asciiTheme="majorHAnsi" w:hAnsiTheme="majorHAnsi"/>
          <w:sz w:val="20"/>
          <w:szCs w:val="20"/>
        </w:rPr>
      </w:pPr>
      <w:r w:rsidRPr="00073F58">
        <w:rPr>
          <w:rFonts w:asciiTheme="majorHAnsi" w:hAnsiTheme="majorHAnsi"/>
          <w:sz w:val="20"/>
          <w:szCs w:val="20"/>
          <w:bdr w:val="none" w:sz="0" w:space="0" w:color="auto"/>
        </w:rPr>
        <w:t xml:space="preserve">97. In the instant case, the Commission recalls that the alleged victims reported that they had been </w:t>
      </w:r>
      <w:r>
        <w:rPr>
          <w:rFonts w:asciiTheme="majorHAnsi" w:hAnsiTheme="majorHAnsi"/>
          <w:sz w:val="20"/>
          <w:szCs w:val="20"/>
          <w:bdr w:val="none" w:sz="0" w:space="0" w:color="auto"/>
        </w:rPr>
        <w:t>targets of</w:t>
      </w:r>
      <w:r w:rsidRPr="00073F58">
        <w:rPr>
          <w:rFonts w:asciiTheme="majorHAnsi" w:hAnsiTheme="majorHAnsi"/>
          <w:sz w:val="20"/>
          <w:szCs w:val="20"/>
          <w:bdr w:val="none" w:sz="0" w:space="0" w:color="auto"/>
        </w:rPr>
        <w:t xml:space="preserve"> threats and harassment subsequent to their </w:t>
      </w:r>
      <w:r>
        <w:rPr>
          <w:rFonts w:asciiTheme="majorHAnsi" w:hAnsiTheme="majorHAnsi"/>
          <w:sz w:val="20"/>
          <w:szCs w:val="20"/>
          <w:bdr w:val="none" w:sz="0" w:space="0" w:color="auto"/>
        </w:rPr>
        <w:t>dismissal</w:t>
      </w:r>
      <w:r w:rsidRPr="00073F58">
        <w:rPr>
          <w:rFonts w:asciiTheme="majorHAnsi" w:hAnsiTheme="majorHAnsi"/>
          <w:sz w:val="20"/>
          <w:szCs w:val="20"/>
          <w:bdr w:val="none" w:sz="0" w:space="0" w:color="auto"/>
        </w:rPr>
        <w:t xml:space="preserve"> as justices of the Supreme Court</w:t>
      </w:r>
      <w:r>
        <w:rPr>
          <w:rFonts w:asciiTheme="majorHAnsi" w:hAnsiTheme="majorHAnsi"/>
          <w:sz w:val="20"/>
          <w:szCs w:val="20"/>
          <w:bdr w:val="none" w:sz="0" w:space="0" w:color="auto"/>
        </w:rPr>
        <w:t>,</w:t>
      </w:r>
      <w:r w:rsidRPr="00073F58">
        <w:rPr>
          <w:rFonts w:asciiTheme="majorHAnsi" w:hAnsiTheme="majorHAnsi"/>
          <w:sz w:val="20"/>
          <w:szCs w:val="20"/>
          <w:bdr w:val="none" w:sz="0" w:space="0" w:color="auto"/>
        </w:rPr>
        <w:t xml:space="preserve"> and</w:t>
      </w:r>
      <w:r>
        <w:rPr>
          <w:rFonts w:asciiTheme="majorHAnsi" w:hAnsiTheme="majorHAnsi"/>
          <w:sz w:val="20"/>
          <w:szCs w:val="20"/>
          <w:bdr w:val="none" w:sz="0" w:space="0" w:color="auto"/>
        </w:rPr>
        <w:t xml:space="preserve"> even ended up leaving the country. </w:t>
      </w:r>
      <w:r w:rsidRPr="00073F58">
        <w:rPr>
          <w:rFonts w:asciiTheme="majorHAnsi" w:hAnsiTheme="majorHAnsi"/>
          <w:sz w:val="20"/>
          <w:szCs w:val="20"/>
          <w:bdr w:val="none" w:sz="0" w:space="0" w:color="auto"/>
        </w:rPr>
        <w:t>Both Mr. Gutiérrez Navas and Mrs. Cruz Sequeira lodged complaints about the threat</w:t>
      </w:r>
      <w:r>
        <w:rPr>
          <w:rFonts w:asciiTheme="majorHAnsi" w:hAnsiTheme="majorHAnsi"/>
          <w:sz w:val="20"/>
          <w:szCs w:val="20"/>
          <w:bdr w:val="none" w:sz="0" w:space="0" w:color="auto"/>
        </w:rPr>
        <w:t xml:space="preserve">s they had received. </w:t>
      </w:r>
      <w:r w:rsidRPr="00F54972">
        <w:rPr>
          <w:rFonts w:asciiTheme="majorHAnsi" w:hAnsiTheme="majorHAnsi"/>
          <w:sz w:val="20"/>
          <w:szCs w:val="20"/>
          <w:bdr w:val="none" w:sz="0" w:space="0" w:color="auto"/>
        </w:rPr>
        <w:t>In addition, in the specific case of Rosalinda Cruz Sequeira, the National Human Rights Commission granted security me</w:t>
      </w:r>
      <w:r>
        <w:rPr>
          <w:rFonts w:asciiTheme="majorHAnsi" w:hAnsiTheme="majorHAnsi"/>
          <w:sz w:val="20"/>
          <w:szCs w:val="20"/>
          <w:bdr w:val="none" w:sz="0" w:space="0" w:color="auto"/>
        </w:rPr>
        <w:t xml:space="preserve">asures for only a certain amount of time. </w:t>
      </w:r>
      <w:r w:rsidRPr="00F54972">
        <w:rPr>
          <w:rFonts w:asciiTheme="majorHAnsi" w:hAnsiTheme="majorHAnsi"/>
          <w:sz w:val="20"/>
          <w:szCs w:val="20"/>
          <w:bdr w:val="none" w:sz="0" w:space="0" w:color="auto"/>
        </w:rPr>
        <w:t>The case file does not show that the State authorities took any</w:t>
      </w:r>
      <w:r>
        <w:rPr>
          <w:rFonts w:asciiTheme="majorHAnsi" w:hAnsiTheme="majorHAnsi"/>
          <w:sz w:val="20"/>
          <w:szCs w:val="20"/>
          <w:bdr w:val="none" w:sz="0" w:space="0" w:color="auto"/>
        </w:rPr>
        <w:t xml:space="preserve"> </w:t>
      </w:r>
      <w:r w:rsidRPr="00F54972">
        <w:rPr>
          <w:rFonts w:asciiTheme="majorHAnsi" w:hAnsiTheme="majorHAnsi"/>
          <w:sz w:val="20"/>
          <w:szCs w:val="20"/>
          <w:bdr w:val="none" w:sz="0" w:space="0" w:color="auto"/>
        </w:rPr>
        <w:t xml:space="preserve">steps </w:t>
      </w:r>
      <w:r>
        <w:rPr>
          <w:rFonts w:asciiTheme="majorHAnsi" w:hAnsiTheme="majorHAnsi"/>
          <w:sz w:val="20"/>
          <w:szCs w:val="20"/>
          <w:bdr w:val="none" w:sz="0" w:space="0" w:color="auto"/>
        </w:rPr>
        <w:t xml:space="preserve">to </w:t>
      </w:r>
      <w:r>
        <w:rPr>
          <w:rFonts w:asciiTheme="majorHAnsi" w:hAnsiTheme="majorHAnsi"/>
          <w:sz w:val="20"/>
          <w:szCs w:val="20"/>
        </w:rPr>
        <w:t>investigate or afford protection</w:t>
      </w:r>
      <w:r>
        <w:rPr>
          <w:rFonts w:asciiTheme="majorHAnsi" w:hAnsiTheme="majorHAnsi"/>
          <w:sz w:val="20"/>
          <w:szCs w:val="20"/>
          <w:bdr w:val="none" w:sz="0" w:space="0" w:color="auto"/>
        </w:rPr>
        <w:t xml:space="preserve"> in response to the incidents that were reported.</w:t>
      </w:r>
      <w:r w:rsidRPr="00DB55CD">
        <w:rPr>
          <w:rStyle w:val="FootnoteReference"/>
          <w:rFonts w:asciiTheme="majorHAnsi" w:hAnsiTheme="majorHAnsi"/>
          <w:sz w:val="20"/>
          <w:szCs w:val="20"/>
        </w:rPr>
        <w:footnoteReference w:id="93"/>
      </w:r>
    </w:p>
    <w:p w14:paraId="7412E919" w14:textId="77777777" w:rsidR="00E6692A" w:rsidRPr="0021268C" w:rsidRDefault="00E6692A" w:rsidP="00E6692A">
      <w:pPr>
        <w:jc w:val="both"/>
        <w:rPr>
          <w:rFonts w:asciiTheme="majorHAnsi" w:hAnsiTheme="majorHAnsi"/>
          <w:sz w:val="20"/>
          <w:szCs w:val="20"/>
        </w:rPr>
      </w:pPr>
    </w:p>
    <w:p w14:paraId="1485663C" w14:textId="77777777" w:rsidR="00E6692A" w:rsidRPr="0021268C" w:rsidRDefault="00E6692A" w:rsidP="00E6692A">
      <w:pPr>
        <w:jc w:val="both"/>
        <w:rPr>
          <w:rFonts w:asciiTheme="majorHAnsi" w:hAnsiTheme="majorHAnsi"/>
          <w:sz w:val="20"/>
          <w:szCs w:val="20"/>
        </w:rPr>
      </w:pPr>
      <w:r w:rsidRPr="0021268C">
        <w:rPr>
          <w:rFonts w:asciiTheme="majorHAnsi" w:hAnsiTheme="majorHAnsi"/>
          <w:sz w:val="20"/>
          <w:szCs w:val="20"/>
        </w:rPr>
        <w:t>98. The Commission considers that it has not been established that the State undertook any criminal or administrative investigations with respect to the acts of harassment and threats that were reported by the alleged victims and th</w:t>
      </w:r>
      <w:r>
        <w:rPr>
          <w:rFonts w:asciiTheme="majorHAnsi" w:hAnsiTheme="majorHAnsi"/>
          <w:sz w:val="20"/>
          <w:szCs w:val="20"/>
        </w:rPr>
        <w:t xml:space="preserve">at were publicly known. </w:t>
      </w:r>
      <w:r w:rsidRPr="0021268C">
        <w:rPr>
          <w:rFonts w:asciiTheme="majorHAnsi" w:hAnsiTheme="majorHAnsi"/>
          <w:sz w:val="20"/>
          <w:szCs w:val="20"/>
        </w:rPr>
        <w:t>Nor i</w:t>
      </w:r>
      <w:r>
        <w:rPr>
          <w:rFonts w:asciiTheme="majorHAnsi" w:hAnsiTheme="majorHAnsi"/>
          <w:sz w:val="20"/>
          <w:szCs w:val="20"/>
        </w:rPr>
        <w:t>s</w:t>
      </w:r>
      <w:r w:rsidRPr="0021268C">
        <w:rPr>
          <w:rFonts w:asciiTheme="majorHAnsi" w:hAnsiTheme="majorHAnsi"/>
          <w:sz w:val="20"/>
          <w:szCs w:val="20"/>
        </w:rPr>
        <w:t xml:space="preserve"> the Commission aware that any protection measures were adopted for the alleged victims or their family members in the context of such risks. </w:t>
      </w:r>
    </w:p>
    <w:p w14:paraId="5CAFD2E7" w14:textId="77777777" w:rsidR="00E6692A" w:rsidRPr="0021268C" w:rsidRDefault="00E6692A" w:rsidP="00E6692A">
      <w:pPr>
        <w:pStyle w:val="parrafos"/>
        <w:numPr>
          <w:ilvl w:val="0"/>
          <w:numId w:val="0"/>
        </w:numPr>
        <w:rPr>
          <w:lang w:val="en-US"/>
        </w:rPr>
      </w:pPr>
    </w:p>
    <w:p w14:paraId="603AD037" w14:textId="77777777" w:rsidR="00E6692A" w:rsidRPr="0021268C" w:rsidRDefault="00E6692A" w:rsidP="00E6692A">
      <w:pPr>
        <w:pStyle w:val="parrafos"/>
        <w:numPr>
          <w:ilvl w:val="0"/>
          <w:numId w:val="0"/>
        </w:numPr>
        <w:rPr>
          <w:lang w:val="en-US"/>
        </w:rPr>
      </w:pPr>
      <w:r w:rsidRPr="0021268C">
        <w:rPr>
          <w:lang w:val="en-US"/>
        </w:rPr>
        <w:t xml:space="preserve">99. Therefore, the Commission </w:t>
      </w:r>
      <w:r>
        <w:rPr>
          <w:lang w:val="en-US"/>
        </w:rPr>
        <w:t>deems</w:t>
      </w:r>
      <w:r w:rsidRPr="0021268C">
        <w:rPr>
          <w:lang w:val="en-US"/>
        </w:rPr>
        <w:t xml:space="preserve"> that the State is responsible for violating Articles 8(1) and 25(1) of the American Convention in connection with Articles 5 </w:t>
      </w:r>
      <w:r>
        <w:rPr>
          <w:lang w:val="en-US"/>
        </w:rPr>
        <w:t>and</w:t>
      </w:r>
      <w:r w:rsidRPr="0021268C">
        <w:rPr>
          <w:lang w:val="en-US"/>
        </w:rPr>
        <w:t xml:space="preserve"> 1</w:t>
      </w:r>
      <w:r>
        <w:rPr>
          <w:lang w:val="en-US"/>
        </w:rPr>
        <w:t>(</w:t>
      </w:r>
      <w:r w:rsidRPr="0021268C">
        <w:rPr>
          <w:lang w:val="en-US"/>
        </w:rPr>
        <w:t>1</w:t>
      </w:r>
      <w:r>
        <w:rPr>
          <w:lang w:val="en-US"/>
        </w:rPr>
        <w:t xml:space="preserve">) thereof, to the detriment of </w:t>
      </w:r>
      <w:r w:rsidRPr="0021268C">
        <w:rPr>
          <w:lang w:val="en-US"/>
        </w:rPr>
        <w:t>José Antonio Gutiérrez Navas, Rosalinda Cruz Sequeira, José Francisco Ruiz Gaekel</w:t>
      </w:r>
      <w:r>
        <w:rPr>
          <w:lang w:val="en-US"/>
        </w:rPr>
        <w:t>, and</w:t>
      </w:r>
      <w:r w:rsidRPr="0021268C">
        <w:rPr>
          <w:lang w:val="en-US"/>
        </w:rPr>
        <w:t xml:space="preserve"> Gustavo Enrique Bustillo Palma.</w:t>
      </w:r>
    </w:p>
    <w:p w14:paraId="4B52C830" w14:textId="77777777" w:rsidR="00E6692A" w:rsidRPr="0021268C" w:rsidRDefault="00E6692A" w:rsidP="00E6692A">
      <w:pPr>
        <w:pStyle w:val="parrafos"/>
        <w:numPr>
          <w:ilvl w:val="0"/>
          <w:numId w:val="0"/>
        </w:numPr>
        <w:rPr>
          <w:rFonts w:eastAsia="Times New Roman"/>
          <w:b/>
          <w:bCs/>
          <w:lang w:val="en-US"/>
        </w:rPr>
      </w:pPr>
    </w:p>
    <w:p w14:paraId="41D6BD18" w14:textId="77777777" w:rsidR="00E6692A" w:rsidRPr="0021268C" w:rsidRDefault="00E6692A" w:rsidP="00E6692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sz w:val="20"/>
          <w:szCs w:val="20"/>
        </w:rPr>
      </w:pPr>
    </w:p>
    <w:p w14:paraId="66210B85" w14:textId="6A37663A" w:rsidR="00E6692A" w:rsidRPr="00DB55CD" w:rsidRDefault="00E6692A" w:rsidP="00E6692A">
      <w:pPr>
        <w:pStyle w:val="Heading1"/>
      </w:pPr>
      <w:bookmarkStart w:id="47" w:name="_Toc65248177"/>
      <w:bookmarkStart w:id="48" w:name="_Toc69410073"/>
      <w:r>
        <w:t>V. CONCLUSIONS AND RECOMMENDATIONS</w:t>
      </w:r>
      <w:bookmarkEnd w:id="47"/>
      <w:bookmarkEnd w:id="48"/>
      <w:r w:rsidRPr="00DB55CD">
        <w:t xml:space="preserve"> </w:t>
      </w:r>
    </w:p>
    <w:p w14:paraId="1CC3EA4D" w14:textId="77777777" w:rsidR="00E6692A" w:rsidRPr="00E6692A" w:rsidRDefault="00E6692A" w:rsidP="00E6692A">
      <w:pPr>
        <w:tabs>
          <w:tab w:val="left" w:pos="360"/>
        </w:tabs>
        <w:suppressAutoHyphens/>
        <w:rPr>
          <w:rFonts w:asciiTheme="majorHAnsi" w:hAnsiTheme="majorHAnsi"/>
          <w:b/>
          <w:sz w:val="20"/>
          <w:szCs w:val="20"/>
        </w:rPr>
      </w:pPr>
    </w:p>
    <w:p w14:paraId="23003E8D" w14:textId="77777777" w:rsidR="00E6692A" w:rsidRPr="002E1B3E" w:rsidRDefault="00E6692A" w:rsidP="00E6692A">
      <w:pPr>
        <w:tabs>
          <w:tab w:val="left" w:pos="360"/>
        </w:tabs>
        <w:suppressAutoHyphens/>
        <w:jc w:val="both"/>
        <w:rPr>
          <w:rFonts w:asciiTheme="majorHAnsi" w:hAnsiTheme="majorHAnsi"/>
          <w:sz w:val="20"/>
          <w:szCs w:val="20"/>
        </w:rPr>
      </w:pPr>
      <w:r w:rsidRPr="002E1B3E">
        <w:rPr>
          <w:rFonts w:asciiTheme="majorHAnsi" w:hAnsiTheme="majorHAnsi"/>
          <w:sz w:val="20"/>
          <w:szCs w:val="20"/>
        </w:rPr>
        <w:t>100. The Commission concludes that the Honduran State is responsible for violating the right</w:t>
      </w:r>
      <w:r>
        <w:rPr>
          <w:rFonts w:asciiTheme="majorHAnsi" w:hAnsiTheme="majorHAnsi"/>
          <w:sz w:val="20"/>
          <w:szCs w:val="20"/>
        </w:rPr>
        <w:t>s</w:t>
      </w:r>
      <w:r w:rsidRPr="002E1B3E">
        <w:rPr>
          <w:rFonts w:asciiTheme="majorHAnsi" w:hAnsiTheme="majorHAnsi"/>
          <w:sz w:val="20"/>
          <w:szCs w:val="20"/>
        </w:rPr>
        <w:t xml:space="preserve"> to </w:t>
      </w:r>
      <w:r>
        <w:rPr>
          <w:rFonts w:asciiTheme="majorHAnsi" w:hAnsiTheme="majorHAnsi"/>
          <w:sz w:val="20"/>
          <w:szCs w:val="20"/>
        </w:rPr>
        <w:t>judicial guarantees</w:t>
      </w:r>
      <w:r w:rsidRPr="002E1B3E">
        <w:rPr>
          <w:rFonts w:asciiTheme="majorHAnsi" w:hAnsiTheme="majorHAnsi"/>
          <w:sz w:val="20"/>
          <w:szCs w:val="20"/>
        </w:rPr>
        <w:t xml:space="preserve">, the principle of legality, the guarantee of judicial independence, political rights, and judicial protection established in Articles 5, 8(1), 8(2)(b), (c), and (d), 9, 23(1)(c), and 25(1) of the American Convention in connection with </w:t>
      </w:r>
      <w:r>
        <w:rPr>
          <w:rFonts w:asciiTheme="majorHAnsi" w:hAnsiTheme="majorHAnsi"/>
          <w:sz w:val="20"/>
          <w:szCs w:val="20"/>
        </w:rPr>
        <w:t xml:space="preserve">the obligations established in </w:t>
      </w:r>
      <w:r w:rsidRPr="002E1B3E">
        <w:rPr>
          <w:rFonts w:asciiTheme="majorHAnsi" w:hAnsiTheme="majorHAnsi"/>
          <w:sz w:val="20"/>
          <w:szCs w:val="20"/>
        </w:rPr>
        <w:t>Articles 1</w:t>
      </w:r>
      <w:r>
        <w:rPr>
          <w:rFonts w:asciiTheme="majorHAnsi" w:hAnsiTheme="majorHAnsi"/>
          <w:sz w:val="20"/>
          <w:szCs w:val="20"/>
        </w:rPr>
        <w:t>(</w:t>
      </w:r>
      <w:r w:rsidRPr="002E1B3E">
        <w:rPr>
          <w:rFonts w:asciiTheme="majorHAnsi" w:hAnsiTheme="majorHAnsi"/>
          <w:sz w:val="20"/>
          <w:szCs w:val="20"/>
        </w:rPr>
        <w:t>1</w:t>
      </w:r>
      <w:r>
        <w:rPr>
          <w:rFonts w:asciiTheme="majorHAnsi" w:hAnsiTheme="majorHAnsi"/>
          <w:sz w:val="20"/>
          <w:szCs w:val="20"/>
        </w:rPr>
        <w:t xml:space="preserve">) and </w:t>
      </w:r>
      <w:r w:rsidRPr="002E1B3E">
        <w:rPr>
          <w:rFonts w:asciiTheme="majorHAnsi" w:hAnsiTheme="majorHAnsi"/>
          <w:sz w:val="20"/>
          <w:szCs w:val="20"/>
        </w:rPr>
        <w:t xml:space="preserve">2 </w:t>
      </w:r>
      <w:r>
        <w:rPr>
          <w:rFonts w:asciiTheme="majorHAnsi" w:hAnsiTheme="majorHAnsi"/>
          <w:sz w:val="20"/>
          <w:szCs w:val="20"/>
        </w:rPr>
        <w:t xml:space="preserve">thereof, to the detriment of </w:t>
      </w:r>
      <w:r w:rsidRPr="002E1B3E">
        <w:rPr>
          <w:rFonts w:asciiTheme="majorHAnsi" w:hAnsiTheme="majorHAnsi"/>
          <w:sz w:val="20"/>
          <w:szCs w:val="20"/>
        </w:rPr>
        <w:t>José Antonio Gutiérrez Navas, Rosalinda Cruz Sequeira, José Francisco Ruiz Gaekel</w:t>
      </w:r>
      <w:r>
        <w:rPr>
          <w:rFonts w:asciiTheme="majorHAnsi" w:hAnsiTheme="majorHAnsi"/>
          <w:sz w:val="20"/>
          <w:szCs w:val="20"/>
        </w:rPr>
        <w:t>, and</w:t>
      </w:r>
      <w:r w:rsidRPr="002E1B3E">
        <w:rPr>
          <w:rFonts w:asciiTheme="majorHAnsi" w:hAnsiTheme="majorHAnsi"/>
          <w:sz w:val="20"/>
          <w:szCs w:val="20"/>
        </w:rPr>
        <w:t xml:space="preserve"> Gustavo Enrique Bustillo Palma.</w:t>
      </w:r>
    </w:p>
    <w:p w14:paraId="5B6C7200" w14:textId="77777777" w:rsidR="00E6692A" w:rsidRPr="002E1B3E" w:rsidRDefault="00E6692A" w:rsidP="00E6692A">
      <w:pPr>
        <w:tabs>
          <w:tab w:val="left" w:pos="360"/>
        </w:tabs>
        <w:suppressAutoHyphens/>
        <w:jc w:val="both"/>
        <w:rPr>
          <w:rFonts w:asciiTheme="majorHAnsi" w:hAnsiTheme="majorHAnsi"/>
          <w:sz w:val="20"/>
          <w:szCs w:val="20"/>
        </w:rPr>
      </w:pPr>
    </w:p>
    <w:p w14:paraId="6A5E4E7A" w14:textId="77777777" w:rsidR="00E6692A" w:rsidRPr="0055419B" w:rsidRDefault="00E6692A" w:rsidP="00E669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bdr w:val="none" w:sz="0" w:space="0" w:color="auto"/>
        </w:rPr>
      </w:pPr>
      <w:r w:rsidRPr="0055419B">
        <w:rPr>
          <w:rFonts w:asciiTheme="majorHAnsi" w:hAnsiTheme="majorHAnsi"/>
          <w:sz w:val="20"/>
          <w:szCs w:val="20"/>
          <w:bdr w:val="none" w:sz="0" w:space="0" w:color="auto"/>
        </w:rPr>
        <w:t>101. Based on the foregoing conclusions,</w:t>
      </w:r>
    </w:p>
    <w:p w14:paraId="3EF58E6A" w14:textId="77777777" w:rsidR="00E6692A" w:rsidRPr="0055419B" w:rsidRDefault="00E6692A" w:rsidP="00E6692A">
      <w:pPr>
        <w:tabs>
          <w:tab w:val="left" w:pos="360"/>
        </w:tabs>
        <w:suppressAutoHyphens/>
        <w:jc w:val="both"/>
        <w:rPr>
          <w:rFonts w:asciiTheme="majorHAnsi" w:hAnsiTheme="majorHAnsi"/>
          <w:sz w:val="20"/>
          <w:szCs w:val="20"/>
        </w:rPr>
      </w:pPr>
    </w:p>
    <w:p w14:paraId="6D654827" w14:textId="77777777" w:rsidR="00E6692A" w:rsidRPr="00914555" w:rsidRDefault="00E6692A" w:rsidP="00E6692A">
      <w:pPr>
        <w:tabs>
          <w:tab w:val="left" w:pos="360"/>
        </w:tabs>
        <w:jc w:val="both"/>
        <w:rPr>
          <w:rFonts w:ascii="Cambria" w:hAnsi="Cambria"/>
          <w:b/>
          <w:sz w:val="20"/>
          <w:szCs w:val="20"/>
        </w:rPr>
      </w:pPr>
      <w:r w:rsidRPr="00914555">
        <w:rPr>
          <w:rFonts w:ascii="Cambria" w:hAnsi="Cambria"/>
          <w:b/>
          <w:sz w:val="20"/>
          <w:szCs w:val="20"/>
        </w:rPr>
        <w:t>THE INTER-AMERICAN COMMISSION ON HUMAN RIGHTS RECOMMENDS THAT THE ST</w:t>
      </w:r>
      <w:r>
        <w:rPr>
          <w:rFonts w:ascii="Cambria" w:hAnsi="Cambria"/>
          <w:b/>
          <w:sz w:val="20"/>
          <w:szCs w:val="20"/>
        </w:rPr>
        <w:t xml:space="preserve">ATE OF </w:t>
      </w:r>
      <w:r w:rsidRPr="00914555">
        <w:rPr>
          <w:rFonts w:ascii="Cambria" w:hAnsi="Cambria"/>
          <w:b/>
          <w:sz w:val="20"/>
          <w:szCs w:val="20"/>
        </w:rPr>
        <w:t>HONDURAS</w:t>
      </w:r>
    </w:p>
    <w:p w14:paraId="618E0397" w14:textId="77777777" w:rsidR="00E6692A" w:rsidRPr="00914555" w:rsidRDefault="00E6692A" w:rsidP="00E669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9360"/>
        </w:tabs>
        <w:jc w:val="both"/>
        <w:rPr>
          <w:rFonts w:asciiTheme="majorHAnsi" w:hAnsiTheme="majorHAnsi"/>
          <w:sz w:val="20"/>
          <w:szCs w:val="20"/>
          <w:bdr w:val="none" w:sz="0" w:space="0" w:color="auto"/>
        </w:rPr>
      </w:pPr>
    </w:p>
    <w:p w14:paraId="202CA8C6" w14:textId="77777777" w:rsidR="00E6692A" w:rsidRPr="0068252E" w:rsidRDefault="00E6692A" w:rsidP="00E6692A">
      <w:pPr>
        <w:pStyle w:val="BodyText3"/>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clear" w:pos="1860"/>
          <w:tab w:val="num" w:pos="0"/>
          <w:tab w:val="left" w:pos="720"/>
          <w:tab w:val="left" w:pos="1440"/>
          <w:tab w:val="left" w:pos="9360"/>
        </w:tabs>
        <w:spacing w:after="0"/>
        <w:ind w:left="0" w:firstLine="720"/>
        <w:jc w:val="both"/>
        <w:rPr>
          <w:rFonts w:asciiTheme="majorHAnsi" w:hAnsiTheme="majorHAnsi"/>
          <w:sz w:val="20"/>
          <w:szCs w:val="20"/>
        </w:rPr>
      </w:pPr>
      <w:r>
        <w:rPr>
          <w:rFonts w:asciiTheme="majorHAnsi" w:hAnsiTheme="majorHAnsi"/>
          <w:sz w:val="20"/>
          <w:szCs w:val="20"/>
          <w:lang w:val="en"/>
        </w:rPr>
        <w:t>Reinstate the victims—should they so wish—to positions similar to the one they held in the Judicial Branch, with the same compensation, benefits, and rank that they would have today if they had not been dismissed. If, for well-justified reasons, reinstatement is not possible, they should be paid an alternative compensation.</w:t>
      </w:r>
    </w:p>
    <w:p w14:paraId="6C538380" w14:textId="77777777" w:rsidR="00E6692A" w:rsidRPr="005C23AF" w:rsidRDefault="00E6692A" w:rsidP="00E6692A">
      <w:pPr>
        <w:pStyle w:val="BodyText3"/>
        <w:pBdr>
          <w:top w:val="none" w:sz="0" w:space="0" w:color="auto"/>
          <w:left w:val="none" w:sz="0" w:space="0" w:color="auto"/>
          <w:bottom w:val="none" w:sz="0" w:space="0" w:color="auto"/>
          <w:right w:val="none" w:sz="0" w:space="0" w:color="auto"/>
        </w:pBdr>
        <w:tabs>
          <w:tab w:val="left" w:pos="720"/>
          <w:tab w:val="left" w:pos="1440"/>
          <w:tab w:val="left" w:pos="9360"/>
        </w:tabs>
        <w:spacing w:after="0"/>
        <w:ind w:left="720"/>
        <w:jc w:val="both"/>
        <w:rPr>
          <w:rFonts w:asciiTheme="majorHAnsi" w:hAnsiTheme="majorHAnsi"/>
          <w:sz w:val="20"/>
          <w:szCs w:val="20"/>
        </w:rPr>
      </w:pPr>
    </w:p>
    <w:p w14:paraId="5AE8C1F4" w14:textId="77777777" w:rsidR="00E6692A" w:rsidRPr="005C23AF" w:rsidRDefault="00E6692A" w:rsidP="00E6692A">
      <w:pPr>
        <w:pStyle w:val="BodyText3"/>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clear" w:pos="1860"/>
          <w:tab w:val="num" w:pos="0"/>
          <w:tab w:val="left" w:pos="720"/>
          <w:tab w:val="left" w:pos="1440"/>
          <w:tab w:val="left" w:pos="9360"/>
        </w:tabs>
        <w:spacing w:after="0"/>
        <w:ind w:left="0" w:firstLine="720"/>
        <w:jc w:val="both"/>
        <w:rPr>
          <w:rFonts w:asciiTheme="majorHAnsi" w:hAnsiTheme="majorHAnsi"/>
          <w:sz w:val="20"/>
          <w:szCs w:val="20"/>
        </w:rPr>
      </w:pPr>
      <w:r w:rsidRPr="005C23AF">
        <w:rPr>
          <w:rFonts w:asciiTheme="majorHAnsi" w:hAnsiTheme="majorHAnsi"/>
          <w:sz w:val="20"/>
          <w:szCs w:val="20"/>
          <w:lang w:val="en"/>
        </w:rPr>
        <w:t xml:space="preserve">Provide full pecuniary and nonpecuniary reparations for the rights violations declared in this report, including the payment of compensation for pecuniary and nonpecuniary damages. </w:t>
      </w:r>
    </w:p>
    <w:p w14:paraId="2E65A29B" w14:textId="77777777" w:rsidR="00E6692A" w:rsidRPr="005C23AF" w:rsidRDefault="00E6692A" w:rsidP="00E669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9360"/>
        </w:tabs>
        <w:ind w:left="720"/>
        <w:jc w:val="both"/>
        <w:rPr>
          <w:rFonts w:asciiTheme="majorHAnsi" w:hAnsiTheme="majorHAnsi"/>
          <w:sz w:val="20"/>
          <w:szCs w:val="20"/>
          <w:bdr w:val="none" w:sz="0" w:space="0" w:color="auto"/>
        </w:rPr>
      </w:pPr>
    </w:p>
    <w:p w14:paraId="0C1BDC8B" w14:textId="77777777" w:rsidR="00E6692A" w:rsidRPr="005C23AF" w:rsidRDefault="00E6692A" w:rsidP="00E6692A">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clear" w:pos="1860"/>
          <w:tab w:val="num" w:pos="0"/>
          <w:tab w:val="left" w:pos="720"/>
          <w:tab w:val="left" w:pos="1440"/>
          <w:tab w:val="left" w:pos="9360"/>
        </w:tabs>
        <w:ind w:left="0" w:firstLine="720"/>
        <w:jc w:val="both"/>
        <w:rPr>
          <w:rFonts w:ascii="Cambria" w:hAnsi="Cambria"/>
          <w:sz w:val="20"/>
          <w:szCs w:val="20"/>
        </w:rPr>
      </w:pPr>
      <w:r w:rsidRPr="005C23AF">
        <w:rPr>
          <w:rFonts w:asciiTheme="majorHAnsi" w:hAnsiTheme="majorHAnsi"/>
          <w:sz w:val="20"/>
          <w:szCs w:val="20"/>
          <w:bdr w:val="none" w:sz="0" w:space="0" w:color="auto"/>
        </w:rPr>
        <w:t xml:space="preserve">Adapt its domestic laws to ensure that disciplinary proceedings against the highest-level authorities of the judicial branch are compatible with the standards of judicial independence established in this report and comply with all due process guarantees and with the principle of legality. </w:t>
      </w:r>
    </w:p>
    <w:p w14:paraId="56EFA395" w14:textId="23E877DF" w:rsidR="00FB53C3" w:rsidRPr="003F2493" w:rsidRDefault="00FB53C3" w:rsidP="00E6692A">
      <w:pPr>
        <w:pStyle w:val="Heading1"/>
        <w:rPr>
          <w:lang w:val="en-US"/>
        </w:rPr>
      </w:pPr>
    </w:p>
    <w:sectPr w:rsidR="00FB53C3" w:rsidRPr="003F249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85D3D" w14:textId="77777777" w:rsidR="00E6692A" w:rsidRDefault="00E6692A">
      <w:r>
        <w:separator/>
      </w:r>
    </w:p>
  </w:endnote>
  <w:endnote w:type="continuationSeparator" w:id="0">
    <w:p w14:paraId="3F1A1EBE" w14:textId="77777777" w:rsidR="00E6692A" w:rsidRDefault="00E6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2D3E8EA9" w14:textId="77777777" w:rsidR="00E6692A" w:rsidRPr="00934A2C" w:rsidRDefault="00E6692A">
        <w:pPr>
          <w:pStyle w:val="Footer"/>
          <w:jc w:val="center"/>
          <w:rPr>
            <w:sz w:val="16"/>
            <w:szCs w:val="22"/>
          </w:rPr>
        </w:pPr>
        <w:r>
          <w:rPr>
            <w:sz w:val="16"/>
            <w:szCs w:val="22"/>
            <w:lang w:val="en"/>
          </w:rPr>
          <w:fldChar w:fldCharType="begin"/>
        </w:r>
        <w:r>
          <w:rPr>
            <w:sz w:val="16"/>
            <w:szCs w:val="22"/>
            <w:lang w:val="en"/>
          </w:rPr>
          <w:instrText xml:space="preserve"> PAGE   \* MERGEFORMAT </w:instrText>
        </w:r>
        <w:r>
          <w:rPr>
            <w:sz w:val="16"/>
            <w:szCs w:val="22"/>
            <w:lang w:val="en"/>
          </w:rPr>
          <w:fldChar w:fldCharType="separate"/>
        </w:r>
        <w:r>
          <w:rPr>
            <w:noProof/>
            <w:sz w:val="16"/>
            <w:szCs w:val="22"/>
            <w:lang w:val="en"/>
          </w:rPr>
          <w:t>1</w:t>
        </w:r>
        <w:r>
          <w:rPr>
            <w:noProof/>
            <w:sz w:val="16"/>
            <w:szCs w:val="22"/>
            <w:lang w:val="en"/>
          </w:rPr>
          <w:fldChar w:fldCharType="end"/>
        </w:r>
      </w:p>
    </w:sdtContent>
  </w:sdt>
  <w:p w14:paraId="53F3B811" w14:textId="77777777" w:rsidR="00E6692A" w:rsidRDefault="00E669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48146" w14:textId="77777777" w:rsidR="00E6692A" w:rsidRPr="00934A2C" w:rsidRDefault="00E6692A">
    <w:pPr>
      <w:pStyle w:val="Footer"/>
      <w:jc w:val="center"/>
      <w:rPr>
        <w:sz w:val="16"/>
        <w:szCs w:val="22"/>
      </w:rPr>
    </w:pPr>
  </w:p>
  <w:p w14:paraId="39803D8F" w14:textId="77777777" w:rsidR="00E6692A" w:rsidRDefault="00E66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7C066" w14:textId="77777777" w:rsidR="00E6692A" w:rsidRPr="000F35ED" w:rsidRDefault="00E6692A">
      <w:pPr>
        <w:rPr>
          <w:rFonts w:asciiTheme="majorHAnsi" w:hAnsiTheme="majorHAnsi"/>
          <w:sz w:val="16"/>
          <w:szCs w:val="16"/>
        </w:rPr>
      </w:pPr>
      <w:r>
        <w:rPr>
          <w:rFonts w:asciiTheme="majorHAnsi" w:hAnsiTheme="majorHAnsi"/>
          <w:sz w:val="16"/>
          <w:szCs w:val="16"/>
        </w:rPr>
        <w:separator/>
      </w:r>
    </w:p>
  </w:footnote>
  <w:footnote w:type="continuationSeparator" w:id="0">
    <w:p w14:paraId="3ED6FA7B" w14:textId="77777777" w:rsidR="00E6692A" w:rsidRPr="000F35ED" w:rsidRDefault="00E6692A" w:rsidP="000F35ED">
      <w:pPr>
        <w:rPr>
          <w:rFonts w:asciiTheme="majorHAnsi" w:hAnsiTheme="majorHAnsi"/>
          <w:sz w:val="16"/>
          <w:szCs w:val="16"/>
        </w:rPr>
      </w:pPr>
      <w:r>
        <w:rPr>
          <w:rFonts w:asciiTheme="majorHAnsi" w:hAnsiTheme="majorHAnsi"/>
          <w:sz w:val="16"/>
          <w:szCs w:val="16"/>
        </w:rPr>
        <w:separator/>
      </w:r>
    </w:p>
    <w:p w14:paraId="58540AB6" w14:textId="77777777" w:rsidR="00E6692A" w:rsidRPr="000F35ED" w:rsidRDefault="00E6692A" w:rsidP="000F35ED">
      <w:pPr>
        <w:pStyle w:val="Footer"/>
        <w:rPr>
          <w:rFonts w:asciiTheme="majorHAnsi" w:hAnsiTheme="majorHAnsi"/>
          <w:sz w:val="16"/>
          <w:szCs w:val="16"/>
        </w:rPr>
      </w:pPr>
      <w:r>
        <w:rPr>
          <w:rFonts w:asciiTheme="majorHAnsi" w:hAnsiTheme="majorHAnsi"/>
          <w:sz w:val="16"/>
          <w:szCs w:val="16"/>
        </w:rPr>
        <w:t>[… continuación]</w:t>
      </w:r>
    </w:p>
  </w:footnote>
  <w:footnote w:type="continuationNotice" w:id="1">
    <w:p w14:paraId="4B630728" w14:textId="77777777" w:rsidR="00E6692A" w:rsidRPr="000F35ED" w:rsidRDefault="00E6692A" w:rsidP="000F35ED">
      <w:pPr>
        <w:jc w:val="right"/>
        <w:rPr>
          <w:rFonts w:asciiTheme="majorHAnsi" w:hAnsiTheme="majorHAnsi"/>
          <w:sz w:val="16"/>
          <w:szCs w:val="16"/>
        </w:rPr>
      </w:pPr>
      <w:r>
        <w:rPr>
          <w:rFonts w:asciiTheme="majorHAnsi" w:hAnsiTheme="majorHAnsi"/>
          <w:sz w:val="16"/>
          <w:szCs w:val="16"/>
        </w:rPr>
        <w:t>[continúa…]</w:t>
      </w:r>
    </w:p>
  </w:footnote>
  <w:footnote w:id="2">
    <w:p w14:paraId="284B6268" w14:textId="77777777" w:rsidR="00E6692A" w:rsidRPr="00D74878" w:rsidRDefault="00E6692A" w:rsidP="00E6692A">
      <w:pPr>
        <w:pStyle w:val="FootnoteText"/>
        <w:rPr>
          <w:color w:val="FF0000"/>
        </w:rPr>
      </w:pPr>
      <w:r w:rsidRPr="00F20660">
        <w:rPr>
          <w:rStyle w:val="FootnoteReference"/>
          <w:color w:val="auto"/>
        </w:rPr>
        <w:footnoteRef/>
      </w:r>
      <w:r w:rsidRPr="00C60B81">
        <w:rPr>
          <w:color w:val="auto"/>
          <w:lang w:val="es-CO"/>
        </w:rPr>
        <w:t xml:space="preserve"> IACHR, Report No. 83/18, Petition 455-13, Admissibility, José Antonio Gutiérrez Navas et al</w:t>
      </w:r>
      <w:r>
        <w:rPr>
          <w:color w:val="auto"/>
          <w:lang w:val="es-CO"/>
        </w:rPr>
        <w:t>.</w:t>
      </w:r>
      <w:r w:rsidRPr="00C60B81">
        <w:rPr>
          <w:color w:val="auto"/>
          <w:lang w:val="es-CO"/>
        </w:rPr>
        <w:t>, Honduras,</w:t>
      </w:r>
      <w:r>
        <w:rPr>
          <w:color w:val="auto"/>
          <w:lang w:val="es-CO"/>
        </w:rPr>
        <w:t xml:space="preserve"> </w:t>
      </w:r>
      <w:r w:rsidRPr="00C60B81">
        <w:rPr>
          <w:color w:val="auto"/>
          <w:lang w:val="es-CO"/>
        </w:rPr>
        <w:t xml:space="preserve">July 17, 2018. </w:t>
      </w:r>
      <w:r w:rsidRPr="00D74878">
        <w:rPr>
          <w:color w:val="auto"/>
        </w:rPr>
        <w:t xml:space="preserve">The Commission declared the petition admissible in relation to Articles 5, 8, 9, 23, 25, and 26 of the American Convention, in </w:t>
      </w:r>
      <w:r>
        <w:rPr>
          <w:color w:val="auto"/>
        </w:rPr>
        <w:t>conjunction with</w:t>
      </w:r>
      <w:r w:rsidRPr="00D74878">
        <w:rPr>
          <w:color w:val="auto"/>
        </w:rPr>
        <w:t xml:space="preserve"> Articles 1(1) and 2 thereof. The Commission found the petition inadmissible in </w:t>
      </w:r>
      <w:r>
        <w:rPr>
          <w:color w:val="auto"/>
        </w:rPr>
        <w:t xml:space="preserve">relation to </w:t>
      </w:r>
      <w:r w:rsidRPr="00D74878">
        <w:rPr>
          <w:color w:val="auto"/>
        </w:rPr>
        <w:t xml:space="preserve">Article 11 </w:t>
      </w:r>
      <w:r>
        <w:rPr>
          <w:color w:val="auto"/>
        </w:rPr>
        <w:t>of the American Convention.</w:t>
      </w:r>
    </w:p>
  </w:footnote>
  <w:footnote w:id="3">
    <w:p w14:paraId="6F0AF2B1" w14:textId="76FFA8BD" w:rsidR="00E6692A" w:rsidRPr="003D05E9" w:rsidRDefault="00E6692A" w:rsidP="00E6692A">
      <w:pPr>
        <w:pStyle w:val="FootnoteText"/>
      </w:pPr>
      <w:r>
        <w:rPr>
          <w:rStyle w:val="FootnoteReference"/>
        </w:rPr>
        <w:footnoteRef/>
      </w:r>
      <w:r w:rsidRPr="003D05E9">
        <w:t xml:space="preserve"> </w:t>
      </w:r>
      <w:r w:rsidR="00177DB9">
        <w:t xml:space="preserve">Annex 1. </w:t>
      </w:r>
      <w:r w:rsidRPr="003D05E9">
        <w:t xml:space="preserve">National Congress of the Republic, Decree No. 02-2009 of January 26, 2009, published in </w:t>
      </w:r>
      <w:r>
        <w:t xml:space="preserve">the Official Gazette, No. </w:t>
      </w:r>
      <w:r w:rsidRPr="003D05E9">
        <w:t xml:space="preserve">31,828 </w:t>
      </w:r>
      <w:r>
        <w:t>of February</w:t>
      </w:r>
      <w:r w:rsidRPr="003D05E9">
        <w:t xml:space="preserve"> 3</w:t>
      </w:r>
      <w:r>
        <w:t xml:space="preserve">, </w:t>
      </w:r>
      <w:r w:rsidRPr="003D05E9">
        <w:t>2009</w:t>
      </w:r>
      <w:r>
        <w:t xml:space="preserve">. Annex to the initial petition of February 5, </w:t>
      </w:r>
      <w:r w:rsidRPr="003D05E9">
        <w:t xml:space="preserve">2013. </w:t>
      </w:r>
    </w:p>
  </w:footnote>
  <w:footnote w:id="4">
    <w:p w14:paraId="120D5203" w14:textId="398BFEF7" w:rsidR="00E6692A" w:rsidRPr="00A4322F" w:rsidRDefault="00E6692A" w:rsidP="00E6692A">
      <w:pPr>
        <w:pStyle w:val="FootnoteText"/>
      </w:pPr>
      <w:r>
        <w:rPr>
          <w:rStyle w:val="FootnoteReference"/>
        </w:rPr>
        <w:footnoteRef/>
      </w:r>
      <w:r w:rsidRPr="00A4322F">
        <w:t xml:space="preserve"> </w:t>
      </w:r>
      <w:r w:rsidR="00177DB9">
        <w:t xml:space="preserve">Annex 2. </w:t>
      </w:r>
      <w:r w:rsidRPr="00A4322F">
        <w:t>Constitutional Chamber of the Supreme Court</w:t>
      </w:r>
      <w:r>
        <w:t xml:space="preserve"> of Justice</w:t>
      </w:r>
      <w:r w:rsidRPr="00A4322F">
        <w:t>, Judgment of February 1, 2012</w:t>
      </w:r>
      <w:r>
        <w:t>.</w:t>
      </w:r>
      <w:r w:rsidRPr="00A4322F">
        <w:t xml:space="preserve"> Annex to</w:t>
      </w:r>
      <w:r>
        <w:t xml:space="preserve"> the petitioners’ brief of November 20, </w:t>
      </w:r>
      <w:r w:rsidRPr="00A4322F">
        <w:t>2018.</w:t>
      </w:r>
    </w:p>
  </w:footnote>
  <w:footnote w:id="5">
    <w:p w14:paraId="240FEB2C" w14:textId="34C60266" w:rsidR="00E6692A" w:rsidRPr="00A4322F" w:rsidRDefault="00E6692A" w:rsidP="00E6692A">
      <w:pPr>
        <w:pStyle w:val="FootnoteText"/>
      </w:pPr>
      <w:r>
        <w:rPr>
          <w:rStyle w:val="FootnoteReference"/>
        </w:rPr>
        <w:footnoteRef/>
      </w:r>
      <w:r w:rsidR="00177DB9">
        <w:t xml:space="preserve"> Annex 3. </w:t>
      </w:r>
      <w:r w:rsidRPr="00A4322F">
        <w:t xml:space="preserve">Press reports: </w:t>
      </w:r>
      <w:r w:rsidRPr="00A4322F">
        <w:rPr>
          <w:i/>
          <w:iCs/>
        </w:rPr>
        <w:t>El Heraldo</w:t>
      </w:r>
      <w:r w:rsidRPr="00A4322F">
        <w:t>, Friday, December 14, 2012, available at</w:t>
      </w:r>
      <w:r>
        <w:t xml:space="preserve"> </w:t>
      </w:r>
      <w:hyperlink r:id="rId1" w:history="1">
        <w:r w:rsidRPr="00A4322F">
          <w:rPr>
            <w:rStyle w:val="Hyperlink"/>
          </w:rPr>
          <w:t>https://www.elheraldo.hn/alfrente/565663-209/hechos-que-originaron-zarpazo-contra-el-poder-judicial</w:t>
        </w:r>
      </w:hyperlink>
      <w:r>
        <w:t xml:space="preserve">, and </w:t>
      </w:r>
      <w:r w:rsidRPr="00A4322F">
        <w:rPr>
          <w:i/>
          <w:iCs/>
        </w:rPr>
        <w:t>El Heraldo</w:t>
      </w:r>
      <w:r>
        <w:t xml:space="preserve">, Thursday, February </w:t>
      </w:r>
      <w:r w:rsidRPr="00A4322F">
        <w:t>23</w:t>
      </w:r>
      <w:r>
        <w:t xml:space="preserve">, </w:t>
      </w:r>
      <w:r w:rsidRPr="00A4322F">
        <w:t>2012</w:t>
      </w:r>
      <w:r>
        <w:t>, available at</w:t>
      </w:r>
      <w:r w:rsidRPr="00A4322F">
        <w:t xml:space="preserve"> </w:t>
      </w:r>
      <w:hyperlink r:id="rId2" w:history="1">
        <w:r w:rsidRPr="00A4322F">
          <w:rPr>
            <w:rStyle w:val="Hyperlink"/>
          </w:rPr>
          <w:t>https://www.elheraldo.hn/pais/569202-214/pepe-contratara-comision-para-evaluar-fallos-de-la-corte-suprema-de-justicia</w:t>
        </w:r>
      </w:hyperlink>
      <w:r w:rsidRPr="00A4322F">
        <w:t>. Annex</w:t>
      </w:r>
      <w:r>
        <w:t>es</w:t>
      </w:r>
      <w:r w:rsidRPr="00A4322F">
        <w:t xml:space="preserve"> to</w:t>
      </w:r>
      <w:r>
        <w:t xml:space="preserve"> the petitioners’ brief of November 20, </w:t>
      </w:r>
      <w:r w:rsidRPr="00A4322F">
        <w:t>2018.</w:t>
      </w:r>
    </w:p>
  </w:footnote>
  <w:footnote w:id="6">
    <w:p w14:paraId="11BDC5AA" w14:textId="594ED0FB" w:rsidR="00E6692A" w:rsidRPr="00A4322F" w:rsidRDefault="00E6692A" w:rsidP="00E6692A">
      <w:pPr>
        <w:pStyle w:val="FootnoteText"/>
      </w:pPr>
      <w:r>
        <w:rPr>
          <w:rStyle w:val="FootnoteReference"/>
        </w:rPr>
        <w:footnoteRef/>
      </w:r>
      <w:r w:rsidRPr="00A4322F">
        <w:t xml:space="preserve"> </w:t>
      </w:r>
      <w:r w:rsidR="00177DB9">
        <w:t xml:space="preserve">Annex 4. </w:t>
      </w:r>
      <w:r w:rsidRPr="00A4322F">
        <w:t>Constitutional Chamber of the Supreme Court</w:t>
      </w:r>
      <w:r>
        <w:t xml:space="preserve"> of Justice</w:t>
      </w:r>
      <w:r w:rsidRPr="00A4322F">
        <w:t>, Judgment of February 7</w:t>
      </w:r>
      <w:r>
        <w:t xml:space="preserve">, </w:t>
      </w:r>
      <w:r w:rsidRPr="00A4322F">
        <w:t>2012. Annex to</w:t>
      </w:r>
      <w:r>
        <w:t xml:space="preserve"> the petitioners’ brief of November 20, </w:t>
      </w:r>
      <w:r w:rsidRPr="00A4322F">
        <w:t>2018.</w:t>
      </w:r>
    </w:p>
  </w:footnote>
  <w:footnote w:id="7">
    <w:p w14:paraId="3854B398" w14:textId="28D74763" w:rsidR="00E6692A" w:rsidRPr="00A4322F" w:rsidRDefault="00E6692A" w:rsidP="00E6692A">
      <w:pPr>
        <w:pStyle w:val="FootnoteText"/>
      </w:pPr>
      <w:r>
        <w:rPr>
          <w:rStyle w:val="FootnoteReference"/>
        </w:rPr>
        <w:footnoteRef/>
      </w:r>
      <w:r w:rsidRPr="004204E0">
        <w:t xml:space="preserve"> </w:t>
      </w:r>
      <w:r w:rsidR="00177DB9">
        <w:t xml:space="preserve">Annex 5. </w:t>
      </w:r>
      <w:r w:rsidRPr="004204E0">
        <w:t xml:space="preserve">Press report, </w:t>
      </w:r>
      <w:r w:rsidRPr="004204E0">
        <w:rPr>
          <w:i/>
          <w:iCs/>
        </w:rPr>
        <w:t>La Tribuna</w:t>
      </w:r>
      <w:r w:rsidRPr="004204E0">
        <w:t xml:space="preserve">, Thursday, February 23, 2012. </w:t>
      </w:r>
      <w:r w:rsidRPr="00A4322F">
        <w:t>Annex to</w:t>
      </w:r>
      <w:r>
        <w:t xml:space="preserve"> the petitioners’ brief of November 20, </w:t>
      </w:r>
      <w:r w:rsidRPr="00A4322F">
        <w:t>2018.</w:t>
      </w:r>
    </w:p>
  </w:footnote>
  <w:footnote w:id="8">
    <w:p w14:paraId="247AA7D6" w14:textId="760CF8D9" w:rsidR="00E6692A" w:rsidRPr="00096929" w:rsidRDefault="00E6692A" w:rsidP="00E6692A">
      <w:pPr>
        <w:pStyle w:val="FootnoteText"/>
      </w:pPr>
      <w:r>
        <w:rPr>
          <w:rStyle w:val="FootnoteReference"/>
        </w:rPr>
        <w:footnoteRef/>
      </w:r>
      <w:r w:rsidRPr="00096929">
        <w:t xml:space="preserve"> </w:t>
      </w:r>
      <w:r w:rsidR="00177DB9">
        <w:t xml:space="preserve">Annex 6. </w:t>
      </w:r>
      <w:r w:rsidRPr="00096929">
        <w:t xml:space="preserve">Constitutional Chamber of the Supreme Court, Judgment of October 17, 2012. </w:t>
      </w:r>
      <w:r w:rsidRPr="00A4322F">
        <w:t>Annex to</w:t>
      </w:r>
      <w:r>
        <w:t xml:space="preserve"> the petitioners’ brief of November 20, </w:t>
      </w:r>
      <w:r w:rsidRPr="00A4322F">
        <w:t>2018</w:t>
      </w:r>
      <w:r w:rsidRPr="00096929">
        <w:t>.</w:t>
      </w:r>
    </w:p>
  </w:footnote>
  <w:footnote w:id="9">
    <w:p w14:paraId="10857983" w14:textId="12C3E0C1" w:rsidR="00E6692A" w:rsidRPr="004134FF" w:rsidRDefault="00E6692A" w:rsidP="00E6692A">
      <w:pPr>
        <w:pStyle w:val="FootnoteText"/>
      </w:pPr>
      <w:r>
        <w:rPr>
          <w:rStyle w:val="FootnoteReference"/>
        </w:rPr>
        <w:footnoteRef/>
      </w:r>
      <w:r w:rsidRPr="00177DB9">
        <w:rPr>
          <w:lang w:val="es-BO"/>
        </w:rPr>
        <w:t xml:space="preserve"> </w:t>
      </w:r>
      <w:r w:rsidR="00177DB9" w:rsidRPr="00177DB9">
        <w:rPr>
          <w:lang w:val="es-BO"/>
        </w:rPr>
        <w:t>An</w:t>
      </w:r>
      <w:r w:rsidR="00177DB9">
        <w:rPr>
          <w:lang w:val="es-BO"/>
        </w:rPr>
        <w:t xml:space="preserve">nex 7. </w:t>
      </w:r>
      <w:r w:rsidRPr="00177DB9">
        <w:rPr>
          <w:lang w:val="es-BO"/>
        </w:rPr>
        <w:t xml:space="preserve">Press report, </w:t>
      </w:r>
      <w:r w:rsidRPr="00177DB9">
        <w:rPr>
          <w:i/>
          <w:iCs/>
          <w:lang w:val="es-BO"/>
        </w:rPr>
        <w:t>El Heraldo</w:t>
      </w:r>
      <w:r w:rsidRPr="00177DB9">
        <w:rPr>
          <w:lang w:val="es-BO"/>
        </w:rPr>
        <w:t xml:space="preserve">: </w:t>
      </w:r>
      <w:r w:rsidRPr="00177DB9">
        <w:rPr>
          <w:i/>
          <w:iCs/>
          <w:lang w:val="es-BO"/>
        </w:rPr>
        <w:t>Hechos que originaron el zarpazo contra el Poder Judicial</w:t>
      </w:r>
      <w:r w:rsidRPr="00177DB9">
        <w:rPr>
          <w:lang w:val="es-BO"/>
        </w:rPr>
        <w:t xml:space="preserve">, Friday, December 14, 2012. </w:t>
      </w:r>
      <w:r w:rsidRPr="004134FF">
        <w:t>Annex to the petitioners’ brief of November 20, 2018.</w:t>
      </w:r>
    </w:p>
  </w:footnote>
  <w:footnote w:id="10">
    <w:p w14:paraId="6B9355FA" w14:textId="4586455F" w:rsidR="00E6692A" w:rsidRPr="00E566E3" w:rsidRDefault="00E6692A" w:rsidP="00E6692A">
      <w:pPr>
        <w:pStyle w:val="FootnoteText"/>
      </w:pPr>
      <w:r>
        <w:rPr>
          <w:rStyle w:val="FootnoteReference"/>
        </w:rPr>
        <w:footnoteRef/>
      </w:r>
      <w:r w:rsidRPr="00E566E3">
        <w:t xml:space="preserve"> </w:t>
      </w:r>
      <w:r w:rsidR="00177DB9">
        <w:t xml:space="preserve">Annex 8. </w:t>
      </w:r>
      <w:r w:rsidRPr="00096929">
        <w:t>Constitutional Chamber of the Supreme Court, Judgment of</w:t>
      </w:r>
      <w:r w:rsidRPr="00E566E3">
        <w:t xml:space="preserve"> N</w:t>
      </w:r>
      <w:r>
        <w:t xml:space="preserve">ovember </w:t>
      </w:r>
      <w:r w:rsidRPr="00E566E3">
        <w:t>27</w:t>
      </w:r>
      <w:r>
        <w:t xml:space="preserve">, </w:t>
      </w:r>
      <w:r w:rsidRPr="00E566E3">
        <w:t xml:space="preserve">2012. </w:t>
      </w:r>
      <w:r w:rsidRPr="00A4322F">
        <w:t>Annex to</w:t>
      </w:r>
      <w:r>
        <w:t xml:space="preserve"> the petitioners’ brief of November 20, </w:t>
      </w:r>
      <w:r w:rsidRPr="00A4322F">
        <w:t>2018</w:t>
      </w:r>
      <w:r w:rsidRPr="00E566E3">
        <w:t xml:space="preserve">. </w:t>
      </w:r>
    </w:p>
  </w:footnote>
  <w:footnote w:id="11">
    <w:p w14:paraId="0E564B4A" w14:textId="35156C03" w:rsidR="00E6692A" w:rsidRPr="00E566E3" w:rsidRDefault="00E6692A" w:rsidP="00E6692A">
      <w:pPr>
        <w:pStyle w:val="FootnoteText"/>
      </w:pPr>
      <w:r>
        <w:rPr>
          <w:rStyle w:val="FootnoteReference"/>
        </w:rPr>
        <w:footnoteRef/>
      </w:r>
      <w:r w:rsidRPr="00E566E3">
        <w:t xml:space="preserve"> </w:t>
      </w:r>
      <w:r w:rsidR="00177DB9">
        <w:t xml:space="preserve">Annex 9. </w:t>
      </w:r>
      <w:r w:rsidRPr="00E566E3">
        <w:t>Office of the Public Prosecutor, Expert Opinion of</w:t>
      </w:r>
      <w:r>
        <w:t xml:space="preserve"> August </w:t>
      </w:r>
      <w:r w:rsidRPr="00E566E3">
        <w:t>7</w:t>
      </w:r>
      <w:r>
        <w:t>,</w:t>
      </w:r>
      <w:r w:rsidRPr="00E566E3">
        <w:t xml:space="preserve"> 2012. Annex to the initial petition of February 5, 2013.</w:t>
      </w:r>
    </w:p>
  </w:footnote>
  <w:footnote w:id="12">
    <w:p w14:paraId="1F9305EA" w14:textId="23BF8D47" w:rsidR="00E6692A" w:rsidRPr="004134FF" w:rsidRDefault="00E6692A" w:rsidP="00E6692A">
      <w:pPr>
        <w:pStyle w:val="FootnoteText"/>
      </w:pPr>
      <w:r>
        <w:rPr>
          <w:rStyle w:val="FootnoteReference"/>
        </w:rPr>
        <w:footnoteRef/>
      </w:r>
      <w:r w:rsidRPr="00E566E3">
        <w:t xml:space="preserve"> </w:t>
      </w:r>
      <w:r w:rsidR="00177DB9">
        <w:t xml:space="preserve">Annex 8. </w:t>
      </w:r>
      <w:r w:rsidRPr="00096929">
        <w:t xml:space="preserve">Constitutional Chamber of the Supreme Court, Judgment of </w:t>
      </w:r>
      <w:r>
        <w:t xml:space="preserve">November </w:t>
      </w:r>
      <w:r w:rsidRPr="00E566E3">
        <w:t>27</w:t>
      </w:r>
      <w:r>
        <w:t xml:space="preserve">, </w:t>
      </w:r>
      <w:r w:rsidRPr="00E566E3">
        <w:t xml:space="preserve">2012. </w:t>
      </w:r>
      <w:r w:rsidRPr="004134FF">
        <w:t xml:space="preserve">Annex to the initial petition of February 5, 2013. </w:t>
      </w:r>
    </w:p>
  </w:footnote>
  <w:footnote w:id="13">
    <w:p w14:paraId="6656A60A" w14:textId="5D7BDFF5" w:rsidR="00E6692A" w:rsidRPr="00E566E3" w:rsidRDefault="00E6692A" w:rsidP="00E6692A">
      <w:pPr>
        <w:pStyle w:val="FootnoteText"/>
      </w:pPr>
      <w:r>
        <w:rPr>
          <w:rStyle w:val="FootnoteReference"/>
        </w:rPr>
        <w:footnoteRef/>
      </w:r>
      <w:r w:rsidRPr="00177DB9">
        <w:rPr>
          <w:lang w:val="es-BO"/>
        </w:rPr>
        <w:t xml:space="preserve"> </w:t>
      </w:r>
      <w:r w:rsidR="00177DB9" w:rsidRPr="00177DB9">
        <w:rPr>
          <w:lang w:val="es-BO"/>
        </w:rPr>
        <w:t>An</w:t>
      </w:r>
      <w:r w:rsidR="00177DB9">
        <w:rPr>
          <w:lang w:val="es-BO"/>
        </w:rPr>
        <w:t xml:space="preserve">nex 10. </w:t>
      </w:r>
      <w:r w:rsidRPr="00177DB9">
        <w:rPr>
          <w:lang w:val="es-BO"/>
        </w:rPr>
        <w:t xml:space="preserve">Press report, </w:t>
      </w:r>
      <w:r w:rsidRPr="00177DB9">
        <w:rPr>
          <w:i/>
          <w:iCs/>
          <w:lang w:val="es-BO"/>
        </w:rPr>
        <w:t>LaPrensa.HN</w:t>
      </w:r>
      <w:r w:rsidRPr="00177DB9">
        <w:rPr>
          <w:lang w:val="es-BO"/>
        </w:rPr>
        <w:t xml:space="preserve">: </w:t>
      </w:r>
      <w:r w:rsidRPr="00177DB9">
        <w:rPr>
          <w:i/>
          <w:iCs/>
          <w:lang w:val="es-BO"/>
        </w:rPr>
        <w:t>Lobo arremete contra la Corte ¿de qué lado están?</w:t>
      </w:r>
      <w:r w:rsidRPr="00177DB9">
        <w:rPr>
          <w:lang w:val="es-BO"/>
        </w:rPr>
        <w:t xml:space="preserve">, December 4, 2012, available at </w:t>
      </w:r>
      <w:bookmarkStart w:id="14" w:name="_Hlk69406475"/>
      <w:r>
        <w:fldChar w:fldCharType="begin"/>
      </w:r>
      <w:r w:rsidRPr="00177DB9">
        <w:rPr>
          <w:lang w:val="es-BO"/>
        </w:rPr>
        <w:instrText xml:space="preserve"> HYPERLINK "https://www.laprensa.hn/honduras/tegucigalpa/330819-98/lobo-arremete-contra-la-corte-de-qu%C3%A9-lado-est%C3%A1n-dice" </w:instrText>
      </w:r>
      <w:r>
        <w:fldChar w:fldCharType="separate"/>
      </w:r>
      <w:r w:rsidRPr="00177DB9">
        <w:rPr>
          <w:rStyle w:val="Hyperlink"/>
          <w:lang w:val="es-BO"/>
        </w:rPr>
        <w:t>https://www.laprensa.hn/honduras/tegucigalpa/330819-98/lobo-arremete-contra-la-corte-de-qu%C3%A9-lado-est%C3%A1n-dice</w:t>
      </w:r>
      <w:r>
        <w:rPr>
          <w:rStyle w:val="Hyperlink"/>
          <w:lang w:val="es-CO"/>
        </w:rPr>
        <w:fldChar w:fldCharType="end"/>
      </w:r>
      <w:r w:rsidRPr="00177DB9">
        <w:rPr>
          <w:lang w:val="es-BO"/>
        </w:rPr>
        <w:t xml:space="preserve">. </w:t>
      </w:r>
      <w:bookmarkEnd w:id="14"/>
      <w:r w:rsidRPr="00DE2FBA">
        <w:t xml:space="preserve">Annex to the petitioners’ brief of November 20, 2018; </w:t>
      </w:r>
      <w:r w:rsidRPr="00DE2FBA">
        <w:rPr>
          <w:i/>
          <w:iCs/>
        </w:rPr>
        <w:t>El Heraldo</w:t>
      </w:r>
      <w:r w:rsidRPr="00DE2FBA">
        <w:t xml:space="preserve">, press report: </w:t>
      </w:r>
      <w:r w:rsidRPr="00DE2FBA">
        <w:rPr>
          <w:i/>
          <w:iCs/>
        </w:rPr>
        <w:t>Hechos que originaron zarpazo contra el Poder Judicial</w:t>
      </w:r>
      <w:r w:rsidRPr="00DE2FBA">
        <w:t xml:space="preserve">, Friday, December 14, 2012. </w:t>
      </w:r>
      <w:r w:rsidRPr="00E566E3">
        <w:t xml:space="preserve">Annex to the initial petition of February 5, 2013. </w:t>
      </w:r>
    </w:p>
  </w:footnote>
  <w:footnote w:id="14">
    <w:p w14:paraId="252CCB24" w14:textId="1630C3B4" w:rsidR="00E6692A" w:rsidRPr="00FF7302" w:rsidRDefault="00E6692A" w:rsidP="00E6692A">
      <w:pPr>
        <w:pStyle w:val="FootnoteText"/>
      </w:pPr>
      <w:r>
        <w:rPr>
          <w:rStyle w:val="FootnoteReference"/>
        </w:rPr>
        <w:footnoteRef/>
      </w:r>
      <w:r w:rsidRPr="00896C24">
        <w:t xml:space="preserve"> </w:t>
      </w:r>
      <w:r w:rsidR="00177DB9">
        <w:t xml:space="preserve">Annex 11. </w:t>
      </w:r>
      <w:r w:rsidRPr="00896C24">
        <w:t xml:space="preserve">Judiciary of Honduras, </w:t>
      </w:r>
      <w:r>
        <w:t>p</w:t>
      </w:r>
      <w:r w:rsidRPr="00896C24">
        <w:t xml:space="preserve">ublic communiqué of December 5, 2012. </w:t>
      </w:r>
      <w:r w:rsidRPr="00E566E3">
        <w:t>Annex to the initial petition of February 5, 2013</w:t>
      </w:r>
      <w:r w:rsidRPr="00FF7302">
        <w:t xml:space="preserve">. </w:t>
      </w:r>
    </w:p>
  </w:footnote>
  <w:footnote w:id="15">
    <w:p w14:paraId="4279E112" w14:textId="5D8C73E7" w:rsidR="00E6692A" w:rsidRPr="00FF7302" w:rsidRDefault="00E6692A" w:rsidP="00E6692A">
      <w:pPr>
        <w:pStyle w:val="FootnoteText"/>
      </w:pPr>
      <w:r>
        <w:rPr>
          <w:rStyle w:val="FootnoteReference"/>
        </w:rPr>
        <w:footnoteRef/>
      </w:r>
      <w:r w:rsidRPr="003A36EE">
        <w:rPr>
          <w:lang w:val="pt-BR"/>
        </w:rPr>
        <w:t xml:space="preserve"> </w:t>
      </w:r>
      <w:r w:rsidR="00177DB9">
        <w:rPr>
          <w:lang w:val="pt-BR"/>
        </w:rPr>
        <w:t xml:space="preserve">Annex 12. </w:t>
      </w:r>
      <w:r>
        <w:rPr>
          <w:lang w:val="pt-BR"/>
        </w:rPr>
        <w:t xml:space="preserve">National Congress, Official Document No. </w:t>
      </w:r>
      <w:r w:rsidRPr="003A36EE">
        <w:rPr>
          <w:lang w:val="pt-BR"/>
        </w:rPr>
        <w:t xml:space="preserve">480-2012/CN. </w:t>
      </w:r>
      <w:r w:rsidRPr="00A4322F">
        <w:t>Annex to</w:t>
      </w:r>
      <w:r>
        <w:t xml:space="preserve"> the petitioners’ brief of November 20, </w:t>
      </w:r>
      <w:r w:rsidRPr="00A4322F">
        <w:t>2018</w:t>
      </w:r>
      <w:r w:rsidRPr="00FF7302">
        <w:t>.</w:t>
      </w:r>
    </w:p>
  </w:footnote>
  <w:footnote w:id="16">
    <w:p w14:paraId="58BC43D5" w14:textId="4CC879FC" w:rsidR="00E6692A" w:rsidRPr="004134FF" w:rsidRDefault="00E6692A" w:rsidP="00E6692A">
      <w:pPr>
        <w:pStyle w:val="FootnoteText"/>
        <w:rPr>
          <w:lang w:val="es-CO"/>
        </w:rPr>
      </w:pPr>
      <w:r>
        <w:rPr>
          <w:rStyle w:val="FootnoteReference"/>
        </w:rPr>
        <w:footnoteRef/>
      </w:r>
      <w:r w:rsidRPr="009C744F">
        <w:rPr>
          <w:lang w:val="es-BO"/>
        </w:rPr>
        <w:t xml:space="preserve"> </w:t>
      </w:r>
      <w:r w:rsidR="00177DB9">
        <w:rPr>
          <w:lang w:val="es-BO"/>
        </w:rPr>
        <w:t xml:space="preserve">Annex 13. </w:t>
      </w:r>
      <w:r w:rsidRPr="00FF7302">
        <w:rPr>
          <w:i/>
          <w:iCs/>
          <w:lang w:val="es-BO"/>
        </w:rPr>
        <w:t>El Heraldo</w:t>
      </w:r>
      <w:r>
        <w:rPr>
          <w:lang w:val="es-BO"/>
        </w:rPr>
        <w:t xml:space="preserve">, press report: </w:t>
      </w:r>
      <w:r w:rsidRPr="00FF7302">
        <w:rPr>
          <w:i/>
          <w:iCs/>
          <w:lang w:val="es-BO"/>
        </w:rPr>
        <w:t>Aplanadora nacionalista aprueba investigar conducta de magistrados</w:t>
      </w:r>
      <w:r>
        <w:rPr>
          <w:lang w:val="es-BO"/>
        </w:rPr>
        <w:t xml:space="preserve">, Tuesday, December 11, 2012. </w:t>
      </w:r>
      <w:r w:rsidRPr="004134FF">
        <w:rPr>
          <w:lang w:val="es-CO"/>
        </w:rPr>
        <w:t>Annex to the initial petition of February 5, 2013.</w:t>
      </w:r>
      <w:r>
        <w:rPr>
          <w:lang w:val="es-CO"/>
        </w:rPr>
        <w:t xml:space="preserve"> </w:t>
      </w:r>
    </w:p>
  </w:footnote>
  <w:footnote w:id="17">
    <w:p w14:paraId="4983297B" w14:textId="5B3563F9" w:rsidR="00E6692A" w:rsidRPr="00EF7E60" w:rsidRDefault="00E6692A" w:rsidP="00E6692A">
      <w:pPr>
        <w:pStyle w:val="FootnoteText"/>
        <w:rPr>
          <w:lang w:val="es-BO"/>
        </w:rPr>
      </w:pPr>
      <w:r>
        <w:rPr>
          <w:rStyle w:val="FootnoteReference"/>
        </w:rPr>
        <w:footnoteRef/>
      </w:r>
      <w:r w:rsidRPr="009873BF">
        <w:rPr>
          <w:lang w:val="es-CO"/>
        </w:rPr>
        <w:t xml:space="preserve"> </w:t>
      </w:r>
      <w:r w:rsidR="00177DB9">
        <w:rPr>
          <w:lang w:val="es-CO"/>
        </w:rPr>
        <w:t xml:space="preserve">Annex 14. </w:t>
      </w:r>
      <w:r w:rsidRPr="009873BF">
        <w:rPr>
          <w:lang w:val="es-CO"/>
        </w:rPr>
        <w:t xml:space="preserve">Press report, </w:t>
      </w:r>
      <w:r w:rsidRPr="009873BF">
        <w:rPr>
          <w:i/>
          <w:iCs/>
          <w:lang w:val="es-CO"/>
        </w:rPr>
        <w:t>Diario Tiempo</w:t>
      </w:r>
      <w:r>
        <w:rPr>
          <w:lang w:val="es-CO"/>
        </w:rPr>
        <w:t>:</w:t>
      </w:r>
      <w:r w:rsidRPr="009873BF">
        <w:rPr>
          <w:lang w:val="es-CO"/>
        </w:rPr>
        <w:t xml:space="preserve"> </w:t>
      </w:r>
      <w:r w:rsidRPr="009873BF">
        <w:rPr>
          <w:i/>
          <w:iCs/>
          <w:lang w:val="es-BO"/>
        </w:rPr>
        <w:t>Aprobada moción para investigar la conducta de magistrados de la CSJ</w:t>
      </w:r>
      <w:r>
        <w:rPr>
          <w:lang w:val="es-BO"/>
        </w:rPr>
        <w:t xml:space="preserve">, Tuesday, December 11, 2012. </w:t>
      </w:r>
      <w:r w:rsidRPr="009873BF">
        <w:rPr>
          <w:lang w:val="es-CO"/>
        </w:rPr>
        <w:t>Annex to the petitioners’ brief of November 20, 2018</w:t>
      </w:r>
      <w:r>
        <w:rPr>
          <w:lang w:val="es-BO"/>
        </w:rPr>
        <w:t>.</w:t>
      </w:r>
    </w:p>
  </w:footnote>
  <w:footnote w:id="18">
    <w:p w14:paraId="47DB2B20" w14:textId="3E28016D" w:rsidR="00E6692A" w:rsidRPr="004134FF" w:rsidRDefault="00E6692A" w:rsidP="00E6692A">
      <w:pPr>
        <w:pStyle w:val="FootnoteText"/>
      </w:pPr>
      <w:r>
        <w:rPr>
          <w:rStyle w:val="FootnoteReference"/>
        </w:rPr>
        <w:footnoteRef/>
      </w:r>
      <w:r w:rsidRPr="005146AF">
        <w:rPr>
          <w:lang w:val="es-BO"/>
        </w:rPr>
        <w:t xml:space="preserve"> </w:t>
      </w:r>
      <w:r w:rsidR="00177DB9">
        <w:rPr>
          <w:lang w:val="es-BO"/>
        </w:rPr>
        <w:t xml:space="preserve">Annex 15. </w:t>
      </w:r>
      <w:r w:rsidRPr="009873BF">
        <w:rPr>
          <w:lang w:val="es-CO"/>
        </w:rPr>
        <w:t xml:space="preserve">Press report, </w:t>
      </w:r>
      <w:r w:rsidRPr="00F409B3">
        <w:rPr>
          <w:i/>
          <w:iCs/>
          <w:lang w:val="es-BO"/>
        </w:rPr>
        <w:t>El Heraldo</w:t>
      </w:r>
      <w:r>
        <w:rPr>
          <w:lang w:val="es-BO"/>
        </w:rPr>
        <w:t xml:space="preserve">: </w:t>
      </w:r>
      <w:r w:rsidRPr="00F409B3">
        <w:rPr>
          <w:i/>
          <w:iCs/>
          <w:lang w:val="es-BO"/>
        </w:rPr>
        <w:t>Congreso de Honduras asesta golpe técnico al poder judicial</w:t>
      </w:r>
      <w:r>
        <w:rPr>
          <w:lang w:val="es-BO"/>
        </w:rPr>
        <w:t>, December</w:t>
      </w:r>
      <w:r w:rsidRPr="005146AF">
        <w:rPr>
          <w:lang w:val="es-BO"/>
        </w:rPr>
        <w:t xml:space="preserve"> 12</w:t>
      </w:r>
      <w:r>
        <w:rPr>
          <w:lang w:val="es-BO"/>
        </w:rPr>
        <w:t xml:space="preserve">, </w:t>
      </w:r>
      <w:r w:rsidRPr="005146AF">
        <w:rPr>
          <w:lang w:val="es-BO"/>
        </w:rPr>
        <w:t xml:space="preserve">2012, </w:t>
      </w:r>
      <w:r>
        <w:rPr>
          <w:lang w:val="es-BO"/>
        </w:rPr>
        <w:t>available at</w:t>
      </w:r>
      <w:r w:rsidRPr="005146AF">
        <w:rPr>
          <w:lang w:val="es-BO"/>
        </w:rPr>
        <w:t xml:space="preserve"> </w:t>
      </w:r>
      <w:hyperlink r:id="rId3" w:history="1">
        <w:r w:rsidRPr="005D6B39">
          <w:rPr>
            <w:rStyle w:val="Hyperlink"/>
            <w:lang w:val="es-BO"/>
          </w:rPr>
          <w:t>http://www.elheraldo.hn/Secciones-Principales/Al-Frente/Congreso-de-Honduras-asesta-golpe-tecnico-a-la-CSJ</w:t>
        </w:r>
      </w:hyperlink>
      <w:r>
        <w:rPr>
          <w:lang w:val="es-BO"/>
        </w:rPr>
        <w:t xml:space="preserve">. </w:t>
      </w:r>
      <w:r w:rsidRPr="004134FF">
        <w:t>Annex to the petitioners’ brief of November 20, 2018.</w:t>
      </w:r>
    </w:p>
  </w:footnote>
  <w:footnote w:id="19">
    <w:p w14:paraId="3E12437E" w14:textId="3B860C14" w:rsidR="00E6692A" w:rsidRPr="00F409B3" w:rsidRDefault="00E6692A" w:rsidP="00E6692A">
      <w:pPr>
        <w:pStyle w:val="FootnoteText"/>
      </w:pPr>
      <w:r>
        <w:rPr>
          <w:rStyle w:val="FootnoteReference"/>
        </w:rPr>
        <w:footnoteRef/>
      </w:r>
      <w:r w:rsidRPr="00F409B3">
        <w:t xml:space="preserve"> </w:t>
      </w:r>
      <w:r w:rsidR="00177DB9">
        <w:t xml:space="preserve">Annex 16. </w:t>
      </w:r>
      <w:r w:rsidRPr="00F409B3">
        <w:t>Secretariat of the National Congress, Offici</w:t>
      </w:r>
      <w:r>
        <w:t xml:space="preserve">al Letter No. </w:t>
      </w:r>
      <w:r w:rsidRPr="00F409B3">
        <w:t>482-2012/CN of December 12,</w:t>
      </w:r>
      <w:r>
        <w:t xml:space="preserve"> </w:t>
      </w:r>
      <w:r w:rsidRPr="00F409B3">
        <w:t>2012</w:t>
      </w:r>
      <w:r>
        <w:t xml:space="preserve">; </w:t>
      </w:r>
      <w:r w:rsidRPr="00F409B3">
        <w:t>Secretariat of the National Congress</w:t>
      </w:r>
      <w:r>
        <w:t xml:space="preserve">, Certification of Session held on </w:t>
      </w:r>
      <w:r w:rsidRPr="00F409B3">
        <w:t>December 12,</w:t>
      </w:r>
      <w:r>
        <w:t xml:space="preserve"> </w:t>
      </w:r>
      <w:r w:rsidRPr="00F409B3">
        <w:t xml:space="preserve">2012. </w:t>
      </w:r>
      <w:r w:rsidRPr="00A4322F">
        <w:t>Annex</w:t>
      </w:r>
      <w:r>
        <w:t>es</w:t>
      </w:r>
      <w:r w:rsidRPr="00A4322F">
        <w:t xml:space="preserve"> to</w:t>
      </w:r>
      <w:r>
        <w:t xml:space="preserve"> the petitioners’ brief of November 20, </w:t>
      </w:r>
      <w:r w:rsidRPr="00A4322F">
        <w:t>2018</w:t>
      </w:r>
      <w:r w:rsidRPr="00F409B3">
        <w:t>.</w:t>
      </w:r>
    </w:p>
  </w:footnote>
  <w:footnote w:id="20">
    <w:p w14:paraId="5DB3FC95" w14:textId="07A71DAE" w:rsidR="00E6692A" w:rsidRPr="00F409B3" w:rsidRDefault="00E6692A" w:rsidP="00E6692A">
      <w:pPr>
        <w:pStyle w:val="FootnoteText"/>
      </w:pPr>
      <w:r>
        <w:rPr>
          <w:rStyle w:val="FootnoteReference"/>
        </w:rPr>
        <w:footnoteRef/>
      </w:r>
      <w:r w:rsidRPr="00F409B3">
        <w:t xml:space="preserve"> </w:t>
      </w:r>
      <w:r w:rsidR="00177DB9">
        <w:t xml:space="preserve">Annex. 17. </w:t>
      </w:r>
      <w:r w:rsidRPr="00F409B3">
        <w:t xml:space="preserve">Official Gazette of the Republic of Honduras, Decree No. 191-2012 </w:t>
      </w:r>
      <w:r>
        <w:t xml:space="preserve">of December </w:t>
      </w:r>
      <w:r w:rsidRPr="00F409B3">
        <w:t>29</w:t>
      </w:r>
      <w:r>
        <w:t xml:space="preserve">, </w:t>
      </w:r>
      <w:r w:rsidRPr="00F409B3">
        <w:t xml:space="preserve">2012. </w:t>
      </w:r>
      <w:r w:rsidRPr="00E566E3">
        <w:t>Annex to the initial petition of February 5, 2013</w:t>
      </w:r>
      <w:r w:rsidRPr="00F409B3">
        <w:t>.</w:t>
      </w:r>
    </w:p>
  </w:footnote>
  <w:footnote w:id="21">
    <w:p w14:paraId="5CEDC8BA" w14:textId="0388985B" w:rsidR="00E6692A" w:rsidRPr="00F409B3" w:rsidRDefault="00E6692A" w:rsidP="00E6692A">
      <w:pPr>
        <w:pStyle w:val="FootnoteText"/>
      </w:pPr>
      <w:r>
        <w:rPr>
          <w:rStyle w:val="FootnoteReference"/>
        </w:rPr>
        <w:footnoteRef/>
      </w:r>
      <w:r w:rsidRPr="00F409B3">
        <w:t xml:space="preserve"> </w:t>
      </w:r>
      <w:r w:rsidR="00177DB9">
        <w:t xml:space="preserve">Annex 17. </w:t>
      </w:r>
      <w:r w:rsidRPr="00F409B3">
        <w:t xml:space="preserve">Official Gazette of the Republic of Honduras, Decree No. 191-2012 </w:t>
      </w:r>
      <w:r>
        <w:t xml:space="preserve">of December </w:t>
      </w:r>
      <w:r w:rsidRPr="00F409B3">
        <w:t>29</w:t>
      </w:r>
      <w:r>
        <w:t xml:space="preserve">, </w:t>
      </w:r>
      <w:r w:rsidRPr="00F409B3">
        <w:t xml:space="preserve">2012. </w:t>
      </w:r>
      <w:r w:rsidRPr="00E566E3">
        <w:t>Annex to the initial petition of February 5, 2013</w:t>
      </w:r>
      <w:r w:rsidRPr="00F409B3">
        <w:t>.</w:t>
      </w:r>
    </w:p>
  </w:footnote>
  <w:footnote w:id="22">
    <w:p w14:paraId="293A774A" w14:textId="575F633C" w:rsidR="00E6692A" w:rsidRPr="00544BD8" w:rsidRDefault="00E6692A" w:rsidP="00E6692A">
      <w:pPr>
        <w:pStyle w:val="FootnoteText"/>
      </w:pPr>
      <w:r>
        <w:rPr>
          <w:rStyle w:val="FootnoteReference"/>
        </w:rPr>
        <w:footnoteRef/>
      </w:r>
      <w:r w:rsidRPr="0069691A">
        <w:t xml:space="preserve"> </w:t>
      </w:r>
      <w:r w:rsidR="00177DB9">
        <w:t xml:space="preserve">Annex 18. </w:t>
      </w:r>
      <w:r w:rsidRPr="0069691A">
        <w:t xml:space="preserve">Communiqué of December 12, 2012. </w:t>
      </w:r>
      <w:r w:rsidRPr="00E566E3">
        <w:t>Annex to the initial petition of February 5, 2013</w:t>
      </w:r>
      <w:r w:rsidRPr="00544BD8">
        <w:t>.</w:t>
      </w:r>
    </w:p>
  </w:footnote>
  <w:footnote w:id="23">
    <w:p w14:paraId="42FF250E" w14:textId="4A40978D" w:rsidR="00E6692A" w:rsidRPr="00544BD8" w:rsidRDefault="00E6692A" w:rsidP="00E6692A">
      <w:pPr>
        <w:pStyle w:val="FootnoteText"/>
      </w:pPr>
      <w:r>
        <w:rPr>
          <w:rStyle w:val="FootnoteReference"/>
        </w:rPr>
        <w:footnoteRef/>
      </w:r>
      <w:r w:rsidRPr="00CE212A">
        <w:t xml:space="preserve"> </w:t>
      </w:r>
      <w:r w:rsidR="00177DB9">
        <w:t xml:space="preserve">Annex19. </w:t>
      </w:r>
      <w:r w:rsidRPr="00CE212A">
        <w:t xml:space="preserve">Communiqué of December 13, 2012. </w:t>
      </w:r>
      <w:r w:rsidRPr="00E566E3">
        <w:t>Annex to the initial petition of February 5, 2013</w:t>
      </w:r>
      <w:r w:rsidRPr="00544BD8">
        <w:t>.</w:t>
      </w:r>
    </w:p>
  </w:footnote>
  <w:footnote w:id="24">
    <w:p w14:paraId="513D5563" w14:textId="4D6E7417" w:rsidR="00E6692A" w:rsidRPr="004134FF" w:rsidRDefault="00E6692A" w:rsidP="00E6692A">
      <w:pPr>
        <w:pStyle w:val="FootnoteText"/>
      </w:pPr>
      <w:r>
        <w:rPr>
          <w:rStyle w:val="FootnoteReference"/>
        </w:rPr>
        <w:footnoteRef/>
      </w:r>
      <w:r w:rsidRPr="00CE212A">
        <w:t xml:space="preserve"> </w:t>
      </w:r>
      <w:r w:rsidR="00177DB9">
        <w:t xml:space="preserve">Annex 20. </w:t>
      </w:r>
      <w:r w:rsidRPr="00CE212A">
        <w:t>Presidency of the Supreme Court of Justice, Of</w:t>
      </w:r>
      <w:r>
        <w:t xml:space="preserve">ficial Letter </w:t>
      </w:r>
      <w:r w:rsidRPr="00CE212A">
        <w:t xml:space="preserve">PCSJ N°001-2013 </w:t>
      </w:r>
      <w:r>
        <w:t>of January</w:t>
      </w:r>
      <w:r w:rsidRPr="00CE212A">
        <w:t xml:space="preserve"> 3</w:t>
      </w:r>
      <w:r>
        <w:t xml:space="preserve">, </w:t>
      </w:r>
      <w:r w:rsidRPr="00CE212A">
        <w:t xml:space="preserve">2013. </w:t>
      </w:r>
      <w:r w:rsidRPr="004134FF">
        <w:t xml:space="preserve">Annex to the initial petition of February 5, 2013. </w:t>
      </w:r>
    </w:p>
  </w:footnote>
  <w:footnote w:id="25">
    <w:p w14:paraId="3901A5DC" w14:textId="12B8D32D" w:rsidR="00E6692A" w:rsidRPr="00EF5907" w:rsidRDefault="00E6692A" w:rsidP="00E6692A">
      <w:pPr>
        <w:pStyle w:val="FootnoteText"/>
      </w:pPr>
      <w:r>
        <w:rPr>
          <w:rStyle w:val="FootnoteReference"/>
        </w:rPr>
        <w:footnoteRef/>
      </w:r>
      <w:r w:rsidRPr="00544BD8">
        <w:t xml:space="preserve"> </w:t>
      </w:r>
      <w:r w:rsidR="00177DB9">
        <w:t xml:space="preserve">Annex 21. </w:t>
      </w:r>
      <w:r w:rsidRPr="00544BD8">
        <w:t xml:space="preserve">Constitutional </w:t>
      </w:r>
      <w:r w:rsidRPr="009F1DF0">
        <w:rPr>
          <w:i/>
          <w:iCs/>
        </w:rPr>
        <w:t>amparo</w:t>
      </w:r>
      <w:r w:rsidRPr="00544BD8">
        <w:t xml:space="preserve"> action lodged by the alleged victims on December 12, 2012. </w:t>
      </w:r>
      <w:r w:rsidRPr="00EF5907">
        <w:t xml:space="preserve">Annex to the initial petition of February 5, 2013. </w:t>
      </w:r>
    </w:p>
  </w:footnote>
  <w:footnote w:id="26">
    <w:p w14:paraId="0F44BC2C" w14:textId="48E5BA14" w:rsidR="00E6692A" w:rsidRPr="00EF5907" w:rsidRDefault="00E6692A" w:rsidP="00E6692A">
      <w:pPr>
        <w:pStyle w:val="FootnoteText"/>
      </w:pPr>
      <w:r>
        <w:rPr>
          <w:rStyle w:val="FootnoteReference"/>
        </w:rPr>
        <w:footnoteRef/>
      </w:r>
      <w:r w:rsidRPr="00EF5907">
        <w:t xml:space="preserve"> </w:t>
      </w:r>
      <w:r w:rsidR="00177DB9">
        <w:t xml:space="preserve">Annex 22. </w:t>
      </w:r>
      <w:r w:rsidRPr="00EF5907">
        <w:t xml:space="preserve">Supreme Court of Justice, </w:t>
      </w:r>
      <w:r>
        <w:t>Resolution</w:t>
      </w:r>
      <w:r w:rsidRPr="00EF5907">
        <w:t xml:space="preserve"> of February 6, 2013. </w:t>
      </w:r>
      <w:r w:rsidRPr="00544BD8">
        <w:t>Annex to the petitioners’ communication of September 30, 2013</w:t>
      </w:r>
      <w:r>
        <w:t>.</w:t>
      </w:r>
    </w:p>
  </w:footnote>
  <w:footnote w:id="27">
    <w:p w14:paraId="5AF38FE4" w14:textId="57ED6DE6" w:rsidR="00E6692A" w:rsidRPr="00B01433" w:rsidRDefault="00E6692A" w:rsidP="00E6692A">
      <w:pPr>
        <w:pStyle w:val="FootnoteText"/>
      </w:pPr>
      <w:r>
        <w:rPr>
          <w:rStyle w:val="FootnoteReference"/>
        </w:rPr>
        <w:footnoteRef/>
      </w:r>
      <w:r w:rsidRPr="00B01433">
        <w:t xml:space="preserve"> </w:t>
      </w:r>
      <w:r w:rsidR="00177DB9">
        <w:t xml:space="preserve">Annex 21. </w:t>
      </w:r>
      <w:r w:rsidRPr="00544BD8">
        <w:t xml:space="preserve">Constitutional </w:t>
      </w:r>
      <w:r w:rsidRPr="009F1DF0">
        <w:rPr>
          <w:i/>
          <w:iCs/>
        </w:rPr>
        <w:t>amparo</w:t>
      </w:r>
      <w:r w:rsidRPr="00544BD8">
        <w:t xml:space="preserve"> action lodged by the alleged victims on December 12, 2012</w:t>
      </w:r>
      <w:r w:rsidRPr="00B01433">
        <w:t xml:space="preserve">. </w:t>
      </w:r>
      <w:r w:rsidRPr="00E566E3">
        <w:t>Annex to the initial petition of February 5, 2013</w:t>
      </w:r>
      <w:r w:rsidRPr="00B01433">
        <w:t>.</w:t>
      </w:r>
    </w:p>
  </w:footnote>
  <w:footnote w:id="28">
    <w:p w14:paraId="4CE4089A" w14:textId="6455F523" w:rsidR="00E6692A" w:rsidRPr="00B01433" w:rsidRDefault="00E6692A" w:rsidP="00E6692A">
      <w:pPr>
        <w:pStyle w:val="FootnoteText"/>
      </w:pPr>
      <w:r>
        <w:rPr>
          <w:rStyle w:val="FootnoteReference"/>
        </w:rPr>
        <w:footnoteRef/>
      </w:r>
      <w:r w:rsidRPr="00B01433">
        <w:t xml:space="preserve"> </w:t>
      </w:r>
      <w:r w:rsidR="00177DB9">
        <w:t xml:space="preserve">Annex 23. </w:t>
      </w:r>
      <w:r w:rsidRPr="00B01433">
        <w:t xml:space="preserve">Supreme Court of Justice, Special Constitutional Chamber, </w:t>
      </w:r>
      <w:r>
        <w:t>Resolution</w:t>
      </w:r>
      <w:r w:rsidRPr="00B01433">
        <w:t xml:space="preserve"> of January 29, 2013. </w:t>
      </w:r>
      <w:r w:rsidRPr="00544BD8">
        <w:t>Annex to the petitioners’ communication of September 30, 2013</w:t>
      </w:r>
      <w:r w:rsidRPr="00B01433">
        <w:t>.</w:t>
      </w:r>
    </w:p>
  </w:footnote>
  <w:footnote w:id="29">
    <w:p w14:paraId="632ACF90" w14:textId="708C0BAD" w:rsidR="00E6692A" w:rsidRPr="00426A2D" w:rsidRDefault="00E6692A" w:rsidP="00E6692A">
      <w:pPr>
        <w:pStyle w:val="FootnoteText"/>
      </w:pPr>
      <w:r>
        <w:rPr>
          <w:rStyle w:val="FootnoteReference"/>
        </w:rPr>
        <w:footnoteRef/>
      </w:r>
      <w:r w:rsidRPr="00426A2D">
        <w:t xml:space="preserve"> </w:t>
      </w:r>
      <w:r w:rsidR="00177DB9">
        <w:t xml:space="preserve">Annex 24. </w:t>
      </w:r>
      <w:r w:rsidRPr="00683BBF">
        <w:t>In</w:t>
      </w:r>
      <w:r>
        <w:t>di</w:t>
      </w:r>
      <w:r w:rsidRPr="00683BBF">
        <w:t>vidual dissenting vote of Justice Raúl Henriquez Interiano of February 4, 2013</w:t>
      </w:r>
      <w:r w:rsidRPr="00426A2D">
        <w:t xml:space="preserve">. </w:t>
      </w:r>
      <w:r w:rsidRPr="00544BD8">
        <w:t>Annex to the petitioners’ communication of September 30, 2013</w:t>
      </w:r>
      <w:r w:rsidRPr="00426A2D">
        <w:t>.</w:t>
      </w:r>
    </w:p>
  </w:footnote>
  <w:footnote w:id="30">
    <w:p w14:paraId="7C69BC6C" w14:textId="55AE2AAD" w:rsidR="00E6692A" w:rsidRPr="00426A2D" w:rsidRDefault="00E6692A" w:rsidP="00E6692A">
      <w:pPr>
        <w:pStyle w:val="FootnoteText"/>
      </w:pPr>
      <w:r>
        <w:rPr>
          <w:rStyle w:val="FootnoteReference"/>
        </w:rPr>
        <w:footnoteRef/>
      </w:r>
      <w:r w:rsidRPr="00426A2D">
        <w:t xml:space="preserve"> </w:t>
      </w:r>
      <w:r w:rsidR="00177DB9">
        <w:t xml:space="preserve">Annex 22. </w:t>
      </w:r>
      <w:r w:rsidRPr="00EF5907">
        <w:t xml:space="preserve">Supreme Court of Justice, </w:t>
      </w:r>
      <w:r>
        <w:t>Resolution</w:t>
      </w:r>
      <w:r w:rsidRPr="00B01433">
        <w:t xml:space="preserve"> </w:t>
      </w:r>
      <w:r w:rsidRPr="00EF5907">
        <w:t>of February 6, 2013</w:t>
      </w:r>
      <w:r w:rsidRPr="00426A2D">
        <w:t xml:space="preserve">. </w:t>
      </w:r>
      <w:r w:rsidRPr="00544BD8">
        <w:t>Annex to the petitioners’ communication of September 30, 2013</w:t>
      </w:r>
      <w:r w:rsidRPr="00426A2D">
        <w:t>.</w:t>
      </w:r>
    </w:p>
  </w:footnote>
  <w:footnote w:id="31">
    <w:p w14:paraId="7F6E77C3" w14:textId="52CAE2B4" w:rsidR="00E6692A" w:rsidRPr="00544BD8" w:rsidRDefault="00E6692A" w:rsidP="00E6692A">
      <w:pPr>
        <w:pStyle w:val="FootnoteText"/>
      </w:pPr>
      <w:r>
        <w:rPr>
          <w:rStyle w:val="FootnoteReference"/>
        </w:rPr>
        <w:footnoteRef/>
      </w:r>
      <w:r w:rsidRPr="00426A2D">
        <w:t xml:space="preserve"> </w:t>
      </w:r>
      <w:r w:rsidR="00177DB9">
        <w:t xml:space="preserve">Annex 22. </w:t>
      </w:r>
      <w:r w:rsidRPr="00EF5907">
        <w:t xml:space="preserve">Supreme Court of Justice, </w:t>
      </w:r>
      <w:r>
        <w:t>Resolution</w:t>
      </w:r>
      <w:r w:rsidRPr="00B01433">
        <w:t xml:space="preserve"> </w:t>
      </w:r>
      <w:r w:rsidRPr="00EF5907">
        <w:t>of February 6, 2013</w:t>
      </w:r>
      <w:r w:rsidRPr="00426A2D">
        <w:t xml:space="preserve">. </w:t>
      </w:r>
      <w:r w:rsidRPr="00544BD8">
        <w:t>Annex to the petitioners’ communication of September 30, 2013.</w:t>
      </w:r>
    </w:p>
  </w:footnote>
  <w:footnote w:id="32">
    <w:p w14:paraId="4BF56FD9" w14:textId="4F52ADF9" w:rsidR="00E6692A" w:rsidRPr="00544BD8" w:rsidRDefault="00E6692A" w:rsidP="00E6692A">
      <w:pPr>
        <w:pStyle w:val="FootnoteText"/>
      </w:pPr>
      <w:r>
        <w:rPr>
          <w:rStyle w:val="FootnoteReference"/>
        </w:rPr>
        <w:footnoteRef/>
      </w:r>
      <w:r w:rsidRPr="00683BBF">
        <w:t xml:space="preserve"> </w:t>
      </w:r>
      <w:r w:rsidR="00177DB9">
        <w:t xml:space="preserve">Annex 24. </w:t>
      </w:r>
      <w:r w:rsidRPr="00683BBF">
        <w:t>In</w:t>
      </w:r>
      <w:r>
        <w:t>di</w:t>
      </w:r>
      <w:r w:rsidRPr="00683BBF">
        <w:t xml:space="preserve">vidual dissenting vote of Justice Raúl Henriquez Interiano of February 4, 2013. </w:t>
      </w:r>
      <w:r w:rsidRPr="00544BD8">
        <w:t>Annex to the petitioners’ communication of September 30, 2013.</w:t>
      </w:r>
    </w:p>
  </w:footnote>
  <w:footnote w:id="33">
    <w:p w14:paraId="21D0A2FD" w14:textId="5ED2FF57" w:rsidR="00E6692A" w:rsidRPr="006C461E" w:rsidRDefault="00E6692A" w:rsidP="00E6692A">
      <w:pPr>
        <w:pStyle w:val="FootnoteText"/>
      </w:pPr>
      <w:r>
        <w:rPr>
          <w:rStyle w:val="FootnoteReference"/>
        </w:rPr>
        <w:footnoteRef/>
      </w:r>
      <w:r w:rsidRPr="006C461E">
        <w:t xml:space="preserve"> </w:t>
      </w:r>
      <w:r w:rsidR="00177DB9">
        <w:t xml:space="preserve">Annex 24. </w:t>
      </w:r>
      <w:r w:rsidRPr="00683BBF">
        <w:t>In</w:t>
      </w:r>
      <w:r>
        <w:t>di</w:t>
      </w:r>
      <w:r w:rsidRPr="00683BBF">
        <w:t>vidual dissenting vote of Justice Raúl Henriquez Interiano of February 4, 2013</w:t>
      </w:r>
      <w:r w:rsidRPr="006C461E">
        <w:t xml:space="preserve">. </w:t>
      </w:r>
      <w:r w:rsidRPr="00544BD8">
        <w:t>Annex to the petitioners’ communication of September 30, 2013</w:t>
      </w:r>
      <w:r w:rsidRPr="006C461E">
        <w:t>.</w:t>
      </w:r>
    </w:p>
  </w:footnote>
  <w:footnote w:id="34">
    <w:p w14:paraId="5C097E81" w14:textId="11DE06D6" w:rsidR="00E6692A" w:rsidRPr="00544BD8" w:rsidRDefault="00E6692A" w:rsidP="00E6692A">
      <w:pPr>
        <w:pStyle w:val="FootnoteText"/>
      </w:pPr>
      <w:r>
        <w:rPr>
          <w:rStyle w:val="FootnoteReference"/>
        </w:rPr>
        <w:footnoteRef/>
      </w:r>
      <w:r w:rsidRPr="00FC4244">
        <w:t xml:space="preserve"> </w:t>
      </w:r>
      <w:r w:rsidR="00177DB9">
        <w:t xml:space="preserve">Annex 25. </w:t>
      </w:r>
      <w:r w:rsidRPr="00FC4244">
        <w:t xml:space="preserve">Appeal for review lodged on February 13, 2013. </w:t>
      </w:r>
      <w:r w:rsidRPr="00544BD8">
        <w:t>Annex to the petitioners’ communication of September 30, 2013.</w:t>
      </w:r>
    </w:p>
  </w:footnote>
  <w:footnote w:id="35">
    <w:p w14:paraId="7346F659" w14:textId="43FF8515" w:rsidR="00E6692A" w:rsidRPr="00FC4244" w:rsidRDefault="00E6692A" w:rsidP="00E6692A">
      <w:pPr>
        <w:pStyle w:val="FootnoteText"/>
      </w:pPr>
      <w:r>
        <w:rPr>
          <w:rStyle w:val="FootnoteReference"/>
        </w:rPr>
        <w:footnoteRef/>
      </w:r>
      <w:r w:rsidRPr="00FC4244">
        <w:t xml:space="preserve"> </w:t>
      </w:r>
      <w:r w:rsidR="00177DB9">
        <w:t xml:space="preserve">Annex 25. </w:t>
      </w:r>
      <w:r w:rsidRPr="00FC4244">
        <w:t xml:space="preserve">Appeal for review lodged on February 13, 2013. </w:t>
      </w:r>
      <w:r w:rsidRPr="00544BD8">
        <w:t>Annex to the petitioners’ communication of</w:t>
      </w:r>
      <w:r w:rsidRPr="00FC4244">
        <w:t xml:space="preserve"> N</w:t>
      </w:r>
      <w:r>
        <w:t xml:space="preserve">ovember </w:t>
      </w:r>
      <w:r w:rsidRPr="00FC4244">
        <w:t>20</w:t>
      </w:r>
      <w:r>
        <w:t xml:space="preserve">, </w:t>
      </w:r>
      <w:r w:rsidRPr="00FC4244">
        <w:t>2018.</w:t>
      </w:r>
    </w:p>
  </w:footnote>
  <w:footnote w:id="36">
    <w:p w14:paraId="0465AC39" w14:textId="3405B1D4" w:rsidR="00E6692A" w:rsidRPr="004134FF" w:rsidRDefault="00E6692A" w:rsidP="00E6692A">
      <w:pPr>
        <w:pStyle w:val="FootnoteText"/>
      </w:pPr>
      <w:r>
        <w:rPr>
          <w:rStyle w:val="FootnoteReference"/>
        </w:rPr>
        <w:footnoteRef/>
      </w:r>
      <w:r w:rsidRPr="005D5187">
        <w:t xml:space="preserve"> </w:t>
      </w:r>
      <w:r w:rsidR="00177DB9">
        <w:t xml:space="preserve">Annex 26. </w:t>
      </w:r>
      <w:r w:rsidRPr="005D5187">
        <w:t xml:space="preserve">Supreme Court of Justice, </w:t>
      </w:r>
      <w:r>
        <w:t>Resolution</w:t>
      </w:r>
      <w:r w:rsidRPr="005D5187">
        <w:t xml:space="preserve"> of February</w:t>
      </w:r>
      <w:r>
        <w:t xml:space="preserve"> </w:t>
      </w:r>
      <w:r w:rsidRPr="005D5187">
        <w:t>18</w:t>
      </w:r>
      <w:r>
        <w:t xml:space="preserve">, </w:t>
      </w:r>
      <w:r w:rsidRPr="005D5187">
        <w:t xml:space="preserve">2013. </w:t>
      </w:r>
      <w:r w:rsidRPr="00544BD8">
        <w:t>Annex to the petitioners’ communication of September 30, 2013</w:t>
      </w:r>
      <w:r w:rsidRPr="004134FF">
        <w:t>.</w:t>
      </w:r>
    </w:p>
  </w:footnote>
  <w:footnote w:id="37">
    <w:p w14:paraId="4B8CABCC" w14:textId="5F85A9B8" w:rsidR="00E6692A" w:rsidRPr="00D848A4" w:rsidRDefault="00E6692A" w:rsidP="00E6692A">
      <w:pPr>
        <w:pStyle w:val="FootnoteText"/>
        <w:rPr>
          <w:lang w:val="es-CO"/>
        </w:rPr>
      </w:pPr>
      <w:r>
        <w:rPr>
          <w:rStyle w:val="FootnoteReference"/>
        </w:rPr>
        <w:footnoteRef/>
      </w:r>
      <w:r w:rsidRPr="005D5187">
        <w:rPr>
          <w:lang w:val="es-CO"/>
        </w:rPr>
        <w:t xml:space="preserve"> </w:t>
      </w:r>
      <w:r w:rsidR="00177DB9">
        <w:rPr>
          <w:lang w:val="es-CO"/>
        </w:rPr>
        <w:t xml:space="preserve">Annex 27. </w:t>
      </w:r>
      <w:r w:rsidRPr="005D5187">
        <w:rPr>
          <w:i/>
          <w:iCs/>
          <w:lang w:val="es-CO"/>
        </w:rPr>
        <w:t>El Heraldo</w:t>
      </w:r>
      <w:r w:rsidRPr="005D5187">
        <w:rPr>
          <w:lang w:val="es-CO"/>
        </w:rPr>
        <w:t>,</w:t>
      </w:r>
      <w:r>
        <w:rPr>
          <w:lang w:val="es-CO"/>
        </w:rPr>
        <w:t xml:space="preserve"> press report,</w:t>
      </w:r>
      <w:r w:rsidRPr="005D5187">
        <w:rPr>
          <w:lang w:val="es-CO"/>
        </w:rPr>
        <w:t xml:space="preserve"> </w:t>
      </w:r>
      <w:r w:rsidRPr="005D5187">
        <w:rPr>
          <w:i/>
          <w:iCs/>
          <w:lang w:val="es-BO"/>
        </w:rPr>
        <w:t>“Totalmente de acuerdo con salida de magistrados</w:t>
      </w:r>
      <w:r>
        <w:rPr>
          <w:i/>
          <w:iCs/>
          <w:lang w:val="es-BO"/>
        </w:rPr>
        <w:t>,</w:t>
      </w:r>
      <w:r w:rsidRPr="005D5187">
        <w:rPr>
          <w:i/>
          <w:iCs/>
          <w:lang w:val="es-BO"/>
        </w:rPr>
        <w:t>”</w:t>
      </w:r>
      <w:r>
        <w:rPr>
          <w:lang w:val="es-BO"/>
        </w:rPr>
        <w:t xml:space="preserve"> </w:t>
      </w:r>
      <w:r>
        <w:rPr>
          <w:lang w:val="es-CO"/>
        </w:rPr>
        <w:t xml:space="preserve">Thursday, December </w:t>
      </w:r>
      <w:r w:rsidRPr="005D5187">
        <w:rPr>
          <w:lang w:val="es-CO"/>
        </w:rPr>
        <w:t>20</w:t>
      </w:r>
      <w:r>
        <w:rPr>
          <w:lang w:val="es-CO"/>
        </w:rPr>
        <w:t xml:space="preserve">, </w:t>
      </w:r>
      <w:r w:rsidRPr="005D5187">
        <w:rPr>
          <w:lang w:val="es-CO"/>
        </w:rPr>
        <w:t xml:space="preserve">2012. </w:t>
      </w:r>
      <w:r w:rsidRPr="00D848A4">
        <w:rPr>
          <w:lang w:val="es-CO"/>
        </w:rPr>
        <w:t xml:space="preserve">Annex to the initial petition of February 5, 2013. </w:t>
      </w:r>
    </w:p>
  </w:footnote>
  <w:footnote w:id="38">
    <w:p w14:paraId="6EA78793" w14:textId="7F4EAC80" w:rsidR="00E6692A" w:rsidRPr="00D848A4" w:rsidRDefault="00E6692A" w:rsidP="00E6692A">
      <w:pPr>
        <w:pStyle w:val="FootnoteText"/>
      </w:pPr>
      <w:r>
        <w:rPr>
          <w:rStyle w:val="FootnoteReference"/>
        </w:rPr>
        <w:footnoteRef/>
      </w:r>
      <w:r w:rsidRPr="009364F1">
        <w:rPr>
          <w:lang w:val="es-BO"/>
        </w:rPr>
        <w:t xml:space="preserve"> </w:t>
      </w:r>
      <w:r w:rsidR="00177DB9">
        <w:rPr>
          <w:lang w:val="es-BO"/>
        </w:rPr>
        <w:t xml:space="preserve">Annex 28. </w:t>
      </w:r>
      <w:r>
        <w:rPr>
          <w:lang w:val="es-BO"/>
        </w:rPr>
        <w:t xml:space="preserve">Press report, </w:t>
      </w:r>
      <w:r w:rsidRPr="00962CE5">
        <w:rPr>
          <w:i/>
          <w:iCs/>
          <w:lang w:val="es-BO"/>
        </w:rPr>
        <w:t>El Heraldo</w:t>
      </w:r>
      <w:r>
        <w:rPr>
          <w:lang w:val="es-BO"/>
        </w:rPr>
        <w:t xml:space="preserve">: </w:t>
      </w:r>
      <w:r w:rsidRPr="00962CE5">
        <w:rPr>
          <w:i/>
          <w:iCs/>
          <w:lang w:val="es-BO"/>
        </w:rPr>
        <w:t>Avilés concertó propuestas de nuevos magistrados</w:t>
      </w:r>
      <w:r>
        <w:rPr>
          <w:lang w:val="es-BO"/>
        </w:rPr>
        <w:t>, April 7, 2014, available at</w:t>
      </w:r>
      <w:r w:rsidRPr="009364F1">
        <w:rPr>
          <w:lang w:val="es-BO"/>
        </w:rPr>
        <w:t xml:space="preserve"> </w:t>
      </w:r>
      <w:hyperlink r:id="rId4" w:history="1">
        <w:r w:rsidRPr="005D6B39">
          <w:rPr>
            <w:rStyle w:val="Hyperlink"/>
            <w:lang w:val="es-BO"/>
          </w:rPr>
          <w:t>https://www.elheraldo.hn/alfrente/565674-209/aviles-concerto-propuestas-de-nuevos-magistrados</w:t>
        </w:r>
      </w:hyperlink>
      <w:r w:rsidRPr="009364F1">
        <w:rPr>
          <w:lang w:val="es-BO"/>
        </w:rPr>
        <w:t>.</w:t>
      </w:r>
      <w:r>
        <w:rPr>
          <w:lang w:val="es-BO"/>
        </w:rPr>
        <w:t xml:space="preserve"> </w:t>
      </w:r>
      <w:r w:rsidRPr="00544BD8">
        <w:t xml:space="preserve">Annex to the petitioners’ </w:t>
      </w:r>
      <w:r>
        <w:t>brief</w:t>
      </w:r>
      <w:r w:rsidRPr="00544BD8">
        <w:t xml:space="preserve"> of</w:t>
      </w:r>
      <w:r w:rsidRPr="00FC4244">
        <w:t xml:space="preserve"> N</w:t>
      </w:r>
      <w:r>
        <w:t xml:space="preserve">ovember </w:t>
      </w:r>
      <w:r w:rsidRPr="00FC4244">
        <w:t>20</w:t>
      </w:r>
      <w:r>
        <w:t xml:space="preserve">, </w:t>
      </w:r>
      <w:r w:rsidRPr="00FC4244">
        <w:t>2018</w:t>
      </w:r>
      <w:r w:rsidRPr="00D848A4">
        <w:t>.</w:t>
      </w:r>
    </w:p>
  </w:footnote>
  <w:footnote w:id="39">
    <w:p w14:paraId="2C0903C5" w14:textId="068B68A7" w:rsidR="00E6692A" w:rsidRPr="00D848A4" w:rsidRDefault="00E6692A" w:rsidP="00E6692A">
      <w:pPr>
        <w:pStyle w:val="FootnoteText"/>
      </w:pPr>
      <w:r>
        <w:rPr>
          <w:rStyle w:val="FootnoteReference"/>
        </w:rPr>
        <w:footnoteRef/>
      </w:r>
      <w:r w:rsidRPr="00DC7194">
        <w:t xml:space="preserve"> </w:t>
      </w:r>
      <w:r w:rsidR="00177DB9">
        <w:t xml:space="preserve">Annex 29. </w:t>
      </w:r>
      <w:r w:rsidRPr="00DC7194">
        <w:t xml:space="preserve">National Human Rights Commission, Report on the institutional crisis of the State of Honduras as a result of the </w:t>
      </w:r>
      <w:r>
        <w:t>replacement</w:t>
      </w:r>
      <w:r w:rsidRPr="00DC7194">
        <w:t xml:space="preserve"> of four of the five justices of the Constitutional Chamber of the judiciary based on the December 12, 2102, decision by the legislative branch, January 4, 2013. </w:t>
      </w:r>
      <w:r w:rsidRPr="00962CE5">
        <w:t>Annex to the initial petition of February 5, 2013</w:t>
      </w:r>
      <w:r w:rsidRPr="00D848A4">
        <w:t xml:space="preserve">. </w:t>
      </w:r>
    </w:p>
  </w:footnote>
  <w:footnote w:id="40">
    <w:p w14:paraId="70E26FA9" w14:textId="258EDB61" w:rsidR="00E6692A" w:rsidRPr="004134FF" w:rsidRDefault="00E6692A" w:rsidP="00E6692A">
      <w:pPr>
        <w:pStyle w:val="FootnoteText"/>
      </w:pPr>
      <w:r>
        <w:rPr>
          <w:rStyle w:val="FootnoteReference"/>
        </w:rPr>
        <w:footnoteRef/>
      </w:r>
      <w:r w:rsidRPr="00235801">
        <w:t xml:space="preserve"> </w:t>
      </w:r>
      <w:r w:rsidR="00177DB9">
        <w:t xml:space="preserve">Annex 30. </w:t>
      </w:r>
      <w:r w:rsidRPr="00235801">
        <w:t xml:space="preserve">IACHR, Press Release No. 3/13, “In View of Situation in Honduras, IACHR Stresses Importance of Principle of Independence of the Judiciary,” </w:t>
      </w:r>
      <w:r>
        <w:t xml:space="preserve">January </w:t>
      </w:r>
      <w:r w:rsidRPr="004134FF">
        <w:t>3</w:t>
      </w:r>
      <w:r>
        <w:t xml:space="preserve">, </w:t>
      </w:r>
      <w:r w:rsidRPr="004134FF">
        <w:t xml:space="preserve">2013. </w:t>
      </w:r>
      <w:r w:rsidRPr="00E566E3">
        <w:t>Annex to the initial petition of February 5, 2013</w:t>
      </w:r>
      <w:r w:rsidRPr="004134FF">
        <w:t>.</w:t>
      </w:r>
    </w:p>
  </w:footnote>
  <w:footnote w:id="41">
    <w:p w14:paraId="39E29118" w14:textId="5E0149A5" w:rsidR="00E6692A" w:rsidRPr="00D848A4" w:rsidRDefault="00E6692A" w:rsidP="00E6692A">
      <w:pPr>
        <w:pStyle w:val="FootnoteText"/>
      </w:pPr>
      <w:r>
        <w:rPr>
          <w:rStyle w:val="FootnoteReference"/>
        </w:rPr>
        <w:footnoteRef/>
      </w:r>
      <w:r w:rsidRPr="00962CE5">
        <w:t xml:space="preserve"> </w:t>
      </w:r>
      <w:r w:rsidR="00177DB9">
        <w:t xml:space="preserve">Annex 31. </w:t>
      </w:r>
      <w:r w:rsidRPr="00962CE5">
        <w:t>United Nations Special Rapporteur on the independence of judges</w:t>
      </w:r>
      <w:r>
        <w:t xml:space="preserve"> and lawyers, Press release [in Spanish] of January 29, </w:t>
      </w:r>
      <w:r w:rsidRPr="00962CE5">
        <w:t xml:space="preserve">2013. </w:t>
      </w:r>
      <w:r w:rsidRPr="00544BD8">
        <w:t xml:space="preserve">Annex to the petitioners’ </w:t>
      </w:r>
      <w:r>
        <w:t>brief</w:t>
      </w:r>
      <w:r w:rsidRPr="00544BD8">
        <w:t xml:space="preserve"> of</w:t>
      </w:r>
      <w:r w:rsidRPr="00FC4244">
        <w:t xml:space="preserve"> N</w:t>
      </w:r>
      <w:r>
        <w:t xml:space="preserve">ovember </w:t>
      </w:r>
      <w:r w:rsidRPr="00FC4244">
        <w:t>20</w:t>
      </w:r>
      <w:r>
        <w:t xml:space="preserve">, </w:t>
      </w:r>
      <w:r w:rsidRPr="00FC4244">
        <w:t>2018</w:t>
      </w:r>
      <w:r w:rsidRPr="00D848A4">
        <w:t>.</w:t>
      </w:r>
    </w:p>
  </w:footnote>
  <w:footnote w:id="42">
    <w:p w14:paraId="43E5125F" w14:textId="01EEA3D8" w:rsidR="00E6692A" w:rsidRPr="0069691A" w:rsidRDefault="00E6692A" w:rsidP="00E6692A">
      <w:pPr>
        <w:pStyle w:val="FootnoteText"/>
      </w:pPr>
      <w:r>
        <w:rPr>
          <w:rStyle w:val="FootnoteReference"/>
        </w:rPr>
        <w:footnoteRef/>
      </w:r>
      <w:r w:rsidRPr="00177DB9">
        <w:rPr>
          <w:lang w:val="es-BO"/>
        </w:rPr>
        <w:t xml:space="preserve"> </w:t>
      </w:r>
      <w:r w:rsidR="00177DB9" w:rsidRPr="00177DB9">
        <w:rPr>
          <w:lang w:val="es-BO"/>
        </w:rPr>
        <w:t>An</w:t>
      </w:r>
      <w:r w:rsidR="00177DB9">
        <w:rPr>
          <w:lang w:val="es-BO"/>
        </w:rPr>
        <w:t xml:space="preserve">nex 32. </w:t>
      </w:r>
      <w:r w:rsidRPr="00177DB9">
        <w:rPr>
          <w:lang w:val="es-BO"/>
        </w:rPr>
        <w:t xml:space="preserve">Press report, </w:t>
      </w:r>
      <w:r w:rsidRPr="00177DB9">
        <w:rPr>
          <w:i/>
          <w:iCs/>
          <w:lang w:val="es-BO"/>
        </w:rPr>
        <w:t>Proceso Digital</w:t>
      </w:r>
      <w:r w:rsidRPr="00177DB9">
        <w:rPr>
          <w:lang w:val="es-BO"/>
        </w:rPr>
        <w:t xml:space="preserve">: </w:t>
      </w:r>
      <w:r w:rsidRPr="00177DB9">
        <w:rPr>
          <w:i/>
          <w:iCs/>
          <w:lang w:val="es-BO"/>
        </w:rPr>
        <w:t>Por amenazas salió del país ex magistrado José Antonio Gutiérrez Navas</w:t>
      </w:r>
      <w:r w:rsidRPr="00177DB9">
        <w:rPr>
          <w:lang w:val="es-BO"/>
        </w:rPr>
        <w:t xml:space="preserve">, available at </w:t>
      </w:r>
      <w:hyperlink r:id="rId5" w:anchor=":~:text=Tegucigalpa%2D%20El%20ex%20magistrado%20de,amenazas%20por%20la%20v%C3%ADa%20telef%C3%B3nica" w:history="1">
        <w:r w:rsidRPr="00177DB9">
          <w:rPr>
            <w:rStyle w:val="Hyperlink"/>
            <w:lang w:val="es-BO"/>
          </w:rPr>
          <w:t>https://proceso.hn/por-amenazas-salio-del-pais-ex-magistrado-jose-antonio-gutierrez-navas/#:~:text=Tegucigalpa%2D%20El%20ex%20magistrado%20de,amenazas%20por%20la%20v%C3%ADa%20telef%C3%B3nica</w:t>
        </w:r>
      </w:hyperlink>
      <w:r w:rsidRPr="00177DB9">
        <w:rPr>
          <w:lang w:val="es-BO"/>
        </w:rPr>
        <w:t xml:space="preserve">. </w:t>
      </w:r>
      <w:r w:rsidRPr="0069691A">
        <w:t>Annex to the petitioners’ brief of November 20, 2018.</w:t>
      </w:r>
    </w:p>
  </w:footnote>
  <w:footnote w:id="43">
    <w:p w14:paraId="45FE9962" w14:textId="0CB32039" w:rsidR="00E6692A" w:rsidRPr="007910BB" w:rsidRDefault="00E6692A" w:rsidP="00E6692A">
      <w:pPr>
        <w:pStyle w:val="FootnoteText"/>
      </w:pPr>
      <w:r>
        <w:rPr>
          <w:rStyle w:val="FootnoteReference"/>
        </w:rPr>
        <w:footnoteRef/>
      </w:r>
      <w:r w:rsidRPr="00177DB9">
        <w:rPr>
          <w:lang w:val="es-BO"/>
        </w:rPr>
        <w:t xml:space="preserve"> </w:t>
      </w:r>
      <w:r w:rsidR="00177DB9" w:rsidRPr="00177DB9">
        <w:rPr>
          <w:lang w:val="es-BO"/>
        </w:rPr>
        <w:t>An</w:t>
      </w:r>
      <w:r w:rsidR="00177DB9">
        <w:rPr>
          <w:lang w:val="es-BO"/>
        </w:rPr>
        <w:t xml:space="preserve">nex 33. </w:t>
      </w:r>
      <w:r w:rsidRPr="00177DB9">
        <w:rPr>
          <w:lang w:val="es-BO"/>
        </w:rPr>
        <w:t xml:space="preserve">Press report, </w:t>
      </w:r>
      <w:r w:rsidRPr="00177DB9">
        <w:rPr>
          <w:i/>
          <w:iCs/>
          <w:lang w:val="es-BO"/>
        </w:rPr>
        <w:t>La Tribuna</w:t>
      </w:r>
      <w:r w:rsidRPr="00177DB9">
        <w:rPr>
          <w:lang w:val="es-BO"/>
        </w:rPr>
        <w:t xml:space="preserve">: </w:t>
      </w:r>
      <w:r w:rsidRPr="00177DB9">
        <w:rPr>
          <w:i/>
          <w:iCs/>
          <w:lang w:val="es-BO"/>
        </w:rPr>
        <w:t>Ex magistrado abandona el país por amenaza de muerte</w:t>
      </w:r>
      <w:r w:rsidRPr="00177DB9">
        <w:rPr>
          <w:lang w:val="es-BO"/>
        </w:rPr>
        <w:t xml:space="preserve">, December 18, 2012. </w:t>
      </w:r>
      <w:r w:rsidRPr="00544BD8">
        <w:t xml:space="preserve">Annex to the petitioners’ </w:t>
      </w:r>
      <w:r>
        <w:t>brief</w:t>
      </w:r>
      <w:r w:rsidRPr="00544BD8">
        <w:t xml:space="preserve"> of</w:t>
      </w:r>
      <w:r w:rsidRPr="00FC4244">
        <w:t xml:space="preserve"> N</w:t>
      </w:r>
      <w:r>
        <w:t xml:space="preserve">ovember </w:t>
      </w:r>
      <w:r w:rsidRPr="00FC4244">
        <w:t>20</w:t>
      </w:r>
      <w:r>
        <w:t xml:space="preserve">, </w:t>
      </w:r>
      <w:r w:rsidRPr="00FC4244">
        <w:t>2018</w:t>
      </w:r>
      <w:r w:rsidRPr="007910BB">
        <w:t>.</w:t>
      </w:r>
    </w:p>
  </w:footnote>
  <w:footnote w:id="44">
    <w:p w14:paraId="534F1A65" w14:textId="15ACC79A" w:rsidR="00E6692A" w:rsidRPr="007910BB" w:rsidRDefault="00E6692A" w:rsidP="00E6692A">
      <w:pPr>
        <w:pStyle w:val="FootnoteText"/>
        <w:ind w:left="720" w:hanging="720"/>
      </w:pPr>
      <w:r>
        <w:rPr>
          <w:rStyle w:val="FootnoteReference"/>
        </w:rPr>
        <w:footnoteRef/>
      </w:r>
      <w:r w:rsidRPr="007910BB">
        <w:t xml:space="preserve"> </w:t>
      </w:r>
      <w:r w:rsidR="005C23AF">
        <w:t xml:space="preserve">Annex 34. </w:t>
      </w:r>
      <w:r w:rsidRPr="007910BB">
        <w:t>Complaint to COFADEH on August 19,</w:t>
      </w:r>
      <w:r>
        <w:t xml:space="preserve"> </w:t>
      </w:r>
      <w:r w:rsidRPr="007910BB">
        <w:t>2014. Annex to the petitioners’ brief of No</w:t>
      </w:r>
      <w:r>
        <w:t xml:space="preserve">vember </w:t>
      </w:r>
      <w:r w:rsidRPr="007910BB">
        <w:t>20</w:t>
      </w:r>
      <w:r>
        <w:t xml:space="preserve">, </w:t>
      </w:r>
      <w:r w:rsidRPr="007910BB">
        <w:t>2018.</w:t>
      </w:r>
    </w:p>
  </w:footnote>
  <w:footnote w:id="45">
    <w:p w14:paraId="1CB46DB5" w14:textId="4C10DA54" w:rsidR="00E6692A" w:rsidRPr="00336C88" w:rsidRDefault="00E6692A" w:rsidP="00E6692A">
      <w:pPr>
        <w:pStyle w:val="FootnoteText"/>
      </w:pPr>
      <w:r>
        <w:rPr>
          <w:rStyle w:val="FootnoteReference"/>
        </w:rPr>
        <w:footnoteRef/>
      </w:r>
      <w:r w:rsidRPr="00220C78">
        <w:t xml:space="preserve"> </w:t>
      </w:r>
      <w:r w:rsidR="005C23AF">
        <w:t xml:space="preserve">Annex 35. </w:t>
      </w:r>
      <w:r w:rsidRPr="00220C78">
        <w:t xml:space="preserve">Complaint by Justice Rosalinda Cruz to the National Human Rights Commission, February 22, 2013. </w:t>
      </w:r>
      <w:r w:rsidRPr="007910BB">
        <w:t>Annex to the petitioners’ brief of No</w:t>
      </w:r>
      <w:r>
        <w:t xml:space="preserve">vember </w:t>
      </w:r>
      <w:r w:rsidRPr="007910BB">
        <w:t>20</w:t>
      </w:r>
      <w:r>
        <w:t xml:space="preserve">, </w:t>
      </w:r>
      <w:r w:rsidRPr="007910BB">
        <w:t>2018</w:t>
      </w:r>
      <w:r w:rsidRPr="00336C88">
        <w:t>.</w:t>
      </w:r>
    </w:p>
  </w:footnote>
  <w:footnote w:id="46">
    <w:p w14:paraId="50E18A80" w14:textId="77777777" w:rsidR="00E6692A" w:rsidRPr="00D848A4" w:rsidRDefault="00E6692A" w:rsidP="00E6692A">
      <w:pPr>
        <w:pStyle w:val="FootnoteText"/>
      </w:pPr>
      <w:r>
        <w:rPr>
          <w:rStyle w:val="FootnoteReference"/>
        </w:rPr>
        <w:footnoteRef/>
      </w:r>
      <w:r w:rsidRPr="00D848A4">
        <w:t xml:space="preserve"> Petitioners’ brief of November 20, 2018.</w:t>
      </w:r>
    </w:p>
  </w:footnote>
  <w:footnote w:id="47">
    <w:p w14:paraId="778B30DB" w14:textId="77777777" w:rsidR="00E6692A" w:rsidRPr="00F51BB3" w:rsidRDefault="00E6692A" w:rsidP="00E6692A">
      <w:pPr>
        <w:pStyle w:val="FootnoteText"/>
        <w:rPr>
          <w:color w:val="auto"/>
        </w:rPr>
      </w:pPr>
      <w:r w:rsidRPr="00BE6681">
        <w:rPr>
          <w:rStyle w:val="FootnoteReference"/>
          <w:color w:val="auto"/>
        </w:rPr>
        <w:footnoteRef/>
      </w:r>
      <w:r w:rsidRPr="00F51BB3">
        <w:rPr>
          <w:color w:val="auto"/>
        </w:rPr>
        <w:t xml:space="preserve"> IACHR, Report No. 65/11, Case 12.600, Merits, Hugo Quintana Coello and Others, “Justices of the Supreme Court,” Ecuador, March 31</w:t>
      </w:r>
      <w:r>
        <w:rPr>
          <w:color w:val="auto"/>
        </w:rPr>
        <w:t xml:space="preserve">, </w:t>
      </w:r>
      <w:r w:rsidRPr="00F51BB3">
        <w:rPr>
          <w:color w:val="auto"/>
        </w:rPr>
        <w:t>2011, p</w:t>
      </w:r>
      <w:r>
        <w:rPr>
          <w:color w:val="auto"/>
        </w:rPr>
        <w:t>ar</w:t>
      </w:r>
      <w:r w:rsidRPr="00F51BB3">
        <w:rPr>
          <w:color w:val="auto"/>
        </w:rPr>
        <w:t xml:space="preserve">. 102; </w:t>
      </w:r>
      <w:r>
        <w:rPr>
          <w:color w:val="auto"/>
        </w:rPr>
        <w:t>I/A Court H.R.,</w:t>
      </w:r>
      <w:r w:rsidRPr="00F51BB3">
        <w:rPr>
          <w:color w:val="auto"/>
        </w:rPr>
        <w:t xml:space="preserve"> </w:t>
      </w:r>
      <w:hyperlink r:id="rId6" w:history="1">
        <w:r w:rsidRPr="00E4132B">
          <w:rPr>
            <w:rStyle w:val="Hyperlink"/>
            <w:rFonts w:cs="Arial"/>
            <w:i/>
            <w:iCs/>
            <w:color w:val="auto"/>
            <w:u w:val="none"/>
            <w:shd w:val="clear" w:color="auto" w:fill="FFFFFF"/>
          </w:rPr>
          <w:t>Case of Baena Ricardo et al. v. Panama</w:t>
        </w:r>
        <w:r>
          <w:rPr>
            <w:rStyle w:val="Hyperlink"/>
            <w:rFonts w:cs="Arial"/>
            <w:color w:val="auto"/>
            <w:u w:val="none"/>
            <w:shd w:val="clear" w:color="auto" w:fill="FFFFFF"/>
          </w:rPr>
          <w:t xml:space="preserve">, Merits, Reparations, and Costs, Judgment of February 2, </w:t>
        </w:r>
        <w:r w:rsidRPr="00F51BB3">
          <w:rPr>
            <w:rStyle w:val="Hyperlink"/>
            <w:rFonts w:cs="Arial"/>
            <w:color w:val="auto"/>
            <w:u w:val="none"/>
            <w:shd w:val="clear" w:color="auto" w:fill="FFFFFF"/>
          </w:rPr>
          <w:t>2001</w:t>
        </w:r>
        <w:r>
          <w:rPr>
            <w:rStyle w:val="Hyperlink"/>
            <w:rFonts w:cs="Arial"/>
            <w:color w:val="auto"/>
            <w:u w:val="none"/>
            <w:shd w:val="clear" w:color="auto" w:fill="FFFFFF"/>
          </w:rPr>
          <w:t>,</w:t>
        </w:r>
        <w:r w:rsidRPr="00F51BB3">
          <w:rPr>
            <w:rStyle w:val="Hyperlink"/>
            <w:rFonts w:cs="Arial"/>
            <w:color w:val="auto"/>
            <w:u w:val="none"/>
            <w:shd w:val="clear" w:color="auto" w:fill="FFFFFF"/>
          </w:rPr>
          <w:t xml:space="preserve"> Series C No. 72</w:t>
        </w:r>
      </w:hyperlink>
      <w:r w:rsidRPr="00F51BB3">
        <w:rPr>
          <w:color w:val="auto"/>
        </w:rPr>
        <w:t xml:space="preserve">, </w:t>
      </w:r>
      <w:r>
        <w:rPr>
          <w:color w:val="auto"/>
        </w:rPr>
        <w:t>paras</w:t>
      </w:r>
      <w:r w:rsidRPr="00F51BB3">
        <w:rPr>
          <w:color w:val="auto"/>
        </w:rPr>
        <w:t xml:space="preserve">. 126-127; </w:t>
      </w:r>
      <w:hyperlink r:id="rId7" w:history="1">
        <w:r w:rsidRPr="00E4132B">
          <w:rPr>
            <w:rStyle w:val="Hyperlink"/>
            <w:rFonts w:cs="Arial"/>
            <w:i/>
            <w:iCs/>
            <w:color w:val="auto"/>
            <w:u w:val="none"/>
            <w:shd w:val="clear" w:color="auto" w:fill="FFFFFF"/>
          </w:rPr>
          <w:t>Case of the Constitutional Court v. Peru</w:t>
        </w:r>
        <w:r w:rsidRPr="00F51BB3">
          <w:rPr>
            <w:rStyle w:val="Hyperlink"/>
            <w:rFonts w:cs="Arial"/>
            <w:color w:val="auto"/>
            <w:u w:val="none"/>
            <w:shd w:val="clear" w:color="auto" w:fill="FFFFFF"/>
          </w:rPr>
          <w:t>, Merits, Reparations, and Costs, Judgment of January 31,</w:t>
        </w:r>
        <w:r>
          <w:rPr>
            <w:rStyle w:val="Hyperlink"/>
            <w:rFonts w:cs="Arial"/>
            <w:color w:val="auto"/>
            <w:u w:val="none"/>
            <w:shd w:val="clear" w:color="auto" w:fill="FFFFFF"/>
          </w:rPr>
          <w:t xml:space="preserve"> 2001, Series </w:t>
        </w:r>
        <w:r w:rsidRPr="00F51BB3">
          <w:rPr>
            <w:rStyle w:val="Hyperlink"/>
            <w:rFonts w:cs="Arial"/>
            <w:color w:val="auto"/>
            <w:u w:val="none"/>
            <w:shd w:val="clear" w:color="auto" w:fill="FFFFFF"/>
          </w:rPr>
          <w:t>C No. 71</w:t>
        </w:r>
      </w:hyperlink>
      <w:r w:rsidRPr="00F51BB3">
        <w:rPr>
          <w:color w:val="auto"/>
        </w:rPr>
        <w:t xml:space="preserve">, </w:t>
      </w:r>
      <w:r>
        <w:rPr>
          <w:color w:val="auto"/>
        </w:rPr>
        <w:t>paras</w:t>
      </w:r>
      <w:r w:rsidRPr="00F51BB3">
        <w:rPr>
          <w:color w:val="auto"/>
        </w:rPr>
        <w:t xml:space="preserve">. 69-70; and </w:t>
      </w:r>
      <w:hyperlink r:id="rId8" w:history="1">
        <w:r w:rsidRPr="00E4132B">
          <w:rPr>
            <w:rStyle w:val="Hyperlink"/>
            <w:rFonts w:cs="Arial"/>
            <w:i/>
            <w:iCs/>
            <w:color w:val="auto"/>
            <w:u w:val="none"/>
            <w:shd w:val="clear" w:color="auto" w:fill="FFFFFF"/>
          </w:rPr>
          <w:t>Case of López Mendoza v. Venezuela</w:t>
        </w:r>
        <w:r w:rsidRPr="00F51BB3">
          <w:rPr>
            <w:rStyle w:val="Hyperlink"/>
            <w:rFonts w:cs="Arial"/>
            <w:color w:val="auto"/>
            <w:u w:val="none"/>
            <w:shd w:val="clear" w:color="auto" w:fill="FFFFFF"/>
          </w:rPr>
          <w:t>, Merits, Reparations, and Costs, Judgment of</w:t>
        </w:r>
        <w:r>
          <w:rPr>
            <w:rStyle w:val="Hyperlink"/>
            <w:rFonts w:cs="Arial"/>
            <w:color w:val="auto"/>
            <w:u w:val="none"/>
            <w:shd w:val="clear" w:color="auto" w:fill="FFFFFF"/>
          </w:rPr>
          <w:t xml:space="preserve"> September 1, </w:t>
        </w:r>
        <w:r w:rsidRPr="00F51BB3">
          <w:rPr>
            <w:rStyle w:val="Hyperlink"/>
            <w:rFonts w:cs="Arial"/>
            <w:color w:val="auto"/>
            <w:u w:val="none"/>
            <w:shd w:val="clear" w:color="auto" w:fill="FFFFFF"/>
          </w:rPr>
          <w:t>2011</w:t>
        </w:r>
        <w:r>
          <w:rPr>
            <w:rStyle w:val="Hyperlink"/>
            <w:rFonts w:cs="Arial"/>
            <w:color w:val="auto"/>
            <w:u w:val="none"/>
            <w:shd w:val="clear" w:color="auto" w:fill="FFFFFF"/>
          </w:rPr>
          <w:t>,</w:t>
        </w:r>
        <w:r w:rsidRPr="00F51BB3">
          <w:rPr>
            <w:rStyle w:val="Hyperlink"/>
            <w:rFonts w:cs="Arial"/>
            <w:color w:val="auto"/>
            <w:u w:val="none"/>
            <w:shd w:val="clear" w:color="auto" w:fill="FFFFFF"/>
          </w:rPr>
          <w:t xml:space="preserve"> Serie</w:t>
        </w:r>
        <w:r>
          <w:rPr>
            <w:rStyle w:val="Hyperlink"/>
            <w:rFonts w:cs="Arial"/>
            <w:color w:val="auto"/>
            <w:u w:val="none"/>
            <w:shd w:val="clear" w:color="auto" w:fill="FFFFFF"/>
          </w:rPr>
          <w:t>s</w:t>
        </w:r>
        <w:r w:rsidRPr="00F51BB3">
          <w:rPr>
            <w:rStyle w:val="Hyperlink"/>
            <w:rFonts w:cs="Arial"/>
            <w:color w:val="auto"/>
            <w:u w:val="none"/>
            <w:shd w:val="clear" w:color="auto" w:fill="FFFFFF"/>
          </w:rPr>
          <w:t xml:space="preserve"> C No. 233</w:t>
        </w:r>
      </w:hyperlink>
      <w:r w:rsidRPr="00F51BB3">
        <w:rPr>
          <w:color w:val="auto"/>
        </w:rPr>
        <w:t xml:space="preserve">, </w:t>
      </w:r>
      <w:r>
        <w:rPr>
          <w:color w:val="auto"/>
        </w:rPr>
        <w:t>par</w:t>
      </w:r>
      <w:r w:rsidRPr="00F51BB3">
        <w:rPr>
          <w:color w:val="auto"/>
        </w:rPr>
        <w:t xml:space="preserve">. 111. </w:t>
      </w:r>
    </w:p>
  </w:footnote>
  <w:footnote w:id="48">
    <w:p w14:paraId="31DE3207" w14:textId="77777777" w:rsidR="00E6692A" w:rsidRPr="00D848A4" w:rsidRDefault="00E6692A" w:rsidP="00E6692A">
      <w:pPr>
        <w:pStyle w:val="FootnoteText"/>
        <w:rPr>
          <w:color w:val="auto"/>
        </w:rPr>
      </w:pPr>
      <w:r w:rsidRPr="00BE6681">
        <w:rPr>
          <w:rStyle w:val="FootnoteReference"/>
          <w:color w:val="auto"/>
        </w:rPr>
        <w:footnoteRef/>
      </w:r>
      <w:r w:rsidRPr="00B24BC7">
        <w:rPr>
          <w:color w:val="auto"/>
        </w:rPr>
        <w:t xml:space="preserve"> IACHR, </w:t>
      </w:r>
      <w:r w:rsidRPr="002315C2">
        <w:rPr>
          <w:i/>
          <w:iCs/>
          <w:color w:val="auto"/>
        </w:rPr>
        <w:t>Access to Justice as a Guarantee of Economic, Social, and Cultural Rights. A Review of the Standards Adopted by the Inter-American System of Human Rights</w:t>
      </w:r>
      <w:r>
        <w:rPr>
          <w:color w:val="auto"/>
        </w:rPr>
        <w:t xml:space="preserve">, </w:t>
      </w:r>
      <w:r w:rsidRPr="00B24BC7">
        <w:rPr>
          <w:color w:val="auto"/>
        </w:rPr>
        <w:t>OEA/Ser.L/V/II.129</w:t>
      </w:r>
      <w:r>
        <w:rPr>
          <w:color w:val="auto"/>
        </w:rPr>
        <w:t>, September</w:t>
      </w:r>
      <w:r w:rsidRPr="00B24BC7">
        <w:rPr>
          <w:color w:val="auto"/>
        </w:rPr>
        <w:t xml:space="preserve"> 7</w:t>
      </w:r>
      <w:r>
        <w:rPr>
          <w:color w:val="auto"/>
        </w:rPr>
        <w:t xml:space="preserve">, </w:t>
      </w:r>
      <w:r w:rsidRPr="00B24BC7">
        <w:rPr>
          <w:color w:val="auto"/>
        </w:rPr>
        <w:t xml:space="preserve">2007, </w:t>
      </w:r>
      <w:r>
        <w:rPr>
          <w:color w:val="auto"/>
        </w:rPr>
        <w:t>paras</w:t>
      </w:r>
      <w:r w:rsidRPr="00B24BC7">
        <w:rPr>
          <w:color w:val="auto"/>
        </w:rPr>
        <w:t xml:space="preserve">. </w:t>
      </w:r>
      <w:r w:rsidRPr="005F5E5D">
        <w:rPr>
          <w:color w:val="auto"/>
        </w:rPr>
        <w:t xml:space="preserve">98-123; and Case No. 12.828, Report 112/12, Marcel Granier et al., Venezuela, Merits, November 9, 2012, par. </w:t>
      </w:r>
      <w:r w:rsidRPr="00BE6681">
        <w:rPr>
          <w:color w:val="auto"/>
          <w:lang w:val="pt-BR"/>
        </w:rPr>
        <w:t xml:space="preserve">188; </w:t>
      </w:r>
      <w:r>
        <w:rPr>
          <w:color w:val="auto"/>
          <w:lang w:val="pt-BR"/>
        </w:rPr>
        <w:t xml:space="preserve">IACHR, Report </w:t>
      </w:r>
      <w:r w:rsidRPr="00BE6681">
        <w:rPr>
          <w:color w:val="auto"/>
          <w:lang w:val="pt-BR"/>
        </w:rPr>
        <w:t>No. 42/14</w:t>
      </w:r>
      <w:r>
        <w:rPr>
          <w:color w:val="auto"/>
          <w:lang w:val="pt-BR"/>
        </w:rPr>
        <w:t>,</w:t>
      </w:r>
      <w:r w:rsidRPr="00BE6681">
        <w:rPr>
          <w:color w:val="auto"/>
          <w:lang w:val="pt-BR"/>
        </w:rPr>
        <w:t xml:space="preserve"> Cas</w:t>
      </w:r>
      <w:r>
        <w:rPr>
          <w:color w:val="auto"/>
          <w:lang w:val="pt-BR"/>
        </w:rPr>
        <w:t>e</w:t>
      </w:r>
      <w:r w:rsidRPr="00BE6681">
        <w:rPr>
          <w:color w:val="auto"/>
          <w:lang w:val="pt-BR"/>
        </w:rPr>
        <w:t xml:space="preserve"> 12.453</w:t>
      </w:r>
      <w:r>
        <w:rPr>
          <w:color w:val="auto"/>
          <w:lang w:val="pt-BR"/>
        </w:rPr>
        <w:t>, Merits,</w:t>
      </w:r>
      <w:r w:rsidRPr="00BE6681">
        <w:rPr>
          <w:color w:val="auto"/>
          <w:lang w:val="pt-BR"/>
        </w:rPr>
        <w:t xml:space="preserve"> Olga Yolanda Maldonado Ordoñez</w:t>
      </w:r>
      <w:r>
        <w:rPr>
          <w:color w:val="auto"/>
          <w:lang w:val="pt-BR"/>
        </w:rPr>
        <w:t>,</w:t>
      </w:r>
      <w:r w:rsidRPr="00BE6681">
        <w:rPr>
          <w:color w:val="auto"/>
          <w:lang w:val="pt-BR"/>
        </w:rPr>
        <w:t xml:space="preserve"> Guatemala</w:t>
      </w:r>
      <w:r>
        <w:rPr>
          <w:color w:val="auto"/>
          <w:lang w:val="pt-BR"/>
        </w:rPr>
        <w:t xml:space="preserve">, July </w:t>
      </w:r>
      <w:r w:rsidRPr="00BE6681">
        <w:rPr>
          <w:color w:val="auto"/>
          <w:lang w:val="pt-BR"/>
        </w:rPr>
        <w:t>17</w:t>
      </w:r>
      <w:r>
        <w:rPr>
          <w:color w:val="auto"/>
          <w:lang w:val="pt-BR"/>
        </w:rPr>
        <w:t>,</w:t>
      </w:r>
      <w:r w:rsidRPr="00BE6681">
        <w:rPr>
          <w:color w:val="auto"/>
          <w:lang w:val="pt-BR"/>
        </w:rPr>
        <w:t xml:space="preserve"> 2014</w:t>
      </w:r>
      <w:r>
        <w:rPr>
          <w:color w:val="auto"/>
          <w:lang w:val="pt-BR"/>
        </w:rPr>
        <w:t xml:space="preserve">, par. </w:t>
      </w:r>
      <w:r w:rsidRPr="00BE6681">
        <w:rPr>
          <w:color w:val="auto"/>
          <w:lang w:val="pt-BR"/>
        </w:rPr>
        <w:t xml:space="preserve">69; </w:t>
      </w:r>
      <w:r>
        <w:rPr>
          <w:color w:val="auto"/>
        </w:rPr>
        <w:t>I/A Court H.R.,</w:t>
      </w:r>
      <w:r w:rsidRPr="00F51BB3">
        <w:rPr>
          <w:color w:val="auto"/>
        </w:rPr>
        <w:t xml:space="preserve"> </w:t>
      </w:r>
      <w:hyperlink r:id="rId9" w:history="1">
        <w:r w:rsidRPr="008340D4">
          <w:rPr>
            <w:rStyle w:val="Hyperlink"/>
            <w:rFonts w:cs="Arial"/>
            <w:i/>
            <w:iCs/>
            <w:color w:val="auto"/>
            <w:u w:val="none"/>
            <w:shd w:val="clear" w:color="auto" w:fill="FFFFFF"/>
          </w:rPr>
          <w:t>Case of Baena Ricardo et al. v. Panama</w:t>
        </w:r>
        <w:r>
          <w:rPr>
            <w:rStyle w:val="Hyperlink"/>
            <w:rFonts w:cs="Arial"/>
            <w:color w:val="auto"/>
            <w:u w:val="none"/>
            <w:shd w:val="clear" w:color="auto" w:fill="FFFFFF"/>
          </w:rPr>
          <w:t xml:space="preserve">, Merits, Reparations, and Costs, Judgment of February 2, </w:t>
        </w:r>
        <w:r w:rsidRPr="00F51BB3">
          <w:rPr>
            <w:rStyle w:val="Hyperlink"/>
            <w:rFonts w:cs="Arial"/>
            <w:color w:val="auto"/>
            <w:u w:val="none"/>
            <w:shd w:val="clear" w:color="auto" w:fill="FFFFFF"/>
          </w:rPr>
          <w:t>2001</w:t>
        </w:r>
        <w:r>
          <w:rPr>
            <w:rStyle w:val="Hyperlink"/>
            <w:rFonts w:cs="Arial"/>
            <w:color w:val="auto"/>
            <w:u w:val="none"/>
            <w:shd w:val="clear" w:color="auto" w:fill="FFFFFF"/>
          </w:rPr>
          <w:t>,</w:t>
        </w:r>
        <w:r w:rsidRPr="00F51BB3">
          <w:rPr>
            <w:rStyle w:val="Hyperlink"/>
            <w:rFonts w:cs="Arial"/>
            <w:color w:val="auto"/>
            <w:u w:val="none"/>
            <w:shd w:val="clear" w:color="auto" w:fill="FFFFFF"/>
          </w:rPr>
          <w:t xml:space="preserve"> Series C No. 72</w:t>
        </w:r>
      </w:hyperlink>
      <w:r w:rsidRPr="00F51BB3">
        <w:rPr>
          <w:color w:val="auto"/>
        </w:rPr>
        <w:t xml:space="preserve">, </w:t>
      </w:r>
      <w:r>
        <w:rPr>
          <w:color w:val="auto"/>
        </w:rPr>
        <w:t>paras</w:t>
      </w:r>
      <w:r w:rsidRPr="00F51BB3">
        <w:rPr>
          <w:color w:val="auto"/>
        </w:rPr>
        <w:t xml:space="preserve">. </w:t>
      </w:r>
      <w:r w:rsidRPr="00D848A4">
        <w:rPr>
          <w:color w:val="auto"/>
        </w:rPr>
        <w:t>126-127.</w:t>
      </w:r>
    </w:p>
  </w:footnote>
  <w:footnote w:id="49">
    <w:p w14:paraId="343202BF" w14:textId="77777777" w:rsidR="00E6692A" w:rsidRPr="00C378BF" w:rsidRDefault="00E6692A" w:rsidP="00E6692A">
      <w:pPr>
        <w:jc w:val="both"/>
        <w:rPr>
          <w:rFonts w:asciiTheme="majorHAnsi" w:eastAsia="Times New Roman" w:hAnsiTheme="majorHAnsi"/>
          <w:sz w:val="16"/>
          <w:szCs w:val="16"/>
        </w:rPr>
      </w:pPr>
      <w:r w:rsidRPr="00BE6681">
        <w:rPr>
          <w:rStyle w:val="FootnoteReference"/>
          <w:rFonts w:asciiTheme="majorHAnsi" w:hAnsiTheme="majorHAnsi"/>
          <w:sz w:val="16"/>
          <w:szCs w:val="16"/>
        </w:rPr>
        <w:footnoteRef/>
      </w:r>
      <w:r w:rsidRPr="0094176E">
        <w:rPr>
          <w:rFonts w:asciiTheme="majorHAnsi" w:hAnsiTheme="majorHAnsi"/>
          <w:sz w:val="16"/>
          <w:szCs w:val="16"/>
        </w:rPr>
        <w:t xml:space="preserve"> IACHR, Report </w:t>
      </w:r>
      <w:r>
        <w:rPr>
          <w:rFonts w:asciiTheme="majorHAnsi" w:hAnsiTheme="majorHAnsi"/>
          <w:sz w:val="16"/>
          <w:szCs w:val="16"/>
        </w:rPr>
        <w:t xml:space="preserve">on </w:t>
      </w:r>
      <w:r w:rsidRPr="0094176E">
        <w:rPr>
          <w:rFonts w:asciiTheme="majorHAnsi" w:hAnsiTheme="majorHAnsi"/>
          <w:sz w:val="16"/>
          <w:szCs w:val="16"/>
        </w:rPr>
        <w:t>Merits 12.816, Report No. 103/13, November 5, 2013, p</w:t>
      </w:r>
      <w:r>
        <w:rPr>
          <w:rFonts w:asciiTheme="majorHAnsi" w:hAnsiTheme="majorHAnsi"/>
          <w:sz w:val="16"/>
          <w:szCs w:val="16"/>
        </w:rPr>
        <w:t>ar</w:t>
      </w:r>
      <w:r w:rsidRPr="0094176E">
        <w:rPr>
          <w:rFonts w:asciiTheme="majorHAnsi" w:hAnsiTheme="majorHAnsi"/>
          <w:sz w:val="16"/>
          <w:szCs w:val="16"/>
        </w:rPr>
        <w:t>. 112</w:t>
      </w:r>
      <w:r>
        <w:rPr>
          <w:rFonts w:asciiTheme="majorHAnsi" w:hAnsiTheme="majorHAnsi"/>
          <w:sz w:val="16"/>
          <w:szCs w:val="16"/>
        </w:rPr>
        <w:t xml:space="preserve">, citing United Nations, Human Rights Committee, General Comment No. </w:t>
      </w:r>
      <w:r w:rsidRPr="0094176E">
        <w:rPr>
          <w:rFonts w:asciiTheme="majorHAnsi" w:eastAsia="Times New Roman" w:hAnsiTheme="majorHAnsi"/>
          <w:sz w:val="16"/>
          <w:szCs w:val="16"/>
        </w:rPr>
        <w:t>32, CCPR/C/GC/32, August 23, 2007, par.</w:t>
      </w:r>
      <w:r>
        <w:rPr>
          <w:rFonts w:asciiTheme="majorHAnsi" w:eastAsia="Times New Roman" w:hAnsiTheme="majorHAnsi"/>
          <w:sz w:val="16"/>
          <w:szCs w:val="16"/>
        </w:rPr>
        <w:t xml:space="preserve"> </w:t>
      </w:r>
      <w:r w:rsidRPr="0094176E">
        <w:rPr>
          <w:rFonts w:asciiTheme="majorHAnsi" w:eastAsia="Times New Roman" w:hAnsiTheme="majorHAnsi"/>
          <w:sz w:val="16"/>
          <w:szCs w:val="16"/>
        </w:rPr>
        <w:t xml:space="preserve">19. </w:t>
      </w:r>
      <w:r w:rsidRPr="005B0E0C">
        <w:rPr>
          <w:rFonts w:asciiTheme="majorHAnsi" w:eastAsia="Times New Roman" w:hAnsiTheme="majorHAnsi"/>
          <w:sz w:val="16"/>
          <w:szCs w:val="16"/>
        </w:rPr>
        <w:t xml:space="preserve">In that same connection, </w:t>
      </w:r>
      <w:r w:rsidRPr="00191D78">
        <w:rPr>
          <w:rFonts w:asciiTheme="majorHAnsi" w:eastAsia="Times New Roman" w:hAnsiTheme="majorHAnsi"/>
          <w:sz w:val="16"/>
          <w:szCs w:val="16"/>
        </w:rPr>
        <w:t>see I/A Court H.R.,</w:t>
      </w:r>
      <w:r>
        <w:rPr>
          <w:rFonts w:asciiTheme="majorHAnsi" w:eastAsia="Times New Roman" w:hAnsiTheme="majorHAnsi"/>
          <w:sz w:val="16"/>
          <w:szCs w:val="16"/>
        </w:rPr>
        <w:t xml:space="preserve"> </w:t>
      </w:r>
      <w:r w:rsidRPr="005B0E0C">
        <w:rPr>
          <w:rFonts w:asciiTheme="majorHAnsi" w:eastAsia="Times New Roman" w:hAnsiTheme="majorHAnsi"/>
          <w:i/>
          <w:iCs/>
          <w:sz w:val="16"/>
          <w:szCs w:val="16"/>
        </w:rPr>
        <w:t>Habeas Corpus in Emergency Situations (Arts. 27(2), 25(1) and 7(6) American Convention on Human Rights</w:t>
      </w:r>
      <w:r w:rsidRPr="005B0E0C">
        <w:rPr>
          <w:rFonts w:asciiTheme="majorHAnsi" w:eastAsia="Times New Roman" w:hAnsiTheme="majorHAnsi"/>
          <w:sz w:val="16"/>
          <w:szCs w:val="16"/>
        </w:rPr>
        <w:t>)</w:t>
      </w:r>
      <w:r>
        <w:rPr>
          <w:rFonts w:asciiTheme="majorHAnsi" w:eastAsia="Times New Roman" w:hAnsiTheme="majorHAnsi"/>
          <w:sz w:val="16"/>
          <w:szCs w:val="16"/>
        </w:rPr>
        <w:t xml:space="preserve">, Advisory Opinion </w:t>
      </w:r>
      <w:r w:rsidRPr="005B0E0C">
        <w:rPr>
          <w:rFonts w:asciiTheme="majorHAnsi" w:eastAsia="Times New Roman" w:hAnsiTheme="majorHAnsi"/>
          <w:sz w:val="16"/>
          <w:szCs w:val="16"/>
        </w:rPr>
        <w:t xml:space="preserve">OC-8/87 </w:t>
      </w:r>
      <w:r>
        <w:rPr>
          <w:rFonts w:asciiTheme="majorHAnsi" w:eastAsia="Times New Roman" w:hAnsiTheme="majorHAnsi"/>
          <w:sz w:val="16"/>
          <w:szCs w:val="16"/>
        </w:rPr>
        <w:t>of January 3</w:t>
      </w:r>
      <w:r w:rsidRPr="005B0E0C">
        <w:rPr>
          <w:rFonts w:asciiTheme="majorHAnsi" w:eastAsia="Times New Roman" w:hAnsiTheme="majorHAnsi"/>
          <w:sz w:val="16"/>
          <w:szCs w:val="16"/>
        </w:rPr>
        <w:t>0</w:t>
      </w:r>
      <w:r>
        <w:rPr>
          <w:rFonts w:asciiTheme="majorHAnsi" w:eastAsia="Times New Roman" w:hAnsiTheme="majorHAnsi"/>
          <w:sz w:val="16"/>
          <w:szCs w:val="16"/>
        </w:rPr>
        <w:t xml:space="preserve">, </w:t>
      </w:r>
      <w:r w:rsidRPr="005B0E0C">
        <w:rPr>
          <w:rFonts w:asciiTheme="majorHAnsi" w:eastAsia="Times New Roman" w:hAnsiTheme="majorHAnsi"/>
          <w:sz w:val="16"/>
          <w:szCs w:val="16"/>
        </w:rPr>
        <w:t>1987</w:t>
      </w:r>
      <w:r>
        <w:rPr>
          <w:rFonts w:asciiTheme="majorHAnsi" w:eastAsia="Times New Roman" w:hAnsiTheme="majorHAnsi"/>
          <w:sz w:val="16"/>
          <w:szCs w:val="16"/>
        </w:rPr>
        <w:t>,</w:t>
      </w:r>
      <w:r w:rsidRPr="005B0E0C">
        <w:rPr>
          <w:rFonts w:asciiTheme="majorHAnsi" w:eastAsia="Times New Roman" w:hAnsiTheme="majorHAnsi"/>
          <w:sz w:val="16"/>
          <w:szCs w:val="16"/>
        </w:rPr>
        <w:t xml:space="preserve"> Serie</w:t>
      </w:r>
      <w:r>
        <w:rPr>
          <w:rFonts w:asciiTheme="majorHAnsi" w:eastAsia="Times New Roman" w:hAnsiTheme="majorHAnsi"/>
          <w:sz w:val="16"/>
          <w:szCs w:val="16"/>
        </w:rPr>
        <w:t>s</w:t>
      </w:r>
      <w:r w:rsidRPr="005B0E0C">
        <w:rPr>
          <w:rFonts w:asciiTheme="majorHAnsi" w:eastAsia="Times New Roman" w:hAnsiTheme="majorHAnsi"/>
          <w:sz w:val="16"/>
          <w:szCs w:val="16"/>
        </w:rPr>
        <w:t xml:space="preserve"> A No. 8, </w:t>
      </w:r>
      <w:r>
        <w:rPr>
          <w:rFonts w:asciiTheme="majorHAnsi" w:eastAsia="Times New Roman" w:hAnsiTheme="majorHAnsi"/>
          <w:sz w:val="16"/>
          <w:szCs w:val="16"/>
        </w:rPr>
        <w:t>par</w:t>
      </w:r>
      <w:r w:rsidRPr="005B0E0C">
        <w:rPr>
          <w:rFonts w:asciiTheme="majorHAnsi" w:eastAsia="Times New Roman" w:hAnsiTheme="majorHAnsi"/>
          <w:sz w:val="16"/>
          <w:szCs w:val="16"/>
        </w:rPr>
        <w:t>. 30.</w:t>
      </w:r>
      <w:r w:rsidRPr="005B0E0C">
        <w:rPr>
          <w:rFonts w:asciiTheme="majorHAnsi" w:hAnsiTheme="majorHAnsi"/>
          <w:sz w:val="16"/>
          <w:szCs w:val="16"/>
        </w:rPr>
        <w:t xml:space="preserve"> See also IACHR, </w:t>
      </w:r>
      <w:r w:rsidRPr="005B0E0C">
        <w:rPr>
          <w:rFonts w:asciiTheme="majorHAnsi" w:hAnsiTheme="majorHAnsi"/>
          <w:i/>
          <w:iCs/>
          <w:sz w:val="16"/>
          <w:szCs w:val="16"/>
        </w:rPr>
        <w:t>Democracy and Human Rights in Venezuela</w:t>
      </w:r>
      <w:r w:rsidRPr="005B0E0C">
        <w:rPr>
          <w:rFonts w:asciiTheme="majorHAnsi" w:hAnsiTheme="majorHAnsi"/>
          <w:sz w:val="16"/>
          <w:szCs w:val="16"/>
        </w:rPr>
        <w:t xml:space="preserve">, </w:t>
      </w:r>
      <w:r>
        <w:rPr>
          <w:rFonts w:asciiTheme="majorHAnsi" w:hAnsiTheme="majorHAnsi"/>
          <w:sz w:val="16"/>
          <w:szCs w:val="16"/>
        </w:rPr>
        <w:t xml:space="preserve">Ch. </w:t>
      </w:r>
      <w:r w:rsidRPr="00C378BF">
        <w:rPr>
          <w:rFonts w:asciiTheme="majorHAnsi" w:hAnsiTheme="majorHAnsi"/>
          <w:sz w:val="16"/>
          <w:szCs w:val="16"/>
        </w:rPr>
        <w:t>III, Independence and Separation of Public Powers, December 30, 2009, par. 80.</w:t>
      </w:r>
    </w:p>
  </w:footnote>
  <w:footnote w:id="50">
    <w:p w14:paraId="7DA028CF" w14:textId="77777777" w:rsidR="00E6692A" w:rsidRPr="00CF514D" w:rsidRDefault="00E6692A" w:rsidP="00E6692A">
      <w:pPr>
        <w:pStyle w:val="FootnoteText"/>
      </w:pPr>
      <w:r w:rsidRPr="00BE6681">
        <w:rPr>
          <w:vertAlign w:val="superscript"/>
          <w:lang w:val="es-CO"/>
        </w:rPr>
        <w:footnoteRef/>
      </w:r>
      <w:r w:rsidRPr="00CF514D">
        <w:t xml:space="preserve"> I/A Court H.R., </w:t>
      </w:r>
      <w:r w:rsidRPr="00CF514D">
        <w:rPr>
          <w:i/>
          <w:iCs/>
        </w:rPr>
        <w:t>Case of Reverón Trujillo v. Venezuela</w:t>
      </w:r>
      <w:r w:rsidRPr="00CF514D">
        <w:t xml:space="preserve">, Preliminary Objection, Merits, Reparations, and Costs, Judgment of June 30, 2009, Series C No. 197, par. 67; IACHR, </w:t>
      </w:r>
      <w:r w:rsidRPr="00CF514D">
        <w:rPr>
          <w:i/>
          <w:iCs/>
        </w:rPr>
        <w:t>Democracy and Human Rights</w:t>
      </w:r>
      <w:r w:rsidRPr="00CF514D">
        <w:t xml:space="preserve">, December 30, 2009, par. 185; IACHR, </w:t>
      </w:r>
      <w:r w:rsidRPr="000F5E9C">
        <w:rPr>
          <w:i/>
          <w:iCs/>
        </w:rPr>
        <w:t>Second Report on the Situation of Human Rights Defenders in the Americas</w:t>
      </w:r>
      <w:r>
        <w:t xml:space="preserve">, December 31, </w:t>
      </w:r>
      <w:r w:rsidRPr="00CF514D">
        <w:t xml:space="preserve">2011, </w:t>
      </w:r>
      <w:r>
        <w:t>par</w:t>
      </w:r>
      <w:r w:rsidRPr="00CF514D">
        <w:t xml:space="preserve">. 359. </w:t>
      </w:r>
    </w:p>
  </w:footnote>
  <w:footnote w:id="51">
    <w:p w14:paraId="044A7BB9" w14:textId="77777777" w:rsidR="00E6692A" w:rsidRPr="009C74D1" w:rsidRDefault="00E6692A" w:rsidP="00E6692A">
      <w:pPr>
        <w:pStyle w:val="FootnoteText"/>
      </w:pPr>
      <w:r w:rsidRPr="00BE6681">
        <w:rPr>
          <w:vertAlign w:val="superscript"/>
          <w:lang w:val="es-CO"/>
        </w:rPr>
        <w:footnoteRef/>
      </w:r>
      <w:r w:rsidRPr="00A945E3">
        <w:t xml:space="preserve"> Thus, for example, the Inter-American Court has indicated that the State’s obligations toward parties before the courts result, at the same time, in “rights for the judges.” The Court has indicated, among other things, that “the guarantee that they will not be subject to a discretional removal implies that the disciplinary and punishing processes of </w:t>
      </w:r>
      <w:r w:rsidRPr="00191D78">
        <w:t xml:space="preserve">judges must necessarily respect the guarantees of the due process and shall offer those affected an effective remedy.” I/A Court H.R., </w:t>
      </w:r>
      <w:r w:rsidRPr="00191D78">
        <w:rPr>
          <w:i/>
          <w:iCs/>
        </w:rPr>
        <w:t>Case of Reverón Trujillo v. Venezuela</w:t>
      </w:r>
      <w:r w:rsidRPr="00191D78">
        <w:t>, Preliminary Objection, Merits, Reparations, and Costs, Judgment of June 30, 2009, Series C No. 197, par. 147.</w:t>
      </w:r>
    </w:p>
  </w:footnote>
  <w:footnote w:id="52">
    <w:p w14:paraId="387918B0" w14:textId="77777777" w:rsidR="00E6692A" w:rsidRPr="008048EA" w:rsidRDefault="00E6692A" w:rsidP="00E6692A">
      <w:pPr>
        <w:jc w:val="both"/>
        <w:rPr>
          <w:rFonts w:asciiTheme="majorHAnsi" w:eastAsia="Times New Roman" w:hAnsiTheme="majorHAnsi"/>
          <w:sz w:val="16"/>
          <w:szCs w:val="16"/>
        </w:rPr>
      </w:pPr>
      <w:r w:rsidRPr="00BE6681">
        <w:rPr>
          <w:rStyle w:val="FootnoteReference"/>
          <w:rFonts w:asciiTheme="majorHAnsi" w:hAnsiTheme="majorHAnsi"/>
          <w:sz w:val="16"/>
          <w:szCs w:val="16"/>
        </w:rPr>
        <w:footnoteRef/>
      </w:r>
      <w:r w:rsidRPr="00477508">
        <w:rPr>
          <w:rFonts w:asciiTheme="majorHAnsi" w:hAnsiTheme="majorHAnsi"/>
          <w:sz w:val="16"/>
          <w:szCs w:val="16"/>
        </w:rPr>
        <w:t xml:space="preserve">IACHR, </w:t>
      </w:r>
      <w:r w:rsidRPr="00477508">
        <w:rPr>
          <w:rFonts w:asciiTheme="majorHAnsi" w:hAnsiTheme="majorHAnsi"/>
          <w:i/>
          <w:iCs/>
          <w:sz w:val="16"/>
          <w:szCs w:val="16"/>
        </w:rPr>
        <w:t xml:space="preserve">Guarantees for the Independence of Justice Operators. </w:t>
      </w:r>
      <w:r w:rsidRPr="00D223B5">
        <w:rPr>
          <w:rFonts w:asciiTheme="majorHAnsi" w:hAnsiTheme="majorHAnsi"/>
          <w:i/>
          <w:iCs/>
          <w:sz w:val="16"/>
          <w:szCs w:val="16"/>
        </w:rPr>
        <w:t>Towards Strengthening Access to Justice and the Rule of Law in the Americas</w:t>
      </w:r>
      <w:r w:rsidRPr="00D223B5">
        <w:rPr>
          <w:rFonts w:asciiTheme="majorHAnsi" w:hAnsiTheme="majorHAnsi"/>
          <w:sz w:val="16"/>
          <w:szCs w:val="16"/>
        </w:rPr>
        <w:t xml:space="preserve">, December 5, 2013, </w:t>
      </w:r>
      <w:r>
        <w:rPr>
          <w:rFonts w:asciiTheme="majorHAnsi" w:hAnsiTheme="majorHAnsi"/>
          <w:sz w:val="16"/>
          <w:szCs w:val="16"/>
        </w:rPr>
        <w:t>paras</w:t>
      </w:r>
      <w:r w:rsidRPr="00D223B5">
        <w:rPr>
          <w:rFonts w:asciiTheme="majorHAnsi" w:hAnsiTheme="majorHAnsi"/>
          <w:sz w:val="16"/>
          <w:szCs w:val="16"/>
        </w:rPr>
        <w:t xml:space="preserve">. </w:t>
      </w:r>
      <w:r w:rsidRPr="008048EA">
        <w:rPr>
          <w:rFonts w:asciiTheme="majorHAnsi" w:hAnsiTheme="majorHAnsi"/>
          <w:sz w:val="16"/>
          <w:szCs w:val="16"/>
        </w:rPr>
        <w:t xml:space="preserve">56, 109, and 184; I/A Court H.R., </w:t>
      </w:r>
      <w:r w:rsidRPr="008048EA">
        <w:rPr>
          <w:rFonts w:asciiTheme="majorHAnsi" w:hAnsiTheme="majorHAnsi"/>
          <w:i/>
          <w:iCs/>
          <w:sz w:val="16"/>
          <w:szCs w:val="16"/>
        </w:rPr>
        <w:t>Case of</w:t>
      </w:r>
      <w:r w:rsidRPr="008048EA">
        <w:rPr>
          <w:rFonts w:asciiTheme="majorHAnsi" w:eastAsia="Times New Roman" w:hAnsiTheme="majorHAnsi"/>
          <w:bCs/>
          <w:i/>
          <w:iCs/>
          <w:sz w:val="16"/>
          <w:szCs w:val="16"/>
          <w:shd w:val="clear" w:color="auto" w:fill="FFFFFF"/>
        </w:rPr>
        <w:t xml:space="preserve"> López Lone et al. v. Honduras</w:t>
      </w:r>
      <w:r w:rsidRPr="008048EA">
        <w:rPr>
          <w:rFonts w:asciiTheme="majorHAnsi" w:eastAsia="Times New Roman" w:hAnsiTheme="majorHAnsi"/>
          <w:bCs/>
          <w:sz w:val="16"/>
          <w:szCs w:val="16"/>
          <w:shd w:val="clear" w:color="auto" w:fill="FFFFFF"/>
        </w:rPr>
        <w:t xml:space="preserve">, </w:t>
      </w:r>
      <w:r w:rsidRPr="00477508">
        <w:rPr>
          <w:rFonts w:asciiTheme="majorHAnsi" w:eastAsia="Times New Roman" w:hAnsiTheme="majorHAnsi"/>
          <w:bCs/>
          <w:sz w:val="16"/>
          <w:szCs w:val="16"/>
          <w:shd w:val="clear" w:color="auto" w:fill="FFFFFF"/>
        </w:rPr>
        <w:t>Preliminary Objection, Merits,</w:t>
      </w:r>
      <w:r>
        <w:rPr>
          <w:rFonts w:asciiTheme="majorHAnsi" w:eastAsia="Times New Roman" w:hAnsiTheme="majorHAnsi"/>
          <w:bCs/>
          <w:sz w:val="16"/>
          <w:szCs w:val="16"/>
          <w:shd w:val="clear" w:color="auto" w:fill="FFFFFF"/>
        </w:rPr>
        <w:t xml:space="preserve"> Reparations, and Costs, Judgment of October 5, </w:t>
      </w:r>
      <w:r w:rsidRPr="008048EA">
        <w:rPr>
          <w:rFonts w:asciiTheme="majorHAnsi" w:eastAsia="Times New Roman" w:hAnsiTheme="majorHAnsi"/>
          <w:bCs/>
          <w:sz w:val="16"/>
          <w:szCs w:val="16"/>
          <w:shd w:val="clear" w:color="auto" w:fill="FFFFFF"/>
        </w:rPr>
        <w:t>2015</w:t>
      </w:r>
      <w:r>
        <w:rPr>
          <w:rFonts w:asciiTheme="majorHAnsi" w:eastAsia="Times New Roman" w:hAnsiTheme="majorHAnsi"/>
          <w:bCs/>
          <w:sz w:val="16"/>
          <w:szCs w:val="16"/>
          <w:shd w:val="clear" w:color="auto" w:fill="FFFFFF"/>
        </w:rPr>
        <w:t>,</w:t>
      </w:r>
      <w:r w:rsidRPr="008048EA">
        <w:rPr>
          <w:rFonts w:asciiTheme="majorHAnsi" w:eastAsia="Times New Roman" w:hAnsiTheme="majorHAnsi"/>
          <w:bCs/>
          <w:sz w:val="16"/>
          <w:szCs w:val="16"/>
          <w:shd w:val="clear" w:color="auto" w:fill="FFFFFF"/>
        </w:rPr>
        <w:t xml:space="preserve"> Series C No. 302, </w:t>
      </w:r>
      <w:r>
        <w:rPr>
          <w:rFonts w:asciiTheme="majorHAnsi" w:eastAsia="Times New Roman" w:hAnsiTheme="majorHAnsi"/>
          <w:bCs/>
          <w:sz w:val="16"/>
          <w:szCs w:val="16"/>
          <w:shd w:val="clear" w:color="auto" w:fill="FFFFFF"/>
        </w:rPr>
        <w:t>par</w:t>
      </w:r>
      <w:r w:rsidRPr="008048EA">
        <w:rPr>
          <w:rFonts w:asciiTheme="majorHAnsi" w:eastAsia="Times New Roman" w:hAnsiTheme="majorHAnsi"/>
          <w:bCs/>
          <w:sz w:val="16"/>
          <w:szCs w:val="16"/>
          <w:shd w:val="clear" w:color="auto" w:fill="FFFFFF"/>
        </w:rPr>
        <w:t>. 19</w:t>
      </w:r>
      <w:r>
        <w:rPr>
          <w:rFonts w:asciiTheme="majorHAnsi" w:eastAsia="Times New Roman" w:hAnsiTheme="majorHAnsi"/>
          <w:bCs/>
          <w:sz w:val="16"/>
          <w:szCs w:val="16"/>
          <w:shd w:val="clear" w:color="auto" w:fill="FFFFFF"/>
        </w:rPr>
        <w:t>6</w:t>
      </w:r>
      <w:r w:rsidRPr="008048EA">
        <w:rPr>
          <w:rFonts w:asciiTheme="majorHAnsi" w:eastAsia="Times New Roman" w:hAnsiTheme="majorHAnsi"/>
          <w:bCs/>
          <w:sz w:val="16"/>
          <w:szCs w:val="16"/>
          <w:shd w:val="clear" w:color="auto" w:fill="FFFFFF"/>
        </w:rPr>
        <w:t>.</w:t>
      </w:r>
    </w:p>
  </w:footnote>
  <w:footnote w:id="53">
    <w:p w14:paraId="18B4DF6C" w14:textId="77777777" w:rsidR="00E6692A" w:rsidRPr="00296098" w:rsidRDefault="00E6692A" w:rsidP="00E6692A">
      <w:pPr>
        <w:jc w:val="both"/>
        <w:rPr>
          <w:rFonts w:asciiTheme="majorHAnsi" w:eastAsia="Times New Roman" w:hAnsiTheme="majorHAnsi"/>
          <w:sz w:val="16"/>
          <w:szCs w:val="16"/>
        </w:rPr>
      </w:pPr>
      <w:r w:rsidRPr="00BE6681">
        <w:rPr>
          <w:rStyle w:val="FootnoteReference"/>
          <w:rFonts w:asciiTheme="majorHAnsi" w:hAnsiTheme="majorHAnsi"/>
          <w:sz w:val="16"/>
          <w:szCs w:val="16"/>
        </w:rPr>
        <w:footnoteRef/>
      </w:r>
      <w:r w:rsidRPr="00296098">
        <w:rPr>
          <w:rFonts w:asciiTheme="majorHAnsi" w:hAnsiTheme="majorHAnsi"/>
          <w:sz w:val="16"/>
          <w:szCs w:val="16"/>
        </w:rPr>
        <w:t xml:space="preserve"> </w:t>
      </w:r>
      <w:r w:rsidRPr="008048EA">
        <w:rPr>
          <w:rFonts w:asciiTheme="majorHAnsi" w:hAnsiTheme="majorHAnsi"/>
          <w:sz w:val="16"/>
          <w:szCs w:val="16"/>
        </w:rPr>
        <w:t xml:space="preserve">I/A Court H.R., </w:t>
      </w:r>
      <w:r w:rsidRPr="008048EA">
        <w:rPr>
          <w:rFonts w:asciiTheme="majorHAnsi" w:hAnsiTheme="majorHAnsi"/>
          <w:i/>
          <w:iCs/>
          <w:sz w:val="16"/>
          <w:szCs w:val="16"/>
        </w:rPr>
        <w:t>Case of</w:t>
      </w:r>
      <w:r w:rsidRPr="008048EA">
        <w:rPr>
          <w:rFonts w:asciiTheme="majorHAnsi" w:eastAsia="Times New Roman" w:hAnsiTheme="majorHAnsi"/>
          <w:bCs/>
          <w:i/>
          <w:iCs/>
          <w:sz w:val="16"/>
          <w:szCs w:val="16"/>
          <w:shd w:val="clear" w:color="auto" w:fill="FFFFFF"/>
        </w:rPr>
        <w:t xml:space="preserve"> López Lone et al. v. Honduras</w:t>
      </w:r>
      <w:r w:rsidRPr="008048EA">
        <w:rPr>
          <w:rFonts w:asciiTheme="majorHAnsi" w:eastAsia="Times New Roman" w:hAnsiTheme="majorHAnsi"/>
          <w:bCs/>
          <w:sz w:val="16"/>
          <w:szCs w:val="16"/>
          <w:shd w:val="clear" w:color="auto" w:fill="FFFFFF"/>
        </w:rPr>
        <w:t>, Preliminary Object</w:t>
      </w:r>
      <w:r>
        <w:rPr>
          <w:rFonts w:asciiTheme="majorHAnsi" w:eastAsia="Times New Roman" w:hAnsiTheme="majorHAnsi"/>
          <w:bCs/>
          <w:sz w:val="16"/>
          <w:szCs w:val="16"/>
          <w:shd w:val="clear" w:color="auto" w:fill="FFFFFF"/>
        </w:rPr>
        <w:t xml:space="preserve">ion, Merits, Reparations, and Costs, Judgment of October 5, </w:t>
      </w:r>
      <w:r w:rsidRPr="008048EA">
        <w:rPr>
          <w:rFonts w:asciiTheme="majorHAnsi" w:eastAsia="Times New Roman" w:hAnsiTheme="majorHAnsi"/>
          <w:bCs/>
          <w:sz w:val="16"/>
          <w:szCs w:val="16"/>
          <w:shd w:val="clear" w:color="auto" w:fill="FFFFFF"/>
        </w:rPr>
        <w:t>2015</w:t>
      </w:r>
      <w:r>
        <w:rPr>
          <w:rFonts w:asciiTheme="majorHAnsi" w:eastAsia="Times New Roman" w:hAnsiTheme="majorHAnsi"/>
          <w:bCs/>
          <w:sz w:val="16"/>
          <w:szCs w:val="16"/>
          <w:shd w:val="clear" w:color="auto" w:fill="FFFFFF"/>
        </w:rPr>
        <w:t>,</w:t>
      </w:r>
      <w:r w:rsidRPr="008048EA">
        <w:rPr>
          <w:rFonts w:asciiTheme="majorHAnsi" w:eastAsia="Times New Roman" w:hAnsiTheme="majorHAnsi"/>
          <w:bCs/>
          <w:sz w:val="16"/>
          <w:szCs w:val="16"/>
          <w:shd w:val="clear" w:color="auto" w:fill="FFFFFF"/>
        </w:rPr>
        <w:t xml:space="preserve"> Series C No. 302, </w:t>
      </w:r>
      <w:r>
        <w:rPr>
          <w:rFonts w:asciiTheme="majorHAnsi" w:eastAsia="Times New Roman" w:hAnsiTheme="majorHAnsi"/>
          <w:bCs/>
          <w:sz w:val="16"/>
          <w:szCs w:val="16"/>
          <w:shd w:val="clear" w:color="auto" w:fill="FFFFFF"/>
        </w:rPr>
        <w:t>par</w:t>
      </w:r>
      <w:r w:rsidRPr="008048EA">
        <w:rPr>
          <w:rFonts w:asciiTheme="majorHAnsi" w:eastAsia="Times New Roman" w:hAnsiTheme="majorHAnsi"/>
          <w:bCs/>
          <w:sz w:val="16"/>
          <w:szCs w:val="16"/>
          <w:shd w:val="clear" w:color="auto" w:fill="FFFFFF"/>
        </w:rPr>
        <w:t>.</w:t>
      </w:r>
      <w:r w:rsidRPr="00296098">
        <w:rPr>
          <w:rFonts w:asciiTheme="majorHAnsi" w:eastAsia="Times New Roman" w:hAnsiTheme="majorHAnsi"/>
          <w:bCs/>
          <w:sz w:val="16"/>
          <w:szCs w:val="16"/>
          <w:shd w:val="clear" w:color="auto" w:fill="FFFFFF"/>
        </w:rPr>
        <w:t xml:space="preserve"> 192.</w:t>
      </w:r>
    </w:p>
  </w:footnote>
  <w:footnote w:id="54">
    <w:p w14:paraId="6DEBF0A6" w14:textId="77777777" w:rsidR="00E6692A" w:rsidRPr="00191D78" w:rsidRDefault="00E6692A" w:rsidP="00E6692A">
      <w:pPr>
        <w:jc w:val="both"/>
        <w:rPr>
          <w:rFonts w:asciiTheme="majorHAnsi" w:eastAsia="Times New Roman" w:hAnsiTheme="majorHAnsi"/>
          <w:sz w:val="16"/>
          <w:szCs w:val="16"/>
        </w:rPr>
      </w:pPr>
      <w:r w:rsidRPr="00BE6681">
        <w:rPr>
          <w:rStyle w:val="FootnoteReference"/>
          <w:rFonts w:asciiTheme="majorHAnsi" w:hAnsiTheme="majorHAnsi"/>
          <w:sz w:val="16"/>
          <w:szCs w:val="16"/>
        </w:rPr>
        <w:footnoteRef/>
      </w:r>
      <w:r w:rsidRPr="00296098">
        <w:rPr>
          <w:rFonts w:asciiTheme="majorHAnsi" w:hAnsiTheme="majorHAnsi"/>
          <w:sz w:val="16"/>
          <w:szCs w:val="16"/>
        </w:rPr>
        <w:t xml:space="preserve"> </w:t>
      </w:r>
      <w:r w:rsidRPr="008048EA">
        <w:rPr>
          <w:rFonts w:asciiTheme="majorHAnsi" w:hAnsiTheme="majorHAnsi"/>
          <w:sz w:val="16"/>
          <w:szCs w:val="16"/>
        </w:rPr>
        <w:t xml:space="preserve">I/A Court H.R., </w:t>
      </w:r>
      <w:r w:rsidRPr="008048EA">
        <w:rPr>
          <w:rFonts w:asciiTheme="majorHAnsi" w:hAnsiTheme="majorHAnsi"/>
          <w:i/>
          <w:iCs/>
          <w:sz w:val="16"/>
          <w:szCs w:val="16"/>
        </w:rPr>
        <w:t>Case of</w:t>
      </w:r>
      <w:r w:rsidRPr="008048EA">
        <w:rPr>
          <w:rFonts w:asciiTheme="majorHAnsi" w:eastAsia="Times New Roman" w:hAnsiTheme="majorHAnsi"/>
          <w:bCs/>
          <w:i/>
          <w:iCs/>
          <w:sz w:val="16"/>
          <w:szCs w:val="16"/>
          <w:shd w:val="clear" w:color="auto" w:fill="FFFFFF"/>
        </w:rPr>
        <w:t xml:space="preserve"> López Lone et al. v. Honduras</w:t>
      </w:r>
      <w:r w:rsidRPr="008048EA">
        <w:rPr>
          <w:rFonts w:asciiTheme="majorHAnsi" w:eastAsia="Times New Roman" w:hAnsiTheme="majorHAnsi"/>
          <w:bCs/>
          <w:sz w:val="16"/>
          <w:szCs w:val="16"/>
          <w:shd w:val="clear" w:color="auto" w:fill="FFFFFF"/>
        </w:rPr>
        <w:t>, Preliminary Object</w:t>
      </w:r>
      <w:r>
        <w:rPr>
          <w:rFonts w:asciiTheme="majorHAnsi" w:eastAsia="Times New Roman" w:hAnsiTheme="majorHAnsi"/>
          <w:bCs/>
          <w:sz w:val="16"/>
          <w:szCs w:val="16"/>
          <w:shd w:val="clear" w:color="auto" w:fill="FFFFFF"/>
        </w:rPr>
        <w:t xml:space="preserve">ion, Merits, Reparations, and Costs, Judgment of October 5, </w:t>
      </w:r>
      <w:r w:rsidRPr="008048EA">
        <w:rPr>
          <w:rFonts w:asciiTheme="majorHAnsi" w:eastAsia="Times New Roman" w:hAnsiTheme="majorHAnsi"/>
          <w:bCs/>
          <w:sz w:val="16"/>
          <w:szCs w:val="16"/>
          <w:shd w:val="clear" w:color="auto" w:fill="FFFFFF"/>
        </w:rPr>
        <w:t>2015</w:t>
      </w:r>
      <w:r>
        <w:rPr>
          <w:rFonts w:asciiTheme="majorHAnsi" w:eastAsia="Times New Roman" w:hAnsiTheme="majorHAnsi"/>
          <w:bCs/>
          <w:sz w:val="16"/>
          <w:szCs w:val="16"/>
          <w:shd w:val="clear" w:color="auto" w:fill="FFFFFF"/>
        </w:rPr>
        <w:t>,</w:t>
      </w:r>
      <w:r w:rsidRPr="008048EA">
        <w:rPr>
          <w:rFonts w:asciiTheme="majorHAnsi" w:eastAsia="Times New Roman" w:hAnsiTheme="majorHAnsi"/>
          <w:bCs/>
          <w:sz w:val="16"/>
          <w:szCs w:val="16"/>
          <w:shd w:val="clear" w:color="auto" w:fill="FFFFFF"/>
        </w:rPr>
        <w:t xml:space="preserve"> Series C </w:t>
      </w:r>
      <w:r w:rsidRPr="00191D78">
        <w:rPr>
          <w:rFonts w:asciiTheme="majorHAnsi" w:eastAsia="Times New Roman" w:hAnsiTheme="majorHAnsi"/>
          <w:bCs/>
          <w:sz w:val="16"/>
          <w:szCs w:val="16"/>
          <w:shd w:val="clear" w:color="auto" w:fill="FFFFFF"/>
        </w:rPr>
        <w:t>No. 302, par. 192.</w:t>
      </w:r>
    </w:p>
  </w:footnote>
  <w:footnote w:id="55">
    <w:p w14:paraId="0F7BF5E9" w14:textId="77777777" w:rsidR="00E6692A" w:rsidRPr="00191D78" w:rsidRDefault="00E6692A" w:rsidP="00E6692A">
      <w:pPr>
        <w:pStyle w:val="FootnoteText"/>
        <w:rPr>
          <w:lang w:val="pt-BR"/>
        </w:rPr>
      </w:pPr>
      <w:r w:rsidRPr="00191D78">
        <w:rPr>
          <w:rStyle w:val="FootnoteReference"/>
        </w:rPr>
        <w:footnoteRef/>
      </w:r>
      <w:r w:rsidRPr="00191D78">
        <w:t xml:space="preserve"> I/A Court H.R., </w:t>
      </w:r>
      <w:r w:rsidRPr="00191D78">
        <w:rPr>
          <w:i/>
          <w:iCs/>
        </w:rPr>
        <w:t>Case of</w:t>
      </w:r>
      <w:r w:rsidRPr="00191D78">
        <w:rPr>
          <w:rFonts w:eastAsia="Times New Roman"/>
          <w:bCs/>
          <w:i/>
          <w:iCs/>
          <w:shd w:val="clear" w:color="auto" w:fill="FFFFFF"/>
        </w:rPr>
        <w:t xml:space="preserve"> the Supreme Court of Justice (</w:t>
      </w:r>
      <w:r w:rsidRPr="00191D78">
        <w:rPr>
          <w:i/>
          <w:iCs/>
        </w:rPr>
        <w:t>Quintana Coello et al.) v. Ecuador</w:t>
      </w:r>
      <w:r w:rsidRPr="00191D78">
        <w:t xml:space="preserve">, Preliminary Objection, Merits, Reparations, and Costs, Judgment of August 23, 2013, </w:t>
      </w:r>
      <w:r w:rsidRPr="00191D78">
        <w:rPr>
          <w:lang w:val="pt-BR"/>
        </w:rPr>
        <w:t>Series C No. 266, par. 158.</w:t>
      </w:r>
    </w:p>
  </w:footnote>
  <w:footnote w:id="56">
    <w:p w14:paraId="2195AAD0" w14:textId="77777777" w:rsidR="00E6692A" w:rsidRPr="00191D78" w:rsidRDefault="00E6692A" w:rsidP="00E6692A">
      <w:pPr>
        <w:pStyle w:val="FootnoteText"/>
      </w:pPr>
      <w:r w:rsidRPr="00191D78">
        <w:rPr>
          <w:rStyle w:val="FootnoteReference"/>
        </w:rPr>
        <w:footnoteRef/>
      </w:r>
      <w:r w:rsidRPr="00191D78">
        <w:rPr>
          <w:rStyle w:val="FootnoteReference"/>
          <w:lang w:val="pt-BR"/>
        </w:rPr>
        <w:t xml:space="preserve"> </w:t>
      </w:r>
      <w:r w:rsidRPr="00191D78">
        <w:t xml:space="preserve">I/A Court H.R., </w:t>
      </w:r>
      <w:r w:rsidRPr="00191D78">
        <w:rPr>
          <w:i/>
          <w:iCs/>
          <w:noProof/>
          <w:lang w:val="pt-BR"/>
        </w:rPr>
        <w:t xml:space="preserve">Case of Barreto Leiva v. </w:t>
      </w:r>
      <w:r w:rsidRPr="00191D78">
        <w:rPr>
          <w:i/>
          <w:iCs/>
          <w:noProof/>
        </w:rPr>
        <w:t>Venezuela</w:t>
      </w:r>
      <w:r w:rsidRPr="00191D78">
        <w:rPr>
          <w:noProof/>
        </w:rPr>
        <w:t>, Merits, Reparations and Costs, Judgment of November 17, 2009, Series C No. 206, par. 75.</w:t>
      </w:r>
    </w:p>
  </w:footnote>
  <w:footnote w:id="57">
    <w:p w14:paraId="05C6A5C3" w14:textId="77777777" w:rsidR="00E6692A" w:rsidRPr="00BF34C3" w:rsidRDefault="00E6692A" w:rsidP="00E6692A">
      <w:pPr>
        <w:pStyle w:val="FootnoteText"/>
      </w:pPr>
      <w:r w:rsidRPr="00191D78">
        <w:rPr>
          <w:rStyle w:val="FootnoteReference"/>
        </w:rPr>
        <w:footnoteRef/>
      </w:r>
      <w:r w:rsidRPr="00191D78">
        <w:rPr>
          <w:rStyle w:val="FootnoteReference"/>
        </w:rPr>
        <w:t xml:space="preserve"> </w:t>
      </w:r>
      <w:r w:rsidRPr="00191D78">
        <w:t xml:space="preserve">I/A Court H.R., </w:t>
      </w:r>
      <w:r w:rsidRPr="00191D78">
        <w:rPr>
          <w:i/>
          <w:iCs/>
          <w:noProof/>
          <w:lang w:val="pt-BR"/>
        </w:rPr>
        <w:t xml:space="preserve">Case of Barreto Leiva v. </w:t>
      </w:r>
      <w:r w:rsidRPr="00191D78">
        <w:rPr>
          <w:i/>
          <w:iCs/>
          <w:noProof/>
        </w:rPr>
        <w:t>Venezuela</w:t>
      </w:r>
      <w:r w:rsidRPr="00191D78">
        <w:rPr>
          <w:noProof/>
        </w:rPr>
        <w:t>, Merits, Reparations and Costs, Judgment of November 17, 2009, Series C No. 206, par. 75.</w:t>
      </w:r>
    </w:p>
  </w:footnote>
  <w:footnote w:id="58">
    <w:p w14:paraId="30D1E629" w14:textId="77777777" w:rsidR="00E6692A" w:rsidRPr="00A661E8" w:rsidRDefault="00E6692A" w:rsidP="00E6692A">
      <w:pPr>
        <w:pStyle w:val="FootnoteText"/>
      </w:pPr>
      <w:r>
        <w:rPr>
          <w:rStyle w:val="FootnoteReference"/>
        </w:rPr>
        <w:footnoteRef/>
      </w:r>
      <w:r w:rsidRPr="00F03DDF">
        <w:t xml:space="preserve"> IACHR, Report No. 23/17, Case 12.311, Merits, Eduardo Benjamín Colindres, El Salvador, March 18, 2017, par. 56; </w:t>
      </w:r>
      <w:r w:rsidRPr="001B6EB4">
        <w:t>I/A Court H.R</w:t>
      </w:r>
      <w:r w:rsidRPr="00191D78">
        <w:t xml:space="preserve">., </w:t>
      </w:r>
      <w:r w:rsidRPr="00191D78">
        <w:rPr>
          <w:i/>
          <w:iCs/>
        </w:rPr>
        <w:t>Case of the Constitutional Tribunal (Camba Campos et al.) v. Ecuador</w:t>
      </w:r>
      <w:r w:rsidRPr="00191D78">
        <w:t>, Preliminary Objection, Merits, Reparations, and Costs, Judgment o</w:t>
      </w:r>
      <w:r>
        <w:t xml:space="preserve">f August 28, </w:t>
      </w:r>
      <w:r w:rsidRPr="00F03DDF">
        <w:t xml:space="preserve">2013. </w:t>
      </w:r>
      <w:r w:rsidRPr="00D848A4">
        <w:t>Serie</w:t>
      </w:r>
      <w:r>
        <w:t>s</w:t>
      </w:r>
      <w:r w:rsidRPr="00D848A4">
        <w:t xml:space="preserve"> C No</w:t>
      </w:r>
      <w:r>
        <w:t>,</w:t>
      </w:r>
      <w:r w:rsidRPr="00D848A4">
        <w:t xml:space="preserve"> 268, </w:t>
      </w:r>
      <w:r>
        <w:t>par</w:t>
      </w:r>
      <w:r w:rsidRPr="00D848A4">
        <w:t xml:space="preserve">. </w:t>
      </w:r>
      <w:r w:rsidRPr="00A661E8">
        <w:t>223</w:t>
      </w:r>
      <w:r>
        <w:t xml:space="preserve">, and </w:t>
      </w:r>
      <w:r w:rsidRPr="008048EA">
        <w:rPr>
          <w:i/>
          <w:iCs/>
        </w:rPr>
        <w:t>Case of</w:t>
      </w:r>
      <w:r w:rsidRPr="008048EA">
        <w:rPr>
          <w:rFonts w:eastAsia="Times New Roman"/>
          <w:bCs/>
          <w:i/>
          <w:iCs/>
          <w:shd w:val="clear" w:color="auto" w:fill="FFFFFF"/>
        </w:rPr>
        <w:t xml:space="preserve"> López Lone et al. v. Honduras</w:t>
      </w:r>
      <w:r w:rsidRPr="008048EA">
        <w:rPr>
          <w:rFonts w:eastAsia="Times New Roman"/>
          <w:bCs/>
          <w:shd w:val="clear" w:color="auto" w:fill="FFFFFF"/>
        </w:rPr>
        <w:t>, Preliminary Object</w:t>
      </w:r>
      <w:r>
        <w:rPr>
          <w:rFonts w:eastAsia="Times New Roman"/>
          <w:bCs/>
          <w:shd w:val="clear" w:color="auto" w:fill="FFFFFF"/>
        </w:rPr>
        <w:t xml:space="preserve">ion, Merits, Reparations, and Costs, Judgment of October 5, </w:t>
      </w:r>
      <w:r w:rsidRPr="008048EA">
        <w:rPr>
          <w:rFonts w:eastAsia="Times New Roman"/>
          <w:bCs/>
          <w:shd w:val="clear" w:color="auto" w:fill="FFFFFF"/>
        </w:rPr>
        <w:t>2015</w:t>
      </w:r>
      <w:r>
        <w:rPr>
          <w:rFonts w:eastAsia="Times New Roman"/>
          <w:bCs/>
          <w:shd w:val="clear" w:color="auto" w:fill="FFFFFF"/>
        </w:rPr>
        <w:t>,</w:t>
      </w:r>
      <w:r w:rsidRPr="008048EA">
        <w:rPr>
          <w:rFonts w:eastAsia="Times New Roman"/>
          <w:bCs/>
          <w:shd w:val="clear" w:color="auto" w:fill="FFFFFF"/>
        </w:rPr>
        <w:t xml:space="preserve"> Series C No. 302, </w:t>
      </w:r>
      <w:r>
        <w:rPr>
          <w:rFonts w:eastAsia="Times New Roman"/>
          <w:bCs/>
          <w:shd w:val="clear" w:color="auto" w:fill="FFFFFF"/>
        </w:rPr>
        <w:t>par</w:t>
      </w:r>
      <w:r w:rsidRPr="00A661E8">
        <w:t>. 241.</w:t>
      </w:r>
    </w:p>
  </w:footnote>
  <w:footnote w:id="59">
    <w:p w14:paraId="7F776ED5" w14:textId="77777777" w:rsidR="00E6692A" w:rsidRPr="001B6EB4" w:rsidRDefault="00E6692A" w:rsidP="00E6692A">
      <w:pPr>
        <w:pStyle w:val="FootnoteText"/>
        <w:rPr>
          <w:color w:val="auto"/>
        </w:rPr>
      </w:pPr>
      <w:r w:rsidRPr="00BE6681">
        <w:rPr>
          <w:rStyle w:val="FootnoteReference"/>
          <w:color w:val="auto"/>
        </w:rPr>
        <w:footnoteRef/>
      </w:r>
      <w:r w:rsidRPr="001B6EB4">
        <w:rPr>
          <w:color w:val="auto"/>
        </w:rPr>
        <w:t xml:space="preserve"> Article 9 of the Convention establishes</w:t>
      </w:r>
      <w:r>
        <w:rPr>
          <w:color w:val="auto"/>
        </w:rPr>
        <w:t>: “N</w:t>
      </w:r>
      <w:r w:rsidRPr="001B6EB4">
        <w:rPr>
          <w:color w:val="auto"/>
        </w:rPr>
        <w:t>o one shall be convicted of any act or omission that did not constitute a criminal offense, under the applicable law, a</w:t>
      </w:r>
      <w:r>
        <w:rPr>
          <w:color w:val="auto"/>
        </w:rPr>
        <w:t xml:space="preserve">t the time it was committed. </w:t>
      </w:r>
      <w:r w:rsidRPr="001B6EB4">
        <w:rPr>
          <w:color w:val="auto"/>
        </w:rPr>
        <w:t>A heavier penalty shall not be imposed than the one that was applicable at the time the criminal of</w:t>
      </w:r>
      <w:r>
        <w:rPr>
          <w:color w:val="auto"/>
        </w:rPr>
        <w:t xml:space="preserve">fense was committed. </w:t>
      </w:r>
      <w:r w:rsidRPr="001B6EB4">
        <w:rPr>
          <w:color w:val="auto"/>
        </w:rPr>
        <w:t>If subsequent to the commission of the offense the law provides for the imposition of a ligh</w:t>
      </w:r>
      <w:r>
        <w:rPr>
          <w:color w:val="auto"/>
        </w:rPr>
        <w:t>ter punishment, the guilty person shall benefit therefrom.</w:t>
      </w:r>
      <w:r w:rsidRPr="001B6EB4">
        <w:rPr>
          <w:color w:val="auto"/>
        </w:rPr>
        <w:t>”</w:t>
      </w:r>
    </w:p>
  </w:footnote>
  <w:footnote w:id="60">
    <w:p w14:paraId="23E3ED92" w14:textId="77777777" w:rsidR="00E6692A" w:rsidRPr="00870B06" w:rsidRDefault="00E6692A" w:rsidP="00E6692A">
      <w:pPr>
        <w:jc w:val="both"/>
        <w:rPr>
          <w:rFonts w:asciiTheme="majorHAnsi" w:hAnsiTheme="majorHAnsi"/>
          <w:sz w:val="16"/>
          <w:szCs w:val="16"/>
        </w:rPr>
      </w:pPr>
      <w:r w:rsidRPr="00BE6681">
        <w:rPr>
          <w:rStyle w:val="FootnoteReference"/>
          <w:rFonts w:asciiTheme="majorHAnsi" w:hAnsiTheme="majorHAnsi"/>
          <w:sz w:val="16"/>
          <w:szCs w:val="16"/>
        </w:rPr>
        <w:footnoteRef/>
      </w:r>
      <w:r w:rsidRPr="00652403">
        <w:rPr>
          <w:rFonts w:asciiTheme="majorHAnsi" w:hAnsiTheme="majorHAnsi"/>
          <w:sz w:val="16"/>
          <w:szCs w:val="16"/>
        </w:rPr>
        <w:t xml:space="preserve"> IACHR, </w:t>
      </w:r>
      <w:r w:rsidRPr="00652403">
        <w:rPr>
          <w:rFonts w:asciiTheme="majorHAnsi" w:hAnsiTheme="majorHAnsi"/>
          <w:i/>
          <w:iCs/>
          <w:sz w:val="16"/>
          <w:szCs w:val="16"/>
        </w:rPr>
        <w:t>Criminalization of the Work of Human Rights Defenders</w:t>
      </w:r>
      <w:r w:rsidRPr="00652403">
        <w:rPr>
          <w:rFonts w:asciiTheme="majorHAnsi" w:hAnsiTheme="majorHAnsi"/>
          <w:sz w:val="16"/>
          <w:szCs w:val="16"/>
        </w:rPr>
        <w:t xml:space="preserve">, OEA/Ser.L/V/Doc.49/15, </w:t>
      </w:r>
      <w:r>
        <w:rPr>
          <w:rFonts w:asciiTheme="majorHAnsi" w:hAnsiTheme="majorHAnsi"/>
          <w:sz w:val="16"/>
          <w:szCs w:val="16"/>
        </w:rPr>
        <w:t xml:space="preserve">December </w:t>
      </w:r>
      <w:r w:rsidRPr="00652403">
        <w:rPr>
          <w:rFonts w:asciiTheme="majorHAnsi" w:hAnsiTheme="majorHAnsi"/>
          <w:sz w:val="16"/>
          <w:szCs w:val="16"/>
        </w:rPr>
        <w:t>31</w:t>
      </w:r>
      <w:r>
        <w:rPr>
          <w:rFonts w:asciiTheme="majorHAnsi" w:hAnsiTheme="majorHAnsi"/>
          <w:sz w:val="16"/>
          <w:szCs w:val="16"/>
        </w:rPr>
        <w:t xml:space="preserve">, </w:t>
      </w:r>
      <w:r w:rsidRPr="00652403">
        <w:rPr>
          <w:rFonts w:asciiTheme="majorHAnsi" w:hAnsiTheme="majorHAnsi"/>
          <w:sz w:val="16"/>
          <w:szCs w:val="16"/>
        </w:rPr>
        <w:t>2015, p</w:t>
      </w:r>
      <w:r>
        <w:rPr>
          <w:rFonts w:asciiTheme="majorHAnsi" w:hAnsiTheme="majorHAnsi"/>
          <w:sz w:val="16"/>
          <w:szCs w:val="16"/>
        </w:rPr>
        <w:t>ar</w:t>
      </w:r>
      <w:r w:rsidRPr="00652403">
        <w:rPr>
          <w:rFonts w:asciiTheme="majorHAnsi" w:hAnsiTheme="majorHAnsi"/>
          <w:sz w:val="16"/>
          <w:szCs w:val="16"/>
        </w:rPr>
        <w:t xml:space="preserve">. </w:t>
      </w:r>
      <w:r w:rsidRPr="00870B06">
        <w:rPr>
          <w:rFonts w:asciiTheme="majorHAnsi" w:hAnsiTheme="majorHAnsi"/>
          <w:sz w:val="16"/>
          <w:szCs w:val="16"/>
        </w:rPr>
        <w:t>253.</w:t>
      </w:r>
    </w:p>
  </w:footnote>
  <w:footnote w:id="61">
    <w:p w14:paraId="7A1DCE2E" w14:textId="77777777" w:rsidR="00E6692A" w:rsidRPr="00D848A4" w:rsidRDefault="00E6692A" w:rsidP="00E6692A">
      <w:pPr>
        <w:pStyle w:val="FootnoteText"/>
        <w:tabs>
          <w:tab w:val="num" w:pos="0"/>
        </w:tabs>
      </w:pPr>
      <w:r w:rsidRPr="00BE6681">
        <w:rPr>
          <w:rStyle w:val="FootnoteReference"/>
          <w:color w:val="auto"/>
        </w:rPr>
        <w:footnoteRef/>
      </w:r>
      <w:r w:rsidRPr="00A661E8">
        <w:rPr>
          <w:color w:val="auto"/>
        </w:rPr>
        <w:t xml:space="preserve"> </w:t>
      </w:r>
      <w:r w:rsidRPr="008048EA">
        <w:t xml:space="preserve">I/A Court H.R., </w:t>
      </w:r>
      <w:r w:rsidRPr="008048EA">
        <w:rPr>
          <w:i/>
          <w:iCs/>
        </w:rPr>
        <w:t>Case of</w:t>
      </w:r>
      <w:r w:rsidRPr="008048EA">
        <w:rPr>
          <w:rFonts w:eastAsia="Times New Roman"/>
          <w:bCs/>
          <w:i/>
          <w:iCs/>
          <w:shd w:val="clear" w:color="auto" w:fill="FFFFFF"/>
        </w:rPr>
        <w:t xml:space="preserve"> López Lone et al. v. Honduras</w:t>
      </w:r>
      <w:r w:rsidRPr="008048EA">
        <w:rPr>
          <w:rFonts w:eastAsia="Times New Roman"/>
          <w:bCs/>
          <w:shd w:val="clear" w:color="auto" w:fill="FFFFFF"/>
        </w:rPr>
        <w:t>, Preliminary Object</w:t>
      </w:r>
      <w:r>
        <w:rPr>
          <w:rFonts w:eastAsia="Times New Roman"/>
          <w:bCs/>
          <w:shd w:val="clear" w:color="auto" w:fill="FFFFFF"/>
        </w:rPr>
        <w:t xml:space="preserve">ion, Merits, Reparations, and Costs, Judgment of October 5, </w:t>
      </w:r>
      <w:r w:rsidRPr="008048EA">
        <w:rPr>
          <w:rFonts w:eastAsia="Times New Roman"/>
          <w:bCs/>
          <w:shd w:val="clear" w:color="auto" w:fill="FFFFFF"/>
        </w:rPr>
        <w:t>2015</w:t>
      </w:r>
      <w:r>
        <w:rPr>
          <w:rFonts w:eastAsia="Times New Roman"/>
          <w:bCs/>
          <w:shd w:val="clear" w:color="auto" w:fill="FFFFFF"/>
        </w:rPr>
        <w:t>,</w:t>
      </w:r>
      <w:r w:rsidRPr="008048EA">
        <w:rPr>
          <w:rFonts w:eastAsia="Times New Roman"/>
          <w:bCs/>
          <w:shd w:val="clear" w:color="auto" w:fill="FFFFFF"/>
        </w:rPr>
        <w:t xml:space="preserve"> Series C No. 302, </w:t>
      </w:r>
      <w:r>
        <w:rPr>
          <w:rFonts w:eastAsia="Times New Roman"/>
          <w:bCs/>
          <w:shd w:val="clear" w:color="auto" w:fill="FFFFFF"/>
        </w:rPr>
        <w:t>par</w:t>
      </w:r>
      <w:r w:rsidRPr="008048EA">
        <w:rPr>
          <w:rFonts w:eastAsia="Times New Roman"/>
          <w:bCs/>
          <w:shd w:val="clear" w:color="auto" w:fill="FFFFFF"/>
        </w:rPr>
        <w:t xml:space="preserve">. </w:t>
      </w:r>
      <w:r>
        <w:rPr>
          <w:rFonts w:eastAsia="Times New Roman"/>
          <w:bCs/>
          <w:shd w:val="clear" w:color="auto" w:fill="FFFFFF"/>
        </w:rPr>
        <w:t xml:space="preserve">257; </w:t>
      </w:r>
      <w:r w:rsidRPr="00FC1041">
        <w:rPr>
          <w:i/>
          <w:iCs/>
          <w:color w:val="auto"/>
        </w:rPr>
        <w:t>Case of Maldonado Ordoñez v. Guatemala</w:t>
      </w:r>
      <w:r>
        <w:rPr>
          <w:color w:val="auto"/>
        </w:rPr>
        <w:t xml:space="preserve">, </w:t>
      </w:r>
      <w:r w:rsidRPr="008048EA">
        <w:rPr>
          <w:rFonts w:eastAsia="Times New Roman"/>
          <w:bCs/>
          <w:shd w:val="clear" w:color="auto" w:fill="FFFFFF"/>
        </w:rPr>
        <w:t>Preliminary Object</w:t>
      </w:r>
      <w:r>
        <w:rPr>
          <w:rFonts w:eastAsia="Times New Roman"/>
          <w:bCs/>
          <w:shd w:val="clear" w:color="auto" w:fill="FFFFFF"/>
        </w:rPr>
        <w:t>ion, Merits, Reparations, and Costs, Judgment of</w:t>
      </w:r>
      <w:r>
        <w:rPr>
          <w:color w:val="auto"/>
        </w:rPr>
        <w:t xml:space="preserve"> May</w:t>
      </w:r>
      <w:r w:rsidRPr="00870B06">
        <w:rPr>
          <w:color w:val="auto"/>
        </w:rPr>
        <w:t xml:space="preserve"> 3</w:t>
      </w:r>
      <w:r>
        <w:rPr>
          <w:color w:val="auto"/>
        </w:rPr>
        <w:t xml:space="preserve">, </w:t>
      </w:r>
      <w:r w:rsidRPr="00870B06">
        <w:rPr>
          <w:color w:val="auto"/>
        </w:rPr>
        <w:t>2016</w:t>
      </w:r>
      <w:r>
        <w:rPr>
          <w:color w:val="auto"/>
        </w:rPr>
        <w:t>,</w:t>
      </w:r>
      <w:r w:rsidRPr="00870B06">
        <w:rPr>
          <w:color w:val="auto"/>
        </w:rPr>
        <w:t xml:space="preserve"> </w:t>
      </w:r>
      <w:r w:rsidRPr="00D848A4">
        <w:rPr>
          <w:color w:val="auto"/>
        </w:rPr>
        <w:t>Serie</w:t>
      </w:r>
      <w:r>
        <w:rPr>
          <w:color w:val="auto"/>
        </w:rPr>
        <w:t>s</w:t>
      </w:r>
      <w:r w:rsidRPr="00D848A4">
        <w:rPr>
          <w:color w:val="auto"/>
        </w:rPr>
        <w:t xml:space="preserve"> C No. 311, </w:t>
      </w:r>
      <w:r>
        <w:rPr>
          <w:color w:val="auto"/>
        </w:rPr>
        <w:t>para</w:t>
      </w:r>
      <w:r w:rsidRPr="00D848A4">
        <w:rPr>
          <w:color w:val="auto"/>
        </w:rPr>
        <w:t xml:space="preserve">. </w:t>
      </w:r>
      <w:r w:rsidRPr="00A44E4B">
        <w:rPr>
          <w:color w:val="auto"/>
        </w:rPr>
        <w:t>89</w:t>
      </w:r>
      <w:r w:rsidRPr="00BE6681">
        <w:rPr>
          <w:color w:val="auto"/>
          <w:lang w:val="pt-BR"/>
        </w:rPr>
        <w:t xml:space="preserve">; </w:t>
      </w:r>
      <w:hyperlink r:id="rId10" w:history="1">
        <w:r w:rsidRPr="008340D4">
          <w:rPr>
            <w:rStyle w:val="Hyperlink"/>
            <w:rFonts w:cs="Arial"/>
            <w:i/>
            <w:iCs/>
            <w:color w:val="auto"/>
            <w:u w:val="none"/>
            <w:shd w:val="clear" w:color="auto" w:fill="FFFFFF"/>
          </w:rPr>
          <w:t>Case of Baena Ricardo et al. v. Panama</w:t>
        </w:r>
        <w:r>
          <w:rPr>
            <w:rStyle w:val="Hyperlink"/>
            <w:rFonts w:cs="Arial"/>
            <w:color w:val="auto"/>
            <w:u w:val="none"/>
            <w:shd w:val="clear" w:color="auto" w:fill="FFFFFF"/>
          </w:rPr>
          <w:t xml:space="preserve">, Merits, Reparations, and Costs, Judgment of February 2, </w:t>
        </w:r>
        <w:r w:rsidRPr="00F51BB3">
          <w:rPr>
            <w:rStyle w:val="Hyperlink"/>
            <w:rFonts w:cs="Arial"/>
            <w:color w:val="auto"/>
            <w:u w:val="none"/>
            <w:shd w:val="clear" w:color="auto" w:fill="FFFFFF"/>
          </w:rPr>
          <w:t>2001</w:t>
        </w:r>
        <w:r>
          <w:rPr>
            <w:rStyle w:val="Hyperlink"/>
            <w:rFonts w:cs="Arial"/>
            <w:color w:val="auto"/>
            <w:u w:val="none"/>
            <w:shd w:val="clear" w:color="auto" w:fill="FFFFFF"/>
          </w:rPr>
          <w:t>,</w:t>
        </w:r>
        <w:r w:rsidRPr="00F51BB3">
          <w:rPr>
            <w:rStyle w:val="Hyperlink"/>
            <w:rFonts w:cs="Arial"/>
            <w:color w:val="auto"/>
            <w:u w:val="none"/>
            <w:shd w:val="clear" w:color="auto" w:fill="FFFFFF"/>
          </w:rPr>
          <w:t xml:space="preserve"> Series C No. 72</w:t>
        </w:r>
      </w:hyperlink>
      <w:r w:rsidRPr="00F51BB3">
        <w:rPr>
          <w:color w:val="auto"/>
        </w:rPr>
        <w:t xml:space="preserve">, </w:t>
      </w:r>
      <w:r>
        <w:rPr>
          <w:color w:val="auto"/>
        </w:rPr>
        <w:t>paras</w:t>
      </w:r>
      <w:r w:rsidRPr="00F51BB3">
        <w:rPr>
          <w:color w:val="auto"/>
        </w:rPr>
        <w:t xml:space="preserve">. </w:t>
      </w:r>
      <w:r w:rsidRPr="00D848A4">
        <w:rPr>
          <w:color w:val="auto"/>
        </w:rPr>
        <w:t>106 and108.</w:t>
      </w:r>
    </w:p>
  </w:footnote>
  <w:footnote w:id="62">
    <w:p w14:paraId="647BBA3D" w14:textId="77777777" w:rsidR="00E6692A" w:rsidRPr="00A44E4B" w:rsidRDefault="00E6692A" w:rsidP="00E6692A">
      <w:pPr>
        <w:pStyle w:val="FootnoteText"/>
      </w:pPr>
      <w:r>
        <w:rPr>
          <w:rStyle w:val="FootnoteReference"/>
        </w:rPr>
        <w:footnoteRef/>
      </w:r>
      <w:r w:rsidRPr="00A44E4B">
        <w:t xml:space="preserve"> </w:t>
      </w:r>
      <w:r w:rsidRPr="00477508">
        <w:t xml:space="preserve">IACHR, </w:t>
      </w:r>
      <w:r w:rsidRPr="00477508">
        <w:rPr>
          <w:i/>
          <w:iCs/>
        </w:rPr>
        <w:t xml:space="preserve">Guarantees for the Independence of Justice Operators. </w:t>
      </w:r>
      <w:r w:rsidRPr="00D223B5">
        <w:rPr>
          <w:i/>
          <w:iCs/>
        </w:rPr>
        <w:t>Towards Strengthening Access to Justice and the Rule of Law in the Americas</w:t>
      </w:r>
      <w:r w:rsidRPr="00D223B5">
        <w:t xml:space="preserve">, December 5, 2013, </w:t>
      </w:r>
      <w:r>
        <w:t>par</w:t>
      </w:r>
      <w:r w:rsidRPr="00D223B5">
        <w:t xml:space="preserve">. </w:t>
      </w:r>
      <w:r w:rsidRPr="00A44E4B">
        <w:t>187.</w:t>
      </w:r>
    </w:p>
  </w:footnote>
  <w:footnote w:id="63">
    <w:p w14:paraId="79A495FE" w14:textId="77777777" w:rsidR="00E6692A" w:rsidRPr="00A44E4B" w:rsidRDefault="00E6692A" w:rsidP="00E6692A">
      <w:pPr>
        <w:pStyle w:val="FootnoteText"/>
      </w:pPr>
      <w:r w:rsidRPr="00BE6681">
        <w:rPr>
          <w:rStyle w:val="FootnoteReference"/>
        </w:rPr>
        <w:footnoteRef/>
      </w:r>
      <w:r w:rsidRPr="00A44E4B">
        <w:rPr>
          <w:rStyle w:val="FootnoteReference"/>
        </w:rPr>
        <w:t xml:space="preserve"> </w:t>
      </w:r>
      <w:r w:rsidRPr="00477508">
        <w:t xml:space="preserve">IACHR, </w:t>
      </w:r>
      <w:r w:rsidRPr="00477508">
        <w:rPr>
          <w:i/>
          <w:iCs/>
        </w:rPr>
        <w:t xml:space="preserve">Guarantees for the Independence of Justice Operators. </w:t>
      </w:r>
      <w:r w:rsidRPr="00D223B5">
        <w:rPr>
          <w:i/>
          <w:iCs/>
        </w:rPr>
        <w:t>Towards Strengthening Access to Justice and the Rule of Law in the Americas</w:t>
      </w:r>
      <w:r w:rsidRPr="00D223B5">
        <w:t xml:space="preserve">, December 5, 2013, </w:t>
      </w:r>
      <w:r>
        <w:t>par</w:t>
      </w:r>
      <w:r w:rsidRPr="00D223B5">
        <w:t xml:space="preserve">. </w:t>
      </w:r>
      <w:r w:rsidRPr="00A44E4B">
        <w:t>208.</w:t>
      </w:r>
    </w:p>
  </w:footnote>
  <w:footnote w:id="64">
    <w:p w14:paraId="3A1B1754" w14:textId="77777777" w:rsidR="00E6692A" w:rsidRPr="006D5C5B" w:rsidRDefault="00E6692A" w:rsidP="00E6692A">
      <w:pPr>
        <w:pStyle w:val="FootnoteText"/>
        <w:tabs>
          <w:tab w:val="num" w:pos="0"/>
        </w:tabs>
      </w:pPr>
      <w:r w:rsidRPr="00BE6681">
        <w:rPr>
          <w:rStyle w:val="FootnoteReference"/>
        </w:rPr>
        <w:footnoteRef/>
      </w:r>
      <w:r w:rsidRPr="006D5C5B">
        <w:t xml:space="preserve"> </w:t>
      </w:r>
      <w:r w:rsidRPr="008048EA">
        <w:t xml:space="preserve">I/A Court H.R., </w:t>
      </w:r>
      <w:r w:rsidRPr="00EB4AD2">
        <w:rPr>
          <w:i/>
        </w:rPr>
        <w:t>Case of Kimel v. Argentina</w:t>
      </w:r>
      <w:r>
        <w:t xml:space="preserve">, Judgment of May </w:t>
      </w:r>
      <w:r w:rsidRPr="006D5C5B">
        <w:t>2</w:t>
      </w:r>
      <w:r>
        <w:t xml:space="preserve">, </w:t>
      </w:r>
      <w:r w:rsidRPr="006D5C5B">
        <w:t>2008</w:t>
      </w:r>
      <w:r>
        <w:t xml:space="preserve">, </w:t>
      </w:r>
      <w:r w:rsidRPr="006D5C5B">
        <w:t>Serie</w:t>
      </w:r>
      <w:r>
        <w:t>s</w:t>
      </w:r>
      <w:r w:rsidRPr="006D5C5B">
        <w:t xml:space="preserve"> C No. 177, </w:t>
      </w:r>
      <w:r>
        <w:t>paras</w:t>
      </w:r>
      <w:r w:rsidRPr="006D5C5B">
        <w:t xml:space="preserve">. 59 </w:t>
      </w:r>
      <w:r>
        <w:t>and following</w:t>
      </w:r>
      <w:r w:rsidRPr="006D5C5B">
        <w:t>.</w:t>
      </w:r>
    </w:p>
  </w:footnote>
  <w:footnote w:id="65">
    <w:p w14:paraId="3C5AB447" w14:textId="77777777" w:rsidR="00E6692A" w:rsidRPr="00191D78" w:rsidRDefault="00E6692A" w:rsidP="00E6692A">
      <w:pPr>
        <w:pStyle w:val="FootnoteText"/>
        <w:rPr>
          <w:b/>
        </w:rPr>
      </w:pPr>
      <w:r w:rsidRPr="00107D0E">
        <w:rPr>
          <w:rStyle w:val="FootnoteReference"/>
          <w:bCs/>
        </w:rPr>
        <w:footnoteRef/>
      </w:r>
      <w:r w:rsidRPr="00716B45">
        <w:rPr>
          <w:b/>
        </w:rPr>
        <w:t xml:space="preserve"> </w:t>
      </w:r>
      <w:r w:rsidRPr="00477508">
        <w:t xml:space="preserve">IACHR, </w:t>
      </w:r>
      <w:r w:rsidRPr="00477508">
        <w:rPr>
          <w:i/>
          <w:iCs/>
        </w:rPr>
        <w:t xml:space="preserve">Guarantees for </w:t>
      </w:r>
      <w:r w:rsidRPr="00191D78">
        <w:rPr>
          <w:i/>
          <w:iCs/>
        </w:rPr>
        <w:t>the Independence of Justice Operators. Towards Strengthening Access to Justice and the Rule of Law in the Americas</w:t>
      </w:r>
      <w:r w:rsidRPr="00191D78">
        <w:t xml:space="preserve">, December 5, 2013, par. </w:t>
      </w:r>
      <w:r w:rsidRPr="00191D78">
        <w:rPr>
          <w:rStyle w:val="Strong"/>
          <w:shd w:val="clear" w:color="auto" w:fill="FFFFFF"/>
        </w:rPr>
        <w:t>217.</w:t>
      </w:r>
    </w:p>
  </w:footnote>
  <w:footnote w:id="66">
    <w:p w14:paraId="7EC2DB8F" w14:textId="77777777" w:rsidR="00E6692A" w:rsidRPr="00191D78" w:rsidRDefault="00E6692A" w:rsidP="00E6692A">
      <w:pPr>
        <w:pStyle w:val="FootnoteText"/>
      </w:pPr>
      <w:r w:rsidRPr="00191D78">
        <w:rPr>
          <w:rStyle w:val="FootnoteReference"/>
        </w:rPr>
        <w:footnoteRef/>
      </w:r>
      <w:r w:rsidRPr="00191D78">
        <w:t xml:space="preserve"> I/A Court H.R., </w:t>
      </w:r>
      <w:r w:rsidRPr="00191D78">
        <w:rPr>
          <w:i/>
          <w:iCs/>
        </w:rPr>
        <w:t>Case of</w:t>
      </w:r>
      <w:r w:rsidRPr="00191D78">
        <w:rPr>
          <w:rFonts w:eastAsia="Times New Roman"/>
          <w:bCs/>
          <w:i/>
          <w:iCs/>
          <w:shd w:val="clear" w:color="auto" w:fill="FFFFFF"/>
        </w:rPr>
        <w:t xml:space="preserve"> López Lone et al. v. Honduras</w:t>
      </w:r>
      <w:r w:rsidRPr="00191D78">
        <w:rPr>
          <w:rFonts w:eastAsia="Times New Roman"/>
          <w:bCs/>
          <w:shd w:val="clear" w:color="auto" w:fill="FFFFFF"/>
        </w:rPr>
        <w:t xml:space="preserve">, Preliminary Objection, Merits, Reparations, and Costs, Judgment of October 5, 2015, Series C No. 302, par. </w:t>
      </w:r>
      <w:r w:rsidRPr="00191D78">
        <w:rPr>
          <w:color w:val="auto"/>
        </w:rPr>
        <w:t>264.</w:t>
      </w:r>
    </w:p>
  </w:footnote>
  <w:footnote w:id="67">
    <w:p w14:paraId="146E0000" w14:textId="77777777" w:rsidR="00E6692A" w:rsidRPr="00DF7569" w:rsidRDefault="00E6692A" w:rsidP="00E6692A">
      <w:pPr>
        <w:pStyle w:val="FootnoteText"/>
      </w:pPr>
      <w:r w:rsidRPr="00191D78">
        <w:rPr>
          <w:rStyle w:val="FootnoteReference"/>
        </w:rPr>
        <w:footnoteRef/>
      </w:r>
      <w:r w:rsidRPr="00191D78">
        <w:t xml:space="preserve"> </w:t>
      </w:r>
      <w:hyperlink r:id="rId11" w:history="1">
        <w:r w:rsidRPr="00191D78">
          <w:t xml:space="preserve"> I/A Court H.R., </w:t>
        </w:r>
        <w:r w:rsidRPr="00191D78">
          <w:rPr>
            <w:i/>
            <w:iCs/>
          </w:rPr>
          <w:t>Case of</w:t>
        </w:r>
        <w:r w:rsidRPr="00191D78">
          <w:rPr>
            <w:rFonts w:eastAsia="Times New Roman"/>
            <w:bCs/>
            <w:i/>
            <w:iCs/>
            <w:shd w:val="clear" w:color="auto" w:fill="FFFFFF"/>
          </w:rPr>
          <w:t xml:space="preserve"> López</w:t>
        </w:r>
        <w:r w:rsidRPr="00191D78">
          <w:rPr>
            <w:rStyle w:val="Hyperlink"/>
            <w:rFonts w:cs="Arial"/>
            <w:i/>
            <w:iCs/>
            <w:color w:val="auto"/>
            <w:u w:val="none"/>
            <w:shd w:val="clear" w:color="auto" w:fill="FFFFFF"/>
          </w:rPr>
          <w:t xml:space="preserve"> Mendoza v. Venezuela</w:t>
        </w:r>
        <w:r w:rsidRPr="00191D78">
          <w:rPr>
            <w:rStyle w:val="Hyperlink"/>
            <w:rFonts w:cs="Arial"/>
            <w:color w:val="auto"/>
            <w:u w:val="none"/>
            <w:shd w:val="clear" w:color="auto" w:fill="FFFFFF"/>
          </w:rPr>
          <w:t>, Merits, Reparations, and Costs, Judgment of September 1, 2011, Series C No. 233</w:t>
        </w:r>
      </w:hyperlink>
      <w:r w:rsidRPr="00DF7569">
        <w:rPr>
          <w:color w:val="auto"/>
        </w:rPr>
        <w:t xml:space="preserve">, </w:t>
      </w:r>
      <w:r>
        <w:rPr>
          <w:color w:val="auto"/>
        </w:rPr>
        <w:t>par</w:t>
      </w:r>
      <w:r w:rsidRPr="00DF7569">
        <w:rPr>
          <w:color w:val="auto"/>
        </w:rPr>
        <w:t>. 202.</w:t>
      </w:r>
    </w:p>
  </w:footnote>
  <w:footnote w:id="68">
    <w:p w14:paraId="5B02CE00" w14:textId="77777777" w:rsidR="00E6692A" w:rsidRPr="001D21EE" w:rsidRDefault="00E6692A" w:rsidP="00E6692A">
      <w:pPr>
        <w:pStyle w:val="FootnoteText"/>
      </w:pPr>
      <w:r>
        <w:rPr>
          <w:rStyle w:val="FootnoteReference"/>
        </w:rPr>
        <w:footnoteRef/>
      </w:r>
      <w:r w:rsidRPr="00C22DDB">
        <w:t xml:space="preserve"> </w:t>
      </w:r>
      <w:r w:rsidRPr="00C22DDB">
        <w:rPr>
          <w:rFonts w:ascii="Cambria" w:hAnsi="Cambria"/>
        </w:rPr>
        <w:t xml:space="preserve">Article 8(2) of the Convention establishes, in its </w:t>
      </w:r>
      <w:r>
        <w:rPr>
          <w:rFonts w:ascii="Cambria" w:hAnsi="Cambria"/>
        </w:rPr>
        <w:t>pertinent</w:t>
      </w:r>
      <w:r w:rsidRPr="00C22DDB">
        <w:rPr>
          <w:rFonts w:ascii="Cambria" w:hAnsi="Cambria"/>
        </w:rPr>
        <w:t xml:space="preserve"> sections: </w:t>
      </w:r>
      <w:r>
        <w:rPr>
          <w:rFonts w:ascii="Cambria" w:hAnsi="Cambria"/>
        </w:rPr>
        <w:t>“</w:t>
      </w:r>
      <w:r w:rsidRPr="00C22DDB">
        <w:rPr>
          <w:rFonts w:ascii="Cambria" w:hAnsi="Cambria"/>
        </w:rPr>
        <w:t xml:space="preserve">Every person accused of a criminal offense has the right to be presumed innocent so long as his guilt has </w:t>
      </w:r>
      <w:r>
        <w:rPr>
          <w:rFonts w:ascii="Cambria" w:hAnsi="Cambria"/>
        </w:rPr>
        <w:t>not been proven according to law</w:t>
      </w:r>
      <w:r w:rsidRPr="00C22DDB">
        <w:rPr>
          <w:rFonts w:ascii="Cambria" w:hAnsi="Cambria"/>
        </w:rPr>
        <w:t xml:space="preserve">. </w:t>
      </w:r>
      <w:r w:rsidRPr="001D21EE">
        <w:rPr>
          <w:rFonts w:ascii="Cambria" w:hAnsi="Cambria"/>
        </w:rPr>
        <w:t>During the proceedings, every person is entitled, with full equality, to the following minimum guarantees: …b. prior notification in detail to the accused of the charges against him; c. adequate time and means for the preparation of his defense; d. the right of the accused to defend himself personally or to be assisted by legal counsel of his own choosing</w:t>
      </w:r>
      <w:r>
        <w:rPr>
          <w:rFonts w:ascii="Cambria" w:hAnsi="Cambria"/>
        </w:rPr>
        <w:t>, and to communicate freely and privately with his counsel….”</w:t>
      </w:r>
    </w:p>
  </w:footnote>
  <w:footnote w:id="69">
    <w:p w14:paraId="15A5B337" w14:textId="77777777" w:rsidR="00E6692A" w:rsidRPr="00541538" w:rsidRDefault="00E6692A" w:rsidP="00E6692A">
      <w:pPr>
        <w:pStyle w:val="FootnoteText"/>
      </w:pPr>
      <w:r>
        <w:rPr>
          <w:rStyle w:val="FootnoteReference"/>
        </w:rPr>
        <w:footnoteRef/>
      </w:r>
      <w:r w:rsidRPr="00541538">
        <w:t xml:space="preserve"> Article 8(1) of the Convention establishes: “Every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w:t>
      </w:r>
      <w:r>
        <w:t>a civil, labor, fiscal, or any other nature</w:t>
      </w:r>
      <w:r>
        <w:rPr>
          <w:rFonts w:cs="Tahoma"/>
        </w:rPr>
        <w:t>.”</w:t>
      </w:r>
    </w:p>
  </w:footnote>
  <w:footnote w:id="70">
    <w:p w14:paraId="10D8F6F6" w14:textId="77777777" w:rsidR="00E6692A" w:rsidRPr="00C961D2" w:rsidRDefault="00E6692A" w:rsidP="00E6692A">
      <w:pPr>
        <w:pStyle w:val="FootnoteText"/>
        <w:pBdr>
          <w:top w:val="none" w:sz="0" w:space="0" w:color="auto"/>
          <w:left w:val="none" w:sz="0" w:space="0" w:color="auto"/>
          <w:bottom w:val="none" w:sz="0" w:space="0" w:color="auto"/>
          <w:right w:val="none" w:sz="0" w:space="0" w:color="auto"/>
        </w:pBdr>
      </w:pPr>
      <w:r>
        <w:rPr>
          <w:vertAlign w:val="superscript"/>
        </w:rPr>
        <w:footnoteRef/>
      </w:r>
      <w:r w:rsidRPr="00B656CD">
        <w:t xml:space="preserve"> I/A Court H.R., </w:t>
      </w:r>
      <w:r w:rsidRPr="00FE18F0">
        <w:rPr>
          <w:i/>
          <w:iCs/>
        </w:rPr>
        <w:t>Juridical Condition and Rights of Undocumented Migrants</w:t>
      </w:r>
      <w:r>
        <w:t xml:space="preserve">, Advisory Opinion </w:t>
      </w:r>
      <w:r w:rsidRPr="00C961D2">
        <w:t>OC</w:t>
      </w:r>
      <w:r>
        <w:t>-</w:t>
      </w:r>
      <w:r w:rsidRPr="00C961D2">
        <w:t xml:space="preserve">18/03 </w:t>
      </w:r>
      <w:r>
        <w:t xml:space="preserve">of September </w:t>
      </w:r>
      <w:r w:rsidRPr="00C961D2">
        <w:t>17</w:t>
      </w:r>
      <w:r>
        <w:t xml:space="preserve">, </w:t>
      </w:r>
      <w:r w:rsidRPr="00C961D2">
        <w:t>2003</w:t>
      </w:r>
      <w:r>
        <w:t>,</w:t>
      </w:r>
      <w:r w:rsidRPr="00C961D2">
        <w:t xml:space="preserve"> Series A No. 18</w:t>
      </w:r>
      <w:r>
        <w:t xml:space="preserve">, par. </w:t>
      </w:r>
      <w:r w:rsidRPr="00C961D2">
        <w:t>121.</w:t>
      </w:r>
    </w:p>
  </w:footnote>
  <w:footnote w:id="71">
    <w:p w14:paraId="6E86F4C2" w14:textId="77777777" w:rsidR="00E6692A" w:rsidRPr="00432FEE" w:rsidRDefault="00E6692A" w:rsidP="00E6692A">
      <w:pPr>
        <w:pStyle w:val="FootnoteText"/>
        <w:pBdr>
          <w:top w:val="none" w:sz="0" w:space="0" w:color="auto"/>
          <w:left w:val="none" w:sz="0" w:space="0" w:color="auto"/>
          <w:bottom w:val="none" w:sz="0" w:space="0" w:color="auto"/>
          <w:right w:val="none" w:sz="0" w:space="0" w:color="auto"/>
        </w:pBdr>
      </w:pPr>
      <w:r>
        <w:rPr>
          <w:vertAlign w:val="superscript"/>
        </w:rPr>
        <w:footnoteRef/>
      </w:r>
      <w:r w:rsidRPr="00432FEE">
        <w:t xml:space="preserve"> </w:t>
      </w:r>
      <w:r w:rsidRPr="00477508">
        <w:t xml:space="preserve">IACHR, </w:t>
      </w:r>
      <w:r w:rsidRPr="00477508">
        <w:rPr>
          <w:i/>
          <w:iCs/>
        </w:rPr>
        <w:t xml:space="preserve">Guarantees for the Independence of Justice Operators. </w:t>
      </w:r>
      <w:r w:rsidRPr="00D223B5">
        <w:rPr>
          <w:i/>
          <w:iCs/>
        </w:rPr>
        <w:t>Towards Strengthening Access to Justice and the Rule of Law in the Americas</w:t>
      </w:r>
      <w:r w:rsidRPr="00D223B5">
        <w:t xml:space="preserve">, December 5, 2013, </w:t>
      </w:r>
      <w:r>
        <w:t>par</w:t>
      </w:r>
      <w:r w:rsidRPr="00432FEE">
        <w:rPr>
          <w:rFonts w:ascii="Cambria" w:hAnsi="Cambria"/>
        </w:rPr>
        <w:t>. 219.</w:t>
      </w:r>
    </w:p>
  </w:footnote>
  <w:footnote w:id="72">
    <w:p w14:paraId="4A68BBEC" w14:textId="77777777" w:rsidR="00E6692A" w:rsidRPr="00BB7BDC" w:rsidRDefault="00E6692A" w:rsidP="00E6692A">
      <w:pPr>
        <w:pStyle w:val="FootnoteText"/>
      </w:pPr>
      <w:r>
        <w:rPr>
          <w:rStyle w:val="FootnoteReference"/>
        </w:rPr>
        <w:footnoteRef/>
      </w:r>
      <w:r w:rsidRPr="00446A00">
        <w:t xml:space="preserve"> I/A Court H.R., </w:t>
      </w:r>
      <w:hyperlink r:id="rId12" w:history="1">
        <w:r w:rsidRPr="00191D78">
          <w:rPr>
            <w:rStyle w:val="Hyperlink"/>
            <w:rFonts w:cs="Arial"/>
            <w:i/>
            <w:iCs/>
            <w:color w:val="auto"/>
            <w:u w:val="none"/>
            <w:shd w:val="clear" w:color="auto" w:fill="FFFFFF"/>
          </w:rPr>
          <w:t>Case of the Constitutional Court v. Peru</w:t>
        </w:r>
        <w:r w:rsidRPr="00191D78">
          <w:rPr>
            <w:rStyle w:val="Hyperlink"/>
            <w:rFonts w:cs="Arial"/>
            <w:color w:val="auto"/>
            <w:u w:val="none"/>
            <w:shd w:val="clear" w:color="auto" w:fill="FFFFFF"/>
          </w:rPr>
          <w:t>, Merits, Reparations, and Costs, Judgment of January 31, 2001, Series C No. 71</w:t>
        </w:r>
      </w:hyperlink>
      <w:r w:rsidRPr="00191D78">
        <w:rPr>
          <w:color w:val="auto"/>
        </w:rPr>
        <w:t>,</w:t>
      </w:r>
      <w:r w:rsidRPr="00F51BB3">
        <w:rPr>
          <w:color w:val="auto"/>
        </w:rPr>
        <w:t xml:space="preserve"> </w:t>
      </w:r>
      <w:r>
        <w:rPr>
          <w:color w:val="auto"/>
        </w:rPr>
        <w:t>paras</w:t>
      </w:r>
      <w:r w:rsidRPr="00F51BB3">
        <w:rPr>
          <w:color w:val="auto"/>
        </w:rPr>
        <w:t xml:space="preserve">. </w:t>
      </w:r>
      <w:r>
        <w:rPr>
          <w:color w:val="auto"/>
        </w:rPr>
        <w:t>73-74</w:t>
      </w:r>
      <w:r w:rsidRPr="00BB7BDC">
        <w:t>.</w:t>
      </w:r>
    </w:p>
  </w:footnote>
  <w:footnote w:id="73">
    <w:p w14:paraId="2EFE39E8" w14:textId="77777777" w:rsidR="00E6692A" w:rsidRPr="00446A00" w:rsidRDefault="00E6692A" w:rsidP="00E6692A">
      <w:pPr>
        <w:pStyle w:val="FootnoteText"/>
      </w:pPr>
      <w:r>
        <w:rPr>
          <w:rStyle w:val="FootnoteReference"/>
        </w:rPr>
        <w:footnoteRef/>
      </w:r>
      <w:r w:rsidRPr="00446A00">
        <w:t xml:space="preserve"> European Commission for Democracy through Law (Venice Commission), Report on European Standards as regards the </w:t>
      </w:r>
      <w:r>
        <w:t>I</w:t>
      </w:r>
      <w:r w:rsidRPr="00446A00">
        <w:t>ndependence of</w:t>
      </w:r>
      <w:r>
        <w:t xml:space="preserve"> the Judicial System: Part II – The Prosecution Service. Adopted by the Venice Commission at its 85</w:t>
      </w:r>
      <w:r w:rsidRPr="00446A00">
        <w:rPr>
          <w:vertAlign w:val="superscript"/>
        </w:rPr>
        <w:t>th</w:t>
      </w:r>
      <w:r>
        <w:t xml:space="preserve"> plenary session (Venice, December 17-18, 2010), Strasbourg, January 3, 2011, par. </w:t>
      </w:r>
      <w:r w:rsidRPr="00446A00">
        <w:t>52.</w:t>
      </w:r>
    </w:p>
  </w:footnote>
  <w:footnote w:id="74">
    <w:p w14:paraId="6A0045B5" w14:textId="77777777" w:rsidR="00E6692A" w:rsidRPr="0098789A" w:rsidRDefault="00E6692A" w:rsidP="00E6692A">
      <w:pPr>
        <w:pStyle w:val="FootnoteText"/>
      </w:pPr>
      <w:r>
        <w:rPr>
          <w:rStyle w:val="FootnoteReference"/>
        </w:rPr>
        <w:footnoteRef/>
      </w:r>
      <w:r w:rsidRPr="0098789A">
        <w:t xml:space="preserve"> United Nations, Basic Principles on the Role of Lawyers, Eight</w:t>
      </w:r>
      <w:r>
        <w:t xml:space="preserve">h United Nations Congress on the Prevention of Crime and the Treatment of Defenders, Havana, August 27 to September 7, </w:t>
      </w:r>
      <w:r w:rsidRPr="0098789A">
        <w:t xml:space="preserve">1990, </w:t>
      </w:r>
      <w:r>
        <w:t>Principle</w:t>
      </w:r>
      <w:r w:rsidRPr="0098789A">
        <w:t xml:space="preserve"> 27.</w:t>
      </w:r>
    </w:p>
  </w:footnote>
  <w:footnote w:id="75">
    <w:p w14:paraId="277F1516" w14:textId="77777777" w:rsidR="00E6692A" w:rsidRPr="001C214F" w:rsidRDefault="00E6692A" w:rsidP="00E6692A">
      <w:pPr>
        <w:pStyle w:val="FootnoteText"/>
      </w:pPr>
      <w:r>
        <w:rPr>
          <w:rStyle w:val="FootnoteReference"/>
        </w:rPr>
        <w:footnoteRef/>
      </w:r>
      <w:r w:rsidRPr="001767F4">
        <w:t xml:space="preserve"> </w:t>
      </w:r>
      <w:r w:rsidRPr="00446A00">
        <w:t xml:space="preserve">I/A Court H.R., </w:t>
      </w:r>
      <w:hyperlink r:id="rId13" w:history="1">
        <w:r w:rsidRPr="00E4132B">
          <w:rPr>
            <w:rStyle w:val="Hyperlink"/>
            <w:rFonts w:cs="Arial"/>
            <w:i/>
            <w:iCs/>
            <w:color w:val="auto"/>
            <w:u w:val="none"/>
            <w:shd w:val="clear" w:color="auto" w:fill="FFFFFF"/>
          </w:rPr>
          <w:t>Case of the Constitutional Court v. Peru</w:t>
        </w:r>
        <w:r w:rsidRPr="00F51BB3">
          <w:rPr>
            <w:rStyle w:val="Hyperlink"/>
            <w:rFonts w:cs="Arial"/>
            <w:color w:val="auto"/>
            <w:u w:val="none"/>
            <w:shd w:val="clear" w:color="auto" w:fill="FFFFFF"/>
          </w:rPr>
          <w:t>, Merits, Reparations, and Costs, Judgment of January 31,</w:t>
        </w:r>
        <w:r>
          <w:rPr>
            <w:rStyle w:val="Hyperlink"/>
            <w:rFonts w:cs="Arial"/>
            <w:color w:val="auto"/>
            <w:u w:val="none"/>
            <w:shd w:val="clear" w:color="auto" w:fill="FFFFFF"/>
          </w:rPr>
          <w:t xml:space="preserve"> 2001, Series </w:t>
        </w:r>
        <w:r w:rsidRPr="00F51BB3">
          <w:rPr>
            <w:rStyle w:val="Hyperlink"/>
            <w:rFonts w:cs="Arial"/>
            <w:color w:val="auto"/>
            <w:u w:val="none"/>
            <w:shd w:val="clear" w:color="auto" w:fill="FFFFFF"/>
          </w:rPr>
          <w:t>C N</w:t>
        </w:r>
        <w:r w:rsidRPr="00602862">
          <w:rPr>
            <w:rStyle w:val="Hyperlink"/>
            <w:rFonts w:cs="Arial"/>
            <w:color w:val="auto"/>
            <w:u w:val="none"/>
            <w:shd w:val="clear" w:color="auto" w:fill="FFFFFF"/>
          </w:rPr>
          <w:t>o. 71</w:t>
        </w:r>
      </w:hyperlink>
      <w:r w:rsidRPr="00F51BB3">
        <w:rPr>
          <w:color w:val="auto"/>
        </w:rPr>
        <w:t xml:space="preserve">, </w:t>
      </w:r>
      <w:r>
        <w:rPr>
          <w:color w:val="auto"/>
        </w:rPr>
        <w:t>paras</w:t>
      </w:r>
      <w:r w:rsidRPr="00F51BB3">
        <w:rPr>
          <w:color w:val="auto"/>
        </w:rPr>
        <w:t>.</w:t>
      </w:r>
      <w:r w:rsidRPr="001767F4">
        <w:t xml:space="preserve"> </w:t>
      </w:r>
      <w:r w:rsidRPr="001C214F">
        <w:t>81-83.</w:t>
      </w:r>
    </w:p>
  </w:footnote>
  <w:footnote w:id="76">
    <w:p w14:paraId="5158A8C9" w14:textId="77777777" w:rsidR="00E6692A" w:rsidRPr="005B1710" w:rsidRDefault="00E6692A" w:rsidP="00E6692A">
      <w:pPr>
        <w:pStyle w:val="FootnoteText"/>
      </w:pPr>
      <w:r w:rsidRPr="00BE6681">
        <w:rPr>
          <w:rStyle w:val="FootnoteReference"/>
        </w:rPr>
        <w:footnoteRef/>
      </w:r>
      <w:r w:rsidRPr="005B1710">
        <w:t xml:space="preserve"> IACHR, Report No. 72/17, Case 13.019, Report on Merits, Eduardo Rico, Argentina, July </w:t>
      </w:r>
      <w:r>
        <w:t xml:space="preserve">5, </w:t>
      </w:r>
      <w:r w:rsidRPr="005B1710">
        <w:t xml:space="preserve">2017, par. 116; and I/A Court H.R., </w:t>
      </w:r>
      <w:r w:rsidRPr="00FC1041">
        <w:rPr>
          <w:i/>
          <w:iCs/>
          <w:color w:val="auto"/>
        </w:rPr>
        <w:t>Case of Maldonado Ordoñez v. Guatemala</w:t>
      </w:r>
      <w:r>
        <w:rPr>
          <w:color w:val="auto"/>
        </w:rPr>
        <w:t xml:space="preserve">, </w:t>
      </w:r>
      <w:r w:rsidRPr="008048EA">
        <w:rPr>
          <w:rFonts w:eastAsia="Times New Roman"/>
          <w:bCs/>
          <w:shd w:val="clear" w:color="auto" w:fill="FFFFFF"/>
        </w:rPr>
        <w:t>Preliminary Object</w:t>
      </w:r>
      <w:r>
        <w:rPr>
          <w:rFonts w:eastAsia="Times New Roman"/>
          <w:bCs/>
          <w:shd w:val="clear" w:color="auto" w:fill="FFFFFF"/>
        </w:rPr>
        <w:t>ion, Merits, Reparations, and Costs, Judgment of</w:t>
      </w:r>
      <w:r>
        <w:rPr>
          <w:color w:val="auto"/>
        </w:rPr>
        <w:t xml:space="preserve"> May</w:t>
      </w:r>
      <w:r w:rsidRPr="00870B06">
        <w:rPr>
          <w:color w:val="auto"/>
        </w:rPr>
        <w:t xml:space="preserve"> 3</w:t>
      </w:r>
      <w:r>
        <w:rPr>
          <w:color w:val="auto"/>
        </w:rPr>
        <w:t xml:space="preserve">, </w:t>
      </w:r>
      <w:r w:rsidRPr="00870B06">
        <w:rPr>
          <w:color w:val="auto"/>
        </w:rPr>
        <w:t>2016</w:t>
      </w:r>
      <w:r>
        <w:rPr>
          <w:color w:val="auto"/>
        </w:rPr>
        <w:t>,</w:t>
      </w:r>
      <w:r w:rsidRPr="00870B06">
        <w:rPr>
          <w:color w:val="auto"/>
        </w:rPr>
        <w:t xml:space="preserve"> </w:t>
      </w:r>
      <w:r w:rsidRPr="00D848A4">
        <w:rPr>
          <w:color w:val="auto"/>
        </w:rPr>
        <w:t>Serie</w:t>
      </w:r>
      <w:r>
        <w:rPr>
          <w:color w:val="auto"/>
        </w:rPr>
        <w:t>s</w:t>
      </w:r>
      <w:r w:rsidRPr="00D848A4">
        <w:rPr>
          <w:color w:val="auto"/>
        </w:rPr>
        <w:t xml:space="preserve"> C No. 311, </w:t>
      </w:r>
      <w:r>
        <w:rPr>
          <w:color w:val="auto"/>
        </w:rPr>
        <w:t xml:space="preserve">par. </w:t>
      </w:r>
      <w:r w:rsidRPr="005B1710">
        <w:rPr>
          <w:noProof/>
        </w:rPr>
        <w:t>87.</w:t>
      </w:r>
    </w:p>
  </w:footnote>
  <w:footnote w:id="77">
    <w:p w14:paraId="514FFEE9" w14:textId="77777777" w:rsidR="00E6692A" w:rsidRPr="009B11F7" w:rsidRDefault="00E6692A" w:rsidP="00E6692A">
      <w:pPr>
        <w:pStyle w:val="FootnoteText"/>
        <w:rPr>
          <w:rFonts w:ascii="Cambria" w:hAnsi="Cambria"/>
        </w:rPr>
      </w:pPr>
      <w:r w:rsidRPr="00791C0C">
        <w:rPr>
          <w:rStyle w:val="FootnoteReference"/>
          <w:rFonts w:ascii="Cambria" w:hAnsi="Cambria"/>
        </w:rPr>
        <w:footnoteRef/>
      </w:r>
      <w:r w:rsidRPr="009B11F7">
        <w:rPr>
          <w:rFonts w:ascii="Cambria" w:hAnsi="Cambria"/>
        </w:rPr>
        <w:t xml:space="preserve"> </w:t>
      </w:r>
      <w:r w:rsidRPr="005B1710">
        <w:t xml:space="preserve">I/A Court H.R., </w:t>
      </w:r>
      <w:r w:rsidRPr="00FC1041">
        <w:rPr>
          <w:i/>
          <w:iCs/>
          <w:color w:val="auto"/>
        </w:rPr>
        <w:t xml:space="preserve">Case of </w:t>
      </w:r>
      <w:r w:rsidRPr="009B11F7">
        <w:rPr>
          <w:rFonts w:ascii="Cambria" w:hAnsi="Cambria"/>
          <w:bCs/>
          <w:i/>
          <w:iCs/>
        </w:rPr>
        <w:t>Chocrón Chocrón v. Venezuela</w:t>
      </w:r>
      <w:r>
        <w:rPr>
          <w:rFonts w:ascii="Cambria" w:hAnsi="Cambria"/>
          <w:bCs/>
        </w:rPr>
        <w:t>,</w:t>
      </w:r>
      <w:r w:rsidRPr="009B11F7">
        <w:rPr>
          <w:rFonts w:ascii="Cambria" w:hAnsi="Cambria"/>
          <w:bCs/>
        </w:rPr>
        <w:t xml:space="preserve"> </w:t>
      </w:r>
      <w:r w:rsidRPr="008048EA">
        <w:rPr>
          <w:rFonts w:eastAsia="Times New Roman"/>
          <w:bCs/>
          <w:shd w:val="clear" w:color="auto" w:fill="FFFFFF"/>
        </w:rPr>
        <w:t>Preliminary Object</w:t>
      </w:r>
      <w:r>
        <w:rPr>
          <w:rFonts w:eastAsia="Times New Roman"/>
          <w:bCs/>
          <w:shd w:val="clear" w:color="auto" w:fill="FFFFFF"/>
        </w:rPr>
        <w:t>ion, Merits, Reparations, and Costs, Judgment of</w:t>
      </w:r>
      <w:r>
        <w:rPr>
          <w:color w:val="auto"/>
        </w:rPr>
        <w:t xml:space="preserve"> July 1,</w:t>
      </w:r>
      <w:r>
        <w:rPr>
          <w:rFonts w:ascii="Cambria" w:hAnsi="Cambria"/>
        </w:rPr>
        <w:t xml:space="preserve"> </w:t>
      </w:r>
      <w:r w:rsidRPr="009B11F7">
        <w:rPr>
          <w:rFonts w:ascii="Cambria" w:hAnsi="Cambria"/>
        </w:rPr>
        <w:t>2011</w:t>
      </w:r>
      <w:r>
        <w:rPr>
          <w:rFonts w:ascii="Cambria" w:hAnsi="Cambria"/>
        </w:rPr>
        <w:t>,</w:t>
      </w:r>
      <w:r w:rsidRPr="009B11F7">
        <w:rPr>
          <w:rFonts w:ascii="Cambria" w:hAnsi="Cambria"/>
        </w:rPr>
        <w:t xml:space="preserve"> Serie</w:t>
      </w:r>
      <w:r>
        <w:rPr>
          <w:rFonts w:ascii="Cambria" w:hAnsi="Cambria"/>
        </w:rPr>
        <w:t>s</w:t>
      </w:r>
      <w:r w:rsidRPr="009B11F7">
        <w:rPr>
          <w:rFonts w:ascii="Cambria" w:hAnsi="Cambria"/>
        </w:rPr>
        <w:t xml:space="preserve"> C No. 227, par. 118.</w:t>
      </w:r>
    </w:p>
  </w:footnote>
  <w:footnote w:id="78">
    <w:p w14:paraId="04F30CF6" w14:textId="77777777" w:rsidR="00E6692A" w:rsidRPr="00360AEA" w:rsidRDefault="00E6692A" w:rsidP="00E6692A">
      <w:pPr>
        <w:pStyle w:val="FootnoteText"/>
        <w:rPr>
          <w:rFonts w:ascii="Cambria" w:hAnsi="Cambria"/>
        </w:rPr>
      </w:pPr>
      <w:r w:rsidRPr="00791C0C">
        <w:rPr>
          <w:rStyle w:val="FootnoteReference"/>
          <w:rFonts w:ascii="Cambria" w:hAnsi="Cambria"/>
        </w:rPr>
        <w:footnoteRef/>
      </w:r>
      <w:r w:rsidRPr="00360AEA">
        <w:rPr>
          <w:rFonts w:ascii="Cambria" w:hAnsi="Cambria"/>
        </w:rPr>
        <w:t xml:space="preserve"> </w:t>
      </w:r>
      <w:r w:rsidRPr="005B1710">
        <w:t xml:space="preserve">I/A Court H.R., </w:t>
      </w:r>
      <w:r w:rsidRPr="00FC1041">
        <w:rPr>
          <w:i/>
          <w:iCs/>
          <w:color w:val="auto"/>
        </w:rPr>
        <w:t xml:space="preserve">Case of </w:t>
      </w:r>
      <w:r w:rsidRPr="009B11F7">
        <w:rPr>
          <w:rFonts w:ascii="Cambria" w:hAnsi="Cambria"/>
          <w:bCs/>
          <w:i/>
          <w:iCs/>
        </w:rPr>
        <w:t>Chocrón Chocrón v. Venezuela</w:t>
      </w:r>
      <w:r>
        <w:rPr>
          <w:rFonts w:ascii="Cambria" w:hAnsi="Cambria"/>
          <w:bCs/>
        </w:rPr>
        <w:t>,</w:t>
      </w:r>
      <w:r w:rsidRPr="009B11F7">
        <w:rPr>
          <w:rFonts w:ascii="Cambria" w:hAnsi="Cambria"/>
          <w:bCs/>
        </w:rPr>
        <w:t xml:space="preserve"> </w:t>
      </w:r>
      <w:r w:rsidRPr="008048EA">
        <w:rPr>
          <w:rFonts w:eastAsia="Times New Roman"/>
          <w:bCs/>
          <w:shd w:val="clear" w:color="auto" w:fill="FFFFFF"/>
        </w:rPr>
        <w:t>Preliminary Object</w:t>
      </w:r>
      <w:r>
        <w:rPr>
          <w:rFonts w:eastAsia="Times New Roman"/>
          <w:bCs/>
          <w:shd w:val="clear" w:color="auto" w:fill="FFFFFF"/>
        </w:rPr>
        <w:t>ion, Merits, Reparations, and Costs, Judgment of</w:t>
      </w:r>
      <w:r>
        <w:rPr>
          <w:color w:val="auto"/>
        </w:rPr>
        <w:t xml:space="preserve"> July 1,</w:t>
      </w:r>
      <w:r>
        <w:rPr>
          <w:rFonts w:ascii="Cambria" w:hAnsi="Cambria"/>
        </w:rPr>
        <w:t xml:space="preserve"> </w:t>
      </w:r>
      <w:r w:rsidRPr="009B11F7">
        <w:rPr>
          <w:rFonts w:ascii="Cambria" w:hAnsi="Cambria"/>
        </w:rPr>
        <w:t>2011</w:t>
      </w:r>
      <w:r>
        <w:rPr>
          <w:rFonts w:ascii="Cambria" w:hAnsi="Cambria"/>
        </w:rPr>
        <w:t>,</w:t>
      </w:r>
      <w:r w:rsidRPr="009B11F7">
        <w:rPr>
          <w:rFonts w:ascii="Cambria" w:hAnsi="Cambria"/>
        </w:rPr>
        <w:t xml:space="preserve"> Serie</w:t>
      </w:r>
      <w:r>
        <w:rPr>
          <w:rFonts w:ascii="Cambria" w:hAnsi="Cambria"/>
        </w:rPr>
        <w:t>s</w:t>
      </w:r>
      <w:r w:rsidRPr="009B11F7">
        <w:rPr>
          <w:rFonts w:ascii="Cambria" w:hAnsi="Cambria"/>
        </w:rPr>
        <w:t xml:space="preserve"> C No. 227, par. </w:t>
      </w:r>
      <w:r w:rsidRPr="00360AEA">
        <w:rPr>
          <w:rFonts w:ascii="Cambria" w:hAnsi="Cambria"/>
        </w:rPr>
        <w:t xml:space="preserve">120. </w:t>
      </w:r>
    </w:p>
  </w:footnote>
  <w:footnote w:id="79">
    <w:p w14:paraId="7B44E473" w14:textId="77777777" w:rsidR="00E6692A" w:rsidRPr="00360AEA" w:rsidRDefault="00E6692A" w:rsidP="00E6692A">
      <w:pPr>
        <w:pStyle w:val="FootnoteText"/>
        <w:rPr>
          <w:rFonts w:ascii="Cambria" w:hAnsi="Cambria"/>
          <w:b/>
        </w:rPr>
      </w:pPr>
      <w:r w:rsidRPr="00791C0C">
        <w:rPr>
          <w:rStyle w:val="FootnoteReference"/>
          <w:rFonts w:ascii="Cambria" w:hAnsi="Cambria"/>
        </w:rPr>
        <w:footnoteRef/>
      </w:r>
      <w:r w:rsidRPr="00360AEA">
        <w:rPr>
          <w:rFonts w:ascii="Cambria" w:hAnsi="Cambria"/>
        </w:rPr>
        <w:t xml:space="preserve"> </w:t>
      </w:r>
      <w:r w:rsidRPr="005B1710">
        <w:t xml:space="preserve">I/A Court H.R., </w:t>
      </w:r>
      <w:r w:rsidRPr="00FC1041">
        <w:rPr>
          <w:i/>
          <w:iCs/>
          <w:color w:val="auto"/>
        </w:rPr>
        <w:t xml:space="preserve">Case of </w:t>
      </w:r>
      <w:r w:rsidRPr="009B11F7">
        <w:rPr>
          <w:rFonts w:ascii="Cambria" w:hAnsi="Cambria"/>
          <w:bCs/>
          <w:i/>
          <w:iCs/>
        </w:rPr>
        <w:t>Chocrón Chocrón v. Venezuela</w:t>
      </w:r>
      <w:r>
        <w:rPr>
          <w:rFonts w:ascii="Cambria" w:hAnsi="Cambria"/>
          <w:bCs/>
        </w:rPr>
        <w:t>,</w:t>
      </w:r>
      <w:r w:rsidRPr="009B11F7">
        <w:rPr>
          <w:rFonts w:ascii="Cambria" w:hAnsi="Cambria"/>
          <w:bCs/>
        </w:rPr>
        <w:t xml:space="preserve"> </w:t>
      </w:r>
      <w:r w:rsidRPr="008048EA">
        <w:rPr>
          <w:rFonts w:eastAsia="Times New Roman"/>
          <w:bCs/>
          <w:shd w:val="clear" w:color="auto" w:fill="FFFFFF"/>
        </w:rPr>
        <w:t>Preliminary Object</w:t>
      </w:r>
      <w:r>
        <w:rPr>
          <w:rFonts w:eastAsia="Times New Roman"/>
          <w:bCs/>
          <w:shd w:val="clear" w:color="auto" w:fill="FFFFFF"/>
        </w:rPr>
        <w:t>ion, Merits, Reparations, and Costs, Judgment of</w:t>
      </w:r>
      <w:r>
        <w:rPr>
          <w:color w:val="auto"/>
        </w:rPr>
        <w:t xml:space="preserve"> July 1,</w:t>
      </w:r>
      <w:r>
        <w:rPr>
          <w:rFonts w:ascii="Cambria" w:hAnsi="Cambria"/>
        </w:rPr>
        <w:t xml:space="preserve"> </w:t>
      </w:r>
      <w:r w:rsidRPr="009B11F7">
        <w:rPr>
          <w:rFonts w:ascii="Cambria" w:hAnsi="Cambria"/>
        </w:rPr>
        <w:t>2011</w:t>
      </w:r>
      <w:r>
        <w:rPr>
          <w:rFonts w:ascii="Cambria" w:hAnsi="Cambria"/>
        </w:rPr>
        <w:t>,</w:t>
      </w:r>
      <w:r w:rsidRPr="009B11F7">
        <w:rPr>
          <w:rFonts w:ascii="Cambria" w:hAnsi="Cambria"/>
        </w:rPr>
        <w:t xml:space="preserve"> Serie</w:t>
      </w:r>
      <w:r>
        <w:rPr>
          <w:rFonts w:ascii="Cambria" w:hAnsi="Cambria"/>
        </w:rPr>
        <w:t>s</w:t>
      </w:r>
      <w:r w:rsidRPr="009B11F7">
        <w:rPr>
          <w:rFonts w:ascii="Cambria" w:hAnsi="Cambria"/>
        </w:rPr>
        <w:t xml:space="preserve"> C No. 227, par. </w:t>
      </w:r>
      <w:r w:rsidRPr="00360AEA">
        <w:rPr>
          <w:rFonts w:ascii="Cambria" w:hAnsi="Cambria"/>
        </w:rPr>
        <w:t xml:space="preserve">120. </w:t>
      </w:r>
    </w:p>
  </w:footnote>
  <w:footnote w:id="80">
    <w:p w14:paraId="1CFCFAA1" w14:textId="77777777" w:rsidR="00E6692A" w:rsidRPr="00722254" w:rsidRDefault="00E6692A" w:rsidP="00E6692A">
      <w:pPr>
        <w:tabs>
          <w:tab w:val="left" w:pos="720"/>
        </w:tabs>
        <w:jc w:val="both"/>
        <w:rPr>
          <w:rFonts w:asciiTheme="majorHAnsi" w:hAnsiTheme="majorHAnsi"/>
          <w:sz w:val="16"/>
          <w:szCs w:val="16"/>
        </w:rPr>
      </w:pPr>
      <w:r w:rsidRPr="00BE6681">
        <w:rPr>
          <w:rStyle w:val="FootnoteReference"/>
          <w:rFonts w:asciiTheme="majorHAnsi" w:hAnsiTheme="majorHAnsi"/>
          <w:sz w:val="16"/>
          <w:szCs w:val="16"/>
        </w:rPr>
        <w:footnoteRef/>
      </w:r>
      <w:r w:rsidRPr="00722254">
        <w:rPr>
          <w:rFonts w:asciiTheme="majorHAnsi" w:hAnsiTheme="majorHAnsi"/>
          <w:sz w:val="16"/>
          <w:szCs w:val="16"/>
        </w:rPr>
        <w:t xml:space="preserve"> Article 25(1) of the Convention establishes: “Everyone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w:t>
      </w:r>
      <w:r>
        <w:rPr>
          <w:rFonts w:asciiTheme="majorHAnsi" w:hAnsiTheme="majorHAnsi"/>
          <w:sz w:val="16"/>
          <w:szCs w:val="16"/>
        </w:rPr>
        <w:t xml:space="preserve"> in the course of their official duties.”</w:t>
      </w:r>
    </w:p>
  </w:footnote>
  <w:footnote w:id="81">
    <w:p w14:paraId="3027A6DD" w14:textId="77777777" w:rsidR="00E6692A" w:rsidRPr="00967EE8" w:rsidRDefault="00E6692A" w:rsidP="00E6692A">
      <w:pPr>
        <w:pStyle w:val="FootnoteText"/>
      </w:pPr>
      <w:r>
        <w:rPr>
          <w:rStyle w:val="FootnoteReference"/>
        </w:rPr>
        <w:footnoteRef/>
      </w:r>
      <w:r w:rsidRPr="00530C3C">
        <w:t xml:space="preserve"> </w:t>
      </w:r>
      <w:r w:rsidRPr="00541538">
        <w:t xml:space="preserve">Article 8(1) of the Convention establishes: “Every person has the right to </w:t>
      </w:r>
      <w:r w:rsidRPr="00967EE8">
        <w:t>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r w:rsidRPr="00967EE8">
        <w:rPr>
          <w:rFonts w:cs="Tahoma"/>
        </w:rPr>
        <w:t>.”</w:t>
      </w:r>
    </w:p>
  </w:footnote>
  <w:footnote w:id="82">
    <w:p w14:paraId="7C3944D9" w14:textId="77777777" w:rsidR="00E6692A" w:rsidRPr="00967EE8" w:rsidRDefault="00E6692A" w:rsidP="00E6692A">
      <w:pPr>
        <w:tabs>
          <w:tab w:val="left" w:pos="180"/>
          <w:tab w:val="left" w:pos="900"/>
          <w:tab w:val="left" w:pos="1080"/>
        </w:tabs>
        <w:jc w:val="both"/>
        <w:rPr>
          <w:rFonts w:asciiTheme="majorHAnsi" w:hAnsiTheme="majorHAnsi"/>
          <w:sz w:val="16"/>
          <w:szCs w:val="16"/>
        </w:rPr>
      </w:pPr>
      <w:r w:rsidRPr="00967EE8">
        <w:rPr>
          <w:rStyle w:val="FootnoteReference"/>
          <w:rFonts w:asciiTheme="majorHAnsi" w:hAnsiTheme="majorHAnsi"/>
          <w:sz w:val="16"/>
          <w:szCs w:val="16"/>
        </w:rPr>
        <w:footnoteRef/>
      </w:r>
      <w:r w:rsidRPr="00967EE8">
        <w:rPr>
          <w:rFonts w:asciiTheme="majorHAnsi" w:hAnsiTheme="majorHAnsi"/>
          <w:color w:val="000000"/>
          <w:sz w:val="16"/>
          <w:szCs w:val="16"/>
        </w:rPr>
        <w:t xml:space="preserve">I/A Court H.R., </w:t>
      </w:r>
      <w:r w:rsidRPr="00967EE8">
        <w:rPr>
          <w:rFonts w:asciiTheme="majorHAnsi" w:hAnsiTheme="majorHAnsi"/>
          <w:i/>
          <w:iCs/>
          <w:color w:val="000000"/>
          <w:sz w:val="16"/>
          <w:szCs w:val="16"/>
        </w:rPr>
        <w:t xml:space="preserve">Case of the Dismissed Congressional Employees </w:t>
      </w:r>
      <w:r w:rsidRPr="00967EE8">
        <w:rPr>
          <w:rFonts w:asciiTheme="majorHAnsi" w:hAnsiTheme="majorHAnsi"/>
          <w:bCs/>
          <w:i/>
          <w:iCs/>
          <w:color w:val="000000"/>
          <w:sz w:val="16"/>
          <w:szCs w:val="16"/>
        </w:rPr>
        <w:t>(Aguado Alfaro et al.) v. Peru</w:t>
      </w:r>
      <w:r w:rsidRPr="00967EE8">
        <w:rPr>
          <w:rFonts w:asciiTheme="majorHAnsi" w:hAnsiTheme="majorHAnsi"/>
          <w:bCs/>
          <w:color w:val="000000"/>
          <w:sz w:val="16"/>
          <w:szCs w:val="16"/>
        </w:rPr>
        <w:t xml:space="preserve">, </w:t>
      </w:r>
      <w:r w:rsidRPr="00967EE8">
        <w:rPr>
          <w:rFonts w:asciiTheme="majorHAnsi" w:hAnsiTheme="majorHAnsi"/>
          <w:color w:val="000000"/>
          <w:sz w:val="16"/>
          <w:szCs w:val="16"/>
        </w:rPr>
        <w:t xml:space="preserve">Preliminary Objections, Merits, Reparations, and Costs, Judgment of November 24, 2006, Series C No. 158, par. 125; </w:t>
      </w:r>
      <w:r w:rsidRPr="00967EE8">
        <w:rPr>
          <w:rFonts w:asciiTheme="majorHAnsi" w:hAnsiTheme="majorHAnsi"/>
          <w:i/>
          <w:iCs/>
          <w:color w:val="000000"/>
          <w:sz w:val="16"/>
          <w:szCs w:val="16"/>
        </w:rPr>
        <w:t>Case of the</w:t>
      </w:r>
      <w:r w:rsidRPr="00967EE8">
        <w:rPr>
          <w:rFonts w:asciiTheme="majorHAnsi" w:hAnsiTheme="majorHAnsi"/>
          <w:bCs/>
          <w:i/>
          <w:iCs/>
          <w:color w:val="000000"/>
          <w:sz w:val="16"/>
          <w:szCs w:val="16"/>
        </w:rPr>
        <w:t xml:space="preserve"> Yakye Axa Indigenous Community v. Paraguay</w:t>
      </w:r>
      <w:r w:rsidRPr="00967EE8">
        <w:rPr>
          <w:rFonts w:asciiTheme="majorHAnsi" w:hAnsiTheme="majorHAnsi"/>
          <w:bCs/>
          <w:color w:val="000000"/>
          <w:sz w:val="16"/>
          <w:szCs w:val="16"/>
        </w:rPr>
        <w:t>, Merits, Reparations, and Costs, Judgment of June</w:t>
      </w:r>
      <w:r w:rsidRPr="00967EE8">
        <w:rPr>
          <w:rFonts w:asciiTheme="majorHAnsi" w:hAnsiTheme="majorHAnsi"/>
          <w:color w:val="000000"/>
          <w:sz w:val="16"/>
          <w:szCs w:val="16"/>
        </w:rPr>
        <w:t xml:space="preserve"> 17, 2005, Series C No. 125</w:t>
      </w:r>
      <w:r w:rsidRPr="00967EE8">
        <w:rPr>
          <w:rFonts w:asciiTheme="majorHAnsi" w:hAnsiTheme="majorHAnsi"/>
          <w:sz w:val="16"/>
          <w:szCs w:val="16"/>
        </w:rPr>
        <w:t xml:space="preserve">, par. 62; </w:t>
      </w:r>
      <w:r w:rsidRPr="00967EE8">
        <w:rPr>
          <w:rFonts w:asciiTheme="majorHAnsi" w:hAnsiTheme="majorHAnsi"/>
          <w:bCs/>
          <w:i/>
          <w:iCs/>
          <w:color w:val="000000"/>
          <w:sz w:val="16"/>
          <w:szCs w:val="16"/>
        </w:rPr>
        <w:t>Case of the “Five Pensioners” v. Peru</w:t>
      </w:r>
      <w:r w:rsidRPr="00967EE8">
        <w:rPr>
          <w:rFonts w:asciiTheme="majorHAnsi" w:hAnsiTheme="majorHAnsi"/>
          <w:bCs/>
          <w:color w:val="000000"/>
          <w:sz w:val="16"/>
          <w:szCs w:val="16"/>
        </w:rPr>
        <w:t>, Merits, Reparations, and Costs, Judgment of February</w:t>
      </w:r>
      <w:r w:rsidRPr="00967EE8">
        <w:rPr>
          <w:rFonts w:asciiTheme="majorHAnsi" w:hAnsiTheme="majorHAnsi"/>
          <w:color w:val="000000"/>
          <w:sz w:val="16"/>
          <w:szCs w:val="16"/>
        </w:rPr>
        <w:t xml:space="preserve"> 28, 2003, Series C No. 98, par. </w:t>
      </w:r>
      <w:r w:rsidRPr="00967EE8">
        <w:rPr>
          <w:rFonts w:asciiTheme="majorHAnsi" w:hAnsiTheme="majorHAnsi"/>
          <w:sz w:val="16"/>
          <w:szCs w:val="16"/>
        </w:rPr>
        <w:t>136.</w:t>
      </w:r>
    </w:p>
  </w:footnote>
  <w:footnote w:id="83">
    <w:p w14:paraId="3C132D7F" w14:textId="77777777" w:rsidR="00E6692A" w:rsidRPr="00967EE8" w:rsidRDefault="00E6692A" w:rsidP="00E6692A">
      <w:pPr>
        <w:pStyle w:val="FootnoteText"/>
        <w:pBdr>
          <w:top w:val="none" w:sz="0" w:space="0" w:color="auto"/>
          <w:left w:val="none" w:sz="0" w:space="0" w:color="auto"/>
          <w:bottom w:val="none" w:sz="0" w:space="0" w:color="auto"/>
          <w:right w:val="none" w:sz="0" w:space="0" w:color="auto"/>
        </w:pBdr>
      </w:pPr>
      <w:r w:rsidRPr="00967EE8">
        <w:rPr>
          <w:vertAlign w:val="superscript"/>
        </w:rPr>
        <w:footnoteRef/>
      </w:r>
      <w:r w:rsidRPr="00967EE8">
        <w:t xml:space="preserve"> I/A Court H.R., </w:t>
      </w:r>
      <w:r w:rsidRPr="00967EE8">
        <w:rPr>
          <w:i/>
          <w:iCs/>
          <w:noProof/>
          <w:lang w:val="pt-BR"/>
        </w:rPr>
        <w:t xml:space="preserve">Case of Barreto Leiva v. </w:t>
      </w:r>
      <w:r w:rsidRPr="00967EE8">
        <w:rPr>
          <w:i/>
          <w:iCs/>
          <w:noProof/>
        </w:rPr>
        <w:t>Venezuela</w:t>
      </w:r>
      <w:r w:rsidRPr="00967EE8">
        <w:rPr>
          <w:noProof/>
        </w:rPr>
        <w:t>, Merits, Reparations and Costs, Judgment of November 17, 2009, Series C No. 206, par.</w:t>
      </w:r>
      <w:r w:rsidRPr="00967EE8">
        <w:t xml:space="preserve"> 75.</w:t>
      </w:r>
    </w:p>
  </w:footnote>
  <w:footnote w:id="84">
    <w:p w14:paraId="46C533EF" w14:textId="77777777" w:rsidR="00E6692A" w:rsidRPr="00967EE8" w:rsidRDefault="00E6692A" w:rsidP="00E6692A">
      <w:pPr>
        <w:pStyle w:val="FootnoteText"/>
        <w:pBdr>
          <w:top w:val="none" w:sz="0" w:space="0" w:color="auto"/>
          <w:left w:val="none" w:sz="0" w:space="0" w:color="auto"/>
          <w:bottom w:val="none" w:sz="0" w:space="0" w:color="auto"/>
          <w:right w:val="none" w:sz="0" w:space="0" w:color="auto"/>
        </w:pBdr>
      </w:pPr>
      <w:r w:rsidRPr="00967EE8">
        <w:rPr>
          <w:vertAlign w:val="superscript"/>
        </w:rPr>
        <w:footnoteRef/>
      </w:r>
      <w:r w:rsidRPr="00967EE8">
        <w:t xml:space="preserve"> I/A Court H.R., </w:t>
      </w:r>
      <w:r w:rsidRPr="00967EE8">
        <w:rPr>
          <w:i/>
          <w:iCs/>
          <w:noProof/>
          <w:lang w:val="pt-BR"/>
        </w:rPr>
        <w:t xml:space="preserve">Case of </w:t>
      </w:r>
      <w:r w:rsidRPr="00967EE8">
        <w:rPr>
          <w:i/>
          <w:iCs/>
        </w:rPr>
        <w:t>Apitz Barbera et al. (“First Court of Administrative Disputes”) v. Venezuela</w:t>
      </w:r>
      <w:r w:rsidRPr="00967EE8">
        <w:t>, Preliminary Objection, Merits, Reparations, and Costs, Judgment of</w:t>
      </w:r>
      <w:r w:rsidRPr="00967EE8">
        <w:rPr>
          <w:rFonts w:ascii="Cambria" w:hAnsi="Cambria"/>
          <w:color w:val="auto"/>
        </w:rPr>
        <w:t xml:space="preserve"> August 5, 2008, Series C No 182</w:t>
      </w:r>
      <w:r w:rsidRPr="00967EE8">
        <w:t xml:space="preserve">, par. 55, and </w:t>
      </w:r>
      <w:r w:rsidRPr="00967EE8">
        <w:rPr>
          <w:i/>
          <w:iCs/>
        </w:rPr>
        <w:t>Case of the Constitutional Tribunal (Camba Campos et al.) v. Ecuador</w:t>
      </w:r>
      <w:r w:rsidRPr="00967EE8">
        <w:t>, Preliminary Objection, Merits, Reparations, and Costs, Judgment of August 28, 2013. Series C No, 268, par. 188.</w:t>
      </w:r>
    </w:p>
  </w:footnote>
  <w:footnote w:id="85">
    <w:p w14:paraId="166626A7" w14:textId="77777777" w:rsidR="00E6692A" w:rsidRPr="00967EE8" w:rsidRDefault="00E6692A" w:rsidP="00E6692A">
      <w:pPr>
        <w:pStyle w:val="FootnoteText"/>
        <w:pBdr>
          <w:top w:val="none" w:sz="0" w:space="0" w:color="auto"/>
          <w:left w:val="none" w:sz="0" w:space="0" w:color="auto"/>
          <w:bottom w:val="none" w:sz="0" w:space="0" w:color="auto"/>
          <w:right w:val="none" w:sz="0" w:space="0" w:color="auto"/>
        </w:pBdr>
        <w:rPr>
          <w:lang w:val="pt-BR"/>
        </w:rPr>
      </w:pPr>
      <w:r w:rsidRPr="00967EE8">
        <w:rPr>
          <w:vertAlign w:val="superscript"/>
        </w:rPr>
        <w:footnoteRef/>
      </w:r>
      <w:r w:rsidRPr="00967EE8">
        <w:t xml:space="preserve"> I/A Court H.R., </w:t>
      </w:r>
      <w:r w:rsidRPr="00967EE8">
        <w:rPr>
          <w:i/>
          <w:iCs/>
        </w:rPr>
        <w:t>Case of Reverón Trujillo v. Venezuela</w:t>
      </w:r>
      <w:r w:rsidRPr="00967EE8">
        <w:t>, Preliminary Objection, Merits, Reparations, and Costs, Judgment of June 30, 2009, Series C No. 197, par. 114, and</w:t>
      </w:r>
      <w:r w:rsidRPr="00967EE8">
        <w:rPr>
          <w:i/>
          <w:iCs/>
          <w:color w:val="auto"/>
        </w:rPr>
        <w:t xml:space="preserve"> Case of </w:t>
      </w:r>
      <w:r w:rsidRPr="00967EE8">
        <w:rPr>
          <w:rFonts w:ascii="Cambria" w:hAnsi="Cambria"/>
          <w:bCs/>
          <w:i/>
          <w:iCs/>
        </w:rPr>
        <w:t>Chocrón Chocrón v. Venezuela</w:t>
      </w:r>
      <w:r w:rsidRPr="00967EE8">
        <w:rPr>
          <w:rFonts w:ascii="Cambria" w:hAnsi="Cambria"/>
          <w:bCs/>
        </w:rPr>
        <w:t xml:space="preserve">, </w:t>
      </w:r>
      <w:r w:rsidRPr="00967EE8">
        <w:rPr>
          <w:rFonts w:eastAsia="Times New Roman"/>
          <w:bCs/>
          <w:shd w:val="clear" w:color="auto" w:fill="FFFFFF"/>
        </w:rPr>
        <w:t>Preliminary Objection, Merits, Reparations, and Costs, Judgment of</w:t>
      </w:r>
      <w:r w:rsidRPr="00967EE8">
        <w:rPr>
          <w:color w:val="auto"/>
        </w:rPr>
        <w:t xml:space="preserve"> July 1,</w:t>
      </w:r>
      <w:r w:rsidRPr="00967EE8">
        <w:rPr>
          <w:rFonts w:ascii="Cambria" w:hAnsi="Cambria"/>
        </w:rPr>
        <w:t xml:space="preserve"> 2011, Series C No. 227, par. </w:t>
      </w:r>
      <w:r w:rsidRPr="00967EE8">
        <w:rPr>
          <w:lang w:val="pt-BR"/>
        </w:rPr>
        <w:t>103.</w:t>
      </w:r>
    </w:p>
  </w:footnote>
  <w:footnote w:id="86">
    <w:p w14:paraId="67E58B70" w14:textId="77777777" w:rsidR="00E6692A" w:rsidRPr="00710354" w:rsidRDefault="00E6692A" w:rsidP="00E6692A">
      <w:pPr>
        <w:pStyle w:val="FootnoteText"/>
        <w:pBdr>
          <w:top w:val="none" w:sz="0" w:space="0" w:color="auto"/>
          <w:left w:val="none" w:sz="0" w:space="0" w:color="auto"/>
          <w:bottom w:val="none" w:sz="0" w:space="0" w:color="auto"/>
          <w:right w:val="none" w:sz="0" w:space="0" w:color="auto"/>
        </w:pBdr>
      </w:pPr>
      <w:r w:rsidRPr="00967EE8">
        <w:rPr>
          <w:rFonts w:ascii="Cambria" w:hAnsi="Cambria"/>
          <w:vertAlign w:val="superscript"/>
        </w:rPr>
        <w:footnoteRef/>
      </w:r>
      <w:r w:rsidRPr="00967EE8">
        <w:rPr>
          <w:rFonts w:ascii="Cambria" w:hAnsi="Cambria"/>
          <w:lang w:val="pt-BR"/>
        </w:rPr>
        <w:t xml:space="preserve"> </w:t>
      </w:r>
      <w:r w:rsidRPr="00967EE8">
        <w:rPr>
          <w:lang w:val="pt-BR"/>
        </w:rPr>
        <w:t xml:space="preserve">I/A Court H.R., </w:t>
      </w:r>
      <w:r w:rsidRPr="00967EE8">
        <w:rPr>
          <w:i/>
          <w:iCs/>
          <w:lang w:val="pt-BR"/>
        </w:rPr>
        <w:t xml:space="preserve">Case of </w:t>
      </w:r>
      <w:r w:rsidRPr="00967EE8">
        <w:rPr>
          <w:rFonts w:ascii="Cambria" w:hAnsi="Cambria"/>
          <w:i/>
          <w:iCs/>
          <w:lang w:val="pt-BR"/>
        </w:rPr>
        <w:t>Palamara Iribarne v. Chile</w:t>
      </w:r>
      <w:r w:rsidRPr="00967EE8">
        <w:rPr>
          <w:rFonts w:ascii="Cambria" w:hAnsi="Cambria"/>
          <w:lang w:val="pt-BR"/>
        </w:rPr>
        <w:t>, Merits, Reparations, and Costs, Judgment</w:t>
      </w:r>
      <w:r>
        <w:rPr>
          <w:rFonts w:ascii="Cambria" w:hAnsi="Cambria"/>
          <w:lang w:val="pt-BR"/>
        </w:rPr>
        <w:t xml:space="preserve"> of November </w:t>
      </w:r>
      <w:r w:rsidRPr="00710354">
        <w:rPr>
          <w:rFonts w:ascii="Cambria" w:hAnsi="Cambria"/>
          <w:lang w:val="pt-BR"/>
        </w:rPr>
        <w:t>22</w:t>
      </w:r>
      <w:r>
        <w:rPr>
          <w:rFonts w:ascii="Cambria" w:hAnsi="Cambria"/>
          <w:lang w:val="pt-BR"/>
        </w:rPr>
        <w:t xml:space="preserve">, </w:t>
      </w:r>
      <w:r w:rsidRPr="00710354">
        <w:rPr>
          <w:rFonts w:ascii="Cambria" w:hAnsi="Cambria"/>
          <w:lang w:val="pt-BR"/>
        </w:rPr>
        <w:t>2005</w:t>
      </w:r>
      <w:r>
        <w:rPr>
          <w:rFonts w:ascii="Cambria" w:hAnsi="Cambria"/>
          <w:lang w:val="pt-BR"/>
        </w:rPr>
        <w:t>,</w:t>
      </w:r>
      <w:r w:rsidRPr="00710354">
        <w:rPr>
          <w:rFonts w:ascii="Cambria" w:hAnsi="Cambria"/>
          <w:lang w:val="pt-BR"/>
        </w:rPr>
        <w:t xml:space="preserve"> </w:t>
      </w:r>
      <w:r w:rsidRPr="00710354">
        <w:rPr>
          <w:rFonts w:ascii="Cambria" w:hAnsi="Cambria"/>
        </w:rPr>
        <w:t>Series C No. 135, p</w:t>
      </w:r>
      <w:r>
        <w:rPr>
          <w:rFonts w:ascii="Cambria" w:hAnsi="Cambria"/>
        </w:rPr>
        <w:t>ar</w:t>
      </w:r>
      <w:r w:rsidRPr="00710354">
        <w:rPr>
          <w:rFonts w:ascii="Cambria" w:hAnsi="Cambria"/>
        </w:rPr>
        <w:t>. 146.</w:t>
      </w:r>
    </w:p>
  </w:footnote>
  <w:footnote w:id="87">
    <w:p w14:paraId="6C233F6C" w14:textId="77777777" w:rsidR="00E6692A" w:rsidRPr="008C3944" w:rsidRDefault="00E6692A" w:rsidP="00E6692A">
      <w:pPr>
        <w:pBdr>
          <w:top w:val="none" w:sz="0" w:space="0" w:color="auto"/>
          <w:left w:val="none" w:sz="0" w:space="0" w:color="auto"/>
          <w:bottom w:val="none" w:sz="0" w:space="0" w:color="auto"/>
          <w:right w:val="none" w:sz="0" w:space="0" w:color="auto"/>
        </w:pBdr>
        <w:jc w:val="both"/>
      </w:pPr>
      <w:r w:rsidRPr="001E3078">
        <w:rPr>
          <w:rFonts w:ascii="Cambria" w:hAnsi="Cambria"/>
          <w:sz w:val="16"/>
          <w:szCs w:val="16"/>
          <w:vertAlign w:val="superscript"/>
        </w:rPr>
        <w:footnoteRef/>
      </w:r>
      <w:r w:rsidRPr="008C3944">
        <w:rPr>
          <w:rFonts w:ascii="Cambria" w:hAnsi="Cambria"/>
          <w:sz w:val="16"/>
          <w:szCs w:val="16"/>
        </w:rPr>
        <w:t xml:space="preserve"> See European Court of Human Rights, </w:t>
      </w:r>
      <w:r w:rsidRPr="008C3944">
        <w:rPr>
          <w:rFonts w:ascii="Cambria" w:hAnsi="Cambria"/>
          <w:i/>
          <w:iCs/>
          <w:sz w:val="16"/>
          <w:szCs w:val="16"/>
        </w:rPr>
        <w:t>Case of Thomann v. Switzerland</w:t>
      </w:r>
      <w:r w:rsidRPr="008C3944">
        <w:rPr>
          <w:rFonts w:ascii="Cambria" w:hAnsi="Cambria"/>
          <w:sz w:val="16"/>
          <w:szCs w:val="16"/>
        </w:rPr>
        <w:t>, Judgm</w:t>
      </w:r>
      <w:r>
        <w:rPr>
          <w:rFonts w:ascii="Cambria" w:hAnsi="Cambria"/>
          <w:sz w:val="16"/>
          <w:szCs w:val="16"/>
        </w:rPr>
        <w:t xml:space="preserve">ent of June 10, </w:t>
      </w:r>
      <w:r w:rsidRPr="008C3944">
        <w:rPr>
          <w:rFonts w:ascii="Cambria" w:hAnsi="Cambria"/>
          <w:sz w:val="16"/>
          <w:szCs w:val="16"/>
        </w:rPr>
        <w:t>1996, § 30.</w:t>
      </w:r>
    </w:p>
  </w:footnote>
  <w:footnote w:id="88">
    <w:p w14:paraId="1F44F61E" w14:textId="77777777" w:rsidR="00E6692A" w:rsidRPr="006963DB" w:rsidRDefault="00E6692A" w:rsidP="00E6692A">
      <w:pPr>
        <w:tabs>
          <w:tab w:val="left" w:pos="1440"/>
        </w:tabs>
        <w:jc w:val="both"/>
        <w:rPr>
          <w:rFonts w:asciiTheme="majorHAnsi" w:hAnsiTheme="majorHAnsi"/>
          <w:sz w:val="16"/>
          <w:szCs w:val="16"/>
        </w:rPr>
      </w:pPr>
      <w:r w:rsidRPr="00BE6681">
        <w:rPr>
          <w:rStyle w:val="FootnoteReference"/>
          <w:rFonts w:asciiTheme="majorHAnsi" w:hAnsiTheme="majorHAnsi"/>
          <w:sz w:val="16"/>
          <w:szCs w:val="16"/>
        </w:rPr>
        <w:footnoteRef/>
      </w:r>
      <w:r w:rsidRPr="006963DB">
        <w:rPr>
          <w:rFonts w:asciiTheme="majorHAnsi" w:hAnsiTheme="majorHAnsi"/>
          <w:sz w:val="16"/>
          <w:szCs w:val="16"/>
        </w:rPr>
        <w:t xml:space="preserve"> Article 23 of the American Convention (“Right to Participate in Government”) establishes, </w:t>
      </w:r>
      <w:r>
        <w:rPr>
          <w:rFonts w:asciiTheme="majorHAnsi" w:hAnsiTheme="majorHAnsi"/>
          <w:sz w:val="16"/>
          <w:szCs w:val="16"/>
        </w:rPr>
        <w:t xml:space="preserve">in its pertinent sections: “1. Every citizen shall enjoy the following rights and opportunities… </w:t>
      </w:r>
      <w:r w:rsidRPr="006963DB">
        <w:rPr>
          <w:rFonts w:asciiTheme="majorHAnsi" w:hAnsiTheme="majorHAnsi"/>
          <w:sz w:val="16"/>
          <w:szCs w:val="16"/>
        </w:rPr>
        <w:t xml:space="preserve">c. </w:t>
      </w:r>
      <w:r>
        <w:rPr>
          <w:rFonts w:asciiTheme="majorHAnsi" w:eastAsia="Times New Roman" w:hAnsiTheme="majorHAnsi"/>
          <w:sz w:val="16"/>
          <w:szCs w:val="16"/>
        </w:rPr>
        <w:t xml:space="preserve">to have access, under general conditions of equality, to the public service of his country. </w:t>
      </w:r>
      <w:r w:rsidRPr="006963DB">
        <w:rPr>
          <w:rFonts w:asciiTheme="majorHAnsi" w:eastAsia="Times New Roman" w:hAnsiTheme="majorHAnsi"/>
          <w:sz w:val="16"/>
          <w:szCs w:val="16"/>
        </w:rPr>
        <w:t>2. The law may regulate the exercise of the rights and opportu</w:t>
      </w:r>
      <w:r>
        <w:rPr>
          <w:rFonts w:asciiTheme="majorHAnsi" w:eastAsia="Times New Roman" w:hAnsiTheme="majorHAnsi"/>
          <w:sz w:val="16"/>
          <w:szCs w:val="16"/>
        </w:rPr>
        <w:t>nities referred to in the preceding paragraph only on the basis of age, nationality, residence, language, education, civil and mental capacity, or sentencing by a competent court in criminal proceedings.”</w:t>
      </w:r>
      <w:r w:rsidRPr="006963DB">
        <w:rPr>
          <w:rFonts w:asciiTheme="majorHAnsi" w:eastAsia="Times New Roman" w:hAnsiTheme="majorHAnsi"/>
          <w:sz w:val="16"/>
          <w:szCs w:val="16"/>
        </w:rPr>
        <w:t xml:space="preserve"> </w:t>
      </w:r>
    </w:p>
  </w:footnote>
  <w:footnote w:id="89">
    <w:p w14:paraId="33A29552" w14:textId="77777777" w:rsidR="00E6692A" w:rsidRPr="007A5ED1" w:rsidRDefault="00E6692A" w:rsidP="00E6692A">
      <w:pPr>
        <w:pStyle w:val="FootnoteText"/>
        <w:rPr>
          <w:lang w:val="pt-BR"/>
        </w:rPr>
      </w:pPr>
      <w:r>
        <w:rPr>
          <w:rStyle w:val="FootnoteReference"/>
        </w:rPr>
        <w:footnoteRef/>
      </w:r>
      <w:r w:rsidRPr="00A661E8">
        <w:t xml:space="preserve"> </w:t>
      </w:r>
      <w:r w:rsidRPr="00C27F9D">
        <w:t xml:space="preserve">I/A Court H.R., </w:t>
      </w:r>
      <w:r w:rsidRPr="00C27F9D">
        <w:rPr>
          <w:i/>
          <w:iCs/>
        </w:rPr>
        <w:t>Case of</w:t>
      </w:r>
      <w:r w:rsidRPr="00C27F9D">
        <w:rPr>
          <w:rFonts w:eastAsia="Times New Roman"/>
          <w:bCs/>
          <w:i/>
          <w:iCs/>
          <w:shd w:val="clear" w:color="auto" w:fill="FFFFFF"/>
        </w:rPr>
        <w:t xml:space="preserve"> the Supreme Court of Justice (</w:t>
      </w:r>
      <w:r w:rsidRPr="00C27F9D">
        <w:rPr>
          <w:i/>
          <w:iCs/>
        </w:rPr>
        <w:t>Quintana Coello et al.) v. Ecuador</w:t>
      </w:r>
      <w:r w:rsidRPr="00C27F9D">
        <w:t>, Preliminary Ob</w:t>
      </w:r>
      <w:r>
        <w:t xml:space="preserve">jection, Merits, Reparations, and Costs, Judgment of August 23, </w:t>
      </w:r>
      <w:r w:rsidRPr="00C27F9D">
        <w:t>2013</w:t>
      </w:r>
      <w:r>
        <w:t>,</w:t>
      </w:r>
      <w:r w:rsidRPr="00C27F9D">
        <w:t xml:space="preserve"> </w:t>
      </w:r>
      <w:r w:rsidRPr="00F82756">
        <w:rPr>
          <w:lang w:val="pt-BR"/>
        </w:rPr>
        <w:t>Serie</w:t>
      </w:r>
      <w:r>
        <w:rPr>
          <w:lang w:val="pt-BR"/>
        </w:rPr>
        <w:t>s</w:t>
      </w:r>
      <w:r w:rsidRPr="00F82756">
        <w:rPr>
          <w:lang w:val="pt-BR"/>
        </w:rPr>
        <w:t xml:space="preserve"> C No.</w:t>
      </w:r>
      <w:r>
        <w:rPr>
          <w:lang w:val="pt-BR"/>
        </w:rPr>
        <w:t xml:space="preserve"> </w:t>
      </w:r>
      <w:r w:rsidRPr="00F82756">
        <w:rPr>
          <w:lang w:val="pt-BR"/>
        </w:rPr>
        <w:t xml:space="preserve">266, </w:t>
      </w:r>
      <w:r>
        <w:rPr>
          <w:lang w:val="pt-BR"/>
        </w:rPr>
        <w:t>pa</w:t>
      </w:r>
      <w:r w:rsidRPr="00F82756">
        <w:rPr>
          <w:lang w:val="pt-BR"/>
        </w:rPr>
        <w:t xml:space="preserve">r. </w:t>
      </w:r>
      <w:r w:rsidRPr="007A5ED1">
        <w:rPr>
          <w:lang w:val="pt-BR"/>
        </w:rPr>
        <w:t>155.</w:t>
      </w:r>
    </w:p>
  </w:footnote>
  <w:footnote w:id="90">
    <w:p w14:paraId="7F473C02" w14:textId="77777777" w:rsidR="00E6692A" w:rsidRPr="00D848A4" w:rsidRDefault="00E6692A" w:rsidP="00E6692A">
      <w:pPr>
        <w:pStyle w:val="FootnoteText"/>
      </w:pPr>
      <w:r>
        <w:rPr>
          <w:rStyle w:val="FootnoteReference"/>
        </w:rPr>
        <w:footnoteRef/>
      </w:r>
      <w:r w:rsidRPr="00DB55CD">
        <w:rPr>
          <w:lang w:val="pt-BR"/>
        </w:rPr>
        <w:t xml:space="preserve"> </w:t>
      </w:r>
      <w:r w:rsidRPr="00C53B00">
        <w:rPr>
          <w:lang w:val="pt-BR"/>
        </w:rPr>
        <w:t xml:space="preserve">I/A Court H.R., </w:t>
      </w:r>
      <w:r w:rsidRPr="00E156BE">
        <w:rPr>
          <w:i/>
          <w:iCs/>
          <w:lang w:val="pt-BR"/>
        </w:rPr>
        <w:t>Case of Colindres Schonenberg v. El Salvador</w:t>
      </w:r>
      <w:r w:rsidRPr="00C53B00">
        <w:rPr>
          <w:lang w:val="pt-BR"/>
        </w:rPr>
        <w:t>, Merits, Reparations, and Costs, Ju</w:t>
      </w:r>
      <w:r>
        <w:rPr>
          <w:lang w:val="pt-BR"/>
        </w:rPr>
        <w:t xml:space="preserve">dgment of February 4, </w:t>
      </w:r>
      <w:r w:rsidRPr="00C53B00">
        <w:t>2019</w:t>
      </w:r>
      <w:r>
        <w:t xml:space="preserve">, </w:t>
      </w:r>
      <w:r w:rsidRPr="00D848A4">
        <w:t>Serie</w:t>
      </w:r>
      <w:r>
        <w:t>s</w:t>
      </w:r>
      <w:r w:rsidRPr="00D848A4">
        <w:t xml:space="preserve"> C No. 373, </w:t>
      </w:r>
      <w:r>
        <w:t>paras</w:t>
      </w:r>
      <w:r w:rsidRPr="00D848A4">
        <w:t xml:space="preserve">. 93 </w:t>
      </w:r>
      <w:r>
        <w:t>and</w:t>
      </w:r>
      <w:r w:rsidRPr="00D848A4">
        <w:t xml:space="preserve"> 94.</w:t>
      </w:r>
    </w:p>
  </w:footnote>
  <w:footnote w:id="91">
    <w:p w14:paraId="6AD61508" w14:textId="77777777" w:rsidR="00E6692A" w:rsidRPr="00A661E8" w:rsidRDefault="00E6692A" w:rsidP="00E6692A">
      <w:pPr>
        <w:pStyle w:val="FootnoteText"/>
      </w:pPr>
      <w:r w:rsidRPr="00BE6681">
        <w:rPr>
          <w:rStyle w:val="FootnoteReference"/>
        </w:rPr>
        <w:footnoteRef/>
      </w:r>
      <w:r w:rsidRPr="00A661E8">
        <w:t xml:space="preserve"> </w:t>
      </w:r>
      <w:r w:rsidRPr="00C27F9D">
        <w:t xml:space="preserve">I/A Court H.R., </w:t>
      </w:r>
      <w:r w:rsidRPr="00C27F9D">
        <w:rPr>
          <w:i/>
          <w:iCs/>
        </w:rPr>
        <w:t>Case of</w:t>
      </w:r>
      <w:r w:rsidRPr="00C27F9D">
        <w:rPr>
          <w:rFonts w:eastAsia="Times New Roman"/>
          <w:bCs/>
          <w:i/>
          <w:iCs/>
          <w:shd w:val="clear" w:color="auto" w:fill="FFFFFF"/>
        </w:rPr>
        <w:t xml:space="preserve"> the Supreme Court of Justice (</w:t>
      </w:r>
      <w:r w:rsidRPr="00C27F9D">
        <w:rPr>
          <w:i/>
          <w:iCs/>
        </w:rPr>
        <w:t>Quintana Coello et al.) v. Ecuador</w:t>
      </w:r>
      <w:r w:rsidRPr="00C27F9D">
        <w:t>, Preliminary Ob</w:t>
      </w:r>
      <w:r>
        <w:t xml:space="preserve">jection, Merits, Reparations, and Costs, Judgment of August 23, </w:t>
      </w:r>
      <w:r w:rsidRPr="00C27F9D">
        <w:t>2013</w:t>
      </w:r>
      <w:r>
        <w:t>,</w:t>
      </w:r>
      <w:r w:rsidRPr="00C27F9D">
        <w:t xml:space="preserve"> </w:t>
      </w:r>
      <w:r w:rsidRPr="00F82756">
        <w:rPr>
          <w:lang w:val="pt-BR"/>
        </w:rPr>
        <w:t>Serie</w:t>
      </w:r>
      <w:r>
        <w:rPr>
          <w:lang w:val="pt-BR"/>
        </w:rPr>
        <w:t>s</w:t>
      </w:r>
      <w:r w:rsidRPr="00F82756">
        <w:rPr>
          <w:lang w:val="pt-BR"/>
        </w:rPr>
        <w:t xml:space="preserve"> C No.</w:t>
      </w:r>
      <w:r>
        <w:rPr>
          <w:lang w:val="pt-BR"/>
        </w:rPr>
        <w:t xml:space="preserve"> </w:t>
      </w:r>
      <w:r w:rsidRPr="00F82756">
        <w:rPr>
          <w:lang w:val="pt-BR"/>
        </w:rPr>
        <w:t xml:space="preserve">266, </w:t>
      </w:r>
      <w:r>
        <w:rPr>
          <w:lang w:val="pt-BR"/>
        </w:rPr>
        <w:t>pa</w:t>
      </w:r>
      <w:r w:rsidRPr="00F82756">
        <w:rPr>
          <w:lang w:val="pt-BR"/>
        </w:rPr>
        <w:t xml:space="preserve">r. </w:t>
      </w:r>
      <w:r w:rsidRPr="00A661E8">
        <w:t>180</w:t>
      </w:r>
      <w:r>
        <w:t>;</w:t>
      </w:r>
      <w:r w:rsidRPr="00A661E8">
        <w:t xml:space="preserve"> </w:t>
      </w:r>
      <w:r w:rsidRPr="005B1710">
        <w:t xml:space="preserve">IACHR, Report No. 72/17, Case 13.019, Report on Merits, Eduardo Rico, Argentina, July </w:t>
      </w:r>
      <w:r>
        <w:t xml:space="preserve">5, </w:t>
      </w:r>
      <w:r w:rsidRPr="005B1710">
        <w:t xml:space="preserve">2017, par. </w:t>
      </w:r>
      <w:r w:rsidRPr="00A661E8">
        <w:t xml:space="preserve">124; </w:t>
      </w:r>
      <w:r w:rsidRPr="008048EA">
        <w:t xml:space="preserve">I/A Court H.R., </w:t>
      </w:r>
      <w:r w:rsidRPr="008048EA">
        <w:rPr>
          <w:i/>
          <w:iCs/>
        </w:rPr>
        <w:t>Case of</w:t>
      </w:r>
      <w:r w:rsidRPr="008048EA">
        <w:rPr>
          <w:rFonts w:eastAsia="Times New Roman"/>
          <w:bCs/>
          <w:i/>
          <w:iCs/>
          <w:shd w:val="clear" w:color="auto" w:fill="FFFFFF"/>
        </w:rPr>
        <w:t xml:space="preserve"> López Lone et al. v. Honduras</w:t>
      </w:r>
      <w:r w:rsidRPr="008048EA">
        <w:rPr>
          <w:rFonts w:eastAsia="Times New Roman"/>
          <w:bCs/>
          <w:shd w:val="clear" w:color="auto" w:fill="FFFFFF"/>
        </w:rPr>
        <w:t>, Preliminary Object</w:t>
      </w:r>
      <w:r>
        <w:rPr>
          <w:rFonts w:eastAsia="Times New Roman"/>
          <w:bCs/>
          <w:shd w:val="clear" w:color="auto" w:fill="FFFFFF"/>
        </w:rPr>
        <w:t xml:space="preserve">ion, Merits, Reparations, and Costs, Judgment of October 5, </w:t>
      </w:r>
      <w:r w:rsidRPr="008048EA">
        <w:rPr>
          <w:rFonts w:eastAsia="Times New Roman"/>
          <w:bCs/>
          <w:shd w:val="clear" w:color="auto" w:fill="FFFFFF"/>
        </w:rPr>
        <w:t>2015</w:t>
      </w:r>
      <w:r>
        <w:rPr>
          <w:rFonts w:eastAsia="Times New Roman"/>
          <w:bCs/>
          <w:shd w:val="clear" w:color="auto" w:fill="FFFFFF"/>
        </w:rPr>
        <w:t>,</w:t>
      </w:r>
      <w:r w:rsidRPr="008048EA">
        <w:rPr>
          <w:rFonts w:eastAsia="Times New Roman"/>
          <w:bCs/>
          <w:shd w:val="clear" w:color="auto" w:fill="FFFFFF"/>
        </w:rPr>
        <w:t xml:space="preserve"> Series C No. 302, </w:t>
      </w:r>
      <w:r>
        <w:rPr>
          <w:rFonts w:eastAsia="Times New Roman"/>
          <w:bCs/>
          <w:shd w:val="clear" w:color="auto" w:fill="FFFFFF"/>
        </w:rPr>
        <w:t>par</w:t>
      </w:r>
      <w:r w:rsidRPr="008048EA">
        <w:rPr>
          <w:rFonts w:eastAsia="Times New Roman"/>
          <w:bCs/>
          <w:shd w:val="clear" w:color="auto" w:fill="FFFFFF"/>
        </w:rPr>
        <w:t xml:space="preserve">. </w:t>
      </w:r>
      <w:r w:rsidRPr="00A661E8">
        <w:rPr>
          <w:rFonts w:eastAsia="Times New Roman"/>
          <w:bCs/>
          <w:shd w:val="clear" w:color="auto" w:fill="FFFFFF"/>
        </w:rPr>
        <w:t>192.</w:t>
      </w:r>
    </w:p>
  </w:footnote>
  <w:footnote w:id="92">
    <w:p w14:paraId="31F1BAEF" w14:textId="77777777" w:rsidR="00E6692A" w:rsidRPr="00DE3D80" w:rsidRDefault="00E6692A" w:rsidP="00E6692A">
      <w:pPr>
        <w:pStyle w:val="FootnoteText"/>
        <w:pBdr>
          <w:top w:val="none" w:sz="0" w:space="0" w:color="auto"/>
          <w:left w:val="none" w:sz="0" w:space="0" w:color="auto"/>
          <w:bottom w:val="none" w:sz="0" w:space="0" w:color="auto"/>
          <w:right w:val="none" w:sz="0" w:space="0" w:color="auto"/>
        </w:pBdr>
        <w:rPr>
          <w:lang w:val="es-CO"/>
        </w:rPr>
      </w:pPr>
      <w:r w:rsidRPr="00C41E87">
        <w:rPr>
          <w:color w:val="auto"/>
          <w:vertAlign w:val="superscript"/>
        </w:rPr>
        <w:footnoteRef/>
      </w:r>
      <w:r w:rsidRPr="001F56DC">
        <w:rPr>
          <w:color w:val="auto"/>
        </w:rPr>
        <w:t xml:space="preserve"> </w:t>
      </w:r>
      <w:r w:rsidRPr="001F56DC">
        <w:t xml:space="preserve">I/A Court H.R., </w:t>
      </w:r>
      <w:r w:rsidRPr="00B15E3E">
        <w:rPr>
          <w:i/>
          <w:iCs/>
        </w:rPr>
        <w:t>Case of</w:t>
      </w:r>
      <w:r w:rsidRPr="00B15E3E">
        <w:rPr>
          <w:i/>
          <w:iCs/>
          <w:color w:val="auto"/>
        </w:rPr>
        <w:t xml:space="preserve"> Villaseñor Velarde et al. v. Guatemala</w:t>
      </w:r>
      <w:r w:rsidRPr="001F56DC">
        <w:rPr>
          <w:color w:val="auto"/>
        </w:rPr>
        <w:t>,</w:t>
      </w:r>
      <w:r w:rsidRPr="001F56DC">
        <w:t xml:space="preserve"> </w:t>
      </w:r>
      <w:r>
        <w:t>Merits, Reparations, and Costs, Judgment of February 5,</w:t>
      </w:r>
      <w:r>
        <w:rPr>
          <w:color w:val="auto"/>
        </w:rPr>
        <w:t xml:space="preserve"> </w:t>
      </w:r>
      <w:r w:rsidRPr="001F56DC">
        <w:rPr>
          <w:color w:val="auto"/>
        </w:rPr>
        <w:t>2019</w:t>
      </w:r>
      <w:r>
        <w:rPr>
          <w:color w:val="auto"/>
        </w:rPr>
        <w:t>,</w:t>
      </w:r>
      <w:r w:rsidRPr="001F56DC">
        <w:rPr>
          <w:color w:val="auto"/>
        </w:rPr>
        <w:t xml:space="preserve"> Series C </w:t>
      </w:r>
      <w:r>
        <w:rPr>
          <w:color w:val="auto"/>
        </w:rPr>
        <w:t>N</w:t>
      </w:r>
      <w:r w:rsidRPr="001F56DC">
        <w:rPr>
          <w:color w:val="auto"/>
        </w:rPr>
        <w:t xml:space="preserve">o. 374, </w:t>
      </w:r>
      <w:r>
        <w:rPr>
          <w:color w:val="auto"/>
        </w:rPr>
        <w:t>paras.</w:t>
      </w:r>
      <w:r w:rsidRPr="001F56DC">
        <w:rPr>
          <w:color w:val="auto"/>
        </w:rPr>
        <w:t xml:space="preserve"> </w:t>
      </w:r>
      <w:r w:rsidRPr="00DE3D80">
        <w:rPr>
          <w:color w:val="auto"/>
          <w:lang w:val="es-CO"/>
        </w:rPr>
        <w:t xml:space="preserve">110 and 111. </w:t>
      </w:r>
    </w:p>
  </w:footnote>
  <w:footnote w:id="93">
    <w:p w14:paraId="219D3360" w14:textId="77777777" w:rsidR="00E6692A" w:rsidRPr="00DE3D80" w:rsidRDefault="00E6692A" w:rsidP="00E6692A">
      <w:pPr>
        <w:pStyle w:val="FootnoteText"/>
      </w:pPr>
      <w:r>
        <w:rPr>
          <w:rStyle w:val="FootnoteReference"/>
        </w:rPr>
        <w:footnoteRef/>
      </w:r>
      <w:r w:rsidRPr="00DE3D80">
        <w:t xml:space="preserve"> Petitioners’ brief of November 20</w:t>
      </w:r>
      <w:r>
        <w:t xml:space="preserve">, </w:t>
      </w:r>
      <w:r w:rsidRPr="00DE3D80">
        <w:t>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51B5B" w14:textId="77777777" w:rsidR="00E6692A" w:rsidRDefault="00E6692A" w:rsidP="0028565C">
    <w:pPr>
      <w:pStyle w:val="Header"/>
      <w:framePr w:wrap="around" w:vAnchor="text" w:hAnchor="margin" w:xAlign="center" w:y="1"/>
      <w:rPr>
        <w:rStyle w:val="PageNumber"/>
        <w:rFonts w:eastAsia="Trebuchet MS"/>
      </w:rPr>
    </w:pPr>
    <w:r>
      <w:rPr>
        <w:rStyle w:val="PageNumber"/>
        <w:rFonts w:eastAsia="Trebuchet MS"/>
        <w:lang w:val="en"/>
      </w:rPr>
      <w:fldChar w:fldCharType="begin"/>
    </w:r>
    <w:r>
      <w:rPr>
        <w:rStyle w:val="PageNumber"/>
        <w:rFonts w:eastAsia="Trebuchet MS"/>
        <w:lang w:val="en"/>
      </w:rPr>
      <w:instrText xml:space="preserve">PAGE  </w:instrText>
    </w:r>
    <w:r>
      <w:rPr>
        <w:rStyle w:val="PageNumber"/>
        <w:rFonts w:eastAsia="Trebuchet MS"/>
        <w:lang w:val="en"/>
      </w:rPr>
      <w:fldChar w:fldCharType="end"/>
    </w:r>
  </w:p>
  <w:p w14:paraId="0F074FCC" w14:textId="77777777" w:rsidR="00E6692A" w:rsidRDefault="00E669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F74C7" w14:textId="77777777" w:rsidR="00E6692A" w:rsidRPr="00EC7D62" w:rsidRDefault="00E6692A" w:rsidP="00A50FCF">
    <w:pPr>
      <w:pStyle w:val="Header"/>
      <w:tabs>
        <w:tab w:val="clear" w:pos="4320"/>
        <w:tab w:val="clear" w:pos="8640"/>
      </w:tabs>
      <w:jc w:val="center"/>
      <w:rPr>
        <w:sz w:val="22"/>
        <w:szCs w:val="22"/>
      </w:rPr>
    </w:pPr>
    <w:r>
      <w:rPr>
        <w:noProof/>
        <w:sz w:val="22"/>
        <w:szCs w:val="22"/>
      </w:rPr>
      <w:drawing>
        <wp:inline distT="0" distB="0" distL="0" distR="0" wp14:anchorId="085A0218" wp14:editId="000F0FCA">
          <wp:extent cx="2209800" cy="117396"/>
          <wp:effectExtent l="0" t="0" r="0" b="0"/>
          <wp:docPr id="14" name="Picture 14"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r w:rsidR="009537DE">
      <w:rPr>
        <w:sz w:val="22"/>
        <w:szCs w:val="22"/>
        <w:lang w:val="en"/>
      </w:rPr>
      <w:pict w14:anchorId="5CDD6D48">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8A0629A"/>
    <w:multiLevelType w:val="hybridMultilevel"/>
    <w:tmpl w:val="0C1833A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62145B"/>
    <w:multiLevelType w:val="hybridMultilevel"/>
    <w:tmpl w:val="C46E6192"/>
    <w:lvl w:ilvl="0" w:tplc="A5BCB49E">
      <w:start w:val="1"/>
      <w:numFmt w:val="upperLetter"/>
      <w:lvlText w:val="%1."/>
      <w:lvlJc w:val="left"/>
      <w:pPr>
        <w:ind w:left="117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890" w:hanging="360"/>
      </w:pPr>
    </w:lvl>
    <w:lvl w:ilvl="2" w:tplc="F12E0CEC">
      <w:start w:val="1"/>
      <w:numFmt w:val="bullet"/>
      <w:lvlText w:val="-"/>
      <w:lvlJc w:val="left"/>
      <w:pPr>
        <w:ind w:left="2790" w:hanging="360"/>
      </w:pPr>
      <w:rPr>
        <w:rFonts w:ascii="Cambria" w:eastAsia="Arial Unicode MS" w:hAnsi="Cambria" w:cs="Times New Roman" w:hint="default"/>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3D2E40"/>
    <w:multiLevelType w:val="hybridMultilevel"/>
    <w:tmpl w:val="14961C54"/>
    <w:lvl w:ilvl="0" w:tplc="0409000F">
      <w:start w:val="1"/>
      <w:numFmt w:val="decimal"/>
      <w:lvlText w:val="%1."/>
      <w:lvlJc w:val="left"/>
      <w:pPr>
        <w:tabs>
          <w:tab w:val="num" w:pos="795"/>
        </w:tabs>
        <w:ind w:left="795" w:hanging="360"/>
      </w:p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E0669FE"/>
    <w:multiLevelType w:val="hybridMultilevel"/>
    <w:tmpl w:val="BC5CC678"/>
    <w:lvl w:ilvl="0" w:tplc="7368EF6A">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72A0BA1"/>
    <w:multiLevelType w:val="hybridMultilevel"/>
    <w:tmpl w:val="3C423AA6"/>
    <w:lvl w:ilvl="0" w:tplc="3F4245EA">
      <w:start w:val="1"/>
      <w:numFmt w:val="upperRoman"/>
      <w:lvlText w:val="%1."/>
      <w:lvlJc w:val="left"/>
      <w:pPr>
        <w:ind w:left="720" w:hanging="72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34517D"/>
    <w:multiLevelType w:val="hybridMultilevel"/>
    <w:tmpl w:val="F0022558"/>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55225E1"/>
    <w:multiLevelType w:val="hybridMultilevel"/>
    <w:tmpl w:val="422056B8"/>
    <w:lvl w:ilvl="0" w:tplc="66983E9E">
      <w:start w:val="1"/>
      <w:numFmt w:val="decimal"/>
      <w:lvlText w:val="%1."/>
      <w:lvlJc w:val="left"/>
      <w:pPr>
        <w:ind w:left="1080" w:hanging="360"/>
      </w:pPr>
      <w:rPr>
        <w:rFonts w:hint="default"/>
        <w:i w:val="0"/>
        <w:color w:val="auto"/>
        <w:lang w:val="es-C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C3360A6"/>
    <w:multiLevelType w:val="multilevel"/>
    <w:tmpl w:val="B3CE7A6E"/>
    <w:lvl w:ilvl="0">
      <w:start w:val="1"/>
      <w:numFmt w:val="decimal"/>
      <w:pStyle w:val="Heading3"/>
      <w:lvlText w:val="%1."/>
      <w:lvlJc w:val="left"/>
      <w:pPr>
        <w:ind w:left="720" w:hanging="360"/>
      </w:pPr>
      <w:rPr>
        <w:rFonts w:ascii="Cambria" w:hAnsi="Cambria" w:hint="default"/>
        <w:b/>
        <w:color w:val="auto"/>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D7D4B9D"/>
    <w:multiLevelType w:val="hybridMultilevel"/>
    <w:tmpl w:val="402EB966"/>
    <w:lvl w:ilvl="0" w:tplc="3668A7D4">
      <w:start w:val="1"/>
      <w:numFmt w:val="decimal"/>
      <w:pStyle w:val="parrafos"/>
      <w:lvlText w:val="%1."/>
      <w:lvlJc w:val="left"/>
      <w:pPr>
        <w:ind w:left="360" w:hanging="360"/>
      </w:pPr>
      <w:rPr>
        <w:rFonts w:ascii="Cambria" w:hAnsi="Cambria"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5FDF2ED9"/>
    <w:multiLevelType w:val="hybridMultilevel"/>
    <w:tmpl w:val="052CDC5E"/>
    <w:lvl w:ilvl="0" w:tplc="D92C12E8">
      <w:start w:val="1"/>
      <w:numFmt w:val="decimal"/>
      <w:lvlText w:val="%1."/>
      <w:lvlJc w:val="left"/>
      <w:pPr>
        <w:tabs>
          <w:tab w:val="num" w:pos="1860"/>
        </w:tabs>
        <w:ind w:left="186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019715A"/>
    <w:multiLevelType w:val="hybridMultilevel"/>
    <w:tmpl w:val="E854A5E0"/>
    <w:lvl w:ilvl="0" w:tplc="FC1E9A08">
      <w:start w:val="1"/>
      <w:numFmt w:val="upp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2"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6A101BB"/>
    <w:multiLevelType w:val="hybridMultilevel"/>
    <w:tmpl w:val="C03C5D4C"/>
    <w:lvl w:ilvl="0" w:tplc="CB3E82CC">
      <w:start w:val="1"/>
      <w:numFmt w:val="upperRoman"/>
      <w:lvlText w:val="%1."/>
      <w:lvlJc w:val="left"/>
      <w:pPr>
        <w:tabs>
          <w:tab w:val="num" w:pos="1440"/>
        </w:tabs>
        <w:ind w:left="1440" w:hanging="720"/>
      </w:pPr>
      <w:rPr>
        <w:rFonts w:cs="Times New Roman" w:hint="default"/>
        <w:b/>
      </w:rPr>
    </w:lvl>
    <w:lvl w:ilvl="1" w:tplc="B5762098">
      <w:start w:val="1"/>
      <w:numFmt w:val="decimal"/>
      <w:lvlText w:val="%2."/>
      <w:lvlJc w:val="left"/>
      <w:pPr>
        <w:tabs>
          <w:tab w:val="num" w:pos="1800"/>
        </w:tabs>
        <w:ind w:left="1800" w:hanging="360"/>
      </w:pPr>
      <w:rPr>
        <w:rFonts w:cs="Times New Roman" w:hint="default"/>
        <w:b/>
        <w:color w:val="auto"/>
        <w:lang w:val="es-CO"/>
      </w:rPr>
    </w:lvl>
    <w:lvl w:ilvl="2" w:tplc="881EAA16">
      <w:start w:val="1"/>
      <w:numFmt w:val="lowerLetter"/>
      <w:lvlText w:val="%3)"/>
      <w:lvlJc w:val="left"/>
      <w:pPr>
        <w:tabs>
          <w:tab w:val="num" w:pos="2700"/>
        </w:tabs>
        <w:ind w:left="2700" w:hanging="360"/>
      </w:pPr>
      <w:rPr>
        <w:rFonts w:cs="Times New Roman" w:hint="default"/>
      </w:rPr>
    </w:lvl>
    <w:lvl w:ilvl="3" w:tplc="B87E3F4A">
      <w:start w:val="2"/>
      <w:numFmt w:val="upperLetter"/>
      <w:lvlText w:val="%4."/>
      <w:lvlJc w:val="left"/>
      <w:pPr>
        <w:tabs>
          <w:tab w:val="num" w:pos="3240"/>
        </w:tabs>
        <w:ind w:left="3240" w:hanging="360"/>
      </w:pPr>
      <w:rPr>
        <w:rFonts w:cs="Times New Roman" w:hint="default"/>
      </w:rPr>
    </w:lvl>
    <w:lvl w:ilvl="4" w:tplc="817A8DEA">
      <w:start w:val="5"/>
      <w:numFmt w:val="bullet"/>
      <w:lvlText w:val="-"/>
      <w:lvlJc w:val="left"/>
      <w:pPr>
        <w:ind w:left="3960" w:hanging="360"/>
      </w:pPr>
      <w:rPr>
        <w:rFonts w:ascii="Cambria" w:eastAsia="Arial Unicode MS" w:hAnsi="Cambria" w:cs="Times New Roman" w:hint="default"/>
      </w:rPr>
    </w:lvl>
    <w:lvl w:ilvl="5" w:tplc="4E58E810">
      <w:start w:val="2"/>
      <w:numFmt w:val="lowerLetter"/>
      <w:lvlText w:val="%6."/>
      <w:lvlJc w:val="left"/>
      <w:pPr>
        <w:ind w:left="4860" w:hanging="360"/>
      </w:pPr>
      <w:rPr>
        <w:rFonts w:hint="default"/>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9"/>
  </w:num>
  <w:num w:numId="4">
    <w:abstractNumId w:val="23"/>
  </w:num>
  <w:num w:numId="5">
    <w:abstractNumId w:val="53"/>
  </w:num>
  <w:num w:numId="6">
    <w:abstractNumId w:val="30"/>
  </w:num>
  <w:num w:numId="7">
    <w:abstractNumId w:val="7"/>
  </w:num>
  <w:num w:numId="8">
    <w:abstractNumId w:val="17"/>
  </w:num>
  <w:num w:numId="9">
    <w:abstractNumId w:val="45"/>
  </w:num>
  <w:num w:numId="10">
    <w:abstractNumId w:val="0"/>
  </w:num>
  <w:num w:numId="11">
    <w:abstractNumId w:val="40"/>
  </w:num>
  <w:num w:numId="12">
    <w:abstractNumId w:val="41"/>
  </w:num>
  <w:num w:numId="13">
    <w:abstractNumId w:val="46"/>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20"/>
  </w:num>
  <w:num w:numId="27">
    <w:abstractNumId w:val="24"/>
  </w:num>
  <w:num w:numId="28">
    <w:abstractNumId w:val="25"/>
  </w:num>
  <w:num w:numId="29">
    <w:abstractNumId w:val="26"/>
  </w:num>
  <w:num w:numId="30">
    <w:abstractNumId w:val="29"/>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8"/>
  </w:num>
  <w:num w:numId="38">
    <w:abstractNumId w:val="39"/>
  </w:num>
  <w:num w:numId="39">
    <w:abstractNumId w:val="42"/>
  </w:num>
  <w:num w:numId="40">
    <w:abstractNumId w:val="43"/>
  </w:num>
  <w:num w:numId="41">
    <w:abstractNumId w:val="52"/>
  </w:num>
  <w:num w:numId="42">
    <w:abstractNumId w:val="55"/>
  </w:num>
  <w:num w:numId="43">
    <w:abstractNumId w:val="56"/>
  </w:num>
  <w:num w:numId="44">
    <w:abstractNumId w:val="57"/>
  </w:num>
  <w:num w:numId="45">
    <w:abstractNumId w:val="58"/>
  </w:num>
  <w:num w:numId="46">
    <w:abstractNumId w:val="60"/>
  </w:num>
  <w:num w:numId="47">
    <w:abstractNumId w:val="61"/>
  </w:num>
  <w:num w:numId="48">
    <w:abstractNumId w:val="62"/>
  </w:num>
  <w:num w:numId="49">
    <w:abstractNumId w:val="63"/>
  </w:num>
  <w:num w:numId="50">
    <w:abstractNumId w:val="64"/>
  </w:num>
  <w:num w:numId="51">
    <w:abstractNumId w:val="22"/>
  </w:num>
  <w:num w:numId="52">
    <w:abstractNumId w:val="44"/>
  </w:num>
  <w:num w:numId="53">
    <w:abstractNumId w:val="47"/>
  </w:num>
  <w:num w:numId="54">
    <w:abstractNumId w:val="49"/>
  </w:num>
  <w:num w:numId="55">
    <w:abstractNumId w:val="51"/>
  </w:num>
  <w:num w:numId="56">
    <w:abstractNumId w:val="48"/>
  </w:num>
  <w:num w:numId="57">
    <w:abstractNumId w:val="6"/>
    <w:lvlOverride w:ilvl="0">
      <w:startOverride w:val="1"/>
    </w:lvlOverride>
  </w:num>
  <w:num w:numId="58">
    <w:abstractNumId w:val="5"/>
  </w:num>
  <w:num w:numId="59">
    <w:abstractNumId w:val="49"/>
    <w:lvlOverride w:ilvl="0">
      <w:startOverride w:val="1"/>
    </w:lvlOverride>
  </w:num>
  <w:num w:numId="60">
    <w:abstractNumId w:val="54"/>
  </w:num>
  <w:num w:numId="61">
    <w:abstractNumId w:val="21"/>
  </w:num>
  <w:num w:numId="62">
    <w:abstractNumId w:val="36"/>
  </w:num>
  <w:num w:numId="63">
    <w:abstractNumId w:val="50"/>
  </w:num>
  <w:num w:numId="64">
    <w:abstractNumId w:val="19"/>
  </w:num>
  <w:num w:numId="65">
    <w:abstractNumId w:val="27"/>
  </w:num>
  <w:num w:numId="66">
    <w:abstractNumId w:val="28"/>
  </w:num>
  <w:num w:numId="67">
    <w:abstractNumId w:val="49"/>
    <w:lvlOverride w:ilvl="0">
      <w:startOverride w:val="37"/>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1229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B31"/>
    <w:rsid w:val="00000CDA"/>
    <w:rsid w:val="0000302E"/>
    <w:rsid w:val="00006896"/>
    <w:rsid w:val="00006E1F"/>
    <w:rsid w:val="00006EF6"/>
    <w:rsid w:val="000070D7"/>
    <w:rsid w:val="000126F8"/>
    <w:rsid w:val="000158FD"/>
    <w:rsid w:val="0001788C"/>
    <w:rsid w:val="000220D5"/>
    <w:rsid w:val="00027A6B"/>
    <w:rsid w:val="00032214"/>
    <w:rsid w:val="00040C3A"/>
    <w:rsid w:val="00040CBD"/>
    <w:rsid w:val="00042C2F"/>
    <w:rsid w:val="00044112"/>
    <w:rsid w:val="000530D9"/>
    <w:rsid w:val="00054BE4"/>
    <w:rsid w:val="0006565A"/>
    <w:rsid w:val="00067A5D"/>
    <w:rsid w:val="000716C5"/>
    <w:rsid w:val="00071E20"/>
    <w:rsid w:val="00075E23"/>
    <w:rsid w:val="0008768F"/>
    <w:rsid w:val="0009344A"/>
    <w:rsid w:val="000A04E5"/>
    <w:rsid w:val="000A0693"/>
    <w:rsid w:val="000A392E"/>
    <w:rsid w:val="000A39E4"/>
    <w:rsid w:val="000A575F"/>
    <w:rsid w:val="000A576A"/>
    <w:rsid w:val="000B7F13"/>
    <w:rsid w:val="000C52CF"/>
    <w:rsid w:val="000D10DB"/>
    <w:rsid w:val="000D4189"/>
    <w:rsid w:val="000E0C8F"/>
    <w:rsid w:val="000E1971"/>
    <w:rsid w:val="000E5EB5"/>
    <w:rsid w:val="000E7833"/>
    <w:rsid w:val="000F351B"/>
    <w:rsid w:val="000F35ED"/>
    <w:rsid w:val="000F7AD9"/>
    <w:rsid w:val="00107093"/>
    <w:rsid w:val="00107131"/>
    <w:rsid w:val="0010736F"/>
    <w:rsid w:val="00113F73"/>
    <w:rsid w:val="00121CC2"/>
    <w:rsid w:val="00124478"/>
    <w:rsid w:val="00133EE5"/>
    <w:rsid w:val="00136952"/>
    <w:rsid w:val="001547AE"/>
    <w:rsid w:val="0015660F"/>
    <w:rsid w:val="00161D34"/>
    <w:rsid w:val="00166189"/>
    <w:rsid w:val="00167A34"/>
    <w:rsid w:val="00177DB9"/>
    <w:rsid w:val="00181F34"/>
    <w:rsid w:val="00182639"/>
    <w:rsid w:val="00182658"/>
    <w:rsid w:val="001877F0"/>
    <w:rsid w:val="001922A1"/>
    <w:rsid w:val="001A36FE"/>
    <w:rsid w:val="001A4D23"/>
    <w:rsid w:val="001A7870"/>
    <w:rsid w:val="001B510E"/>
    <w:rsid w:val="001B62CA"/>
    <w:rsid w:val="001C103F"/>
    <w:rsid w:val="001C1B41"/>
    <w:rsid w:val="001C40DD"/>
    <w:rsid w:val="001D0753"/>
    <w:rsid w:val="001D18C7"/>
    <w:rsid w:val="001D5771"/>
    <w:rsid w:val="001D65EF"/>
    <w:rsid w:val="001E15B6"/>
    <w:rsid w:val="001E6363"/>
    <w:rsid w:val="001F555A"/>
    <w:rsid w:val="00202589"/>
    <w:rsid w:val="00204B61"/>
    <w:rsid w:val="0022273F"/>
    <w:rsid w:val="00222E84"/>
    <w:rsid w:val="00223293"/>
    <w:rsid w:val="002250A3"/>
    <w:rsid w:val="00235217"/>
    <w:rsid w:val="00245488"/>
    <w:rsid w:val="00246D1F"/>
    <w:rsid w:val="00247403"/>
    <w:rsid w:val="00247542"/>
    <w:rsid w:val="00261A07"/>
    <w:rsid w:val="00266B61"/>
    <w:rsid w:val="0026712A"/>
    <w:rsid w:val="002704DB"/>
    <w:rsid w:val="00276DF8"/>
    <w:rsid w:val="00277EF9"/>
    <w:rsid w:val="002827DD"/>
    <w:rsid w:val="0028565C"/>
    <w:rsid w:val="0029423D"/>
    <w:rsid w:val="002A0AAE"/>
    <w:rsid w:val="002A5820"/>
    <w:rsid w:val="002B14FF"/>
    <w:rsid w:val="002B599B"/>
    <w:rsid w:val="002B7797"/>
    <w:rsid w:val="002D2B26"/>
    <w:rsid w:val="002D3CD5"/>
    <w:rsid w:val="002D429A"/>
    <w:rsid w:val="002D7EA2"/>
    <w:rsid w:val="002E1297"/>
    <w:rsid w:val="002E187C"/>
    <w:rsid w:val="002E24EF"/>
    <w:rsid w:val="002E4AEA"/>
    <w:rsid w:val="002E74DA"/>
    <w:rsid w:val="002E7CC4"/>
    <w:rsid w:val="002F3E51"/>
    <w:rsid w:val="00302733"/>
    <w:rsid w:val="00303D52"/>
    <w:rsid w:val="00305021"/>
    <w:rsid w:val="00307ABC"/>
    <w:rsid w:val="0031160D"/>
    <w:rsid w:val="00314078"/>
    <w:rsid w:val="0031535D"/>
    <w:rsid w:val="00320311"/>
    <w:rsid w:val="00320692"/>
    <w:rsid w:val="00322B86"/>
    <w:rsid w:val="0032742E"/>
    <w:rsid w:val="00327F16"/>
    <w:rsid w:val="0033028D"/>
    <w:rsid w:val="0033169F"/>
    <w:rsid w:val="00343F11"/>
    <w:rsid w:val="00346C95"/>
    <w:rsid w:val="00350B98"/>
    <w:rsid w:val="00356185"/>
    <w:rsid w:val="00360380"/>
    <w:rsid w:val="00361415"/>
    <w:rsid w:val="0036232B"/>
    <w:rsid w:val="00365872"/>
    <w:rsid w:val="00374455"/>
    <w:rsid w:val="0037519E"/>
    <w:rsid w:val="00376179"/>
    <w:rsid w:val="00381FE6"/>
    <w:rsid w:val="0038223F"/>
    <w:rsid w:val="00386CF0"/>
    <w:rsid w:val="0039717B"/>
    <w:rsid w:val="003A17D0"/>
    <w:rsid w:val="003A55BB"/>
    <w:rsid w:val="003B1D16"/>
    <w:rsid w:val="003C053F"/>
    <w:rsid w:val="003C676B"/>
    <w:rsid w:val="003D3BC2"/>
    <w:rsid w:val="003D61BE"/>
    <w:rsid w:val="003D67C7"/>
    <w:rsid w:val="003D7C03"/>
    <w:rsid w:val="003D7D64"/>
    <w:rsid w:val="003E432F"/>
    <w:rsid w:val="003E6CA1"/>
    <w:rsid w:val="003F2493"/>
    <w:rsid w:val="003F7F64"/>
    <w:rsid w:val="00403C18"/>
    <w:rsid w:val="00412456"/>
    <w:rsid w:val="004165C2"/>
    <w:rsid w:val="00417A1E"/>
    <w:rsid w:val="004211CE"/>
    <w:rsid w:val="00426114"/>
    <w:rsid w:val="00434C0B"/>
    <w:rsid w:val="00434DA4"/>
    <w:rsid w:val="00437655"/>
    <w:rsid w:val="00441ECB"/>
    <w:rsid w:val="004474A2"/>
    <w:rsid w:val="00454B5A"/>
    <w:rsid w:val="00456315"/>
    <w:rsid w:val="0046391A"/>
    <w:rsid w:val="00467B7E"/>
    <w:rsid w:val="00477592"/>
    <w:rsid w:val="00482EC8"/>
    <w:rsid w:val="00486F1C"/>
    <w:rsid w:val="0049419D"/>
    <w:rsid w:val="004953B8"/>
    <w:rsid w:val="004A75A9"/>
    <w:rsid w:val="004B291C"/>
    <w:rsid w:val="004C20D2"/>
    <w:rsid w:val="004C3538"/>
    <w:rsid w:val="004C4B62"/>
    <w:rsid w:val="004C54C9"/>
    <w:rsid w:val="004C64F3"/>
    <w:rsid w:val="004C74B3"/>
    <w:rsid w:val="004C790D"/>
    <w:rsid w:val="004D195F"/>
    <w:rsid w:val="004D2720"/>
    <w:rsid w:val="004D6025"/>
    <w:rsid w:val="004D6618"/>
    <w:rsid w:val="004E2649"/>
    <w:rsid w:val="004F47A6"/>
    <w:rsid w:val="004F627D"/>
    <w:rsid w:val="00501399"/>
    <w:rsid w:val="0050633D"/>
    <w:rsid w:val="00507BC4"/>
    <w:rsid w:val="005128E4"/>
    <w:rsid w:val="00512BE3"/>
    <w:rsid w:val="005133DB"/>
    <w:rsid w:val="00516B62"/>
    <w:rsid w:val="00525560"/>
    <w:rsid w:val="00526998"/>
    <w:rsid w:val="005354F3"/>
    <w:rsid w:val="005362B4"/>
    <w:rsid w:val="00536923"/>
    <w:rsid w:val="0054027B"/>
    <w:rsid w:val="005430CE"/>
    <w:rsid w:val="00544C49"/>
    <w:rsid w:val="005516A1"/>
    <w:rsid w:val="00554B5C"/>
    <w:rsid w:val="00555144"/>
    <w:rsid w:val="005572EF"/>
    <w:rsid w:val="00565744"/>
    <w:rsid w:val="0056637D"/>
    <w:rsid w:val="005703EE"/>
    <w:rsid w:val="0057402A"/>
    <w:rsid w:val="005771D0"/>
    <w:rsid w:val="00582B78"/>
    <w:rsid w:val="0058494D"/>
    <w:rsid w:val="005900B7"/>
    <w:rsid w:val="0059191A"/>
    <w:rsid w:val="005921FF"/>
    <w:rsid w:val="005937F1"/>
    <w:rsid w:val="00595C1D"/>
    <w:rsid w:val="005A6D0E"/>
    <w:rsid w:val="005B2258"/>
    <w:rsid w:val="005B52B0"/>
    <w:rsid w:val="005B6687"/>
    <w:rsid w:val="005B6806"/>
    <w:rsid w:val="005C07E8"/>
    <w:rsid w:val="005C0B22"/>
    <w:rsid w:val="005C1634"/>
    <w:rsid w:val="005C23AF"/>
    <w:rsid w:val="005C4225"/>
    <w:rsid w:val="005C4CA5"/>
    <w:rsid w:val="005D0DB1"/>
    <w:rsid w:val="005D327C"/>
    <w:rsid w:val="005D613F"/>
    <w:rsid w:val="005E46ED"/>
    <w:rsid w:val="005E4F85"/>
    <w:rsid w:val="005F0DAD"/>
    <w:rsid w:val="005F0F33"/>
    <w:rsid w:val="005F278A"/>
    <w:rsid w:val="005F309E"/>
    <w:rsid w:val="00600DEB"/>
    <w:rsid w:val="00604C10"/>
    <w:rsid w:val="006107F9"/>
    <w:rsid w:val="006125C3"/>
    <w:rsid w:val="00627C9F"/>
    <w:rsid w:val="006311E9"/>
    <w:rsid w:val="00632354"/>
    <w:rsid w:val="00636460"/>
    <w:rsid w:val="00640C93"/>
    <w:rsid w:val="00642810"/>
    <w:rsid w:val="00645038"/>
    <w:rsid w:val="00645348"/>
    <w:rsid w:val="00647FCE"/>
    <w:rsid w:val="00652333"/>
    <w:rsid w:val="00655B8E"/>
    <w:rsid w:val="006674FF"/>
    <w:rsid w:val="00676F24"/>
    <w:rsid w:val="0068009E"/>
    <w:rsid w:val="00692219"/>
    <w:rsid w:val="006A17D2"/>
    <w:rsid w:val="006A46E3"/>
    <w:rsid w:val="006A4B39"/>
    <w:rsid w:val="006A73E6"/>
    <w:rsid w:val="006B2D5C"/>
    <w:rsid w:val="006B4D40"/>
    <w:rsid w:val="006B7B99"/>
    <w:rsid w:val="006C02BE"/>
    <w:rsid w:val="006C1A20"/>
    <w:rsid w:val="006C3E91"/>
    <w:rsid w:val="006C4EB1"/>
    <w:rsid w:val="006D5B9F"/>
    <w:rsid w:val="006E0166"/>
    <w:rsid w:val="006E313E"/>
    <w:rsid w:val="006E39BD"/>
    <w:rsid w:val="006E7B34"/>
    <w:rsid w:val="006F1868"/>
    <w:rsid w:val="00703878"/>
    <w:rsid w:val="00704A9B"/>
    <w:rsid w:val="0070697F"/>
    <w:rsid w:val="007172E0"/>
    <w:rsid w:val="0072199C"/>
    <w:rsid w:val="0072289C"/>
    <w:rsid w:val="00722C9F"/>
    <w:rsid w:val="007253B8"/>
    <w:rsid w:val="00727475"/>
    <w:rsid w:val="0073587E"/>
    <w:rsid w:val="0073631B"/>
    <w:rsid w:val="0073741F"/>
    <w:rsid w:val="00757507"/>
    <w:rsid w:val="00763A5F"/>
    <w:rsid w:val="0076643F"/>
    <w:rsid w:val="00770798"/>
    <w:rsid w:val="00777F63"/>
    <w:rsid w:val="00787D95"/>
    <w:rsid w:val="007A55E9"/>
    <w:rsid w:val="007A5817"/>
    <w:rsid w:val="007B5CD9"/>
    <w:rsid w:val="007B60E9"/>
    <w:rsid w:val="007B6CC3"/>
    <w:rsid w:val="007C3334"/>
    <w:rsid w:val="007C756A"/>
    <w:rsid w:val="007D2B98"/>
    <w:rsid w:val="007D65B0"/>
    <w:rsid w:val="007E21BC"/>
    <w:rsid w:val="007E2A03"/>
    <w:rsid w:val="007E3A57"/>
    <w:rsid w:val="007E4C6A"/>
    <w:rsid w:val="007E573D"/>
    <w:rsid w:val="007E58BC"/>
    <w:rsid w:val="007F02A7"/>
    <w:rsid w:val="007F07B1"/>
    <w:rsid w:val="007F11AB"/>
    <w:rsid w:val="007F7E9A"/>
    <w:rsid w:val="00803F1C"/>
    <w:rsid w:val="0080600E"/>
    <w:rsid w:val="0081214D"/>
    <w:rsid w:val="00813005"/>
    <w:rsid w:val="00815021"/>
    <w:rsid w:val="00817612"/>
    <w:rsid w:val="008217E6"/>
    <w:rsid w:val="00824E67"/>
    <w:rsid w:val="008266A7"/>
    <w:rsid w:val="00830AB1"/>
    <w:rsid w:val="008338A4"/>
    <w:rsid w:val="00835116"/>
    <w:rsid w:val="00837C45"/>
    <w:rsid w:val="00840BB1"/>
    <w:rsid w:val="00844730"/>
    <w:rsid w:val="008457C2"/>
    <w:rsid w:val="00857A82"/>
    <w:rsid w:val="00861CDD"/>
    <w:rsid w:val="00865597"/>
    <w:rsid w:val="00871553"/>
    <w:rsid w:val="00873836"/>
    <w:rsid w:val="008850C5"/>
    <w:rsid w:val="00885737"/>
    <w:rsid w:val="00890650"/>
    <w:rsid w:val="00895CD3"/>
    <w:rsid w:val="00897E12"/>
    <w:rsid w:val="008A04AC"/>
    <w:rsid w:val="008A078F"/>
    <w:rsid w:val="008A08FC"/>
    <w:rsid w:val="008A7831"/>
    <w:rsid w:val="008A7E0F"/>
    <w:rsid w:val="008B12F5"/>
    <w:rsid w:val="008B3275"/>
    <w:rsid w:val="008B66BC"/>
    <w:rsid w:val="008B67BB"/>
    <w:rsid w:val="008C00F3"/>
    <w:rsid w:val="008C3098"/>
    <w:rsid w:val="008C7015"/>
    <w:rsid w:val="008D4510"/>
    <w:rsid w:val="008D702E"/>
    <w:rsid w:val="008D768D"/>
    <w:rsid w:val="008E2E59"/>
    <w:rsid w:val="008E3759"/>
    <w:rsid w:val="008F1912"/>
    <w:rsid w:val="008F1B28"/>
    <w:rsid w:val="008F44CC"/>
    <w:rsid w:val="008F5820"/>
    <w:rsid w:val="008F604B"/>
    <w:rsid w:val="008F6B67"/>
    <w:rsid w:val="009014A4"/>
    <w:rsid w:val="0090270B"/>
    <w:rsid w:val="009041DC"/>
    <w:rsid w:val="009042EC"/>
    <w:rsid w:val="00910791"/>
    <w:rsid w:val="009113FE"/>
    <w:rsid w:val="009143F2"/>
    <w:rsid w:val="00914740"/>
    <w:rsid w:val="00917B5A"/>
    <w:rsid w:val="00920A58"/>
    <w:rsid w:val="00920A8C"/>
    <w:rsid w:val="0092111F"/>
    <w:rsid w:val="0092732B"/>
    <w:rsid w:val="00934A2C"/>
    <w:rsid w:val="00935EF1"/>
    <w:rsid w:val="009379AA"/>
    <w:rsid w:val="00941C6B"/>
    <w:rsid w:val="0094623F"/>
    <w:rsid w:val="00951CBC"/>
    <w:rsid w:val="009537DE"/>
    <w:rsid w:val="00953F38"/>
    <w:rsid w:val="009609E8"/>
    <w:rsid w:val="0096706E"/>
    <w:rsid w:val="00973DC9"/>
    <w:rsid w:val="00975C4E"/>
    <w:rsid w:val="00981FBA"/>
    <w:rsid w:val="00990FA8"/>
    <w:rsid w:val="00991866"/>
    <w:rsid w:val="00992FCF"/>
    <w:rsid w:val="00997BC5"/>
    <w:rsid w:val="009A0BE3"/>
    <w:rsid w:val="009A4F41"/>
    <w:rsid w:val="009B381B"/>
    <w:rsid w:val="009C2192"/>
    <w:rsid w:val="009C4EAA"/>
    <w:rsid w:val="009D1753"/>
    <w:rsid w:val="009D4AB1"/>
    <w:rsid w:val="009D7611"/>
    <w:rsid w:val="009E0B61"/>
    <w:rsid w:val="009E2F53"/>
    <w:rsid w:val="009E53DE"/>
    <w:rsid w:val="009F5952"/>
    <w:rsid w:val="00A02A0E"/>
    <w:rsid w:val="00A03A30"/>
    <w:rsid w:val="00A22268"/>
    <w:rsid w:val="00A2598E"/>
    <w:rsid w:val="00A328B3"/>
    <w:rsid w:val="00A32EA9"/>
    <w:rsid w:val="00A33B1E"/>
    <w:rsid w:val="00A47F90"/>
    <w:rsid w:val="00A5086F"/>
    <w:rsid w:val="00A50FCF"/>
    <w:rsid w:val="00A514C9"/>
    <w:rsid w:val="00A52691"/>
    <w:rsid w:val="00A528D1"/>
    <w:rsid w:val="00A610CD"/>
    <w:rsid w:val="00A66E7F"/>
    <w:rsid w:val="00A75E63"/>
    <w:rsid w:val="00A814FA"/>
    <w:rsid w:val="00A92D8C"/>
    <w:rsid w:val="00A9610B"/>
    <w:rsid w:val="00AA09A2"/>
    <w:rsid w:val="00AA3112"/>
    <w:rsid w:val="00AA53A2"/>
    <w:rsid w:val="00AA7996"/>
    <w:rsid w:val="00AB543C"/>
    <w:rsid w:val="00AC1820"/>
    <w:rsid w:val="00AC19CB"/>
    <w:rsid w:val="00AC55D4"/>
    <w:rsid w:val="00AD26B5"/>
    <w:rsid w:val="00AE5488"/>
    <w:rsid w:val="00AE6F91"/>
    <w:rsid w:val="00AF5571"/>
    <w:rsid w:val="00AF7988"/>
    <w:rsid w:val="00B01AF8"/>
    <w:rsid w:val="00B07184"/>
    <w:rsid w:val="00B07341"/>
    <w:rsid w:val="00B22919"/>
    <w:rsid w:val="00B24A55"/>
    <w:rsid w:val="00B30539"/>
    <w:rsid w:val="00B314DB"/>
    <w:rsid w:val="00B34CE7"/>
    <w:rsid w:val="00B34F5C"/>
    <w:rsid w:val="00B350F4"/>
    <w:rsid w:val="00B361F2"/>
    <w:rsid w:val="00B3718B"/>
    <w:rsid w:val="00B405AB"/>
    <w:rsid w:val="00B43D03"/>
    <w:rsid w:val="00B4632A"/>
    <w:rsid w:val="00B5107C"/>
    <w:rsid w:val="00B513B1"/>
    <w:rsid w:val="00B530F1"/>
    <w:rsid w:val="00B54A0C"/>
    <w:rsid w:val="00B60BE5"/>
    <w:rsid w:val="00B61BDE"/>
    <w:rsid w:val="00B632D6"/>
    <w:rsid w:val="00B67999"/>
    <w:rsid w:val="00B83144"/>
    <w:rsid w:val="00B911B6"/>
    <w:rsid w:val="00BA276C"/>
    <w:rsid w:val="00BA461E"/>
    <w:rsid w:val="00BB306F"/>
    <w:rsid w:val="00BB5D01"/>
    <w:rsid w:val="00BC1180"/>
    <w:rsid w:val="00BD4B89"/>
    <w:rsid w:val="00BF02CB"/>
    <w:rsid w:val="00BF11D3"/>
    <w:rsid w:val="00BF1664"/>
    <w:rsid w:val="00BF6FD8"/>
    <w:rsid w:val="00C03680"/>
    <w:rsid w:val="00C03EDD"/>
    <w:rsid w:val="00C054DF"/>
    <w:rsid w:val="00C076EA"/>
    <w:rsid w:val="00C12D01"/>
    <w:rsid w:val="00C14A21"/>
    <w:rsid w:val="00C21762"/>
    <w:rsid w:val="00C24543"/>
    <w:rsid w:val="00C256A2"/>
    <w:rsid w:val="00C269CB"/>
    <w:rsid w:val="00C33C2B"/>
    <w:rsid w:val="00C36B72"/>
    <w:rsid w:val="00C40789"/>
    <w:rsid w:val="00C46EE5"/>
    <w:rsid w:val="00C50443"/>
    <w:rsid w:val="00C51515"/>
    <w:rsid w:val="00C51F6C"/>
    <w:rsid w:val="00C56297"/>
    <w:rsid w:val="00C5660B"/>
    <w:rsid w:val="00C62A75"/>
    <w:rsid w:val="00C6355E"/>
    <w:rsid w:val="00C66B72"/>
    <w:rsid w:val="00C72217"/>
    <w:rsid w:val="00C72A65"/>
    <w:rsid w:val="00C75282"/>
    <w:rsid w:val="00C810D8"/>
    <w:rsid w:val="00C81E66"/>
    <w:rsid w:val="00C86938"/>
    <w:rsid w:val="00C93BAC"/>
    <w:rsid w:val="00C9567A"/>
    <w:rsid w:val="00C963EE"/>
    <w:rsid w:val="00C97129"/>
    <w:rsid w:val="00CA41AF"/>
    <w:rsid w:val="00CB212D"/>
    <w:rsid w:val="00CB2583"/>
    <w:rsid w:val="00CB2660"/>
    <w:rsid w:val="00CB69BC"/>
    <w:rsid w:val="00CC5E90"/>
    <w:rsid w:val="00CC61C7"/>
    <w:rsid w:val="00CC63CF"/>
    <w:rsid w:val="00CC65B9"/>
    <w:rsid w:val="00CD046C"/>
    <w:rsid w:val="00CD36B9"/>
    <w:rsid w:val="00CD37DA"/>
    <w:rsid w:val="00CD49C6"/>
    <w:rsid w:val="00CE076C"/>
    <w:rsid w:val="00CE5199"/>
    <w:rsid w:val="00CE66D5"/>
    <w:rsid w:val="00CF4464"/>
    <w:rsid w:val="00CF637A"/>
    <w:rsid w:val="00D02A23"/>
    <w:rsid w:val="00D059DE"/>
    <w:rsid w:val="00D12193"/>
    <w:rsid w:val="00D13FCE"/>
    <w:rsid w:val="00D14922"/>
    <w:rsid w:val="00D17881"/>
    <w:rsid w:val="00D2611E"/>
    <w:rsid w:val="00D306D1"/>
    <w:rsid w:val="00D31D6E"/>
    <w:rsid w:val="00D34786"/>
    <w:rsid w:val="00D354F9"/>
    <w:rsid w:val="00D37BFC"/>
    <w:rsid w:val="00D41F9A"/>
    <w:rsid w:val="00D47A8E"/>
    <w:rsid w:val="00D50517"/>
    <w:rsid w:val="00D515D5"/>
    <w:rsid w:val="00D528D5"/>
    <w:rsid w:val="00D52D14"/>
    <w:rsid w:val="00D52F9C"/>
    <w:rsid w:val="00D55AF6"/>
    <w:rsid w:val="00D611BC"/>
    <w:rsid w:val="00D712D3"/>
    <w:rsid w:val="00D71422"/>
    <w:rsid w:val="00D72DC6"/>
    <w:rsid w:val="00D7558D"/>
    <w:rsid w:val="00D81D92"/>
    <w:rsid w:val="00D83D73"/>
    <w:rsid w:val="00D83FE6"/>
    <w:rsid w:val="00D96E66"/>
    <w:rsid w:val="00D979B7"/>
    <w:rsid w:val="00DA7B5F"/>
    <w:rsid w:val="00DB458A"/>
    <w:rsid w:val="00DC11E7"/>
    <w:rsid w:val="00DC6EAD"/>
    <w:rsid w:val="00DC7023"/>
    <w:rsid w:val="00DC769A"/>
    <w:rsid w:val="00DD3D86"/>
    <w:rsid w:val="00DE0F22"/>
    <w:rsid w:val="00DE2025"/>
    <w:rsid w:val="00DF1EC4"/>
    <w:rsid w:val="00DF450F"/>
    <w:rsid w:val="00E0340B"/>
    <w:rsid w:val="00E04A90"/>
    <w:rsid w:val="00E150C3"/>
    <w:rsid w:val="00E20806"/>
    <w:rsid w:val="00E219C7"/>
    <w:rsid w:val="00E3350C"/>
    <w:rsid w:val="00E41912"/>
    <w:rsid w:val="00E43157"/>
    <w:rsid w:val="00E45D60"/>
    <w:rsid w:val="00E461CE"/>
    <w:rsid w:val="00E5357B"/>
    <w:rsid w:val="00E6085C"/>
    <w:rsid w:val="00E6692A"/>
    <w:rsid w:val="00E6716B"/>
    <w:rsid w:val="00E720CA"/>
    <w:rsid w:val="00E74DEF"/>
    <w:rsid w:val="00E77BF3"/>
    <w:rsid w:val="00E810C3"/>
    <w:rsid w:val="00E821FB"/>
    <w:rsid w:val="00E84EB5"/>
    <w:rsid w:val="00E85662"/>
    <w:rsid w:val="00E8789F"/>
    <w:rsid w:val="00E87DF0"/>
    <w:rsid w:val="00E909AA"/>
    <w:rsid w:val="00E93FA0"/>
    <w:rsid w:val="00E94F44"/>
    <w:rsid w:val="00E9527F"/>
    <w:rsid w:val="00E97B71"/>
    <w:rsid w:val="00EA04F0"/>
    <w:rsid w:val="00EA3D34"/>
    <w:rsid w:val="00EA3DAE"/>
    <w:rsid w:val="00EB09B0"/>
    <w:rsid w:val="00EB454D"/>
    <w:rsid w:val="00EC0655"/>
    <w:rsid w:val="00ED11C8"/>
    <w:rsid w:val="00ED76BE"/>
    <w:rsid w:val="00EE4F2E"/>
    <w:rsid w:val="00EE6AD8"/>
    <w:rsid w:val="00EF619B"/>
    <w:rsid w:val="00F00B55"/>
    <w:rsid w:val="00F01129"/>
    <w:rsid w:val="00F02AD1"/>
    <w:rsid w:val="00F0341A"/>
    <w:rsid w:val="00F253CC"/>
    <w:rsid w:val="00F26BB4"/>
    <w:rsid w:val="00F36445"/>
    <w:rsid w:val="00F37106"/>
    <w:rsid w:val="00F46EFA"/>
    <w:rsid w:val="00F51839"/>
    <w:rsid w:val="00F519CF"/>
    <w:rsid w:val="00F551E4"/>
    <w:rsid w:val="00F56BA5"/>
    <w:rsid w:val="00F60E22"/>
    <w:rsid w:val="00F64519"/>
    <w:rsid w:val="00F73104"/>
    <w:rsid w:val="00F74F7F"/>
    <w:rsid w:val="00F805FB"/>
    <w:rsid w:val="00F81395"/>
    <w:rsid w:val="00F866F4"/>
    <w:rsid w:val="00F86F7C"/>
    <w:rsid w:val="00F902EB"/>
    <w:rsid w:val="00F917D1"/>
    <w:rsid w:val="00F9653B"/>
    <w:rsid w:val="00FB1110"/>
    <w:rsid w:val="00FB1AFB"/>
    <w:rsid w:val="00FB3535"/>
    <w:rsid w:val="00FB53C3"/>
    <w:rsid w:val="00FB62CF"/>
    <w:rsid w:val="00FC6D5C"/>
    <w:rsid w:val="00FD3C3B"/>
    <w:rsid w:val="00FD5A99"/>
    <w:rsid w:val="00FE07DD"/>
    <w:rsid w:val="00FE6B12"/>
    <w:rsid w:val="00FE6B45"/>
    <w:rsid w:val="00FF124D"/>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44CD9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ListParagraph"/>
    <w:next w:val="Normal"/>
    <w:link w:val="Heading1Char"/>
    <w:autoRedefine/>
    <w:uiPriority w:val="9"/>
    <w:qFormat/>
    <w:rsid w:val="00C269CB"/>
    <w:pPr>
      <w:keepNext/>
      <w:pBdr>
        <w:top w:val="none" w:sz="0" w:space="0" w:color="auto"/>
        <w:left w:val="none" w:sz="0" w:space="0" w:color="auto"/>
        <w:bottom w:val="none" w:sz="0" w:space="0" w:color="auto"/>
        <w:right w:val="none" w:sz="0" w:space="0" w:color="auto"/>
        <w:between w:val="none" w:sz="0" w:space="0" w:color="auto"/>
        <w:bar w:val="none" w:sz="0" w:color="auto"/>
      </w:pBdr>
      <w:ind w:left="0" w:right="0"/>
      <w:jc w:val="left"/>
      <w:outlineLvl w:val="0"/>
    </w:pPr>
    <w:rPr>
      <w:rFonts w:asciiTheme="majorHAnsi" w:hAnsiTheme="majorHAnsi"/>
      <w:b/>
      <w:bCs/>
      <w:sz w:val="20"/>
      <w:szCs w:val="20"/>
      <w:lang w:val="en"/>
    </w:rPr>
  </w:style>
  <w:style w:type="paragraph" w:styleId="Heading2">
    <w:name w:val="heading 2"/>
    <w:basedOn w:val="Normal"/>
    <w:next w:val="Normal"/>
    <w:link w:val="Heading2Char"/>
    <w:autoRedefine/>
    <w:qFormat/>
    <w:rsid w:val="00C269CB"/>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outlineLvl w:val="1"/>
    </w:pPr>
    <w:rPr>
      <w:rFonts w:ascii="Cambria" w:eastAsia="Times New Roman" w:hAnsi="Cambria" w:cs="Arial"/>
      <w:b/>
      <w:bCs/>
      <w:sz w:val="20"/>
      <w:szCs w:val="28"/>
      <w:bdr w:val="none" w:sz="0" w:space="0" w:color="auto"/>
      <w:lang w:val="en"/>
    </w:rPr>
  </w:style>
  <w:style w:type="paragraph" w:styleId="Heading3">
    <w:name w:val="heading 3"/>
    <w:basedOn w:val="Normal"/>
    <w:next w:val="Normal"/>
    <w:link w:val="Heading3Char"/>
    <w:qFormat/>
    <w:rsid w:val="00161D34"/>
    <w:pPr>
      <w:keepNext/>
      <w:numPr>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outlineLvl w:val="2"/>
    </w:pPr>
    <w:rPr>
      <w:rFonts w:asciiTheme="majorHAnsi" w:eastAsia="Times New Roman" w:hAnsiTheme="majorHAnsi" w:cs="Arial"/>
      <w:b/>
      <w:bCs/>
      <w:sz w:val="20"/>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Medium Grid 1 - Accent 21,Colorful List - Accent 12,Lista vistosa - Énfasis 11"/>
    <w:link w:val="ListParagraphChar"/>
    <w:autoRedefine/>
    <w:uiPriority w:val="34"/>
    <w:qFormat/>
    <w:rsid w:val="00914740"/>
    <w:pPr>
      <w:ind w:left="360" w:right="360"/>
      <w:jc w:val="both"/>
    </w:pPr>
    <w:rPr>
      <w:rFonts w:ascii="Cambria" w:eastAsia="Cambria" w:hAnsi="Cambria" w:cs="Cambria"/>
      <w:color w:val="000000"/>
      <w:sz w:val="18"/>
      <w:szCs w:val="24"/>
      <w:u w:color="000000"/>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C"/>
    <w:link w:val="FootnoteTextChar"/>
    <w:qFormat/>
    <w:rsid w:val="00A03A30"/>
    <w:pPr>
      <w:jc w:val="both"/>
    </w:pPr>
    <w:rPr>
      <w:rFonts w:asciiTheme="majorHAnsi" w:eastAsia="Calibri" w:hAnsiTheme="majorHAnsi" w:cs="Calibri"/>
      <w:color w:val="000000"/>
      <w:sz w:val="16"/>
      <w:szCs w:val="16"/>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C269CB"/>
    <w:rPr>
      <w:rFonts w:asciiTheme="majorHAnsi" w:eastAsia="Cambria" w:hAnsiTheme="majorHAnsi" w:cs="Cambria"/>
      <w:b/>
      <w:bCs/>
      <w:color w:val="000000"/>
      <w:u w:color="000000"/>
      <w:lang w:val="en"/>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 de nota al pi,Ref"/>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link w:val="FootnoteText"/>
    <w:qFormat/>
    <w:locked/>
    <w:rsid w:val="00A03A30"/>
    <w:rPr>
      <w:rFonts w:asciiTheme="majorHAnsi" w:eastAsia="Calibri" w:hAnsiTheme="majorHAnsi" w:cs="Calibri"/>
      <w:color w:val="000000"/>
      <w:sz w:val="16"/>
      <w:szCs w:val="16"/>
      <w:u w:color="000000"/>
      <w:lang w:val="en-US"/>
    </w:rPr>
  </w:style>
  <w:style w:type="character" w:customStyle="1" w:styleId="Heading2Char">
    <w:name w:val="Heading 2 Char"/>
    <w:basedOn w:val="DefaultParagraphFont"/>
    <w:link w:val="Heading2"/>
    <w:rsid w:val="00C269CB"/>
    <w:rPr>
      <w:rFonts w:ascii="Cambria" w:eastAsia="Times New Roman" w:hAnsi="Cambria" w:cs="Arial"/>
      <w:b/>
      <w:bCs/>
      <w:szCs w:val="28"/>
      <w:bdr w:val="none" w:sz="0" w:space="0" w:color="auto"/>
      <w:lang w:val="en" w:eastAsia="en-US"/>
    </w:rPr>
  </w:style>
  <w:style w:type="character" w:customStyle="1" w:styleId="Heading3Char">
    <w:name w:val="Heading 3 Char"/>
    <w:basedOn w:val="DefaultParagraphFont"/>
    <w:link w:val="Heading3"/>
    <w:rsid w:val="00161D34"/>
    <w:rPr>
      <w:rFonts w:asciiTheme="majorHAnsi" w:eastAsia="Times New Roman" w:hAnsiTheme="majorHAnsi" w:cs="Arial"/>
      <w:b/>
      <w:bCs/>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9014A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4D661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Medium Grid 1 - Accent 21 Char,Colorful List - Accent 12 Char,Lista vistosa - Énfasis 11 Char"/>
    <w:link w:val="ListParagraph"/>
    <w:uiPriority w:val="34"/>
    <w:locked/>
    <w:rsid w:val="00914740"/>
    <w:rPr>
      <w:rFonts w:ascii="Cambria" w:eastAsia="Cambria" w:hAnsi="Cambria" w:cs="Cambria"/>
      <w:color w:val="000000"/>
      <w:sz w:val="18"/>
      <w:szCs w:val="24"/>
      <w:u w:color="000000"/>
    </w:rPr>
  </w:style>
  <w:style w:type="paragraph" w:styleId="NoSpacing">
    <w:name w:val="No Spacing"/>
    <w:uiPriority w:val="1"/>
    <w:qFormat/>
    <w:rsid w:val="00161D34"/>
    <w:rPr>
      <w:sz w:val="24"/>
      <w:szCs w:val="24"/>
      <w:lang w:val="en-US" w:eastAsia="en-US"/>
    </w:rPr>
  </w:style>
  <w:style w:type="paragraph" w:customStyle="1" w:styleId="parrafos">
    <w:name w:val="parrafos"/>
    <w:basedOn w:val="Normal"/>
    <w:link w:val="parrafosChar"/>
    <w:qFormat/>
    <w:rsid w:val="00914740"/>
    <w:pPr>
      <w:numPr>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pPr>
    <w:rPr>
      <w:rFonts w:asciiTheme="majorHAnsi" w:hAnsiTheme="majorHAnsi"/>
      <w:color w:val="000000" w:themeColor="text1"/>
      <w:sz w:val="20"/>
      <w:szCs w:val="20"/>
      <w:lang w:val="es-VE"/>
    </w:rPr>
  </w:style>
  <w:style w:type="paragraph" w:customStyle="1" w:styleId="citas">
    <w:name w:val="citas"/>
    <w:basedOn w:val="ListParagraph"/>
    <w:link w:val="citasChar"/>
    <w:qFormat/>
    <w:rsid w:val="00914740"/>
  </w:style>
  <w:style w:type="character" w:customStyle="1" w:styleId="parrafosChar">
    <w:name w:val="parrafos Char"/>
    <w:basedOn w:val="DefaultParagraphFont"/>
    <w:link w:val="parrafos"/>
    <w:rsid w:val="00914740"/>
    <w:rPr>
      <w:rFonts w:asciiTheme="majorHAnsi" w:hAnsiTheme="majorHAnsi"/>
      <w:color w:val="000000" w:themeColor="text1"/>
      <w:lang w:val="es-VE" w:eastAsia="en-US"/>
    </w:rPr>
  </w:style>
  <w:style w:type="character" w:customStyle="1" w:styleId="citasChar">
    <w:name w:val="citas Char"/>
    <w:basedOn w:val="ListParagraphChar"/>
    <w:link w:val="citas"/>
    <w:rsid w:val="00914740"/>
    <w:rPr>
      <w:rFonts w:ascii="Cambria" w:eastAsia="Cambria" w:hAnsi="Cambria" w:cs="Cambria"/>
      <w:color w:val="000000"/>
      <w:sz w:val="18"/>
      <w:szCs w:val="24"/>
      <w:u w:color="000000"/>
    </w:rPr>
  </w:style>
  <w:style w:type="character" w:customStyle="1" w:styleId="BodyTextIndentChar">
    <w:name w:val="Body Text Indent Char"/>
    <w:basedOn w:val="DefaultParagraphFont"/>
    <w:link w:val="BodyTextIndent"/>
    <w:rsid w:val="00124478"/>
    <w:rPr>
      <w:rFonts w:eastAsia="Times New Roman"/>
      <w:color w:val="000000"/>
      <w:sz w:val="24"/>
      <w:szCs w:val="24"/>
      <w:u w:color="000000"/>
      <w:lang w:val="es-ES_tradnl"/>
    </w:rPr>
  </w:style>
  <w:style w:type="paragraph" w:styleId="BodyText3">
    <w:name w:val="Body Text 3"/>
    <w:basedOn w:val="Normal"/>
    <w:link w:val="BodyText3Char"/>
    <w:uiPriority w:val="99"/>
    <w:unhideWhenUsed/>
    <w:rsid w:val="00FB53C3"/>
    <w:pPr>
      <w:spacing w:after="120"/>
    </w:pPr>
    <w:rPr>
      <w:sz w:val="16"/>
      <w:szCs w:val="16"/>
    </w:rPr>
  </w:style>
  <w:style w:type="character" w:customStyle="1" w:styleId="BodyText3Char">
    <w:name w:val="Body Text 3 Char"/>
    <w:basedOn w:val="DefaultParagraphFont"/>
    <w:link w:val="BodyText3"/>
    <w:uiPriority w:val="99"/>
    <w:rsid w:val="00FB53C3"/>
    <w:rPr>
      <w:sz w:val="16"/>
      <w:szCs w:val="16"/>
      <w:lang w:val="en-US" w:eastAsia="en-US"/>
    </w:rPr>
  </w:style>
  <w:style w:type="character" w:styleId="Strong">
    <w:name w:val="Strong"/>
    <w:uiPriority w:val="22"/>
    <w:qFormat/>
    <w:rsid w:val="00FB53C3"/>
    <w:rPr>
      <w:b/>
      <w:bCs/>
    </w:rPr>
  </w:style>
  <w:style w:type="paragraph" w:styleId="TOCHeading">
    <w:name w:val="TOC Heading"/>
    <w:basedOn w:val="Heading1"/>
    <w:next w:val="Normal"/>
    <w:uiPriority w:val="39"/>
    <w:unhideWhenUsed/>
    <w:qFormat/>
    <w:rsid w:val="00A92D8C"/>
    <w:pPr>
      <w:keepLines/>
      <w:spacing w:before="240" w:line="259" w:lineRule="auto"/>
      <w:outlineLvl w:val="9"/>
    </w:pPr>
    <w:rPr>
      <w:rFonts w:eastAsiaTheme="majorEastAsia" w:cstheme="majorBidi"/>
      <w:b w:val="0"/>
      <w:bCs w:val="0"/>
      <w:color w:val="365F91" w:themeColor="accent1" w:themeShade="BF"/>
      <w:sz w:val="32"/>
      <w:szCs w:val="32"/>
      <w:bdr w:val="none" w:sz="0" w:space="0" w:color="auto"/>
      <w:lang w:val="en-US" w:eastAsia="en-US"/>
    </w:rPr>
  </w:style>
  <w:style w:type="character" w:customStyle="1" w:styleId="Refdenotaalpie1Car">
    <w:name w:val="Ref. de nota al pie1 Car"/>
    <w:aliases w:val="Footnotes refss Car,Ref. de nota al pie. Car,Texto de nota al pie Car,Appel note de bas de page Car,referencia nota al pie Car,BVI fnr Car,Footnote number Car,f Car,f1 Car,4_G Car,16 Point Car,Footnote Car"/>
    <w:basedOn w:val="DefaultParagraphFont"/>
    <w:uiPriority w:val="99"/>
    <w:qFormat/>
    <w:locked/>
    <w:rsid w:val="00E6692A"/>
    <w:rPr>
      <w:rFonts w:asciiTheme="majorHAnsi" w:eastAsia="Times New Roman" w:hAnsiTheme="majorHAnsi" w:cs="Calibri"/>
      <w:color w:val="000000"/>
      <w:sz w:val="16"/>
      <w:szCs w:val="16"/>
      <w:u w:color="000000"/>
      <w:lang w:val="en-US" w:eastAsia="x-none"/>
    </w:rPr>
  </w:style>
  <w:style w:type="character" w:customStyle="1" w:styleId="Mencinsinresolver1">
    <w:name w:val="Mención sin resolver1"/>
    <w:basedOn w:val="DefaultParagraphFont"/>
    <w:uiPriority w:val="99"/>
    <w:semiHidden/>
    <w:unhideWhenUsed/>
    <w:rsid w:val="00E6692A"/>
    <w:rPr>
      <w:color w:val="605E5C"/>
      <w:shd w:val="clear" w:color="auto" w:fill="E1DFDD"/>
    </w:rPr>
  </w:style>
  <w:style w:type="paragraph" w:customStyle="1" w:styleId="1">
    <w:name w:val="1"/>
    <w:basedOn w:val="Normal"/>
    <w:rsid w:val="00E6692A"/>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eastAsia="MS Mincho"/>
      <w:sz w:val="20"/>
      <w:szCs w:val="20"/>
      <w:bdr w:val="none" w:sz="0" w:space="0" w:color="auto"/>
      <w:vertAlign w:val="superscript"/>
    </w:rPr>
  </w:style>
  <w:style w:type="character" w:styleId="CommentReference">
    <w:name w:val="annotation reference"/>
    <w:basedOn w:val="DefaultParagraphFont"/>
    <w:uiPriority w:val="99"/>
    <w:semiHidden/>
    <w:unhideWhenUsed/>
    <w:rsid w:val="00E6692A"/>
    <w:rPr>
      <w:sz w:val="16"/>
      <w:szCs w:val="16"/>
    </w:rPr>
  </w:style>
  <w:style w:type="paragraph" w:styleId="CommentText">
    <w:name w:val="annotation text"/>
    <w:basedOn w:val="Normal"/>
    <w:link w:val="CommentTextChar"/>
    <w:uiPriority w:val="99"/>
    <w:semiHidden/>
    <w:unhideWhenUsed/>
    <w:rsid w:val="00E6692A"/>
    <w:rPr>
      <w:sz w:val="20"/>
      <w:szCs w:val="20"/>
    </w:rPr>
  </w:style>
  <w:style w:type="character" w:customStyle="1" w:styleId="CommentTextChar">
    <w:name w:val="Comment Text Char"/>
    <w:basedOn w:val="DefaultParagraphFont"/>
    <w:link w:val="CommentText"/>
    <w:uiPriority w:val="99"/>
    <w:semiHidden/>
    <w:rsid w:val="00E6692A"/>
    <w:rPr>
      <w:lang w:val="en-US" w:eastAsia="en-US"/>
    </w:rPr>
  </w:style>
  <w:style w:type="paragraph" w:styleId="CommentSubject">
    <w:name w:val="annotation subject"/>
    <w:basedOn w:val="CommentText"/>
    <w:next w:val="CommentText"/>
    <w:link w:val="CommentSubjectChar"/>
    <w:uiPriority w:val="99"/>
    <w:semiHidden/>
    <w:unhideWhenUsed/>
    <w:rsid w:val="00E6692A"/>
    <w:rPr>
      <w:b/>
      <w:bCs/>
    </w:rPr>
  </w:style>
  <w:style w:type="character" w:customStyle="1" w:styleId="CommentSubjectChar">
    <w:name w:val="Comment Subject Char"/>
    <w:basedOn w:val="CommentTextChar"/>
    <w:link w:val="CommentSubject"/>
    <w:uiPriority w:val="99"/>
    <w:semiHidden/>
    <w:rsid w:val="00E6692A"/>
    <w:rPr>
      <w:b/>
      <w:bCs/>
      <w:lang w:val="en-US" w:eastAsia="en-US"/>
    </w:rPr>
  </w:style>
  <w:style w:type="character" w:styleId="UnresolvedMention">
    <w:name w:val="Unresolved Mention"/>
    <w:basedOn w:val="DefaultParagraphFont"/>
    <w:uiPriority w:val="99"/>
    <w:semiHidden/>
    <w:unhideWhenUsed/>
    <w:rsid w:val="00E66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0133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joomla.corteidh.or.cr:8080/joomla/es/casos-contenciosos/38-jurisprudencia/1450-corte-idh-caso-lopez-mendoza-vs-venezuela-fondo-reparaciones-y-costas-sentencia-de-1-de-septiembre-de-2011-serie-c-no-233" TargetMode="External"/><Relationship Id="rId13" Type="http://schemas.openxmlformats.org/officeDocument/2006/relationships/hyperlink" Target="http://joomla.corteidh.or.cr:8080/joomla/es/casos-contenciosos/38-jurisprudencia/475-corte-idh-caso-del-tribunal-constitucional-vs-peru-fondo-reparaciones-y-costas-sentencia-de-31-de-enero-de-2001-serie-c-no-71" TargetMode="External"/><Relationship Id="rId3" Type="http://schemas.openxmlformats.org/officeDocument/2006/relationships/hyperlink" Target="http://www.elheraldo.hn/Secciones-Principales/Al-Frente/Congreso-de-Honduras-asesta-golpe-tecnico-a-la-CSJ" TargetMode="External"/><Relationship Id="rId7" Type="http://schemas.openxmlformats.org/officeDocument/2006/relationships/hyperlink" Target="http://joomla.corteidh.or.cr:8080/joomla/es/casos-contenciosos/38-jurisprudencia/475-corte-idh-caso-del-tribunal-constitucional-vs-peru-fondo-reparaciones-y-costas-sentencia-de-31-de-enero-de-2001-serie-c-no-71" TargetMode="External"/><Relationship Id="rId12" Type="http://schemas.openxmlformats.org/officeDocument/2006/relationships/hyperlink" Target="http://joomla.corteidh.or.cr:8080/joomla/es/casos-contenciosos/38-jurisprudencia/475-corte-idh-caso-del-tribunal-constitucional-vs-peru-fondo-reparaciones-y-costas-sentencia-de-31-de-enero-de-2001-serie-c-no-71" TargetMode="External"/><Relationship Id="rId2" Type="http://schemas.openxmlformats.org/officeDocument/2006/relationships/hyperlink" Target="https://www.elheraldo.hn/pais/569202-214/pepe-contratara-comision-para-evaluar-fallos-de-la-corte-suprema-de-justicia" TargetMode="External"/><Relationship Id="rId1" Type="http://schemas.openxmlformats.org/officeDocument/2006/relationships/hyperlink" Target="https://www.elheraldo.hn/alfrente/565663-209/hechos-que-originaron-zarpazo-contra-el-poder-judicial" TargetMode="External"/><Relationship Id="rId6" Type="http://schemas.openxmlformats.org/officeDocument/2006/relationships/hyperlink" Target="http://joomla.corteidh.or.cr:8080/joomla/es/casos-contenciosos/38-jurisprudencia/476-corte-idh-caso-baena-ricardo-y-otros-vs-panama-fondo-reparaciones-y-costas-sentencia-de-2-de-febrero-de-2001-serie-c-no-72" TargetMode="External"/><Relationship Id="rId11" Type="http://schemas.openxmlformats.org/officeDocument/2006/relationships/hyperlink" Target="http://joomla.corteidh.or.cr:8080/joomla/es/casos-contenciosos/38-jurisprudencia/1450-corte-idh-caso-lopez-mendoza-vs-venezuela-fondo-reparaciones-y-costas-sentencia-de-1-de-septiembre-de-2011-serie-c-no-233" TargetMode="External"/><Relationship Id="rId5" Type="http://schemas.openxmlformats.org/officeDocument/2006/relationships/hyperlink" Target="https://proceso.hn/por-amenazas-salio-del-pais-ex-magistrado-jose-antonio-gutierrez-navas/" TargetMode="External"/><Relationship Id="rId10" Type="http://schemas.openxmlformats.org/officeDocument/2006/relationships/hyperlink" Target="http://joomla.corteidh.or.cr:8080/joomla/es/casos-contenciosos/38-jurisprudencia/476-corte-idh-caso-baena-ricardo-y-otros-vs-panama-fondo-reparaciones-y-costas-sentencia-de-2-de-febrero-de-2001-serie-c-no-72" TargetMode="External"/><Relationship Id="rId4" Type="http://schemas.openxmlformats.org/officeDocument/2006/relationships/hyperlink" Target="https://www.elheraldo.hn/alfrente/565674-209/aviles-concerto-propuestas-de-nuevos-magistrados" TargetMode="External"/><Relationship Id="rId9" Type="http://schemas.openxmlformats.org/officeDocument/2006/relationships/hyperlink" Target="http://joomla.corteidh.or.cr:8080/joomla/es/casos-contenciosos/38-jurisprudencia/476-corte-idh-caso-baena-ricardo-y-otros-vs-panama-fondo-reparaciones-y-costas-sentencia-de-2-de-febrero-de-2001-serie-c-no-7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7" ma:contentTypeDescription="Create a new document." ma:contentTypeScope="" ma:versionID="8c2b60eeae7273e7a5183f83d6092771">
  <xsd:schema xmlns:xsd="http://www.w3.org/2001/XMLSchema" xmlns:xs="http://www.w3.org/2001/XMLSchema" xmlns:p="http://schemas.microsoft.com/office/2006/metadata/properties" xmlns:ns2="7ff2a89a-f9c3-4229-b04b-1f4abb2786a1" targetNamespace="http://schemas.microsoft.com/office/2006/metadata/properties" ma:root="true" ma:fieldsID="f989530acf2b57933063718d20c348ad" ns2:_="">
    <xsd:import namespace="7ff2a89a-f9c3-4229-b04b-1f4abb2786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C58DCF-81EB-4A2F-9D60-8BD6871C499E}">
  <ds:schemaRefs>
    <ds:schemaRef ds:uri="http://schemas.openxmlformats.org/officeDocument/2006/bibliography"/>
  </ds:schemaRefs>
</ds:datastoreItem>
</file>

<file path=customXml/itemProps2.xml><?xml version="1.0" encoding="utf-8"?>
<ds:datastoreItem xmlns:ds="http://schemas.openxmlformats.org/officeDocument/2006/customXml" ds:itemID="{2E7CE6B0-1985-47FD-957E-002C2A2AB7F5}">
  <ds:schemaRefs>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 ds:uri="http://schemas.microsoft.com/office/2006/metadata/properties"/>
    <ds:schemaRef ds:uri="http://schemas.openxmlformats.org/package/2006/metadata/core-properties"/>
    <ds:schemaRef ds:uri="7ff2a89a-f9c3-4229-b04b-1f4abb2786a1"/>
    <ds:schemaRef ds:uri="http://purl.org/dc/elements/1.1/"/>
  </ds:schemaRefs>
</ds:datastoreItem>
</file>

<file path=customXml/itemProps3.xml><?xml version="1.0" encoding="utf-8"?>
<ds:datastoreItem xmlns:ds="http://schemas.openxmlformats.org/officeDocument/2006/customXml" ds:itemID="{45090264-7A54-46E4-A964-622B1F93D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34BF9E-757A-4962-9EC9-E572D4AFEB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11517</Words>
  <Characters>65649</Characters>
  <Application>Microsoft Office Word</Application>
  <DocSecurity>0</DocSecurity>
  <Lines>547</Lines>
  <Paragraphs>154</Paragraphs>
  <ScaleCrop>false</ScaleCrop>
  <Company/>
  <LinksUpToDate>false</LinksUpToDate>
  <CharactersWithSpaces>77012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2022-04-01T21:13:00Z</dcterms:created>
  <dcterms:modified xsi:type="dcterms:W3CDTF">2022-04-01T21:14:00Z</dcterms:modified>
</cp:coreProperties>
</file>